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2C0DFD61">
            <wp:extent cx="1828800" cy="1104900"/>
            <wp:effectExtent l="0" t="0" r="0" b="0"/>
            <wp:docPr id="6" name="Picture 6"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1#yI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2FBE45C9">
            <wp:extent cx="2752725" cy="2507056"/>
            <wp:effectExtent l="0" t="0" r="0" b="0"/>
            <wp:docPr id="13" name="Picture 13"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2#yIS1"/>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A98D612" w:rsidR="00193533" w:rsidRPr="00193533" w:rsidRDefault="00091E19" w:rsidP="002F4591">
      <w:pPr>
        <w:pStyle w:val="CoverTitle"/>
        <w:spacing w:before="2640"/>
        <w:jc w:val="center"/>
      </w:pPr>
      <w:r>
        <w:t>Diquat</w:t>
      </w:r>
    </w:p>
    <w:p w14:paraId="0F125B7E" w14:textId="036C737C" w:rsidR="003C0891" w:rsidRDefault="00844A7E" w:rsidP="00193533">
      <w:pPr>
        <w:pStyle w:val="CoverSubtitle"/>
        <w:jc w:val="center"/>
      </w:pPr>
      <w:r>
        <w:t xml:space="preserve">Final </w:t>
      </w:r>
      <w:r w:rsidR="00054058">
        <w:t>Review</w:t>
      </w:r>
      <w:r w:rsidR="00A563F4">
        <w:t xml:space="preserve"> </w:t>
      </w:r>
      <w:r w:rsidR="001D1C1A">
        <w:t>Technical Report</w:t>
      </w:r>
    </w:p>
    <w:p w14:paraId="4E4C9BC9" w14:textId="4150BB22" w:rsidR="00193533" w:rsidRPr="00E41FED" w:rsidRDefault="006E3C0C" w:rsidP="008B550C">
      <w:pPr>
        <w:pStyle w:val="Coverdate"/>
        <w:sectPr w:rsidR="00193533" w:rsidRPr="00E41FED" w:rsidSect="009A2AA4">
          <w:pgSz w:w="11906" w:h="16838" w:code="9"/>
          <w:pgMar w:top="2127" w:right="1134" w:bottom="1134" w:left="1134" w:header="1701" w:footer="450" w:gutter="0"/>
          <w:pgNumType w:fmt="lowerRoman"/>
          <w:cols w:space="708"/>
          <w:docGrid w:linePitch="360"/>
        </w:sectPr>
      </w:pPr>
      <w:r>
        <w:t>June</w:t>
      </w:r>
      <w:r w:rsidR="00844A7E">
        <w:t xml:space="preserve"> 2026</w:t>
      </w:r>
    </w:p>
    <w:bookmarkEnd w:id="0"/>
    <w:p w14:paraId="5349509A" w14:textId="4750398C" w:rsidR="00305087" w:rsidRPr="00305087" w:rsidRDefault="00305087" w:rsidP="00305087">
      <w:pPr>
        <w:spacing w:before="100" w:after="100" w:line="240" w:lineRule="atLeast"/>
        <w:rPr>
          <w:rFonts w:ascii="Arial" w:eastAsia="Times New Roman" w:hAnsi="Arial" w:cs="Times New Roman"/>
          <w:color w:val="1A1B1A" w:themeColor="text1" w:themeShade="80"/>
          <w:kern w:val="0"/>
          <w:sz w:val="16"/>
          <w:lang w:eastAsia="en-AU"/>
        </w:rPr>
      </w:pPr>
      <w:r w:rsidRPr="00305087">
        <w:rPr>
          <w:rFonts w:ascii="Arial" w:eastAsia="Times New Roman" w:hAnsi="Arial" w:cs="Times New Roman"/>
          <w:color w:val="1A1B1A" w:themeColor="text1" w:themeShade="80"/>
          <w:kern w:val="0"/>
          <w:sz w:val="16"/>
          <w:lang w:eastAsia="en-AU"/>
        </w:rPr>
        <w:lastRenderedPageBreak/>
        <w:t xml:space="preserve">© Australian Pesticides and Veterinary Medicines </w:t>
      </w:r>
      <w:r w:rsidRPr="00305087">
        <w:rPr>
          <w:rFonts w:ascii="Arial" w:eastAsia="Times New Roman" w:hAnsi="Arial" w:cs="Times New Roman"/>
          <w:kern w:val="0"/>
          <w:sz w:val="16"/>
          <w:lang w:eastAsia="en-AU"/>
        </w:rPr>
        <w:t xml:space="preserve">Authority </w:t>
      </w:r>
      <w:r w:rsidRPr="00305087">
        <w:rPr>
          <w:rFonts w:ascii="Arial" w:eastAsia="Times New Roman" w:hAnsi="Arial" w:cs="Arial"/>
          <w:kern w:val="0"/>
          <w:sz w:val="16"/>
          <w:szCs w:val="16"/>
          <w:lang w:eastAsia="en-AU"/>
        </w:rPr>
        <w:t>2026</w:t>
      </w:r>
    </w:p>
    <w:p w14:paraId="5FBB6DA0" w14:textId="77777777" w:rsidR="00305087" w:rsidRPr="00305087" w:rsidRDefault="00305087" w:rsidP="00305087">
      <w:pPr>
        <w:spacing w:before="100" w:after="100" w:line="240" w:lineRule="atLeast"/>
        <w:rPr>
          <w:rFonts w:ascii="Arial" w:eastAsia="Times New Roman" w:hAnsi="Arial" w:cs="Times New Roman"/>
          <w:b/>
          <w:bCs/>
          <w:color w:val="1A1B1A" w:themeColor="text1" w:themeShade="80"/>
          <w:kern w:val="0"/>
          <w:sz w:val="16"/>
          <w:lang w:eastAsia="en-AU"/>
        </w:rPr>
      </w:pPr>
      <w:r w:rsidRPr="00305087">
        <w:rPr>
          <w:rFonts w:ascii="Arial" w:eastAsia="Times New Roman" w:hAnsi="Arial" w:cs="Times New Roman"/>
          <w:b/>
          <w:bCs/>
          <w:color w:val="1A1B1A" w:themeColor="text1" w:themeShade="80"/>
          <w:kern w:val="0"/>
          <w:sz w:val="16"/>
          <w:lang w:eastAsia="en-AU"/>
        </w:rPr>
        <w:t>Ownership of intellectual property rights in this publication</w:t>
      </w:r>
    </w:p>
    <w:p w14:paraId="34696D44" w14:textId="77777777" w:rsidR="00305087" w:rsidRPr="00305087" w:rsidRDefault="00305087" w:rsidP="00305087">
      <w:pPr>
        <w:spacing w:before="100" w:after="100" w:line="240" w:lineRule="atLeast"/>
        <w:rPr>
          <w:rFonts w:ascii="Arial" w:eastAsia="Times New Roman" w:hAnsi="Arial" w:cs="Times New Roman"/>
          <w:color w:val="1A1B1A" w:themeColor="text1" w:themeShade="80"/>
          <w:kern w:val="0"/>
          <w:sz w:val="16"/>
          <w:lang w:eastAsia="en-AU"/>
        </w:rPr>
      </w:pPr>
      <w:r w:rsidRPr="00305087">
        <w:rPr>
          <w:rFonts w:ascii="Arial" w:eastAsia="Times New Roman" w:hAnsi="Arial" w:cs="Times New Roman"/>
          <w:color w:val="1A1B1A" w:themeColor="text1" w:themeShade="80"/>
          <w:kern w:val="0"/>
          <w:sz w:val="16"/>
          <w:lang w:eastAsia="en-AU"/>
        </w:rPr>
        <w:t>Unless otherwise noted, copyright (and any other intellectual property rights, if any) in this publication is owned by the Australian Pesticides and Veterinary Medicines Authority (APVMA).</w:t>
      </w:r>
    </w:p>
    <w:p w14:paraId="4B9190E2" w14:textId="77777777" w:rsidR="00305087" w:rsidRPr="00305087" w:rsidRDefault="00305087" w:rsidP="00305087">
      <w:pPr>
        <w:spacing w:before="100" w:after="100" w:line="240" w:lineRule="atLeast"/>
        <w:rPr>
          <w:rFonts w:ascii="Arial" w:eastAsia="Times New Roman" w:hAnsi="Arial" w:cs="Times New Roman"/>
          <w:b/>
          <w:bCs/>
          <w:color w:val="1A1B1A" w:themeColor="text1" w:themeShade="80"/>
          <w:kern w:val="0"/>
          <w:sz w:val="16"/>
          <w:lang w:eastAsia="en-AU"/>
        </w:rPr>
      </w:pPr>
      <w:r w:rsidRPr="00305087">
        <w:rPr>
          <w:rFonts w:ascii="Arial" w:eastAsia="Times New Roman" w:hAnsi="Arial" w:cs="Times New Roman"/>
          <w:b/>
          <w:bCs/>
          <w:color w:val="1A1B1A" w:themeColor="text1" w:themeShade="80"/>
          <w:kern w:val="0"/>
          <w:sz w:val="16"/>
          <w:lang w:eastAsia="en-AU"/>
        </w:rPr>
        <w:t>Creative Commons licence</w:t>
      </w:r>
    </w:p>
    <w:p w14:paraId="2A701D5F" w14:textId="77777777" w:rsidR="00305087" w:rsidRPr="00305087" w:rsidRDefault="00305087" w:rsidP="00305087">
      <w:pPr>
        <w:spacing w:before="100" w:after="100" w:line="240" w:lineRule="atLeast"/>
        <w:rPr>
          <w:rFonts w:ascii="Arial" w:eastAsia="Times New Roman" w:hAnsi="Arial" w:cs="Times New Roman"/>
          <w:color w:val="1A1B1A" w:themeColor="text1" w:themeShade="80"/>
          <w:kern w:val="0"/>
          <w:sz w:val="16"/>
          <w:lang w:eastAsia="en-AU"/>
        </w:rPr>
      </w:pPr>
      <w:r w:rsidRPr="00305087">
        <w:rPr>
          <w:rFonts w:ascii="Arial" w:eastAsia="Times New Roman" w:hAnsi="Arial" w:cs="Times New Roman"/>
          <w:color w:val="1A1B1A" w:themeColor="text1" w:themeShade="80"/>
          <w:kern w:val="0"/>
          <w:sz w:val="16"/>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2A23953D" w14:textId="77777777" w:rsidR="00305087" w:rsidRPr="00305087" w:rsidRDefault="00305087" w:rsidP="00305087">
      <w:pPr>
        <w:autoSpaceDE w:val="0"/>
        <w:autoSpaceDN w:val="0"/>
        <w:adjustRightInd w:val="0"/>
        <w:spacing w:before="100" w:after="240" w:line="240" w:lineRule="atLeast"/>
        <w:ind w:left="-284" w:right="-329" w:firstLine="284"/>
        <w:rPr>
          <w:rFonts w:ascii="Arial" w:eastAsia="Times New Roman" w:hAnsi="Arial" w:cs="Arial"/>
          <w:color w:val="1A1B1A" w:themeColor="text1" w:themeShade="80"/>
          <w:kern w:val="0"/>
          <w:sz w:val="16"/>
          <w:szCs w:val="16"/>
          <w:lang w:eastAsia="en-AU"/>
        </w:rPr>
      </w:pPr>
      <w:r w:rsidRPr="00305087">
        <w:rPr>
          <w:rFonts w:ascii="Times New Roman" w:eastAsia="Times New Roman" w:hAnsi="Times New Roman" w:cs="Times New Roman"/>
          <w:noProof/>
          <w:color w:val="1A1B1A" w:themeColor="text1" w:themeShade="80"/>
          <w:kern w:val="0"/>
          <w:sz w:val="16"/>
          <w:szCs w:val="16"/>
          <w:lang w:eastAsia="en-AU"/>
        </w:rPr>
        <w:drawing>
          <wp:inline distT="0" distB="0" distL="0" distR="0" wp14:anchorId="767B8A3A" wp14:editId="3187F7CD">
            <wp:extent cx="400050" cy="400050"/>
            <wp:effectExtent l="0" t="0" r="0" b="0"/>
            <wp:docPr id="5" name="Picture 5" descr="P1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11#yI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305087">
        <w:rPr>
          <w:rFonts w:ascii="Times New Roman" w:eastAsia="Times New Roman" w:hAnsi="Times New Roman" w:cs="Times New Roman"/>
          <w:noProof/>
          <w:color w:val="1A1B1A" w:themeColor="text1" w:themeShade="80"/>
          <w:kern w:val="0"/>
          <w:sz w:val="16"/>
          <w:szCs w:val="16"/>
          <w:lang w:eastAsia="en-AU"/>
        </w:rPr>
        <w:drawing>
          <wp:inline distT="0" distB="0" distL="0" distR="0" wp14:anchorId="57F2A649" wp14:editId="483A4DC3">
            <wp:extent cx="400050" cy="400050"/>
            <wp:effectExtent l="0" t="0" r="0" b="0"/>
            <wp:docPr id="4" name="Picture 4" descr="P11#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1#yIS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322102D4" w14:textId="76991033" w:rsidR="00305087" w:rsidRPr="00305087" w:rsidRDefault="00305087" w:rsidP="00305087">
      <w:pPr>
        <w:spacing w:before="100" w:after="100" w:line="240" w:lineRule="atLeast"/>
        <w:rPr>
          <w:rFonts w:ascii="Arial" w:eastAsia="Times New Roman" w:hAnsi="Arial" w:cs="Arial"/>
          <w:color w:val="1A1B1A" w:themeColor="text1" w:themeShade="80"/>
          <w:kern w:val="0"/>
          <w:sz w:val="16"/>
          <w:szCs w:val="16"/>
          <w:lang w:eastAsia="en-AU"/>
        </w:rPr>
      </w:pPr>
      <w:r w:rsidRPr="00305087">
        <w:rPr>
          <w:rFonts w:ascii="Arial" w:eastAsia="Times New Roman" w:hAnsi="Arial" w:cs="Arial"/>
          <w:color w:val="1A1B1A" w:themeColor="text1" w:themeShade="80"/>
          <w:kern w:val="0"/>
          <w:sz w:val="16"/>
          <w:szCs w:val="16"/>
          <w:lang w:eastAsia="en-AU"/>
        </w:rPr>
        <w:t xml:space="preserve">A </w:t>
      </w:r>
      <w:hyperlink r:id="rId13" w:history="1">
        <w:r w:rsidRPr="00305087">
          <w:rPr>
            <w:rFonts w:ascii="Arial" w:eastAsia="Times New Roman" w:hAnsi="Arial" w:cs="Arial"/>
            <w:color w:val="0000FF"/>
            <w:kern w:val="0"/>
            <w:sz w:val="16"/>
            <w:szCs w:val="16"/>
            <w:u w:val="single"/>
            <w:lang w:eastAsia="en-AU"/>
          </w:rPr>
          <w:t>summary of the licence terms</w:t>
        </w:r>
      </w:hyperlink>
      <w:r w:rsidRPr="00305087">
        <w:rPr>
          <w:rFonts w:ascii="Arial" w:eastAsia="Times New Roman" w:hAnsi="Arial" w:cs="Arial"/>
          <w:color w:val="1A1B1A" w:themeColor="text1" w:themeShade="80"/>
          <w:kern w:val="0"/>
          <w:sz w:val="16"/>
          <w:szCs w:val="16"/>
          <w:lang w:eastAsia="en-AU"/>
        </w:rPr>
        <w:t xml:space="preserve"> and </w:t>
      </w:r>
      <w:hyperlink r:id="rId14" w:history="1">
        <w:r w:rsidRPr="00305087">
          <w:rPr>
            <w:rFonts w:ascii="Arial" w:eastAsia="Times New Roman" w:hAnsi="Arial" w:cs="Arial"/>
            <w:color w:val="0000FF"/>
            <w:kern w:val="0"/>
            <w:sz w:val="16"/>
            <w:szCs w:val="16"/>
            <w:u w:val="single"/>
            <w:lang w:eastAsia="en-AU"/>
          </w:rPr>
          <w:t>full licence terms</w:t>
        </w:r>
      </w:hyperlink>
      <w:r w:rsidRPr="00305087">
        <w:rPr>
          <w:rFonts w:ascii="Arial" w:eastAsia="Times New Roman" w:hAnsi="Arial" w:cs="Arial"/>
          <w:color w:val="1A1B1A" w:themeColor="text1" w:themeShade="80"/>
          <w:kern w:val="0"/>
          <w:sz w:val="16"/>
          <w:szCs w:val="16"/>
          <w:lang w:eastAsia="en-AU"/>
        </w:rPr>
        <w:t xml:space="preserve"> are available from Creative Commons.</w:t>
      </w:r>
    </w:p>
    <w:p w14:paraId="3776454D" w14:textId="77777777" w:rsidR="00305087" w:rsidRPr="00305087" w:rsidRDefault="00305087" w:rsidP="00305087">
      <w:pPr>
        <w:spacing w:before="100" w:after="100" w:line="240" w:lineRule="atLeast"/>
        <w:rPr>
          <w:rFonts w:ascii="Arial" w:eastAsia="Times New Roman" w:hAnsi="Arial" w:cs="Arial"/>
          <w:i/>
          <w:iCs/>
          <w:color w:val="1A1B1A" w:themeColor="text1" w:themeShade="80"/>
          <w:kern w:val="0"/>
          <w:sz w:val="16"/>
          <w:szCs w:val="16"/>
          <w:lang w:eastAsia="en-AU"/>
        </w:rPr>
      </w:pPr>
      <w:r w:rsidRPr="00305087">
        <w:rPr>
          <w:rFonts w:ascii="Arial" w:eastAsia="Times New Roman" w:hAnsi="Arial" w:cs="Arial"/>
          <w:color w:val="1A1B1A" w:themeColor="text1" w:themeShade="80"/>
          <w:kern w:val="0"/>
          <w:sz w:val="16"/>
          <w:szCs w:val="16"/>
          <w:lang w:eastAsia="en-AU"/>
        </w:rPr>
        <w:t>The APVMA’s preference is that you attribute this publication (and any approved material sourced from it) using the following wording:</w:t>
      </w:r>
    </w:p>
    <w:p w14:paraId="4F4D5CFC" w14:textId="690F5D46" w:rsidR="00305087" w:rsidRPr="00305087" w:rsidRDefault="00305087" w:rsidP="00305087">
      <w:pPr>
        <w:spacing w:before="100" w:after="100" w:line="240" w:lineRule="atLeast"/>
        <w:rPr>
          <w:rFonts w:ascii="Arial" w:eastAsia="Times New Roman" w:hAnsi="Arial" w:cs="Arial"/>
          <w:i/>
          <w:iCs/>
          <w:color w:val="1A1B1A" w:themeColor="text1" w:themeShade="80"/>
          <w:kern w:val="0"/>
          <w:sz w:val="16"/>
          <w:szCs w:val="16"/>
          <w:lang w:eastAsia="en-AU"/>
        </w:rPr>
      </w:pPr>
      <w:r w:rsidRPr="00305087">
        <w:rPr>
          <w:rFonts w:ascii="Arial" w:eastAsia="Times New Roman" w:hAnsi="Arial" w:cs="Arial"/>
          <w:i/>
          <w:iCs/>
          <w:color w:val="1A1B1A" w:themeColor="text1" w:themeShade="80"/>
          <w:kern w:val="0"/>
          <w:sz w:val="16"/>
          <w:szCs w:val="16"/>
          <w:lang w:eastAsia="en-AU"/>
        </w:rPr>
        <w:t>Source: Licensed from the Australian Pesticides and Veterinary Medicines Authority (APVMA) under a Creative Commons Attribution 4.0 Australia Licence. The APVMA does not necessarily endorse the content of this publication.</w:t>
      </w:r>
    </w:p>
    <w:p w14:paraId="65F50A5C" w14:textId="77777777" w:rsidR="00305087" w:rsidRPr="00305087" w:rsidRDefault="00305087" w:rsidP="00305087">
      <w:pPr>
        <w:spacing w:before="100" w:after="100" w:line="240" w:lineRule="atLeast"/>
        <w:rPr>
          <w:rFonts w:ascii="Arial" w:eastAsia="Times New Roman" w:hAnsi="Arial" w:cs="Arial"/>
          <w:color w:val="1A1B1A" w:themeColor="text1" w:themeShade="80"/>
          <w:kern w:val="0"/>
          <w:sz w:val="16"/>
          <w:szCs w:val="16"/>
          <w:lang w:eastAsia="en-AU"/>
        </w:rPr>
      </w:pPr>
      <w:r w:rsidRPr="00305087">
        <w:rPr>
          <w:rFonts w:ascii="Arial" w:eastAsia="Times New Roman" w:hAnsi="Arial" w:cs="Arial"/>
          <w:color w:val="1A1B1A" w:themeColor="text1" w:themeShade="80"/>
          <w:kern w:val="0"/>
          <w:sz w:val="16"/>
          <w:szCs w:val="16"/>
          <w:lang w:eastAsia="en-AU"/>
        </w:rPr>
        <w:t>In referencing this document the Australian Pesticides and Veterinary Medicines Authority should be cited as the author, publisher and copyright owner.</w:t>
      </w:r>
    </w:p>
    <w:p w14:paraId="3CDE24FF" w14:textId="77777777" w:rsidR="00305087" w:rsidRPr="00305087" w:rsidRDefault="00305087" w:rsidP="00305087">
      <w:pPr>
        <w:spacing w:before="100" w:after="100" w:line="240" w:lineRule="atLeast"/>
        <w:rPr>
          <w:rFonts w:ascii="Arial" w:eastAsia="Times New Roman" w:hAnsi="Arial" w:cs="Arial"/>
          <w:bCs/>
          <w:color w:val="1A1B1A" w:themeColor="text1" w:themeShade="80"/>
          <w:kern w:val="0"/>
          <w:sz w:val="16"/>
          <w:szCs w:val="16"/>
          <w:lang w:eastAsia="en-AU"/>
        </w:rPr>
      </w:pPr>
      <w:r w:rsidRPr="00305087">
        <w:rPr>
          <w:rFonts w:ascii="Arial" w:eastAsia="Times New Roman" w:hAnsi="Arial" w:cs="Arial"/>
          <w:bCs/>
          <w:color w:val="1A1B1A" w:themeColor="text1" w:themeShade="80"/>
          <w:kern w:val="0"/>
          <w:sz w:val="16"/>
          <w:szCs w:val="16"/>
          <w:lang w:eastAsia="en-AU"/>
        </w:rPr>
        <w:t>Cover image: iStockphoto (istockphoto.com)</w:t>
      </w:r>
    </w:p>
    <w:p w14:paraId="313E2766" w14:textId="47FD0D3B" w:rsidR="00305087" w:rsidRPr="00305087" w:rsidRDefault="00305087" w:rsidP="00305087">
      <w:pPr>
        <w:spacing w:before="100" w:after="100" w:line="240" w:lineRule="atLeast"/>
        <w:rPr>
          <w:rFonts w:ascii="Arial" w:eastAsia="Times New Roman" w:hAnsi="Arial" w:cs="Arial"/>
          <w:bCs/>
          <w:color w:val="1A1B1A" w:themeColor="text1" w:themeShade="80"/>
          <w:kern w:val="0"/>
          <w:sz w:val="16"/>
          <w:szCs w:val="16"/>
          <w:lang w:eastAsia="en-AU"/>
        </w:rPr>
      </w:pPr>
      <w:r w:rsidRPr="00305087">
        <w:rPr>
          <w:rFonts w:ascii="Arial" w:eastAsia="Times New Roman" w:hAnsi="Arial" w:cs="Arial"/>
          <w:bCs/>
          <w:color w:val="1A1B1A" w:themeColor="text1" w:themeShade="80"/>
          <w:kern w:val="0"/>
          <w:sz w:val="16"/>
          <w:szCs w:val="16"/>
          <w:lang w:eastAsia="en-AU"/>
        </w:rPr>
        <w:t>iStockphoto images are not covered by this Creative Commons licence.</w:t>
      </w:r>
    </w:p>
    <w:p w14:paraId="387A48F3" w14:textId="77777777" w:rsidR="00305087" w:rsidRPr="00305087" w:rsidRDefault="00305087" w:rsidP="00305087">
      <w:pPr>
        <w:spacing w:before="100" w:after="100" w:line="240" w:lineRule="atLeast"/>
        <w:rPr>
          <w:rFonts w:ascii="Arial" w:eastAsia="Times New Roman" w:hAnsi="Arial" w:cs="Arial"/>
          <w:b/>
          <w:bCs/>
          <w:color w:val="1A1B1A" w:themeColor="text1" w:themeShade="80"/>
          <w:kern w:val="0"/>
          <w:sz w:val="16"/>
          <w:szCs w:val="16"/>
          <w:lang w:eastAsia="en-AU"/>
        </w:rPr>
      </w:pPr>
      <w:r w:rsidRPr="00305087">
        <w:rPr>
          <w:rFonts w:ascii="Arial" w:eastAsia="Times New Roman" w:hAnsi="Arial" w:cs="Arial"/>
          <w:b/>
          <w:bCs/>
          <w:color w:val="1A1B1A" w:themeColor="text1" w:themeShade="80"/>
          <w:kern w:val="0"/>
          <w:sz w:val="16"/>
          <w:szCs w:val="16"/>
          <w:lang w:eastAsia="en-AU"/>
        </w:rPr>
        <w:t>Use of the Coat of Arms</w:t>
      </w:r>
    </w:p>
    <w:p w14:paraId="464D6466" w14:textId="77777777" w:rsidR="00305087" w:rsidRPr="00305087" w:rsidRDefault="00305087" w:rsidP="00305087">
      <w:pPr>
        <w:spacing w:before="100" w:after="100" w:line="240" w:lineRule="atLeast"/>
        <w:rPr>
          <w:rFonts w:ascii="Arial" w:eastAsia="Times New Roman" w:hAnsi="Arial" w:cs="Arial"/>
          <w:color w:val="1A1B1A" w:themeColor="text1" w:themeShade="80"/>
          <w:kern w:val="0"/>
          <w:sz w:val="16"/>
          <w:szCs w:val="16"/>
          <w:lang w:eastAsia="en-AU"/>
        </w:rPr>
      </w:pPr>
      <w:r w:rsidRPr="00305087">
        <w:rPr>
          <w:rFonts w:ascii="Arial" w:eastAsia="Times New Roman" w:hAnsi="Arial" w:cs="Arial"/>
          <w:color w:val="1A1B1A" w:themeColor="text1" w:themeShade="80"/>
          <w:kern w:val="0"/>
          <w:sz w:val="16"/>
          <w:szCs w:val="16"/>
          <w:lang w:eastAsia="en-AU"/>
        </w:rPr>
        <w:t xml:space="preserve">The terms under which the Coat of Arms can be used are set out on the </w:t>
      </w:r>
      <w:hyperlink r:id="rId15" w:history="1">
        <w:r w:rsidRPr="00305087">
          <w:rPr>
            <w:rFonts w:ascii="Arial" w:eastAsia="Times New Roman" w:hAnsi="Arial" w:cs="Arial"/>
            <w:color w:val="0000FF"/>
            <w:kern w:val="0"/>
            <w:sz w:val="16"/>
            <w:szCs w:val="16"/>
            <w:u w:val="single"/>
            <w:lang w:eastAsia="en-AU"/>
          </w:rPr>
          <w:t>Department of the Prime Minister and Cabinet website</w:t>
        </w:r>
      </w:hyperlink>
      <w:r w:rsidRPr="00305087">
        <w:rPr>
          <w:rFonts w:ascii="Arial" w:eastAsia="Times New Roman" w:hAnsi="Arial" w:cs="Arial"/>
          <w:color w:val="1A1B1A" w:themeColor="text1" w:themeShade="80"/>
          <w:kern w:val="0"/>
          <w:sz w:val="16"/>
          <w:szCs w:val="16"/>
          <w:lang w:eastAsia="en-AU"/>
        </w:rPr>
        <w:t>.</w:t>
      </w:r>
    </w:p>
    <w:p w14:paraId="137DFBB1" w14:textId="77777777" w:rsidR="00305087" w:rsidRPr="00305087" w:rsidRDefault="00305087" w:rsidP="00305087">
      <w:pPr>
        <w:spacing w:before="100" w:after="100" w:line="240" w:lineRule="atLeast"/>
        <w:rPr>
          <w:rFonts w:ascii="Arial" w:eastAsia="Times New Roman" w:hAnsi="Arial" w:cs="Arial"/>
          <w:b/>
          <w:bCs/>
          <w:color w:val="1A1B1A" w:themeColor="text1" w:themeShade="80"/>
          <w:kern w:val="0"/>
          <w:sz w:val="16"/>
          <w:szCs w:val="16"/>
          <w:lang w:eastAsia="en-AU"/>
        </w:rPr>
      </w:pPr>
      <w:r w:rsidRPr="00305087">
        <w:rPr>
          <w:rFonts w:ascii="Arial" w:eastAsia="Times New Roman" w:hAnsi="Arial" w:cs="Arial"/>
          <w:b/>
          <w:bCs/>
          <w:color w:val="1A1B1A" w:themeColor="text1" w:themeShade="80"/>
          <w:kern w:val="0"/>
          <w:sz w:val="16"/>
          <w:szCs w:val="16"/>
          <w:lang w:eastAsia="en-AU"/>
        </w:rPr>
        <w:t>Disclaimer</w:t>
      </w:r>
    </w:p>
    <w:p w14:paraId="632D834D" w14:textId="77777777" w:rsidR="00305087" w:rsidRPr="00305087" w:rsidRDefault="00305087" w:rsidP="00305087">
      <w:pPr>
        <w:spacing w:before="100" w:after="100" w:line="240" w:lineRule="atLeast"/>
        <w:rPr>
          <w:rFonts w:ascii="Arial" w:eastAsia="Times New Roman" w:hAnsi="Arial" w:cs="Times New Roman"/>
          <w:color w:val="1A1B1A" w:themeColor="text1" w:themeShade="80"/>
          <w:kern w:val="0"/>
          <w:sz w:val="16"/>
          <w:lang w:eastAsia="en-AU"/>
        </w:rPr>
      </w:pPr>
      <w:r w:rsidRPr="00305087">
        <w:rPr>
          <w:rFonts w:ascii="Arial" w:eastAsia="Times New Roman" w:hAnsi="Arial" w:cs="Times New Roman"/>
          <w:color w:val="1A1B1A" w:themeColor="text1" w:themeShade="80"/>
          <w:kern w:val="0"/>
          <w:sz w:val="16"/>
          <w:lang w:eastAsia="en-AU"/>
        </w:rPr>
        <w:t xml:space="preserve">The material in or linking from this report may contain the views or recommendations of third parties. Third party material does not necessarily reflect the views of the APVMA, or indicate a commitment to a particular course of action. </w:t>
      </w:r>
      <w:r w:rsidRPr="00305087">
        <w:rPr>
          <w:rFonts w:ascii="Arial" w:eastAsia="Times New Roman" w:hAnsi="Arial" w:cs="Times New Roman"/>
          <w:bCs/>
          <w:color w:val="1A1B1A" w:themeColor="text1" w:themeShade="80"/>
          <w:kern w:val="0"/>
          <w:sz w:val="16"/>
          <w:lang w:eastAsia="en-AU"/>
        </w:rPr>
        <w:t>There may be links in this document that will transfer you to external websites. The APVMA does not have responsibility for these websites, nor does linking to or from this document constitute any form of endorsement.</w:t>
      </w:r>
      <w:r w:rsidRPr="00305087">
        <w:rPr>
          <w:rFonts w:ascii="Arial" w:eastAsia="Times New Roman" w:hAnsi="Arial" w:cs="Times New Roman"/>
          <w:color w:val="1A1B1A" w:themeColor="text1" w:themeShade="80"/>
          <w:kern w:val="0"/>
          <w:sz w:val="16"/>
          <w:lang w:eastAsia="en-AU"/>
        </w:rPr>
        <w:t xml:space="preserve"> </w:t>
      </w:r>
      <w:r w:rsidRPr="00305087">
        <w:rPr>
          <w:rFonts w:ascii="Arial" w:eastAsia="Times New Roman" w:hAnsi="Arial" w:cs="Times New Roman"/>
          <w:bCs/>
          <w:color w:val="1A1B1A" w:themeColor="text1" w:themeShade="80"/>
          <w:kern w:val="0"/>
          <w:sz w:val="16"/>
          <w:lang w:eastAsia="en-AU"/>
        </w:rPr>
        <w:t>The APVMA is not responsible for any errors, omissions or matters of interpretation in any third-party information contained within this document.</w:t>
      </w:r>
    </w:p>
    <w:p w14:paraId="6412FE2E" w14:textId="77777777" w:rsidR="00305087" w:rsidRPr="00305087" w:rsidRDefault="00305087" w:rsidP="00305087">
      <w:pPr>
        <w:spacing w:before="100" w:after="100" w:line="240" w:lineRule="atLeast"/>
        <w:rPr>
          <w:rFonts w:ascii="Arial" w:eastAsia="Times New Roman" w:hAnsi="Arial" w:cs="Arial"/>
          <w:b/>
          <w:bCs/>
          <w:color w:val="1A1B1A" w:themeColor="text1" w:themeShade="80"/>
          <w:kern w:val="0"/>
          <w:sz w:val="16"/>
          <w:szCs w:val="16"/>
          <w:lang w:eastAsia="en-AU"/>
        </w:rPr>
      </w:pPr>
      <w:r w:rsidRPr="00305087">
        <w:rPr>
          <w:rFonts w:ascii="Arial" w:eastAsia="Times New Roman" w:hAnsi="Arial" w:cs="Arial"/>
          <w:b/>
          <w:bCs/>
          <w:color w:val="1A1B1A" w:themeColor="text1" w:themeShade="80"/>
          <w:kern w:val="0"/>
          <w:sz w:val="16"/>
          <w:szCs w:val="16"/>
          <w:lang w:eastAsia="en-AU"/>
        </w:rPr>
        <w:t>Comments and enquiries regarding copyright:</w:t>
      </w:r>
    </w:p>
    <w:p w14:paraId="47AE296A" w14:textId="77777777" w:rsidR="00305087" w:rsidRPr="00305087" w:rsidRDefault="00305087" w:rsidP="00305087">
      <w:pPr>
        <w:spacing w:before="100" w:after="100" w:line="240" w:lineRule="atLeast"/>
        <w:rPr>
          <w:rFonts w:ascii="Arial" w:eastAsia="Times New Roman" w:hAnsi="Arial" w:cs="Arial"/>
          <w:color w:val="1A1B1A" w:themeColor="text1" w:themeShade="80"/>
          <w:kern w:val="0"/>
          <w:sz w:val="16"/>
          <w:szCs w:val="16"/>
          <w:lang w:eastAsia="en-AU"/>
        </w:rPr>
      </w:pPr>
      <w:r w:rsidRPr="00305087">
        <w:rPr>
          <w:rFonts w:ascii="Arial" w:eastAsia="Times New Roman" w:hAnsi="Arial" w:cs="Arial"/>
          <w:color w:val="1A1B1A" w:themeColor="text1" w:themeShade="80"/>
          <w:kern w:val="0"/>
          <w:sz w:val="16"/>
          <w:szCs w:val="16"/>
          <w:lang w:eastAsia="en-AU"/>
        </w:rPr>
        <w:t>Assistant Director, Communications</w:t>
      </w:r>
      <w:r w:rsidRPr="00305087">
        <w:rPr>
          <w:rFonts w:ascii="Arial" w:eastAsia="Times New Roman" w:hAnsi="Arial" w:cs="Arial"/>
          <w:color w:val="1A1B1A" w:themeColor="text1" w:themeShade="80"/>
          <w:kern w:val="0"/>
          <w:sz w:val="16"/>
          <w:szCs w:val="16"/>
          <w:lang w:eastAsia="en-AU"/>
        </w:rPr>
        <w:br/>
        <w:t>Australian Pesticides and Veterinary Medicines Authority</w:t>
      </w:r>
      <w:r w:rsidRPr="00305087">
        <w:rPr>
          <w:rFonts w:ascii="Arial" w:eastAsia="Times New Roman" w:hAnsi="Arial" w:cs="Arial"/>
          <w:color w:val="1A1B1A" w:themeColor="text1" w:themeShade="80"/>
          <w:kern w:val="0"/>
          <w:sz w:val="16"/>
          <w:szCs w:val="16"/>
          <w:lang w:eastAsia="en-AU"/>
        </w:rPr>
        <w:br/>
        <w:t>GPO Box 574</w:t>
      </w:r>
      <w:r w:rsidRPr="00305087">
        <w:rPr>
          <w:rFonts w:ascii="Arial" w:eastAsia="Times New Roman" w:hAnsi="Arial" w:cs="Arial"/>
          <w:color w:val="1A1B1A" w:themeColor="text1" w:themeShade="80"/>
          <w:kern w:val="0"/>
          <w:sz w:val="16"/>
          <w:szCs w:val="16"/>
          <w:lang w:eastAsia="en-AU"/>
        </w:rPr>
        <w:br/>
        <w:t>Canberra ACT 2601 Australia</w:t>
      </w:r>
    </w:p>
    <w:p w14:paraId="2C58BACA" w14:textId="37B47803" w:rsidR="00305087" w:rsidRPr="00305087" w:rsidRDefault="00305087" w:rsidP="00305087">
      <w:pPr>
        <w:spacing w:before="100" w:after="100" w:line="240" w:lineRule="atLeast"/>
        <w:rPr>
          <w:rFonts w:ascii="Arial" w:eastAsia="Times New Roman" w:hAnsi="Arial" w:cs="Arial"/>
          <w:color w:val="0000FF"/>
          <w:kern w:val="0"/>
          <w:sz w:val="16"/>
          <w:szCs w:val="16"/>
          <w:u w:val="single"/>
          <w:lang w:eastAsia="en-AU"/>
        </w:rPr>
      </w:pPr>
      <w:r w:rsidRPr="00305087">
        <w:rPr>
          <w:rFonts w:ascii="Arial" w:eastAsia="Times New Roman" w:hAnsi="Arial" w:cs="Arial"/>
          <w:color w:val="1A1B1A" w:themeColor="text1" w:themeShade="80"/>
          <w:kern w:val="0"/>
          <w:sz w:val="16"/>
          <w:szCs w:val="16"/>
          <w:lang w:eastAsia="en-AU"/>
        </w:rPr>
        <w:t>Telephone: +61 2 6770 2300</w:t>
      </w:r>
      <w:r>
        <w:rPr>
          <w:rFonts w:ascii="Arial" w:eastAsia="Times New Roman" w:hAnsi="Arial" w:cs="Arial"/>
          <w:color w:val="1A1B1A" w:themeColor="text1" w:themeShade="80"/>
          <w:kern w:val="0"/>
          <w:sz w:val="16"/>
          <w:szCs w:val="16"/>
          <w:lang w:eastAsia="en-AU"/>
        </w:rPr>
        <w:br/>
      </w:r>
      <w:r w:rsidRPr="00305087">
        <w:rPr>
          <w:rFonts w:ascii="Arial" w:eastAsia="Times New Roman" w:hAnsi="Arial" w:cs="Arial"/>
          <w:color w:val="1A1B1A" w:themeColor="text1" w:themeShade="80"/>
          <w:kern w:val="0"/>
          <w:sz w:val="16"/>
          <w:szCs w:val="16"/>
          <w:lang w:eastAsia="en-AU"/>
        </w:rPr>
        <w:t xml:space="preserve">Email: </w:t>
      </w:r>
      <w:hyperlink r:id="rId16" w:history="1">
        <w:r w:rsidRPr="00305087">
          <w:rPr>
            <w:rFonts w:ascii="Arial" w:eastAsia="Times New Roman" w:hAnsi="Arial" w:cs="Arial"/>
            <w:color w:val="0000FF"/>
            <w:kern w:val="0"/>
            <w:sz w:val="16"/>
            <w:szCs w:val="16"/>
            <w:u w:val="single"/>
            <w:lang w:eastAsia="en-AU"/>
          </w:rPr>
          <w:t>communications@apvma.gov.au</w:t>
        </w:r>
      </w:hyperlink>
      <w:r w:rsidRPr="00305087">
        <w:rPr>
          <w:rFonts w:ascii="Arial" w:eastAsia="Times New Roman" w:hAnsi="Arial" w:cs="Arial"/>
          <w:color w:val="0000FF"/>
          <w:kern w:val="0"/>
          <w:sz w:val="16"/>
          <w:szCs w:val="16"/>
          <w:u w:val="single"/>
          <w:lang w:eastAsia="en-AU"/>
        </w:rPr>
        <w:t>.</w:t>
      </w:r>
    </w:p>
    <w:p w14:paraId="63029E30" w14:textId="77777777" w:rsidR="00305087" w:rsidRPr="00305087" w:rsidRDefault="00305087" w:rsidP="00305087">
      <w:pPr>
        <w:spacing w:before="100" w:after="100" w:line="240" w:lineRule="atLeast"/>
        <w:rPr>
          <w:rFonts w:ascii="Arial" w:eastAsia="Times New Roman" w:hAnsi="Arial" w:cs="Times New Roman"/>
          <w:color w:val="1A1B1A" w:themeColor="text1" w:themeShade="80"/>
          <w:kern w:val="0"/>
          <w:sz w:val="16"/>
          <w:szCs w:val="16"/>
        </w:rPr>
        <w:sectPr w:rsidR="00305087" w:rsidRPr="00305087" w:rsidSect="00305087">
          <w:pgSz w:w="11906" w:h="16838" w:code="9"/>
          <w:pgMar w:top="2127" w:right="1134" w:bottom="1134" w:left="1134" w:header="1701" w:footer="450" w:gutter="0"/>
          <w:pgNumType w:fmt="lowerRoman"/>
          <w:cols w:space="708"/>
          <w:docGrid w:linePitch="360"/>
        </w:sectPr>
      </w:pPr>
      <w:r w:rsidRPr="00305087">
        <w:rPr>
          <w:rFonts w:ascii="Arial" w:eastAsia="Times New Roman" w:hAnsi="Arial" w:cs="Times New Roman"/>
          <w:color w:val="1A1B1A" w:themeColor="text1" w:themeShade="80"/>
          <w:kern w:val="0"/>
          <w:sz w:val="16"/>
          <w:szCs w:val="16"/>
          <w:lang w:eastAsia="en-AU"/>
        </w:rPr>
        <w:t xml:space="preserve">This publication is available from the </w:t>
      </w:r>
      <w:hyperlink r:id="rId17" w:history="1">
        <w:r w:rsidRPr="00305087">
          <w:rPr>
            <w:rFonts w:ascii="Arial" w:eastAsia="Times New Roman" w:hAnsi="Arial" w:cs="Times New Roman"/>
            <w:color w:val="0000FF"/>
            <w:kern w:val="0"/>
            <w:sz w:val="16"/>
            <w:szCs w:val="16"/>
            <w:u w:val="single"/>
            <w:lang w:eastAsia="en-AU"/>
          </w:rPr>
          <w:t>APVMA website</w:t>
        </w:r>
      </w:hyperlink>
      <w:r w:rsidRPr="00305087">
        <w:rPr>
          <w:rFonts w:ascii="Arial" w:eastAsia="Times New Roman" w:hAnsi="Arial" w:cs="Times New Roman"/>
          <w:color w:val="1A1B1A" w:themeColor="text1" w:themeShade="80"/>
          <w:kern w:val="0"/>
          <w:sz w:val="16"/>
          <w:szCs w:val="16"/>
          <w:lang w:eastAsia="en-AU"/>
        </w:rPr>
        <w:t>.</w:t>
      </w:r>
    </w:p>
    <w:p w14:paraId="0E9E7E2A" w14:textId="77777777" w:rsidR="00B05454" w:rsidRPr="00353455" w:rsidRDefault="00B05454" w:rsidP="00353455">
      <w:pPr>
        <w:pStyle w:val="TOCH1"/>
        <w:numPr>
          <w:ilvl w:val="0"/>
          <w:numId w:val="0"/>
        </w:numPr>
        <w:ind w:left="432" w:hanging="432"/>
        <w:rPr>
          <w:sz w:val="28"/>
          <w:szCs w:val="28"/>
        </w:rPr>
      </w:pPr>
      <w:r w:rsidRPr="00353455">
        <w:rPr>
          <w:sz w:val="28"/>
          <w:szCs w:val="28"/>
        </w:rPr>
        <w:lastRenderedPageBreak/>
        <w:t>Contents</w:t>
      </w:r>
    </w:p>
    <w:p w14:paraId="73DF568A" w14:textId="3F73266E" w:rsidR="00602535" w:rsidRDefault="00FB3E94">
      <w:pPr>
        <w:pStyle w:val="TOC1"/>
        <w:rPr>
          <w:rFonts w:asciiTheme="minorHAnsi" w:eastAsiaTheme="minorEastAsia" w:hAnsiTheme="minorHAnsi" w:cstheme="minorBidi"/>
          <w:bCs w:val="0"/>
          <w:color w:val="auto"/>
          <w:kern w:val="2"/>
          <w:sz w:val="24"/>
          <w:szCs w:val="24"/>
          <w:lang w:eastAsia="en-AU"/>
        </w:rPr>
      </w:pPr>
      <w:r>
        <w:rPr>
          <w:bCs w:val="0"/>
          <w:color w:val="53284F"/>
        </w:rPr>
        <w:fldChar w:fldCharType="begin"/>
      </w:r>
      <w:r>
        <w:rPr>
          <w:bCs w:val="0"/>
          <w:color w:val="53284F"/>
        </w:rPr>
        <w:instrText xml:space="preserve"> TOC \h \z \t "Heading 1,1,Heading 2,2,Heading 3,3,Appendix_H1,1,Preliminaries_H1,1,Glossary/Ref_H1,1,APVMA_Appendix_H1,1,APVMA_Glossary/Ref_H1,1,APVMA_Preliminaries_H1,1,Appendix 1,1,Appendix,1" </w:instrText>
      </w:r>
      <w:r>
        <w:rPr>
          <w:bCs w:val="0"/>
          <w:color w:val="53284F"/>
        </w:rPr>
        <w:fldChar w:fldCharType="separate"/>
      </w:r>
      <w:hyperlink w:anchor="_Toc233038924" w:history="1">
        <w:r w:rsidR="00602535" w:rsidRPr="00203F7D">
          <w:rPr>
            <w:rStyle w:val="Hyperlink"/>
          </w:rPr>
          <w:t>Preface</w:t>
        </w:r>
        <w:r w:rsidR="00602535">
          <w:rPr>
            <w:webHidden/>
          </w:rPr>
          <w:tab/>
        </w:r>
        <w:r w:rsidR="00602535">
          <w:rPr>
            <w:webHidden/>
          </w:rPr>
          <w:fldChar w:fldCharType="begin"/>
        </w:r>
        <w:r w:rsidR="00602535">
          <w:rPr>
            <w:webHidden/>
          </w:rPr>
          <w:instrText xml:space="preserve"> PAGEREF _Toc233038924 \h </w:instrText>
        </w:r>
        <w:r w:rsidR="00602535">
          <w:rPr>
            <w:webHidden/>
          </w:rPr>
        </w:r>
        <w:r w:rsidR="00602535">
          <w:rPr>
            <w:webHidden/>
          </w:rPr>
          <w:fldChar w:fldCharType="separate"/>
        </w:r>
        <w:r w:rsidR="00602535">
          <w:rPr>
            <w:webHidden/>
          </w:rPr>
          <w:t>1</w:t>
        </w:r>
        <w:r w:rsidR="00602535">
          <w:rPr>
            <w:webHidden/>
          </w:rPr>
          <w:fldChar w:fldCharType="end"/>
        </w:r>
      </w:hyperlink>
    </w:p>
    <w:p w14:paraId="5A07EBE2" w14:textId="7B8F7C2C"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8925" w:history="1">
        <w:r w:rsidRPr="00203F7D">
          <w:rPr>
            <w:rStyle w:val="Hyperlink"/>
          </w:rPr>
          <w:t>Executive Summary</w:t>
        </w:r>
        <w:r>
          <w:rPr>
            <w:webHidden/>
          </w:rPr>
          <w:tab/>
        </w:r>
        <w:r>
          <w:rPr>
            <w:webHidden/>
          </w:rPr>
          <w:fldChar w:fldCharType="begin"/>
        </w:r>
        <w:r>
          <w:rPr>
            <w:webHidden/>
          </w:rPr>
          <w:instrText xml:space="preserve"> PAGEREF _Toc233038925 \h </w:instrText>
        </w:r>
        <w:r>
          <w:rPr>
            <w:webHidden/>
          </w:rPr>
        </w:r>
        <w:r>
          <w:rPr>
            <w:webHidden/>
          </w:rPr>
          <w:fldChar w:fldCharType="separate"/>
        </w:r>
        <w:r>
          <w:rPr>
            <w:webHidden/>
          </w:rPr>
          <w:t>2</w:t>
        </w:r>
        <w:r>
          <w:rPr>
            <w:webHidden/>
          </w:rPr>
          <w:fldChar w:fldCharType="end"/>
        </w:r>
      </w:hyperlink>
    </w:p>
    <w:p w14:paraId="7CF131C3" w14:textId="4CBD9C3A"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8926" w:history="1">
        <w:r w:rsidRPr="00203F7D">
          <w:rPr>
            <w:rStyle w:val="Hyperlink"/>
          </w:rPr>
          <w:t>1</w:t>
        </w:r>
        <w:r>
          <w:rPr>
            <w:rFonts w:asciiTheme="minorHAnsi" w:eastAsiaTheme="minorEastAsia" w:hAnsiTheme="minorHAnsi" w:cstheme="minorBidi"/>
            <w:bCs w:val="0"/>
            <w:color w:val="auto"/>
            <w:kern w:val="2"/>
            <w:sz w:val="24"/>
            <w:szCs w:val="24"/>
            <w:lang w:eastAsia="en-AU"/>
          </w:rPr>
          <w:tab/>
        </w:r>
        <w:r w:rsidRPr="00203F7D">
          <w:rPr>
            <w:rStyle w:val="Hyperlink"/>
          </w:rPr>
          <w:t>Introduction</w:t>
        </w:r>
        <w:r>
          <w:rPr>
            <w:webHidden/>
          </w:rPr>
          <w:tab/>
        </w:r>
        <w:r>
          <w:rPr>
            <w:webHidden/>
          </w:rPr>
          <w:fldChar w:fldCharType="begin"/>
        </w:r>
        <w:r>
          <w:rPr>
            <w:webHidden/>
          </w:rPr>
          <w:instrText xml:space="preserve"> PAGEREF _Toc233038926 \h </w:instrText>
        </w:r>
        <w:r>
          <w:rPr>
            <w:webHidden/>
          </w:rPr>
        </w:r>
        <w:r>
          <w:rPr>
            <w:webHidden/>
          </w:rPr>
          <w:fldChar w:fldCharType="separate"/>
        </w:r>
        <w:r>
          <w:rPr>
            <w:webHidden/>
          </w:rPr>
          <w:t>4</w:t>
        </w:r>
        <w:r>
          <w:rPr>
            <w:webHidden/>
          </w:rPr>
          <w:fldChar w:fldCharType="end"/>
        </w:r>
      </w:hyperlink>
    </w:p>
    <w:p w14:paraId="4C0EFEEC" w14:textId="447F0658"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8927" w:history="1">
        <w:r w:rsidRPr="00203F7D">
          <w:rPr>
            <w:rStyle w:val="Hyperlink"/>
          </w:rPr>
          <w:t>2</w:t>
        </w:r>
        <w:r>
          <w:rPr>
            <w:rFonts w:asciiTheme="minorHAnsi" w:eastAsiaTheme="minorEastAsia" w:hAnsiTheme="minorHAnsi" w:cstheme="minorBidi"/>
            <w:bCs w:val="0"/>
            <w:color w:val="auto"/>
            <w:kern w:val="2"/>
            <w:sz w:val="24"/>
            <w:szCs w:val="24"/>
            <w:lang w:eastAsia="en-AU"/>
          </w:rPr>
          <w:tab/>
        </w:r>
        <w:r w:rsidRPr="00203F7D">
          <w:rPr>
            <w:rStyle w:val="Hyperlink"/>
          </w:rPr>
          <w:t>Chemistry</w:t>
        </w:r>
        <w:r>
          <w:rPr>
            <w:webHidden/>
          </w:rPr>
          <w:tab/>
        </w:r>
        <w:r>
          <w:rPr>
            <w:webHidden/>
          </w:rPr>
          <w:fldChar w:fldCharType="begin"/>
        </w:r>
        <w:r>
          <w:rPr>
            <w:webHidden/>
          </w:rPr>
          <w:instrText xml:space="preserve"> PAGEREF _Toc233038927 \h </w:instrText>
        </w:r>
        <w:r>
          <w:rPr>
            <w:webHidden/>
          </w:rPr>
        </w:r>
        <w:r>
          <w:rPr>
            <w:webHidden/>
          </w:rPr>
          <w:fldChar w:fldCharType="separate"/>
        </w:r>
        <w:r>
          <w:rPr>
            <w:webHidden/>
          </w:rPr>
          <w:t>7</w:t>
        </w:r>
        <w:r>
          <w:rPr>
            <w:webHidden/>
          </w:rPr>
          <w:fldChar w:fldCharType="end"/>
        </w:r>
      </w:hyperlink>
    </w:p>
    <w:p w14:paraId="765691F3" w14:textId="5A01334B" w:rsidR="00602535" w:rsidRDefault="00602535">
      <w:pPr>
        <w:pStyle w:val="TOC2"/>
        <w:rPr>
          <w:rFonts w:asciiTheme="minorHAnsi" w:eastAsiaTheme="minorEastAsia" w:hAnsiTheme="minorHAnsi"/>
          <w:b w:val="0"/>
          <w:color w:val="auto"/>
          <w:sz w:val="24"/>
          <w:szCs w:val="24"/>
          <w:lang w:eastAsia="en-AU"/>
        </w:rPr>
      </w:pPr>
      <w:hyperlink w:anchor="_Toc233038928" w:history="1">
        <w:r w:rsidRPr="00203F7D">
          <w:rPr>
            <w:rStyle w:val="Hyperlink"/>
          </w:rPr>
          <w:t>2.1</w:t>
        </w:r>
        <w:r>
          <w:rPr>
            <w:rFonts w:asciiTheme="minorHAnsi" w:eastAsiaTheme="minorEastAsia" w:hAnsiTheme="minorHAnsi"/>
            <w:b w:val="0"/>
            <w:color w:val="auto"/>
            <w:sz w:val="24"/>
            <w:szCs w:val="24"/>
            <w:lang w:eastAsia="en-AU"/>
          </w:rPr>
          <w:tab/>
        </w:r>
        <w:r w:rsidRPr="00203F7D">
          <w:rPr>
            <w:rStyle w:val="Hyperlink"/>
          </w:rPr>
          <w:t>Active constituent</w:t>
        </w:r>
        <w:r>
          <w:rPr>
            <w:webHidden/>
          </w:rPr>
          <w:tab/>
        </w:r>
        <w:r>
          <w:rPr>
            <w:webHidden/>
          </w:rPr>
          <w:fldChar w:fldCharType="begin"/>
        </w:r>
        <w:r>
          <w:rPr>
            <w:webHidden/>
          </w:rPr>
          <w:instrText xml:space="preserve"> PAGEREF _Toc233038928 \h </w:instrText>
        </w:r>
        <w:r>
          <w:rPr>
            <w:webHidden/>
          </w:rPr>
        </w:r>
        <w:r>
          <w:rPr>
            <w:webHidden/>
          </w:rPr>
          <w:fldChar w:fldCharType="separate"/>
        </w:r>
        <w:r>
          <w:rPr>
            <w:webHidden/>
          </w:rPr>
          <w:t>7</w:t>
        </w:r>
        <w:r>
          <w:rPr>
            <w:webHidden/>
          </w:rPr>
          <w:fldChar w:fldCharType="end"/>
        </w:r>
      </w:hyperlink>
    </w:p>
    <w:p w14:paraId="722A1EE5" w14:textId="21CC986A" w:rsidR="00602535" w:rsidRDefault="00602535">
      <w:pPr>
        <w:pStyle w:val="TOC3"/>
        <w:tabs>
          <w:tab w:val="left" w:pos="1200"/>
        </w:tabs>
        <w:rPr>
          <w:rFonts w:asciiTheme="minorHAnsi" w:eastAsiaTheme="minorEastAsia" w:hAnsiTheme="minorHAnsi"/>
          <w:sz w:val="24"/>
          <w:szCs w:val="24"/>
          <w:lang w:eastAsia="en-AU"/>
        </w:rPr>
      </w:pPr>
      <w:hyperlink w:anchor="_Toc233038929" w:history="1">
        <w:r w:rsidRPr="00203F7D">
          <w:rPr>
            <w:rStyle w:val="Hyperlink"/>
          </w:rPr>
          <w:t>2.1.1</w:t>
        </w:r>
        <w:r>
          <w:rPr>
            <w:rFonts w:asciiTheme="minorHAnsi" w:eastAsiaTheme="minorEastAsia" w:hAnsiTheme="minorHAnsi"/>
            <w:sz w:val="24"/>
            <w:szCs w:val="24"/>
            <w:lang w:eastAsia="en-AU"/>
          </w:rPr>
          <w:tab/>
        </w:r>
        <w:r w:rsidRPr="00203F7D">
          <w:rPr>
            <w:rStyle w:val="Hyperlink"/>
          </w:rPr>
          <w:t>Active constituent standards</w:t>
        </w:r>
        <w:r>
          <w:rPr>
            <w:webHidden/>
          </w:rPr>
          <w:tab/>
        </w:r>
        <w:r>
          <w:rPr>
            <w:webHidden/>
          </w:rPr>
          <w:fldChar w:fldCharType="begin"/>
        </w:r>
        <w:r>
          <w:rPr>
            <w:webHidden/>
          </w:rPr>
          <w:instrText xml:space="preserve"> PAGEREF _Toc233038929 \h </w:instrText>
        </w:r>
        <w:r>
          <w:rPr>
            <w:webHidden/>
          </w:rPr>
        </w:r>
        <w:r>
          <w:rPr>
            <w:webHidden/>
          </w:rPr>
          <w:fldChar w:fldCharType="separate"/>
        </w:r>
        <w:r>
          <w:rPr>
            <w:webHidden/>
          </w:rPr>
          <w:t>8</w:t>
        </w:r>
        <w:r>
          <w:rPr>
            <w:webHidden/>
          </w:rPr>
          <w:fldChar w:fldCharType="end"/>
        </w:r>
      </w:hyperlink>
    </w:p>
    <w:p w14:paraId="54F02EB3" w14:textId="3442A38B" w:rsidR="00602535" w:rsidRDefault="00602535">
      <w:pPr>
        <w:pStyle w:val="TOC3"/>
        <w:tabs>
          <w:tab w:val="left" w:pos="1200"/>
        </w:tabs>
        <w:rPr>
          <w:rFonts w:asciiTheme="minorHAnsi" w:eastAsiaTheme="minorEastAsia" w:hAnsiTheme="minorHAnsi"/>
          <w:sz w:val="24"/>
          <w:szCs w:val="24"/>
          <w:lang w:eastAsia="en-AU"/>
        </w:rPr>
      </w:pPr>
      <w:hyperlink w:anchor="_Toc233038930" w:history="1">
        <w:r w:rsidRPr="00203F7D">
          <w:rPr>
            <w:rStyle w:val="Hyperlink"/>
          </w:rPr>
          <w:t>2.1.2</w:t>
        </w:r>
        <w:r>
          <w:rPr>
            <w:rFonts w:asciiTheme="minorHAnsi" w:eastAsiaTheme="minorEastAsia" w:hAnsiTheme="minorHAnsi"/>
            <w:sz w:val="24"/>
            <w:szCs w:val="24"/>
            <w:lang w:eastAsia="en-AU"/>
          </w:rPr>
          <w:tab/>
        </w:r>
        <w:r w:rsidRPr="00203F7D">
          <w:rPr>
            <w:rStyle w:val="Hyperlink"/>
          </w:rPr>
          <w:t>Statutory considerations under the safety criteria – active constituents</w:t>
        </w:r>
        <w:r>
          <w:rPr>
            <w:webHidden/>
          </w:rPr>
          <w:tab/>
        </w:r>
        <w:r>
          <w:rPr>
            <w:webHidden/>
          </w:rPr>
          <w:fldChar w:fldCharType="begin"/>
        </w:r>
        <w:r>
          <w:rPr>
            <w:webHidden/>
          </w:rPr>
          <w:instrText xml:space="preserve"> PAGEREF _Toc233038930 \h </w:instrText>
        </w:r>
        <w:r>
          <w:rPr>
            <w:webHidden/>
          </w:rPr>
        </w:r>
        <w:r>
          <w:rPr>
            <w:webHidden/>
          </w:rPr>
          <w:fldChar w:fldCharType="separate"/>
        </w:r>
        <w:r>
          <w:rPr>
            <w:webHidden/>
          </w:rPr>
          <w:t>9</w:t>
        </w:r>
        <w:r>
          <w:rPr>
            <w:webHidden/>
          </w:rPr>
          <w:fldChar w:fldCharType="end"/>
        </w:r>
      </w:hyperlink>
    </w:p>
    <w:p w14:paraId="1D3C7E71" w14:textId="4B2C846F" w:rsidR="00602535" w:rsidRDefault="00602535">
      <w:pPr>
        <w:pStyle w:val="TOC2"/>
        <w:rPr>
          <w:rFonts w:asciiTheme="minorHAnsi" w:eastAsiaTheme="minorEastAsia" w:hAnsiTheme="minorHAnsi"/>
          <w:b w:val="0"/>
          <w:color w:val="auto"/>
          <w:sz w:val="24"/>
          <w:szCs w:val="24"/>
          <w:lang w:eastAsia="en-AU"/>
        </w:rPr>
      </w:pPr>
      <w:hyperlink w:anchor="_Toc233038931" w:history="1">
        <w:r w:rsidRPr="00203F7D">
          <w:rPr>
            <w:rStyle w:val="Hyperlink"/>
          </w:rPr>
          <w:t>2.2</w:t>
        </w:r>
        <w:r>
          <w:rPr>
            <w:rFonts w:asciiTheme="minorHAnsi" w:eastAsiaTheme="minorEastAsia" w:hAnsiTheme="minorHAnsi"/>
            <w:b w:val="0"/>
            <w:color w:val="auto"/>
            <w:sz w:val="24"/>
            <w:szCs w:val="24"/>
            <w:lang w:eastAsia="en-AU"/>
          </w:rPr>
          <w:tab/>
        </w:r>
        <w:r w:rsidRPr="00203F7D">
          <w:rPr>
            <w:rStyle w:val="Hyperlink"/>
          </w:rPr>
          <w:t>Formulated products</w:t>
        </w:r>
        <w:r>
          <w:rPr>
            <w:webHidden/>
          </w:rPr>
          <w:tab/>
        </w:r>
        <w:r>
          <w:rPr>
            <w:webHidden/>
          </w:rPr>
          <w:fldChar w:fldCharType="begin"/>
        </w:r>
        <w:r>
          <w:rPr>
            <w:webHidden/>
          </w:rPr>
          <w:instrText xml:space="preserve"> PAGEREF _Toc233038931 \h </w:instrText>
        </w:r>
        <w:r>
          <w:rPr>
            <w:webHidden/>
          </w:rPr>
        </w:r>
        <w:r>
          <w:rPr>
            <w:webHidden/>
          </w:rPr>
          <w:fldChar w:fldCharType="separate"/>
        </w:r>
        <w:r>
          <w:rPr>
            <w:webHidden/>
          </w:rPr>
          <w:t>11</w:t>
        </w:r>
        <w:r>
          <w:rPr>
            <w:webHidden/>
          </w:rPr>
          <w:fldChar w:fldCharType="end"/>
        </w:r>
      </w:hyperlink>
    </w:p>
    <w:p w14:paraId="34CB80BB" w14:textId="3692B62B" w:rsidR="00602535" w:rsidRDefault="00602535">
      <w:pPr>
        <w:pStyle w:val="TOC3"/>
        <w:tabs>
          <w:tab w:val="left" w:pos="1200"/>
        </w:tabs>
        <w:rPr>
          <w:rFonts w:asciiTheme="minorHAnsi" w:eastAsiaTheme="minorEastAsia" w:hAnsiTheme="minorHAnsi"/>
          <w:sz w:val="24"/>
          <w:szCs w:val="24"/>
          <w:lang w:eastAsia="en-AU"/>
        </w:rPr>
      </w:pPr>
      <w:hyperlink w:anchor="_Toc233038932" w:history="1">
        <w:r w:rsidRPr="00203F7D">
          <w:rPr>
            <w:rStyle w:val="Hyperlink"/>
          </w:rPr>
          <w:t>2.2.1</w:t>
        </w:r>
        <w:r>
          <w:rPr>
            <w:rFonts w:asciiTheme="minorHAnsi" w:eastAsiaTheme="minorEastAsia" w:hAnsiTheme="minorHAnsi"/>
            <w:sz w:val="24"/>
            <w:szCs w:val="24"/>
            <w:lang w:eastAsia="en-AU"/>
          </w:rPr>
          <w:tab/>
        </w:r>
        <w:r w:rsidRPr="00203F7D">
          <w:rPr>
            <w:rStyle w:val="Hyperlink"/>
          </w:rPr>
          <w:t>Statutory considerations under the safety criteria – formulated products</w:t>
        </w:r>
        <w:r>
          <w:rPr>
            <w:webHidden/>
          </w:rPr>
          <w:tab/>
        </w:r>
        <w:r>
          <w:rPr>
            <w:webHidden/>
          </w:rPr>
          <w:fldChar w:fldCharType="begin"/>
        </w:r>
        <w:r>
          <w:rPr>
            <w:webHidden/>
          </w:rPr>
          <w:instrText xml:space="preserve"> PAGEREF _Toc233038932 \h </w:instrText>
        </w:r>
        <w:r>
          <w:rPr>
            <w:webHidden/>
          </w:rPr>
        </w:r>
        <w:r>
          <w:rPr>
            <w:webHidden/>
          </w:rPr>
          <w:fldChar w:fldCharType="separate"/>
        </w:r>
        <w:r>
          <w:rPr>
            <w:webHidden/>
          </w:rPr>
          <w:t>11</w:t>
        </w:r>
        <w:r>
          <w:rPr>
            <w:webHidden/>
          </w:rPr>
          <w:fldChar w:fldCharType="end"/>
        </w:r>
      </w:hyperlink>
    </w:p>
    <w:p w14:paraId="7E164AF0" w14:textId="424A601C" w:rsidR="00602535" w:rsidRDefault="00602535">
      <w:pPr>
        <w:pStyle w:val="TOC2"/>
        <w:rPr>
          <w:rFonts w:asciiTheme="minorHAnsi" w:eastAsiaTheme="minorEastAsia" w:hAnsiTheme="minorHAnsi"/>
          <w:b w:val="0"/>
          <w:color w:val="auto"/>
          <w:sz w:val="24"/>
          <w:szCs w:val="24"/>
          <w:lang w:eastAsia="en-AU"/>
        </w:rPr>
      </w:pPr>
      <w:hyperlink w:anchor="_Toc233038933" w:history="1">
        <w:r w:rsidRPr="00203F7D">
          <w:rPr>
            <w:rStyle w:val="Hyperlink"/>
          </w:rPr>
          <w:t>2.3</w:t>
        </w:r>
        <w:r>
          <w:rPr>
            <w:rFonts w:asciiTheme="minorHAnsi" w:eastAsiaTheme="minorEastAsia" w:hAnsiTheme="minorHAnsi"/>
            <w:b w:val="0"/>
            <w:color w:val="auto"/>
            <w:sz w:val="24"/>
            <w:szCs w:val="24"/>
            <w:lang w:eastAsia="en-AU"/>
          </w:rPr>
          <w:tab/>
        </w:r>
        <w:r w:rsidRPr="00203F7D">
          <w:rPr>
            <w:rStyle w:val="Hyperlink"/>
          </w:rPr>
          <w:t>Recommendations</w:t>
        </w:r>
        <w:r>
          <w:rPr>
            <w:webHidden/>
          </w:rPr>
          <w:tab/>
        </w:r>
        <w:r>
          <w:rPr>
            <w:webHidden/>
          </w:rPr>
          <w:fldChar w:fldCharType="begin"/>
        </w:r>
        <w:r>
          <w:rPr>
            <w:webHidden/>
          </w:rPr>
          <w:instrText xml:space="preserve"> PAGEREF _Toc233038933 \h </w:instrText>
        </w:r>
        <w:r>
          <w:rPr>
            <w:webHidden/>
          </w:rPr>
        </w:r>
        <w:r>
          <w:rPr>
            <w:webHidden/>
          </w:rPr>
          <w:fldChar w:fldCharType="separate"/>
        </w:r>
        <w:r>
          <w:rPr>
            <w:webHidden/>
          </w:rPr>
          <w:t>15</w:t>
        </w:r>
        <w:r>
          <w:rPr>
            <w:webHidden/>
          </w:rPr>
          <w:fldChar w:fldCharType="end"/>
        </w:r>
      </w:hyperlink>
    </w:p>
    <w:p w14:paraId="3845E48E" w14:textId="0A49A36D"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8934" w:history="1">
        <w:r w:rsidRPr="00203F7D">
          <w:rPr>
            <w:rStyle w:val="Hyperlink"/>
          </w:rPr>
          <w:t>3</w:t>
        </w:r>
        <w:r>
          <w:rPr>
            <w:rFonts w:asciiTheme="minorHAnsi" w:eastAsiaTheme="minorEastAsia" w:hAnsiTheme="minorHAnsi" w:cstheme="minorBidi"/>
            <w:bCs w:val="0"/>
            <w:color w:val="auto"/>
            <w:kern w:val="2"/>
            <w:sz w:val="24"/>
            <w:szCs w:val="24"/>
            <w:lang w:eastAsia="en-AU"/>
          </w:rPr>
          <w:tab/>
        </w:r>
        <w:r w:rsidRPr="00203F7D">
          <w:rPr>
            <w:rStyle w:val="Hyperlink"/>
          </w:rPr>
          <w:t>Toxicology</w:t>
        </w:r>
        <w:r>
          <w:rPr>
            <w:webHidden/>
          </w:rPr>
          <w:tab/>
        </w:r>
        <w:r>
          <w:rPr>
            <w:webHidden/>
          </w:rPr>
          <w:fldChar w:fldCharType="begin"/>
        </w:r>
        <w:r>
          <w:rPr>
            <w:webHidden/>
          </w:rPr>
          <w:instrText xml:space="preserve"> PAGEREF _Toc233038934 \h </w:instrText>
        </w:r>
        <w:r>
          <w:rPr>
            <w:webHidden/>
          </w:rPr>
        </w:r>
        <w:r>
          <w:rPr>
            <w:webHidden/>
          </w:rPr>
          <w:fldChar w:fldCharType="separate"/>
        </w:r>
        <w:r>
          <w:rPr>
            <w:webHidden/>
          </w:rPr>
          <w:t>16</w:t>
        </w:r>
        <w:r>
          <w:rPr>
            <w:webHidden/>
          </w:rPr>
          <w:fldChar w:fldCharType="end"/>
        </w:r>
      </w:hyperlink>
    </w:p>
    <w:p w14:paraId="6C5DEFBA" w14:textId="50D23951" w:rsidR="00602535" w:rsidRDefault="00602535">
      <w:pPr>
        <w:pStyle w:val="TOC2"/>
        <w:rPr>
          <w:rFonts w:asciiTheme="minorHAnsi" w:eastAsiaTheme="minorEastAsia" w:hAnsiTheme="minorHAnsi"/>
          <w:b w:val="0"/>
          <w:color w:val="auto"/>
          <w:sz w:val="24"/>
          <w:szCs w:val="24"/>
          <w:lang w:eastAsia="en-AU"/>
        </w:rPr>
      </w:pPr>
      <w:hyperlink w:anchor="_Toc233038935" w:history="1">
        <w:r w:rsidRPr="00203F7D">
          <w:rPr>
            <w:rStyle w:val="Hyperlink"/>
          </w:rPr>
          <w:t>3.1</w:t>
        </w:r>
        <w:r>
          <w:rPr>
            <w:rFonts w:asciiTheme="minorHAnsi" w:eastAsiaTheme="minorEastAsia" w:hAnsiTheme="minorHAnsi"/>
            <w:b w:val="0"/>
            <w:color w:val="auto"/>
            <w:sz w:val="24"/>
            <w:szCs w:val="24"/>
            <w:lang w:eastAsia="en-AU"/>
          </w:rPr>
          <w:tab/>
        </w:r>
        <w:r w:rsidRPr="00203F7D">
          <w:rPr>
            <w:rStyle w:val="Hyperlink"/>
          </w:rPr>
          <w:t>Evaluation of toxicology</w:t>
        </w:r>
        <w:r>
          <w:rPr>
            <w:webHidden/>
          </w:rPr>
          <w:tab/>
        </w:r>
        <w:r>
          <w:rPr>
            <w:webHidden/>
          </w:rPr>
          <w:fldChar w:fldCharType="begin"/>
        </w:r>
        <w:r>
          <w:rPr>
            <w:webHidden/>
          </w:rPr>
          <w:instrText xml:space="preserve"> PAGEREF _Toc233038935 \h </w:instrText>
        </w:r>
        <w:r>
          <w:rPr>
            <w:webHidden/>
          </w:rPr>
        </w:r>
        <w:r>
          <w:rPr>
            <w:webHidden/>
          </w:rPr>
          <w:fldChar w:fldCharType="separate"/>
        </w:r>
        <w:r>
          <w:rPr>
            <w:webHidden/>
          </w:rPr>
          <w:t>16</w:t>
        </w:r>
        <w:r>
          <w:rPr>
            <w:webHidden/>
          </w:rPr>
          <w:fldChar w:fldCharType="end"/>
        </w:r>
      </w:hyperlink>
    </w:p>
    <w:p w14:paraId="6AC2B219" w14:textId="5A359CDB" w:rsidR="00602535" w:rsidRDefault="00602535">
      <w:pPr>
        <w:pStyle w:val="TOC3"/>
        <w:tabs>
          <w:tab w:val="left" w:pos="1200"/>
        </w:tabs>
        <w:rPr>
          <w:rFonts w:asciiTheme="minorHAnsi" w:eastAsiaTheme="minorEastAsia" w:hAnsiTheme="minorHAnsi"/>
          <w:sz w:val="24"/>
          <w:szCs w:val="24"/>
          <w:lang w:eastAsia="en-AU"/>
        </w:rPr>
      </w:pPr>
      <w:hyperlink w:anchor="_Toc233038936" w:history="1">
        <w:r w:rsidRPr="00203F7D">
          <w:rPr>
            <w:rStyle w:val="Hyperlink"/>
          </w:rPr>
          <w:t>3.1.1</w:t>
        </w:r>
        <w:r>
          <w:rPr>
            <w:rFonts w:asciiTheme="minorHAnsi" w:eastAsiaTheme="minorEastAsia" w:hAnsiTheme="minorHAnsi"/>
            <w:sz w:val="24"/>
            <w:szCs w:val="24"/>
            <w:lang w:eastAsia="en-AU"/>
          </w:rPr>
          <w:tab/>
        </w:r>
        <w:r w:rsidRPr="00203F7D">
          <w:rPr>
            <w:rStyle w:val="Hyperlink"/>
          </w:rPr>
          <w:t>Biochemical aspects</w:t>
        </w:r>
        <w:r>
          <w:rPr>
            <w:webHidden/>
          </w:rPr>
          <w:tab/>
        </w:r>
        <w:r>
          <w:rPr>
            <w:webHidden/>
          </w:rPr>
          <w:fldChar w:fldCharType="begin"/>
        </w:r>
        <w:r>
          <w:rPr>
            <w:webHidden/>
          </w:rPr>
          <w:instrText xml:space="preserve"> PAGEREF _Toc233038936 \h </w:instrText>
        </w:r>
        <w:r>
          <w:rPr>
            <w:webHidden/>
          </w:rPr>
        </w:r>
        <w:r>
          <w:rPr>
            <w:webHidden/>
          </w:rPr>
          <w:fldChar w:fldCharType="separate"/>
        </w:r>
        <w:r>
          <w:rPr>
            <w:webHidden/>
          </w:rPr>
          <w:t>16</w:t>
        </w:r>
        <w:r>
          <w:rPr>
            <w:webHidden/>
          </w:rPr>
          <w:fldChar w:fldCharType="end"/>
        </w:r>
      </w:hyperlink>
    </w:p>
    <w:p w14:paraId="4A3748EA" w14:textId="0EE86F43" w:rsidR="00602535" w:rsidRDefault="00602535">
      <w:pPr>
        <w:pStyle w:val="TOC3"/>
        <w:tabs>
          <w:tab w:val="left" w:pos="1200"/>
        </w:tabs>
        <w:rPr>
          <w:rFonts w:asciiTheme="minorHAnsi" w:eastAsiaTheme="minorEastAsia" w:hAnsiTheme="minorHAnsi"/>
          <w:sz w:val="24"/>
          <w:szCs w:val="24"/>
          <w:lang w:eastAsia="en-AU"/>
        </w:rPr>
      </w:pPr>
      <w:hyperlink w:anchor="_Toc233038937" w:history="1">
        <w:r w:rsidRPr="00203F7D">
          <w:rPr>
            <w:rStyle w:val="Hyperlink"/>
          </w:rPr>
          <w:t>3.1.2</w:t>
        </w:r>
        <w:r>
          <w:rPr>
            <w:rFonts w:asciiTheme="minorHAnsi" w:eastAsiaTheme="minorEastAsia" w:hAnsiTheme="minorHAnsi"/>
            <w:sz w:val="24"/>
            <w:szCs w:val="24"/>
            <w:lang w:eastAsia="en-AU"/>
          </w:rPr>
          <w:tab/>
        </w:r>
        <w:r w:rsidRPr="00203F7D">
          <w:rPr>
            <w:rStyle w:val="Hyperlink"/>
          </w:rPr>
          <w:t>Major toxicological mode(s) of action and key events</w:t>
        </w:r>
        <w:r>
          <w:rPr>
            <w:webHidden/>
          </w:rPr>
          <w:tab/>
        </w:r>
        <w:r>
          <w:rPr>
            <w:webHidden/>
          </w:rPr>
          <w:fldChar w:fldCharType="begin"/>
        </w:r>
        <w:r>
          <w:rPr>
            <w:webHidden/>
          </w:rPr>
          <w:instrText xml:space="preserve"> PAGEREF _Toc233038937 \h </w:instrText>
        </w:r>
        <w:r>
          <w:rPr>
            <w:webHidden/>
          </w:rPr>
        </w:r>
        <w:r>
          <w:rPr>
            <w:webHidden/>
          </w:rPr>
          <w:fldChar w:fldCharType="separate"/>
        </w:r>
        <w:r>
          <w:rPr>
            <w:webHidden/>
          </w:rPr>
          <w:t>16</w:t>
        </w:r>
        <w:r>
          <w:rPr>
            <w:webHidden/>
          </w:rPr>
          <w:fldChar w:fldCharType="end"/>
        </w:r>
      </w:hyperlink>
    </w:p>
    <w:p w14:paraId="45F51F0F" w14:textId="757B4ABA" w:rsidR="00602535" w:rsidRDefault="00602535">
      <w:pPr>
        <w:pStyle w:val="TOC3"/>
        <w:tabs>
          <w:tab w:val="left" w:pos="1200"/>
        </w:tabs>
        <w:rPr>
          <w:rFonts w:asciiTheme="minorHAnsi" w:eastAsiaTheme="minorEastAsia" w:hAnsiTheme="minorHAnsi"/>
          <w:sz w:val="24"/>
          <w:szCs w:val="24"/>
          <w:lang w:eastAsia="en-AU"/>
        </w:rPr>
      </w:pPr>
      <w:hyperlink w:anchor="_Toc233038938" w:history="1">
        <w:r w:rsidRPr="00203F7D">
          <w:rPr>
            <w:rStyle w:val="Hyperlink"/>
          </w:rPr>
          <w:t>3.1.3</w:t>
        </w:r>
        <w:r>
          <w:rPr>
            <w:rFonts w:asciiTheme="minorHAnsi" w:eastAsiaTheme="minorEastAsia" w:hAnsiTheme="minorHAnsi"/>
            <w:sz w:val="24"/>
            <w:szCs w:val="24"/>
            <w:lang w:eastAsia="en-AU"/>
          </w:rPr>
          <w:tab/>
        </w:r>
        <w:r w:rsidRPr="00203F7D">
          <w:rPr>
            <w:rStyle w:val="Hyperlink"/>
          </w:rPr>
          <w:t>Acute toxicity in animals</w:t>
        </w:r>
        <w:r>
          <w:rPr>
            <w:webHidden/>
          </w:rPr>
          <w:tab/>
        </w:r>
        <w:r>
          <w:rPr>
            <w:webHidden/>
          </w:rPr>
          <w:fldChar w:fldCharType="begin"/>
        </w:r>
        <w:r>
          <w:rPr>
            <w:webHidden/>
          </w:rPr>
          <w:instrText xml:space="preserve"> PAGEREF _Toc233038938 \h </w:instrText>
        </w:r>
        <w:r>
          <w:rPr>
            <w:webHidden/>
          </w:rPr>
        </w:r>
        <w:r>
          <w:rPr>
            <w:webHidden/>
          </w:rPr>
          <w:fldChar w:fldCharType="separate"/>
        </w:r>
        <w:r>
          <w:rPr>
            <w:webHidden/>
          </w:rPr>
          <w:t>16</w:t>
        </w:r>
        <w:r>
          <w:rPr>
            <w:webHidden/>
          </w:rPr>
          <w:fldChar w:fldCharType="end"/>
        </w:r>
      </w:hyperlink>
    </w:p>
    <w:p w14:paraId="67B56B6C" w14:textId="03CBD7D6" w:rsidR="00602535" w:rsidRDefault="00602535">
      <w:pPr>
        <w:pStyle w:val="TOC3"/>
        <w:tabs>
          <w:tab w:val="left" w:pos="1200"/>
        </w:tabs>
        <w:rPr>
          <w:rFonts w:asciiTheme="minorHAnsi" w:eastAsiaTheme="minorEastAsia" w:hAnsiTheme="minorHAnsi"/>
          <w:sz w:val="24"/>
          <w:szCs w:val="24"/>
          <w:lang w:eastAsia="en-AU"/>
        </w:rPr>
      </w:pPr>
      <w:hyperlink w:anchor="_Toc233038939" w:history="1">
        <w:r w:rsidRPr="00203F7D">
          <w:rPr>
            <w:rStyle w:val="Hyperlink"/>
          </w:rPr>
          <w:t>3.1.4</w:t>
        </w:r>
        <w:r>
          <w:rPr>
            <w:rFonts w:asciiTheme="minorHAnsi" w:eastAsiaTheme="minorEastAsia" w:hAnsiTheme="minorHAnsi"/>
            <w:sz w:val="24"/>
            <w:szCs w:val="24"/>
            <w:lang w:eastAsia="en-AU"/>
          </w:rPr>
          <w:tab/>
        </w:r>
        <w:r w:rsidRPr="00203F7D">
          <w:rPr>
            <w:rStyle w:val="Hyperlink"/>
          </w:rPr>
          <w:t>Acute toxicity in humans</w:t>
        </w:r>
        <w:r>
          <w:rPr>
            <w:webHidden/>
          </w:rPr>
          <w:tab/>
        </w:r>
        <w:r>
          <w:rPr>
            <w:webHidden/>
          </w:rPr>
          <w:fldChar w:fldCharType="begin"/>
        </w:r>
        <w:r>
          <w:rPr>
            <w:webHidden/>
          </w:rPr>
          <w:instrText xml:space="preserve"> PAGEREF _Toc233038939 \h </w:instrText>
        </w:r>
        <w:r>
          <w:rPr>
            <w:webHidden/>
          </w:rPr>
        </w:r>
        <w:r>
          <w:rPr>
            <w:webHidden/>
          </w:rPr>
          <w:fldChar w:fldCharType="separate"/>
        </w:r>
        <w:r>
          <w:rPr>
            <w:webHidden/>
          </w:rPr>
          <w:t>17</w:t>
        </w:r>
        <w:r>
          <w:rPr>
            <w:webHidden/>
          </w:rPr>
          <w:fldChar w:fldCharType="end"/>
        </w:r>
      </w:hyperlink>
    </w:p>
    <w:p w14:paraId="35E6FA6F" w14:textId="004102D3" w:rsidR="00602535" w:rsidRDefault="00602535">
      <w:pPr>
        <w:pStyle w:val="TOC3"/>
        <w:tabs>
          <w:tab w:val="left" w:pos="1200"/>
        </w:tabs>
        <w:rPr>
          <w:rFonts w:asciiTheme="minorHAnsi" w:eastAsiaTheme="minorEastAsia" w:hAnsiTheme="minorHAnsi"/>
          <w:sz w:val="24"/>
          <w:szCs w:val="24"/>
          <w:lang w:eastAsia="en-AU"/>
        </w:rPr>
      </w:pPr>
      <w:hyperlink w:anchor="_Toc233038940" w:history="1">
        <w:r w:rsidRPr="00203F7D">
          <w:rPr>
            <w:rStyle w:val="Hyperlink"/>
          </w:rPr>
          <w:t>3.1.5</w:t>
        </w:r>
        <w:r>
          <w:rPr>
            <w:rFonts w:asciiTheme="minorHAnsi" w:eastAsiaTheme="minorEastAsia" w:hAnsiTheme="minorHAnsi"/>
            <w:sz w:val="24"/>
            <w:szCs w:val="24"/>
            <w:lang w:eastAsia="en-AU"/>
          </w:rPr>
          <w:tab/>
        </w:r>
        <w:r w:rsidRPr="00203F7D">
          <w:rPr>
            <w:rStyle w:val="Hyperlink"/>
          </w:rPr>
          <w:t>Repeat dose toxicity</w:t>
        </w:r>
        <w:r>
          <w:rPr>
            <w:webHidden/>
          </w:rPr>
          <w:tab/>
        </w:r>
        <w:r>
          <w:rPr>
            <w:webHidden/>
          </w:rPr>
          <w:fldChar w:fldCharType="begin"/>
        </w:r>
        <w:r>
          <w:rPr>
            <w:webHidden/>
          </w:rPr>
          <w:instrText xml:space="preserve"> PAGEREF _Toc233038940 \h </w:instrText>
        </w:r>
        <w:r>
          <w:rPr>
            <w:webHidden/>
          </w:rPr>
        </w:r>
        <w:r>
          <w:rPr>
            <w:webHidden/>
          </w:rPr>
          <w:fldChar w:fldCharType="separate"/>
        </w:r>
        <w:r>
          <w:rPr>
            <w:webHidden/>
          </w:rPr>
          <w:t>17</w:t>
        </w:r>
        <w:r>
          <w:rPr>
            <w:webHidden/>
          </w:rPr>
          <w:fldChar w:fldCharType="end"/>
        </w:r>
      </w:hyperlink>
    </w:p>
    <w:p w14:paraId="792232E3" w14:textId="3BB1589F" w:rsidR="00602535" w:rsidRDefault="00602535">
      <w:pPr>
        <w:pStyle w:val="TOC3"/>
        <w:tabs>
          <w:tab w:val="left" w:pos="1200"/>
        </w:tabs>
        <w:rPr>
          <w:rFonts w:asciiTheme="minorHAnsi" w:eastAsiaTheme="minorEastAsia" w:hAnsiTheme="minorHAnsi"/>
          <w:sz w:val="24"/>
          <w:szCs w:val="24"/>
          <w:lang w:eastAsia="en-AU"/>
        </w:rPr>
      </w:pPr>
      <w:hyperlink w:anchor="_Toc233038941" w:history="1">
        <w:r w:rsidRPr="00203F7D">
          <w:rPr>
            <w:rStyle w:val="Hyperlink"/>
          </w:rPr>
          <w:t>3.1.6</w:t>
        </w:r>
        <w:r>
          <w:rPr>
            <w:rFonts w:asciiTheme="minorHAnsi" w:eastAsiaTheme="minorEastAsia" w:hAnsiTheme="minorHAnsi"/>
            <w:sz w:val="24"/>
            <w:szCs w:val="24"/>
            <w:lang w:eastAsia="en-AU"/>
          </w:rPr>
          <w:tab/>
        </w:r>
        <w:r w:rsidRPr="00203F7D">
          <w:rPr>
            <w:rStyle w:val="Hyperlink"/>
          </w:rPr>
          <w:t>Genotoxicity</w:t>
        </w:r>
        <w:r>
          <w:rPr>
            <w:webHidden/>
          </w:rPr>
          <w:tab/>
        </w:r>
        <w:r>
          <w:rPr>
            <w:webHidden/>
          </w:rPr>
          <w:fldChar w:fldCharType="begin"/>
        </w:r>
        <w:r>
          <w:rPr>
            <w:webHidden/>
          </w:rPr>
          <w:instrText xml:space="preserve"> PAGEREF _Toc233038941 \h </w:instrText>
        </w:r>
        <w:r>
          <w:rPr>
            <w:webHidden/>
          </w:rPr>
        </w:r>
        <w:r>
          <w:rPr>
            <w:webHidden/>
          </w:rPr>
          <w:fldChar w:fldCharType="separate"/>
        </w:r>
        <w:r>
          <w:rPr>
            <w:webHidden/>
          </w:rPr>
          <w:t>18</w:t>
        </w:r>
        <w:r>
          <w:rPr>
            <w:webHidden/>
          </w:rPr>
          <w:fldChar w:fldCharType="end"/>
        </w:r>
      </w:hyperlink>
    </w:p>
    <w:p w14:paraId="30072201" w14:textId="5DE7B047" w:rsidR="00602535" w:rsidRDefault="00602535">
      <w:pPr>
        <w:pStyle w:val="TOC3"/>
        <w:tabs>
          <w:tab w:val="left" w:pos="1200"/>
        </w:tabs>
        <w:rPr>
          <w:rFonts w:asciiTheme="minorHAnsi" w:eastAsiaTheme="minorEastAsia" w:hAnsiTheme="minorHAnsi"/>
          <w:sz w:val="24"/>
          <w:szCs w:val="24"/>
          <w:lang w:eastAsia="en-AU"/>
        </w:rPr>
      </w:pPr>
      <w:hyperlink w:anchor="_Toc233038942" w:history="1">
        <w:r w:rsidRPr="00203F7D">
          <w:rPr>
            <w:rStyle w:val="Hyperlink"/>
          </w:rPr>
          <w:t>3.1.7</w:t>
        </w:r>
        <w:r>
          <w:rPr>
            <w:rFonts w:asciiTheme="minorHAnsi" w:eastAsiaTheme="minorEastAsia" w:hAnsiTheme="minorHAnsi"/>
            <w:sz w:val="24"/>
            <w:szCs w:val="24"/>
            <w:lang w:eastAsia="en-AU"/>
          </w:rPr>
          <w:tab/>
        </w:r>
        <w:r w:rsidRPr="00203F7D">
          <w:rPr>
            <w:rStyle w:val="Hyperlink"/>
          </w:rPr>
          <w:t>Carcinogenicity</w:t>
        </w:r>
        <w:r>
          <w:rPr>
            <w:webHidden/>
          </w:rPr>
          <w:tab/>
        </w:r>
        <w:r>
          <w:rPr>
            <w:webHidden/>
          </w:rPr>
          <w:fldChar w:fldCharType="begin"/>
        </w:r>
        <w:r>
          <w:rPr>
            <w:webHidden/>
          </w:rPr>
          <w:instrText xml:space="preserve"> PAGEREF _Toc233038942 \h </w:instrText>
        </w:r>
        <w:r>
          <w:rPr>
            <w:webHidden/>
          </w:rPr>
        </w:r>
        <w:r>
          <w:rPr>
            <w:webHidden/>
          </w:rPr>
          <w:fldChar w:fldCharType="separate"/>
        </w:r>
        <w:r>
          <w:rPr>
            <w:webHidden/>
          </w:rPr>
          <w:t>18</w:t>
        </w:r>
        <w:r>
          <w:rPr>
            <w:webHidden/>
          </w:rPr>
          <w:fldChar w:fldCharType="end"/>
        </w:r>
      </w:hyperlink>
    </w:p>
    <w:p w14:paraId="1CB05DCD" w14:textId="0B3F218C" w:rsidR="00602535" w:rsidRDefault="00602535">
      <w:pPr>
        <w:pStyle w:val="TOC3"/>
        <w:tabs>
          <w:tab w:val="left" w:pos="1200"/>
        </w:tabs>
        <w:rPr>
          <w:rFonts w:asciiTheme="minorHAnsi" w:eastAsiaTheme="minorEastAsia" w:hAnsiTheme="minorHAnsi"/>
          <w:sz w:val="24"/>
          <w:szCs w:val="24"/>
          <w:lang w:eastAsia="en-AU"/>
        </w:rPr>
      </w:pPr>
      <w:hyperlink w:anchor="_Toc233038943" w:history="1">
        <w:r w:rsidRPr="00203F7D">
          <w:rPr>
            <w:rStyle w:val="Hyperlink"/>
          </w:rPr>
          <w:t>3.1.8</w:t>
        </w:r>
        <w:r>
          <w:rPr>
            <w:rFonts w:asciiTheme="minorHAnsi" w:eastAsiaTheme="minorEastAsia" w:hAnsiTheme="minorHAnsi"/>
            <w:sz w:val="24"/>
            <w:szCs w:val="24"/>
            <w:lang w:eastAsia="en-AU"/>
          </w:rPr>
          <w:tab/>
        </w:r>
        <w:r w:rsidRPr="00203F7D">
          <w:rPr>
            <w:rStyle w:val="Hyperlink"/>
          </w:rPr>
          <w:t>Reproduction studies</w:t>
        </w:r>
        <w:r>
          <w:rPr>
            <w:webHidden/>
          </w:rPr>
          <w:tab/>
        </w:r>
        <w:r>
          <w:rPr>
            <w:webHidden/>
          </w:rPr>
          <w:fldChar w:fldCharType="begin"/>
        </w:r>
        <w:r>
          <w:rPr>
            <w:webHidden/>
          </w:rPr>
          <w:instrText xml:space="preserve"> PAGEREF _Toc233038943 \h </w:instrText>
        </w:r>
        <w:r>
          <w:rPr>
            <w:webHidden/>
          </w:rPr>
        </w:r>
        <w:r>
          <w:rPr>
            <w:webHidden/>
          </w:rPr>
          <w:fldChar w:fldCharType="separate"/>
        </w:r>
        <w:r>
          <w:rPr>
            <w:webHidden/>
          </w:rPr>
          <w:t>19</w:t>
        </w:r>
        <w:r>
          <w:rPr>
            <w:webHidden/>
          </w:rPr>
          <w:fldChar w:fldCharType="end"/>
        </w:r>
      </w:hyperlink>
    </w:p>
    <w:p w14:paraId="350B485B" w14:textId="05DE2AFF" w:rsidR="00602535" w:rsidRDefault="00602535">
      <w:pPr>
        <w:pStyle w:val="TOC3"/>
        <w:tabs>
          <w:tab w:val="left" w:pos="1200"/>
        </w:tabs>
        <w:rPr>
          <w:rFonts w:asciiTheme="minorHAnsi" w:eastAsiaTheme="minorEastAsia" w:hAnsiTheme="minorHAnsi"/>
          <w:sz w:val="24"/>
          <w:szCs w:val="24"/>
          <w:lang w:eastAsia="en-AU"/>
        </w:rPr>
      </w:pPr>
      <w:hyperlink w:anchor="_Toc233038944" w:history="1">
        <w:r w:rsidRPr="00203F7D">
          <w:rPr>
            <w:rStyle w:val="Hyperlink"/>
          </w:rPr>
          <w:t>3.1.9</w:t>
        </w:r>
        <w:r>
          <w:rPr>
            <w:rFonts w:asciiTheme="minorHAnsi" w:eastAsiaTheme="minorEastAsia" w:hAnsiTheme="minorHAnsi"/>
            <w:sz w:val="24"/>
            <w:szCs w:val="24"/>
            <w:lang w:eastAsia="en-AU"/>
          </w:rPr>
          <w:tab/>
        </w:r>
        <w:r w:rsidRPr="00203F7D">
          <w:rPr>
            <w:rStyle w:val="Hyperlink"/>
          </w:rPr>
          <w:t>Developmental studies</w:t>
        </w:r>
        <w:r>
          <w:rPr>
            <w:webHidden/>
          </w:rPr>
          <w:tab/>
        </w:r>
        <w:r>
          <w:rPr>
            <w:webHidden/>
          </w:rPr>
          <w:fldChar w:fldCharType="begin"/>
        </w:r>
        <w:r>
          <w:rPr>
            <w:webHidden/>
          </w:rPr>
          <w:instrText xml:space="preserve"> PAGEREF _Toc233038944 \h </w:instrText>
        </w:r>
        <w:r>
          <w:rPr>
            <w:webHidden/>
          </w:rPr>
        </w:r>
        <w:r>
          <w:rPr>
            <w:webHidden/>
          </w:rPr>
          <w:fldChar w:fldCharType="separate"/>
        </w:r>
        <w:r>
          <w:rPr>
            <w:webHidden/>
          </w:rPr>
          <w:t>19</w:t>
        </w:r>
        <w:r>
          <w:rPr>
            <w:webHidden/>
          </w:rPr>
          <w:fldChar w:fldCharType="end"/>
        </w:r>
      </w:hyperlink>
    </w:p>
    <w:p w14:paraId="0CE39E75" w14:textId="7F4D6244" w:rsidR="00602535" w:rsidRDefault="00602535">
      <w:pPr>
        <w:pStyle w:val="TOC3"/>
        <w:tabs>
          <w:tab w:val="left" w:pos="1200"/>
        </w:tabs>
        <w:rPr>
          <w:rFonts w:asciiTheme="minorHAnsi" w:eastAsiaTheme="minorEastAsia" w:hAnsiTheme="minorHAnsi"/>
          <w:sz w:val="24"/>
          <w:szCs w:val="24"/>
          <w:lang w:eastAsia="en-AU"/>
        </w:rPr>
      </w:pPr>
      <w:hyperlink w:anchor="_Toc233038945" w:history="1">
        <w:r w:rsidRPr="00203F7D">
          <w:rPr>
            <w:rStyle w:val="Hyperlink"/>
          </w:rPr>
          <w:t>3.1.10</w:t>
        </w:r>
        <w:r>
          <w:rPr>
            <w:rFonts w:asciiTheme="minorHAnsi" w:eastAsiaTheme="minorEastAsia" w:hAnsiTheme="minorHAnsi"/>
            <w:sz w:val="24"/>
            <w:szCs w:val="24"/>
            <w:lang w:eastAsia="en-AU"/>
          </w:rPr>
          <w:tab/>
        </w:r>
        <w:r w:rsidRPr="00203F7D">
          <w:rPr>
            <w:rStyle w:val="Hyperlink"/>
          </w:rPr>
          <w:t>Special studies</w:t>
        </w:r>
        <w:r>
          <w:rPr>
            <w:webHidden/>
          </w:rPr>
          <w:tab/>
        </w:r>
        <w:r>
          <w:rPr>
            <w:webHidden/>
          </w:rPr>
          <w:fldChar w:fldCharType="begin"/>
        </w:r>
        <w:r>
          <w:rPr>
            <w:webHidden/>
          </w:rPr>
          <w:instrText xml:space="preserve"> PAGEREF _Toc233038945 \h </w:instrText>
        </w:r>
        <w:r>
          <w:rPr>
            <w:webHidden/>
          </w:rPr>
        </w:r>
        <w:r>
          <w:rPr>
            <w:webHidden/>
          </w:rPr>
          <w:fldChar w:fldCharType="separate"/>
        </w:r>
        <w:r>
          <w:rPr>
            <w:webHidden/>
          </w:rPr>
          <w:t>19</w:t>
        </w:r>
        <w:r>
          <w:rPr>
            <w:webHidden/>
          </w:rPr>
          <w:fldChar w:fldCharType="end"/>
        </w:r>
      </w:hyperlink>
    </w:p>
    <w:p w14:paraId="1342A85A" w14:textId="188FC42B" w:rsidR="00602535" w:rsidRDefault="00602535">
      <w:pPr>
        <w:pStyle w:val="TOC2"/>
        <w:rPr>
          <w:rFonts w:asciiTheme="minorHAnsi" w:eastAsiaTheme="minorEastAsia" w:hAnsiTheme="minorHAnsi"/>
          <w:b w:val="0"/>
          <w:color w:val="auto"/>
          <w:sz w:val="24"/>
          <w:szCs w:val="24"/>
          <w:lang w:eastAsia="en-AU"/>
        </w:rPr>
      </w:pPr>
      <w:hyperlink w:anchor="_Toc233038946" w:history="1">
        <w:r w:rsidRPr="00203F7D">
          <w:rPr>
            <w:rStyle w:val="Hyperlink"/>
          </w:rPr>
          <w:t>3.2</w:t>
        </w:r>
        <w:r>
          <w:rPr>
            <w:rFonts w:asciiTheme="minorHAnsi" w:eastAsiaTheme="minorEastAsia" w:hAnsiTheme="minorHAnsi"/>
            <w:b w:val="0"/>
            <w:color w:val="auto"/>
            <w:sz w:val="24"/>
            <w:szCs w:val="24"/>
            <w:lang w:eastAsia="en-AU"/>
          </w:rPr>
          <w:tab/>
        </w:r>
        <w:r w:rsidRPr="00203F7D">
          <w:rPr>
            <w:rStyle w:val="Hyperlink"/>
          </w:rPr>
          <w:t>Health-based guidance values</w:t>
        </w:r>
        <w:r>
          <w:rPr>
            <w:webHidden/>
          </w:rPr>
          <w:tab/>
        </w:r>
        <w:r>
          <w:rPr>
            <w:webHidden/>
          </w:rPr>
          <w:fldChar w:fldCharType="begin"/>
        </w:r>
        <w:r>
          <w:rPr>
            <w:webHidden/>
          </w:rPr>
          <w:instrText xml:space="preserve"> PAGEREF _Toc233038946 \h </w:instrText>
        </w:r>
        <w:r>
          <w:rPr>
            <w:webHidden/>
          </w:rPr>
        </w:r>
        <w:r>
          <w:rPr>
            <w:webHidden/>
          </w:rPr>
          <w:fldChar w:fldCharType="separate"/>
        </w:r>
        <w:r>
          <w:rPr>
            <w:webHidden/>
          </w:rPr>
          <w:t>21</w:t>
        </w:r>
        <w:r>
          <w:rPr>
            <w:webHidden/>
          </w:rPr>
          <w:fldChar w:fldCharType="end"/>
        </w:r>
      </w:hyperlink>
    </w:p>
    <w:p w14:paraId="7F4140DC" w14:textId="74456127" w:rsidR="00602535" w:rsidRDefault="00602535">
      <w:pPr>
        <w:pStyle w:val="TOC2"/>
        <w:rPr>
          <w:rFonts w:asciiTheme="minorHAnsi" w:eastAsiaTheme="minorEastAsia" w:hAnsiTheme="minorHAnsi"/>
          <w:b w:val="0"/>
          <w:color w:val="auto"/>
          <w:sz w:val="24"/>
          <w:szCs w:val="24"/>
          <w:lang w:eastAsia="en-AU"/>
        </w:rPr>
      </w:pPr>
      <w:hyperlink w:anchor="_Toc233038947" w:history="1">
        <w:r w:rsidRPr="00203F7D">
          <w:rPr>
            <w:rStyle w:val="Hyperlink"/>
          </w:rPr>
          <w:t>3.3</w:t>
        </w:r>
        <w:r>
          <w:rPr>
            <w:rFonts w:asciiTheme="minorHAnsi" w:eastAsiaTheme="minorEastAsia" w:hAnsiTheme="minorHAnsi"/>
            <w:b w:val="0"/>
            <w:color w:val="auto"/>
            <w:sz w:val="24"/>
            <w:szCs w:val="24"/>
            <w:lang w:eastAsia="en-AU"/>
          </w:rPr>
          <w:tab/>
        </w:r>
        <w:r w:rsidRPr="00203F7D">
          <w:rPr>
            <w:rStyle w:val="Hyperlink"/>
          </w:rPr>
          <w:t>Poisons scheduling</w:t>
        </w:r>
        <w:r>
          <w:rPr>
            <w:webHidden/>
          </w:rPr>
          <w:tab/>
        </w:r>
        <w:r>
          <w:rPr>
            <w:webHidden/>
          </w:rPr>
          <w:fldChar w:fldCharType="begin"/>
        </w:r>
        <w:r>
          <w:rPr>
            <w:webHidden/>
          </w:rPr>
          <w:instrText xml:space="preserve"> PAGEREF _Toc233038947 \h </w:instrText>
        </w:r>
        <w:r>
          <w:rPr>
            <w:webHidden/>
          </w:rPr>
        </w:r>
        <w:r>
          <w:rPr>
            <w:webHidden/>
          </w:rPr>
          <w:fldChar w:fldCharType="separate"/>
        </w:r>
        <w:r>
          <w:rPr>
            <w:webHidden/>
          </w:rPr>
          <w:t>22</w:t>
        </w:r>
        <w:r>
          <w:rPr>
            <w:webHidden/>
          </w:rPr>
          <w:fldChar w:fldCharType="end"/>
        </w:r>
      </w:hyperlink>
    </w:p>
    <w:p w14:paraId="056232A9" w14:textId="1CBB2A79" w:rsidR="00602535" w:rsidRDefault="00602535">
      <w:pPr>
        <w:pStyle w:val="TOC2"/>
        <w:rPr>
          <w:rFonts w:asciiTheme="minorHAnsi" w:eastAsiaTheme="minorEastAsia" w:hAnsiTheme="minorHAnsi"/>
          <w:b w:val="0"/>
          <w:color w:val="auto"/>
          <w:sz w:val="24"/>
          <w:szCs w:val="24"/>
          <w:lang w:eastAsia="en-AU"/>
        </w:rPr>
      </w:pPr>
      <w:hyperlink w:anchor="_Toc233038948" w:history="1">
        <w:r w:rsidRPr="00203F7D">
          <w:rPr>
            <w:rStyle w:val="Hyperlink"/>
          </w:rPr>
          <w:t>3.4</w:t>
        </w:r>
        <w:r>
          <w:rPr>
            <w:rFonts w:asciiTheme="minorHAnsi" w:eastAsiaTheme="minorEastAsia" w:hAnsiTheme="minorHAnsi"/>
            <w:b w:val="0"/>
            <w:color w:val="auto"/>
            <w:sz w:val="24"/>
            <w:szCs w:val="24"/>
            <w:lang w:eastAsia="en-AU"/>
          </w:rPr>
          <w:tab/>
        </w:r>
        <w:r w:rsidRPr="00203F7D">
          <w:rPr>
            <w:rStyle w:val="Hyperlink"/>
          </w:rPr>
          <w:t>Recommendations</w:t>
        </w:r>
        <w:r>
          <w:rPr>
            <w:webHidden/>
          </w:rPr>
          <w:tab/>
        </w:r>
        <w:r>
          <w:rPr>
            <w:webHidden/>
          </w:rPr>
          <w:fldChar w:fldCharType="begin"/>
        </w:r>
        <w:r>
          <w:rPr>
            <w:webHidden/>
          </w:rPr>
          <w:instrText xml:space="preserve"> PAGEREF _Toc233038948 \h </w:instrText>
        </w:r>
        <w:r>
          <w:rPr>
            <w:webHidden/>
          </w:rPr>
        </w:r>
        <w:r>
          <w:rPr>
            <w:webHidden/>
          </w:rPr>
          <w:fldChar w:fldCharType="separate"/>
        </w:r>
        <w:r>
          <w:rPr>
            <w:webHidden/>
          </w:rPr>
          <w:t>22</w:t>
        </w:r>
        <w:r>
          <w:rPr>
            <w:webHidden/>
          </w:rPr>
          <w:fldChar w:fldCharType="end"/>
        </w:r>
      </w:hyperlink>
    </w:p>
    <w:p w14:paraId="233E1EE4" w14:textId="1FA7C3AD"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8949" w:history="1">
        <w:r w:rsidRPr="00203F7D">
          <w:rPr>
            <w:rStyle w:val="Hyperlink"/>
          </w:rPr>
          <w:t>4</w:t>
        </w:r>
        <w:r>
          <w:rPr>
            <w:rFonts w:asciiTheme="minorHAnsi" w:eastAsiaTheme="minorEastAsia" w:hAnsiTheme="minorHAnsi" w:cstheme="minorBidi"/>
            <w:bCs w:val="0"/>
            <w:color w:val="auto"/>
            <w:kern w:val="2"/>
            <w:sz w:val="24"/>
            <w:szCs w:val="24"/>
            <w:lang w:eastAsia="en-AU"/>
          </w:rPr>
          <w:tab/>
        </w:r>
        <w:r w:rsidRPr="00203F7D">
          <w:rPr>
            <w:rStyle w:val="Hyperlink"/>
          </w:rPr>
          <w:t>Worker health and safety</w:t>
        </w:r>
        <w:r>
          <w:rPr>
            <w:webHidden/>
          </w:rPr>
          <w:tab/>
        </w:r>
        <w:r>
          <w:rPr>
            <w:webHidden/>
          </w:rPr>
          <w:fldChar w:fldCharType="begin"/>
        </w:r>
        <w:r>
          <w:rPr>
            <w:webHidden/>
          </w:rPr>
          <w:instrText xml:space="preserve"> PAGEREF _Toc233038949 \h </w:instrText>
        </w:r>
        <w:r>
          <w:rPr>
            <w:webHidden/>
          </w:rPr>
        </w:r>
        <w:r>
          <w:rPr>
            <w:webHidden/>
          </w:rPr>
          <w:fldChar w:fldCharType="separate"/>
        </w:r>
        <w:r>
          <w:rPr>
            <w:webHidden/>
          </w:rPr>
          <w:t>23</w:t>
        </w:r>
        <w:r>
          <w:rPr>
            <w:webHidden/>
          </w:rPr>
          <w:fldChar w:fldCharType="end"/>
        </w:r>
      </w:hyperlink>
    </w:p>
    <w:p w14:paraId="2133CBB9" w14:textId="66935CB1" w:rsidR="00602535" w:rsidRDefault="00602535">
      <w:pPr>
        <w:pStyle w:val="TOC2"/>
        <w:rPr>
          <w:rFonts w:asciiTheme="minorHAnsi" w:eastAsiaTheme="minorEastAsia" w:hAnsiTheme="minorHAnsi"/>
          <w:b w:val="0"/>
          <w:color w:val="auto"/>
          <w:sz w:val="24"/>
          <w:szCs w:val="24"/>
          <w:lang w:eastAsia="en-AU"/>
        </w:rPr>
      </w:pPr>
      <w:hyperlink w:anchor="_Toc233038950" w:history="1">
        <w:r w:rsidRPr="00203F7D">
          <w:rPr>
            <w:rStyle w:val="Hyperlink"/>
          </w:rPr>
          <w:t>4.1</w:t>
        </w:r>
        <w:r>
          <w:rPr>
            <w:rFonts w:asciiTheme="minorHAnsi" w:eastAsiaTheme="minorEastAsia" w:hAnsiTheme="minorHAnsi"/>
            <w:b w:val="0"/>
            <w:color w:val="auto"/>
            <w:sz w:val="24"/>
            <w:szCs w:val="24"/>
            <w:lang w:eastAsia="en-AU"/>
          </w:rPr>
          <w:tab/>
        </w:r>
        <w:r w:rsidRPr="00203F7D">
          <w:rPr>
            <w:rStyle w:val="Hyperlink"/>
          </w:rPr>
          <w:t>Worker exposure assessment</w:t>
        </w:r>
        <w:r>
          <w:rPr>
            <w:webHidden/>
          </w:rPr>
          <w:tab/>
        </w:r>
        <w:r>
          <w:rPr>
            <w:webHidden/>
          </w:rPr>
          <w:fldChar w:fldCharType="begin"/>
        </w:r>
        <w:r>
          <w:rPr>
            <w:webHidden/>
          </w:rPr>
          <w:instrText xml:space="preserve"> PAGEREF _Toc233038950 \h </w:instrText>
        </w:r>
        <w:r>
          <w:rPr>
            <w:webHidden/>
          </w:rPr>
        </w:r>
        <w:r>
          <w:rPr>
            <w:webHidden/>
          </w:rPr>
          <w:fldChar w:fldCharType="separate"/>
        </w:r>
        <w:r>
          <w:rPr>
            <w:webHidden/>
          </w:rPr>
          <w:t>23</w:t>
        </w:r>
        <w:r>
          <w:rPr>
            <w:webHidden/>
          </w:rPr>
          <w:fldChar w:fldCharType="end"/>
        </w:r>
      </w:hyperlink>
    </w:p>
    <w:p w14:paraId="5B1B4934" w14:textId="4E4FCF6D" w:rsidR="00602535" w:rsidRDefault="00602535">
      <w:pPr>
        <w:pStyle w:val="TOC3"/>
        <w:tabs>
          <w:tab w:val="left" w:pos="1200"/>
        </w:tabs>
        <w:rPr>
          <w:rFonts w:asciiTheme="minorHAnsi" w:eastAsiaTheme="minorEastAsia" w:hAnsiTheme="minorHAnsi"/>
          <w:sz w:val="24"/>
          <w:szCs w:val="24"/>
          <w:lang w:eastAsia="en-AU"/>
        </w:rPr>
      </w:pPr>
      <w:hyperlink w:anchor="_Toc233038951" w:history="1">
        <w:r w:rsidRPr="00203F7D">
          <w:rPr>
            <w:rStyle w:val="Hyperlink"/>
          </w:rPr>
          <w:t>4.1.1</w:t>
        </w:r>
        <w:r>
          <w:rPr>
            <w:rFonts w:asciiTheme="minorHAnsi" w:eastAsiaTheme="minorEastAsia" w:hAnsiTheme="minorHAnsi"/>
            <w:sz w:val="24"/>
            <w:szCs w:val="24"/>
            <w:lang w:eastAsia="en-AU"/>
          </w:rPr>
          <w:tab/>
        </w:r>
        <w:r w:rsidRPr="00203F7D">
          <w:rPr>
            <w:rStyle w:val="Hyperlink"/>
          </w:rPr>
          <w:t>Ground-based and aerial application</w:t>
        </w:r>
        <w:r>
          <w:rPr>
            <w:webHidden/>
          </w:rPr>
          <w:tab/>
        </w:r>
        <w:r>
          <w:rPr>
            <w:webHidden/>
          </w:rPr>
          <w:fldChar w:fldCharType="begin"/>
        </w:r>
        <w:r>
          <w:rPr>
            <w:webHidden/>
          </w:rPr>
          <w:instrText xml:space="preserve"> PAGEREF _Toc233038951 \h </w:instrText>
        </w:r>
        <w:r>
          <w:rPr>
            <w:webHidden/>
          </w:rPr>
        </w:r>
        <w:r>
          <w:rPr>
            <w:webHidden/>
          </w:rPr>
          <w:fldChar w:fldCharType="separate"/>
        </w:r>
        <w:r>
          <w:rPr>
            <w:webHidden/>
          </w:rPr>
          <w:t>24</w:t>
        </w:r>
        <w:r>
          <w:rPr>
            <w:webHidden/>
          </w:rPr>
          <w:fldChar w:fldCharType="end"/>
        </w:r>
      </w:hyperlink>
    </w:p>
    <w:p w14:paraId="40D4374B" w14:textId="24EEA030" w:rsidR="00602535" w:rsidRDefault="00602535">
      <w:pPr>
        <w:pStyle w:val="TOC3"/>
        <w:tabs>
          <w:tab w:val="left" w:pos="1200"/>
        </w:tabs>
        <w:rPr>
          <w:rFonts w:asciiTheme="minorHAnsi" w:eastAsiaTheme="minorEastAsia" w:hAnsiTheme="minorHAnsi"/>
          <w:sz w:val="24"/>
          <w:szCs w:val="24"/>
          <w:lang w:eastAsia="en-AU"/>
        </w:rPr>
      </w:pPr>
      <w:hyperlink w:anchor="_Toc233038952" w:history="1">
        <w:r w:rsidRPr="00203F7D">
          <w:rPr>
            <w:rStyle w:val="Hyperlink"/>
          </w:rPr>
          <w:t>4.1.2</w:t>
        </w:r>
        <w:r>
          <w:rPr>
            <w:rFonts w:asciiTheme="minorHAnsi" w:eastAsiaTheme="minorEastAsia" w:hAnsiTheme="minorHAnsi"/>
            <w:sz w:val="24"/>
            <w:szCs w:val="24"/>
            <w:lang w:eastAsia="en-AU"/>
          </w:rPr>
          <w:tab/>
        </w:r>
        <w:r w:rsidRPr="00203F7D">
          <w:rPr>
            <w:rStyle w:val="Hyperlink"/>
          </w:rPr>
          <w:t>Re-entry to treated areas</w:t>
        </w:r>
        <w:r>
          <w:rPr>
            <w:webHidden/>
          </w:rPr>
          <w:tab/>
        </w:r>
        <w:r>
          <w:rPr>
            <w:webHidden/>
          </w:rPr>
          <w:fldChar w:fldCharType="begin"/>
        </w:r>
        <w:r>
          <w:rPr>
            <w:webHidden/>
          </w:rPr>
          <w:instrText xml:space="preserve"> PAGEREF _Toc233038952 \h </w:instrText>
        </w:r>
        <w:r>
          <w:rPr>
            <w:webHidden/>
          </w:rPr>
        </w:r>
        <w:r>
          <w:rPr>
            <w:webHidden/>
          </w:rPr>
          <w:fldChar w:fldCharType="separate"/>
        </w:r>
        <w:r>
          <w:rPr>
            <w:webHidden/>
          </w:rPr>
          <w:t>26</w:t>
        </w:r>
        <w:r>
          <w:rPr>
            <w:webHidden/>
          </w:rPr>
          <w:fldChar w:fldCharType="end"/>
        </w:r>
      </w:hyperlink>
    </w:p>
    <w:p w14:paraId="285A0533" w14:textId="7210876B" w:rsidR="00602535" w:rsidRDefault="00602535">
      <w:pPr>
        <w:pStyle w:val="TOC2"/>
        <w:rPr>
          <w:rFonts w:asciiTheme="minorHAnsi" w:eastAsiaTheme="minorEastAsia" w:hAnsiTheme="minorHAnsi"/>
          <w:b w:val="0"/>
          <w:color w:val="auto"/>
          <w:sz w:val="24"/>
          <w:szCs w:val="24"/>
          <w:lang w:eastAsia="en-AU"/>
        </w:rPr>
      </w:pPr>
      <w:hyperlink w:anchor="_Toc233038953" w:history="1">
        <w:r w:rsidRPr="00203F7D">
          <w:rPr>
            <w:rStyle w:val="Hyperlink"/>
          </w:rPr>
          <w:t>4.2</w:t>
        </w:r>
        <w:r>
          <w:rPr>
            <w:rFonts w:asciiTheme="minorHAnsi" w:eastAsiaTheme="minorEastAsia" w:hAnsiTheme="minorHAnsi"/>
            <w:b w:val="0"/>
            <w:color w:val="auto"/>
            <w:sz w:val="24"/>
            <w:szCs w:val="24"/>
            <w:lang w:eastAsia="en-AU"/>
          </w:rPr>
          <w:tab/>
        </w:r>
        <w:r w:rsidRPr="00203F7D">
          <w:rPr>
            <w:rStyle w:val="Hyperlink"/>
          </w:rPr>
          <w:t>Recommended label changes</w:t>
        </w:r>
        <w:r>
          <w:rPr>
            <w:webHidden/>
          </w:rPr>
          <w:tab/>
        </w:r>
        <w:r>
          <w:rPr>
            <w:webHidden/>
          </w:rPr>
          <w:fldChar w:fldCharType="begin"/>
        </w:r>
        <w:r>
          <w:rPr>
            <w:webHidden/>
          </w:rPr>
          <w:instrText xml:space="preserve"> PAGEREF _Toc233038953 \h </w:instrText>
        </w:r>
        <w:r>
          <w:rPr>
            <w:webHidden/>
          </w:rPr>
        </w:r>
        <w:r>
          <w:rPr>
            <w:webHidden/>
          </w:rPr>
          <w:fldChar w:fldCharType="separate"/>
        </w:r>
        <w:r>
          <w:rPr>
            <w:webHidden/>
          </w:rPr>
          <w:t>27</w:t>
        </w:r>
        <w:r>
          <w:rPr>
            <w:webHidden/>
          </w:rPr>
          <w:fldChar w:fldCharType="end"/>
        </w:r>
      </w:hyperlink>
    </w:p>
    <w:p w14:paraId="20863DE9" w14:textId="3BA31C2C" w:rsidR="00602535" w:rsidRDefault="00602535">
      <w:pPr>
        <w:pStyle w:val="TOC3"/>
        <w:tabs>
          <w:tab w:val="left" w:pos="1200"/>
        </w:tabs>
        <w:rPr>
          <w:rFonts w:asciiTheme="minorHAnsi" w:eastAsiaTheme="minorEastAsia" w:hAnsiTheme="minorHAnsi"/>
          <w:sz w:val="24"/>
          <w:szCs w:val="24"/>
          <w:lang w:eastAsia="en-AU"/>
        </w:rPr>
      </w:pPr>
      <w:hyperlink w:anchor="_Toc233038954" w:history="1">
        <w:r w:rsidRPr="00203F7D">
          <w:rPr>
            <w:rStyle w:val="Hyperlink"/>
          </w:rPr>
          <w:t>4.2.1</w:t>
        </w:r>
        <w:r>
          <w:rPr>
            <w:rFonts w:asciiTheme="minorHAnsi" w:eastAsiaTheme="minorEastAsia" w:hAnsiTheme="minorHAnsi"/>
            <w:sz w:val="24"/>
            <w:szCs w:val="24"/>
            <w:lang w:eastAsia="en-AU"/>
          </w:rPr>
          <w:tab/>
        </w:r>
        <w:r w:rsidRPr="00203F7D">
          <w:rPr>
            <w:rStyle w:val="Hyperlink"/>
          </w:rPr>
          <w:t>Signal headings</w:t>
        </w:r>
        <w:r>
          <w:rPr>
            <w:webHidden/>
          </w:rPr>
          <w:tab/>
        </w:r>
        <w:r>
          <w:rPr>
            <w:webHidden/>
          </w:rPr>
          <w:fldChar w:fldCharType="begin"/>
        </w:r>
        <w:r>
          <w:rPr>
            <w:webHidden/>
          </w:rPr>
          <w:instrText xml:space="preserve"> PAGEREF _Toc233038954 \h </w:instrText>
        </w:r>
        <w:r>
          <w:rPr>
            <w:webHidden/>
          </w:rPr>
        </w:r>
        <w:r>
          <w:rPr>
            <w:webHidden/>
          </w:rPr>
          <w:fldChar w:fldCharType="separate"/>
        </w:r>
        <w:r>
          <w:rPr>
            <w:webHidden/>
          </w:rPr>
          <w:t>27</w:t>
        </w:r>
        <w:r>
          <w:rPr>
            <w:webHidden/>
          </w:rPr>
          <w:fldChar w:fldCharType="end"/>
        </w:r>
      </w:hyperlink>
    </w:p>
    <w:p w14:paraId="5901D8F4" w14:textId="76A87A5B" w:rsidR="00602535" w:rsidRDefault="00602535">
      <w:pPr>
        <w:pStyle w:val="TOC3"/>
        <w:tabs>
          <w:tab w:val="left" w:pos="1200"/>
        </w:tabs>
        <w:rPr>
          <w:rFonts w:asciiTheme="minorHAnsi" w:eastAsiaTheme="minorEastAsia" w:hAnsiTheme="minorHAnsi"/>
          <w:sz w:val="24"/>
          <w:szCs w:val="24"/>
          <w:lang w:eastAsia="en-AU"/>
        </w:rPr>
      </w:pPr>
      <w:hyperlink w:anchor="_Toc233038955" w:history="1">
        <w:r w:rsidRPr="00203F7D">
          <w:rPr>
            <w:rStyle w:val="Hyperlink"/>
            <w:lang w:eastAsia="en-AU"/>
          </w:rPr>
          <w:t>4.2.2</w:t>
        </w:r>
        <w:r>
          <w:rPr>
            <w:rFonts w:asciiTheme="minorHAnsi" w:eastAsiaTheme="minorEastAsia" w:hAnsiTheme="minorHAnsi"/>
            <w:sz w:val="24"/>
            <w:szCs w:val="24"/>
            <w:lang w:eastAsia="en-AU"/>
          </w:rPr>
          <w:tab/>
        </w:r>
        <w:r w:rsidRPr="00203F7D">
          <w:rPr>
            <w:rStyle w:val="Hyperlink"/>
            <w:lang w:eastAsia="en-AU"/>
          </w:rPr>
          <w:t>Restraints</w:t>
        </w:r>
        <w:r>
          <w:rPr>
            <w:webHidden/>
          </w:rPr>
          <w:tab/>
        </w:r>
        <w:r>
          <w:rPr>
            <w:webHidden/>
          </w:rPr>
          <w:fldChar w:fldCharType="begin"/>
        </w:r>
        <w:r>
          <w:rPr>
            <w:webHidden/>
          </w:rPr>
          <w:instrText xml:space="preserve"> PAGEREF _Toc233038955 \h </w:instrText>
        </w:r>
        <w:r>
          <w:rPr>
            <w:webHidden/>
          </w:rPr>
        </w:r>
        <w:r>
          <w:rPr>
            <w:webHidden/>
          </w:rPr>
          <w:fldChar w:fldCharType="separate"/>
        </w:r>
        <w:r>
          <w:rPr>
            <w:webHidden/>
          </w:rPr>
          <w:t>27</w:t>
        </w:r>
        <w:r>
          <w:rPr>
            <w:webHidden/>
          </w:rPr>
          <w:fldChar w:fldCharType="end"/>
        </w:r>
      </w:hyperlink>
    </w:p>
    <w:p w14:paraId="36ECE328" w14:textId="797566EA" w:rsidR="00602535" w:rsidRDefault="00602535">
      <w:pPr>
        <w:pStyle w:val="TOC3"/>
        <w:tabs>
          <w:tab w:val="left" w:pos="1200"/>
        </w:tabs>
        <w:rPr>
          <w:rFonts w:asciiTheme="minorHAnsi" w:eastAsiaTheme="minorEastAsia" w:hAnsiTheme="minorHAnsi"/>
          <w:sz w:val="24"/>
          <w:szCs w:val="24"/>
          <w:lang w:eastAsia="en-AU"/>
        </w:rPr>
      </w:pPr>
      <w:hyperlink w:anchor="_Toc233038956" w:history="1">
        <w:r w:rsidRPr="00203F7D">
          <w:rPr>
            <w:rStyle w:val="Hyperlink"/>
            <w:lang w:eastAsia="en-AU"/>
          </w:rPr>
          <w:t>4.2.3</w:t>
        </w:r>
        <w:r>
          <w:rPr>
            <w:rFonts w:asciiTheme="minorHAnsi" w:eastAsiaTheme="minorEastAsia" w:hAnsiTheme="minorHAnsi"/>
            <w:sz w:val="24"/>
            <w:szCs w:val="24"/>
            <w:lang w:eastAsia="en-AU"/>
          </w:rPr>
          <w:tab/>
        </w:r>
        <w:r w:rsidRPr="00203F7D">
          <w:rPr>
            <w:rStyle w:val="Hyperlink"/>
            <w:lang w:eastAsia="en-AU"/>
          </w:rPr>
          <w:t>First aid statements (all products)</w:t>
        </w:r>
        <w:r>
          <w:rPr>
            <w:webHidden/>
          </w:rPr>
          <w:tab/>
        </w:r>
        <w:r>
          <w:rPr>
            <w:webHidden/>
          </w:rPr>
          <w:fldChar w:fldCharType="begin"/>
        </w:r>
        <w:r>
          <w:rPr>
            <w:webHidden/>
          </w:rPr>
          <w:instrText xml:space="preserve"> PAGEREF _Toc233038956 \h </w:instrText>
        </w:r>
        <w:r>
          <w:rPr>
            <w:webHidden/>
          </w:rPr>
        </w:r>
        <w:r>
          <w:rPr>
            <w:webHidden/>
          </w:rPr>
          <w:fldChar w:fldCharType="separate"/>
        </w:r>
        <w:r>
          <w:rPr>
            <w:webHidden/>
          </w:rPr>
          <w:t>28</w:t>
        </w:r>
        <w:r>
          <w:rPr>
            <w:webHidden/>
          </w:rPr>
          <w:fldChar w:fldCharType="end"/>
        </w:r>
      </w:hyperlink>
    </w:p>
    <w:p w14:paraId="38D33931" w14:textId="3DB7F88A" w:rsidR="00602535" w:rsidRDefault="00602535">
      <w:pPr>
        <w:pStyle w:val="TOC3"/>
        <w:tabs>
          <w:tab w:val="left" w:pos="1200"/>
        </w:tabs>
        <w:rPr>
          <w:rFonts w:asciiTheme="minorHAnsi" w:eastAsiaTheme="minorEastAsia" w:hAnsiTheme="minorHAnsi"/>
          <w:sz w:val="24"/>
          <w:szCs w:val="24"/>
          <w:lang w:eastAsia="en-AU"/>
        </w:rPr>
      </w:pPr>
      <w:hyperlink w:anchor="_Toc233038957" w:history="1">
        <w:r w:rsidRPr="00203F7D">
          <w:rPr>
            <w:rStyle w:val="Hyperlink"/>
          </w:rPr>
          <w:t>4.2.4</w:t>
        </w:r>
        <w:r>
          <w:rPr>
            <w:rFonts w:asciiTheme="minorHAnsi" w:eastAsiaTheme="minorEastAsia" w:hAnsiTheme="minorHAnsi"/>
            <w:sz w:val="24"/>
            <w:szCs w:val="24"/>
            <w:lang w:eastAsia="en-AU"/>
          </w:rPr>
          <w:tab/>
        </w:r>
        <w:r w:rsidRPr="00203F7D">
          <w:rPr>
            <w:rStyle w:val="Hyperlink"/>
          </w:rPr>
          <w:t>Safety directions (all products)</w:t>
        </w:r>
        <w:r>
          <w:rPr>
            <w:webHidden/>
          </w:rPr>
          <w:tab/>
        </w:r>
        <w:r>
          <w:rPr>
            <w:webHidden/>
          </w:rPr>
          <w:fldChar w:fldCharType="begin"/>
        </w:r>
        <w:r>
          <w:rPr>
            <w:webHidden/>
          </w:rPr>
          <w:instrText xml:space="preserve"> PAGEREF _Toc233038957 \h </w:instrText>
        </w:r>
        <w:r>
          <w:rPr>
            <w:webHidden/>
          </w:rPr>
        </w:r>
        <w:r>
          <w:rPr>
            <w:webHidden/>
          </w:rPr>
          <w:fldChar w:fldCharType="separate"/>
        </w:r>
        <w:r>
          <w:rPr>
            <w:webHidden/>
          </w:rPr>
          <w:t>28</w:t>
        </w:r>
        <w:r>
          <w:rPr>
            <w:webHidden/>
          </w:rPr>
          <w:fldChar w:fldCharType="end"/>
        </w:r>
      </w:hyperlink>
    </w:p>
    <w:p w14:paraId="1A45E777" w14:textId="3FDA064B" w:rsidR="00602535" w:rsidRDefault="00602535">
      <w:pPr>
        <w:pStyle w:val="TOC3"/>
        <w:tabs>
          <w:tab w:val="left" w:pos="1200"/>
        </w:tabs>
        <w:rPr>
          <w:rFonts w:asciiTheme="minorHAnsi" w:eastAsiaTheme="minorEastAsia" w:hAnsiTheme="minorHAnsi"/>
          <w:sz w:val="24"/>
          <w:szCs w:val="24"/>
          <w:lang w:eastAsia="en-AU"/>
        </w:rPr>
      </w:pPr>
      <w:hyperlink w:anchor="_Toc233038958" w:history="1">
        <w:r w:rsidRPr="00203F7D">
          <w:rPr>
            <w:rStyle w:val="Hyperlink"/>
          </w:rPr>
          <w:t>4.2.5</w:t>
        </w:r>
        <w:r>
          <w:rPr>
            <w:rFonts w:asciiTheme="minorHAnsi" w:eastAsiaTheme="minorEastAsia" w:hAnsiTheme="minorHAnsi"/>
            <w:sz w:val="24"/>
            <w:szCs w:val="24"/>
            <w:lang w:eastAsia="en-AU"/>
          </w:rPr>
          <w:tab/>
        </w:r>
        <w:r w:rsidRPr="00203F7D">
          <w:rPr>
            <w:rStyle w:val="Hyperlink"/>
          </w:rPr>
          <w:t>Re-entry statements for diquat products</w:t>
        </w:r>
        <w:r>
          <w:rPr>
            <w:webHidden/>
          </w:rPr>
          <w:tab/>
        </w:r>
        <w:r>
          <w:rPr>
            <w:webHidden/>
          </w:rPr>
          <w:fldChar w:fldCharType="begin"/>
        </w:r>
        <w:r>
          <w:rPr>
            <w:webHidden/>
          </w:rPr>
          <w:instrText xml:space="preserve"> PAGEREF _Toc233038958 \h </w:instrText>
        </w:r>
        <w:r>
          <w:rPr>
            <w:webHidden/>
          </w:rPr>
        </w:r>
        <w:r>
          <w:rPr>
            <w:webHidden/>
          </w:rPr>
          <w:fldChar w:fldCharType="separate"/>
        </w:r>
        <w:r>
          <w:rPr>
            <w:webHidden/>
          </w:rPr>
          <w:t>28</w:t>
        </w:r>
        <w:r>
          <w:rPr>
            <w:webHidden/>
          </w:rPr>
          <w:fldChar w:fldCharType="end"/>
        </w:r>
      </w:hyperlink>
    </w:p>
    <w:p w14:paraId="06CD91D5" w14:textId="189511A4"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8959" w:history="1">
        <w:r w:rsidRPr="00203F7D">
          <w:rPr>
            <w:rStyle w:val="Hyperlink"/>
          </w:rPr>
          <w:t>5</w:t>
        </w:r>
        <w:r>
          <w:rPr>
            <w:rFonts w:asciiTheme="minorHAnsi" w:eastAsiaTheme="minorEastAsia" w:hAnsiTheme="minorHAnsi" w:cstheme="minorBidi"/>
            <w:bCs w:val="0"/>
            <w:color w:val="auto"/>
            <w:kern w:val="2"/>
            <w:sz w:val="24"/>
            <w:szCs w:val="24"/>
            <w:lang w:eastAsia="en-AU"/>
          </w:rPr>
          <w:tab/>
        </w:r>
        <w:r w:rsidRPr="00203F7D">
          <w:rPr>
            <w:rStyle w:val="Hyperlink"/>
          </w:rPr>
          <w:t>Residues and trade</w:t>
        </w:r>
        <w:r>
          <w:rPr>
            <w:webHidden/>
          </w:rPr>
          <w:tab/>
        </w:r>
        <w:r>
          <w:rPr>
            <w:webHidden/>
          </w:rPr>
          <w:fldChar w:fldCharType="begin"/>
        </w:r>
        <w:r>
          <w:rPr>
            <w:webHidden/>
          </w:rPr>
          <w:instrText xml:space="preserve"> PAGEREF _Toc233038959 \h </w:instrText>
        </w:r>
        <w:r>
          <w:rPr>
            <w:webHidden/>
          </w:rPr>
        </w:r>
        <w:r>
          <w:rPr>
            <w:webHidden/>
          </w:rPr>
          <w:fldChar w:fldCharType="separate"/>
        </w:r>
        <w:r>
          <w:rPr>
            <w:webHidden/>
          </w:rPr>
          <w:t>29</w:t>
        </w:r>
        <w:r>
          <w:rPr>
            <w:webHidden/>
          </w:rPr>
          <w:fldChar w:fldCharType="end"/>
        </w:r>
      </w:hyperlink>
    </w:p>
    <w:p w14:paraId="17604471" w14:textId="0C5E905F" w:rsidR="00602535" w:rsidRDefault="00602535">
      <w:pPr>
        <w:pStyle w:val="TOC2"/>
        <w:rPr>
          <w:rFonts w:asciiTheme="minorHAnsi" w:eastAsiaTheme="minorEastAsia" w:hAnsiTheme="minorHAnsi"/>
          <w:b w:val="0"/>
          <w:color w:val="auto"/>
          <w:sz w:val="24"/>
          <w:szCs w:val="24"/>
          <w:lang w:eastAsia="en-AU"/>
        </w:rPr>
      </w:pPr>
      <w:hyperlink w:anchor="_Toc233038960" w:history="1">
        <w:r w:rsidRPr="00203F7D">
          <w:rPr>
            <w:rStyle w:val="Hyperlink"/>
          </w:rPr>
          <w:t>5.1</w:t>
        </w:r>
        <w:r>
          <w:rPr>
            <w:rFonts w:asciiTheme="minorHAnsi" w:eastAsiaTheme="minorEastAsia" w:hAnsiTheme="minorHAnsi"/>
            <w:b w:val="0"/>
            <w:color w:val="auto"/>
            <w:sz w:val="24"/>
            <w:szCs w:val="24"/>
            <w:lang w:eastAsia="en-AU"/>
          </w:rPr>
          <w:tab/>
        </w:r>
        <w:r w:rsidRPr="00203F7D">
          <w:rPr>
            <w:rStyle w:val="Hyperlink"/>
          </w:rPr>
          <w:t>Metabolism</w:t>
        </w:r>
        <w:r>
          <w:rPr>
            <w:webHidden/>
          </w:rPr>
          <w:tab/>
        </w:r>
        <w:r>
          <w:rPr>
            <w:webHidden/>
          </w:rPr>
          <w:fldChar w:fldCharType="begin"/>
        </w:r>
        <w:r>
          <w:rPr>
            <w:webHidden/>
          </w:rPr>
          <w:instrText xml:space="preserve"> PAGEREF _Toc233038960 \h </w:instrText>
        </w:r>
        <w:r>
          <w:rPr>
            <w:webHidden/>
          </w:rPr>
        </w:r>
        <w:r>
          <w:rPr>
            <w:webHidden/>
          </w:rPr>
          <w:fldChar w:fldCharType="separate"/>
        </w:r>
        <w:r>
          <w:rPr>
            <w:webHidden/>
          </w:rPr>
          <w:t>29</w:t>
        </w:r>
        <w:r>
          <w:rPr>
            <w:webHidden/>
          </w:rPr>
          <w:fldChar w:fldCharType="end"/>
        </w:r>
      </w:hyperlink>
    </w:p>
    <w:p w14:paraId="632E4F08" w14:textId="688C0F86" w:rsidR="00602535" w:rsidRDefault="00602535">
      <w:pPr>
        <w:pStyle w:val="TOC2"/>
        <w:rPr>
          <w:rFonts w:asciiTheme="minorHAnsi" w:eastAsiaTheme="minorEastAsia" w:hAnsiTheme="minorHAnsi"/>
          <w:b w:val="0"/>
          <w:color w:val="auto"/>
          <w:sz w:val="24"/>
          <w:szCs w:val="24"/>
          <w:lang w:eastAsia="en-AU"/>
        </w:rPr>
      </w:pPr>
      <w:hyperlink w:anchor="_Toc233038961" w:history="1">
        <w:r w:rsidRPr="00203F7D">
          <w:rPr>
            <w:rStyle w:val="Hyperlink"/>
          </w:rPr>
          <w:t>5.2</w:t>
        </w:r>
        <w:r>
          <w:rPr>
            <w:rFonts w:asciiTheme="minorHAnsi" w:eastAsiaTheme="minorEastAsia" w:hAnsiTheme="minorHAnsi"/>
            <w:b w:val="0"/>
            <w:color w:val="auto"/>
            <w:sz w:val="24"/>
            <w:szCs w:val="24"/>
            <w:lang w:eastAsia="en-AU"/>
          </w:rPr>
          <w:tab/>
        </w:r>
        <w:r w:rsidRPr="00203F7D">
          <w:rPr>
            <w:rStyle w:val="Hyperlink"/>
          </w:rPr>
          <w:t>Analytical methods and storage stability</w:t>
        </w:r>
        <w:r>
          <w:rPr>
            <w:webHidden/>
          </w:rPr>
          <w:tab/>
        </w:r>
        <w:r>
          <w:rPr>
            <w:webHidden/>
          </w:rPr>
          <w:fldChar w:fldCharType="begin"/>
        </w:r>
        <w:r>
          <w:rPr>
            <w:webHidden/>
          </w:rPr>
          <w:instrText xml:space="preserve"> PAGEREF _Toc233038961 \h </w:instrText>
        </w:r>
        <w:r>
          <w:rPr>
            <w:webHidden/>
          </w:rPr>
        </w:r>
        <w:r>
          <w:rPr>
            <w:webHidden/>
          </w:rPr>
          <w:fldChar w:fldCharType="separate"/>
        </w:r>
        <w:r>
          <w:rPr>
            <w:webHidden/>
          </w:rPr>
          <w:t>29</w:t>
        </w:r>
        <w:r>
          <w:rPr>
            <w:webHidden/>
          </w:rPr>
          <w:fldChar w:fldCharType="end"/>
        </w:r>
      </w:hyperlink>
    </w:p>
    <w:p w14:paraId="029AD7A7" w14:textId="07CF18FC" w:rsidR="00602535" w:rsidRDefault="00602535">
      <w:pPr>
        <w:pStyle w:val="TOC3"/>
        <w:tabs>
          <w:tab w:val="left" w:pos="1200"/>
        </w:tabs>
        <w:rPr>
          <w:rFonts w:asciiTheme="minorHAnsi" w:eastAsiaTheme="minorEastAsia" w:hAnsiTheme="minorHAnsi"/>
          <w:sz w:val="24"/>
          <w:szCs w:val="24"/>
          <w:lang w:eastAsia="en-AU"/>
        </w:rPr>
      </w:pPr>
      <w:hyperlink w:anchor="_Toc233038962" w:history="1">
        <w:r w:rsidRPr="00203F7D">
          <w:rPr>
            <w:rStyle w:val="Hyperlink"/>
          </w:rPr>
          <w:t>5.2.1</w:t>
        </w:r>
        <w:r>
          <w:rPr>
            <w:rFonts w:asciiTheme="minorHAnsi" w:eastAsiaTheme="minorEastAsia" w:hAnsiTheme="minorHAnsi"/>
            <w:sz w:val="24"/>
            <w:szCs w:val="24"/>
            <w:lang w:eastAsia="en-AU"/>
          </w:rPr>
          <w:tab/>
        </w:r>
        <w:r w:rsidRPr="00203F7D">
          <w:rPr>
            <w:rStyle w:val="Hyperlink"/>
          </w:rPr>
          <w:t>Analytical methods</w:t>
        </w:r>
        <w:r>
          <w:rPr>
            <w:webHidden/>
          </w:rPr>
          <w:tab/>
        </w:r>
        <w:r>
          <w:rPr>
            <w:webHidden/>
          </w:rPr>
          <w:fldChar w:fldCharType="begin"/>
        </w:r>
        <w:r>
          <w:rPr>
            <w:webHidden/>
          </w:rPr>
          <w:instrText xml:space="preserve"> PAGEREF _Toc233038962 \h </w:instrText>
        </w:r>
        <w:r>
          <w:rPr>
            <w:webHidden/>
          </w:rPr>
        </w:r>
        <w:r>
          <w:rPr>
            <w:webHidden/>
          </w:rPr>
          <w:fldChar w:fldCharType="separate"/>
        </w:r>
        <w:r>
          <w:rPr>
            <w:webHidden/>
          </w:rPr>
          <w:t>29</w:t>
        </w:r>
        <w:r>
          <w:rPr>
            <w:webHidden/>
          </w:rPr>
          <w:fldChar w:fldCharType="end"/>
        </w:r>
      </w:hyperlink>
    </w:p>
    <w:p w14:paraId="094FCACF" w14:textId="6667C17B" w:rsidR="00602535" w:rsidRDefault="00602535">
      <w:pPr>
        <w:pStyle w:val="TOC3"/>
        <w:tabs>
          <w:tab w:val="left" w:pos="1200"/>
        </w:tabs>
        <w:rPr>
          <w:rFonts w:asciiTheme="minorHAnsi" w:eastAsiaTheme="minorEastAsia" w:hAnsiTheme="minorHAnsi"/>
          <w:sz w:val="24"/>
          <w:szCs w:val="24"/>
          <w:lang w:eastAsia="en-AU"/>
        </w:rPr>
      </w:pPr>
      <w:hyperlink w:anchor="_Toc233038963" w:history="1">
        <w:r w:rsidRPr="00203F7D">
          <w:rPr>
            <w:rStyle w:val="Hyperlink"/>
          </w:rPr>
          <w:t>5.2.2</w:t>
        </w:r>
        <w:r>
          <w:rPr>
            <w:rFonts w:asciiTheme="minorHAnsi" w:eastAsiaTheme="minorEastAsia" w:hAnsiTheme="minorHAnsi"/>
            <w:sz w:val="24"/>
            <w:szCs w:val="24"/>
            <w:lang w:eastAsia="en-AU"/>
          </w:rPr>
          <w:tab/>
        </w:r>
        <w:r w:rsidRPr="00203F7D">
          <w:rPr>
            <w:rStyle w:val="Hyperlink"/>
          </w:rPr>
          <w:t>Stability of residues in stored analytical samples</w:t>
        </w:r>
        <w:r>
          <w:rPr>
            <w:webHidden/>
          </w:rPr>
          <w:tab/>
        </w:r>
        <w:r>
          <w:rPr>
            <w:webHidden/>
          </w:rPr>
          <w:fldChar w:fldCharType="begin"/>
        </w:r>
        <w:r>
          <w:rPr>
            <w:webHidden/>
          </w:rPr>
          <w:instrText xml:space="preserve"> PAGEREF _Toc233038963 \h </w:instrText>
        </w:r>
        <w:r>
          <w:rPr>
            <w:webHidden/>
          </w:rPr>
        </w:r>
        <w:r>
          <w:rPr>
            <w:webHidden/>
          </w:rPr>
          <w:fldChar w:fldCharType="separate"/>
        </w:r>
        <w:r>
          <w:rPr>
            <w:webHidden/>
          </w:rPr>
          <w:t>30</w:t>
        </w:r>
        <w:r>
          <w:rPr>
            <w:webHidden/>
          </w:rPr>
          <w:fldChar w:fldCharType="end"/>
        </w:r>
      </w:hyperlink>
    </w:p>
    <w:p w14:paraId="55240FF6" w14:textId="1EA8033C" w:rsidR="00602535" w:rsidRDefault="00602535">
      <w:pPr>
        <w:pStyle w:val="TOC2"/>
        <w:rPr>
          <w:rFonts w:asciiTheme="minorHAnsi" w:eastAsiaTheme="minorEastAsia" w:hAnsiTheme="minorHAnsi"/>
          <w:b w:val="0"/>
          <w:color w:val="auto"/>
          <w:sz w:val="24"/>
          <w:szCs w:val="24"/>
          <w:lang w:eastAsia="en-AU"/>
        </w:rPr>
      </w:pPr>
      <w:hyperlink w:anchor="_Toc233038964" w:history="1">
        <w:r w:rsidRPr="00203F7D">
          <w:rPr>
            <w:rStyle w:val="Hyperlink"/>
          </w:rPr>
          <w:t>5.3</w:t>
        </w:r>
        <w:r>
          <w:rPr>
            <w:rFonts w:asciiTheme="minorHAnsi" w:eastAsiaTheme="minorEastAsia" w:hAnsiTheme="minorHAnsi"/>
            <w:b w:val="0"/>
            <w:color w:val="auto"/>
            <w:sz w:val="24"/>
            <w:szCs w:val="24"/>
            <w:lang w:eastAsia="en-AU"/>
          </w:rPr>
          <w:tab/>
        </w:r>
        <w:r w:rsidRPr="00203F7D">
          <w:rPr>
            <w:rStyle w:val="Hyperlink"/>
          </w:rPr>
          <w:t>Residue definition</w:t>
        </w:r>
        <w:r>
          <w:rPr>
            <w:webHidden/>
          </w:rPr>
          <w:tab/>
        </w:r>
        <w:r>
          <w:rPr>
            <w:webHidden/>
          </w:rPr>
          <w:fldChar w:fldCharType="begin"/>
        </w:r>
        <w:r>
          <w:rPr>
            <w:webHidden/>
          </w:rPr>
          <w:instrText xml:space="preserve"> PAGEREF _Toc233038964 \h </w:instrText>
        </w:r>
        <w:r>
          <w:rPr>
            <w:webHidden/>
          </w:rPr>
        </w:r>
        <w:r>
          <w:rPr>
            <w:webHidden/>
          </w:rPr>
          <w:fldChar w:fldCharType="separate"/>
        </w:r>
        <w:r>
          <w:rPr>
            <w:webHidden/>
          </w:rPr>
          <w:t>30</w:t>
        </w:r>
        <w:r>
          <w:rPr>
            <w:webHidden/>
          </w:rPr>
          <w:fldChar w:fldCharType="end"/>
        </w:r>
      </w:hyperlink>
    </w:p>
    <w:p w14:paraId="63853A01" w14:textId="076228F0" w:rsidR="00602535" w:rsidRDefault="00602535">
      <w:pPr>
        <w:pStyle w:val="TOC2"/>
        <w:rPr>
          <w:rFonts w:asciiTheme="minorHAnsi" w:eastAsiaTheme="minorEastAsia" w:hAnsiTheme="minorHAnsi"/>
          <w:b w:val="0"/>
          <w:color w:val="auto"/>
          <w:sz w:val="24"/>
          <w:szCs w:val="24"/>
          <w:lang w:eastAsia="en-AU"/>
        </w:rPr>
      </w:pPr>
      <w:hyperlink w:anchor="_Toc233038965" w:history="1">
        <w:r w:rsidRPr="00203F7D">
          <w:rPr>
            <w:rStyle w:val="Hyperlink"/>
          </w:rPr>
          <w:t>5.4</w:t>
        </w:r>
        <w:r>
          <w:rPr>
            <w:rFonts w:asciiTheme="minorHAnsi" w:eastAsiaTheme="minorEastAsia" w:hAnsiTheme="minorHAnsi"/>
            <w:b w:val="0"/>
            <w:color w:val="auto"/>
            <w:sz w:val="24"/>
            <w:szCs w:val="24"/>
            <w:lang w:eastAsia="en-AU"/>
          </w:rPr>
          <w:tab/>
        </w:r>
        <w:r w:rsidRPr="00203F7D">
          <w:rPr>
            <w:rStyle w:val="Hyperlink"/>
          </w:rPr>
          <w:t>Residues in foods</w:t>
        </w:r>
        <w:r>
          <w:rPr>
            <w:webHidden/>
          </w:rPr>
          <w:tab/>
        </w:r>
        <w:r>
          <w:rPr>
            <w:webHidden/>
          </w:rPr>
          <w:fldChar w:fldCharType="begin"/>
        </w:r>
        <w:r>
          <w:rPr>
            <w:webHidden/>
          </w:rPr>
          <w:instrText xml:space="preserve"> PAGEREF _Toc233038965 \h </w:instrText>
        </w:r>
        <w:r>
          <w:rPr>
            <w:webHidden/>
          </w:rPr>
        </w:r>
        <w:r>
          <w:rPr>
            <w:webHidden/>
          </w:rPr>
          <w:fldChar w:fldCharType="separate"/>
        </w:r>
        <w:r>
          <w:rPr>
            <w:webHidden/>
          </w:rPr>
          <w:t>31</w:t>
        </w:r>
        <w:r>
          <w:rPr>
            <w:webHidden/>
          </w:rPr>
          <w:fldChar w:fldCharType="end"/>
        </w:r>
      </w:hyperlink>
    </w:p>
    <w:p w14:paraId="090F2DA1" w14:textId="4E95AD5B" w:rsidR="00602535" w:rsidRDefault="00602535">
      <w:pPr>
        <w:pStyle w:val="TOC3"/>
        <w:tabs>
          <w:tab w:val="left" w:pos="1200"/>
        </w:tabs>
        <w:rPr>
          <w:rFonts w:asciiTheme="minorHAnsi" w:eastAsiaTheme="minorEastAsia" w:hAnsiTheme="minorHAnsi"/>
          <w:sz w:val="24"/>
          <w:szCs w:val="24"/>
          <w:lang w:eastAsia="en-AU"/>
        </w:rPr>
      </w:pPr>
      <w:hyperlink w:anchor="_Toc233038966" w:history="1">
        <w:r w:rsidRPr="00203F7D">
          <w:rPr>
            <w:rStyle w:val="Hyperlink"/>
          </w:rPr>
          <w:t>5.4.1</w:t>
        </w:r>
        <w:r>
          <w:rPr>
            <w:rFonts w:asciiTheme="minorHAnsi" w:eastAsiaTheme="minorEastAsia" w:hAnsiTheme="minorHAnsi"/>
            <w:sz w:val="24"/>
            <w:szCs w:val="24"/>
            <w:lang w:eastAsia="en-AU"/>
          </w:rPr>
          <w:tab/>
        </w:r>
        <w:r w:rsidRPr="00203F7D">
          <w:rPr>
            <w:rStyle w:val="Hyperlink"/>
          </w:rPr>
          <w:t>Cropping situations</w:t>
        </w:r>
        <w:r>
          <w:rPr>
            <w:webHidden/>
          </w:rPr>
          <w:tab/>
        </w:r>
        <w:r>
          <w:rPr>
            <w:webHidden/>
          </w:rPr>
          <w:fldChar w:fldCharType="begin"/>
        </w:r>
        <w:r>
          <w:rPr>
            <w:webHidden/>
          </w:rPr>
          <w:instrText xml:space="preserve"> PAGEREF _Toc233038966 \h </w:instrText>
        </w:r>
        <w:r>
          <w:rPr>
            <w:webHidden/>
          </w:rPr>
        </w:r>
        <w:r>
          <w:rPr>
            <w:webHidden/>
          </w:rPr>
          <w:fldChar w:fldCharType="separate"/>
        </w:r>
        <w:r>
          <w:rPr>
            <w:webHidden/>
          </w:rPr>
          <w:t>31</w:t>
        </w:r>
        <w:r>
          <w:rPr>
            <w:webHidden/>
          </w:rPr>
          <w:fldChar w:fldCharType="end"/>
        </w:r>
      </w:hyperlink>
    </w:p>
    <w:p w14:paraId="2656373B" w14:textId="28A81369" w:rsidR="00602535" w:rsidRDefault="00602535">
      <w:pPr>
        <w:pStyle w:val="TOC3"/>
        <w:tabs>
          <w:tab w:val="left" w:pos="1200"/>
        </w:tabs>
        <w:rPr>
          <w:rFonts w:asciiTheme="minorHAnsi" w:eastAsiaTheme="minorEastAsia" w:hAnsiTheme="minorHAnsi"/>
          <w:sz w:val="24"/>
          <w:szCs w:val="24"/>
          <w:lang w:eastAsia="en-AU"/>
        </w:rPr>
      </w:pPr>
      <w:hyperlink w:anchor="_Toc233038967" w:history="1">
        <w:r w:rsidRPr="00203F7D">
          <w:rPr>
            <w:rStyle w:val="Hyperlink"/>
          </w:rPr>
          <w:t>5.4.2</w:t>
        </w:r>
        <w:r>
          <w:rPr>
            <w:rFonts w:asciiTheme="minorHAnsi" w:eastAsiaTheme="minorEastAsia" w:hAnsiTheme="minorHAnsi"/>
            <w:sz w:val="24"/>
            <w:szCs w:val="24"/>
            <w:lang w:eastAsia="en-AU"/>
          </w:rPr>
          <w:tab/>
        </w:r>
        <w:r w:rsidRPr="00203F7D">
          <w:rPr>
            <w:rStyle w:val="Hyperlink"/>
          </w:rPr>
          <w:t>Summary of diquat residues in submitted studies</w:t>
        </w:r>
        <w:r>
          <w:rPr>
            <w:webHidden/>
          </w:rPr>
          <w:tab/>
        </w:r>
        <w:r>
          <w:rPr>
            <w:webHidden/>
          </w:rPr>
          <w:fldChar w:fldCharType="begin"/>
        </w:r>
        <w:r>
          <w:rPr>
            <w:webHidden/>
          </w:rPr>
          <w:instrText xml:space="preserve"> PAGEREF _Toc233038967 \h </w:instrText>
        </w:r>
        <w:r>
          <w:rPr>
            <w:webHidden/>
          </w:rPr>
        </w:r>
        <w:r>
          <w:rPr>
            <w:webHidden/>
          </w:rPr>
          <w:fldChar w:fldCharType="separate"/>
        </w:r>
        <w:r>
          <w:rPr>
            <w:webHidden/>
          </w:rPr>
          <w:t>32</w:t>
        </w:r>
        <w:r>
          <w:rPr>
            <w:webHidden/>
          </w:rPr>
          <w:fldChar w:fldCharType="end"/>
        </w:r>
      </w:hyperlink>
    </w:p>
    <w:p w14:paraId="54919FAF" w14:textId="5F7A5AB2" w:rsidR="00602535" w:rsidRDefault="00602535">
      <w:pPr>
        <w:pStyle w:val="TOC3"/>
        <w:tabs>
          <w:tab w:val="left" w:pos="1200"/>
        </w:tabs>
        <w:rPr>
          <w:rFonts w:asciiTheme="minorHAnsi" w:eastAsiaTheme="minorEastAsia" w:hAnsiTheme="minorHAnsi"/>
          <w:sz w:val="24"/>
          <w:szCs w:val="24"/>
          <w:lang w:eastAsia="en-AU"/>
        </w:rPr>
      </w:pPr>
      <w:hyperlink w:anchor="_Toc233038968" w:history="1">
        <w:r w:rsidRPr="00203F7D">
          <w:rPr>
            <w:rStyle w:val="Hyperlink"/>
          </w:rPr>
          <w:t>5.4.3</w:t>
        </w:r>
        <w:r>
          <w:rPr>
            <w:rFonts w:asciiTheme="minorHAnsi" w:eastAsiaTheme="minorEastAsia" w:hAnsiTheme="minorHAnsi"/>
            <w:sz w:val="24"/>
            <w:szCs w:val="24"/>
            <w:lang w:eastAsia="en-AU"/>
          </w:rPr>
          <w:tab/>
        </w:r>
        <w:r w:rsidRPr="00203F7D">
          <w:rPr>
            <w:rStyle w:val="Hyperlink"/>
          </w:rPr>
          <w:t>Fruit crops</w:t>
        </w:r>
        <w:r>
          <w:rPr>
            <w:webHidden/>
          </w:rPr>
          <w:tab/>
        </w:r>
        <w:r>
          <w:rPr>
            <w:webHidden/>
          </w:rPr>
          <w:fldChar w:fldCharType="begin"/>
        </w:r>
        <w:r>
          <w:rPr>
            <w:webHidden/>
          </w:rPr>
          <w:instrText xml:space="preserve"> PAGEREF _Toc233038968 \h </w:instrText>
        </w:r>
        <w:r>
          <w:rPr>
            <w:webHidden/>
          </w:rPr>
        </w:r>
        <w:r>
          <w:rPr>
            <w:webHidden/>
          </w:rPr>
          <w:fldChar w:fldCharType="separate"/>
        </w:r>
        <w:r>
          <w:rPr>
            <w:webHidden/>
          </w:rPr>
          <w:t>34</w:t>
        </w:r>
        <w:r>
          <w:rPr>
            <w:webHidden/>
          </w:rPr>
          <w:fldChar w:fldCharType="end"/>
        </w:r>
      </w:hyperlink>
    </w:p>
    <w:p w14:paraId="71A7E0D3" w14:textId="48BFD494" w:rsidR="00602535" w:rsidRDefault="00602535">
      <w:pPr>
        <w:pStyle w:val="TOC3"/>
        <w:tabs>
          <w:tab w:val="left" w:pos="1200"/>
        </w:tabs>
        <w:rPr>
          <w:rFonts w:asciiTheme="minorHAnsi" w:eastAsiaTheme="minorEastAsia" w:hAnsiTheme="minorHAnsi"/>
          <w:sz w:val="24"/>
          <w:szCs w:val="24"/>
          <w:lang w:eastAsia="en-AU"/>
        </w:rPr>
      </w:pPr>
      <w:hyperlink w:anchor="_Toc233038969" w:history="1">
        <w:r w:rsidRPr="00203F7D">
          <w:rPr>
            <w:rStyle w:val="Hyperlink"/>
          </w:rPr>
          <w:t>5.4.4</w:t>
        </w:r>
        <w:r>
          <w:rPr>
            <w:rFonts w:asciiTheme="minorHAnsi" w:eastAsiaTheme="minorEastAsia" w:hAnsiTheme="minorHAnsi"/>
            <w:sz w:val="24"/>
            <w:szCs w:val="24"/>
            <w:lang w:eastAsia="en-AU"/>
          </w:rPr>
          <w:tab/>
        </w:r>
        <w:r w:rsidRPr="00203F7D">
          <w:rPr>
            <w:rStyle w:val="Hyperlink"/>
          </w:rPr>
          <w:t>Vegetable crops</w:t>
        </w:r>
        <w:r>
          <w:rPr>
            <w:webHidden/>
          </w:rPr>
          <w:tab/>
        </w:r>
        <w:r>
          <w:rPr>
            <w:webHidden/>
          </w:rPr>
          <w:fldChar w:fldCharType="begin"/>
        </w:r>
        <w:r>
          <w:rPr>
            <w:webHidden/>
          </w:rPr>
          <w:instrText xml:space="preserve"> PAGEREF _Toc233038969 \h </w:instrText>
        </w:r>
        <w:r>
          <w:rPr>
            <w:webHidden/>
          </w:rPr>
        </w:r>
        <w:r>
          <w:rPr>
            <w:webHidden/>
          </w:rPr>
          <w:fldChar w:fldCharType="separate"/>
        </w:r>
        <w:r>
          <w:rPr>
            <w:webHidden/>
          </w:rPr>
          <w:t>37</w:t>
        </w:r>
        <w:r>
          <w:rPr>
            <w:webHidden/>
          </w:rPr>
          <w:fldChar w:fldCharType="end"/>
        </w:r>
      </w:hyperlink>
    </w:p>
    <w:p w14:paraId="50690034" w14:textId="126B1D9B" w:rsidR="00602535" w:rsidRDefault="00602535">
      <w:pPr>
        <w:pStyle w:val="TOC3"/>
        <w:tabs>
          <w:tab w:val="left" w:pos="1200"/>
        </w:tabs>
        <w:rPr>
          <w:rFonts w:asciiTheme="minorHAnsi" w:eastAsiaTheme="minorEastAsia" w:hAnsiTheme="minorHAnsi"/>
          <w:sz w:val="24"/>
          <w:szCs w:val="24"/>
          <w:lang w:eastAsia="en-AU"/>
        </w:rPr>
      </w:pPr>
      <w:hyperlink w:anchor="_Toc233038970" w:history="1">
        <w:r w:rsidRPr="00203F7D">
          <w:rPr>
            <w:rStyle w:val="Hyperlink"/>
          </w:rPr>
          <w:t>5.4.5</w:t>
        </w:r>
        <w:r>
          <w:rPr>
            <w:rFonts w:asciiTheme="minorHAnsi" w:eastAsiaTheme="minorEastAsia" w:hAnsiTheme="minorHAnsi"/>
            <w:sz w:val="24"/>
            <w:szCs w:val="24"/>
            <w:lang w:eastAsia="en-AU"/>
          </w:rPr>
          <w:tab/>
        </w:r>
        <w:r w:rsidRPr="00203F7D">
          <w:rPr>
            <w:rStyle w:val="Hyperlink"/>
          </w:rPr>
          <w:t>Cereals</w:t>
        </w:r>
        <w:r>
          <w:rPr>
            <w:webHidden/>
          </w:rPr>
          <w:tab/>
        </w:r>
        <w:r>
          <w:rPr>
            <w:webHidden/>
          </w:rPr>
          <w:fldChar w:fldCharType="begin"/>
        </w:r>
        <w:r>
          <w:rPr>
            <w:webHidden/>
          </w:rPr>
          <w:instrText xml:space="preserve"> PAGEREF _Toc233038970 \h </w:instrText>
        </w:r>
        <w:r>
          <w:rPr>
            <w:webHidden/>
          </w:rPr>
        </w:r>
        <w:r>
          <w:rPr>
            <w:webHidden/>
          </w:rPr>
          <w:fldChar w:fldCharType="separate"/>
        </w:r>
        <w:r>
          <w:rPr>
            <w:webHidden/>
          </w:rPr>
          <w:t>46</w:t>
        </w:r>
        <w:r>
          <w:rPr>
            <w:webHidden/>
          </w:rPr>
          <w:fldChar w:fldCharType="end"/>
        </w:r>
      </w:hyperlink>
    </w:p>
    <w:p w14:paraId="6739A6FA" w14:textId="7C89876E" w:rsidR="00602535" w:rsidRDefault="00602535">
      <w:pPr>
        <w:pStyle w:val="TOC3"/>
        <w:tabs>
          <w:tab w:val="left" w:pos="1200"/>
        </w:tabs>
        <w:rPr>
          <w:rFonts w:asciiTheme="minorHAnsi" w:eastAsiaTheme="minorEastAsia" w:hAnsiTheme="minorHAnsi"/>
          <w:sz w:val="24"/>
          <w:szCs w:val="24"/>
          <w:lang w:eastAsia="en-AU"/>
        </w:rPr>
      </w:pPr>
      <w:hyperlink w:anchor="_Toc233038971" w:history="1">
        <w:r w:rsidRPr="00203F7D">
          <w:rPr>
            <w:rStyle w:val="Hyperlink"/>
          </w:rPr>
          <w:t>5.4.6</w:t>
        </w:r>
        <w:r>
          <w:rPr>
            <w:rFonts w:asciiTheme="minorHAnsi" w:eastAsiaTheme="minorEastAsia" w:hAnsiTheme="minorHAnsi"/>
            <w:sz w:val="24"/>
            <w:szCs w:val="24"/>
            <w:lang w:eastAsia="en-AU"/>
          </w:rPr>
          <w:tab/>
        </w:r>
        <w:r w:rsidRPr="00203F7D">
          <w:rPr>
            <w:rStyle w:val="Hyperlink"/>
          </w:rPr>
          <w:t>Oilseeds</w:t>
        </w:r>
        <w:r>
          <w:rPr>
            <w:webHidden/>
          </w:rPr>
          <w:tab/>
        </w:r>
        <w:r>
          <w:rPr>
            <w:webHidden/>
          </w:rPr>
          <w:fldChar w:fldCharType="begin"/>
        </w:r>
        <w:r>
          <w:rPr>
            <w:webHidden/>
          </w:rPr>
          <w:instrText xml:space="preserve"> PAGEREF _Toc233038971 \h </w:instrText>
        </w:r>
        <w:r>
          <w:rPr>
            <w:webHidden/>
          </w:rPr>
        </w:r>
        <w:r>
          <w:rPr>
            <w:webHidden/>
          </w:rPr>
          <w:fldChar w:fldCharType="separate"/>
        </w:r>
        <w:r>
          <w:rPr>
            <w:webHidden/>
          </w:rPr>
          <w:t>50</w:t>
        </w:r>
        <w:r>
          <w:rPr>
            <w:webHidden/>
          </w:rPr>
          <w:fldChar w:fldCharType="end"/>
        </w:r>
      </w:hyperlink>
    </w:p>
    <w:p w14:paraId="29C7A7BA" w14:textId="5CA0E18E" w:rsidR="00602535" w:rsidRDefault="00602535">
      <w:pPr>
        <w:pStyle w:val="TOC3"/>
        <w:tabs>
          <w:tab w:val="left" w:pos="1200"/>
        </w:tabs>
        <w:rPr>
          <w:rFonts w:asciiTheme="minorHAnsi" w:eastAsiaTheme="minorEastAsia" w:hAnsiTheme="minorHAnsi"/>
          <w:sz w:val="24"/>
          <w:szCs w:val="24"/>
          <w:lang w:eastAsia="en-AU"/>
        </w:rPr>
      </w:pPr>
      <w:hyperlink w:anchor="_Toc233038972" w:history="1">
        <w:r w:rsidRPr="00203F7D">
          <w:rPr>
            <w:rStyle w:val="Hyperlink"/>
          </w:rPr>
          <w:t>5.4.7</w:t>
        </w:r>
        <w:r>
          <w:rPr>
            <w:rFonts w:asciiTheme="minorHAnsi" w:eastAsiaTheme="minorEastAsia" w:hAnsiTheme="minorHAnsi"/>
            <w:sz w:val="24"/>
            <w:szCs w:val="24"/>
            <w:lang w:eastAsia="en-AU"/>
          </w:rPr>
          <w:tab/>
        </w:r>
        <w:r w:rsidRPr="00203F7D">
          <w:rPr>
            <w:rStyle w:val="Hyperlink"/>
          </w:rPr>
          <w:t>Sugarcane</w:t>
        </w:r>
        <w:r>
          <w:rPr>
            <w:webHidden/>
          </w:rPr>
          <w:tab/>
        </w:r>
        <w:r>
          <w:rPr>
            <w:webHidden/>
          </w:rPr>
          <w:fldChar w:fldCharType="begin"/>
        </w:r>
        <w:r>
          <w:rPr>
            <w:webHidden/>
          </w:rPr>
          <w:instrText xml:space="preserve"> PAGEREF _Toc233038972 \h </w:instrText>
        </w:r>
        <w:r>
          <w:rPr>
            <w:webHidden/>
          </w:rPr>
        </w:r>
        <w:r>
          <w:rPr>
            <w:webHidden/>
          </w:rPr>
          <w:fldChar w:fldCharType="separate"/>
        </w:r>
        <w:r>
          <w:rPr>
            <w:webHidden/>
          </w:rPr>
          <w:t>54</w:t>
        </w:r>
        <w:r>
          <w:rPr>
            <w:webHidden/>
          </w:rPr>
          <w:fldChar w:fldCharType="end"/>
        </w:r>
      </w:hyperlink>
    </w:p>
    <w:p w14:paraId="6B7A5B6A" w14:textId="69CACB41" w:rsidR="00602535" w:rsidRDefault="00602535">
      <w:pPr>
        <w:pStyle w:val="TOC3"/>
        <w:tabs>
          <w:tab w:val="left" w:pos="1200"/>
        </w:tabs>
        <w:rPr>
          <w:rFonts w:asciiTheme="minorHAnsi" w:eastAsiaTheme="minorEastAsia" w:hAnsiTheme="minorHAnsi"/>
          <w:sz w:val="24"/>
          <w:szCs w:val="24"/>
          <w:lang w:eastAsia="en-AU"/>
        </w:rPr>
      </w:pPr>
      <w:hyperlink w:anchor="_Toc233038973" w:history="1">
        <w:r w:rsidRPr="00203F7D">
          <w:rPr>
            <w:rStyle w:val="Hyperlink"/>
          </w:rPr>
          <w:t>5.4.8</w:t>
        </w:r>
        <w:r>
          <w:rPr>
            <w:rFonts w:asciiTheme="minorHAnsi" w:eastAsiaTheme="minorEastAsia" w:hAnsiTheme="minorHAnsi"/>
            <w:sz w:val="24"/>
            <w:szCs w:val="24"/>
            <w:lang w:eastAsia="en-AU"/>
          </w:rPr>
          <w:tab/>
        </w:r>
        <w:r w:rsidRPr="00203F7D">
          <w:rPr>
            <w:rStyle w:val="Hyperlink"/>
          </w:rPr>
          <w:t>Hops</w:t>
        </w:r>
        <w:r>
          <w:rPr>
            <w:webHidden/>
          </w:rPr>
          <w:tab/>
        </w:r>
        <w:r>
          <w:rPr>
            <w:webHidden/>
          </w:rPr>
          <w:fldChar w:fldCharType="begin"/>
        </w:r>
        <w:r>
          <w:rPr>
            <w:webHidden/>
          </w:rPr>
          <w:instrText xml:space="preserve"> PAGEREF _Toc233038973 \h </w:instrText>
        </w:r>
        <w:r>
          <w:rPr>
            <w:webHidden/>
          </w:rPr>
        </w:r>
        <w:r>
          <w:rPr>
            <w:webHidden/>
          </w:rPr>
          <w:fldChar w:fldCharType="separate"/>
        </w:r>
        <w:r>
          <w:rPr>
            <w:webHidden/>
          </w:rPr>
          <w:t>55</w:t>
        </w:r>
        <w:r>
          <w:rPr>
            <w:webHidden/>
          </w:rPr>
          <w:fldChar w:fldCharType="end"/>
        </w:r>
      </w:hyperlink>
    </w:p>
    <w:p w14:paraId="5011F156" w14:textId="0E11210F" w:rsidR="00602535" w:rsidRDefault="00602535">
      <w:pPr>
        <w:pStyle w:val="TOC3"/>
        <w:tabs>
          <w:tab w:val="left" w:pos="1200"/>
        </w:tabs>
        <w:rPr>
          <w:rFonts w:asciiTheme="minorHAnsi" w:eastAsiaTheme="minorEastAsia" w:hAnsiTheme="minorHAnsi"/>
          <w:sz w:val="24"/>
          <w:szCs w:val="24"/>
          <w:lang w:eastAsia="en-AU"/>
        </w:rPr>
      </w:pPr>
      <w:hyperlink w:anchor="_Toc233038974" w:history="1">
        <w:r w:rsidRPr="00203F7D">
          <w:rPr>
            <w:rStyle w:val="Hyperlink"/>
          </w:rPr>
          <w:t>5.4.9</w:t>
        </w:r>
        <w:r>
          <w:rPr>
            <w:rFonts w:asciiTheme="minorHAnsi" w:eastAsiaTheme="minorEastAsia" w:hAnsiTheme="minorHAnsi"/>
            <w:sz w:val="24"/>
            <w:szCs w:val="24"/>
            <w:lang w:eastAsia="en-AU"/>
          </w:rPr>
          <w:tab/>
        </w:r>
        <w:r w:rsidRPr="00203F7D">
          <w:rPr>
            <w:rStyle w:val="Hyperlink"/>
          </w:rPr>
          <w:t>Processed commodities</w:t>
        </w:r>
        <w:r>
          <w:rPr>
            <w:webHidden/>
          </w:rPr>
          <w:tab/>
        </w:r>
        <w:r>
          <w:rPr>
            <w:webHidden/>
          </w:rPr>
          <w:fldChar w:fldCharType="begin"/>
        </w:r>
        <w:r>
          <w:rPr>
            <w:webHidden/>
          </w:rPr>
          <w:instrText xml:space="preserve"> PAGEREF _Toc233038974 \h </w:instrText>
        </w:r>
        <w:r>
          <w:rPr>
            <w:webHidden/>
          </w:rPr>
        </w:r>
        <w:r>
          <w:rPr>
            <w:webHidden/>
          </w:rPr>
          <w:fldChar w:fldCharType="separate"/>
        </w:r>
        <w:r>
          <w:rPr>
            <w:webHidden/>
          </w:rPr>
          <w:t>55</w:t>
        </w:r>
        <w:r>
          <w:rPr>
            <w:webHidden/>
          </w:rPr>
          <w:fldChar w:fldCharType="end"/>
        </w:r>
      </w:hyperlink>
    </w:p>
    <w:p w14:paraId="5B644596" w14:textId="7A2BA84E" w:rsidR="00602535" w:rsidRDefault="00602535">
      <w:pPr>
        <w:pStyle w:val="TOC3"/>
        <w:tabs>
          <w:tab w:val="left" w:pos="1200"/>
        </w:tabs>
        <w:rPr>
          <w:rFonts w:asciiTheme="minorHAnsi" w:eastAsiaTheme="minorEastAsia" w:hAnsiTheme="minorHAnsi"/>
          <w:sz w:val="24"/>
          <w:szCs w:val="24"/>
          <w:lang w:eastAsia="en-AU"/>
        </w:rPr>
      </w:pPr>
      <w:hyperlink w:anchor="_Toc233038975" w:history="1">
        <w:r w:rsidRPr="00203F7D">
          <w:rPr>
            <w:rStyle w:val="Hyperlink"/>
          </w:rPr>
          <w:t>5.4.10</w:t>
        </w:r>
        <w:r>
          <w:rPr>
            <w:rFonts w:asciiTheme="minorHAnsi" w:eastAsiaTheme="minorEastAsia" w:hAnsiTheme="minorHAnsi"/>
            <w:sz w:val="24"/>
            <w:szCs w:val="24"/>
            <w:lang w:eastAsia="en-AU"/>
          </w:rPr>
          <w:tab/>
        </w:r>
        <w:r w:rsidRPr="00203F7D">
          <w:rPr>
            <w:rStyle w:val="Hyperlink"/>
          </w:rPr>
          <w:t>Use in aquatic areas</w:t>
        </w:r>
        <w:r>
          <w:rPr>
            <w:webHidden/>
          </w:rPr>
          <w:tab/>
        </w:r>
        <w:r>
          <w:rPr>
            <w:webHidden/>
          </w:rPr>
          <w:fldChar w:fldCharType="begin"/>
        </w:r>
        <w:r>
          <w:rPr>
            <w:webHidden/>
          </w:rPr>
          <w:instrText xml:space="preserve"> PAGEREF _Toc233038975 \h </w:instrText>
        </w:r>
        <w:r>
          <w:rPr>
            <w:webHidden/>
          </w:rPr>
        </w:r>
        <w:r>
          <w:rPr>
            <w:webHidden/>
          </w:rPr>
          <w:fldChar w:fldCharType="separate"/>
        </w:r>
        <w:r>
          <w:rPr>
            <w:webHidden/>
          </w:rPr>
          <w:t>56</w:t>
        </w:r>
        <w:r>
          <w:rPr>
            <w:webHidden/>
          </w:rPr>
          <w:fldChar w:fldCharType="end"/>
        </w:r>
      </w:hyperlink>
    </w:p>
    <w:p w14:paraId="30CE6110" w14:textId="1CADB620" w:rsidR="00602535" w:rsidRDefault="00602535">
      <w:pPr>
        <w:pStyle w:val="TOC2"/>
        <w:rPr>
          <w:rFonts w:asciiTheme="minorHAnsi" w:eastAsiaTheme="minorEastAsia" w:hAnsiTheme="minorHAnsi"/>
          <w:b w:val="0"/>
          <w:color w:val="auto"/>
          <w:sz w:val="24"/>
          <w:szCs w:val="24"/>
          <w:lang w:eastAsia="en-AU"/>
        </w:rPr>
      </w:pPr>
      <w:hyperlink w:anchor="_Toc233038976" w:history="1">
        <w:r w:rsidRPr="00203F7D">
          <w:rPr>
            <w:rStyle w:val="Hyperlink"/>
          </w:rPr>
          <w:t>5.5</w:t>
        </w:r>
        <w:r>
          <w:rPr>
            <w:rFonts w:asciiTheme="minorHAnsi" w:eastAsiaTheme="minorEastAsia" w:hAnsiTheme="minorHAnsi"/>
            <w:b w:val="0"/>
            <w:color w:val="auto"/>
            <w:sz w:val="24"/>
            <w:szCs w:val="24"/>
            <w:lang w:eastAsia="en-AU"/>
          </w:rPr>
          <w:tab/>
        </w:r>
        <w:r w:rsidRPr="00203F7D">
          <w:rPr>
            <w:rStyle w:val="Hyperlink"/>
          </w:rPr>
          <w:t>Residues in animal feeds</w:t>
        </w:r>
        <w:r>
          <w:rPr>
            <w:webHidden/>
          </w:rPr>
          <w:tab/>
        </w:r>
        <w:r>
          <w:rPr>
            <w:webHidden/>
          </w:rPr>
          <w:fldChar w:fldCharType="begin"/>
        </w:r>
        <w:r>
          <w:rPr>
            <w:webHidden/>
          </w:rPr>
          <w:instrText xml:space="preserve"> PAGEREF _Toc233038976 \h </w:instrText>
        </w:r>
        <w:r>
          <w:rPr>
            <w:webHidden/>
          </w:rPr>
        </w:r>
        <w:r>
          <w:rPr>
            <w:webHidden/>
          </w:rPr>
          <w:fldChar w:fldCharType="separate"/>
        </w:r>
        <w:r>
          <w:rPr>
            <w:webHidden/>
          </w:rPr>
          <w:t>56</w:t>
        </w:r>
        <w:r>
          <w:rPr>
            <w:webHidden/>
          </w:rPr>
          <w:fldChar w:fldCharType="end"/>
        </w:r>
      </w:hyperlink>
    </w:p>
    <w:p w14:paraId="786E66EB" w14:textId="1A7198CE" w:rsidR="00602535" w:rsidRDefault="00602535">
      <w:pPr>
        <w:pStyle w:val="TOC3"/>
        <w:tabs>
          <w:tab w:val="left" w:pos="1200"/>
        </w:tabs>
        <w:rPr>
          <w:rFonts w:asciiTheme="minorHAnsi" w:eastAsiaTheme="minorEastAsia" w:hAnsiTheme="minorHAnsi"/>
          <w:sz w:val="24"/>
          <w:szCs w:val="24"/>
          <w:lang w:eastAsia="en-AU"/>
        </w:rPr>
      </w:pPr>
      <w:hyperlink w:anchor="_Toc233038977" w:history="1">
        <w:r w:rsidRPr="00203F7D">
          <w:rPr>
            <w:rStyle w:val="Hyperlink"/>
          </w:rPr>
          <w:t>5.5.1</w:t>
        </w:r>
        <w:r>
          <w:rPr>
            <w:rFonts w:asciiTheme="minorHAnsi" w:eastAsiaTheme="minorEastAsia" w:hAnsiTheme="minorHAnsi"/>
            <w:sz w:val="24"/>
            <w:szCs w:val="24"/>
            <w:lang w:eastAsia="en-AU"/>
          </w:rPr>
          <w:tab/>
        </w:r>
        <w:r w:rsidRPr="00203F7D">
          <w:rPr>
            <w:rStyle w:val="Hyperlink"/>
          </w:rPr>
          <w:t>Animal feed derived from grasses (including cereals)</w:t>
        </w:r>
        <w:r>
          <w:rPr>
            <w:webHidden/>
          </w:rPr>
          <w:tab/>
        </w:r>
        <w:r>
          <w:rPr>
            <w:webHidden/>
          </w:rPr>
          <w:fldChar w:fldCharType="begin"/>
        </w:r>
        <w:r>
          <w:rPr>
            <w:webHidden/>
          </w:rPr>
          <w:instrText xml:space="preserve"> PAGEREF _Toc233038977 \h </w:instrText>
        </w:r>
        <w:r>
          <w:rPr>
            <w:webHidden/>
          </w:rPr>
        </w:r>
        <w:r>
          <w:rPr>
            <w:webHidden/>
          </w:rPr>
          <w:fldChar w:fldCharType="separate"/>
        </w:r>
        <w:r>
          <w:rPr>
            <w:webHidden/>
          </w:rPr>
          <w:t>57</w:t>
        </w:r>
        <w:r>
          <w:rPr>
            <w:webHidden/>
          </w:rPr>
          <w:fldChar w:fldCharType="end"/>
        </w:r>
      </w:hyperlink>
    </w:p>
    <w:p w14:paraId="3E6F49D8" w14:textId="7BE9DABF" w:rsidR="00602535" w:rsidRDefault="00602535">
      <w:pPr>
        <w:pStyle w:val="TOC3"/>
        <w:tabs>
          <w:tab w:val="left" w:pos="1200"/>
        </w:tabs>
        <w:rPr>
          <w:rFonts w:asciiTheme="minorHAnsi" w:eastAsiaTheme="minorEastAsia" w:hAnsiTheme="minorHAnsi"/>
          <w:sz w:val="24"/>
          <w:szCs w:val="24"/>
          <w:lang w:eastAsia="en-AU"/>
        </w:rPr>
      </w:pPr>
      <w:hyperlink w:anchor="_Toc233038978" w:history="1">
        <w:r w:rsidRPr="00203F7D">
          <w:rPr>
            <w:rStyle w:val="Hyperlink"/>
          </w:rPr>
          <w:t>5.5.2</w:t>
        </w:r>
        <w:r>
          <w:rPr>
            <w:rFonts w:asciiTheme="minorHAnsi" w:eastAsiaTheme="minorEastAsia" w:hAnsiTheme="minorHAnsi"/>
            <w:sz w:val="24"/>
            <w:szCs w:val="24"/>
            <w:lang w:eastAsia="en-AU"/>
          </w:rPr>
          <w:tab/>
        </w:r>
        <w:r w:rsidRPr="00203F7D">
          <w:rPr>
            <w:rStyle w:val="Hyperlink"/>
          </w:rPr>
          <w:t>Animal feed derived from legumes</w:t>
        </w:r>
        <w:r>
          <w:rPr>
            <w:webHidden/>
          </w:rPr>
          <w:tab/>
        </w:r>
        <w:r>
          <w:rPr>
            <w:webHidden/>
          </w:rPr>
          <w:fldChar w:fldCharType="begin"/>
        </w:r>
        <w:r>
          <w:rPr>
            <w:webHidden/>
          </w:rPr>
          <w:instrText xml:space="preserve"> PAGEREF _Toc233038978 \h </w:instrText>
        </w:r>
        <w:r>
          <w:rPr>
            <w:webHidden/>
          </w:rPr>
        </w:r>
        <w:r>
          <w:rPr>
            <w:webHidden/>
          </w:rPr>
          <w:fldChar w:fldCharType="separate"/>
        </w:r>
        <w:r>
          <w:rPr>
            <w:webHidden/>
          </w:rPr>
          <w:t>57</w:t>
        </w:r>
        <w:r>
          <w:rPr>
            <w:webHidden/>
          </w:rPr>
          <w:fldChar w:fldCharType="end"/>
        </w:r>
      </w:hyperlink>
    </w:p>
    <w:p w14:paraId="4E70C2B4" w14:textId="3BD7F1B5" w:rsidR="00602535" w:rsidRDefault="00602535">
      <w:pPr>
        <w:pStyle w:val="TOC3"/>
        <w:tabs>
          <w:tab w:val="left" w:pos="1200"/>
        </w:tabs>
        <w:rPr>
          <w:rFonts w:asciiTheme="minorHAnsi" w:eastAsiaTheme="minorEastAsia" w:hAnsiTheme="minorHAnsi"/>
          <w:sz w:val="24"/>
          <w:szCs w:val="24"/>
          <w:lang w:eastAsia="en-AU"/>
        </w:rPr>
      </w:pPr>
      <w:hyperlink w:anchor="_Toc233038979" w:history="1">
        <w:r w:rsidRPr="00203F7D">
          <w:rPr>
            <w:rStyle w:val="Hyperlink"/>
          </w:rPr>
          <w:t>5.5.3</w:t>
        </w:r>
        <w:r>
          <w:rPr>
            <w:rFonts w:asciiTheme="minorHAnsi" w:eastAsiaTheme="minorEastAsia" w:hAnsiTheme="minorHAnsi"/>
            <w:sz w:val="24"/>
            <w:szCs w:val="24"/>
            <w:lang w:eastAsia="en-AU"/>
          </w:rPr>
          <w:tab/>
        </w:r>
        <w:r w:rsidRPr="00203F7D">
          <w:rPr>
            <w:rStyle w:val="Hyperlink"/>
          </w:rPr>
          <w:t>Animal feeds derived from oilseeds</w:t>
        </w:r>
        <w:r>
          <w:rPr>
            <w:webHidden/>
          </w:rPr>
          <w:tab/>
        </w:r>
        <w:r>
          <w:rPr>
            <w:webHidden/>
          </w:rPr>
          <w:fldChar w:fldCharType="begin"/>
        </w:r>
        <w:r>
          <w:rPr>
            <w:webHidden/>
          </w:rPr>
          <w:instrText xml:space="preserve"> PAGEREF _Toc233038979 \h </w:instrText>
        </w:r>
        <w:r>
          <w:rPr>
            <w:webHidden/>
          </w:rPr>
        </w:r>
        <w:r>
          <w:rPr>
            <w:webHidden/>
          </w:rPr>
          <w:fldChar w:fldCharType="separate"/>
        </w:r>
        <w:r>
          <w:rPr>
            <w:webHidden/>
          </w:rPr>
          <w:t>58</w:t>
        </w:r>
        <w:r>
          <w:rPr>
            <w:webHidden/>
          </w:rPr>
          <w:fldChar w:fldCharType="end"/>
        </w:r>
      </w:hyperlink>
    </w:p>
    <w:p w14:paraId="56EA480F" w14:textId="214BD90E" w:rsidR="00602535" w:rsidRDefault="00602535">
      <w:pPr>
        <w:pStyle w:val="TOC3"/>
        <w:tabs>
          <w:tab w:val="left" w:pos="1200"/>
        </w:tabs>
        <w:rPr>
          <w:rFonts w:asciiTheme="minorHAnsi" w:eastAsiaTheme="minorEastAsia" w:hAnsiTheme="minorHAnsi"/>
          <w:sz w:val="24"/>
          <w:szCs w:val="24"/>
          <w:lang w:eastAsia="en-AU"/>
        </w:rPr>
      </w:pPr>
      <w:hyperlink w:anchor="_Toc233038980" w:history="1">
        <w:r w:rsidRPr="00203F7D">
          <w:rPr>
            <w:rStyle w:val="Hyperlink"/>
          </w:rPr>
          <w:t>5.5.4</w:t>
        </w:r>
        <w:r>
          <w:rPr>
            <w:rFonts w:asciiTheme="minorHAnsi" w:eastAsiaTheme="minorEastAsia" w:hAnsiTheme="minorHAnsi"/>
            <w:sz w:val="24"/>
            <w:szCs w:val="24"/>
            <w:lang w:eastAsia="en-AU"/>
          </w:rPr>
          <w:tab/>
        </w:r>
        <w:r w:rsidRPr="00203F7D">
          <w:rPr>
            <w:rStyle w:val="Hyperlink"/>
          </w:rPr>
          <w:t>Other animal feeds</w:t>
        </w:r>
        <w:r>
          <w:rPr>
            <w:webHidden/>
          </w:rPr>
          <w:tab/>
        </w:r>
        <w:r>
          <w:rPr>
            <w:webHidden/>
          </w:rPr>
          <w:fldChar w:fldCharType="begin"/>
        </w:r>
        <w:r>
          <w:rPr>
            <w:webHidden/>
          </w:rPr>
          <w:instrText xml:space="preserve"> PAGEREF _Toc233038980 \h </w:instrText>
        </w:r>
        <w:r>
          <w:rPr>
            <w:webHidden/>
          </w:rPr>
        </w:r>
        <w:r>
          <w:rPr>
            <w:webHidden/>
          </w:rPr>
          <w:fldChar w:fldCharType="separate"/>
        </w:r>
        <w:r>
          <w:rPr>
            <w:webHidden/>
          </w:rPr>
          <w:t>58</w:t>
        </w:r>
        <w:r>
          <w:rPr>
            <w:webHidden/>
          </w:rPr>
          <w:fldChar w:fldCharType="end"/>
        </w:r>
      </w:hyperlink>
    </w:p>
    <w:p w14:paraId="74DB4B07" w14:textId="2F642244" w:rsidR="00602535" w:rsidRDefault="00602535">
      <w:pPr>
        <w:pStyle w:val="TOC3"/>
        <w:tabs>
          <w:tab w:val="left" w:pos="1200"/>
        </w:tabs>
        <w:rPr>
          <w:rFonts w:asciiTheme="minorHAnsi" w:eastAsiaTheme="minorEastAsia" w:hAnsiTheme="minorHAnsi"/>
          <w:sz w:val="24"/>
          <w:szCs w:val="24"/>
          <w:lang w:eastAsia="en-AU"/>
        </w:rPr>
      </w:pPr>
      <w:hyperlink w:anchor="_Toc233038981" w:history="1">
        <w:r w:rsidRPr="00203F7D">
          <w:rPr>
            <w:rStyle w:val="Hyperlink"/>
          </w:rPr>
          <w:t>5.5.5</w:t>
        </w:r>
        <w:r>
          <w:rPr>
            <w:rFonts w:asciiTheme="minorHAnsi" w:eastAsiaTheme="minorEastAsia" w:hAnsiTheme="minorHAnsi"/>
            <w:sz w:val="24"/>
            <w:szCs w:val="24"/>
            <w:lang w:eastAsia="en-AU"/>
          </w:rPr>
          <w:tab/>
        </w:r>
        <w:r w:rsidRPr="00203F7D">
          <w:rPr>
            <w:rStyle w:val="Hyperlink"/>
          </w:rPr>
          <w:t>Conclusion on residues in animal feeds</w:t>
        </w:r>
        <w:r>
          <w:rPr>
            <w:webHidden/>
          </w:rPr>
          <w:tab/>
        </w:r>
        <w:r>
          <w:rPr>
            <w:webHidden/>
          </w:rPr>
          <w:fldChar w:fldCharType="begin"/>
        </w:r>
        <w:r>
          <w:rPr>
            <w:webHidden/>
          </w:rPr>
          <w:instrText xml:space="preserve"> PAGEREF _Toc233038981 \h </w:instrText>
        </w:r>
        <w:r>
          <w:rPr>
            <w:webHidden/>
          </w:rPr>
        </w:r>
        <w:r>
          <w:rPr>
            <w:webHidden/>
          </w:rPr>
          <w:fldChar w:fldCharType="separate"/>
        </w:r>
        <w:r>
          <w:rPr>
            <w:webHidden/>
          </w:rPr>
          <w:t>59</w:t>
        </w:r>
        <w:r>
          <w:rPr>
            <w:webHidden/>
          </w:rPr>
          <w:fldChar w:fldCharType="end"/>
        </w:r>
      </w:hyperlink>
    </w:p>
    <w:p w14:paraId="1BDA34BF" w14:textId="5DA10695" w:rsidR="00602535" w:rsidRDefault="00602535">
      <w:pPr>
        <w:pStyle w:val="TOC2"/>
        <w:rPr>
          <w:rFonts w:asciiTheme="minorHAnsi" w:eastAsiaTheme="minorEastAsia" w:hAnsiTheme="minorHAnsi"/>
          <w:b w:val="0"/>
          <w:color w:val="auto"/>
          <w:sz w:val="24"/>
          <w:szCs w:val="24"/>
          <w:lang w:eastAsia="en-AU"/>
        </w:rPr>
      </w:pPr>
      <w:hyperlink w:anchor="_Toc233038982" w:history="1">
        <w:r w:rsidRPr="00203F7D">
          <w:rPr>
            <w:rStyle w:val="Hyperlink"/>
          </w:rPr>
          <w:t>5.6</w:t>
        </w:r>
        <w:r>
          <w:rPr>
            <w:rFonts w:asciiTheme="minorHAnsi" w:eastAsiaTheme="minorEastAsia" w:hAnsiTheme="minorHAnsi"/>
            <w:b w:val="0"/>
            <w:color w:val="auto"/>
            <w:sz w:val="24"/>
            <w:szCs w:val="24"/>
            <w:lang w:eastAsia="en-AU"/>
          </w:rPr>
          <w:tab/>
        </w:r>
        <w:r w:rsidRPr="00203F7D">
          <w:rPr>
            <w:rStyle w:val="Hyperlink"/>
          </w:rPr>
          <w:t>Animal transfer studies and animal commodity MRLs</w:t>
        </w:r>
        <w:r>
          <w:rPr>
            <w:webHidden/>
          </w:rPr>
          <w:tab/>
        </w:r>
        <w:r>
          <w:rPr>
            <w:webHidden/>
          </w:rPr>
          <w:fldChar w:fldCharType="begin"/>
        </w:r>
        <w:r>
          <w:rPr>
            <w:webHidden/>
          </w:rPr>
          <w:instrText xml:space="preserve"> PAGEREF _Toc233038982 \h </w:instrText>
        </w:r>
        <w:r>
          <w:rPr>
            <w:webHidden/>
          </w:rPr>
        </w:r>
        <w:r>
          <w:rPr>
            <w:webHidden/>
          </w:rPr>
          <w:fldChar w:fldCharType="separate"/>
        </w:r>
        <w:r>
          <w:rPr>
            <w:webHidden/>
          </w:rPr>
          <w:t>59</w:t>
        </w:r>
        <w:r>
          <w:rPr>
            <w:webHidden/>
          </w:rPr>
          <w:fldChar w:fldCharType="end"/>
        </w:r>
      </w:hyperlink>
    </w:p>
    <w:p w14:paraId="1D2637C4" w14:textId="103DB6DA" w:rsidR="00602535" w:rsidRDefault="00602535">
      <w:pPr>
        <w:pStyle w:val="TOC3"/>
        <w:tabs>
          <w:tab w:val="left" w:pos="1200"/>
        </w:tabs>
        <w:rPr>
          <w:rFonts w:asciiTheme="minorHAnsi" w:eastAsiaTheme="minorEastAsia" w:hAnsiTheme="minorHAnsi"/>
          <w:sz w:val="24"/>
          <w:szCs w:val="24"/>
          <w:lang w:eastAsia="en-AU"/>
        </w:rPr>
      </w:pPr>
      <w:hyperlink w:anchor="_Toc233038983" w:history="1">
        <w:r w:rsidRPr="00203F7D">
          <w:rPr>
            <w:rStyle w:val="Hyperlink"/>
          </w:rPr>
          <w:t>5.6.1</w:t>
        </w:r>
        <w:r>
          <w:rPr>
            <w:rFonts w:asciiTheme="minorHAnsi" w:eastAsiaTheme="minorEastAsia" w:hAnsiTheme="minorHAnsi"/>
            <w:sz w:val="24"/>
            <w:szCs w:val="24"/>
            <w:lang w:eastAsia="en-AU"/>
          </w:rPr>
          <w:tab/>
        </w:r>
        <w:r w:rsidRPr="00203F7D">
          <w:rPr>
            <w:rStyle w:val="Hyperlink"/>
          </w:rPr>
          <w:t>Poultry</w:t>
        </w:r>
        <w:r>
          <w:rPr>
            <w:webHidden/>
          </w:rPr>
          <w:tab/>
        </w:r>
        <w:r>
          <w:rPr>
            <w:webHidden/>
          </w:rPr>
          <w:fldChar w:fldCharType="begin"/>
        </w:r>
        <w:r>
          <w:rPr>
            <w:webHidden/>
          </w:rPr>
          <w:instrText xml:space="preserve"> PAGEREF _Toc233038983 \h </w:instrText>
        </w:r>
        <w:r>
          <w:rPr>
            <w:webHidden/>
          </w:rPr>
        </w:r>
        <w:r>
          <w:rPr>
            <w:webHidden/>
          </w:rPr>
          <w:fldChar w:fldCharType="separate"/>
        </w:r>
        <w:r>
          <w:rPr>
            <w:webHidden/>
          </w:rPr>
          <w:t>59</w:t>
        </w:r>
        <w:r>
          <w:rPr>
            <w:webHidden/>
          </w:rPr>
          <w:fldChar w:fldCharType="end"/>
        </w:r>
      </w:hyperlink>
    </w:p>
    <w:p w14:paraId="5E360C67" w14:textId="52F706AB" w:rsidR="00602535" w:rsidRDefault="00602535">
      <w:pPr>
        <w:pStyle w:val="TOC3"/>
        <w:tabs>
          <w:tab w:val="left" w:pos="1200"/>
        </w:tabs>
        <w:rPr>
          <w:rFonts w:asciiTheme="minorHAnsi" w:eastAsiaTheme="minorEastAsia" w:hAnsiTheme="minorHAnsi"/>
          <w:sz w:val="24"/>
          <w:szCs w:val="24"/>
          <w:lang w:eastAsia="en-AU"/>
        </w:rPr>
      </w:pPr>
      <w:hyperlink w:anchor="_Toc233038984" w:history="1">
        <w:r w:rsidRPr="00203F7D">
          <w:rPr>
            <w:rStyle w:val="Hyperlink"/>
          </w:rPr>
          <w:t>5.6.2</w:t>
        </w:r>
        <w:r>
          <w:rPr>
            <w:rFonts w:asciiTheme="minorHAnsi" w:eastAsiaTheme="minorEastAsia" w:hAnsiTheme="minorHAnsi"/>
            <w:sz w:val="24"/>
            <w:szCs w:val="24"/>
            <w:lang w:eastAsia="en-AU"/>
          </w:rPr>
          <w:tab/>
        </w:r>
        <w:r w:rsidRPr="00203F7D">
          <w:rPr>
            <w:rStyle w:val="Hyperlink"/>
          </w:rPr>
          <w:t>Ruminants</w:t>
        </w:r>
        <w:r>
          <w:rPr>
            <w:webHidden/>
          </w:rPr>
          <w:tab/>
        </w:r>
        <w:r>
          <w:rPr>
            <w:webHidden/>
          </w:rPr>
          <w:fldChar w:fldCharType="begin"/>
        </w:r>
        <w:r>
          <w:rPr>
            <w:webHidden/>
          </w:rPr>
          <w:instrText xml:space="preserve"> PAGEREF _Toc233038984 \h </w:instrText>
        </w:r>
        <w:r>
          <w:rPr>
            <w:webHidden/>
          </w:rPr>
        </w:r>
        <w:r>
          <w:rPr>
            <w:webHidden/>
          </w:rPr>
          <w:fldChar w:fldCharType="separate"/>
        </w:r>
        <w:r>
          <w:rPr>
            <w:webHidden/>
          </w:rPr>
          <w:t>61</w:t>
        </w:r>
        <w:r>
          <w:rPr>
            <w:webHidden/>
          </w:rPr>
          <w:fldChar w:fldCharType="end"/>
        </w:r>
      </w:hyperlink>
    </w:p>
    <w:p w14:paraId="5A86C014" w14:textId="2E5D7931" w:rsidR="00602535" w:rsidRDefault="00602535">
      <w:pPr>
        <w:pStyle w:val="TOC3"/>
        <w:tabs>
          <w:tab w:val="left" w:pos="1200"/>
        </w:tabs>
        <w:rPr>
          <w:rFonts w:asciiTheme="minorHAnsi" w:eastAsiaTheme="minorEastAsia" w:hAnsiTheme="minorHAnsi"/>
          <w:sz w:val="24"/>
          <w:szCs w:val="24"/>
          <w:lang w:eastAsia="en-AU"/>
        </w:rPr>
      </w:pPr>
      <w:hyperlink w:anchor="_Toc233038985" w:history="1">
        <w:r w:rsidRPr="00203F7D">
          <w:rPr>
            <w:rStyle w:val="Hyperlink"/>
          </w:rPr>
          <w:t>5.6.3</w:t>
        </w:r>
        <w:r>
          <w:rPr>
            <w:rFonts w:asciiTheme="minorHAnsi" w:eastAsiaTheme="minorEastAsia" w:hAnsiTheme="minorHAnsi"/>
            <w:sz w:val="24"/>
            <w:szCs w:val="24"/>
            <w:lang w:eastAsia="en-AU"/>
          </w:rPr>
          <w:tab/>
        </w:r>
        <w:r w:rsidRPr="00203F7D">
          <w:rPr>
            <w:rStyle w:val="Hyperlink"/>
          </w:rPr>
          <w:t>Required animal commodity MRLs</w:t>
        </w:r>
        <w:r>
          <w:rPr>
            <w:webHidden/>
          </w:rPr>
          <w:tab/>
        </w:r>
        <w:r>
          <w:rPr>
            <w:webHidden/>
          </w:rPr>
          <w:fldChar w:fldCharType="begin"/>
        </w:r>
        <w:r>
          <w:rPr>
            <w:webHidden/>
          </w:rPr>
          <w:instrText xml:space="preserve"> PAGEREF _Toc233038985 \h </w:instrText>
        </w:r>
        <w:r>
          <w:rPr>
            <w:webHidden/>
          </w:rPr>
        </w:r>
        <w:r>
          <w:rPr>
            <w:webHidden/>
          </w:rPr>
          <w:fldChar w:fldCharType="separate"/>
        </w:r>
        <w:r>
          <w:rPr>
            <w:webHidden/>
          </w:rPr>
          <w:t>64</w:t>
        </w:r>
        <w:r>
          <w:rPr>
            <w:webHidden/>
          </w:rPr>
          <w:fldChar w:fldCharType="end"/>
        </w:r>
      </w:hyperlink>
    </w:p>
    <w:p w14:paraId="7E83B859" w14:textId="1FC546E9" w:rsidR="00602535" w:rsidRDefault="00602535">
      <w:pPr>
        <w:pStyle w:val="TOC2"/>
        <w:rPr>
          <w:rFonts w:asciiTheme="minorHAnsi" w:eastAsiaTheme="minorEastAsia" w:hAnsiTheme="minorHAnsi"/>
          <w:b w:val="0"/>
          <w:color w:val="auto"/>
          <w:sz w:val="24"/>
          <w:szCs w:val="24"/>
          <w:lang w:eastAsia="en-AU"/>
        </w:rPr>
      </w:pPr>
      <w:hyperlink w:anchor="_Toc233038986" w:history="1">
        <w:r w:rsidRPr="00203F7D">
          <w:rPr>
            <w:rStyle w:val="Hyperlink"/>
          </w:rPr>
          <w:t>5.7</w:t>
        </w:r>
        <w:r>
          <w:rPr>
            <w:rFonts w:asciiTheme="minorHAnsi" w:eastAsiaTheme="minorEastAsia" w:hAnsiTheme="minorHAnsi"/>
            <w:b w:val="0"/>
            <w:color w:val="auto"/>
            <w:sz w:val="24"/>
            <w:szCs w:val="24"/>
            <w:lang w:eastAsia="en-AU"/>
          </w:rPr>
          <w:tab/>
        </w:r>
        <w:r w:rsidRPr="00203F7D">
          <w:rPr>
            <w:rStyle w:val="Hyperlink"/>
          </w:rPr>
          <w:t>Crop rotation</w:t>
        </w:r>
        <w:r>
          <w:rPr>
            <w:webHidden/>
          </w:rPr>
          <w:tab/>
        </w:r>
        <w:r>
          <w:rPr>
            <w:webHidden/>
          </w:rPr>
          <w:fldChar w:fldCharType="begin"/>
        </w:r>
        <w:r>
          <w:rPr>
            <w:webHidden/>
          </w:rPr>
          <w:instrText xml:space="preserve"> PAGEREF _Toc233038986 \h </w:instrText>
        </w:r>
        <w:r>
          <w:rPr>
            <w:webHidden/>
          </w:rPr>
        </w:r>
        <w:r>
          <w:rPr>
            <w:webHidden/>
          </w:rPr>
          <w:fldChar w:fldCharType="separate"/>
        </w:r>
        <w:r>
          <w:rPr>
            <w:webHidden/>
          </w:rPr>
          <w:t>64</w:t>
        </w:r>
        <w:r>
          <w:rPr>
            <w:webHidden/>
          </w:rPr>
          <w:fldChar w:fldCharType="end"/>
        </w:r>
      </w:hyperlink>
    </w:p>
    <w:p w14:paraId="1E441C8E" w14:textId="5F357DFB" w:rsidR="00602535" w:rsidRDefault="00602535">
      <w:pPr>
        <w:pStyle w:val="TOC2"/>
        <w:rPr>
          <w:rFonts w:asciiTheme="minorHAnsi" w:eastAsiaTheme="minorEastAsia" w:hAnsiTheme="minorHAnsi"/>
          <w:b w:val="0"/>
          <w:color w:val="auto"/>
          <w:sz w:val="24"/>
          <w:szCs w:val="24"/>
          <w:lang w:eastAsia="en-AU"/>
        </w:rPr>
      </w:pPr>
      <w:hyperlink w:anchor="_Toc233038987" w:history="1">
        <w:r w:rsidRPr="00203F7D">
          <w:rPr>
            <w:rStyle w:val="Hyperlink"/>
          </w:rPr>
          <w:t>5.8</w:t>
        </w:r>
        <w:r>
          <w:rPr>
            <w:rFonts w:asciiTheme="minorHAnsi" w:eastAsiaTheme="minorEastAsia" w:hAnsiTheme="minorHAnsi"/>
            <w:b w:val="0"/>
            <w:color w:val="auto"/>
            <w:sz w:val="24"/>
            <w:szCs w:val="24"/>
            <w:lang w:eastAsia="en-AU"/>
          </w:rPr>
          <w:tab/>
        </w:r>
        <w:r w:rsidRPr="00203F7D">
          <w:rPr>
            <w:rStyle w:val="Hyperlink"/>
          </w:rPr>
          <w:t>Spray drift for livestock areas</w:t>
        </w:r>
        <w:r>
          <w:rPr>
            <w:webHidden/>
          </w:rPr>
          <w:tab/>
        </w:r>
        <w:r>
          <w:rPr>
            <w:webHidden/>
          </w:rPr>
          <w:fldChar w:fldCharType="begin"/>
        </w:r>
        <w:r>
          <w:rPr>
            <w:webHidden/>
          </w:rPr>
          <w:instrText xml:space="preserve"> PAGEREF _Toc233038987 \h </w:instrText>
        </w:r>
        <w:r>
          <w:rPr>
            <w:webHidden/>
          </w:rPr>
        </w:r>
        <w:r>
          <w:rPr>
            <w:webHidden/>
          </w:rPr>
          <w:fldChar w:fldCharType="separate"/>
        </w:r>
        <w:r>
          <w:rPr>
            <w:webHidden/>
          </w:rPr>
          <w:t>65</w:t>
        </w:r>
        <w:r>
          <w:rPr>
            <w:webHidden/>
          </w:rPr>
          <w:fldChar w:fldCharType="end"/>
        </w:r>
      </w:hyperlink>
    </w:p>
    <w:p w14:paraId="36082E8E" w14:textId="7EB3710D" w:rsidR="00602535" w:rsidRDefault="00602535">
      <w:pPr>
        <w:pStyle w:val="TOC2"/>
        <w:rPr>
          <w:rFonts w:asciiTheme="minorHAnsi" w:eastAsiaTheme="minorEastAsia" w:hAnsiTheme="minorHAnsi"/>
          <w:b w:val="0"/>
          <w:color w:val="auto"/>
          <w:sz w:val="24"/>
          <w:szCs w:val="24"/>
          <w:lang w:eastAsia="en-AU"/>
        </w:rPr>
      </w:pPr>
      <w:hyperlink w:anchor="_Toc233038988" w:history="1">
        <w:r w:rsidRPr="00203F7D">
          <w:rPr>
            <w:rStyle w:val="Hyperlink"/>
          </w:rPr>
          <w:t>5.9</w:t>
        </w:r>
        <w:r>
          <w:rPr>
            <w:rFonts w:asciiTheme="minorHAnsi" w:eastAsiaTheme="minorEastAsia" w:hAnsiTheme="minorHAnsi"/>
            <w:b w:val="0"/>
            <w:color w:val="auto"/>
            <w:sz w:val="24"/>
            <w:szCs w:val="24"/>
            <w:lang w:eastAsia="en-AU"/>
          </w:rPr>
          <w:tab/>
        </w:r>
        <w:r w:rsidRPr="00203F7D">
          <w:rPr>
            <w:rStyle w:val="Hyperlink"/>
          </w:rPr>
          <w:t>Dietary risk assessment</w:t>
        </w:r>
        <w:r>
          <w:rPr>
            <w:webHidden/>
          </w:rPr>
          <w:tab/>
        </w:r>
        <w:r>
          <w:rPr>
            <w:webHidden/>
          </w:rPr>
          <w:fldChar w:fldCharType="begin"/>
        </w:r>
        <w:r>
          <w:rPr>
            <w:webHidden/>
          </w:rPr>
          <w:instrText xml:space="preserve"> PAGEREF _Toc233038988 \h </w:instrText>
        </w:r>
        <w:r>
          <w:rPr>
            <w:webHidden/>
          </w:rPr>
        </w:r>
        <w:r>
          <w:rPr>
            <w:webHidden/>
          </w:rPr>
          <w:fldChar w:fldCharType="separate"/>
        </w:r>
        <w:r>
          <w:rPr>
            <w:webHidden/>
          </w:rPr>
          <w:t>65</w:t>
        </w:r>
        <w:r>
          <w:rPr>
            <w:webHidden/>
          </w:rPr>
          <w:fldChar w:fldCharType="end"/>
        </w:r>
      </w:hyperlink>
    </w:p>
    <w:p w14:paraId="72EED58D" w14:textId="6A7C489F" w:rsidR="00602535" w:rsidRDefault="00602535">
      <w:pPr>
        <w:pStyle w:val="TOC3"/>
        <w:tabs>
          <w:tab w:val="left" w:pos="1200"/>
        </w:tabs>
        <w:rPr>
          <w:rFonts w:asciiTheme="minorHAnsi" w:eastAsiaTheme="minorEastAsia" w:hAnsiTheme="minorHAnsi"/>
          <w:sz w:val="24"/>
          <w:szCs w:val="24"/>
          <w:lang w:eastAsia="en-AU"/>
        </w:rPr>
      </w:pPr>
      <w:hyperlink w:anchor="_Toc233038989" w:history="1">
        <w:r w:rsidRPr="00203F7D">
          <w:rPr>
            <w:rStyle w:val="Hyperlink"/>
          </w:rPr>
          <w:t>5.9.1</w:t>
        </w:r>
        <w:r>
          <w:rPr>
            <w:rFonts w:asciiTheme="minorHAnsi" w:eastAsiaTheme="minorEastAsia" w:hAnsiTheme="minorHAnsi"/>
            <w:sz w:val="24"/>
            <w:szCs w:val="24"/>
            <w:lang w:eastAsia="en-AU"/>
          </w:rPr>
          <w:tab/>
        </w:r>
        <w:r w:rsidRPr="00203F7D">
          <w:rPr>
            <w:rStyle w:val="Hyperlink"/>
          </w:rPr>
          <w:t>Chronic dietary exposure assessment</w:t>
        </w:r>
        <w:r>
          <w:rPr>
            <w:webHidden/>
          </w:rPr>
          <w:tab/>
        </w:r>
        <w:r>
          <w:rPr>
            <w:webHidden/>
          </w:rPr>
          <w:fldChar w:fldCharType="begin"/>
        </w:r>
        <w:r>
          <w:rPr>
            <w:webHidden/>
          </w:rPr>
          <w:instrText xml:space="preserve"> PAGEREF _Toc233038989 \h </w:instrText>
        </w:r>
        <w:r>
          <w:rPr>
            <w:webHidden/>
          </w:rPr>
        </w:r>
        <w:r>
          <w:rPr>
            <w:webHidden/>
          </w:rPr>
          <w:fldChar w:fldCharType="separate"/>
        </w:r>
        <w:r>
          <w:rPr>
            <w:webHidden/>
          </w:rPr>
          <w:t>65</w:t>
        </w:r>
        <w:r>
          <w:rPr>
            <w:webHidden/>
          </w:rPr>
          <w:fldChar w:fldCharType="end"/>
        </w:r>
      </w:hyperlink>
    </w:p>
    <w:p w14:paraId="4F836581" w14:textId="7F769461" w:rsidR="00602535" w:rsidRDefault="00602535">
      <w:pPr>
        <w:pStyle w:val="TOC3"/>
        <w:tabs>
          <w:tab w:val="left" w:pos="1200"/>
        </w:tabs>
        <w:rPr>
          <w:rFonts w:asciiTheme="minorHAnsi" w:eastAsiaTheme="minorEastAsia" w:hAnsiTheme="minorHAnsi"/>
          <w:sz w:val="24"/>
          <w:szCs w:val="24"/>
          <w:lang w:eastAsia="en-AU"/>
        </w:rPr>
      </w:pPr>
      <w:hyperlink w:anchor="_Toc233038990" w:history="1">
        <w:r w:rsidRPr="00203F7D">
          <w:rPr>
            <w:rStyle w:val="Hyperlink"/>
          </w:rPr>
          <w:t>5.9.2</w:t>
        </w:r>
        <w:r>
          <w:rPr>
            <w:rFonts w:asciiTheme="minorHAnsi" w:eastAsiaTheme="minorEastAsia" w:hAnsiTheme="minorHAnsi"/>
            <w:sz w:val="24"/>
            <w:szCs w:val="24"/>
            <w:lang w:eastAsia="en-AU"/>
          </w:rPr>
          <w:tab/>
        </w:r>
        <w:r w:rsidRPr="00203F7D">
          <w:rPr>
            <w:rStyle w:val="Hyperlink"/>
          </w:rPr>
          <w:t>Acute dietary exposure assessment</w:t>
        </w:r>
        <w:r>
          <w:rPr>
            <w:webHidden/>
          </w:rPr>
          <w:tab/>
        </w:r>
        <w:r>
          <w:rPr>
            <w:webHidden/>
          </w:rPr>
          <w:fldChar w:fldCharType="begin"/>
        </w:r>
        <w:r>
          <w:rPr>
            <w:webHidden/>
          </w:rPr>
          <w:instrText xml:space="preserve"> PAGEREF _Toc233038990 \h </w:instrText>
        </w:r>
        <w:r>
          <w:rPr>
            <w:webHidden/>
          </w:rPr>
        </w:r>
        <w:r>
          <w:rPr>
            <w:webHidden/>
          </w:rPr>
          <w:fldChar w:fldCharType="separate"/>
        </w:r>
        <w:r>
          <w:rPr>
            <w:webHidden/>
          </w:rPr>
          <w:t>65</w:t>
        </w:r>
        <w:r>
          <w:rPr>
            <w:webHidden/>
          </w:rPr>
          <w:fldChar w:fldCharType="end"/>
        </w:r>
      </w:hyperlink>
    </w:p>
    <w:p w14:paraId="7ED9D343" w14:textId="14E9E45A" w:rsidR="00602535" w:rsidRDefault="00602535">
      <w:pPr>
        <w:pStyle w:val="TOC2"/>
        <w:rPr>
          <w:rFonts w:asciiTheme="minorHAnsi" w:eastAsiaTheme="minorEastAsia" w:hAnsiTheme="minorHAnsi"/>
          <w:b w:val="0"/>
          <w:color w:val="auto"/>
          <w:sz w:val="24"/>
          <w:szCs w:val="24"/>
          <w:lang w:eastAsia="en-AU"/>
        </w:rPr>
      </w:pPr>
      <w:hyperlink w:anchor="_Toc233038991" w:history="1">
        <w:r w:rsidRPr="00203F7D">
          <w:rPr>
            <w:rStyle w:val="Hyperlink"/>
          </w:rPr>
          <w:t>5.10</w:t>
        </w:r>
        <w:r>
          <w:rPr>
            <w:rFonts w:asciiTheme="minorHAnsi" w:eastAsiaTheme="minorEastAsia" w:hAnsiTheme="minorHAnsi"/>
            <w:b w:val="0"/>
            <w:color w:val="auto"/>
            <w:sz w:val="24"/>
            <w:szCs w:val="24"/>
            <w:lang w:eastAsia="en-AU"/>
          </w:rPr>
          <w:tab/>
        </w:r>
        <w:r w:rsidRPr="00203F7D">
          <w:rPr>
            <w:rStyle w:val="Hyperlink"/>
          </w:rPr>
          <w:t>Residue related aspects of trade</w:t>
        </w:r>
        <w:r>
          <w:rPr>
            <w:webHidden/>
          </w:rPr>
          <w:tab/>
        </w:r>
        <w:r>
          <w:rPr>
            <w:webHidden/>
          </w:rPr>
          <w:fldChar w:fldCharType="begin"/>
        </w:r>
        <w:r>
          <w:rPr>
            <w:webHidden/>
          </w:rPr>
          <w:instrText xml:space="preserve"> PAGEREF _Toc233038991 \h </w:instrText>
        </w:r>
        <w:r>
          <w:rPr>
            <w:webHidden/>
          </w:rPr>
        </w:r>
        <w:r>
          <w:rPr>
            <w:webHidden/>
          </w:rPr>
          <w:fldChar w:fldCharType="separate"/>
        </w:r>
        <w:r>
          <w:rPr>
            <w:webHidden/>
          </w:rPr>
          <w:t>66</w:t>
        </w:r>
        <w:r>
          <w:rPr>
            <w:webHidden/>
          </w:rPr>
          <w:fldChar w:fldCharType="end"/>
        </w:r>
      </w:hyperlink>
    </w:p>
    <w:p w14:paraId="058AA389" w14:textId="0BFC912C" w:rsidR="00602535" w:rsidRDefault="00602535">
      <w:pPr>
        <w:pStyle w:val="TOC2"/>
        <w:rPr>
          <w:rFonts w:asciiTheme="minorHAnsi" w:eastAsiaTheme="minorEastAsia" w:hAnsiTheme="minorHAnsi"/>
          <w:b w:val="0"/>
          <w:color w:val="auto"/>
          <w:sz w:val="24"/>
          <w:szCs w:val="24"/>
          <w:lang w:eastAsia="en-AU"/>
        </w:rPr>
      </w:pPr>
      <w:hyperlink w:anchor="_Toc233038992" w:history="1">
        <w:r w:rsidRPr="00203F7D">
          <w:rPr>
            <w:rStyle w:val="Hyperlink"/>
          </w:rPr>
          <w:t>5.11</w:t>
        </w:r>
        <w:r>
          <w:rPr>
            <w:rFonts w:asciiTheme="minorHAnsi" w:eastAsiaTheme="minorEastAsia" w:hAnsiTheme="minorHAnsi"/>
            <w:b w:val="0"/>
            <w:color w:val="auto"/>
            <w:sz w:val="24"/>
            <w:szCs w:val="24"/>
            <w:lang w:eastAsia="en-AU"/>
          </w:rPr>
          <w:tab/>
        </w:r>
        <w:r w:rsidRPr="00203F7D">
          <w:rPr>
            <w:rStyle w:val="Hyperlink"/>
          </w:rPr>
          <w:t>Conclusions from the residues and trade assessment</w:t>
        </w:r>
        <w:r>
          <w:rPr>
            <w:webHidden/>
          </w:rPr>
          <w:tab/>
        </w:r>
        <w:r>
          <w:rPr>
            <w:webHidden/>
          </w:rPr>
          <w:fldChar w:fldCharType="begin"/>
        </w:r>
        <w:r>
          <w:rPr>
            <w:webHidden/>
          </w:rPr>
          <w:instrText xml:space="preserve"> PAGEREF _Toc233038992 \h </w:instrText>
        </w:r>
        <w:r>
          <w:rPr>
            <w:webHidden/>
          </w:rPr>
        </w:r>
        <w:r>
          <w:rPr>
            <w:webHidden/>
          </w:rPr>
          <w:fldChar w:fldCharType="separate"/>
        </w:r>
        <w:r>
          <w:rPr>
            <w:webHidden/>
          </w:rPr>
          <w:t>69</w:t>
        </w:r>
        <w:r>
          <w:rPr>
            <w:webHidden/>
          </w:rPr>
          <w:fldChar w:fldCharType="end"/>
        </w:r>
      </w:hyperlink>
    </w:p>
    <w:p w14:paraId="32B06B5A" w14:textId="5CC3225E" w:rsidR="00602535" w:rsidRDefault="00602535">
      <w:pPr>
        <w:pStyle w:val="TOC3"/>
        <w:tabs>
          <w:tab w:val="left" w:pos="1200"/>
        </w:tabs>
        <w:rPr>
          <w:rFonts w:asciiTheme="minorHAnsi" w:eastAsiaTheme="minorEastAsia" w:hAnsiTheme="minorHAnsi"/>
          <w:sz w:val="24"/>
          <w:szCs w:val="24"/>
          <w:lang w:eastAsia="en-AU"/>
        </w:rPr>
      </w:pPr>
      <w:hyperlink w:anchor="_Toc233038993" w:history="1">
        <w:r w:rsidRPr="00203F7D">
          <w:rPr>
            <w:rStyle w:val="Hyperlink"/>
          </w:rPr>
          <w:t>5.11.1</w:t>
        </w:r>
        <w:r>
          <w:rPr>
            <w:rFonts w:asciiTheme="minorHAnsi" w:eastAsiaTheme="minorEastAsia" w:hAnsiTheme="minorHAnsi"/>
            <w:sz w:val="24"/>
            <w:szCs w:val="24"/>
            <w:lang w:eastAsia="en-AU"/>
          </w:rPr>
          <w:tab/>
        </w:r>
        <w:r w:rsidRPr="00203F7D">
          <w:rPr>
            <w:rStyle w:val="Hyperlink"/>
          </w:rPr>
          <w:t>Other uses that are no longer supported from a residues perspective</w:t>
        </w:r>
        <w:r>
          <w:rPr>
            <w:webHidden/>
          </w:rPr>
          <w:tab/>
        </w:r>
        <w:r>
          <w:rPr>
            <w:webHidden/>
          </w:rPr>
          <w:fldChar w:fldCharType="begin"/>
        </w:r>
        <w:r>
          <w:rPr>
            <w:webHidden/>
          </w:rPr>
          <w:instrText xml:space="preserve"> PAGEREF _Toc233038993 \h </w:instrText>
        </w:r>
        <w:r>
          <w:rPr>
            <w:webHidden/>
          </w:rPr>
        </w:r>
        <w:r>
          <w:rPr>
            <w:webHidden/>
          </w:rPr>
          <w:fldChar w:fldCharType="separate"/>
        </w:r>
        <w:r>
          <w:rPr>
            <w:webHidden/>
          </w:rPr>
          <w:t>70</w:t>
        </w:r>
        <w:r>
          <w:rPr>
            <w:webHidden/>
          </w:rPr>
          <w:fldChar w:fldCharType="end"/>
        </w:r>
      </w:hyperlink>
    </w:p>
    <w:p w14:paraId="35133875" w14:textId="37AB363D" w:rsidR="00602535" w:rsidRDefault="00602535">
      <w:pPr>
        <w:pStyle w:val="TOC3"/>
        <w:tabs>
          <w:tab w:val="left" w:pos="1200"/>
        </w:tabs>
        <w:rPr>
          <w:rFonts w:asciiTheme="minorHAnsi" w:eastAsiaTheme="minorEastAsia" w:hAnsiTheme="minorHAnsi"/>
          <w:sz w:val="24"/>
          <w:szCs w:val="24"/>
          <w:lang w:eastAsia="en-AU"/>
        </w:rPr>
      </w:pPr>
      <w:hyperlink w:anchor="_Toc233038994" w:history="1">
        <w:r w:rsidRPr="00203F7D">
          <w:rPr>
            <w:rStyle w:val="Hyperlink"/>
          </w:rPr>
          <w:t>5.11.2</w:t>
        </w:r>
        <w:r>
          <w:rPr>
            <w:rFonts w:asciiTheme="minorHAnsi" w:eastAsiaTheme="minorEastAsia" w:hAnsiTheme="minorHAnsi"/>
            <w:sz w:val="24"/>
            <w:szCs w:val="24"/>
            <w:lang w:eastAsia="en-AU"/>
          </w:rPr>
          <w:tab/>
        </w:r>
        <w:r w:rsidRPr="00203F7D">
          <w:rPr>
            <w:rStyle w:val="Hyperlink"/>
          </w:rPr>
          <w:t>Winter cereals</w:t>
        </w:r>
        <w:r>
          <w:rPr>
            <w:webHidden/>
          </w:rPr>
          <w:tab/>
        </w:r>
        <w:r>
          <w:rPr>
            <w:webHidden/>
          </w:rPr>
          <w:fldChar w:fldCharType="begin"/>
        </w:r>
        <w:r>
          <w:rPr>
            <w:webHidden/>
          </w:rPr>
          <w:instrText xml:space="preserve"> PAGEREF _Toc233038994 \h </w:instrText>
        </w:r>
        <w:r>
          <w:rPr>
            <w:webHidden/>
          </w:rPr>
        </w:r>
        <w:r>
          <w:rPr>
            <w:webHidden/>
          </w:rPr>
          <w:fldChar w:fldCharType="separate"/>
        </w:r>
        <w:r>
          <w:rPr>
            <w:webHidden/>
          </w:rPr>
          <w:t>71</w:t>
        </w:r>
        <w:r>
          <w:rPr>
            <w:webHidden/>
          </w:rPr>
          <w:fldChar w:fldCharType="end"/>
        </w:r>
      </w:hyperlink>
    </w:p>
    <w:p w14:paraId="3D69B566" w14:textId="188E65C4" w:rsidR="00602535" w:rsidRDefault="00602535">
      <w:pPr>
        <w:pStyle w:val="TOC3"/>
        <w:tabs>
          <w:tab w:val="left" w:pos="1200"/>
        </w:tabs>
        <w:rPr>
          <w:rFonts w:asciiTheme="minorHAnsi" w:eastAsiaTheme="minorEastAsia" w:hAnsiTheme="minorHAnsi"/>
          <w:sz w:val="24"/>
          <w:szCs w:val="24"/>
          <w:lang w:eastAsia="en-AU"/>
        </w:rPr>
      </w:pPr>
      <w:hyperlink w:anchor="_Toc233038995" w:history="1">
        <w:r w:rsidRPr="00203F7D">
          <w:rPr>
            <w:rStyle w:val="Hyperlink"/>
          </w:rPr>
          <w:t>5.11.3</w:t>
        </w:r>
        <w:r>
          <w:rPr>
            <w:rFonts w:asciiTheme="minorHAnsi" w:eastAsiaTheme="minorEastAsia" w:hAnsiTheme="minorHAnsi"/>
            <w:sz w:val="24"/>
            <w:szCs w:val="24"/>
            <w:lang w:eastAsia="en-AU"/>
          </w:rPr>
          <w:tab/>
        </w:r>
        <w:r w:rsidRPr="00203F7D">
          <w:rPr>
            <w:rStyle w:val="Hyperlink"/>
          </w:rPr>
          <w:t>Supported withholding periods</w:t>
        </w:r>
        <w:r>
          <w:rPr>
            <w:webHidden/>
          </w:rPr>
          <w:tab/>
        </w:r>
        <w:r>
          <w:rPr>
            <w:webHidden/>
          </w:rPr>
          <w:fldChar w:fldCharType="begin"/>
        </w:r>
        <w:r>
          <w:rPr>
            <w:webHidden/>
          </w:rPr>
          <w:instrText xml:space="preserve"> PAGEREF _Toc233038995 \h </w:instrText>
        </w:r>
        <w:r>
          <w:rPr>
            <w:webHidden/>
          </w:rPr>
        </w:r>
        <w:r>
          <w:rPr>
            <w:webHidden/>
          </w:rPr>
          <w:fldChar w:fldCharType="separate"/>
        </w:r>
        <w:r>
          <w:rPr>
            <w:webHidden/>
          </w:rPr>
          <w:t>71</w:t>
        </w:r>
        <w:r>
          <w:rPr>
            <w:webHidden/>
          </w:rPr>
          <w:fldChar w:fldCharType="end"/>
        </w:r>
      </w:hyperlink>
    </w:p>
    <w:p w14:paraId="1B60DC2E" w14:textId="7D2328BD" w:rsidR="00602535" w:rsidRDefault="00602535">
      <w:pPr>
        <w:pStyle w:val="TOC3"/>
        <w:tabs>
          <w:tab w:val="left" w:pos="1200"/>
        </w:tabs>
        <w:rPr>
          <w:rFonts w:asciiTheme="minorHAnsi" w:eastAsiaTheme="minorEastAsia" w:hAnsiTheme="minorHAnsi"/>
          <w:sz w:val="24"/>
          <w:szCs w:val="24"/>
          <w:lang w:eastAsia="en-AU"/>
        </w:rPr>
      </w:pPr>
      <w:hyperlink w:anchor="_Toc233038996" w:history="1">
        <w:r w:rsidRPr="00203F7D">
          <w:rPr>
            <w:rStyle w:val="Hyperlink"/>
          </w:rPr>
          <w:t>5.11.4</w:t>
        </w:r>
        <w:r>
          <w:rPr>
            <w:rFonts w:asciiTheme="minorHAnsi" w:eastAsiaTheme="minorEastAsia" w:hAnsiTheme="minorHAnsi"/>
            <w:sz w:val="24"/>
            <w:szCs w:val="24"/>
            <w:lang w:eastAsia="en-AU"/>
          </w:rPr>
          <w:tab/>
        </w:r>
        <w:r w:rsidRPr="00203F7D">
          <w:rPr>
            <w:rStyle w:val="Hyperlink"/>
          </w:rPr>
          <w:t>Aquatic areas</w:t>
        </w:r>
        <w:r>
          <w:rPr>
            <w:webHidden/>
          </w:rPr>
          <w:tab/>
        </w:r>
        <w:r>
          <w:rPr>
            <w:webHidden/>
          </w:rPr>
          <w:fldChar w:fldCharType="begin"/>
        </w:r>
        <w:r>
          <w:rPr>
            <w:webHidden/>
          </w:rPr>
          <w:instrText xml:space="preserve"> PAGEREF _Toc233038996 \h </w:instrText>
        </w:r>
        <w:r>
          <w:rPr>
            <w:webHidden/>
          </w:rPr>
        </w:r>
        <w:r>
          <w:rPr>
            <w:webHidden/>
          </w:rPr>
          <w:fldChar w:fldCharType="separate"/>
        </w:r>
        <w:r>
          <w:rPr>
            <w:webHidden/>
          </w:rPr>
          <w:t>71</w:t>
        </w:r>
        <w:r>
          <w:rPr>
            <w:webHidden/>
          </w:rPr>
          <w:fldChar w:fldCharType="end"/>
        </w:r>
      </w:hyperlink>
    </w:p>
    <w:p w14:paraId="6DEB872E" w14:textId="29035C16" w:rsidR="00602535" w:rsidRDefault="00602535">
      <w:pPr>
        <w:pStyle w:val="TOC3"/>
        <w:tabs>
          <w:tab w:val="left" w:pos="1200"/>
        </w:tabs>
        <w:rPr>
          <w:rFonts w:asciiTheme="minorHAnsi" w:eastAsiaTheme="minorEastAsia" w:hAnsiTheme="minorHAnsi"/>
          <w:sz w:val="24"/>
          <w:szCs w:val="24"/>
          <w:lang w:eastAsia="en-AU"/>
        </w:rPr>
      </w:pPr>
      <w:hyperlink w:anchor="_Toc233038997" w:history="1">
        <w:r w:rsidRPr="00203F7D">
          <w:rPr>
            <w:rStyle w:val="Hyperlink"/>
          </w:rPr>
          <w:t>5.11.5</w:t>
        </w:r>
        <w:r>
          <w:rPr>
            <w:rFonts w:asciiTheme="minorHAnsi" w:eastAsiaTheme="minorEastAsia" w:hAnsiTheme="minorHAnsi"/>
            <w:sz w:val="24"/>
            <w:szCs w:val="24"/>
            <w:lang w:eastAsia="en-AU"/>
          </w:rPr>
          <w:tab/>
        </w:r>
        <w:r w:rsidRPr="00203F7D">
          <w:rPr>
            <w:rStyle w:val="Hyperlink"/>
          </w:rPr>
          <w:t>Spray drift</w:t>
        </w:r>
        <w:r>
          <w:rPr>
            <w:webHidden/>
          </w:rPr>
          <w:tab/>
        </w:r>
        <w:r>
          <w:rPr>
            <w:webHidden/>
          </w:rPr>
          <w:fldChar w:fldCharType="begin"/>
        </w:r>
        <w:r>
          <w:rPr>
            <w:webHidden/>
          </w:rPr>
          <w:instrText xml:space="preserve"> PAGEREF _Toc233038997 \h </w:instrText>
        </w:r>
        <w:r>
          <w:rPr>
            <w:webHidden/>
          </w:rPr>
        </w:r>
        <w:r>
          <w:rPr>
            <w:webHidden/>
          </w:rPr>
          <w:fldChar w:fldCharType="separate"/>
        </w:r>
        <w:r>
          <w:rPr>
            <w:webHidden/>
          </w:rPr>
          <w:t>72</w:t>
        </w:r>
        <w:r>
          <w:rPr>
            <w:webHidden/>
          </w:rPr>
          <w:fldChar w:fldCharType="end"/>
        </w:r>
      </w:hyperlink>
    </w:p>
    <w:p w14:paraId="7FADF1EF" w14:textId="23A7FD23" w:rsidR="00602535" w:rsidRDefault="00602535">
      <w:pPr>
        <w:pStyle w:val="TOC3"/>
        <w:tabs>
          <w:tab w:val="left" w:pos="1200"/>
        </w:tabs>
        <w:rPr>
          <w:rFonts w:asciiTheme="minorHAnsi" w:eastAsiaTheme="minorEastAsia" w:hAnsiTheme="minorHAnsi"/>
          <w:sz w:val="24"/>
          <w:szCs w:val="24"/>
          <w:lang w:eastAsia="en-AU"/>
        </w:rPr>
      </w:pPr>
      <w:hyperlink w:anchor="_Toc233038998" w:history="1">
        <w:r w:rsidRPr="00203F7D">
          <w:rPr>
            <w:rStyle w:val="Hyperlink"/>
          </w:rPr>
          <w:t>5.11.6</w:t>
        </w:r>
        <w:r>
          <w:rPr>
            <w:rFonts w:asciiTheme="minorHAnsi" w:eastAsiaTheme="minorEastAsia" w:hAnsiTheme="minorHAnsi"/>
            <w:sz w:val="24"/>
            <w:szCs w:val="24"/>
            <w:lang w:eastAsia="en-AU"/>
          </w:rPr>
          <w:tab/>
        </w:r>
        <w:r w:rsidRPr="00203F7D">
          <w:rPr>
            <w:rStyle w:val="Hyperlink"/>
          </w:rPr>
          <w:t>Trade</w:t>
        </w:r>
        <w:r>
          <w:rPr>
            <w:webHidden/>
          </w:rPr>
          <w:tab/>
        </w:r>
        <w:r>
          <w:rPr>
            <w:webHidden/>
          </w:rPr>
          <w:fldChar w:fldCharType="begin"/>
        </w:r>
        <w:r>
          <w:rPr>
            <w:webHidden/>
          </w:rPr>
          <w:instrText xml:space="preserve"> PAGEREF _Toc233038998 \h </w:instrText>
        </w:r>
        <w:r>
          <w:rPr>
            <w:webHidden/>
          </w:rPr>
        </w:r>
        <w:r>
          <w:rPr>
            <w:webHidden/>
          </w:rPr>
          <w:fldChar w:fldCharType="separate"/>
        </w:r>
        <w:r>
          <w:rPr>
            <w:webHidden/>
          </w:rPr>
          <w:t>72</w:t>
        </w:r>
        <w:r>
          <w:rPr>
            <w:webHidden/>
          </w:rPr>
          <w:fldChar w:fldCharType="end"/>
        </w:r>
      </w:hyperlink>
    </w:p>
    <w:p w14:paraId="4F275256" w14:textId="649DC82B" w:rsidR="00602535" w:rsidRDefault="00602535">
      <w:pPr>
        <w:pStyle w:val="TOC3"/>
        <w:tabs>
          <w:tab w:val="left" w:pos="1200"/>
        </w:tabs>
        <w:rPr>
          <w:rFonts w:asciiTheme="minorHAnsi" w:eastAsiaTheme="minorEastAsia" w:hAnsiTheme="minorHAnsi"/>
          <w:sz w:val="24"/>
          <w:szCs w:val="24"/>
          <w:lang w:eastAsia="en-AU"/>
        </w:rPr>
      </w:pPr>
      <w:hyperlink w:anchor="_Toc233038999" w:history="1">
        <w:r w:rsidRPr="00203F7D">
          <w:rPr>
            <w:rStyle w:val="Hyperlink"/>
            <w:iCs/>
          </w:rPr>
          <w:t>5.11.7</w:t>
        </w:r>
        <w:r>
          <w:rPr>
            <w:rFonts w:asciiTheme="minorHAnsi" w:eastAsiaTheme="minorEastAsia" w:hAnsiTheme="minorHAnsi"/>
            <w:sz w:val="24"/>
            <w:szCs w:val="24"/>
            <w:lang w:eastAsia="en-AU"/>
          </w:rPr>
          <w:tab/>
        </w:r>
        <w:r w:rsidRPr="00203F7D">
          <w:rPr>
            <w:rStyle w:val="Hyperlink"/>
            <w:iCs/>
          </w:rPr>
          <w:t>Required MRL changes</w:t>
        </w:r>
        <w:r>
          <w:rPr>
            <w:webHidden/>
          </w:rPr>
          <w:tab/>
        </w:r>
        <w:r>
          <w:rPr>
            <w:webHidden/>
          </w:rPr>
          <w:fldChar w:fldCharType="begin"/>
        </w:r>
        <w:r>
          <w:rPr>
            <w:webHidden/>
          </w:rPr>
          <w:instrText xml:space="preserve"> PAGEREF _Toc233038999 \h </w:instrText>
        </w:r>
        <w:r>
          <w:rPr>
            <w:webHidden/>
          </w:rPr>
        </w:r>
        <w:r>
          <w:rPr>
            <w:webHidden/>
          </w:rPr>
          <w:fldChar w:fldCharType="separate"/>
        </w:r>
        <w:r>
          <w:rPr>
            <w:webHidden/>
          </w:rPr>
          <w:t>72</w:t>
        </w:r>
        <w:r>
          <w:rPr>
            <w:webHidden/>
          </w:rPr>
          <w:fldChar w:fldCharType="end"/>
        </w:r>
      </w:hyperlink>
    </w:p>
    <w:p w14:paraId="328E9877" w14:textId="0464F52E" w:rsidR="00602535" w:rsidRDefault="00602535">
      <w:pPr>
        <w:pStyle w:val="TOC2"/>
        <w:rPr>
          <w:rFonts w:asciiTheme="minorHAnsi" w:eastAsiaTheme="minorEastAsia" w:hAnsiTheme="minorHAnsi"/>
          <w:b w:val="0"/>
          <w:color w:val="auto"/>
          <w:sz w:val="24"/>
          <w:szCs w:val="24"/>
          <w:lang w:eastAsia="en-AU"/>
        </w:rPr>
      </w:pPr>
      <w:hyperlink w:anchor="_Toc233039000" w:history="1">
        <w:r w:rsidRPr="00203F7D">
          <w:rPr>
            <w:rStyle w:val="Hyperlink"/>
          </w:rPr>
          <w:t>5.12</w:t>
        </w:r>
        <w:r>
          <w:rPr>
            <w:rFonts w:asciiTheme="minorHAnsi" w:eastAsiaTheme="minorEastAsia" w:hAnsiTheme="minorHAnsi"/>
            <w:b w:val="0"/>
            <w:color w:val="auto"/>
            <w:sz w:val="24"/>
            <w:szCs w:val="24"/>
            <w:lang w:eastAsia="en-AU"/>
          </w:rPr>
          <w:tab/>
        </w:r>
        <w:r w:rsidRPr="00203F7D">
          <w:rPr>
            <w:rStyle w:val="Hyperlink"/>
          </w:rPr>
          <w:t>Consideration of the combined risk assessments</w:t>
        </w:r>
        <w:r>
          <w:rPr>
            <w:webHidden/>
          </w:rPr>
          <w:tab/>
        </w:r>
        <w:r>
          <w:rPr>
            <w:webHidden/>
          </w:rPr>
          <w:fldChar w:fldCharType="begin"/>
        </w:r>
        <w:r>
          <w:rPr>
            <w:webHidden/>
          </w:rPr>
          <w:instrText xml:space="preserve"> PAGEREF _Toc233039000 \h </w:instrText>
        </w:r>
        <w:r>
          <w:rPr>
            <w:webHidden/>
          </w:rPr>
        </w:r>
        <w:r>
          <w:rPr>
            <w:webHidden/>
          </w:rPr>
          <w:fldChar w:fldCharType="separate"/>
        </w:r>
        <w:r>
          <w:rPr>
            <w:webHidden/>
          </w:rPr>
          <w:t>75</w:t>
        </w:r>
        <w:r>
          <w:rPr>
            <w:webHidden/>
          </w:rPr>
          <w:fldChar w:fldCharType="end"/>
        </w:r>
      </w:hyperlink>
    </w:p>
    <w:p w14:paraId="237BE44D" w14:textId="1F60A9B3" w:rsidR="00602535" w:rsidRDefault="00602535">
      <w:pPr>
        <w:pStyle w:val="TOC3"/>
        <w:tabs>
          <w:tab w:val="left" w:pos="1200"/>
        </w:tabs>
        <w:rPr>
          <w:rFonts w:asciiTheme="minorHAnsi" w:eastAsiaTheme="minorEastAsia" w:hAnsiTheme="minorHAnsi"/>
          <w:sz w:val="24"/>
          <w:szCs w:val="24"/>
          <w:lang w:eastAsia="en-AU"/>
        </w:rPr>
      </w:pPr>
      <w:hyperlink w:anchor="_Toc233039001" w:history="1">
        <w:r w:rsidRPr="00203F7D">
          <w:rPr>
            <w:rStyle w:val="Hyperlink"/>
          </w:rPr>
          <w:t>5.12.1</w:t>
        </w:r>
        <w:r>
          <w:rPr>
            <w:rFonts w:asciiTheme="minorHAnsi" w:eastAsiaTheme="minorEastAsia" w:hAnsiTheme="minorHAnsi"/>
            <w:sz w:val="24"/>
            <w:szCs w:val="24"/>
            <w:lang w:eastAsia="en-AU"/>
          </w:rPr>
          <w:tab/>
        </w:r>
        <w:r w:rsidRPr="00203F7D">
          <w:rPr>
            <w:rStyle w:val="Hyperlink"/>
          </w:rPr>
          <w:t>Cotton</w:t>
        </w:r>
        <w:r>
          <w:rPr>
            <w:webHidden/>
          </w:rPr>
          <w:tab/>
        </w:r>
        <w:r>
          <w:rPr>
            <w:webHidden/>
          </w:rPr>
          <w:fldChar w:fldCharType="begin"/>
        </w:r>
        <w:r>
          <w:rPr>
            <w:webHidden/>
          </w:rPr>
          <w:instrText xml:space="preserve"> PAGEREF _Toc233039001 \h </w:instrText>
        </w:r>
        <w:r>
          <w:rPr>
            <w:webHidden/>
          </w:rPr>
        </w:r>
        <w:r>
          <w:rPr>
            <w:webHidden/>
          </w:rPr>
          <w:fldChar w:fldCharType="separate"/>
        </w:r>
        <w:r>
          <w:rPr>
            <w:webHidden/>
          </w:rPr>
          <w:t>77</w:t>
        </w:r>
        <w:r>
          <w:rPr>
            <w:webHidden/>
          </w:rPr>
          <w:fldChar w:fldCharType="end"/>
        </w:r>
      </w:hyperlink>
    </w:p>
    <w:p w14:paraId="62F213FF" w14:textId="70791DF5" w:rsidR="00602535" w:rsidRDefault="00602535">
      <w:pPr>
        <w:pStyle w:val="TOC3"/>
        <w:tabs>
          <w:tab w:val="left" w:pos="1200"/>
        </w:tabs>
        <w:rPr>
          <w:rFonts w:asciiTheme="minorHAnsi" w:eastAsiaTheme="minorEastAsia" w:hAnsiTheme="minorHAnsi"/>
          <w:sz w:val="24"/>
          <w:szCs w:val="24"/>
          <w:lang w:eastAsia="en-AU"/>
        </w:rPr>
      </w:pPr>
      <w:hyperlink w:anchor="_Toc233039002" w:history="1">
        <w:r w:rsidRPr="00203F7D">
          <w:rPr>
            <w:rStyle w:val="Hyperlink"/>
          </w:rPr>
          <w:t>5.12.2</w:t>
        </w:r>
        <w:r>
          <w:rPr>
            <w:rFonts w:asciiTheme="minorHAnsi" w:eastAsiaTheme="minorEastAsia" w:hAnsiTheme="minorHAnsi"/>
            <w:sz w:val="24"/>
            <w:szCs w:val="24"/>
            <w:lang w:eastAsia="en-AU"/>
          </w:rPr>
          <w:tab/>
        </w:r>
        <w:r w:rsidRPr="00203F7D">
          <w:rPr>
            <w:rStyle w:val="Hyperlink"/>
          </w:rPr>
          <w:t>Hops (supported use: 0.28 kg ac/ha)</w:t>
        </w:r>
        <w:r>
          <w:rPr>
            <w:webHidden/>
          </w:rPr>
          <w:tab/>
        </w:r>
        <w:r>
          <w:rPr>
            <w:webHidden/>
          </w:rPr>
          <w:fldChar w:fldCharType="begin"/>
        </w:r>
        <w:r>
          <w:rPr>
            <w:webHidden/>
          </w:rPr>
          <w:instrText xml:space="preserve"> PAGEREF _Toc233039002 \h </w:instrText>
        </w:r>
        <w:r>
          <w:rPr>
            <w:webHidden/>
          </w:rPr>
        </w:r>
        <w:r>
          <w:rPr>
            <w:webHidden/>
          </w:rPr>
          <w:fldChar w:fldCharType="separate"/>
        </w:r>
        <w:r>
          <w:rPr>
            <w:webHidden/>
          </w:rPr>
          <w:t>77</w:t>
        </w:r>
        <w:r>
          <w:rPr>
            <w:webHidden/>
          </w:rPr>
          <w:fldChar w:fldCharType="end"/>
        </w:r>
      </w:hyperlink>
    </w:p>
    <w:p w14:paraId="7BF5F60C" w14:textId="3A7B7B3E" w:rsidR="00602535" w:rsidRDefault="00602535">
      <w:pPr>
        <w:pStyle w:val="TOC3"/>
        <w:tabs>
          <w:tab w:val="left" w:pos="1200"/>
        </w:tabs>
        <w:rPr>
          <w:rFonts w:asciiTheme="minorHAnsi" w:eastAsiaTheme="minorEastAsia" w:hAnsiTheme="minorHAnsi"/>
          <w:sz w:val="24"/>
          <w:szCs w:val="24"/>
          <w:lang w:eastAsia="en-AU"/>
        </w:rPr>
      </w:pPr>
      <w:hyperlink w:anchor="_Toc233039003" w:history="1">
        <w:r w:rsidRPr="00203F7D">
          <w:rPr>
            <w:rStyle w:val="Hyperlink"/>
          </w:rPr>
          <w:t>5.12.3</w:t>
        </w:r>
        <w:r>
          <w:rPr>
            <w:rFonts w:asciiTheme="minorHAnsi" w:eastAsiaTheme="minorEastAsia" w:hAnsiTheme="minorHAnsi"/>
            <w:sz w:val="24"/>
            <w:szCs w:val="24"/>
            <w:lang w:eastAsia="en-AU"/>
          </w:rPr>
          <w:tab/>
        </w:r>
        <w:r w:rsidRPr="00203F7D">
          <w:rPr>
            <w:rStyle w:val="Hyperlink"/>
          </w:rPr>
          <w:t>Lucerne (supported use: 0.140 kg ac/ha)</w:t>
        </w:r>
        <w:r>
          <w:rPr>
            <w:webHidden/>
          </w:rPr>
          <w:tab/>
        </w:r>
        <w:r>
          <w:rPr>
            <w:webHidden/>
          </w:rPr>
          <w:fldChar w:fldCharType="begin"/>
        </w:r>
        <w:r>
          <w:rPr>
            <w:webHidden/>
          </w:rPr>
          <w:instrText xml:space="preserve"> PAGEREF _Toc233039003 \h </w:instrText>
        </w:r>
        <w:r>
          <w:rPr>
            <w:webHidden/>
          </w:rPr>
        </w:r>
        <w:r>
          <w:rPr>
            <w:webHidden/>
          </w:rPr>
          <w:fldChar w:fldCharType="separate"/>
        </w:r>
        <w:r>
          <w:rPr>
            <w:webHidden/>
          </w:rPr>
          <w:t>77</w:t>
        </w:r>
        <w:r>
          <w:rPr>
            <w:webHidden/>
          </w:rPr>
          <w:fldChar w:fldCharType="end"/>
        </w:r>
      </w:hyperlink>
    </w:p>
    <w:p w14:paraId="25ED3774" w14:textId="13ADFA91" w:rsidR="00602535" w:rsidRDefault="00602535">
      <w:pPr>
        <w:pStyle w:val="TOC3"/>
        <w:tabs>
          <w:tab w:val="left" w:pos="1200"/>
        </w:tabs>
        <w:rPr>
          <w:rFonts w:asciiTheme="minorHAnsi" w:eastAsiaTheme="minorEastAsia" w:hAnsiTheme="minorHAnsi"/>
          <w:sz w:val="24"/>
          <w:szCs w:val="24"/>
          <w:lang w:eastAsia="en-AU"/>
        </w:rPr>
      </w:pPr>
      <w:hyperlink w:anchor="_Toc233039004" w:history="1">
        <w:r w:rsidRPr="00203F7D">
          <w:rPr>
            <w:rStyle w:val="Hyperlink"/>
          </w:rPr>
          <w:t>5.12.4</w:t>
        </w:r>
        <w:r>
          <w:rPr>
            <w:rFonts w:asciiTheme="minorHAnsi" w:eastAsiaTheme="minorEastAsia" w:hAnsiTheme="minorHAnsi"/>
            <w:sz w:val="24"/>
            <w:szCs w:val="24"/>
            <w:lang w:eastAsia="en-AU"/>
          </w:rPr>
          <w:tab/>
        </w:r>
        <w:r w:rsidRPr="00203F7D">
          <w:rPr>
            <w:rStyle w:val="Hyperlink"/>
          </w:rPr>
          <w:t>Oilseed poppies</w:t>
        </w:r>
        <w:r>
          <w:rPr>
            <w:webHidden/>
          </w:rPr>
          <w:tab/>
        </w:r>
        <w:r>
          <w:rPr>
            <w:webHidden/>
          </w:rPr>
          <w:fldChar w:fldCharType="begin"/>
        </w:r>
        <w:r>
          <w:rPr>
            <w:webHidden/>
          </w:rPr>
          <w:instrText xml:space="preserve"> PAGEREF _Toc233039004 \h </w:instrText>
        </w:r>
        <w:r>
          <w:rPr>
            <w:webHidden/>
          </w:rPr>
        </w:r>
        <w:r>
          <w:rPr>
            <w:webHidden/>
          </w:rPr>
          <w:fldChar w:fldCharType="separate"/>
        </w:r>
        <w:r>
          <w:rPr>
            <w:webHidden/>
          </w:rPr>
          <w:t>78</w:t>
        </w:r>
        <w:r>
          <w:rPr>
            <w:webHidden/>
          </w:rPr>
          <w:fldChar w:fldCharType="end"/>
        </w:r>
      </w:hyperlink>
    </w:p>
    <w:p w14:paraId="187511D1" w14:textId="7E3C2807" w:rsidR="00602535" w:rsidRDefault="00602535">
      <w:pPr>
        <w:pStyle w:val="TOC3"/>
        <w:tabs>
          <w:tab w:val="left" w:pos="1200"/>
        </w:tabs>
        <w:rPr>
          <w:rFonts w:asciiTheme="minorHAnsi" w:eastAsiaTheme="minorEastAsia" w:hAnsiTheme="minorHAnsi"/>
          <w:sz w:val="24"/>
          <w:szCs w:val="24"/>
          <w:lang w:eastAsia="en-AU"/>
        </w:rPr>
      </w:pPr>
      <w:hyperlink w:anchor="_Toc233039005" w:history="1">
        <w:r w:rsidRPr="00203F7D">
          <w:rPr>
            <w:rStyle w:val="Hyperlink"/>
          </w:rPr>
          <w:t>5.12.5</w:t>
        </w:r>
        <w:r>
          <w:rPr>
            <w:rFonts w:asciiTheme="minorHAnsi" w:eastAsiaTheme="minorEastAsia" w:hAnsiTheme="minorHAnsi"/>
            <w:sz w:val="24"/>
            <w:szCs w:val="24"/>
            <w:lang w:eastAsia="en-AU"/>
          </w:rPr>
          <w:tab/>
        </w:r>
        <w:r w:rsidRPr="00203F7D">
          <w:rPr>
            <w:rStyle w:val="Hyperlink"/>
          </w:rPr>
          <w:t>Pasture renovation and establishment</w:t>
        </w:r>
        <w:r>
          <w:rPr>
            <w:webHidden/>
          </w:rPr>
          <w:tab/>
        </w:r>
        <w:r>
          <w:rPr>
            <w:webHidden/>
          </w:rPr>
          <w:fldChar w:fldCharType="begin"/>
        </w:r>
        <w:r>
          <w:rPr>
            <w:webHidden/>
          </w:rPr>
          <w:instrText xml:space="preserve"> PAGEREF _Toc233039005 \h </w:instrText>
        </w:r>
        <w:r>
          <w:rPr>
            <w:webHidden/>
          </w:rPr>
        </w:r>
        <w:r>
          <w:rPr>
            <w:webHidden/>
          </w:rPr>
          <w:fldChar w:fldCharType="separate"/>
        </w:r>
        <w:r>
          <w:rPr>
            <w:webHidden/>
          </w:rPr>
          <w:t>78</w:t>
        </w:r>
        <w:r>
          <w:rPr>
            <w:webHidden/>
          </w:rPr>
          <w:fldChar w:fldCharType="end"/>
        </w:r>
      </w:hyperlink>
    </w:p>
    <w:p w14:paraId="5E394D00" w14:textId="60D85746" w:rsidR="00602535" w:rsidRDefault="00602535">
      <w:pPr>
        <w:pStyle w:val="TOC3"/>
        <w:tabs>
          <w:tab w:val="left" w:pos="1200"/>
        </w:tabs>
        <w:rPr>
          <w:rFonts w:asciiTheme="minorHAnsi" w:eastAsiaTheme="minorEastAsia" w:hAnsiTheme="minorHAnsi"/>
          <w:sz w:val="24"/>
          <w:szCs w:val="24"/>
          <w:lang w:eastAsia="en-AU"/>
        </w:rPr>
      </w:pPr>
      <w:hyperlink w:anchor="_Toc233039006" w:history="1">
        <w:r w:rsidRPr="00203F7D">
          <w:rPr>
            <w:rStyle w:val="Hyperlink"/>
          </w:rPr>
          <w:t>5.12.6</w:t>
        </w:r>
        <w:r>
          <w:rPr>
            <w:rFonts w:asciiTheme="minorHAnsi" w:eastAsiaTheme="minorEastAsia" w:hAnsiTheme="minorHAnsi"/>
            <w:sz w:val="24"/>
            <w:szCs w:val="24"/>
            <w:lang w:eastAsia="en-AU"/>
          </w:rPr>
          <w:tab/>
        </w:r>
        <w:r w:rsidRPr="00203F7D">
          <w:rPr>
            <w:rStyle w:val="Hyperlink"/>
          </w:rPr>
          <w:t>Sugarcane</w:t>
        </w:r>
        <w:r>
          <w:rPr>
            <w:webHidden/>
          </w:rPr>
          <w:tab/>
        </w:r>
        <w:r>
          <w:rPr>
            <w:webHidden/>
          </w:rPr>
          <w:fldChar w:fldCharType="begin"/>
        </w:r>
        <w:r>
          <w:rPr>
            <w:webHidden/>
          </w:rPr>
          <w:instrText xml:space="preserve"> PAGEREF _Toc233039006 \h </w:instrText>
        </w:r>
        <w:r>
          <w:rPr>
            <w:webHidden/>
          </w:rPr>
        </w:r>
        <w:r>
          <w:rPr>
            <w:webHidden/>
          </w:rPr>
          <w:fldChar w:fldCharType="separate"/>
        </w:r>
        <w:r>
          <w:rPr>
            <w:webHidden/>
          </w:rPr>
          <w:t>78</w:t>
        </w:r>
        <w:r>
          <w:rPr>
            <w:webHidden/>
          </w:rPr>
          <w:fldChar w:fldCharType="end"/>
        </w:r>
      </w:hyperlink>
    </w:p>
    <w:p w14:paraId="574BDD2E" w14:textId="179E0FB2" w:rsidR="00602535" w:rsidRDefault="00602535">
      <w:pPr>
        <w:pStyle w:val="TOC3"/>
        <w:tabs>
          <w:tab w:val="left" w:pos="1200"/>
        </w:tabs>
        <w:rPr>
          <w:rFonts w:asciiTheme="minorHAnsi" w:eastAsiaTheme="minorEastAsia" w:hAnsiTheme="minorHAnsi"/>
          <w:sz w:val="24"/>
          <w:szCs w:val="24"/>
          <w:lang w:eastAsia="en-AU"/>
        </w:rPr>
      </w:pPr>
      <w:hyperlink w:anchor="_Toc233039007" w:history="1">
        <w:r w:rsidRPr="00203F7D">
          <w:rPr>
            <w:rStyle w:val="Hyperlink"/>
          </w:rPr>
          <w:t>5.12.7</w:t>
        </w:r>
        <w:r>
          <w:rPr>
            <w:rFonts w:asciiTheme="minorHAnsi" w:eastAsiaTheme="minorEastAsia" w:hAnsiTheme="minorHAnsi"/>
            <w:sz w:val="24"/>
            <w:szCs w:val="24"/>
            <w:lang w:eastAsia="en-AU"/>
          </w:rPr>
          <w:tab/>
        </w:r>
        <w:r w:rsidRPr="00203F7D">
          <w:rPr>
            <w:rStyle w:val="Hyperlink"/>
          </w:rPr>
          <w:t>Orchards (including bananas) and Vineyards: Citrus, Grapes, Pome fruit, Stone fruit, Tree nuts, Tropical fruit (edible peel), Tropical fruit (inedible peel, except pineapple)</w:t>
        </w:r>
        <w:r>
          <w:rPr>
            <w:webHidden/>
          </w:rPr>
          <w:tab/>
        </w:r>
        <w:r>
          <w:rPr>
            <w:webHidden/>
          </w:rPr>
          <w:fldChar w:fldCharType="begin"/>
        </w:r>
        <w:r>
          <w:rPr>
            <w:webHidden/>
          </w:rPr>
          <w:instrText xml:space="preserve"> PAGEREF _Toc233039007 \h </w:instrText>
        </w:r>
        <w:r>
          <w:rPr>
            <w:webHidden/>
          </w:rPr>
        </w:r>
        <w:r>
          <w:rPr>
            <w:webHidden/>
          </w:rPr>
          <w:fldChar w:fldCharType="separate"/>
        </w:r>
        <w:r>
          <w:rPr>
            <w:webHidden/>
          </w:rPr>
          <w:t>79</w:t>
        </w:r>
        <w:r>
          <w:rPr>
            <w:webHidden/>
          </w:rPr>
          <w:fldChar w:fldCharType="end"/>
        </w:r>
      </w:hyperlink>
    </w:p>
    <w:p w14:paraId="147101EF" w14:textId="3D17C5E6" w:rsidR="00602535" w:rsidRDefault="00602535">
      <w:pPr>
        <w:pStyle w:val="TOC3"/>
        <w:tabs>
          <w:tab w:val="left" w:pos="1200"/>
        </w:tabs>
        <w:rPr>
          <w:rFonts w:asciiTheme="minorHAnsi" w:eastAsiaTheme="minorEastAsia" w:hAnsiTheme="minorHAnsi"/>
          <w:sz w:val="24"/>
          <w:szCs w:val="24"/>
          <w:lang w:eastAsia="en-AU"/>
        </w:rPr>
      </w:pPr>
      <w:hyperlink w:anchor="_Toc233039008" w:history="1">
        <w:r w:rsidRPr="00203F7D">
          <w:rPr>
            <w:rStyle w:val="Hyperlink"/>
          </w:rPr>
          <w:t>5.12.8</w:t>
        </w:r>
        <w:r>
          <w:rPr>
            <w:rFonts w:asciiTheme="minorHAnsi" w:eastAsiaTheme="minorEastAsia" w:hAnsiTheme="minorHAnsi"/>
            <w:sz w:val="24"/>
            <w:szCs w:val="24"/>
            <w:lang w:eastAsia="en-AU"/>
          </w:rPr>
          <w:tab/>
        </w:r>
        <w:r w:rsidRPr="00203F7D">
          <w:rPr>
            <w:rStyle w:val="Hyperlink"/>
          </w:rPr>
          <w:t>Vegetables - Asparagus</w:t>
        </w:r>
        <w:r>
          <w:rPr>
            <w:webHidden/>
          </w:rPr>
          <w:tab/>
        </w:r>
        <w:r>
          <w:rPr>
            <w:webHidden/>
          </w:rPr>
          <w:fldChar w:fldCharType="begin"/>
        </w:r>
        <w:r>
          <w:rPr>
            <w:webHidden/>
          </w:rPr>
          <w:instrText xml:space="preserve"> PAGEREF _Toc233039008 \h </w:instrText>
        </w:r>
        <w:r>
          <w:rPr>
            <w:webHidden/>
          </w:rPr>
        </w:r>
        <w:r>
          <w:rPr>
            <w:webHidden/>
          </w:rPr>
          <w:fldChar w:fldCharType="separate"/>
        </w:r>
        <w:r>
          <w:rPr>
            <w:webHidden/>
          </w:rPr>
          <w:t>79</w:t>
        </w:r>
        <w:r>
          <w:rPr>
            <w:webHidden/>
          </w:rPr>
          <w:fldChar w:fldCharType="end"/>
        </w:r>
      </w:hyperlink>
    </w:p>
    <w:p w14:paraId="4E63E798" w14:textId="7F05BE87" w:rsidR="00602535" w:rsidRDefault="00602535">
      <w:pPr>
        <w:pStyle w:val="TOC3"/>
        <w:tabs>
          <w:tab w:val="left" w:pos="1200"/>
        </w:tabs>
        <w:rPr>
          <w:rFonts w:asciiTheme="minorHAnsi" w:eastAsiaTheme="minorEastAsia" w:hAnsiTheme="minorHAnsi"/>
          <w:sz w:val="24"/>
          <w:szCs w:val="24"/>
          <w:lang w:eastAsia="en-AU"/>
        </w:rPr>
      </w:pPr>
      <w:hyperlink w:anchor="_Toc233039009" w:history="1">
        <w:r w:rsidRPr="00203F7D">
          <w:rPr>
            <w:rStyle w:val="Hyperlink"/>
          </w:rPr>
          <w:t>5.12.9</w:t>
        </w:r>
        <w:r>
          <w:rPr>
            <w:rFonts w:asciiTheme="minorHAnsi" w:eastAsiaTheme="minorEastAsia" w:hAnsiTheme="minorHAnsi"/>
            <w:sz w:val="24"/>
            <w:szCs w:val="24"/>
            <w:lang w:eastAsia="en-AU"/>
          </w:rPr>
          <w:tab/>
        </w:r>
        <w:r w:rsidRPr="00203F7D">
          <w:rPr>
            <w:rStyle w:val="Hyperlink"/>
          </w:rPr>
          <w:t>Berries and other small fruit (except grapes)</w:t>
        </w:r>
        <w:r>
          <w:rPr>
            <w:webHidden/>
          </w:rPr>
          <w:tab/>
        </w:r>
        <w:r>
          <w:rPr>
            <w:webHidden/>
          </w:rPr>
          <w:fldChar w:fldCharType="begin"/>
        </w:r>
        <w:r>
          <w:rPr>
            <w:webHidden/>
          </w:rPr>
          <w:instrText xml:space="preserve"> PAGEREF _Toc233039009 \h </w:instrText>
        </w:r>
        <w:r>
          <w:rPr>
            <w:webHidden/>
          </w:rPr>
        </w:r>
        <w:r>
          <w:rPr>
            <w:webHidden/>
          </w:rPr>
          <w:fldChar w:fldCharType="separate"/>
        </w:r>
        <w:r>
          <w:rPr>
            <w:webHidden/>
          </w:rPr>
          <w:t>79</w:t>
        </w:r>
        <w:r>
          <w:rPr>
            <w:webHidden/>
          </w:rPr>
          <w:fldChar w:fldCharType="end"/>
        </w:r>
      </w:hyperlink>
    </w:p>
    <w:p w14:paraId="69B88DC7" w14:textId="1C57663B" w:rsidR="00602535" w:rsidRDefault="00602535">
      <w:pPr>
        <w:pStyle w:val="TOC3"/>
        <w:tabs>
          <w:tab w:val="left" w:pos="1440"/>
        </w:tabs>
        <w:rPr>
          <w:rFonts w:asciiTheme="minorHAnsi" w:eastAsiaTheme="minorEastAsia" w:hAnsiTheme="minorHAnsi"/>
          <w:sz w:val="24"/>
          <w:szCs w:val="24"/>
          <w:lang w:eastAsia="en-AU"/>
        </w:rPr>
      </w:pPr>
      <w:hyperlink w:anchor="_Toc233039010" w:history="1">
        <w:r w:rsidRPr="00203F7D">
          <w:rPr>
            <w:rStyle w:val="Hyperlink"/>
          </w:rPr>
          <w:t>5.12.10</w:t>
        </w:r>
        <w:r>
          <w:rPr>
            <w:rFonts w:asciiTheme="minorHAnsi" w:eastAsiaTheme="minorEastAsia" w:hAnsiTheme="minorHAnsi"/>
            <w:sz w:val="24"/>
            <w:szCs w:val="24"/>
            <w:lang w:eastAsia="en-AU"/>
          </w:rPr>
          <w:tab/>
        </w:r>
        <w:r w:rsidRPr="00203F7D">
          <w:rPr>
            <w:rStyle w:val="Hyperlink"/>
          </w:rPr>
          <w:t>Vegetables - Brassica vegetables: broccoli, head cabbages, cauliflower and Chinese cabbage (type Pe-tsai)</w:t>
        </w:r>
        <w:r>
          <w:rPr>
            <w:webHidden/>
          </w:rPr>
          <w:tab/>
        </w:r>
        <w:r>
          <w:rPr>
            <w:webHidden/>
          </w:rPr>
          <w:fldChar w:fldCharType="begin"/>
        </w:r>
        <w:r>
          <w:rPr>
            <w:webHidden/>
          </w:rPr>
          <w:instrText xml:space="preserve"> PAGEREF _Toc233039010 \h </w:instrText>
        </w:r>
        <w:r>
          <w:rPr>
            <w:webHidden/>
          </w:rPr>
        </w:r>
        <w:r>
          <w:rPr>
            <w:webHidden/>
          </w:rPr>
          <w:fldChar w:fldCharType="separate"/>
        </w:r>
        <w:r>
          <w:rPr>
            <w:webHidden/>
          </w:rPr>
          <w:t>80</w:t>
        </w:r>
        <w:r>
          <w:rPr>
            <w:webHidden/>
          </w:rPr>
          <w:fldChar w:fldCharType="end"/>
        </w:r>
      </w:hyperlink>
    </w:p>
    <w:p w14:paraId="68240A25" w14:textId="060A0D35" w:rsidR="00602535" w:rsidRDefault="00602535">
      <w:pPr>
        <w:pStyle w:val="TOC3"/>
        <w:tabs>
          <w:tab w:val="left" w:pos="1440"/>
        </w:tabs>
        <w:rPr>
          <w:rFonts w:asciiTheme="minorHAnsi" w:eastAsiaTheme="minorEastAsia" w:hAnsiTheme="minorHAnsi"/>
          <w:sz w:val="24"/>
          <w:szCs w:val="24"/>
          <w:lang w:eastAsia="en-AU"/>
        </w:rPr>
      </w:pPr>
      <w:hyperlink w:anchor="_Toc233039011" w:history="1">
        <w:r w:rsidRPr="00203F7D">
          <w:rPr>
            <w:rStyle w:val="Hyperlink"/>
          </w:rPr>
          <w:t>5.12.11</w:t>
        </w:r>
        <w:r>
          <w:rPr>
            <w:rFonts w:asciiTheme="minorHAnsi" w:eastAsiaTheme="minorEastAsia" w:hAnsiTheme="minorHAnsi"/>
            <w:sz w:val="24"/>
            <w:szCs w:val="24"/>
            <w:lang w:eastAsia="en-AU"/>
          </w:rPr>
          <w:tab/>
        </w:r>
        <w:r w:rsidRPr="00203F7D">
          <w:rPr>
            <w:rStyle w:val="Hyperlink"/>
          </w:rPr>
          <w:t>Vegetables - Bulb vegetables: bulb onions</w:t>
        </w:r>
        <w:r>
          <w:rPr>
            <w:webHidden/>
          </w:rPr>
          <w:tab/>
        </w:r>
        <w:r>
          <w:rPr>
            <w:webHidden/>
          </w:rPr>
          <w:fldChar w:fldCharType="begin"/>
        </w:r>
        <w:r>
          <w:rPr>
            <w:webHidden/>
          </w:rPr>
          <w:instrText xml:space="preserve"> PAGEREF _Toc233039011 \h </w:instrText>
        </w:r>
        <w:r>
          <w:rPr>
            <w:webHidden/>
          </w:rPr>
        </w:r>
        <w:r>
          <w:rPr>
            <w:webHidden/>
          </w:rPr>
          <w:fldChar w:fldCharType="separate"/>
        </w:r>
        <w:r>
          <w:rPr>
            <w:webHidden/>
          </w:rPr>
          <w:t>80</w:t>
        </w:r>
        <w:r>
          <w:rPr>
            <w:webHidden/>
          </w:rPr>
          <w:fldChar w:fldCharType="end"/>
        </w:r>
      </w:hyperlink>
    </w:p>
    <w:p w14:paraId="49A61B23" w14:textId="5EF37B4D" w:rsidR="00602535" w:rsidRDefault="00602535">
      <w:pPr>
        <w:pStyle w:val="TOC3"/>
        <w:tabs>
          <w:tab w:val="left" w:pos="1440"/>
        </w:tabs>
        <w:rPr>
          <w:rFonts w:asciiTheme="minorHAnsi" w:eastAsiaTheme="minorEastAsia" w:hAnsiTheme="minorHAnsi"/>
          <w:sz w:val="24"/>
          <w:szCs w:val="24"/>
          <w:lang w:eastAsia="en-AU"/>
        </w:rPr>
      </w:pPr>
      <w:hyperlink w:anchor="_Toc233039012" w:history="1">
        <w:r w:rsidRPr="00203F7D">
          <w:rPr>
            <w:rStyle w:val="Hyperlink"/>
          </w:rPr>
          <w:t>5.12.12</w:t>
        </w:r>
        <w:r>
          <w:rPr>
            <w:rFonts w:asciiTheme="minorHAnsi" w:eastAsiaTheme="minorEastAsia" w:hAnsiTheme="minorHAnsi"/>
            <w:sz w:val="24"/>
            <w:szCs w:val="24"/>
            <w:lang w:eastAsia="en-AU"/>
          </w:rPr>
          <w:tab/>
        </w:r>
        <w:r w:rsidRPr="00203F7D">
          <w:rPr>
            <w:rStyle w:val="Hyperlink"/>
          </w:rPr>
          <w:t>Vegetables - Fruiting vegetables, cucurbits</w:t>
        </w:r>
        <w:r>
          <w:rPr>
            <w:webHidden/>
          </w:rPr>
          <w:tab/>
        </w:r>
        <w:r>
          <w:rPr>
            <w:webHidden/>
          </w:rPr>
          <w:fldChar w:fldCharType="begin"/>
        </w:r>
        <w:r>
          <w:rPr>
            <w:webHidden/>
          </w:rPr>
          <w:instrText xml:space="preserve"> PAGEREF _Toc233039012 \h </w:instrText>
        </w:r>
        <w:r>
          <w:rPr>
            <w:webHidden/>
          </w:rPr>
        </w:r>
        <w:r>
          <w:rPr>
            <w:webHidden/>
          </w:rPr>
          <w:fldChar w:fldCharType="separate"/>
        </w:r>
        <w:r>
          <w:rPr>
            <w:webHidden/>
          </w:rPr>
          <w:t>80</w:t>
        </w:r>
        <w:r>
          <w:rPr>
            <w:webHidden/>
          </w:rPr>
          <w:fldChar w:fldCharType="end"/>
        </w:r>
      </w:hyperlink>
    </w:p>
    <w:p w14:paraId="046BE490" w14:textId="29100091" w:rsidR="00602535" w:rsidRDefault="00602535">
      <w:pPr>
        <w:pStyle w:val="TOC3"/>
        <w:tabs>
          <w:tab w:val="left" w:pos="1440"/>
        </w:tabs>
        <w:rPr>
          <w:rFonts w:asciiTheme="minorHAnsi" w:eastAsiaTheme="minorEastAsia" w:hAnsiTheme="minorHAnsi"/>
          <w:sz w:val="24"/>
          <w:szCs w:val="24"/>
          <w:lang w:eastAsia="en-AU"/>
        </w:rPr>
      </w:pPr>
      <w:hyperlink w:anchor="_Toc233039013" w:history="1">
        <w:r w:rsidRPr="00203F7D">
          <w:rPr>
            <w:rStyle w:val="Hyperlink"/>
          </w:rPr>
          <w:t>5.12.13</w:t>
        </w:r>
        <w:r>
          <w:rPr>
            <w:rFonts w:asciiTheme="minorHAnsi" w:eastAsiaTheme="minorEastAsia" w:hAnsiTheme="minorHAnsi"/>
            <w:sz w:val="24"/>
            <w:szCs w:val="24"/>
            <w:lang w:eastAsia="en-AU"/>
          </w:rPr>
          <w:tab/>
        </w:r>
        <w:r w:rsidRPr="00203F7D">
          <w:rPr>
            <w:rStyle w:val="Hyperlink"/>
          </w:rPr>
          <w:t>Vegetables - Fruiting vegetables other than cucurbits</w:t>
        </w:r>
        <w:r>
          <w:rPr>
            <w:webHidden/>
          </w:rPr>
          <w:tab/>
        </w:r>
        <w:r>
          <w:rPr>
            <w:webHidden/>
          </w:rPr>
          <w:fldChar w:fldCharType="begin"/>
        </w:r>
        <w:r>
          <w:rPr>
            <w:webHidden/>
          </w:rPr>
          <w:instrText xml:space="preserve"> PAGEREF _Toc233039013 \h </w:instrText>
        </w:r>
        <w:r>
          <w:rPr>
            <w:webHidden/>
          </w:rPr>
        </w:r>
        <w:r>
          <w:rPr>
            <w:webHidden/>
          </w:rPr>
          <w:fldChar w:fldCharType="separate"/>
        </w:r>
        <w:r>
          <w:rPr>
            <w:webHidden/>
          </w:rPr>
          <w:t>81</w:t>
        </w:r>
        <w:r>
          <w:rPr>
            <w:webHidden/>
          </w:rPr>
          <w:fldChar w:fldCharType="end"/>
        </w:r>
      </w:hyperlink>
    </w:p>
    <w:p w14:paraId="3A2C096E" w14:textId="2577C64B" w:rsidR="00602535" w:rsidRDefault="00602535">
      <w:pPr>
        <w:pStyle w:val="TOC3"/>
        <w:tabs>
          <w:tab w:val="left" w:pos="1440"/>
        </w:tabs>
        <w:rPr>
          <w:rFonts w:asciiTheme="minorHAnsi" w:eastAsiaTheme="minorEastAsia" w:hAnsiTheme="minorHAnsi"/>
          <w:sz w:val="24"/>
          <w:szCs w:val="24"/>
          <w:lang w:eastAsia="en-AU"/>
        </w:rPr>
      </w:pPr>
      <w:hyperlink w:anchor="_Toc233039014" w:history="1">
        <w:r w:rsidRPr="00203F7D">
          <w:rPr>
            <w:rStyle w:val="Hyperlink"/>
          </w:rPr>
          <w:t>5.12.14</w:t>
        </w:r>
        <w:r>
          <w:rPr>
            <w:rFonts w:asciiTheme="minorHAnsi" w:eastAsiaTheme="minorEastAsia" w:hAnsiTheme="minorHAnsi"/>
            <w:sz w:val="24"/>
            <w:szCs w:val="24"/>
            <w:lang w:eastAsia="en-AU"/>
          </w:rPr>
          <w:tab/>
        </w:r>
        <w:r w:rsidRPr="00203F7D">
          <w:rPr>
            <w:rStyle w:val="Hyperlink"/>
          </w:rPr>
          <w:t>Vegetables - Leafy vegetables</w:t>
        </w:r>
        <w:r>
          <w:rPr>
            <w:webHidden/>
          </w:rPr>
          <w:tab/>
        </w:r>
        <w:r>
          <w:rPr>
            <w:webHidden/>
          </w:rPr>
          <w:fldChar w:fldCharType="begin"/>
        </w:r>
        <w:r>
          <w:rPr>
            <w:webHidden/>
          </w:rPr>
          <w:instrText xml:space="preserve"> PAGEREF _Toc233039014 \h </w:instrText>
        </w:r>
        <w:r>
          <w:rPr>
            <w:webHidden/>
          </w:rPr>
        </w:r>
        <w:r>
          <w:rPr>
            <w:webHidden/>
          </w:rPr>
          <w:fldChar w:fldCharType="separate"/>
        </w:r>
        <w:r>
          <w:rPr>
            <w:webHidden/>
          </w:rPr>
          <w:t>81</w:t>
        </w:r>
        <w:r>
          <w:rPr>
            <w:webHidden/>
          </w:rPr>
          <w:fldChar w:fldCharType="end"/>
        </w:r>
      </w:hyperlink>
    </w:p>
    <w:p w14:paraId="4672A5BD" w14:textId="13C44499" w:rsidR="00602535" w:rsidRDefault="00602535">
      <w:pPr>
        <w:pStyle w:val="TOC3"/>
        <w:tabs>
          <w:tab w:val="left" w:pos="1440"/>
        </w:tabs>
        <w:rPr>
          <w:rFonts w:asciiTheme="minorHAnsi" w:eastAsiaTheme="minorEastAsia" w:hAnsiTheme="minorHAnsi"/>
          <w:sz w:val="24"/>
          <w:szCs w:val="24"/>
          <w:lang w:eastAsia="en-AU"/>
        </w:rPr>
      </w:pPr>
      <w:hyperlink w:anchor="_Toc233039015" w:history="1">
        <w:r w:rsidRPr="00203F7D">
          <w:rPr>
            <w:rStyle w:val="Hyperlink"/>
          </w:rPr>
          <w:t>5.12.15</w:t>
        </w:r>
        <w:r>
          <w:rPr>
            <w:rFonts w:asciiTheme="minorHAnsi" w:eastAsiaTheme="minorEastAsia" w:hAnsiTheme="minorHAnsi"/>
            <w:sz w:val="24"/>
            <w:szCs w:val="24"/>
            <w:lang w:eastAsia="en-AU"/>
          </w:rPr>
          <w:tab/>
        </w:r>
        <w:r w:rsidRPr="00203F7D">
          <w:rPr>
            <w:rStyle w:val="Hyperlink"/>
          </w:rPr>
          <w:t>Vegetables - Legume vegetables</w:t>
        </w:r>
        <w:r>
          <w:rPr>
            <w:webHidden/>
          </w:rPr>
          <w:tab/>
        </w:r>
        <w:r>
          <w:rPr>
            <w:webHidden/>
          </w:rPr>
          <w:fldChar w:fldCharType="begin"/>
        </w:r>
        <w:r>
          <w:rPr>
            <w:webHidden/>
          </w:rPr>
          <w:instrText xml:space="preserve"> PAGEREF _Toc233039015 \h </w:instrText>
        </w:r>
        <w:r>
          <w:rPr>
            <w:webHidden/>
          </w:rPr>
        </w:r>
        <w:r>
          <w:rPr>
            <w:webHidden/>
          </w:rPr>
          <w:fldChar w:fldCharType="separate"/>
        </w:r>
        <w:r>
          <w:rPr>
            <w:webHidden/>
          </w:rPr>
          <w:t>81</w:t>
        </w:r>
        <w:r>
          <w:rPr>
            <w:webHidden/>
          </w:rPr>
          <w:fldChar w:fldCharType="end"/>
        </w:r>
      </w:hyperlink>
    </w:p>
    <w:p w14:paraId="374D2944" w14:textId="66F7C058" w:rsidR="00602535" w:rsidRDefault="00602535">
      <w:pPr>
        <w:pStyle w:val="TOC3"/>
        <w:tabs>
          <w:tab w:val="left" w:pos="1440"/>
        </w:tabs>
        <w:rPr>
          <w:rFonts w:asciiTheme="minorHAnsi" w:eastAsiaTheme="minorEastAsia" w:hAnsiTheme="minorHAnsi"/>
          <w:sz w:val="24"/>
          <w:szCs w:val="24"/>
          <w:lang w:eastAsia="en-AU"/>
        </w:rPr>
      </w:pPr>
      <w:hyperlink w:anchor="_Toc233039016" w:history="1">
        <w:r w:rsidRPr="00203F7D">
          <w:rPr>
            <w:rStyle w:val="Hyperlink"/>
          </w:rPr>
          <w:t>5.12.16</w:t>
        </w:r>
        <w:r>
          <w:rPr>
            <w:rFonts w:asciiTheme="minorHAnsi" w:eastAsiaTheme="minorEastAsia" w:hAnsiTheme="minorHAnsi"/>
            <w:sz w:val="24"/>
            <w:szCs w:val="24"/>
            <w:lang w:eastAsia="en-AU"/>
          </w:rPr>
          <w:tab/>
        </w:r>
        <w:r w:rsidRPr="00203F7D">
          <w:rPr>
            <w:rStyle w:val="Hyperlink"/>
          </w:rPr>
          <w:t>Vegetables - Root and tuber vegetables</w:t>
        </w:r>
        <w:r>
          <w:rPr>
            <w:webHidden/>
          </w:rPr>
          <w:tab/>
        </w:r>
        <w:r>
          <w:rPr>
            <w:webHidden/>
          </w:rPr>
          <w:fldChar w:fldCharType="begin"/>
        </w:r>
        <w:r>
          <w:rPr>
            <w:webHidden/>
          </w:rPr>
          <w:instrText xml:space="preserve"> PAGEREF _Toc233039016 \h </w:instrText>
        </w:r>
        <w:r>
          <w:rPr>
            <w:webHidden/>
          </w:rPr>
        </w:r>
        <w:r>
          <w:rPr>
            <w:webHidden/>
          </w:rPr>
          <w:fldChar w:fldCharType="separate"/>
        </w:r>
        <w:r>
          <w:rPr>
            <w:webHidden/>
          </w:rPr>
          <w:t>82</w:t>
        </w:r>
        <w:r>
          <w:rPr>
            <w:webHidden/>
          </w:rPr>
          <w:fldChar w:fldCharType="end"/>
        </w:r>
      </w:hyperlink>
    </w:p>
    <w:p w14:paraId="2634D4DF" w14:textId="56DD2696" w:rsidR="00602535" w:rsidRDefault="00602535">
      <w:pPr>
        <w:pStyle w:val="TOC3"/>
        <w:tabs>
          <w:tab w:val="left" w:pos="1440"/>
        </w:tabs>
        <w:rPr>
          <w:rFonts w:asciiTheme="minorHAnsi" w:eastAsiaTheme="minorEastAsia" w:hAnsiTheme="minorHAnsi"/>
          <w:sz w:val="24"/>
          <w:szCs w:val="24"/>
          <w:lang w:eastAsia="en-AU"/>
        </w:rPr>
      </w:pPr>
      <w:hyperlink w:anchor="_Toc233039017" w:history="1">
        <w:r w:rsidRPr="00203F7D">
          <w:rPr>
            <w:rStyle w:val="Hyperlink"/>
          </w:rPr>
          <w:t>5.12.17</w:t>
        </w:r>
        <w:r>
          <w:rPr>
            <w:rFonts w:asciiTheme="minorHAnsi" w:eastAsiaTheme="minorEastAsia" w:hAnsiTheme="minorHAnsi"/>
            <w:sz w:val="24"/>
            <w:szCs w:val="24"/>
            <w:lang w:eastAsia="en-AU"/>
          </w:rPr>
          <w:tab/>
        </w:r>
        <w:r w:rsidRPr="00203F7D">
          <w:rPr>
            <w:rStyle w:val="Hyperlink"/>
          </w:rPr>
          <w:t>Vegetables - Stalk and stem vegetables</w:t>
        </w:r>
        <w:r>
          <w:rPr>
            <w:webHidden/>
          </w:rPr>
          <w:tab/>
        </w:r>
        <w:r>
          <w:rPr>
            <w:webHidden/>
          </w:rPr>
          <w:fldChar w:fldCharType="begin"/>
        </w:r>
        <w:r>
          <w:rPr>
            <w:webHidden/>
          </w:rPr>
          <w:instrText xml:space="preserve"> PAGEREF _Toc233039017 \h </w:instrText>
        </w:r>
        <w:r>
          <w:rPr>
            <w:webHidden/>
          </w:rPr>
        </w:r>
        <w:r>
          <w:rPr>
            <w:webHidden/>
          </w:rPr>
          <w:fldChar w:fldCharType="separate"/>
        </w:r>
        <w:r>
          <w:rPr>
            <w:webHidden/>
          </w:rPr>
          <w:t>82</w:t>
        </w:r>
        <w:r>
          <w:rPr>
            <w:webHidden/>
          </w:rPr>
          <w:fldChar w:fldCharType="end"/>
        </w:r>
      </w:hyperlink>
    </w:p>
    <w:p w14:paraId="53D72735" w14:textId="0C4AF830" w:rsidR="00602535" w:rsidRDefault="00602535">
      <w:pPr>
        <w:pStyle w:val="TOC3"/>
        <w:tabs>
          <w:tab w:val="left" w:pos="1440"/>
        </w:tabs>
        <w:rPr>
          <w:rFonts w:asciiTheme="minorHAnsi" w:eastAsiaTheme="minorEastAsia" w:hAnsiTheme="minorHAnsi"/>
          <w:sz w:val="24"/>
          <w:szCs w:val="24"/>
          <w:lang w:eastAsia="en-AU"/>
        </w:rPr>
      </w:pPr>
      <w:hyperlink w:anchor="_Toc233039018" w:history="1">
        <w:r w:rsidRPr="00203F7D">
          <w:rPr>
            <w:rStyle w:val="Hyperlink"/>
          </w:rPr>
          <w:t>5.12.18</w:t>
        </w:r>
        <w:r>
          <w:rPr>
            <w:rFonts w:asciiTheme="minorHAnsi" w:eastAsiaTheme="minorEastAsia" w:hAnsiTheme="minorHAnsi"/>
            <w:sz w:val="24"/>
            <w:szCs w:val="24"/>
            <w:lang w:eastAsia="en-AU"/>
          </w:rPr>
          <w:tab/>
        </w:r>
        <w:r w:rsidRPr="00203F7D">
          <w:rPr>
            <w:rStyle w:val="Hyperlink"/>
          </w:rPr>
          <w:t>Wheat, oats</w:t>
        </w:r>
        <w:r>
          <w:rPr>
            <w:webHidden/>
          </w:rPr>
          <w:tab/>
        </w:r>
        <w:r>
          <w:rPr>
            <w:webHidden/>
          </w:rPr>
          <w:fldChar w:fldCharType="begin"/>
        </w:r>
        <w:r>
          <w:rPr>
            <w:webHidden/>
          </w:rPr>
          <w:instrText xml:space="preserve"> PAGEREF _Toc233039018 \h </w:instrText>
        </w:r>
        <w:r>
          <w:rPr>
            <w:webHidden/>
          </w:rPr>
        </w:r>
        <w:r>
          <w:rPr>
            <w:webHidden/>
          </w:rPr>
          <w:fldChar w:fldCharType="separate"/>
        </w:r>
        <w:r>
          <w:rPr>
            <w:webHidden/>
          </w:rPr>
          <w:t>82</w:t>
        </w:r>
        <w:r>
          <w:rPr>
            <w:webHidden/>
          </w:rPr>
          <w:fldChar w:fldCharType="end"/>
        </w:r>
      </w:hyperlink>
    </w:p>
    <w:p w14:paraId="0007FEF0" w14:textId="6C227B18" w:rsidR="00602535" w:rsidRDefault="00602535">
      <w:pPr>
        <w:pStyle w:val="TOC3"/>
        <w:tabs>
          <w:tab w:val="left" w:pos="1440"/>
        </w:tabs>
        <w:rPr>
          <w:rFonts w:asciiTheme="minorHAnsi" w:eastAsiaTheme="minorEastAsia" w:hAnsiTheme="minorHAnsi"/>
          <w:sz w:val="24"/>
          <w:szCs w:val="24"/>
          <w:lang w:eastAsia="en-AU"/>
        </w:rPr>
      </w:pPr>
      <w:hyperlink w:anchor="_Toc233039019" w:history="1">
        <w:r w:rsidRPr="00203F7D">
          <w:rPr>
            <w:rStyle w:val="Hyperlink"/>
          </w:rPr>
          <w:t>5.12.19</w:t>
        </w:r>
        <w:r>
          <w:rPr>
            <w:rFonts w:asciiTheme="minorHAnsi" w:eastAsiaTheme="minorEastAsia" w:hAnsiTheme="minorHAnsi"/>
            <w:sz w:val="24"/>
            <w:szCs w:val="24"/>
            <w:lang w:eastAsia="en-AU"/>
          </w:rPr>
          <w:tab/>
        </w:r>
        <w:r w:rsidRPr="00203F7D">
          <w:rPr>
            <w:rStyle w:val="Hyperlink"/>
          </w:rPr>
          <w:t>Aquatic areas</w:t>
        </w:r>
        <w:r>
          <w:rPr>
            <w:webHidden/>
          </w:rPr>
          <w:tab/>
        </w:r>
        <w:r>
          <w:rPr>
            <w:webHidden/>
          </w:rPr>
          <w:fldChar w:fldCharType="begin"/>
        </w:r>
        <w:r>
          <w:rPr>
            <w:webHidden/>
          </w:rPr>
          <w:instrText xml:space="preserve"> PAGEREF _Toc233039019 \h </w:instrText>
        </w:r>
        <w:r>
          <w:rPr>
            <w:webHidden/>
          </w:rPr>
        </w:r>
        <w:r>
          <w:rPr>
            <w:webHidden/>
          </w:rPr>
          <w:fldChar w:fldCharType="separate"/>
        </w:r>
        <w:r>
          <w:rPr>
            <w:webHidden/>
          </w:rPr>
          <w:t>83</w:t>
        </w:r>
        <w:r>
          <w:rPr>
            <w:webHidden/>
          </w:rPr>
          <w:fldChar w:fldCharType="end"/>
        </w:r>
      </w:hyperlink>
    </w:p>
    <w:p w14:paraId="4DCBF921" w14:textId="03A3E8C9" w:rsidR="00602535" w:rsidRDefault="00602535">
      <w:pPr>
        <w:pStyle w:val="TOC3"/>
        <w:tabs>
          <w:tab w:val="left" w:pos="1440"/>
        </w:tabs>
        <w:rPr>
          <w:rFonts w:asciiTheme="minorHAnsi" w:eastAsiaTheme="minorEastAsia" w:hAnsiTheme="minorHAnsi"/>
          <w:sz w:val="24"/>
          <w:szCs w:val="24"/>
          <w:lang w:eastAsia="en-AU"/>
        </w:rPr>
      </w:pPr>
      <w:hyperlink w:anchor="_Toc233039020" w:history="1">
        <w:r w:rsidRPr="00203F7D">
          <w:rPr>
            <w:rStyle w:val="Hyperlink"/>
          </w:rPr>
          <w:t>5.12.20</w:t>
        </w:r>
        <w:r>
          <w:rPr>
            <w:rFonts w:asciiTheme="minorHAnsi" w:eastAsiaTheme="minorEastAsia" w:hAnsiTheme="minorHAnsi"/>
            <w:sz w:val="24"/>
            <w:szCs w:val="24"/>
            <w:lang w:eastAsia="en-AU"/>
          </w:rPr>
          <w:tab/>
        </w:r>
        <w:r w:rsidRPr="00203F7D">
          <w:rPr>
            <w:rStyle w:val="Hyperlink"/>
          </w:rPr>
          <w:t>Animal commodities</w:t>
        </w:r>
        <w:r>
          <w:rPr>
            <w:webHidden/>
          </w:rPr>
          <w:tab/>
        </w:r>
        <w:r>
          <w:rPr>
            <w:webHidden/>
          </w:rPr>
          <w:fldChar w:fldCharType="begin"/>
        </w:r>
        <w:r>
          <w:rPr>
            <w:webHidden/>
          </w:rPr>
          <w:instrText xml:space="preserve"> PAGEREF _Toc233039020 \h </w:instrText>
        </w:r>
        <w:r>
          <w:rPr>
            <w:webHidden/>
          </w:rPr>
        </w:r>
        <w:r>
          <w:rPr>
            <w:webHidden/>
          </w:rPr>
          <w:fldChar w:fldCharType="separate"/>
        </w:r>
        <w:r>
          <w:rPr>
            <w:webHidden/>
          </w:rPr>
          <w:t>83</w:t>
        </w:r>
        <w:r>
          <w:rPr>
            <w:webHidden/>
          </w:rPr>
          <w:fldChar w:fldCharType="end"/>
        </w:r>
      </w:hyperlink>
    </w:p>
    <w:p w14:paraId="25214CD2" w14:textId="48AE5B81" w:rsidR="00602535" w:rsidRDefault="00602535">
      <w:pPr>
        <w:pStyle w:val="TOC3"/>
        <w:tabs>
          <w:tab w:val="left" w:pos="1440"/>
        </w:tabs>
        <w:rPr>
          <w:rFonts w:asciiTheme="minorHAnsi" w:eastAsiaTheme="minorEastAsia" w:hAnsiTheme="minorHAnsi"/>
          <w:sz w:val="24"/>
          <w:szCs w:val="24"/>
          <w:lang w:eastAsia="en-AU"/>
        </w:rPr>
      </w:pPr>
      <w:hyperlink w:anchor="_Toc233039021" w:history="1">
        <w:r w:rsidRPr="00203F7D">
          <w:rPr>
            <w:rStyle w:val="Hyperlink"/>
          </w:rPr>
          <w:t>5.12.21</w:t>
        </w:r>
        <w:r>
          <w:rPr>
            <w:rFonts w:asciiTheme="minorHAnsi" w:eastAsiaTheme="minorEastAsia" w:hAnsiTheme="minorHAnsi"/>
            <w:sz w:val="24"/>
            <w:szCs w:val="24"/>
            <w:lang w:eastAsia="en-AU"/>
          </w:rPr>
          <w:tab/>
        </w:r>
        <w:r w:rsidRPr="00203F7D">
          <w:rPr>
            <w:rStyle w:val="Hyperlink"/>
          </w:rPr>
          <w:t>Trade</w:t>
        </w:r>
        <w:r>
          <w:rPr>
            <w:webHidden/>
          </w:rPr>
          <w:tab/>
        </w:r>
        <w:r>
          <w:rPr>
            <w:webHidden/>
          </w:rPr>
          <w:fldChar w:fldCharType="begin"/>
        </w:r>
        <w:r>
          <w:rPr>
            <w:webHidden/>
          </w:rPr>
          <w:instrText xml:space="preserve"> PAGEREF _Toc233039021 \h </w:instrText>
        </w:r>
        <w:r>
          <w:rPr>
            <w:webHidden/>
          </w:rPr>
        </w:r>
        <w:r>
          <w:rPr>
            <w:webHidden/>
          </w:rPr>
          <w:fldChar w:fldCharType="separate"/>
        </w:r>
        <w:r>
          <w:rPr>
            <w:webHidden/>
          </w:rPr>
          <w:t>83</w:t>
        </w:r>
        <w:r>
          <w:rPr>
            <w:webHidden/>
          </w:rPr>
          <w:fldChar w:fldCharType="end"/>
        </w:r>
      </w:hyperlink>
    </w:p>
    <w:p w14:paraId="098CCFA3" w14:textId="6B033C98" w:rsidR="00602535" w:rsidRDefault="00602535">
      <w:pPr>
        <w:pStyle w:val="TOC2"/>
        <w:rPr>
          <w:rFonts w:asciiTheme="minorHAnsi" w:eastAsiaTheme="minorEastAsia" w:hAnsiTheme="minorHAnsi"/>
          <w:b w:val="0"/>
          <w:color w:val="auto"/>
          <w:sz w:val="24"/>
          <w:szCs w:val="24"/>
          <w:lang w:eastAsia="en-AU"/>
        </w:rPr>
      </w:pPr>
      <w:hyperlink w:anchor="_Toc233039022" w:history="1">
        <w:r w:rsidRPr="00203F7D">
          <w:rPr>
            <w:rStyle w:val="Hyperlink"/>
          </w:rPr>
          <w:t>5.13</w:t>
        </w:r>
        <w:r>
          <w:rPr>
            <w:rFonts w:asciiTheme="minorHAnsi" w:eastAsiaTheme="minorEastAsia" w:hAnsiTheme="minorHAnsi"/>
            <w:b w:val="0"/>
            <w:color w:val="auto"/>
            <w:sz w:val="24"/>
            <w:szCs w:val="24"/>
            <w:lang w:eastAsia="en-AU"/>
          </w:rPr>
          <w:tab/>
        </w:r>
        <w:r w:rsidRPr="00203F7D">
          <w:rPr>
            <w:rStyle w:val="Hyperlink"/>
          </w:rPr>
          <w:t>Revised dietary exposure assessment</w:t>
        </w:r>
        <w:r>
          <w:rPr>
            <w:webHidden/>
          </w:rPr>
          <w:tab/>
        </w:r>
        <w:r>
          <w:rPr>
            <w:webHidden/>
          </w:rPr>
          <w:fldChar w:fldCharType="begin"/>
        </w:r>
        <w:r>
          <w:rPr>
            <w:webHidden/>
          </w:rPr>
          <w:instrText xml:space="preserve"> PAGEREF _Toc233039022 \h </w:instrText>
        </w:r>
        <w:r>
          <w:rPr>
            <w:webHidden/>
          </w:rPr>
        </w:r>
        <w:r>
          <w:rPr>
            <w:webHidden/>
          </w:rPr>
          <w:fldChar w:fldCharType="separate"/>
        </w:r>
        <w:r>
          <w:rPr>
            <w:webHidden/>
          </w:rPr>
          <w:t>83</w:t>
        </w:r>
        <w:r>
          <w:rPr>
            <w:webHidden/>
          </w:rPr>
          <w:fldChar w:fldCharType="end"/>
        </w:r>
      </w:hyperlink>
    </w:p>
    <w:p w14:paraId="7A064E4B" w14:textId="73EF62CE" w:rsidR="00602535" w:rsidRDefault="00602535">
      <w:pPr>
        <w:pStyle w:val="TOC3"/>
        <w:tabs>
          <w:tab w:val="left" w:pos="1200"/>
        </w:tabs>
        <w:rPr>
          <w:rFonts w:asciiTheme="minorHAnsi" w:eastAsiaTheme="minorEastAsia" w:hAnsiTheme="minorHAnsi"/>
          <w:sz w:val="24"/>
          <w:szCs w:val="24"/>
          <w:lang w:eastAsia="en-AU"/>
        </w:rPr>
      </w:pPr>
      <w:hyperlink w:anchor="_Toc233039023" w:history="1">
        <w:r w:rsidRPr="00203F7D">
          <w:rPr>
            <w:rStyle w:val="Hyperlink"/>
          </w:rPr>
          <w:t>5.13.1</w:t>
        </w:r>
        <w:r>
          <w:rPr>
            <w:rFonts w:asciiTheme="minorHAnsi" w:eastAsiaTheme="minorEastAsia" w:hAnsiTheme="minorHAnsi"/>
            <w:sz w:val="24"/>
            <w:szCs w:val="24"/>
            <w:lang w:eastAsia="en-AU"/>
          </w:rPr>
          <w:tab/>
        </w:r>
        <w:r w:rsidRPr="00203F7D">
          <w:rPr>
            <w:rStyle w:val="Hyperlink"/>
          </w:rPr>
          <w:t>Chronic dietary exposure assessment</w:t>
        </w:r>
        <w:r>
          <w:rPr>
            <w:webHidden/>
          </w:rPr>
          <w:tab/>
        </w:r>
        <w:r>
          <w:rPr>
            <w:webHidden/>
          </w:rPr>
          <w:fldChar w:fldCharType="begin"/>
        </w:r>
        <w:r>
          <w:rPr>
            <w:webHidden/>
          </w:rPr>
          <w:instrText xml:space="preserve"> PAGEREF _Toc233039023 \h </w:instrText>
        </w:r>
        <w:r>
          <w:rPr>
            <w:webHidden/>
          </w:rPr>
        </w:r>
        <w:r>
          <w:rPr>
            <w:webHidden/>
          </w:rPr>
          <w:fldChar w:fldCharType="separate"/>
        </w:r>
        <w:r>
          <w:rPr>
            <w:webHidden/>
          </w:rPr>
          <w:t>83</w:t>
        </w:r>
        <w:r>
          <w:rPr>
            <w:webHidden/>
          </w:rPr>
          <w:fldChar w:fldCharType="end"/>
        </w:r>
      </w:hyperlink>
    </w:p>
    <w:p w14:paraId="5EF68848" w14:textId="5CAE4EA8" w:rsidR="00602535" w:rsidRDefault="00602535">
      <w:pPr>
        <w:pStyle w:val="TOC3"/>
        <w:tabs>
          <w:tab w:val="left" w:pos="1200"/>
        </w:tabs>
        <w:rPr>
          <w:rFonts w:asciiTheme="minorHAnsi" w:eastAsiaTheme="minorEastAsia" w:hAnsiTheme="minorHAnsi"/>
          <w:sz w:val="24"/>
          <w:szCs w:val="24"/>
          <w:lang w:eastAsia="en-AU"/>
        </w:rPr>
      </w:pPr>
      <w:hyperlink w:anchor="_Toc233039024" w:history="1">
        <w:r w:rsidRPr="00203F7D">
          <w:rPr>
            <w:rStyle w:val="Hyperlink"/>
          </w:rPr>
          <w:t>5.13.2</w:t>
        </w:r>
        <w:r>
          <w:rPr>
            <w:rFonts w:asciiTheme="minorHAnsi" w:eastAsiaTheme="minorEastAsia" w:hAnsiTheme="minorHAnsi"/>
            <w:sz w:val="24"/>
            <w:szCs w:val="24"/>
            <w:lang w:eastAsia="en-AU"/>
          </w:rPr>
          <w:tab/>
        </w:r>
        <w:r w:rsidRPr="00203F7D">
          <w:rPr>
            <w:rStyle w:val="Hyperlink"/>
          </w:rPr>
          <w:t>Acute dietary exposure assessment</w:t>
        </w:r>
        <w:r>
          <w:rPr>
            <w:webHidden/>
          </w:rPr>
          <w:tab/>
        </w:r>
        <w:r>
          <w:rPr>
            <w:webHidden/>
          </w:rPr>
          <w:fldChar w:fldCharType="begin"/>
        </w:r>
        <w:r>
          <w:rPr>
            <w:webHidden/>
          </w:rPr>
          <w:instrText xml:space="preserve"> PAGEREF _Toc233039024 \h </w:instrText>
        </w:r>
        <w:r>
          <w:rPr>
            <w:webHidden/>
          </w:rPr>
        </w:r>
        <w:r>
          <w:rPr>
            <w:webHidden/>
          </w:rPr>
          <w:fldChar w:fldCharType="separate"/>
        </w:r>
        <w:r>
          <w:rPr>
            <w:webHidden/>
          </w:rPr>
          <w:t>84</w:t>
        </w:r>
        <w:r>
          <w:rPr>
            <w:webHidden/>
          </w:rPr>
          <w:fldChar w:fldCharType="end"/>
        </w:r>
      </w:hyperlink>
    </w:p>
    <w:p w14:paraId="32D727DF" w14:textId="4395C5B6" w:rsidR="00602535" w:rsidRDefault="00602535">
      <w:pPr>
        <w:pStyle w:val="TOC2"/>
        <w:rPr>
          <w:rFonts w:asciiTheme="minorHAnsi" w:eastAsiaTheme="minorEastAsia" w:hAnsiTheme="minorHAnsi"/>
          <w:b w:val="0"/>
          <w:color w:val="auto"/>
          <w:sz w:val="24"/>
          <w:szCs w:val="24"/>
          <w:lang w:eastAsia="en-AU"/>
        </w:rPr>
      </w:pPr>
      <w:hyperlink w:anchor="_Toc233039025" w:history="1">
        <w:r w:rsidRPr="00203F7D">
          <w:rPr>
            <w:rStyle w:val="Hyperlink"/>
          </w:rPr>
          <w:t>5.14</w:t>
        </w:r>
        <w:r>
          <w:rPr>
            <w:rFonts w:asciiTheme="minorHAnsi" w:eastAsiaTheme="minorEastAsia" w:hAnsiTheme="minorHAnsi"/>
            <w:b w:val="0"/>
            <w:color w:val="auto"/>
            <w:sz w:val="24"/>
            <w:szCs w:val="24"/>
            <w:lang w:eastAsia="en-AU"/>
          </w:rPr>
          <w:tab/>
        </w:r>
        <w:r w:rsidRPr="00203F7D">
          <w:rPr>
            <w:rStyle w:val="Hyperlink"/>
          </w:rPr>
          <w:t>Revised MRL changes</w:t>
        </w:r>
        <w:r>
          <w:rPr>
            <w:webHidden/>
          </w:rPr>
          <w:tab/>
        </w:r>
        <w:r>
          <w:rPr>
            <w:webHidden/>
          </w:rPr>
          <w:fldChar w:fldCharType="begin"/>
        </w:r>
        <w:r>
          <w:rPr>
            <w:webHidden/>
          </w:rPr>
          <w:instrText xml:space="preserve"> PAGEREF _Toc233039025 \h </w:instrText>
        </w:r>
        <w:r>
          <w:rPr>
            <w:webHidden/>
          </w:rPr>
        </w:r>
        <w:r>
          <w:rPr>
            <w:webHidden/>
          </w:rPr>
          <w:fldChar w:fldCharType="separate"/>
        </w:r>
        <w:r>
          <w:rPr>
            <w:webHidden/>
          </w:rPr>
          <w:t>84</w:t>
        </w:r>
        <w:r>
          <w:rPr>
            <w:webHidden/>
          </w:rPr>
          <w:fldChar w:fldCharType="end"/>
        </w:r>
      </w:hyperlink>
    </w:p>
    <w:p w14:paraId="03215734" w14:textId="08A1789F"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26" w:history="1">
        <w:r w:rsidRPr="00203F7D">
          <w:rPr>
            <w:rStyle w:val="Hyperlink"/>
          </w:rPr>
          <w:t>6</w:t>
        </w:r>
        <w:r>
          <w:rPr>
            <w:rFonts w:asciiTheme="minorHAnsi" w:eastAsiaTheme="minorEastAsia" w:hAnsiTheme="minorHAnsi" w:cstheme="minorBidi"/>
            <w:bCs w:val="0"/>
            <w:color w:val="auto"/>
            <w:kern w:val="2"/>
            <w:sz w:val="24"/>
            <w:szCs w:val="24"/>
            <w:lang w:eastAsia="en-AU"/>
          </w:rPr>
          <w:tab/>
        </w:r>
        <w:r w:rsidRPr="00203F7D">
          <w:rPr>
            <w:rStyle w:val="Hyperlink"/>
          </w:rPr>
          <w:t>Environmental safety</w:t>
        </w:r>
        <w:r>
          <w:rPr>
            <w:webHidden/>
          </w:rPr>
          <w:tab/>
        </w:r>
        <w:r>
          <w:rPr>
            <w:webHidden/>
          </w:rPr>
          <w:fldChar w:fldCharType="begin"/>
        </w:r>
        <w:r>
          <w:rPr>
            <w:webHidden/>
          </w:rPr>
          <w:instrText xml:space="preserve"> PAGEREF _Toc233039026 \h </w:instrText>
        </w:r>
        <w:r>
          <w:rPr>
            <w:webHidden/>
          </w:rPr>
        </w:r>
        <w:r>
          <w:rPr>
            <w:webHidden/>
          </w:rPr>
          <w:fldChar w:fldCharType="separate"/>
        </w:r>
        <w:r>
          <w:rPr>
            <w:webHidden/>
          </w:rPr>
          <w:t>88</w:t>
        </w:r>
        <w:r>
          <w:rPr>
            <w:webHidden/>
          </w:rPr>
          <w:fldChar w:fldCharType="end"/>
        </w:r>
      </w:hyperlink>
    </w:p>
    <w:p w14:paraId="311B1A6B" w14:textId="6AC3B64D" w:rsidR="00602535" w:rsidRDefault="00602535">
      <w:pPr>
        <w:pStyle w:val="TOC2"/>
        <w:rPr>
          <w:rFonts w:asciiTheme="minorHAnsi" w:eastAsiaTheme="minorEastAsia" w:hAnsiTheme="minorHAnsi"/>
          <w:b w:val="0"/>
          <w:color w:val="auto"/>
          <w:sz w:val="24"/>
          <w:szCs w:val="24"/>
          <w:lang w:eastAsia="en-AU"/>
        </w:rPr>
      </w:pPr>
      <w:hyperlink w:anchor="_Toc233039027" w:history="1">
        <w:r w:rsidRPr="00203F7D">
          <w:rPr>
            <w:rStyle w:val="Hyperlink"/>
          </w:rPr>
          <w:t>6.1</w:t>
        </w:r>
        <w:r>
          <w:rPr>
            <w:rFonts w:asciiTheme="minorHAnsi" w:eastAsiaTheme="minorEastAsia" w:hAnsiTheme="minorHAnsi"/>
            <w:b w:val="0"/>
            <w:color w:val="auto"/>
            <w:sz w:val="24"/>
            <w:szCs w:val="24"/>
            <w:lang w:eastAsia="en-AU"/>
          </w:rPr>
          <w:tab/>
        </w:r>
        <w:r w:rsidRPr="00203F7D">
          <w:rPr>
            <w:rStyle w:val="Hyperlink"/>
          </w:rPr>
          <w:t>Assessment scenarios</w:t>
        </w:r>
        <w:r>
          <w:rPr>
            <w:webHidden/>
          </w:rPr>
          <w:tab/>
        </w:r>
        <w:r>
          <w:rPr>
            <w:webHidden/>
          </w:rPr>
          <w:fldChar w:fldCharType="begin"/>
        </w:r>
        <w:r>
          <w:rPr>
            <w:webHidden/>
          </w:rPr>
          <w:instrText xml:space="preserve"> PAGEREF _Toc233039027 \h </w:instrText>
        </w:r>
        <w:r>
          <w:rPr>
            <w:webHidden/>
          </w:rPr>
        </w:r>
        <w:r>
          <w:rPr>
            <w:webHidden/>
          </w:rPr>
          <w:fldChar w:fldCharType="separate"/>
        </w:r>
        <w:r>
          <w:rPr>
            <w:webHidden/>
          </w:rPr>
          <w:t>88</w:t>
        </w:r>
        <w:r>
          <w:rPr>
            <w:webHidden/>
          </w:rPr>
          <w:fldChar w:fldCharType="end"/>
        </w:r>
      </w:hyperlink>
    </w:p>
    <w:p w14:paraId="77D13B02" w14:textId="2E8525EE" w:rsidR="00602535" w:rsidRDefault="00602535">
      <w:pPr>
        <w:pStyle w:val="TOC2"/>
        <w:rPr>
          <w:rFonts w:asciiTheme="minorHAnsi" w:eastAsiaTheme="minorEastAsia" w:hAnsiTheme="minorHAnsi"/>
          <w:b w:val="0"/>
          <w:color w:val="auto"/>
          <w:sz w:val="24"/>
          <w:szCs w:val="24"/>
          <w:lang w:eastAsia="en-AU"/>
        </w:rPr>
      </w:pPr>
      <w:hyperlink w:anchor="_Toc233039028" w:history="1">
        <w:r w:rsidRPr="00203F7D">
          <w:rPr>
            <w:rStyle w:val="Hyperlink"/>
          </w:rPr>
          <w:t>6.2</w:t>
        </w:r>
        <w:r>
          <w:rPr>
            <w:rFonts w:asciiTheme="minorHAnsi" w:eastAsiaTheme="minorEastAsia" w:hAnsiTheme="minorHAnsi"/>
            <w:b w:val="0"/>
            <w:color w:val="auto"/>
            <w:sz w:val="24"/>
            <w:szCs w:val="24"/>
            <w:lang w:eastAsia="en-AU"/>
          </w:rPr>
          <w:tab/>
        </w:r>
        <w:r w:rsidRPr="00203F7D">
          <w:rPr>
            <w:rStyle w:val="Hyperlink"/>
          </w:rPr>
          <w:t>Fate and behaviour in the environment</w:t>
        </w:r>
        <w:r>
          <w:rPr>
            <w:webHidden/>
          </w:rPr>
          <w:tab/>
        </w:r>
        <w:r>
          <w:rPr>
            <w:webHidden/>
          </w:rPr>
          <w:fldChar w:fldCharType="begin"/>
        </w:r>
        <w:r>
          <w:rPr>
            <w:webHidden/>
          </w:rPr>
          <w:instrText xml:space="preserve"> PAGEREF _Toc233039028 \h </w:instrText>
        </w:r>
        <w:r>
          <w:rPr>
            <w:webHidden/>
          </w:rPr>
        </w:r>
        <w:r>
          <w:rPr>
            <w:webHidden/>
          </w:rPr>
          <w:fldChar w:fldCharType="separate"/>
        </w:r>
        <w:r>
          <w:rPr>
            <w:webHidden/>
          </w:rPr>
          <w:t>89</w:t>
        </w:r>
        <w:r>
          <w:rPr>
            <w:webHidden/>
          </w:rPr>
          <w:fldChar w:fldCharType="end"/>
        </w:r>
      </w:hyperlink>
    </w:p>
    <w:p w14:paraId="30D1BF27" w14:textId="1DE3545F" w:rsidR="00602535" w:rsidRDefault="00602535">
      <w:pPr>
        <w:pStyle w:val="TOC2"/>
        <w:rPr>
          <w:rFonts w:asciiTheme="minorHAnsi" w:eastAsiaTheme="minorEastAsia" w:hAnsiTheme="minorHAnsi"/>
          <w:b w:val="0"/>
          <w:color w:val="auto"/>
          <w:sz w:val="24"/>
          <w:szCs w:val="24"/>
          <w:lang w:eastAsia="en-AU"/>
        </w:rPr>
      </w:pPr>
      <w:hyperlink w:anchor="_Toc233039029" w:history="1">
        <w:r w:rsidRPr="00203F7D">
          <w:rPr>
            <w:rStyle w:val="Hyperlink"/>
          </w:rPr>
          <w:t>6.3</w:t>
        </w:r>
        <w:r>
          <w:rPr>
            <w:rFonts w:asciiTheme="minorHAnsi" w:eastAsiaTheme="minorEastAsia" w:hAnsiTheme="minorHAnsi"/>
            <w:b w:val="0"/>
            <w:color w:val="auto"/>
            <w:sz w:val="24"/>
            <w:szCs w:val="24"/>
            <w:lang w:eastAsia="en-AU"/>
          </w:rPr>
          <w:tab/>
        </w:r>
        <w:r w:rsidRPr="00203F7D">
          <w:rPr>
            <w:rStyle w:val="Hyperlink"/>
          </w:rPr>
          <w:t>Effects on non-target species</w:t>
        </w:r>
        <w:r>
          <w:rPr>
            <w:webHidden/>
          </w:rPr>
          <w:tab/>
        </w:r>
        <w:r>
          <w:rPr>
            <w:webHidden/>
          </w:rPr>
          <w:fldChar w:fldCharType="begin"/>
        </w:r>
        <w:r>
          <w:rPr>
            <w:webHidden/>
          </w:rPr>
          <w:instrText xml:space="preserve"> PAGEREF _Toc233039029 \h </w:instrText>
        </w:r>
        <w:r>
          <w:rPr>
            <w:webHidden/>
          </w:rPr>
        </w:r>
        <w:r>
          <w:rPr>
            <w:webHidden/>
          </w:rPr>
          <w:fldChar w:fldCharType="separate"/>
        </w:r>
        <w:r>
          <w:rPr>
            <w:webHidden/>
          </w:rPr>
          <w:t>90</w:t>
        </w:r>
        <w:r>
          <w:rPr>
            <w:webHidden/>
          </w:rPr>
          <w:fldChar w:fldCharType="end"/>
        </w:r>
      </w:hyperlink>
    </w:p>
    <w:p w14:paraId="799F05B8" w14:textId="6C9D3B14" w:rsidR="00602535" w:rsidRDefault="00602535">
      <w:pPr>
        <w:pStyle w:val="TOC2"/>
        <w:rPr>
          <w:rFonts w:asciiTheme="minorHAnsi" w:eastAsiaTheme="minorEastAsia" w:hAnsiTheme="minorHAnsi"/>
          <w:b w:val="0"/>
          <w:color w:val="auto"/>
          <w:sz w:val="24"/>
          <w:szCs w:val="24"/>
          <w:lang w:eastAsia="en-AU"/>
        </w:rPr>
      </w:pPr>
      <w:hyperlink w:anchor="_Toc233039030" w:history="1">
        <w:r w:rsidRPr="00203F7D">
          <w:rPr>
            <w:rStyle w:val="Hyperlink"/>
          </w:rPr>
          <w:t>6.4</w:t>
        </w:r>
        <w:r>
          <w:rPr>
            <w:rFonts w:asciiTheme="minorHAnsi" w:eastAsiaTheme="minorEastAsia" w:hAnsiTheme="minorHAnsi"/>
            <w:b w:val="0"/>
            <w:color w:val="auto"/>
            <w:sz w:val="24"/>
            <w:szCs w:val="24"/>
            <w:lang w:eastAsia="en-AU"/>
          </w:rPr>
          <w:tab/>
        </w:r>
        <w:r w:rsidRPr="00203F7D">
          <w:rPr>
            <w:rStyle w:val="Hyperlink"/>
          </w:rPr>
          <w:t>Risks to non-target species</w:t>
        </w:r>
        <w:r>
          <w:rPr>
            <w:webHidden/>
          </w:rPr>
          <w:tab/>
        </w:r>
        <w:r>
          <w:rPr>
            <w:webHidden/>
          </w:rPr>
          <w:fldChar w:fldCharType="begin"/>
        </w:r>
        <w:r>
          <w:rPr>
            <w:webHidden/>
          </w:rPr>
          <w:instrText xml:space="preserve"> PAGEREF _Toc233039030 \h </w:instrText>
        </w:r>
        <w:r>
          <w:rPr>
            <w:webHidden/>
          </w:rPr>
        </w:r>
        <w:r>
          <w:rPr>
            <w:webHidden/>
          </w:rPr>
          <w:fldChar w:fldCharType="separate"/>
        </w:r>
        <w:r>
          <w:rPr>
            <w:webHidden/>
          </w:rPr>
          <w:t>96</w:t>
        </w:r>
        <w:r>
          <w:rPr>
            <w:webHidden/>
          </w:rPr>
          <w:fldChar w:fldCharType="end"/>
        </w:r>
      </w:hyperlink>
    </w:p>
    <w:p w14:paraId="64AB59C7" w14:textId="2F665361" w:rsidR="00602535" w:rsidRDefault="00602535">
      <w:pPr>
        <w:pStyle w:val="TOC3"/>
        <w:tabs>
          <w:tab w:val="left" w:pos="1200"/>
        </w:tabs>
        <w:rPr>
          <w:rFonts w:asciiTheme="minorHAnsi" w:eastAsiaTheme="minorEastAsia" w:hAnsiTheme="minorHAnsi"/>
          <w:sz w:val="24"/>
          <w:szCs w:val="24"/>
          <w:lang w:eastAsia="en-AU"/>
        </w:rPr>
      </w:pPr>
      <w:hyperlink w:anchor="_Toc233039031" w:history="1">
        <w:r w:rsidRPr="00203F7D">
          <w:rPr>
            <w:rStyle w:val="Hyperlink"/>
          </w:rPr>
          <w:t>6.4.1</w:t>
        </w:r>
        <w:r>
          <w:rPr>
            <w:rFonts w:asciiTheme="minorHAnsi" w:eastAsiaTheme="minorEastAsia" w:hAnsiTheme="minorHAnsi"/>
            <w:sz w:val="24"/>
            <w:szCs w:val="24"/>
            <w:lang w:eastAsia="en-AU"/>
          </w:rPr>
          <w:tab/>
        </w:r>
        <w:r w:rsidRPr="00203F7D">
          <w:rPr>
            <w:rStyle w:val="Hyperlink"/>
          </w:rPr>
          <w:t>Terrestrial vertebrates</w:t>
        </w:r>
        <w:r>
          <w:rPr>
            <w:webHidden/>
          </w:rPr>
          <w:tab/>
        </w:r>
        <w:r>
          <w:rPr>
            <w:webHidden/>
          </w:rPr>
          <w:fldChar w:fldCharType="begin"/>
        </w:r>
        <w:r>
          <w:rPr>
            <w:webHidden/>
          </w:rPr>
          <w:instrText xml:space="preserve"> PAGEREF _Toc233039031 \h </w:instrText>
        </w:r>
        <w:r>
          <w:rPr>
            <w:webHidden/>
          </w:rPr>
        </w:r>
        <w:r>
          <w:rPr>
            <w:webHidden/>
          </w:rPr>
          <w:fldChar w:fldCharType="separate"/>
        </w:r>
        <w:r>
          <w:rPr>
            <w:webHidden/>
          </w:rPr>
          <w:t>96</w:t>
        </w:r>
        <w:r>
          <w:rPr>
            <w:webHidden/>
          </w:rPr>
          <w:fldChar w:fldCharType="end"/>
        </w:r>
      </w:hyperlink>
    </w:p>
    <w:p w14:paraId="1CA023E7" w14:textId="3164B4B1" w:rsidR="00602535" w:rsidRDefault="00602535">
      <w:pPr>
        <w:pStyle w:val="TOC3"/>
        <w:tabs>
          <w:tab w:val="left" w:pos="1200"/>
        </w:tabs>
        <w:rPr>
          <w:rFonts w:asciiTheme="minorHAnsi" w:eastAsiaTheme="minorEastAsia" w:hAnsiTheme="minorHAnsi"/>
          <w:sz w:val="24"/>
          <w:szCs w:val="24"/>
          <w:lang w:eastAsia="en-AU"/>
        </w:rPr>
      </w:pPr>
      <w:hyperlink w:anchor="_Toc233039032" w:history="1">
        <w:r w:rsidRPr="00203F7D">
          <w:rPr>
            <w:rStyle w:val="Hyperlink"/>
          </w:rPr>
          <w:t>6.4.2</w:t>
        </w:r>
        <w:r>
          <w:rPr>
            <w:rFonts w:asciiTheme="minorHAnsi" w:eastAsiaTheme="minorEastAsia" w:hAnsiTheme="minorHAnsi"/>
            <w:sz w:val="24"/>
            <w:szCs w:val="24"/>
            <w:lang w:eastAsia="en-AU"/>
          </w:rPr>
          <w:tab/>
        </w:r>
        <w:r w:rsidRPr="00203F7D">
          <w:rPr>
            <w:rStyle w:val="Hyperlink"/>
          </w:rPr>
          <w:t>Aquatic species</w:t>
        </w:r>
        <w:r>
          <w:rPr>
            <w:webHidden/>
          </w:rPr>
          <w:tab/>
        </w:r>
        <w:r>
          <w:rPr>
            <w:webHidden/>
          </w:rPr>
          <w:fldChar w:fldCharType="begin"/>
        </w:r>
        <w:r>
          <w:rPr>
            <w:webHidden/>
          </w:rPr>
          <w:instrText xml:space="preserve"> PAGEREF _Toc233039032 \h </w:instrText>
        </w:r>
        <w:r>
          <w:rPr>
            <w:webHidden/>
          </w:rPr>
        </w:r>
        <w:r>
          <w:rPr>
            <w:webHidden/>
          </w:rPr>
          <w:fldChar w:fldCharType="separate"/>
        </w:r>
        <w:r>
          <w:rPr>
            <w:webHidden/>
          </w:rPr>
          <w:t>100</w:t>
        </w:r>
        <w:r>
          <w:rPr>
            <w:webHidden/>
          </w:rPr>
          <w:fldChar w:fldCharType="end"/>
        </w:r>
      </w:hyperlink>
    </w:p>
    <w:p w14:paraId="468E0B04" w14:textId="3DBAC912" w:rsidR="00602535" w:rsidRDefault="00602535">
      <w:pPr>
        <w:pStyle w:val="TOC3"/>
        <w:tabs>
          <w:tab w:val="left" w:pos="1200"/>
        </w:tabs>
        <w:rPr>
          <w:rFonts w:asciiTheme="minorHAnsi" w:eastAsiaTheme="minorEastAsia" w:hAnsiTheme="minorHAnsi"/>
          <w:sz w:val="24"/>
          <w:szCs w:val="24"/>
          <w:lang w:eastAsia="en-AU"/>
        </w:rPr>
      </w:pPr>
      <w:hyperlink w:anchor="_Toc233039033" w:history="1">
        <w:r w:rsidRPr="00203F7D">
          <w:rPr>
            <w:rStyle w:val="Hyperlink"/>
          </w:rPr>
          <w:t>6.4.3</w:t>
        </w:r>
        <w:r>
          <w:rPr>
            <w:rFonts w:asciiTheme="minorHAnsi" w:eastAsiaTheme="minorEastAsia" w:hAnsiTheme="minorHAnsi"/>
            <w:sz w:val="24"/>
            <w:szCs w:val="24"/>
            <w:lang w:eastAsia="en-AU"/>
          </w:rPr>
          <w:tab/>
        </w:r>
        <w:r w:rsidRPr="00203F7D">
          <w:rPr>
            <w:rStyle w:val="Hyperlink"/>
          </w:rPr>
          <w:t>Bees</w:t>
        </w:r>
        <w:r>
          <w:rPr>
            <w:webHidden/>
          </w:rPr>
          <w:tab/>
        </w:r>
        <w:r>
          <w:rPr>
            <w:webHidden/>
          </w:rPr>
          <w:fldChar w:fldCharType="begin"/>
        </w:r>
        <w:r>
          <w:rPr>
            <w:webHidden/>
          </w:rPr>
          <w:instrText xml:space="preserve"> PAGEREF _Toc233039033 \h </w:instrText>
        </w:r>
        <w:r>
          <w:rPr>
            <w:webHidden/>
          </w:rPr>
        </w:r>
        <w:r>
          <w:rPr>
            <w:webHidden/>
          </w:rPr>
          <w:fldChar w:fldCharType="separate"/>
        </w:r>
        <w:r>
          <w:rPr>
            <w:webHidden/>
          </w:rPr>
          <w:t>104</w:t>
        </w:r>
        <w:r>
          <w:rPr>
            <w:webHidden/>
          </w:rPr>
          <w:fldChar w:fldCharType="end"/>
        </w:r>
      </w:hyperlink>
    </w:p>
    <w:p w14:paraId="524977D6" w14:textId="114022D0" w:rsidR="00602535" w:rsidRDefault="00602535">
      <w:pPr>
        <w:pStyle w:val="TOC3"/>
        <w:tabs>
          <w:tab w:val="left" w:pos="1200"/>
        </w:tabs>
        <w:rPr>
          <w:rFonts w:asciiTheme="minorHAnsi" w:eastAsiaTheme="minorEastAsia" w:hAnsiTheme="minorHAnsi"/>
          <w:sz w:val="24"/>
          <w:szCs w:val="24"/>
          <w:lang w:eastAsia="en-AU"/>
        </w:rPr>
      </w:pPr>
      <w:hyperlink w:anchor="_Toc233039034" w:history="1">
        <w:r w:rsidRPr="00203F7D">
          <w:rPr>
            <w:rStyle w:val="Hyperlink"/>
          </w:rPr>
          <w:t>6.4.4</w:t>
        </w:r>
        <w:r>
          <w:rPr>
            <w:rFonts w:asciiTheme="minorHAnsi" w:eastAsiaTheme="minorEastAsia" w:hAnsiTheme="minorHAnsi"/>
            <w:sz w:val="24"/>
            <w:szCs w:val="24"/>
            <w:lang w:eastAsia="en-AU"/>
          </w:rPr>
          <w:tab/>
        </w:r>
        <w:r w:rsidRPr="00203F7D">
          <w:rPr>
            <w:rStyle w:val="Hyperlink"/>
          </w:rPr>
          <w:t>Other arthropod species</w:t>
        </w:r>
        <w:r>
          <w:rPr>
            <w:webHidden/>
          </w:rPr>
          <w:tab/>
        </w:r>
        <w:r>
          <w:rPr>
            <w:webHidden/>
          </w:rPr>
          <w:fldChar w:fldCharType="begin"/>
        </w:r>
        <w:r>
          <w:rPr>
            <w:webHidden/>
          </w:rPr>
          <w:instrText xml:space="preserve"> PAGEREF _Toc233039034 \h </w:instrText>
        </w:r>
        <w:r>
          <w:rPr>
            <w:webHidden/>
          </w:rPr>
        </w:r>
        <w:r>
          <w:rPr>
            <w:webHidden/>
          </w:rPr>
          <w:fldChar w:fldCharType="separate"/>
        </w:r>
        <w:r>
          <w:rPr>
            <w:webHidden/>
          </w:rPr>
          <w:t>105</w:t>
        </w:r>
        <w:r>
          <w:rPr>
            <w:webHidden/>
          </w:rPr>
          <w:fldChar w:fldCharType="end"/>
        </w:r>
      </w:hyperlink>
    </w:p>
    <w:p w14:paraId="67872F59" w14:textId="4175B052" w:rsidR="00602535" w:rsidRDefault="00602535">
      <w:pPr>
        <w:pStyle w:val="TOC3"/>
        <w:tabs>
          <w:tab w:val="left" w:pos="1200"/>
        </w:tabs>
        <w:rPr>
          <w:rFonts w:asciiTheme="minorHAnsi" w:eastAsiaTheme="minorEastAsia" w:hAnsiTheme="minorHAnsi"/>
          <w:sz w:val="24"/>
          <w:szCs w:val="24"/>
          <w:lang w:eastAsia="en-AU"/>
        </w:rPr>
      </w:pPr>
      <w:hyperlink w:anchor="_Toc233039035" w:history="1">
        <w:r w:rsidRPr="00203F7D">
          <w:rPr>
            <w:rStyle w:val="Hyperlink"/>
          </w:rPr>
          <w:t>6.4.5</w:t>
        </w:r>
        <w:r>
          <w:rPr>
            <w:rFonts w:asciiTheme="minorHAnsi" w:eastAsiaTheme="minorEastAsia" w:hAnsiTheme="minorHAnsi"/>
            <w:sz w:val="24"/>
            <w:szCs w:val="24"/>
            <w:lang w:eastAsia="en-AU"/>
          </w:rPr>
          <w:tab/>
        </w:r>
        <w:r w:rsidRPr="00203F7D">
          <w:rPr>
            <w:rStyle w:val="Hyperlink"/>
          </w:rPr>
          <w:t>Soil organisms</w:t>
        </w:r>
        <w:r>
          <w:rPr>
            <w:webHidden/>
          </w:rPr>
          <w:tab/>
        </w:r>
        <w:r>
          <w:rPr>
            <w:webHidden/>
          </w:rPr>
          <w:fldChar w:fldCharType="begin"/>
        </w:r>
        <w:r>
          <w:rPr>
            <w:webHidden/>
          </w:rPr>
          <w:instrText xml:space="preserve"> PAGEREF _Toc233039035 \h </w:instrText>
        </w:r>
        <w:r>
          <w:rPr>
            <w:webHidden/>
          </w:rPr>
        </w:r>
        <w:r>
          <w:rPr>
            <w:webHidden/>
          </w:rPr>
          <w:fldChar w:fldCharType="separate"/>
        </w:r>
        <w:r>
          <w:rPr>
            <w:webHidden/>
          </w:rPr>
          <w:t>105</w:t>
        </w:r>
        <w:r>
          <w:rPr>
            <w:webHidden/>
          </w:rPr>
          <w:fldChar w:fldCharType="end"/>
        </w:r>
      </w:hyperlink>
    </w:p>
    <w:p w14:paraId="483044AB" w14:textId="453D6B44" w:rsidR="00602535" w:rsidRDefault="00602535">
      <w:pPr>
        <w:pStyle w:val="TOC3"/>
        <w:tabs>
          <w:tab w:val="left" w:pos="1200"/>
        </w:tabs>
        <w:rPr>
          <w:rFonts w:asciiTheme="minorHAnsi" w:eastAsiaTheme="minorEastAsia" w:hAnsiTheme="minorHAnsi"/>
          <w:sz w:val="24"/>
          <w:szCs w:val="24"/>
          <w:lang w:eastAsia="en-AU"/>
        </w:rPr>
      </w:pPr>
      <w:hyperlink w:anchor="_Toc233039036" w:history="1">
        <w:r w:rsidRPr="00203F7D">
          <w:rPr>
            <w:rStyle w:val="Hyperlink"/>
          </w:rPr>
          <w:t>6.4.6</w:t>
        </w:r>
        <w:r>
          <w:rPr>
            <w:rFonts w:asciiTheme="minorHAnsi" w:eastAsiaTheme="minorEastAsia" w:hAnsiTheme="minorHAnsi"/>
            <w:sz w:val="24"/>
            <w:szCs w:val="24"/>
            <w:lang w:eastAsia="en-AU"/>
          </w:rPr>
          <w:tab/>
        </w:r>
        <w:r w:rsidRPr="00203F7D">
          <w:rPr>
            <w:rStyle w:val="Hyperlink"/>
          </w:rPr>
          <w:t>Non-target terrestrial plants</w:t>
        </w:r>
        <w:r>
          <w:rPr>
            <w:webHidden/>
          </w:rPr>
          <w:tab/>
        </w:r>
        <w:r>
          <w:rPr>
            <w:webHidden/>
          </w:rPr>
          <w:fldChar w:fldCharType="begin"/>
        </w:r>
        <w:r>
          <w:rPr>
            <w:webHidden/>
          </w:rPr>
          <w:instrText xml:space="preserve"> PAGEREF _Toc233039036 \h </w:instrText>
        </w:r>
        <w:r>
          <w:rPr>
            <w:webHidden/>
          </w:rPr>
        </w:r>
        <w:r>
          <w:rPr>
            <w:webHidden/>
          </w:rPr>
          <w:fldChar w:fldCharType="separate"/>
        </w:r>
        <w:r>
          <w:rPr>
            <w:webHidden/>
          </w:rPr>
          <w:t>106</w:t>
        </w:r>
        <w:r>
          <w:rPr>
            <w:webHidden/>
          </w:rPr>
          <w:fldChar w:fldCharType="end"/>
        </w:r>
      </w:hyperlink>
    </w:p>
    <w:p w14:paraId="7EC73E11" w14:textId="685C895B" w:rsidR="00602535" w:rsidRDefault="00602535">
      <w:pPr>
        <w:pStyle w:val="TOC2"/>
        <w:rPr>
          <w:rFonts w:asciiTheme="minorHAnsi" w:eastAsiaTheme="minorEastAsia" w:hAnsiTheme="minorHAnsi"/>
          <w:b w:val="0"/>
          <w:color w:val="auto"/>
          <w:sz w:val="24"/>
          <w:szCs w:val="24"/>
          <w:lang w:eastAsia="en-AU"/>
        </w:rPr>
      </w:pPr>
      <w:hyperlink w:anchor="_Toc233039037" w:history="1">
        <w:r w:rsidRPr="00203F7D">
          <w:rPr>
            <w:rStyle w:val="Hyperlink"/>
          </w:rPr>
          <w:t>6.5</w:t>
        </w:r>
        <w:r>
          <w:rPr>
            <w:rFonts w:asciiTheme="minorHAnsi" w:eastAsiaTheme="minorEastAsia" w:hAnsiTheme="minorHAnsi"/>
            <w:b w:val="0"/>
            <w:color w:val="auto"/>
            <w:sz w:val="24"/>
            <w:szCs w:val="24"/>
            <w:lang w:eastAsia="en-AU"/>
          </w:rPr>
          <w:tab/>
        </w:r>
        <w:r w:rsidRPr="00203F7D">
          <w:rPr>
            <w:rStyle w:val="Hyperlink"/>
          </w:rPr>
          <w:t>Recommendations</w:t>
        </w:r>
        <w:r>
          <w:rPr>
            <w:webHidden/>
          </w:rPr>
          <w:tab/>
        </w:r>
        <w:r>
          <w:rPr>
            <w:webHidden/>
          </w:rPr>
          <w:fldChar w:fldCharType="begin"/>
        </w:r>
        <w:r>
          <w:rPr>
            <w:webHidden/>
          </w:rPr>
          <w:instrText xml:space="preserve"> PAGEREF _Toc233039037 \h </w:instrText>
        </w:r>
        <w:r>
          <w:rPr>
            <w:webHidden/>
          </w:rPr>
        </w:r>
        <w:r>
          <w:rPr>
            <w:webHidden/>
          </w:rPr>
          <w:fldChar w:fldCharType="separate"/>
        </w:r>
        <w:r>
          <w:rPr>
            <w:webHidden/>
          </w:rPr>
          <w:t>106</w:t>
        </w:r>
        <w:r>
          <w:rPr>
            <w:webHidden/>
          </w:rPr>
          <w:fldChar w:fldCharType="end"/>
        </w:r>
      </w:hyperlink>
    </w:p>
    <w:p w14:paraId="3CA50C3C" w14:textId="5DCBC627"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38" w:history="1">
        <w:r w:rsidRPr="00203F7D">
          <w:rPr>
            <w:rStyle w:val="Hyperlink"/>
          </w:rPr>
          <w:t>7</w:t>
        </w:r>
        <w:r>
          <w:rPr>
            <w:rFonts w:asciiTheme="minorHAnsi" w:eastAsiaTheme="minorEastAsia" w:hAnsiTheme="minorHAnsi" w:cstheme="minorBidi"/>
            <w:bCs w:val="0"/>
            <w:color w:val="auto"/>
            <w:kern w:val="2"/>
            <w:sz w:val="24"/>
            <w:szCs w:val="24"/>
            <w:lang w:eastAsia="en-AU"/>
          </w:rPr>
          <w:tab/>
        </w:r>
        <w:r w:rsidRPr="00203F7D">
          <w:rPr>
            <w:rStyle w:val="Hyperlink"/>
          </w:rPr>
          <w:t>Spray drift</w:t>
        </w:r>
        <w:r>
          <w:rPr>
            <w:webHidden/>
          </w:rPr>
          <w:tab/>
        </w:r>
        <w:r>
          <w:rPr>
            <w:webHidden/>
          </w:rPr>
          <w:fldChar w:fldCharType="begin"/>
        </w:r>
        <w:r>
          <w:rPr>
            <w:webHidden/>
          </w:rPr>
          <w:instrText xml:space="preserve"> PAGEREF _Toc233039038 \h </w:instrText>
        </w:r>
        <w:r>
          <w:rPr>
            <w:webHidden/>
          </w:rPr>
        </w:r>
        <w:r>
          <w:rPr>
            <w:webHidden/>
          </w:rPr>
          <w:fldChar w:fldCharType="separate"/>
        </w:r>
        <w:r>
          <w:rPr>
            <w:webHidden/>
          </w:rPr>
          <w:t>108</w:t>
        </w:r>
        <w:r>
          <w:rPr>
            <w:webHidden/>
          </w:rPr>
          <w:fldChar w:fldCharType="end"/>
        </w:r>
      </w:hyperlink>
    </w:p>
    <w:p w14:paraId="22D32F98" w14:textId="096FE762"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39" w:history="1">
        <w:r w:rsidRPr="00203F7D">
          <w:rPr>
            <w:rStyle w:val="Hyperlink"/>
          </w:rPr>
          <w:t>8</w:t>
        </w:r>
        <w:r>
          <w:rPr>
            <w:rFonts w:asciiTheme="minorHAnsi" w:eastAsiaTheme="minorEastAsia" w:hAnsiTheme="minorHAnsi" w:cstheme="minorBidi"/>
            <w:bCs w:val="0"/>
            <w:color w:val="auto"/>
            <w:kern w:val="2"/>
            <w:sz w:val="24"/>
            <w:szCs w:val="24"/>
            <w:lang w:eastAsia="en-AU"/>
          </w:rPr>
          <w:tab/>
        </w:r>
        <w:r w:rsidRPr="00203F7D">
          <w:rPr>
            <w:rStyle w:val="Hyperlink"/>
          </w:rPr>
          <w:t>Storage and disposal</w:t>
        </w:r>
        <w:r>
          <w:rPr>
            <w:webHidden/>
          </w:rPr>
          <w:tab/>
        </w:r>
        <w:r>
          <w:rPr>
            <w:webHidden/>
          </w:rPr>
          <w:fldChar w:fldCharType="begin"/>
        </w:r>
        <w:r>
          <w:rPr>
            <w:webHidden/>
          </w:rPr>
          <w:instrText xml:space="preserve"> PAGEREF _Toc233039039 \h </w:instrText>
        </w:r>
        <w:r>
          <w:rPr>
            <w:webHidden/>
          </w:rPr>
        </w:r>
        <w:r>
          <w:rPr>
            <w:webHidden/>
          </w:rPr>
          <w:fldChar w:fldCharType="separate"/>
        </w:r>
        <w:r>
          <w:rPr>
            <w:webHidden/>
          </w:rPr>
          <w:t>111</w:t>
        </w:r>
        <w:r>
          <w:rPr>
            <w:webHidden/>
          </w:rPr>
          <w:fldChar w:fldCharType="end"/>
        </w:r>
      </w:hyperlink>
    </w:p>
    <w:p w14:paraId="1AD58CDF" w14:textId="6358AFBB" w:rsidR="00602535" w:rsidRDefault="00602535">
      <w:pPr>
        <w:pStyle w:val="TOC2"/>
        <w:rPr>
          <w:rFonts w:asciiTheme="minorHAnsi" w:eastAsiaTheme="minorEastAsia" w:hAnsiTheme="minorHAnsi"/>
          <w:b w:val="0"/>
          <w:color w:val="auto"/>
          <w:sz w:val="24"/>
          <w:szCs w:val="24"/>
          <w:lang w:eastAsia="en-AU"/>
        </w:rPr>
      </w:pPr>
      <w:hyperlink w:anchor="_Toc233039040" w:history="1">
        <w:r w:rsidRPr="00203F7D">
          <w:rPr>
            <w:rStyle w:val="Hyperlink"/>
          </w:rPr>
          <w:t>8.1</w:t>
        </w:r>
        <w:r>
          <w:rPr>
            <w:rFonts w:asciiTheme="minorHAnsi" w:eastAsiaTheme="minorEastAsia" w:hAnsiTheme="minorHAnsi"/>
            <w:b w:val="0"/>
            <w:color w:val="auto"/>
            <w:sz w:val="24"/>
            <w:szCs w:val="24"/>
            <w:lang w:eastAsia="en-AU"/>
          </w:rPr>
          <w:tab/>
        </w:r>
        <w:r w:rsidRPr="00203F7D">
          <w:rPr>
            <w:rStyle w:val="Hyperlink"/>
          </w:rPr>
          <w:t>Storage</w:t>
        </w:r>
        <w:r>
          <w:rPr>
            <w:webHidden/>
          </w:rPr>
          <w:tab/>
        </w:r>
        <w:r>
          <w:rPr>
            <w:webHidden/>
          </w:rPr>
          <w:fldChar w:fldCharType="begin"/>
        </w:r>
        <w:r>
          <w:rPr>
            <w:webHidden/>
          </w:rPr>
          <w:instrText xml:space="preserve"> PAGEREF _Toc233039040 \h </w:instrText>
        </w:r>
        <w:r>
          <w:rPr>
            <w:webHidden/>
          </w:rPr>
        </w:r>
        <w:r>
          <w:rPr>
            <w:webHidden/>
          </w:rPr>
          <w:fldChar w:fldCharType="separate"/>
        </w:r>
        <w:r>
          <w:rPr>
            <w:webHidden/>
          </w:rPr>
          <w:t>111</w:t>
        </w:r>
        <w:r>
          <w:rPr>
            <w:webHidden/>
          </w:rPr>
          <w:fldChar w:fldCharType="end"/>
        </w:r>
      </w:hyperlink>
    </w:p>
    <w:p w14:paraId="0D8A18C3" w14:textId="16A11435" w:rsidR="00602535" w:rsidRDefault="00602535">
      <w:pPr>
        <w:pStyle w:val="TOC2"/>
        <w:rPr>
          <w:rFonts w:asciiTheme="minorHAnsi" w:eastAsiaTheme="minorEastAsia" w:hAnsiTheme="minorHAnsi"/>
          <w:b w:val="0"/>
          <w:color w:val="auto"/>
          <w:sz w:val="24"/>
          <w:szCs w:val="24"/>
          <w:lang w:eastAsia="en-AU"/>
        </w:rPr>
      </w:pPr>
      <w:hyperlink w:anchor="_Toc233039041" w:history="1">
        <w:r w:rsidRPr="00203F7D">
          <w:rPr>
            <w:rStyle w:val="Hyperlink"/>
          </w:rPr>
          <w:t>8.2</w:t>
        </w:r>
        <w:r>
          <w:rPr>
            <w:rFonts w:asciiTheme="minorHAnsi" w:eastAsiaTheme="minorEastAsia" w:hAnsiTheme="minorHAnsi"/>
            <w:b w:val="0"/>
            <w:color w:val="auto"/>
            <w:sz w:val="24"/>
            <w:szCs w:val="24"/>
            <w:lang w:eastAsia="en-AU"/>
          </w:rPr>
          <w:tab/>
        </w:r>
        <w:r w:rsidRPr="00203F7D">
          <w:rPr>
            <w:rStyle w:val="Hyperlink"/>
          </w:rPr>
          <w:t>Disposal</w:t>
        </w:r>
        <w:r>
          <w:rPr>
            <w:webHidden/>
          </w:rPr>
          <w:tab/>
        </w:r>
        <w:r>
          <w:rPr>
            <w:webHidden/>
          </w:rPr>
          <w:fldChar w:fldCharType="begin"/>
        </w:r>
        <w:r>
          <w:rPr>
            <w:webHidden/>
          </w:rPr>
          <w:instrText xml:space="preserve"> PAGEREF _Toc233039041 \h </w:instrText>
        </w:r>
        <w:r>
          <w:rPr>
            <w:webHidden/>
          </w:rPr>
        </w:r>
        <w:r>
          <w:rPr>
            <w:webHidden/>
          </w:rPr>
          <w:fldChar w:fldCharType="separate"/>
        </w:r>
        <w:r>
          <w:rPr>
            <w:webHidden/>
          </w:rPr>
          <w:t>111</w:t>
        </w:r>
        <w:r>
          <w:rPr>
            <w:webHidden/>
          </w:rPr>
          <w:fldChar w:fldCharType="end"/>
        </w:r>
      </w:hyperlink>
    </w:p>
    <w:p w14:paraId="05E4AAD7" w14:textId="1D8527E2"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2" w:history="1">
        <w:r w:rsidRPr="00203F7D">
          <w:rPr>
            <w:rStyle w:val="Hyperlink"/>
          </w:rPr>
          <w:t>Appendix A – Summary of assessment outcomes</w:t>
        </w:r>
        <w:r>
          <w:rPr>
            <w:webHidden/>
          </w:rPr>
          <w:tab/>
        </w:r>
        <w:r>
          <w:rPr>
            <w:webHidden/>
          </w:rPr>
          <w:fldChar w:fldCharType="begin"/>
        </w:r>
        <w:r>
          <w:rPr>
            <w:webHidden/>
          </w:rPr>
          <w:instrText xml:space="preserve"> PAGEREF _Toc233039042 \h </w:instrText>
        </w:r>
        <w:r>
          <w:rPr>
            <w:webHidden/>
          </w:rPr>
        </w:r>
        <w:r>
          <w:rPr>
            <w:webHidden/>
          </w:rPr>
          <w:fldChar w:fldCharType="separate"/>
        </w:r>
        <w:r>
          <w:rPr>
            <w:webHidden/>
          </w:rPr>
          <w:t>114</w:t>
        </w:r>
        <w:r>
          <w:rPr>
            <w:webHidden/>
          </w:rPr>
          <w:fldChar w:fldCharType="end"/>
        </w:r>
      </w:hyperlink>
    </w:p>
    <w:p w14:paraId="307A9DD9" w14:textId="7DE0D246"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3" w:history="1">
        <w:r w:rsidRPr="00203F7D">
          <w:rPr>
            <w:rStyle w:val="Hyperlink"/>
          </w:rPr>
          <w:t>Appendix B – Listing of environmental endpoints</w:t>
        </w:r>
        <w:r>
          <w:rPr>
            <w:webHidden/>
          </w:rPr>
          <w:tab/>
        </w:r>
        <w:r>
          <w:rPr>
            <w:webHidden/>
          </w:rPr>
          <w:fldChar w:fldCharType="begin"/>
        </w:r>
        <w:r>
          <w:rPr>
            <w:webHidden/>
          </w:rPr>
          <w:instrText xml:space="preserve"> PAGEREF _Toc233039043 \h </w:instrText>
        </w:r>
        <w:r>
          <w:rPr>
            <w:webHidden/>
          </w:rPr>
        </w:r>
        <w:r>
          <w:rPr>
            <w:webHidden/>
          </w:rPr>
          <w:fldChar w:fldCharType="separate"/>
        </w:r>
        <w:r>
          <w:rPr>
            <w:webHidden/>
          </w:rPr>
          <w:t>124</w:t>
        </w:r>
        <w:r>
          <w:rPr>
            <w:webHidden/>
          </w:rPr>
          <w:fldChar w:fldCharType="end"/>
        </w:r>
      </w:hyperlink>
    </w:p>
    <w:p w14:paraId="6B0659F5" w14:textId="6AF60430"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4" w:history="1">
        <w:r w:rsidRPr="00203F7D">
          <w:rPr>
            <w:rStyle w:val="Hyperlink"/>
          </w:rPr>
          <w:t>Appendix C – Terrestrial vertebrate assessments</w:t>
        </w:r>
        <w:r>
          <w:rPr>
            <w:webHidden/>
          </w:rPr>
          <w:tab/>
        </w:r>
        <w:r>
          <w:rPr>
            <w:webHidden/>
          </w:rPr>
          <w:fldChar w:fldCharType="begin"/>
        </w:r>
        <w:r>
          <w:rPr>
            <w:webHidden/>
          </w:rPr>
          <w:instrText xml:space="preserve"> PAGEREF _Toc233039044 \h </w:instrText>
        </w:r>
        <w:r>
          <w:rPr>
            <w:webHidden/>
          </w:rPr>
        </w:r>
        <w:r>
          <w:rPr>
            <w:webHidden/>
          </w:rPr>
          <w:fldChar w:fldCharType="separate"/>
        </w:r>
        <w:r>
          <w:rPr>
            <w:webHidden/>
          </w:rPr>
          <w:t>136</w:t>
        </w:r>
        <w:r>
          <w:rPr>
            <w:webHidden/>
          </w:rPr>
          <w:fldChar w:fldCharType="end"/>
        </w:r>
      </w:hyperlink>
    </w:p>
    <w:p w14:paraId="6DB5FAD2" w14:textId="048028B6"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5" w:history="1">
        <w:r w:rsidRPr="00203F7D">
          <w:rPr>
            <w:rStyle w:val="Hyperlink"/>
          </w:rPr>
          <w:t>Appendix D – PBT and POP assessments</w:t>
        </w:r>
        <w:r>
          <w:rPr>
            <w:webHidden/>
          </w:rPr>
          <w:tab/>
        </w:r>
        <w:r>
          <w:rPr>
            <w:webHidden/>
          </w:rPr>
          <w:fldChar w:fldCharType="begin"/>
        </w:r>
        <w:r>
          <w:rPr>
            <w:webHidden/>
          </w:rPr>
          <w:instrText xml:space="preserve"> PAGEREF _Toc233039045 \h </w:instrText>
        </w:r>
        <w:r>
          <w:rPr>
            <w:webHidden/>
          </w:rPr>
        </w:r>
        <w:r>
          <w:rPr>
            <w:webHidden/>
          </w:rPr>
          <w:fldChar w:fldCharType="separate"/>
        </w:r>
        <w:r>
          <w:rPr>
            <w:webHidden/>
          </w:rPr>
          <w:t>169</w:t>
        </w:r>
        <w:r>
          <w:rPr>
            <w:webHidden/>
          </w:rPr>
          <w:fldChar w:fldCharType="end"/>
        </w:r>
      </w:hyperlink>
    </w:p>
    <w:p w14:paraId="79643D00" w14:textId="66956C94"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6" w:history="1">
        <w:r w:rsidRPr="00203F7D">
          <w:rPr>
            <w:rStyle w:val="Hyperlink"/>
          </w:rPr>
          <w:t>Acronyms and abbreviations</w:t>
        </w:r>
        <w:r>
          <w:rPr>
            <w:webHidden/>
          </w:rPr>
          <w:tab/>
        </w:r>
        <w:r>
          <w:rPr>
            <w:webHidden/>
          </w:rPr>
          <w:fldChar w:fldCharType="begin"/>
        </w:r>
        <w:r>
          <w:rPr>
            <w:webHidden/>
          </w:rPr>
          <w:instrText xml:space="preserve"> PAGEREF _Toc233039046 \h </w:instrText>
        </w:r>
        <w:r>
          <w:rPr>
            <w:webHidden/>
          </w:rPr>
        </w:r>
        <w:r>
          <w:rPr>
            <w:webHidden/>
          </w:rPr>
          <w:fldChar w:fldCharType="separate"/>
        </w:r>
        <w:r>
          <w:rPr>
            <w:webHidden/>
          </w:rPr>
          <w:t>171</w:t>
        </w:r>
        <w:r>
          <w:rPr>
            <w:webHidden/>
          </w:rPr>
          <w:fldChar w:fldCharType="end"/>
        </w:r>
      </w:hyperlink>
    </w:p>
    <w:p w14:paraId="15852CCD" w14:textId="1B6B122C"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7" w:history="1">
        <w:r w:rsidRPr="00203F7D">
          <w:rPr>
            <w:rStyle w:val="Hyperlink"/>
          </w:rPr>
          <w:t>Glossary</w:t>
        </w:r>
        <w:r>
          <w:rPr>
            <w:webHidden/>
          </w:rPr>
          <w:tab/>
        </w:r>
        <w:r>
          <w:rPr>
            <w:webHidden/>
          </w:rPr>
          <w:fldChar w:fldCharType="begin"/>
        </w:r>
        <w:r>
          <w:rPr>
            <w:webHidden/>
          </w:rPr>
          <w:instrText xml:space="preserve"> PAGEREF _Toc233039047 \h </w:instrText>
        </w:r>
        <w:r>
          <w:rPr>
            <w:webHidden/>
          </w:rPr>
        </w:r>
        <w:r>
          <w:rPr>
            <w:webHidden/>
          </w:rPr>
          <w:fldChar w:fldCharType="separate"/>
        </w:r>
        <w:r>
          <w:rPr>
            <w:webHidden/>
          </w:rPr>
          <w:t>175</w:t>
        </w:r>
        <w:r>
          <w:rPr>
            <w:webHidden/>
          </w:rPr>
          <w:fldChar w:fldCharType="end"/>
        </w:r>
      </w:hyperlink>
    </w:p>
    <w:p w14:paraId="31147B6E" w14:textId="4FC05FFD" w:rsidR="00602535" w:rsidRDefault="00602535">
      <w:pPr>
        <w:pStyle w:val="TOC1"/>
        <w:rPr>
          <w:rFonts w:asciiTheme="minorHAnsi" w:eastAsiaTheme="minorEastAsia" w:hAnsiTheme="minorHAnsi" w:cstheme="minorBidi"/>
          <w:bCs w:val="0"/>
          <w:color w:val="auto"/>
          <w:kern w:val="2"/>
          <w:sz w:val="24"/>
          <w:szCs w:val="24"/>
          <w:lang w:eastAsia="en-AU"/>
        </w:rPr>
      </w:pPr>
      <w:hyperlink w:anchor="_Toc233039048" w:history="1">
        <w:r w:rsidRPr="00203F7D">
          <w:rPr>
            <w:rStyle w:val="Hyperlink"/>
          </w:rPr>
          <w:t>References</w:t>
        </w:r>
        <w:r>
          <w:rPr>
            <w:webHidden/>
          </w:rPr>
          <w:tab/>
        </w:r>
        <w:r>
          <w:rPr>
            <w:webHidden/>
          </w:rPr>
          <w:fldChar w:fldCharType="begin"/>
        </w:r>
        <w:r>
          <w:rPr>
            <w:webHidden/>
          </w:rPr>
          <w:instrText xml:space="preserve"> PAGEREF _Toc233039048 \h </w:instrText>
        </w:r>
        <w:r>
          <w:rPr>
            <w:webHidden/>
          </w:rPr>
        </w:r>
        <w:r>
          <w:rPr>
            <w:webHidden/>
          </w:rPr>
          <w:fldChar w:fldCharType="separate"/>
        </w:r>
        <w:r>
          <w:rPr>
            <w:webHidden/>
          </w:rPr>
          <w:t>179</w:t>
        </w:r>
        <w:r>
          <w:rPr>
            <w:webHidden/>
          </w:rPr>
          <w:fldChar w:fldCharType="end"/>
        </w:r>
      </w:hyperlink>
    </w:p>
    <w:p w14:paraId="4CB9DA24" w14:textId="79D00552" w:rsidR="00FB3E94" w:rsidRDefault="00FB3E94" w:rsidP="00D84B7F">
      <w:pPr>
        <w:pStyle w:val="NormalText"/>
        <w:rPr>
          <w:rFonts w:ascii="Franklin Gothic Medium" w:hAnsi="Franklin Gothic Medium"/>
          <w:bCs/>
          <w:noProof/>
          <w:color w:val="53284F"/>
          <w:sz w:val="20"/>
          <w:szCs w:val="30"/>
        </w:rPr>
      </w:pPr>
      <w:r>
        <w:rPr>
          <w:rFonts w:ascii="Franklin Gothic Medium" w:hAnsi="Franklin Gothic Medium"/>
          <w:bCs/>
          <w:noProof/>
          <w:color w:val="53284F"/>
          <w:sz w:val="20"/>
          <w:szCs w:val="30"/>
        </w:rPr>
        <w:fldChar w:fldCharType="end"/>
      </w:r>
    </w:p>
    <w:p w14:paraId="03408687" w14:textId="3A864961" w:rsidR="00D84B7F" w:rsidRDefault="00D84B7F" w:rsidP="00D84B7F">
      <w:pPr>
        <w:pStyle w:val="NormalText"/>
      </w:pPr>
      <w:r>
        <w:br w:type="page"/>
      </w:r>
    </w:p>
    <w:p w14:paraId="24EC36B4" w14:textId="4D09925B" w:rsidR="00467453" w:rsidRPr="00353455" w:rsidRDefault="00B05454" w:rsidP="00353455">
      <w:pPr>
        <w:pStyle w:val="TOCH1"/>
        <w:numPr>
          <w:ilvl w:val="0"/>
          <w:numId w:val="0"/>
        </w:numPr>
        <w:spacing w:before="500"/>
        <w:ind w:left="432" w:hanging="432"/>
        <w:rPr>
          <w:sz w:val="28"/>
          <w:szCs w:val="28"/>
        </w:rPr>
      </w:pPr>
      <w:r w:rsidRPr="00353455">
        <w:rPr>
          <w:sz w:val="28"/>
          <w:szCs w:val="28"/>
        </w:rPr>
        <w:lastRenderedPageBreak/>
        <w:t>List of tables</w:t>
      </w:r>
    </w:p>
    <w:p w14:paraId="3918F49E" w14:textId="3EA95B3D" w:rsidR="006B5E72" w:rsidRDefault="00B05454">
      <w:pPr>
        <w:pStyle w:val="TableofFigures"/>
        <w:rPr>
          <w:rFonts w:asciiTheme="minorHAnsi" w:eastAsiaTheme="minorEastAsia" w:hAnsiTheme="minorHAnsi"/>
          <w:sz w:val="24"/>
          <w:lang w:eastAsia="en-AU"/>
        </w:rPr>
      </w:pPr>
      <w:r>
        <w:rPr>
          <w:rFonts w:ascii="Franklin Gothic Medium" w:hAnsi="Franklin Gothic Medium" w:cs="Times New Roman"/>
          <w:bCs/>
          <w:color w:val="00747A" w:themeColor="background2"/>
          <w:kern w:val="0"/>
          <w:sz w:val="32"/>
          <w:szCs w:val="20"/>
        </w:rPr>
        <w:fldChar w:fldCharType="begin"/>
      </w:r>
      <w:r>
        <w:rPr>
          <w:color w:val="00747A" w:themeColor="background2"/>
        </w:rPr>
        <w:instrText xml:space="preserve"> TOC \h \z \c "Table" </w:instrText>
      </w:r>
      <w:r>
        <w:rPr>
          <w:rFonts w:ascii="Franklin Gothic Medium" w:hAnsi="Franklin Gothic Medium" w:cs="Times New Roman"/>
          <w:bCs/>
          <w:color w:val="00747A" w:themeColor="background2"/>
          <w:kern w:val="0"/>
          <w:sz w:val="32"/>
          <w:szCs w:val="20"/>
        </w:rPr>
        <w:fldChar w:fldCharType="separate"/>
      </w:r>
      <w:hyperlink w:anchor="_Toc232589596" w:history="1">
        <w:r w:rsidR="006B5E72" w:rsidRPr="00C93B5A">
          <w:rPr>
            <w:rStyle w:val="Hyperlink"/>
          </w:rPr>
          <w:t>Table 1: Diquat product groups</w:t>
        </w:r>
        <w:r w:rsidR="006B5E72">
          <w:rPr>
            <w:webHidden/>
          </w:rPr>
          <w:tab/>
        </w:r>
        <w:r w:rsidR="006B5E72">
          <w:rPr>
            <w:webHidden/>
          </w:rPr>
          <w:fldChar w:fldCharType="begin"/>
        </w:r>
        <w:r w:rsidR="006B5E72">
          <w:rPr>
            <w:webHidden/>
          </w:rPr>
          <w:instrText xml:space="preserve"> PAGEREF _Toc232589596 \h </w:instrText>
        </w:r>
        <w:r w:rsidR="006B5E72">
          <w:rPr>
            <w:webHidden/>
          </w:rPr>
        </w:r>
        <w:r w:rsidR="006B5E72">
          <w:rPr>
            <w:webHidden/>
          </w:rPr>
          <w:fldChar w:fldCharType="separate"/>
        </w:r>
        <w:r w:rsidR="006B5E72">
          <w:rPr>
            <w:webHidden/>
          </w:rPr>
          <w:t>5</w:t>
        </w:r>
        <w:r w:rsidR="006B5E72">
          <w:rPr>
            <w:webHidden/>
          </w:rPr>
          <w:fldChar w:fldCharType="end"/>
        </w:r>
      </w:hyperlink>
    </w:p>
    <w:p w14:paraId="0D6D1609" w14:textId="56024961" w:rsidR="006B5E72" w:rsidRDefault="006B5E72">
      <w:pPr>
        <w:pStyle w:val="TableofFigures"/>
        <w:rPr>
          <w:rFonts w:asciiTheme="minorHAnsi" w:eastAsiaTheme="minorEastAsia" w:hAnsiTheme="minorHAnsi"/>
          <w:sz w:val="24"/>
          <w:lang w:eastAsia="en-AU"/>
        </w:rPr>
      </w:pPr>
      <w:hyperlink w:anchor="_Toc232589597" w:history="1">
        <w:r w:rsidRPr="00C93B5A">
          <w:rPr>
            <w:rStyle w:val="Hyperlink"/>
          </w:rPr>
          <w:t>Table 2: Nomenclature and structural formula of the active constituent diquat</w:t>
        </w:r>
        <w:r>
          <w:rPr>
            <w:webHidden/>
          </w:rPr>
          <w:tab/>
        </w:r>
        <w:r>
          <w:rPr>
            <w:webHidden/>
          </w:rPr>
          <w:fldChar w:fldCharType="begin"/>
        </w:r>
        <w:r>
          <w:rPr>
            <w:webHidden/>
          </w:rPr>
          <w:instrText xml:space="preserve"> PAGEREF _Toc232589597 \h </w:instrText>
        </w:r>
        <w:r>
          <w:rPr>
            <w:webHidden/>
          </w:rPr>
        </w:r>
        <w:r>
          <w:rPr>
            <w:webHidden/>
          </w:rPr>
          <w:fldChar w:fldCharType="separate"/>
        </w:r>
        <w:r>
          <w:rPr>
            <w:webHidden/>
          </w:rPr>
          <w:t>7</w:t>
        </w:r>
        <w:r>
          <w:rPr>
            <w:webHidden/>
          </w:rPr>
          <w:fldChar w:fldCharType="end"/>
        </w:r>
      </w:hyperlink>
    </w:p>
    <w:p w14:paraId="2CF3196F" w14:textId="32E6B5A2" w:rsidR="006B5E72" w:rsidRDefault="006B5E72">
      <w:pPr>
        <w:pStyle w:val="TableofFigures"/>
        <w:rPr>
          <w:rFonts w:asciiTheme="minorHAnsi" w:eastAsiaTheme="minorEastAsia" w:hAnsiTheme="minorHAnsi"/>
          <w:sz w:val="24"/>
          <w:lang w:eastAsia="en-AU"/>
        </w:rPr>
      </w:pPr>
      <w:hyperlink w:anchor="_Toc232589598" w:history="1">
        <w:r w:rsidRPr="00C93B5A">
          <w:rPr>
            <w:rStyle w:val="Hyperlink"/>
          </w:rPr>
          <w:t>Table 3: Key physicochemical properties of the active constituent diquat dibromide</w:t>
        </w:r>
        <w:r>
          <w:rPr>
            <w:webHidden/>
          </w:rPr>
          <w:tab/>
        </w:r>
        <w:r>
          <w:rPr>
            <w:webHidden/>
          </w:rPr>
          <w:fldChar w:fldCharType="begin"/>
        </w:r>
        <w:r>
          <w:rPr>
            <w:webHidden/>
          </w:rPr>
          <w:instrText xml:space="preserve"> PAGEREF _Toc232589598 \h </w:instrText>
        </w:r>
        <w:r>
          <w:rPr>
            <w:webHidden/>
          </w:rPr>
        </w:r>
        <w:r>
          <w:rPr>
            <w:webHidden/>
          </w:rPr>
          <w:fldChar w:fldCharType="separate"/>
        </w:r>
        <w:r>
          <w:rPr>
            <w:webHidden/>
          </w:rPr>
          <w:t>8</w:t>
        </w:r>
        <w:r>
          <w:rPr>
            <w:webHidden/>
          </w:rPr>
          <w:fldChar w:fldCharType="end"/>
        </w:r>
      </w:hyperlink>
    </w:p>
    <w:p w14:paraId="052379B7" w14:textId="4D299781" w:rsidR="006B5E72" w:rsidRDefault="006B5E72">
      <w:pPr>
        <w:pStyle w:val="TableofFigures"/>
        <w:rPr>
          <w:rFonts w:asciiTheme="minorHAnsi" w:eastAsiaTheme="minorEastAsia" w:hAnsiTheme="minorHAnsi"/>
          <w:sz w:val="24"/>
          <w:lang w:eastAsia="en-AU"/>
        </w:rPr>
      </w:pPr>
      <w:hyperlink w:anchor="_Toc232589599" w:history="1">
        <w:r w:rsidRPr="00C93B5A">
          <w:rPr>
            <w:rStyle w:val="Hyperlink"/>
          </w:rPr>
          <w:t>Table 4: Current active constituent approvals for diquat dibromide</w:t>
        </w:r>
        <w:r>
          <w:rPr>
            <w:webHidden/>
          </w:rPr>
          <w:tab/>
        </w:r>
        <w:r>
          <w:rPr>
            <w:webHidden/>
          </w:rPr>
          <w:fldChar w:fldCharType="begin"/>
        </w:r>
        <w:r>
          <w:rPr>
            <w:webHidden/>
          </w:rPr>
          <w:instrText xml:space="preserve"> PAGEREF _Toc232589599 \h </w:instrText>
        </w:r>
        <w:r>
          <w:rPr>
            <w:webHidden/>
          </w:rPr>
        </w:r>
        <w:r>
          <w:rPr>
            <w:webHidden/>
          </w:rPr>
          <w:fldChar w:fldCharType="separate"/>
        </w:r>
        <w:r>
          <w:rPr>
            <w:webHidden/>
          </w:rPr>
          <w:t>10</w:t>
        </w:r>
        <w:r>
          <w:rPr>
            <w:webHidden/>
          </w:rPr>
          <w:fldChar w:fldCharType="end"/>
        </w:r>
      </w:hyperlink>
    </w:p>
    <w:p w14:paraId="3D011269" w14:textId="2DE945EC" w:rsidR="006B5E72" w:rsidRDefault="006B5E72">
      <w:pPr>
        <w:pStyle w:val="TableofFigures"/>
        <w:rPr>
          <w:rFonts w:asciiTheme="minorHAnsi" w:eastAsiaTheme="minorEastAsia" w:hAnsiTheme="minorHAnsi"/>
          <w:sz w:val="24"/>
          <w:lang w:eastAsia="en-AU"/>
        </w:rPr>
      </w:pPr>
      <w:hyperlink w:anchor="_Toc232589600" w:history="1">
        <w:r w:rsidRPr="00C93B5A">
          <w:rPr>
            <w:rStyle w:val="Hyperlink"/>
          </w:rPr>
          <w:t>Table 5: Currently registered chemical products containing diquat</w:t>
        </w:r>
        <w:r>
          <w:rPr>
            <w:webHidden/>
          </w:rPr>
          <w:tab/>
        </w:r>
        <w:r>
          <w:rPr>
            <w:webHidden/>
          </w:rPr>
          <w:fldChar w:fldCharType="begin"/>
        </w:r>
        <w:r>
          <w:rPr>
            <w:webHidden/>
          </w:rPr>
          <w:instrText xml:space="preserve"> PAGEREF _Toc232589600 \h </w:instrText>
        </w:r>
        <w:r>
          <w:rPr>
            <w:webHidden/>
          </w:rPr>
        </w:r>
        <w:r>
          <w:rPr>
            <w:webHidden/>
          </w:rPr>
          <w:fldChar w:fldCharType="separate"/>
        </w:r>
        <w:r>
          <w:rPr>
            <w:webHidden/>
          </w:rPr>
          <w:t>11</w:t>
        </w:r>
        <w:r>
          <w:rPr>
            <w:webHidden/>
          </w:rPr>
          <w:fldChar w:fldCharType="end"/>
        </w:r>
      </w:hyperlink>
    </w:p>
    <w:p w14:paraId="6D2C1112" w14:textId="5DFB19D9" w:rsidR="006B5E72" w:rsidRDefault="006B5E72">
      <w:pPr>
        <w:pStyle w:val="TableofFigures"/>
        <w:rPr>
          <w:rFonts w:asciiTheme="minorHAnsi" w:eastAsiaTheme="minorEastAsia" w:hAnsiTheme="minorHAnsi"/>
          <w:sz w:val="24"/>
          <w:lang w:eastAsia="en-AU"/>
        </w:rPr>
      </w:pPr>
      <w:hyperlink w:anchor="_Toc232589601" w:history="1">
        <w:r w:rsidRPr="00C93B5A">
          <w:rPr>
            <w:rStyle w:val="Hyperlink"/>
          </w:rPr>
          <w:t>Table 6: Points of departure for human health risk assessment</w:t>
        </w:r>
        <w:r>
          <w:rPr>
            <w:webHidden/>
          </w:rPr>
          <w:tab/>
        </w:r>
        <w:r>
          <w:rPr>
            <w:webHidden/>
          </w:rPr>
          <w:fldChar w:fldCharType="begin"/>
        </w:r>
        <w:r>
          <w:rPr>
            <w:webHidden/>
          </w:rPr>
          <w:instrText xml:space="preserve"> PAGEREF _Toc232589601 \h </w:instrText>
        </w:r>
        <w:r>
          <w:rPr>
            <w:webHidden/>
          </w:rPr>
        </w:r>
        <w:r>
          <w:rPr>
            <w:webHidden/>
          </w:rPr>
          <w:fldChar w:fldCharType="separate"/>
        </w:r>
        <w:r>
          <w:rPr>
            <w:webHidden/>
          </w:rPr>
          <w:t>21</w:t>
        </w:r>
        <w:r>
          <w:rPr>
            <w:webHidden/>
          </w:rPr>
          <w:fldChar w:fldCharType="end"/>
        </w:r>
      </w:hyperlink>
    </w:p>
    <w:p w14:paraId="4E97D1F4" w14:textId="0A08F576" w:rsidR="006B5E72" w:rsidRDefault="006B5E72">
      <w:pPr>
        <w:pStyle w:val="TableofFigures"/>
        <w:rPr>
          <w:rFonts w:asciiTheme="minorHAnsi" w:eastAsiaTheme="minorEastAsia" w:hAnsiTheme="minorHAnsi"/>
          <w:sz w:val="24"/>
          <w:lang w:eastAsia="en-AU"/>
        </w:rPr>
      </w:pPr>
      <w:hyperlink w:anchor="_Toc232589602" w:history="1">
        <w:r w:rsidRPr="00C93B5A">
          <w:rPr>
            <w:rStyle w:val="Hyperlink"/>
          </w:rPr>
          <w:t>Table 7: Acceptable daily intake for diquat</w:t>
        </w:r>
        <w:r>
          <w:rPr>
            <w:webHidden/>
          </w:rPr>
          <w:tab/>
        </w:r>
        <w:r>
          <w:rPr>
            <w:webHidden/>
          </w:rPr>
          <w:fldChar w:fldCharType="begin"/>
        </w:r>
        <w:r>
          <w:rPr>
            <w:webHidden/>
          </w:rPr>
          <w:instrText xml:space="preserve"> PAGEREF _Toc232589602 \h </w:instrText>
        </w:r>
        <w:r>
          <w:rPr>
            <w:webHidden/>
          </w:rPr>
        </w:r>
        <w:r>
          <w:rPr>
            <w:webHidden/>
          </w:rPr>
          <w:fldChar w:fldCharType="separate"/>
        </w:r>
        <w:r>
          <w:rPr>
            <w:webHidden/>
          </w:rPr>
          <w:t>21</w:t>
        </w:r>
        <w:r>
          <w:rPr>
            <w:webHidden/>
          </w:rPr>
          <w:fldChar w:fldCharType="end"/>
        </w:r>
      </w:hyperlink>
    </w:p>
    <w:p w14:paraId="315E6591" w14:textId="40345D2B" w:rsidR="006B5E72" w:rsidRDefault="006B5E72">
      <w:pPr>
        <w:pStyle w:val="TableofFigures"/>
        <w:rPr>
          <w:rFonts w:asciiTheme="minorHAnsi" w:eastAsiaTheme="minorEastAsia" w:hAnsiTheme="minorHAnsi"/>
          <w:sz w:val="24"/>
          <w:lang w:eastAsia="en-AU"/>
        </w:rPr>
      </w:pPr>
      <w:hyperlink w:anchor="_Toc232589603" w:history="1">
        <w:r w:rsidRPr="00C93B5A">
          <w:rPr>
            <w:rStyle w:val="Hyperlink"/>
          </w:rPr>
          <w:t>Table 8: Acute reference dose for diquat</w:t>
        </w:r>
        <w:r>
          <w:rPr>
            <w:webHidden/>
          </w:rPr>
          <w:tab/>
        </w:r>
        <w:r>
          <w:rPr>
            <w:webHidden/>
          </w:rPr>
          <w:fldChar w:fldCharType="begin"/>
        </w:r>
        <w:r>
          <w:rPr>
            <w:webHidden/>
          </w:rPr>
          <w:instrText xml:space="preserve"> PAGEREF _Toc232589603 \h </w:instrText>
        </w:r>
        <w:r>
          <w:rPr>
            <w:webHidden/>
          </w:rPr>
        </w:r>
        <w:r>
          <w:rPr>
            <w:webHidden/>
          </w:rPr>
          <w:fldChar w:fldCharType="separate"/>
        </w:r>
        <w:r>
          <w:rPr>
            <w:webHidden/>
          </w:rPr>
          <w:t>22</w:t>
        </w:r>
        <w:r>
          <w:rPr>
            <w:webHidden/>
          </w:rPr>
          <w:fldChar w:fldCharType="end"/>
        </w:r>
      </w:hyperlink>
    </w:p>
    <w:p w14:paraId="0D6B430C" w14:textId="4195F539" w:rsidR="006B5E72" w:rsidRDefault="006B5E72">
      <w:pPr>
        <w:pStyle w:val="TableofFigures"/>
        <w:rPr>
          <w:rFonts w:asciiTheme="minorHAnsi" w:eastAsiaTheme="minorEastAsia" w:hAnsiTheme="minorHAnsi"/>
          <w:sz w:val="24"/>
          <w:lang w:eastAsia="en-AU"/>
        </w:rPr>
      </w:pPr>
      <w:hyperlink w:anchor="_Toc232589604" w:history="1">
        <w:r w:rsidRPr="00C93B5A">
          <w:rPr>
            <w:rStyle w:val="Hyperlink"/>
          </w:rPr>
          <w:t>Table 9: Assumptions used in modelling exposure for professional use of diquat and paraquat plus diquat products</w:t>
        </w:r>
        <w:r>
          <w:rPr>
            <w:webHidden/>
          </w:rPr>
          <w:tab/>
        </w:r>
        <w:r>
          <w:rPr>
            <w:webHidden/>
          </w:rPr>
          <w:fldChar w:fldCharType="begin"/>
        </w:r>
        <w:r>
          <w:rPr>
            <w:webHidden/>
          </w:rPr>
          <w:instrText xml:space="preserve"> PAGEREF _Toc232589604 \h </w:instrText>
        </w:r>
        <w:r>
          <w:rPr>
            <w:webHidden/>
          </w:rPr>
        </w:r>
        <w:r>
          <w:rPr>
            <w:webHidden/>
          </w:rPr>
          <w:fldChar w:fldCharType="separate"/>
        </w:r>
        <w:r>
          <w:rPr>
            <w:webHidden/>
          </w:rPr>
          <w:t>23</w:t>
        </w:r>
        <w:r>
          <w:rPr>
            <w:webHidden/>
          </w:rPr>
          <w:fldChar w:fldCharType="end"/>
        </w:r>
      </w:hyperlink>
    </w:p>
    <w:p w14:paraId="66F7CEE4" w14:textId="1D7A67C0" w:rsidR="006B5E72" w:rsidRDefault="006B5E72">
      <w:pPr>
        <w:pStyle w:val="TableofFigures"/>
        <w:rPr>
          <w:rFonts w:asciiTheme="minorHAnsi" w:eastAsiaTheme="minorEastAsia" w:hAnsiTheme="minorHAnsi"/>
          <w:sz w:val="24"/>
          <w:lang w:eastAsia="en-AU"/>
        </w:rPr>
      </w:pPr>
      <w:hyperlink w:anchor="_Toc232589605" w:history="1">
        <w:r w:rsidRPr="00C93B5A">
          <w:rPr>
            <w:rStyle w:val="Hyperlink"/>
          </w:rPr>
          <w:t>Table 10: Risk assessment outcomes for liquid diquat products</w:t>
        </w:r>
        <w:r>
          <w:rPr>
            <w:webHidden/>
          </w:rPr>
          <w:tab/>
        </w:r>
        <w:r>
          <w:rPr>
            <w:webHidden/>
          </w:rPr>
          <w:fldChar w:fldCharType="begin"/>
        </w:r>
        <w:r>
          <w:rPr>
            <w:webHidden/>
          </w:rPr>
          <w:instrText xml:space="preserve"> PAGEREF _Toc232589605 \h </w:instrText>
        </w:r>
        <w:r>
          <w:rPr>
            <w:webHidden/>
          </w:rPr>
        </w:r>
        <w:r>
          <w:rPr>
            <w:webHidden/>
          </w:rPr>
          <w:fldChar w:fldCharType="separate"/>
        </w:r>
        <w:r>
          <w:rPr>
            <w:webHidden/>
          </w:rPr>
          <w:t>25</w:t>
        </w:r>
        <w:r>
          <w:rPr>
            <w:webHidden/>
          </w:rPr>
          <w:fldChar w:fldCharType="end"/>
        </w:r>
      </w:hyperlink>
    </w:p>
    <w:p w14:paraId="4BC8EF1F" w14:textId="7FFCD750" w:rsidR="006B5E72" w:rsidRDefault="006B5E72">
      <w:pPr>
        <w:pStyle w:val="TableofFigures"/>
        <w:rPr>
          <w:rFonts w:asciiTheme="minorHAnsi" w:eastAsiaTheme="minorEastAsia" w:hAnsiTheme="minorHAnsi"/>
          <w:sz w:val="24"/>
          <w:lang w:eastAsia="en-AU"/>
        </w:rPr>
      </w:pPr>
      <w:hyperlink w:anchor="_Toc232589606" w:history="1">
        <w:r w:rsidRPr="00C93B5A">
          <w:rPr>
            <w:rStyle w:val="Hyperlink"/>
          </w:rPr>
          <w:t>Table 11: Re-entry intervals diquat products</w:t>
        </w:r>
        <w:r>
          <w:rPr>
            <w:webHidden/>
          </w:rPr>
          <w:tab/>
        </w:r>
        <w:r>
          <w:rPr>
            <w:webHidden/>
          </w:rPr>
          <w:fldChar w:fldCharType="begin"/>
        </w:r>
        <w:r>
          <w:rPr>
            <w:webHidden/>
          </w:rPr>
          <w:instrText xml:space="preserve"> PAGEREF _Toc232589606 \h </w:instrText>
        </w:r>
        <w:r>
          <w:rPr>
            <w:webHidden/>
          </w:rPr>
        </w:r>
        <w:r>
          <w:rPr>
            <w:webHidden/>
          </w:rPr>
          <w:fldChar w:fldCharType="separate"/>
        </w:r>
        <w:r>
          <w:rPr>
            <w:webHidden/>
          </w:rPr>
          <w:t>26</w:t>
        </w:r>
        <w:r>
          <w:rPr>
            <w:webHidden/>
          </w:rPr>
          <w:fldChar w:fldCharType="end"/>
        </w:r>
      </w:hyperlink>
    </w:p>
    <w:p w14:paraId="768A607C" w14:textId="395201F4" w:rsidR="006B5E72" w:rsidRDefault="006B5E72">
      <w:pPr>
        <w:pStyle w:val="TableofFigures"/>
        <w:rPr>
          <w:rFonts w:asciiTheme="minorHAnsi" w:eastAsiaTheme="minorEastAsia" w:hAnsiTheme="minorHAnsi"/>
          <w:sz w:val="24"/>
          <w:lang w:eastAsia="en-AU"/>
        </w:rPr>
      </w:pPr>
      <w:hyperlink w:anchor="_Toc232589607" w:history="1">
        <w:r w:rsidRPr="00C93B5A">
          <w:rPr>
            <w:rStyle w:val="Hyperlink"/>
          </w:rPr>
          <w:t>Table 12: Summary of use patterns, crop groups and residue studies submitted for assessment</w:t>
        </w:r>
        <w:r>
          <w:rPr>
            <w:webHidden/>
          </w:rPr>
          <w:tab/>
        </w:r>
        <w:r>
          <w:rPr>
            <w:webHidden/>
          </w:rPr>
          <w:fldChar w:fldCharType="begin"/>
        </w:r>
        <w:r>
          <w:rPr>
            <w:webHidden/>
          </w:rPr>
          <w:instrText xml:space="preserve"> PAGEREF _Toc232589607 \h </w:instrText>
        </w:r>
        <w:r>
          <w:rPr>
            <w:webHidden/>
          </w:rPr>
        </w:r>
        <w:r>
          <w:rPr>
            <w:webHidden/>
          </w:rPr>
          <w:fldChar w:fldCharType="separate"/>
        </w:r>
        <w:r>
          <w:rPr>
            <w:webHidden/>
          </w:rPr>
          <w:t>32</w:t>
        </w:r>
        <w:r>
          <w:rPr>
            <w:webHidden/>
          </w:rPr>
          <w:fldChar w:fldCharType="end"/>
        </w:r>
      </w:hyperlink>
    </w:p>
    <w:p w14:paraId="35A4684A" w14:textId="197C1310" w:rsidR="006B5E72" w:rsidRDefault="006B5E72">
      <w:pPr>
        <w:pStyle w:val="TableofFigures"/>
        <w:rPr>
          <w:rFonts w:asciiTheme="minorHAnsi" w:eastAsiaTheme="minorEastAsia" w:hAnsiTheme="minorHAnsi"/>
          <w:sz w:val="24"/>
          <w:lang w:eastAsia="en-AU"/>
        </w:rPr>
      </w:pPr>
      <w:hyperlink w:anchor="_Toc232589608" w:history="1">
        <w:r w:rsidRPr="00C93B5A">
          <w:rPr>
            <w:rStyle w:val="Hyperlink"/>
          </w:rPr>
          <w:t>Table 13: Recommended MRLs for animal feeds</w:t>
        </w:r>
        <w:r>
          <w:rPr>
            <w:webHidden/>
          </w:rPr>
          <w:tab/>
        </w:r>
        <w:r>
          <w:rPr>
            <w:webHidden/>
          </w:rPr>
          <w:fldChar w:fldCharType="begin"/>
        </w:r>
        <w:r>
          <w:rPr>
            <w:webHidden/>
          </w:rPr>
          <w:instrText xml:space="preserve"> PAGEREF _Toc232589608 \h </w:instrText>
        </w:r>
        <w:r>
          <w:rPr>
            <w:webHidden/>
          </w:rPr>
        </w:r>
        <w:r>
          <w:rPr>
            <w:webHidden/>
          </w:rPr>
          <w:fldChar w:fldCharType="separate"/>
        </w:r>
        <w:r>
          <w:rPr>
            <w:webHidden/>
          </w:rPr>
          <w:t>58</w:t>
        </w:r>
        <w:r>
          <w:rPr>
            <w:webHidden/>
          </w:rPr>
          <w:fldChar w:fldCharType="end"/>
        </w:r>
      </w:hyperlink>
    </w:p>
    <w:p w14:paraId="7F41A071" w14:textId="768B0AC0" w:rsidR="006B5E72" w:rsidRDefault="006B5E72">
      <w:pPr>
        <w:pStyle w:val="TableofFigures"/>
        <w:rPr>
          <w:rFonts w:asciiTheme="minorHAnsi" w:eastAsiaTheme="minorEastAsia" w:hAnsiTheme="minorHAnsi"/>
          <w:sz w:val="24"/>
          <w:lang w:eastAsia="en-AU"/>
        </w:rPr>
      </w:pPr>
      <w:hyperlink w:anchor="_Toc232589609" w:history="1">
        <w:r w:rsidRPr="00C93B5A">
          <w:rPr>
            <w:rStyle w:val="Hyperlink"/>
          </w:rPr>
          <w:t>Table 14: Calculation of poultry broiler dietary burden of diquat</w:t>
        </w:r>
        <w:r>
          <w:rPr>
            <w:webHidden/>
          </w:rPr>
          <w:tab/>
        </w:r>
        <w:r>
          <w:rPr>
            <w:webHidden/>
          </w:rPr>
          <w:fldChar w:fldCharType="begin"/>
        </w:r>
        <w:r>
          <w:rPr>
            <w:webHidden/>
          </w:rPr>
          <w:instrText xml:space="preserve"> PAGEREF _Toc232589609 \h </w:instrText>
        </w:r>
        <w:r>
          <w:rPr>
            <w:webHidden/>
          </w:rPr>
        </w:r>
        <w:r>
          <w:rPr>
            <w:webHidden/>
          </w:rPr>
          <w:fldChar w:fldCharType="separate"/>
        </w:r>
        <w:r>
          <w:rPr>
            <w:webHidden/>
          </w:rPr>
          <w:t>60</w:t>
        </w:r>
        <w:r>
          <w:rPr>
            <w:webHidden/>
          </w:rPr>
          <w:fldChar w:fldCharType="end"/>
        </w:r>
      </w:hyperlink>
    </w:p>
    <w:p w14:paraId="13B50CC9" w14:textId="5B17B999" w:rsidR="006B5E72" w:rsidRDefault="006B5E72">
      <w:pPr>
        <w:pStyle w:val="TableofFigures"/>
        <w:rPr>
          <w:rFonts w:asciiTheme="minorHAnsi" w:eastAsiaTheme="minorEastAsia" w:hAnsiTheme="minorHAnsi"/>
          <w:sz w:val="24"/>
          <w:lang w:eastAsia="en-AU"/>
        </w:rPr>
      </w:pPr>
      <w:hyperlink w:anchor="_Toc232589610" w:history="1">
        <w:r w:rsidRPr="00C93B5A">
          <w:rPr>
            <w:rStyle w:val="Hyperlink"/>
          </w:rPr>
          <w:t>Table 15: Calculation of poultry broiler dietary burden of diquat</w:t>
        </w:r>
        <w:r>
          <w:rPr>
            <w:webHidden/>
          </w:rPr>
          <w:tab/>
        </w:r>
        <w:r>
          <w:rPr>
            <w:webHidden/>
          </w:rPr>
          <w:fldChar w:fldCharType="begin"/>
        </w:r>
        <w:r>
          <w:rPr>
            <w:webHidden/>
          </w:rPr>
          <w:instrText xml:space="preserve"> PAGEREF _Toc232589610 \h </w:instrText>
        </w:r>
        <w:r>
          <w:rPr>
            <w:webHidden/>
          </w:rPr>
        </w:r>
        <w:r>
          <w:rPr>
            <w:webHidden/>
          </w:rPr>
          <w:fldChar w:fldCharType="separate"/>
        </w:r>
        <w:r>
          <w:rPr>
            <w:webHidden/>
          </w:rPr>
          <w:t>60</w:t>
        </w:r>
        <w:r>
          <w:rPr>
            <w:webHidden/>
          </w:rPr>
          <w:fldChar w:fldCharType="end"/>
        </w:r>
      </w:hyperlink>
    </w:p>
    <w:p w14:paraId="23B826B4" w14:textId="57F8201A" w:rsidR="006B5E72" w:rsidRDefault="006B5E72">
      <w:pPr>
        <w:pStyle w:val="TableofFigures"/>
        <w:rPr>
          <w:rFonts w:asciiTheme="minorHAnsi" w:eastAsiaTheme="minorEastAsia" w:hAnsiTheme="minorHAnsi"/>
          <w:sz w:val="24"/>
          <w:lang w:eastAsia="en-AU"/>
        </w:rPr>
      </w:pPr>
      <w:hyperlink w:anchor="_Toc232589611" w:history="1">
        <w:r w:rsidRPr="00C93B5A">
          <w:rPr>
            <w:rStyle w:val="Hyperlink"/>
          </w:rPr>
          <w:t>Table 16: Calculation of beef cattle dietary burden of diquat</w:t>
        </w:r>
        <w:r>
          <w:rPr>
            <w:webHidden/>
          </w:rPr>
          <w:tab/>
        </w:r>
        <w:r>
          <w:rPr>
            <w:webHidden/>
          </w:rPr>
          <w:fldChar w:fldCharType="begin"/>
        </w:r>
        <w:r>
          <w:rPr>
            <w:webHidden/>
          </w:rPr>
          <w:instrText xml:space="preserve"> PAGEREF _Toc232589611 \h </w:instrText>
        </w:r>
        <w:r>
          <w:rPr>
            <w:webHidden/>
          </w:rPr>
        </w:r>
        <w:r>
          <w:rPr>
            <w:webHidden/>
          </w:rPr>
          <w:fldChar w:fldCharType="separate"/>
        </w:r>
        <w:r>
          <w:rPr>
            <w:webHidden/>
          </w:rPr>
          <w:t>62</w:t>
        </w:r>
        <w:r>
          <w:rPr>
            <w:webHidden/>
          </w:rPr>
          <w:fldChar w:fldCharType="end"/>
        </w:r>
      </w:hyperlink>
    </w:p>
    <w:p w14:paraId="6AB19D42" w14:textId="10008DC9" w:rsidR="006B5E72" w:rsidRDefault="006B5E72">
      <w:pPr>
        <w:pStyle w:val="TableofFigures"/>
        <w:rPr>
          <w:rFonts w:asciiTheme="minorHAnsi" w:eastAsiaTheme="minorEastAsia" w:hAnsiTheme="minorHAnsi"/>
          <w:sz w:val="24"/>
          <w:lang w:eastAsia="en-AU"/>
        </w:rPr>
      </w:pPr>
      <w:hyperlink w:anchor="_Toc232589612" w:history="1">
        <w:r w:rsidRPr="00C93B5A">
          <w:rPr>
            <w:rStyle w:val="Hyperlink"/>
          </w:rPr>
          <w:t>Table 17: Calculation of dairy cattle dietary burden of diquat</w:t>
        </w:r>
        <w:r>
          <w:rPr>
            <w:webHidden/>
          </w:rPr>
          <w:tab/>
        </w:r>
        <w:r>
          <w:rPr>
            <w:webHidden/>
          </w:rPr>
          <w:fldChar w:fldCharType="begin"/>
        </w:r>
        <w:r>
          <w:rPr>
            <w:webHidden/>
          </w:rPr>
          <w:instrText xml:space="preserve"> PAGEREF _Toc232589612 \h </w:instrText>
        </w:r>
        <w:r>
          <w:rPr>
            <w:webHidden/>
          </w:rPr>
        </w:r>
        <w:r>
          <w:rPr>
            <w:webHidden/>
          </w:rPr>
          <w:fldChar w:fldCharType="separate"/>
        </w:r>
        <w:r>
          <w:rPr>
            <w:webHidden/>
          </w:rPr>
          <w:t>63</w:t>
        </w:r>
        <w:r>
          <w:rPr>
            <w:webHidden/>
          </w:rPr>
          <w:fldChar w:fldCharType="end"/>
        </w:r>
      </w:hyperlink>
    </w:p>
    <w:p w14:paraId="3AEACCF6" w14:textId="0383D4BB" w:rsidR="006B5E72" w:rsidRDefault="006B5E72">
      <w:pPr>
        <w:pStyle w:val="TableofFigures"/>
        <w:rPr>
          <w:rFonts w:asciiTheme="minorHAnsi" w:eastAsiaTheme="minorEastAsia" w:hAnsiTheme="minorHAnsi"/>
          <w:sz w:val="24"/>
          <w:lang w:eastAsia="en-AU"/>
        </w:rPr>
      </w:pPr>
      <w:hyperlink w:anchor="_Toc232589613" w:history="1">
        <w:r w:rsidRPr="00C93B5A">
          <w:rPr>
            <w:rStyle w:val="Hyperlink"/>
          </w:rPr>
          <w:t>Table 18: International MRLs for Australian major export commodities (December 2023)</w:t>
        </w:r>
        <w:r>
          <w:rPr>
            <w:webHidden/>
          </w:rPr>
          <w:tab/>
        </w:r>
        <w:r>
          <w:rPr>
            <w:webHidden/>
          </w:rPr>
          <w:fldChar w:fldCharType="begin"/>
        </w:r>
        <w:r>
          <w:rPr>
            <w:webHidden/>
          </w:rPr>
          <w:instrText xml:space="preserve"> PAGEREF _Toc232589613 \h </w:instrText>
        </w:r>
        <w:r>
          <w:rPr>
            <w:webHidden/>
          </w:rPr>
        </w:r>
        <w:r>
          <w:rPr>
            <w:webHidden/>
          </w:rPr>
          <w:fldChar w:fldCharType="separate"/>
        </w:r>
        <w:r>
          <w:rPr>
            <w:webHidden/>
          </w:rPr>
          <w:t>66</w:t>
        </w:r>
        <w:r>
          <w:rPr>
            <w:webHidden/>
          </w:rPr>
          <w:fldChar w:fldCharType="end"/>
        </w:r>
      </w:hyperlink>
    </w:p>
    <w:p w14:paraId="5CC5C6FE" w14:textId="467D2406" w:rsidR="006B5E72" w:rsidRDefault="006B5E72">
      <w:pPr>
        <w:pStyle w:val="TableofFigures"/>
        <w:rPr>
          <w:rFonts w:asciiTheme="minorHAnsi" w:eastAsiaTheme="minorEastAsia" w:hAnsiTheme="minorHAnsi"/>
          <w:sz w:val="24"/>
          <w:lang w:eastAsia="en-AU"/>
        </w:rPr>
      </w:pPr>
      <w:hyperlink w:anchor="_Toc232589614" w:history="1">
        <w:r w:rsidRPr="00C93B5A">
          <w:rPr>
            <w:rStyle w:val="Hyperlink"/>
          </w:rPr>
          <w:t>Table 19: Amendments to Table 1 of the MRL Standard</w:t>
        </w:r>
        <w:r>
          <w:rPr>
            <w:webHidden/>
          </w:rPr>
          <w:tab/>
        </w:r>
        <w:r>
          <w:rPr>
            <w:webHidden/>
          </w:rPr>
          <w:fldChar w:fldCharType="begin"/>
        </w:r>
        <w:r>
          <w:rPr>
            <w:webHidden/>
          </w:rPr>
          <w:instrText xml:space="preserve"> PAGEREF _Toc232589614 \h </w:instrText>
        </w:r>
        <w:r>
          <w:rPr>
            <w:webHidden/>
          </w:rPr>
        </w:r>
        <w:r>
          <w:rPr>
            <w:webHidden/>
          </w:rPr>
          <w:fldChar w:fldCharType="separate"/>
        </w:r>
        <w:r>
          <w:rPr>
            <w:webHidden/>
          </w:rPr>
          <w:t>72</w:t>
        </w:r>
        <w:r>
          <w:rPr>
            <w:webHidden/>
          </w:rPr>
          <w:fldChar w:fldCharType="end"/>
        </w:r>
      </w:hyperlink>
    </w:p>
    <w:p w14:paraId="2A6FDF02" w14:textId="131C4193" w:rsidR="006B5E72" w:rsidRDefault="006B5E72">
      <w:pPr>
        <w:pStyle w:val="TableofFigures"/>
        <w:rPr>
          <w:rFonts w:asciiTheme="minorHAnsi" w:eastAsiaTheme="minorEastAsia" w:hAnsiTheme="minorHAnsi"/>
          <w:sz w:val="24"/>
          <w:lang w:eastAsia="en-AU"/>
        </w:rPr>
      </w:pPr>
      <w:hyperlink w:anchor="_Toc232589615" w:history="1">
        <w:r w:rsidRPr="00C93B5A">
          <w:rPr>
            <w:rStyle w:val="Hyperlink"/>
          </w:rPr>
          <w:t>Table 20: Amendments to Table 4 of the MRL Standard</w:t>
        </w:r>
        <w:r>
          <w:rPr>
            <w:webHidden/>
          </w:rPr>
          <w:tab/>
        </w:r>
        <w:r>
          <w:rPr>
            <w:webHidden/>
          </w:rPr>
          <w:fldChar w:fldCharType="begin"/>
        </w:r>
        <w:r>
          <w:rPr>
            <w:webHidden/>
          </w:rPr>
          <w:instrText xml:space="preserve"> PAGEREF _Toc232589615 \h </w:instrText>
        </w:r>
        <w:r>
          <w:rPr>
            <w:webHidden/>
          </w:rPr>
        </w:r>
        <w:r>
          <w:rPr>
            <w:webHidden/>
          </w:rPr>
          <w:fldChar w:fldCharType="separate"/>
        </w:r>
        <w:r>
          <w:rPr>
            <w:webHidden/>
          </w:rPr>
          <w:t>75</w:t>
        </w:r>
        <w:r>
          <w:rPr>
            <w:webHidden/>
          </w:rPr>
          <w:fldChar w:fldCharType="end"/>
        </w:r>
      </w:hyperlink>
    </w:p>
    <w:p w14:paraId="20CB1650" w14:textId="7D2386EC" w:rsidR="006B5E72" w:rsidRDefault="006B5E72">
      <w:pPr>
        <w:pStyle w:val="TableofFigures"/>
        <w:rPr>
          <w:rFonts w:asciiTheme="minorHAnsi" w:eastAsiaTheme="minorEastAsia" w:hAnsiTheme="minorHAnsi"/>
          <w:sz w:val="24"/>
          <w:lang w:eastAsia="en-AU"/>
        </w:rPr>
      </w:pPr>
      <w:hyperlink w:anchor="_Toc232589616" w:history="1">
        <w:r w:rsidRPr="00C93B5A">
          <w:rPr>
            <w:rStyle w:val="Hyperlink"/>
          </w:rPr>
          <w:t>Table 21: Diquat uses supported by human health, environment, and residues and trade risk assessments</w:t>
        </w:r>
        <w:r>
          <w:rPr>
            <w:webHidden/>
          </w:rPr>
          <w:tab/>
        </w:r>
        <w:r>
          <w:rPr>
            <w:webHidden/>
          </w:rPr>
          <w:fldChar w:fldCharType="begin"/>
        </w:r>
        <w:r>
          <w:rPr>
            <w:webHidden/>
          </w:rPr>
          <w:instrText xml:space="preserve"> PAGEREF _Toc232589616 \h </w:instrText>
        </w:r>
        <w:r>
          <w:rPr>
            <w:webHidden/>
          </w:rPr>
        </w:r>
        <w:r>
          <w:rPr>
            <w:webHidden/>
          </w:rPr>
          <w:fldChar w:fldCharType="separate"/>
        </w:r>
        <w:r>
          <w:rPr>
            <w:webHidden/>
          </w:rPr>
          <w:t>75</w:t>
        </w:r>
        <w:r>
          <w:rPr>
            <w:webHidden/>
          </w:rPr>
          <w:fldChar w:fldCharType="end"/>
        </w:r>
      </w:hyperlink>
    </w:p>
    <w:p w14:paraId="2A23B296" w14:textId="1B7D294E" w:rsidR="006B5E72" w:rsidRDefault="006B5E72">
      <w:pPr>
        <w:pStyle w:val="TableofFigures"/>
        <w:rPr>
          <w:rFonts w:asciiTheme="minorHAnsi" w:eastAsiaTheme="minorEastAsia" w:hAnsiTheme="minorHAnsi"/>
          <w:sz w:val="24"/>
          <w:lang w:eastAsia="en-AU"/>
        </w:rPr>
      </w:pPr>
      <w:hyperlink w:anchor="_Toc232589617" w:history="1">
        <w:r w:rsidRPr="00C93B5A">
          <w:rPr>
            <w:rStyle w:val="Hyperlink"/>
          </w:rPr>
          <w:t>Table 22: Revised amendments to Table 1 of the MRL Standard</w:t>
        </w:r>
        <w:r>
          <w:rPr>
            <w:webHidden/>
          </w:rPr>
          <w:tab/>
        </w:r>
        <w:r>
          <w:rPr>
            <w:webHidden/>
          </w:rPr>
          <w:fldChar w:fldCharType="begin"/>
        </w:r>
        <w:r>
          <w:rPr>
            <w:webHidden/>
          </w:rPr>
          <w:instrText xml:space="preserve"> PAGEREF _Toc232589617 \h </w:instrText>
        </w:r>
        <w:r>
          <w:rPr>
            <w:webHidden/>
          </w:rPr>
        </w:r>
        <w:r>
          <w:rPr>
            <w:webHidden/>
          </w:rPr>
          <w:fldChar w:fldCharType="separate"/>
        </w:r>
        <w:r>
          <w:rPr>
            <w:webHidden/>
          </w:rPr>
          <w:t>84</w:t>
        </w:r>
        <w:r>
          <w:rPr>
            <w:webHidden/>
          </w:rPr>
          <w:fldChar w:fldCharType="end"/>
        </w:r>
      </w:hyperlink>
    </w:p>
    <w:p w14:paraId="3686EED2" w14:textId="249A8CDE" w:rsidR="006B5E72" w:rsidRDefault="006B5E72">
      <w:pPr>
        <w:pStyle w:val="TableofFigures"/>
        <w:rPr>
          <w:rFonts w:asciiTheme="minorHAnsi" w:eastAsiaTheme="minorEastAsia" w:hAnsiTheme="minorHAnsi"/>
          <w:sz w:val="24"/>
          <w:lang w:eastAsia="en-AU"/>
        </w:rPr>
      </w:pPr>
      <w:hyperlink w:anchor="_Toc232589618" w:history="1">
        <w:r w:rsidRPr="00C93B5A">
          <w:rPr>
            <w:rStyle w:val="Hyperlink"/>
          </w:rPr>
          <w:t>Table 23: Revised amendments to Table 4 of the MRL Standard</w:t>
        </w:r>
        <w:r>
          <w:rPr>
            <w:webHidden/>
          </w:rPr>
          <w:tab/>
        </w:r>
        <w:r>
          <w:rPr>
            <w:webHidden/>
          </w:rPr>
          <w:fldChar w:fldCharType="begin"/>
        </w:r>
        <w:r>
          <w:rPr>
            <w:webHidden/>
          </w:rPr>
          <w:instrText xml:space="preserve"> PAGEREF _Toc232589618 \h </w:instrText>
        </w:r>
        <w:r>
          <w:rPr>
            <w:webHidden/>
          </w:rPr>
        </w:r>
        <w:r>
          <w:rPr>
            <w:webHidden/>
          </w:rPr>
          <w:fldChar w:fldCharType="separate"/>
        </w:r>
        <w:r>
          <w:rPr>
            <w:webHidden/>
          </w:rPr>
          <w:t>87</w:t>
        </w:r>
        <w:r>
          <w:rPr>
            <w:webHidden/>
          </w:rPr>
          <w:fldChar w:fldCharType="end"/>
        </w:r>
      </w:hyperlink>
    </w:p>
    <w:p w14:paraId="7184CF52" w14:textId="1A28ABB4" w:rsidR="006B5E72" w:rsidRDefault="006B5E72">
      <w:pPr>
        <w:pStyle w:val="TableofFigures"/>
        <w:rPr>
          <w:rFonts w:asciiTheme="minorHAnsi" w:eastAsiaTheme="minorEastAsia" w:hAnsiTheme="minorHAnsi"/>
          <w:sz w:val="24"/>
          <w:lang w:eastAsia="en-AU"/>
        </w:rPr>
      </w:pPr>
      <w:hyperlink w:anchor="_Toc232589619" w:history="1">
        <w:r w:rsidRPr="00C93B5A">
          <w:rPr>
            <w:rStyle w:val="Hyperlink"/>
          </w:rPr>
          <w:t>Table 24: Environmental risk assessment scenarios for diquat</w:t>
        </w:r>
        <w:r>
          <w:rPr>
            <w:webHidden/>
          </w:rPr>
          <w:tab/>
        </w:r>
        <w:r>
          <w:rPr>
            <w:webHidden/>
          </w:rPr>
          <w:fldChar w:fldCharType="begin"/>
        </w:r>
        <w:r>
          <w:rPr>
            <w:webHidden/>
          </w:rPr>
          <w:instrText xml:space="preserve"> PAGEREF _Toc232589619 \h </w:instrText>
        </w:r>
        <w:r>
          <w:rPr>
            <w:webHidden/>
          </w:rPr>
        </w:r>
        <w:r>
          <w:rPr>
            <w:webHidden/>
          </w:rPr>
          <w:fldChar w:fldCharType="separate"/>
        </w:r>
        <w:r>
          <w:rPr>
            <w:webHidden/>
          </w:rPr>
          <w:t>88</w:t>
        </w:r>
        <w:r>
          <w:rPr>
            <w:webHidden/>
          </w:rPr>
          <w:fldChar w:fldCharType="end"/>
        </w:r>
      </w:hyperlink>
    </w:p>
    <w:p w14:paraId="0F125F40" w14:textId="0194B217" w:rsidR="006B5E72" w:rsidRDefault="006B5E72">
      <w:pPr>
        <w:pStyle w:val="TableofFigures"/>
        <w:rPr>
          <w:rFonts w:asciiTheme="minorHAnsi" w:eastAsiaTheme="minorEastAsia" w:hAnsiTheme="minorHAnsi"/>
          <w:sz w:val="24"/>
          <w:lang w:eastAsia="en-AU"/>
        </w:rPr>
      </w:pPr>
      <w:hyperlink w:anchor="_Toc232589620" w:history="1">
        <w:r w:rsidRPr="00C93B5A">
          <w:rPr>
            <w:rStyle w:val="Hyperlink"/>
          </w:rPr>
          <w:t>Table 25: Key regulatory endpoints for environmental exposure assessment</w:t>
        </w:r>
        <w:r>
          <w:rPr>
            <w:webHidden/>
          </w:rPr>
          <w:tab/>
        </w:r>
        <w:r>
          <w:rPr>
            <w:webHidden/>
          </w:rPr>
          <w:fldChar w:fldCharType="begin"/>
        </w:r>
        <w:r>
          <w:rPr>
            <w:webHidden/>
          </w:rPr>
          <w:instrText xml:space="preserve"> PAGEREF _Toc232589620 \h </w:instrText>
        </w:r>
        <w:r>
          <w:rPr>
            <w:webHidden/>
          </w:rPr>
        </w:r>
        <w:r>
          <w:rPr>
            <w:webHidden/>
          </w:rPr>
          <w:fldChar w:fldCharType="separate"/>
        </w:r>
        <w:r>
          <w:rPr>
            <w:webHidden/>
          </w:rPr>
          <w:t>90</w:t>
        </w:r>
        <w:r>
          <w:rPr>
            <w:webHidden/>
          </w:rPr>
          <w:fldChar w:fldCharType="end"/>
        </w:r>
      </w:hyperlink>
    </w:p>
    <w:p w14:paraId="4EDCC170" w14:textId="2A6F7C02" w:rsidR="006B5E72" w:rsidRDefault="006B5E72">
      <w:pPr>
        <w:pStyle w:val="TableofFigures"/>
        <w:rPr>
          <w:rFonts w:asciiTheme="minorHAnsi" w:eastAsiaTheme="minorEastAsia" w:hAnsiTheme="minorHAnsi"/>
          <w:sz w:val="24"/>
          <w:lang w:eastAsia="en-AU"/>
        </w:rPr>
      </w:pPr>
      <w:hyperlink w:anchor="_Toc232589621" w:history="1">
        <w:r w:rsidRPr="00C93B5A">
          <w:rPr>
            <w:rStyle w:val="Hyperlink"/>
          </w:rPr>
          <w:t>Table 26: Toxicity endpoints for aquatic primary producers used in SSD analysis</w:t>
        </w:r>
        <w:r>
          <w:rPr>
            <w:webHidden/>
          </w:rPr>
          <w:tab/>
        </w:r>
        <w:r>
          <w:rPr>
            <w:webHidden/>
          </w:rPr>
          <w:fldChar w:fldCharType="begin"/>
        </w:r>
        <w:r>
          <w:rPr>
            <w:webHidden/>
          </w:rPr>
          <w:instrText xml:space="preserve"> PAGEREF _Toc232589621 \h </w:instrText>
        </w:r>
        <w:r>
          <w:rPr>
            <w:webHidden/>
          </w:rPr>
        </w:r>
        <w:r>
          <w:rPr>
            <w:webHidden/>
          </w:rPr>
          <w:fldChar w:fldCharType="separate"/>
        </w:r>
        <w:r>
          <w:rPr>
            <w:webHidden/>
          </w:rPr>
          <w:t>93</w:t>
        </w:r>
        <w:r>
          <w:rPr>
            <w:webHidden/>
          </w:rPr>
          <w:fldChar w:fldCharType="end"/>
        </w:r>
      </w:hyperlink>
    </w:p>
    <w:p w14:paraId="05F5BF75" w14:textId="048B0E68" w:rsidR="006B5E72" w:rsidRDefault="006B5E72">
      <w:pPr>
        <w:pStyle w:val="TableofFigures"/>
        <w:rPr>
          <w:rFonts w:asciiTheme="minorHAnsi" w:eastAsiaTheme="minorEastAsia" w:hAnsiTheme="minorHAnsi"/>
          <w:sz w:val="24"/>
          <w:lang w:eastAsia="en-AU"/>
        </w:rPr>
      </w:pPr>
      <w:hyperlink w:anchor="_Toc232589622" w:history="1">
        <w:r w:rsidRPr="00C93B5A">
          <w:rPr>
            <w:rStyle w:val="Hyperlink"/>
          </w:rPr>
          <w:t>Table 27: Post-emergent toxicity endpoints for non-target terrestrial plants used in SSD analysis</w:t>
        </w:r>
        <w:r>
          <w:rPr>
            <w:webHidden/>
          </w:rPr>
          <w:tab/>
        </w:r>
        <w:r>
          <w:rPr>
            <w:webHidden/>
          </w:rPr>
          <w:fldChar w:fldCharType="begin"/>
        </w:r>
        <w:r>
          <w:rPr>
            <w:webHidden/>
          </w:rPr>
          <w:instrText xml:space="preserve"> PAGEREF _Toc232589622 \h </w:instrText>
        </w:r>
        <w:r>
          <w:rPr>
            <w:webHidden/>
          </w:rPr>
        </w:r>
        <w:r>
          <w:rPr>
            <w:webHidden/>
          </w:rPr>
          <w:fldChar w:fldCharType="separate"/>
        </w:r>
        <w:r>
          <w:rPr>
            <w:webHidden/>
          </w:rPr>
          <w:t>94</w:t>
        </w:r>
        <w:r>
          <w:rPr>
            <w:webHidden/>
          </w:rPr>
          <w:fldChar w:fldCharType="end"/>
        </w:r>
      </w:hyperlink>
    </w:p>
    <w:p w14:paraId="3FBE8FD8" w14:textId="53893AB7" w:rsidR="006B5E72" w:rsidRDefault="006B5E72">
      <w:pPr>
        <w:pStyle w:val="TableofFigures"/>
        <w:rPr>
          <w:rFonts w:asciiTheme="minorHAnsi" w:eastAsiaTheme="minorEastAsia" w:hAnsiTheme="minorHAnsi"/>
          <w:sz w:val="24"/>
          <w:lang w:eastAsia="en-AU"/>
        </w:rPr>
      </w:pPr>
      <w:hyperlink w:anchor="_Toc232589623" w:history="1">
        <w:r w:rsidRPr="00C93B5A">
          <w:rPr>
            <w:rStyle w:val="Hyperlink"/>
          </w:rPr>
          <w:t>Table 28: Regulatory acceptable levels for non-target species</w:t>
        </w:r>
        <w:r>
          <w:rPr>
            <w:webHidden/>
          </w:rPr>
          <w:tab/>
        </w:r>
        <w:r>
          <w:rPr>
            <w:webHidden/>
          </w:rPr>
          <w:fldChar w:fldCharType="begin"/>
        </w:r>
        <w:r>
          <w:rPr>
            <w:webHidden/>
          </w:rPr>
          <w:instrText xml:space="preserve"> PAGEREF _Toc232589623 \h </w:instrText>
        </w:r>
        <w:r>
          <w:rPr>
            <w:webHidden/>
          </w:rPr>
        </w:r>
        <w:r>
          <w:rPr>
            <w:webHidden/>
          </w:rPr>
          <w:fldChar w:fldCharType="separate"/>
        </w:r>
        <w:r>
          <w:rPr>
            <w:webHidden/>
          </w:rPr>
          <w:t>95</w:t>
        </w:r>
        <w:r>
          <w:rPr>
            <w:webHidden/>
          </w:rPr>
          <w:fldChar w:fldCharType="end"/>
        </w:r>
      </w:hyperlink>
    </w:p>
    <w:p w14:paraId="0CA12EFC" w14:textId="23BFA4A6" w:rsidR="006B5E72" w:rsidRDefault="006B5E72">
      <w:pPr>
        <w:pStyle w:val="TableofFigures"/>
        <w:rPr>
          <w:rFonts w:asciiTheme="minorHAnsi" w:eastAsiaTheme="minorEastAsia" w:hAnsiTheme="minorHAnsi"/>
          <w:sz w:val="24"/>
          <w:lang w:eastAsia="en-AU"/>
        </w:rPr>
      </w:pPr>
      <w:hyperlink w:anchor="_Toc232589624" w:history="1">
        <w:r w:rsidRPr="00C93B5A">
          <w:rPr>
            <w:rStyle w:val="Hyperlink"/>
          </w:rPr>
          <w:t>Table 29: Summary of risk assessment outcomes for terrestrial vertebrates</w:t>
        </w:r>
        <w:r>
          <w:rPr>
            <w:webHidden/>
          </w:rPr>
          <w:tab/>
        </w:r>
        <w:r>
          <w:rPr>
            <w:webHidden/>
          </w:rPr>
          <w:fldChar w:fldCharType="begin"/>
        </w:r>
        <w:r>
          <w:rPr>
            <w:webHidden/>
          </w:rPr>
          <w:instrText xml:space="preserve"> PAGEREF _Toc232589624 \h </w:instrText>
        </w:r>
        <w:r>
          <w:rPr>
            <w:webHidden/>
          </w:rPr>
        </w:r>
        <w:r>
          <w:rPr>
            <w:webHidden/>
          </w:rPr>
          <w:fldChar w:fldCharType="separate"/>
        </w:r>
        <w:r>
          <w:rPr>
            <w:webHidden/>
          </w:rPr>
          <w:t>96</w:t>
        </w:r>
        <w:r>
          <w:rPr>
            <w:webHidden/>
          </w:rPr>
          <w:fldChar w:fldCharType="end"/>
        </w:r>
      </w:hyperlink>
    </w:p>
    <w:p w14:paraId="1E942109" w14:textId="75C46E9A" w:rsidR="006B5E72" w:rsidRDefault="006B5E72">
      <w:pPr>
        <w:pStyle w:val="TableofFigures"/>
        <w:rPr>
          <w:rFonts w:asciiTheme="minorHAnsi" w:eastAsiaTheme="minorEastAsia" w:hAnsiTheme="minorHAnsi"/>
          <w:sz w:val="24"/>
          <w:lang w:eastAsia="en-AU"/>
        </w:rPr>
      </w:pPr>
      <w:hyperlink w:anchor="_Toc232589625" w:history="1">
        <w:r w:rsidRPr="00C93B5A">
          <w:rPr>
            <w:rStyle w:val="Hyperlink"/>
          </w:rPr>
          <w:t>Table 30: Assessment of risks to non-target aquatic species for aquatic use situations</w:t>
        </w:r>
        <w:r>
          <w:rPr>
            <w:webHidden/>
          </w:rPr>
          <w:tab/>
        </w:r>
        <w:r>
          <w:rPr>
            <w:webHidden/>
          </w:rPr>
          <w:fldChar w:fldCharType="begin"/>
        </w:r>
        <w:r>
          <w:rPr>
            <w:webHidden/>
          </w:rPr>
          <w:instrText xml:space="preserve"> PAGEREF _Toc232589625 \h </w:instrText>
        </w:r>
        <w:r>
          <w:rPr>
            <w:webHidden/>
          </w:rPr>
        </w:r>
        <w:r>
          <w:rPr>
            <w:webHidden/>
          </w:rPr>
          <w:fldChar w:fldCharType="separate"/>
        </w:r>
        <w:r>
          <w:rPr>
            <w:webHidden/>
          </w:rPr>
          <w:t>101</w:t>
        </w:r>
        <w:r>
          <w:rPr>
            <w:webHidden/>
          </w:rPr>
          <w:fldChar w:fldCharType="end"/>
        </w:r>
      </w:hyperlink>
    </w:p>
    <w:p w14:paraId="33C4258B" w14:textId="5D268D20" w:rsidR="006B5E72" w:rsidRDefault="006B5E72">
      <w:pPr>
        <w:pStyle w:val="TableofFigures"/>
        <w:rPr>
          <w:rFonts w:asciiTheme="minorHAnsi" w:eastAsiaTheme="minorEastAsia" w:hAnsiTheme="minorHAnsi"/>
          <w:sz w:val="24"/>
          <w:lang w:eastAsia="en-AU"/>
        </w:rPr>
      </w:pPr>
      <w:hyperlink w:anchor="_Toc232589626" w:history="1">
        <w:r w:rsidRPr="00C93B5A">
          <w:rPr>
            <w:rStyle w:val="Hyperlink"/>
          </w:rPr>
          <w:t>Table 31: Assessment of runoff risks to aquatic species for terrestrial use situations</w:t>
        </w:r>
        <w:r>
          <w:rPr>
            <w:webHidden/>
          </w:rPr>
          <w:tab/>
        </w:r>
        <w:r>
          <w:rPr>
            <w:webHidden/>
          </w:rPr>
          <w:fldChar w:fldCharType="begin"/>
        </w:r>
        <w:r>
          <w:rPr>
            <w:webHidden/>
          </w:rPr>
          <w:instrText xml:space="preserve"> PAGEREF _Toc232589626 \h </w:instrText>
        </w:r>
        <w:r>
          <w:rPr>
            <w:webHidden/>
          </w:rPr>
        </w:r>
        <w:r>
          <w:rPr>
            <w:webHidden/>
          </w:rPr>
          <w:fldChar w:fldCharType="separate"/>
        </w:r>
        <w:r>
          <w:rPr>
            <w:webHidden/>
          </w:rPr>
          <w:t>101</w:t>
        </w:r>
        <w:r>
          <w:rPr>
            <w:webHidden/>
          </w:rPr>
          <w:fldChar w:fldCharType="end"/>
        </w:r>
      </w:hyperlink>
    </w:p>
    <w:p w14:paraId="06E12615" w14:textId="5B9FAA2F" w:rsidR="006B5E72" w:rsidRDefault="006B5E72">
      <w:pPr>
        <w:pStyle w:val="TableofFigures"/>
        <w:rPr>
          <w:rFonts w:asciiTheme="minorHAnsi" w:eastAsiaTheme="minorEastAsia" w:hAnsiTheme="minorHAnsi"/>
          <w:sz w:val="24"/>
          <w:lang w:eastAsia="en-AU"/>
        </w:rPr>
      </w:pPr>
      <w:hyperlink w:anchor="_Toc232589627" w:history="1">
        <w:r w:rsidRPr="00C93B5A">
          <w:rPr>
            <w:rStyle w:val="Hyperlink"/>
          </w:rPr>
          <w:t>Table 32: Screening level assessment of risks to bees</w:t>
        </w:r>
        <w:r>
          <w:rPr>
            <w:webHidden/>
          </w:rPr>
          <w:tab/>
        </w:r>
        <w:r>
          <w:rPr>
            <w:webHidden/>
          </w:rPr>
          <w:fldChar w:fldCharType="begin"/>
        </w:r>
        <w:r>
          <w:rPr>
            <w:webHidden/>
          </w:rPr>
          <w:instrText xml:space="preserve"> PAGEREF _Toc232589627 \h </w:instrText>
        </w:r>
        <w:r>
          <w:rPr>
            <w:webHidden/>
          </w:rPr>
        </w:r>
        <w:r>
          <w:rPr>
            <w:webHidden/>
          </w:rPr>
          <w:fldChar w:fldCharType="separate"/>
        </w:r>
        <w:r>
          <w:rPr>
            <w:webHidden/>
          </w:rPr>
          <w:t>103</w:t>
        </w:r>
        <w:r>
          <w:rPr>
            <w:webHidden/>
          </w:rPr>
          <w:fldChar w:fldCharType="end"/>
        </w:r>
      </w:hyperlink>
    </w:p>
    <w:p w14:paraId="067EAC47" w14:textId="10562030" w:rsidR="006B5E72" w:rsidRDefault="006B5E72">
      <w:pPr>
        <w:pStyle w:val="TableofFigures"/>
        <w:rPr>
          <w:rFonts w:asciiTheme="minorHAnsi" w:eastAsiaTheme="minorEastAsia" w:hAnsiTheme="minorHAnsi"/>
          <w:sz w:val="24"/>
          <w:lang w:eastAsia="en-AU"/>
        </w:rPr>
      </w:pPr>
      <w:hyperlink w:anchor="_Toc232589628" w:history="1">
        <w:r w:rsidRPr="00C93B5A">
          <w:rPr>
            <w:rStyle w:val="Hyperlink"/>
          </w:rPr>
          <w:t>Table 33: Assessment of risks to other non-target arthropods</w:t>
        </w:r>
        <w:r>
          <w:rPr>
            <w:webHidden/>
          </w:rPr>
          <w:tab/>
        </w:r>
        <w:r>
          <w:rPr>
            <w:webHidden/>
          </w:rPr>
          <w:fldChar w:fldCharType="begin"/>
        </w:r>
        <w:r>
          <w:rPr>
            <w:webHidden/>
          </w:rPr>
          <w:instrText xml:space="preserve"> PAGEREF _Toc232589628 \h </w:instrText>
        </w:r>
        <w:r>
          <w:rPr>
            <w:webHidden/>
          </w:rPr>
        </w:r>
        <w:r>
          <w:rPr>
            <w:webHidden/>
          </w:rPr>
          <w:fldChar w:fldCharType="separate"/>
        </w:r>
        <w:r>
          <w:rPr>
            <w:webHidden/>
          </w:rPr>
          <w:t>104</w:t>
        </w:r>
        <w:r>
          <w:rPr>
            <w:webHidden/>
          </w:rPr>
          <w:fldChar w:fldCharType="end"/>
        </w:r>
      </w:hyperlink>
    </w:p>
    <w:p w14:paraId="44A3DF8F" w14:textId="2CCECA36" w:rsidR="006B5E72" w:rsidRDefault="006B5E72">
      <w:pPr>
        <w:pStyle w:val="TableofFigures"/>
        <w:rPr>
          <w:rFonts w:asciiTheme="minorHAnsi" w:eastAsiaTheme="minorEastAsia" w:hAnsiTheme="minorHAnsi"/>
          <w:sz w:val="24"/>
          <w:lang w:eastAsia="en-AU"/>
        </w:rPr>
      </w:pPr>
      <w:hyperlink w:anchor="_Toc232589629" w:history="1">
        <w:r w:rsidRPr="00C93B5A">
          <w:rPr>
            <w:rStyle w:val="Hyperlink"/>
          </w:rPr>
          <w:t>Table 34: Screening level assessment of risks to soil organisms (worst-case scenario)</w:t>
        </w:r>
        <w:r>
          <w:rPr>
            <w:webHidden/>
          </w:rPr>
          <w:tab/>
        </w:r>
        <w:r>
          <w:rPr>
            <w:webHidden/>
          </w:rPr>
          <w:fldChar w:fldCharType="begin"/>
        </w:r>
        <w:r>
          <w:rPr>
            <w:webHidden/>
          </w:rPr>
          <w:instrText xml:space="preserve"> PAGEREF _Toc232589629 \h </w:instrText>
        </w:r>
        <w:r>
          <w:rPr>
            <w:webHidden/>
          </w:rPr>
        </w:r>
        <w:r>
          <w:rPr>
            <w:webHidden/>
          </w:rPr>
          <w:fldChar w:fldCharType="separate"/>
        </w:r>
        <w:r>
          <w:rPr>
            <w:webHidden/>
          </w:rPr>
          <w:t>105</w:t>
        </w:r>
        <w:r>
          <w:rPr>
            <w:webHidden/>
          </w:rPr>
          <w:fldChar w:fldCharType="end"/>
        </w:r>
      </w:hyperlink>
    </w:p>
    <w:p w14:paraId="5DC43A87" w14:textId="1872558E" w:rsidR="006B5E72" w:rsidRDefault="006B5E72">
      <w:pPr>
        <w:pStyle w:val="TableofFigures"/>
        <w:rPr>
          <w:rFonts w:asciiTheme="minorHAnsi" w:eastAsiaTheme="minorEastAsia" w:hAnsiTheme="minorHAnsi"/>
          <w:sz w:val="24"/>
          <w:lang w:eastAsia="en-AU"/>
        </w:rPr>
      </w:pPr>
      <w:hyperlink w:anchor="_Toc232589630" w:history="1">
        <w:r w:rsidRPr="00C93B5A">
          <w:rPr>
            <w:rStyle w:val="Hyperlink"/>
          </w:rPr>
          <w:t>Table 35: Supported uses of diquat from the viewpoint of environmental safety</w:t>
        </w:r>
        <w:r>
          <w:rPr>
            <w:webHidden/>
          </w:rPr>
          <w:tab/>
        </w:r>
        <w:r>
          <w:rPr>
            <w:webHidden/>
          </w:rPr>
          <w:fldChar w:fldCharType="begin"/>
        </w:r>
        <w:r>
          <w:rPr>
            <w:webHidden/>
          </w:rPr>
          <w:instrText xml:space="preserve"> PAGEREF _Toc232589630 \h </w:instrText>
        </w:r>
        <w:r>
          <w:rPr>
            <w:webHidden/>
          </w:rPr>
        </w:r>
        <w:r>
          <w:rPr>
            <w:webHidden/>
          </w:rPr>
          <w:fldChar w:fldCharType="separate"/>
        </w:r>
        <w:r>
          <w:rPr>
            <w:webHidden/>
          </w:rPr>
          <w:t>105</w:t>
        </w:r>
        <w:r>
          <w:rPr>
            <w:webHidden/>
          </w:rPr>
          <w:fldChar w:fldCharType="end"/>
        </w:r>
      </w:hyperlink>
    </w:p>
    <w:p w14:paraId="4C06351E" w14:textId="0A0662C5" w:rsidR="006B5E72" w:rsidRDefault="006B5E72">
      <w:pPr>
        <w:pStyle w:val="TableofFigures"/>
        <w:rPr>
          <w:rFonts w:asciiTheme="minorHAnsi" w:eastAsiaTheme="minorEastAsia" w:hAnsiTheme="minorHAnsi"/>
          <w:sz w:val="24"/>
          <w:lang w:eastAsia="en-AU"/>
        </w:rPr>
      </w:pPr>
      <w:hyperlink w:anchor="_Toc232589631" w:history="1">
        <w:r w:rsidRPr="00C93B5A">
          <w:rPr>
            <w:rStyle w:val="Hyperlink"/>
          </w:rPr>
          <w:t>Table 36: Uses of diquat not supported from the viewpoint of environmental safety</w:t>
        </w:r>
        <w:r>
          <w:rPr>
            <w:webHidden/>
          </w:rPr>
          <w:tab/>
        </w:r>
        <w:r>
          <w:rPr>
            <w:webHidden/>
          </w:rPr>
          <w:fldChar w:fldCharType="begin"/>
        </w:r>
        <w:r>
          <w:rPr>
            <w:webHidden/>
          </w:rPr>
          <w:instrText xml:space="preserve"> PAGEREF _Toc232589631 \h </w:instrText>
        </w:r>
        <w:r>
          <w:rPr>
            <w:webHidden/>
          </w:rPr>
        </w:r>
        <w:r>
          <w:rPr>
            <w:webHidden/>
          </w:rPr>
          <w:fldChar w:fldCharType="separate"/>
        </w:r>
        <w:r>
          <w:rPr>
            <w:webHidden/>
          </w:rPr>
          <w:t>106</w:t>
        </w:r>
        <w:r>
          <w:rPr>
            <w:webHidden/>
          </w:rPr>
          <w:fldChar w:fldCharType="end"/>
        </w:r>
      </w:hyperlink>
    </w:p>
    <w:p w14:paraId="2530A534" w14:textId="70242B15" w:rsidR="006B5E72" w:rsidRDefault="006B5E72">
      <w:pPr>
        <w:pStyle w:val="TableofFigures"/>
        <w:rPr>
          <w:rFonts w:asciiTheme="minorHAnsi" w:eastAsiaTheme="minorEastAsia" w:hAnsiTheme="minorHAnsi"/>
          <w:sz w:val="24"/>
          <w:lang w:eastAsia="en-AU"/>
        </w:rPr>
      </w:pPr>
      <w:hyperlink w:anchor="_Toc232589632" w:history="1">
        <w:r w:rsidRPr="00C93B5A">
          <w:rPr>
            <w:rStyle w:val="Hyperlink"/>
          </w:rPr>
          <w:t>Table 37: Regulatory acceptable levels of diquat resulting from spray drift</w:t>
        </w:r>
        <w:r>
          <w:rPr>
            <w:webHidden/>
          </w:rPr>
          <w:tab/>
        </w:r>
        <w:r>
          <w:rPr>
            <w:webHidden/>
          </w:rPr>
          <w:fldChar w:fldCharType="begin"/>
        </w:r>
        <w:r>
          <w:rPr>
            <w:webHidden/>
          </w:rPr>
          <w:instrText xml:space="preserve"> PAGEREF _Toc232589632 \h </w:instrText>
        </w:r>
        <w:r>
          <w:rPr>
            <w:webHidden/>
          </w:rPr>
        </w:r>
        <w:r>
          <w:rPr>
            <w:webHidden/>
          </w:rPr>
          <w:fldChar w:fldCharType="separate"/>
        </w:r>
        <w:r>
          <w:rPr>
            <w:webHidden/>
          </w:rPr>
          <w:t>107</w:t>
        </w:r>
        <w:r>
          <w:rPr>
            <w:webHidden/>
          </w:rPr>
          <w:fldChar w:fldCharType="end"/>
        </w:r>
      </w:hyperlink>
    </w:p>
    <w:p w14:paraId="563E858B" w14:textId="26A7DF6D" w:rsidR="006B5E72" w:rsidRDefault="006B5E72">
      <w:pPr>
        <w:pStyle w:val="TableofFigures"/>
        <w:rPr>
          <w:rFonts w:asciiTheme="minorHAnsi" w:eastAsiaTheme="minorEastAsia" w:hAnsiTheme="minorHAnsi"/>
          <w:sz w:val="24"/>
          <w:lang w:eastAsia="en-AU"/>
        </w:rPr>
      </w:pPr>
      <w:hyperlink w:anchor="_Toc232589633" w:history="1">
        <w:r w:rsidRPr="00C93B5A">
          <w:rPr>
            <w:rStyle w:val="Hyperlink"/>
          </w:rPr>
          <w:t>Table 38: Diquat – buffer zones for boom sprayers</w:t>
        </w:r>
        <w:r>
          <w:rPr>
            <w:webHidden/>
          </w:rPr>
          <w:tab/>
        </w:r>
        <w:r>
          <w:rPr>
            <w:webHidden/>
          </w:rPr>
          <w:fldChar w:fldCharType="begin"/>
        </w:r>
        <w:r>
          <w:rPr>
            <w:webHidden/>
          </w:rPr>
          <w:instrText xml:space="preserve"> PAGEREF _Toc232589633 \h </w:instrText>
        </w:r>
        <w:r>
          <w:rPr>
            <w:webHidden/>
          </w:rPr>
        </w:r>
        <w:r>
          <w:rPr>
            <w:webHidden/>
          </w:rPr>
          <w:fldChar w:fldCharType="separate"/>
        </w:r>
        <w:r>
          <w:rPr>
            <w:webHidden/>
          </w:rPr>
          <w:t>108</w:t>
        </w:r>
        <w:r>
          <w:rPr>
            <w:webHidden/>
          </w:rPr>
          <w:fldChar w:fldCharType="end"/>
        </w:r>
      </w:hyperlink>
    </w:p>
    <w:p w14:paraId="3796148A" w14:textId="71FDBD0F" w:rsidR="006B5E72" w:rsidRDefault="006B5E72">
      <w:pPr>
        <w:pStyle w:val="TableofFigures"/>
        <w:rPr>
          <w:rFonts w:asciiTheme="minorHAnsi" w:eastAsiaTheme="minorEastAsia" w:hAnsiTheme="minorHAnsi"/>
          <w:sz w:val="24"/>
          <w:lang w:eastAsia="en-AU"/>
        </w:rPr>
      </w:pPr>
      <w:hyperlink w:anchor="_Toc232589634" w:history="1">
        <w:r w:rsidRPr="00C93B5A">
          <w:rPr>
            <w:rStyle w:val="Hyperlink"/>
          </w:rPr>
          <w:t>Table 39: Diquat – buffer zones for aircraft (metres; MEDIUM droplet size)</w:t>
        </w:r>
        <w:r>
          <w:rPr>
            <w:webHidden/>
          </w:rPr>
          <w:tab/>
        </w:r>
        <w:r>
          <w:rPr>
            <w:webHidden/>
          </w:rPr>
          <w:fldChar w:fldCharType="begin"/>
        </w:r>
        <w:r>
          <w:rPr>
            <w:webHidden/>
          </w:rPr>
          <w:instrText xml:space="preserve"> PAGEREF _Toc232589634 \h </w:instrText>
        </w:r>
        <w:r>
          <w:rPr>
            <w:webHidden/>
          </w:rPr>
        </w:r>
        <w:r>
          <w:rPr>
            <w:webHidden/>
          </w:rPr>
          <w:fldChar w:fldCharType="separate"/>
        </w:r>
        <w:r>
          <w:rPr>
            <w:webHidden/>
          </w:rPr>
          <w:t>109</w:t>
        </w:r>
        <w:r>
          <w:rPr>
            <w:webHidden/>
          </w:rPr>
          <w:fldChar w:fldCharType="end"/>
        </w:r>
      </w:hyperlink>
    </w:p>
    <w:p w14:paraId="139ED351" w14:textId="07F4E136" w:rsidR="006B5E72" w:rsidRDefault="006B5E72">
      <w:pPr>
        <w:pStyle w:val="TableofFigures"/>
        <w:rPr>
          <w:rFonts w:asciiTheme="minorHAnsi" w:eastAsiaTheme="minorEastAsia" w:hAnsiTheme="minorHAnsi"/>
          <w:sz w:val="24"/>
          <w:lang w:eastAsia="en-AU"/>
        </w:rPr>
      </w:pPr>
      <w:hyperlink w:anchor="_Toc232589635" w:history="1">
        <w:r w:rsidRPr="00C93B5A">
          <w:rPr>
            <w:rStyle w:val="Hyperlink"/>
          </w:rPr>
          <w:t>Table 40: Risk assessment outcomes for products containing diquat</w:t>
        </w:r>
        <w:r>
          <w:rPr>
            <w:webHidden/>
          </w:rPr>
          <w:tab/>
        </w:r>
        <w:r>
          <w:rPr>
            <w:webHidden/>
          </w:rPr>
          <w:fldChar w:fldCharType="begin"/>
        </w:r>
        <w:r>
          <w:rPr>
            <w:webHidden/>
          </w:rPr>
          <w:instrText xml:space="preserve"> PAGEREF _Toc232589635 \h </w:instrText>
        </w:r>
        <w:r>
          <w:rPr>
            <w:webHidden/>
          </w:rPr>
        </w:r>
        <w:r>
          <w:rPr>
            <w:webHidden/>
          </w:rPr>
          <w:fldChar w:fldCharType="separate"/>
        </w:r>
        <w:r>
          <w:rPr>
            <w:webHidden/>
          </w:rPr>
          <w:t>113</w:t>
        </w:r>
        <w:r>
          <w:rPr>
            <w:webHidden/>
          </w:rPr>
          <w:fldChar w:fldCharType="end"/>
        </w:r>
      </w:hyperlink>
    </w:p>
    <w:p w14:paraId="4F1D9474" w14:textId="732CCF57" w:rsidR="006B5E72" w:rsidRDefault="006B5E72">
      <w:pPr>
        <w:pStyle w:val="TableofFigures"/>
        <w:rPr>
          <w:rFonts w:asciiTheme="minorHAnsi" w:eastAsiaTheme="minorEastAsia" w:hAnsiTheme="minorHAnsi"/>
          <w:sz w:val="24"/>
          <w:lang w:eastAsia="en-AU"/>
        </w:rPr>
      </w:pPr>
      <w:hyperlink w:anchor="_Toc232589636" w:history="1">
        <w:r w:rsidRPr="00C93B5A">
          <w:rPr>
            <w:rStyle w:val="Hyperlink"/>
          </w:rPr>
          <w:t>Table 41:</w:t>
        </w:r>
        <w:r>
          <w:rPr>
            <w:rFonts w:asciiTheme="minorHAnsi" w:eastAsiaTheme="minorEastAsia" w:hAnsiTheme="minorHAnsi"/>
            <w:sz w:val="24"/>
            <w:lang w:eastAsia="en-AU"/>
          </w:rPr>
          <w:tab/>
        </w:r>
        <w:r w:rsidRPr="00C93B5A">
          <w:rPr>
            <w:rStyle w:val="Hyperlink"/>
          </w:rPr>
          <w:t>Diquat – dissipation in animal food items</w:t>
        </w:r>
        <w:r>
          <w:rPr>
            <w:webHidden/>
          </w:rPr>
          <w:tab/>
        </w:r>
        <w:r>
          <w:rPr>
            <w:webHidden/>
          </w:rPr>
          <w:fldChar w:fldCharType="begin"/>
        </w:r>
        <w:r>
          <w:rPr>
            <w:webHidden/>
          </w:rPr>
          <w:instrText xml:space="preserve"> PAGEREF _Toc232589636 \h </w:instrText>
        </w:r>
        <w:r>
          <w:rPr>
            <w:webHidden/>
          </w:rPr>
        </w:r>
        <w:r>
          <w:rPr>
            <w:webHidden/>
          </w:rPr>
          <w:fldChar w:fldCharType="separate"/>
        </w:r>
        <w:r>
          <w:rPr>
            <w:webHidden/>
          </w:rPr>
          <w:t>122</w:t>
        </w:r>
        <w:r>
          <w:rPr>
            <w:webHidden/>
          </w:rPr>
          <w:fldChar w:fldCharType="end"/>
        </w:r>
      </w:hyperlink>
    </w:p>
    <w:p w14:paraId="3CD511AA" w14:textId="44438B05" w:rsidR="006B5E72" w:rsidRDefault="006B5E72">
      <w:pPr>
        <w:pStyle w:val="TableofFigures"/>
        <w:rPr>
          <w:rFonts w:asciiTheme="minorHAnsi" w:eastAsiaTheme="minorEastAsia" w:hAnsiTheme="minorHAnsi"/>
          <w:sz w:val="24"/>
          <w:lang w:eastAsia="en-AU"/>
        </w:rPr>
      </w:pPr>
      <w:hyperlink w:anchor="_Toc232589637" w:history="1">
        <w:r w:rsidRPr="00C93B5A">
          <w:rPr>
            <w:rStyle w:val="Hyperlink"/>
          </w:rPr>
          <w:t>Table 42: Diquat – fate and behaviour in soil</w:t>
        </w:r>
        <w:r>
          <w:rPr>
            <w:webHidden/>
          </w:rPr>
          <w:tab/>
        </w:r>
        <w:r>
          <w:rPr>
            <w:webHidden/>
          </w:rPr>
          <w:fldChar w:fldCharType="begin"/>
        </w:r>
        <w:r>
          <w:rPr>
            <w:webHidden/>
          </w:rPr>
          <w:instrText xml:space="preserve"> PAGEREF _Toc232589637 \h </w:instrText>
        </w:r>
        <w:r>
          <w:rPr>
            <w:webHidden/>
          </w:rPr>
        </w:r>
        <w:r>
          <w:rPr>
            <w:webHidden/>
          </w:rPr>
          <w:fldChar w:fldCharType="separate"/>
        </w:r>
        <w:r>
          <w:rPr>
            <w:webHidden/>
          </w:rPr>
          <w:t>122</w:t>
        </w:r>
        <w:r>
          <w:rPr>
            <w:webHidden/>
          </w:rPr>
          <w:fldChar w:fldCharType="end"/>
        </w:r>
      </w:hyperlink>
    </w:p>
    <w:p w14:paraId="55137355" w14:textId="1E0C66DF" w:rsidR="006B5E72" w:rsidRDefault="006B5E72">
      <w:pPr>
        <w:pStyle w:val="TableofFigures"/>
        <w:rPr>
          <w:rFonts w:asciiTheme="minorHAnsi" w:eastAsiaTheme="minorEastAsia" w:hAnsiTheme="minorHAnsi"/>
          <w:sz w:val="24"/>
          <w:lang w:eastAsia="en-AU"/>
        </w:rPr>
      </w:pPr>
      <w:hyperlink w:anchor="_Toc232589638" w:history="1">
        <w:r w:rsidRPr="00C93B5A">
          <w:rPr>
            <w:rStyle w:val="Hyperlink"/>
          </w:rPr>
          <w:t>Table 43: Diquat – fate and behaviour in water and sediment</w:t>
        </w:r>
        <w:r>
          <w:rPr>
            <w:webHidden/>
          </w:rPr>
          <w:tab/>
        </w:r>
        <w:r>
          <w:rPr>
            <w:webHidden/>
          </w:rPr>
          <w:fldChar w:fldCharType="begin"/>
        </w:r>
        <w:r>
          <w:rPr>
            <w:webHidden/>
          </w:rPr>
          <w:instrText xml:space="preserve"> PAGEREF _Toc232589638 \h </w:instrText>
        </w:r>
        <w:r>
          <w:rPr>
            <w:webHidden/>
          </w:rPr>
        </w:r>
        <w:r>
          <w:rPr>
            <w:webHidden/>
          </w:rPr>
          <w:fldChar w:fldCharType="separate"/>
        </w:r>
        <w:r>
          <w:rPr>
            <w:webHidden/>
          </w:rPr>
          <w:t>124</w:t>
        </w:r>
        <w:r>
          <w:rPr>
            <w:webHidden/>
          </w:rPr>
          <w:fldChar w:fldCharType="end"/>
        </w:r>
      </w:hyperlink>
    </w:p>
    <w:p w14:paraId="663C7624" w14:textId="2EC5AD68" w:rsidR="006B5E72" w:rsidRDefault="006B5E72">
      <w:pPr>
        <w:pStyle w:val="TableofFigures"/>
        <w:rPr>
          <w:rFonts w:asciiTheme="minorHAnsi" w:eastAsiaTheme="minorEastAsia" w:hAnsiTheme="minorHAnsi"/>
          <w:sz w:val="24"/>
          <w:lang w:eastAsia="en-AU"/>
        </w:rPr>
      </w:pPr>
      <w:hyperlink w:anchor="_Toc232589639" w:history="1">
        <w:r w:rsidRPr="00C93B5A">
          <w:rPr>
            <w:rStyle w:val="Hyperlink"/>
          </w:rPr>
          <w:t>Table 44: Diquat – fate and behaviour in air</w:t>
        </w:r>
        <w:r>
          <w:rPr>
            <w:webHidden/>
          </w:rPr>
          <w:tab/>
        </w:r>
        <w:r>
          <w:rPr>
            <w:webHidden/>
          </w:rPr>
          <w:fldChar w:fldCharType="begin"/>
        </w:r>
        <w:r>
          <w:rPr>
            <w:webHidden/>
          </w:rPr>
          <w:instrText xml:space="preserve"> PAGEREF _Toc232589639 \h </w:instrText>
        </w:r>
        <w:r>
          <w:rPr>
            <w:webHidden/>
          </w:rPr>
        </w:r>
        <w:r>
          <w:rPr>
            <w:webHidden/>
          </w:rPr>
          <w:fldChar w:fldCharType="separate"/>
        </w:r>
        <w:r>
          <w:rPr>
            <w:webHidden/>
          </w:rPr>
          <w:t>126</w:t>
        </w:r>
        <w:r>
          <w:rPr>
            <w:webHidden/>
          </w:rPr>
          <w:fldChar w:fldCharType="end"/>
        </w:r>
      </w:hyperlink>
    </w:p>
    <w:p w14:paraId="388D435B" w14:textId="69E0CD6E" w:rsidR="006B5E72" w:rsidRDefault="006B5E72">
      <w:pPr>
        <w:pStyle w:val="TableofFigures"/>
        <w:rPr>
          <w:rFonts w:asciiTheme="minorHAnsi" w:eastAsiaTheme="minorEastAsia" w:hAnsiTheme="minorHAnsi"/>
          <w:sz w:val="24"/>
          <w:lang w:eastAsia="en-AU"/>
        </w:rPr>
      </w:pPr>
      <w:hyperlink w:anchor="_Toc232589640" w:history="1">
        <w:r w:rsidRPr="00C93B5A">
          <w:rPr>
            <w:rStyle w:val="Hyperlink"/>
          </w:rPr>
          <w:t>Table 45: Diquat – monitoring data</w:t>
        </w:r>
        <w:r>
          <w:rPr>
            <w:webHidden/>
          </w:rPr>
          <w:tab/>
        </w:r>
        <w:r>
          <w:rPr>
            <w:webHidden/>
          </w:rPr>
          <w:fldChar w:fldCharType="begin"/>
        </w:r>
        <w:r>
          <w:rPr>
            <w:webHidden/>
          </w:rPr>
          <w:instrText xml:space="preserve"> PAGEREF _Toc232589640 \h </w:instrText>
        </w:r>
        <w:r>
          <w:rPr>
            <w:webHidden/>
          </w:rPr>
        </w:r>
        <w:r>
          <w:rPr>
            <w:webHidden/>
          </w:rPr>
          <w:fldChar w:fldCharType="separate"/>
        </w:r>
        <w:r>
          <w:rPr>
            <w:webHidden/>
          </w:rPr>
          <w:t>126</w:t>
        </w:r>
        <w:r>
          <w:rPr>
            <w:webHidden/>
          </w:rPr>
          <w:fldChar w:fldCharType="end"/>
        </w:r>
      </w:hyperlink>
    </w:p>
    <w:p w14:paraId="1E5DD2B3" w14:textId="60FF9E72" w:rsidR="006B5E72" w:rsidRDefault="006B5E72">
      <w:pPr>
        <w:pStyle w:val="TableofFigures"/>
        <w:rPr>
          <w:rFonts w:asciiTheme="minorHAnsi" w:eastAsiaTheme="minorEastAsia" w:hAnsiTheme="minorHAnsi"/>
          <w:sz w:val="24"/>
          <w:lang w:eastAsia="en-AU"/>
        </w:rPr>
      </w:pPr>
      <w:hyperlink w:anchor="_Toc232589641" w:history="1">
        <w:r w:rsidRPr="00C93B5A">
          <w:rPr>
            <w:rStyle w:val="Hyperlink"/>
          </w:rPr>
          <w:t>Table 46: Diquat – effects on terrestrial vertebrates</w:t>
        </w:r>
        <w:r>
          <w:rPr>
            <w:webHidden/>
          </w:rPr>
          <w:tab/>
        </w:r>
        <w:r>
          <w:rPr>
            <w:webHidden/>
          </w:rPr>
          <w:fldChar w:fldCharType="begin"/>
        </w:r>
        <w:r>
          <w:rPr>
            <w:webHidden/>
          </w:rPr>
          <w:instrText xml:space="preserve"> PAGEREF _Toc232589641 \h </w:instrText>
        </w:r>
        <w:r>
          <w:rPr>
            <w:webHidden/>
          </w:rPr>
        </w:r>
        <w:r>
          <w:rPr>
            <w:webHidden/>
          </w:rPr>
          <w:fldChar w:fldCharType="separate"/>
        </w:r>
        <w:r>
          <w:rPr>
            <w:webHidden/>
          </w:rPr>
          <w:t>127</w:t>
        </w:r>
        <w:r>
          <w:rPr>
            <w:webHidden/>
          </w:rPr>
          <w:fldChar w:fldCharType="end"/>
        </w:r>
      </w:hyperlink>
    </w:p>
    <w:p w14:paraId="1068F24D" w14:textId="2B36545A" w:rsidR="006B5E72" w:rsidRDefault="006B5E72">
      <w:pPr>
        <w:pStyle w:val="TableofFigures"/>
        <w:rPr>
          <w:rFonts w:asciiTheme="minorHAnsi" w:eastAsiaTheme="minorEastAsia" w:hAnsiTheme="minorHAnsi"/>
          <w:sz w:val="24"/>
          <w:lang w:eastAsia="en-AU"/>
        </w:rPr>
      </w:pPr>
      <w:hyperlink w:anchor="_Toc232589642" w:history="1">
        <w:r w:rsidRPr="00C93B5A">
          <w:rPr>
            <w:rStyle w:val="Hyperlink"/>
          </w:rPr>
          <w:t>Table 47: Diquat – laboratory studies on aquatic species</w:t>
        </w:r>
        <w:r>
          <w:rPr>
            <w:webHidden/>
          </w:rPr>
          <w:tab/>
        </w:r>
        <w:r>
          <w:rPr>
            <w:webHidden/>
          </w:rPr>
          <w:fldChar w:fldCharType="begin"/>
        </w:r>
        <w:r>
          <w:rPr>
            <w:webHidden/>
          </w:rPr>
          <w:instrText xml:space="preserve"> PAGEREF _Toc232589642 \h </w:instrText>
        </w:r>
        <w:r>
          <w:rPr>
            <w:webHidden/>
          </w:rPr>
        </w:r>
        <w:r>
          <w:rPr>
            <w:webHidden/>
          </w:rPr>
          <w:fldChar w:fldCharType="separate"/>
        </w:r>
        <w:r>
          <w:rPr>
            <w:webHidden/>
          </w:rPr>
          <w:t>128</w:t>
        </w:r>
        <w:r>
          <w:rPr>
            <w:webHidden/>
          </w:rPr>
          <w:fldChar w:fldCharType="end"/>
        </w:r>
      </w:hyperlink>
    </w:p>
    <w:p w14:paraId="25241C36" w14:textId="10E659AC" w:rsidR="006B5E72" w:rsidRDefault="006B5E72">
      <w:pPr>
        <w:pStyle w:val="TableofFigures"/>
        <w:rPr>
          <w:rFonts w:asciiTheme="minorHAnsi" w:eastAsiaTheme="minorEastAsia" w:hAnsiTheme="minorHAnsi"/>
          <w:sz w:val="24"/>
          <w:lang w:eastAsia="en-AU"/>
        </w:rPr>
      </w:pPr>
      <w:hyperlink w:anchor="_Toc232589643" w:history="1">
        <w:r w:rsidRPr="00C93B5A">
          <w:rPr>
            <w:rStyle w:val="Hyperlink"/>
          </w:rPr>
          <w:t>Table 48: Diquat – microcosm studies on aquatic species</w:t>
        </w:r>
        <w:r>
          <w:rPr>
            <w:webHidden/>
          </w:rPr>
          <w:tab/>
        </w:r>
        <w:r>
          <w:rPr>
            <w:webHidden/>
          </w:rPr>
          <w:fldChar w:fldCharType="begin"/>
        </w:r>
        <w:r>
          <w:rPr>
            <w:webHidden/>
          </w:rPr>
          <w:instrText xml:space="preserve"> PAGEREF _Toc232589643 \h </w:instrText>
        </w:r>
        <w:r>
          <w:rPr>
            <w:webHidden/>
          </w:rPr>
        </w:r>
        <w:r>
          <w:rPr>
            <w:webHidden/>
          </w:rPr>
          <w:fldChar w:fldCharType="separate"/>
        </w:r>
        <w:r>
          <w:rPr>
            <w:webHidden/>
          </w:rPr>
          <w:t>129</w:t>
        </w:r>
        <w:r>
          <w:rPr>
            <w:webHidden/>
          </w:rPr>
          <w:fldChar w:fldCharType="end"/>
        </w:r>
      </w:hyperlink>
    </w:p>
    <w:p w14:paraId="755B0BD8" w14:textId="689311F8" w:rsidR="006B5E72" w:rsidRDefault="006B5E72">
      <w:pPr>
        <w:pStyle w:val="TableofFigures"/>
        <w:rPr>
          <w:rFonts w:asciiTheme="minorHAnsi" w:eastAsiaTheme="minorEastAsia" w:hAnsiTheme="minorHAnsi"/>
          <w:sz w:val="24"/>
          <w:lang w:eastAsia="en-AU"/>
        </w:rPr>
      </w:pPr>
      <w:hyperlink w:anchor="_Toc232589644" w:history="1">
        <w:r w:rsidRPr="00C93B5A">
          <w:rPr>
            <w:rStyle w:val="Hyperlink"/>
          </w:rPr>
          <w:t>Table 49: Diquat – effects on bees</w:t>
        </w:r>
        <w:r>
          <w:rPr>
            <w:webHidden/>
          </w:rPr>
          <w:tab/>
        </w:r>
        <w:r>
          <w:rPr>
            <w:webHidden/>
          </w:rPr>
          <w:fldChar w:fldCharType="begin"/>
        </w:r>
        <w:r>
          <w:rPr>
            <w:webHidden/>
          </w:rPr>
          <w:instrText xml:space="preserve"> PAGEREF _Toc232589644 \h </w:instrText>
        </w:r>
        <w:r>
          <w:rPr>
            <w:webHidden/>
          </w:rPr>
        </w:r>
        <w:r>
          <w:rPr>
            <w:webHidden/>
          </w:rPr>
          <w:fldChar w:fldCharType="separate"/>
        </w:r>
        <w:r>
          <w:rPr>
            <w:webHidden/>
          </w:rPr>
          <w:t>130</w:t>
        </w:r>
        <w:r>
          <w:rPr>
            <w:webHidden/>
          </w:rPr>
          <w:fldChar w:fldCharType="end"/>
        </w:r>
      </w:hyperlink>
    </w:p>
    <w:p w14:paraId="40E26191" w14:textId="4B0BE1DF" w:rsidR="006B5E72" w:rsidRDefault="006B5E72">
      <w:pPr>
        <w:pStyle w:val="TableofFigures"/>
        <w:rPr>
          <w:rFonts w:asciiTheme="minorHAnsi" w:eastAsiaTheme="minorEastAsia" w:hAnsiTheme="minorHAnsi"/>
          <w:sz w:val="24"/>
          <w:lang w:eastAsia="en-AU"/>
        </w:rPr>
      </w:pPr>
      <w:hyperlink w:anchor="_Toc232589645" w:history="1">
        <w:r w:rsidRPr="00C93B5A">
          <w:rPr>
            <w:rStyle w:val="Hyperlink"/>
          </w:rPr>
          <w:t>Table 50: Diquat – effects on other non-target arthropods</w:t>
        </w:r>
        <w:r>
          <w:rPr>
            <w:webHidden/>
          </w:rPr>
          <w:tab/>
        </w:r>
        <w:r>
          <w:rPr>
            <w:webHidden/>
          </w:rPr>
          <w:fldChar w:fldCharType="begin"/>
        </w:r>
        <w:r>
          <w:rPr>
            <w:webHidden/>
          </w:rPr>
          <w:instrText xml:space="preserve"> PAGEREF _Toc232589645 \h </w:instrText>
        </w:r>
        <w:r>
          <w:rPr>
            <w:webHidden/>
          </w:rPr>
        </w:r>
        <w:r>
          <w:rPr>
            <w:webHidden/>
          </w:rPr>
          <w:fldChar w:fldCharType="separate"/>
        </w:r>
        <w:r>
          <w:rPr>
            <w:webHidden/>
          </w:rPr>
          <w:t>130</w:t>
        </w:r>
        <w:r>
          <w:rPr>
            <w:webHidden/>
          </w:rPr>
          <w:fldChar w:fldCharType="end"/>
        </w:r>
      </w:hyperlink>
    </w:p>
    <w:p w14:paraId="47C5DA82" w14:textId="673A743F" w:rsidR="006B5E72" w:rsidRDefault="006B5E72">
      <w:pPr>
        <w:pStyle w:val="TableofFigures"/>
        <w:rPr>
          <w:rFonts w:asciiTheme="minorHAnsi" w:eastAsiaTheme="minorEastAsia" w:hAnsiTheme="minorHAnsi"/>
          <w:sz w:val="24"/>
          <w:lang w:eastAsia="en-AU"/>
        </w:rPr>
      </w:pPr>
      <w:hyperlink w:anchor="_Toc232589646" w:history="1">
        <w:r w:rsidRPr="00C93B5A">
          <w:rPr>
            <w:rStyle w:val="Hyperlink"/>
          </w:rPr>
          <w:t>Table 51: Diquat – laboratory studies on soil organisms</w:t>
        </w:r>
        <w:r>
          <w:rPr>
            <w:webHidden/>
          </w:rPr>
          <w:tab/>
        </w:r>
        <w:r>
          <w:rPr>
            <w:webHidden/>
          </w:rPr>
          <w:fldChar w:fldCharType="begin"/>
        </w:r>
        <w:r>
          <w:rPr>
            <w:webHidden/>
          </w:rPr>
          <w:instrText xml:space="preserve"> PAGEREF _Toc232589646 \h </w:instrText>
        </w:r>
        <w:r>
          <w:rPr>
            <w:webHidden/>
          </w:rPr>
        </w:r>
        <w:r>
          <w:rPr>
            <w:webHidden/>
          </w:rPr>
          <w:fldChar w:fldCharType="separate"/>
        </w:r>
        <w:r>
          <w:rPr>
            <w:webHidden/>
          </w:rPr>
          <w:t>130</w:t>
        </w:r>
        <w:r>
          <w:rPr>
            <w:webHidden/>
          </w:rPr>
          <w:fldChar w:fldCharType="end"/>
        </w:r>
      </w:hyperlink>
    </w:p>
    <w:p w14:paraId="0C5C771C" w14:textId="06F6AB7F" w:rsidR="006B5E72" w:rsidRDefault="006B5E72">
      <w:pPr>
        <w:pStyle w:val="TableofFigures"/>
        <w:rPr>
          <w:rFonts w:asciiTheme="minorHAnsi" w:eastAsiaTheme="minorEastAsia" w:hAnsiTheme="minorHAnsi"/>
          <w:sz w:val="24"/>
          <w:lang w:eastAsia="en-AU"/>
        </w:rPr>
      </w:pPr>
      <w:hyperlink w:anchor="_Toc232589647" w:history="1">
        <w:r w:rsidRPr="00C93B5A">
          <w:rPr>
            <w:rStyle w:val="Hyperlink"/>
          </w:rPr>
          <w:t>Table 52: Diquat – field studies on soil organisms</w:t>
        </w:r>
        <w:r>
          <w:rPr>
            <w:webHidden/>
          </w:rPr>
          <w:tab/>
        </w:r>
        <w:r>
          <w:rPr>
            <w:webHidden/>
          </w:rPr>
          <w:fldChar w:fldCharType="begin"/>
        </w:r>
        <w:r>
          <w:rPr>
            <w:webHidden/>
          </w:rPr>
          <w:instrText xml:space="preserve"> PAGEREF _Toc232589647 \h </w:instrText>
        </w:r>
        <w:r>
          <w:rPr>
            <w:webHidden/>
          </w:rPr>
        </w:r>
        <w:r>
          <w:rPr>
            <w:webHidden/>
          </w:rPr>
          <w:fldChar w:fldCharType="separate"/>
        </w:r>
        <w:r>
          <w:rPr>
            <w:webHidden/>
          </w:rPr>
          <w:t>131</w:t>
        </w:r>
        <w:r>
          <w:rPr>
            <w:webHidden/>
          </w:rPr>
          <w:fldChar w:fldCharType="end"/>
        </w:r>
      </w:hyperlink>
    </w:p>
    <w:p w14:paraId="52522465" w14:textId="566972E9" w:rsidR="006B5E72" w:rsidRDefault="006B5E72">
      <w:pPr>
        <w:pStyle w:val="TableofFigures"/>
        <w:rPr>
          <w:rFonts w:asciiTheme="minorHAnsi" w:eastAsiaTheme="minorEastAsia" w:hAnsiTheme="minorHAnsi"/>
          <w:sz w:val="24"/>
          <w:lang w:eastAsia="en-AU"/>
        </w:rPr>
      </w:pPr>
      <w:hyperlink w:anchor="_Toc232589648" w:history="1">
        <w:r w:rsidRPr="00C93B5A">
          <w:rPr>
            <w:rStyle w:val="Hyperlink"/>
          </w:rPr>
          <w:t>Table 53: Diquat – laboratory studies on non-target terrestrial plants</w:t>
        </w:r>
        <w:r>
          <w:rPr>
            <w:webHidden/>
          </w:rPr>
          <w:tab/>
        </w:r>
        <w:r>
          <w:rPr>
            <w:webHidden/>
          </w:rPr>
          <w:fldChar w:fldCharType="begin"/>
        </w:r>
        <w:r>
          <w:rPr>
            <w:webHidden/>
          </w:rPr>
          <w:instrText xml:space="preserve"> PAGEREF _Toc232589648 \h </w:instrText>
        </w:r>
        <w:r>
          <w:rPr>
            <w:webHidden/>
          </w:rPr>
        </w:r>
        <w:r>
          <w:rPr>
            <w:webHidden/>
          </w:rPr>
          <w:fldChar w:fldCharType="separate"/>
        </w:r>
        <w:r>
          <w:rPr>
            <w:webHidden/>
          </w:rPr>
          <w:t>131</w:t>
        </w:r>
        <w:r>
          <w:rPr>
            <w:webHidden/>
          </w:rPr>
          <w:fldChar w:fldCharType="end"/>
        </w:r>
      </w:hyperlink>
    </w:p>
    <w:p w14:paraId="344B0B83" w14:textId="53CDCDFA" w:rsidR="006B5E72" w:rsidRDefault="006B5E72">
      <w:pPr>
        <w:pStyle w:val="TableofFigures"/>
        <w:rPr>
          <w:rFonts w:asciiTheme="minorHAnsi" w:eastAsiaTheme="minorEastAsia" w:hAnsiTheme="minorHAnsi"/>
          <w:sz w:val="24"/>
          <w:lang w:eastAsia="en-AU"/>
        </w:rPr>
      </w:pPr>
      <w:hyperlink w:anchor="_Toc232589649" w:history="1">
        <w:r w:rsidRPr="00C93B5A">
          <w:rPr>
            <w:rStyle w:val="Hyperlink"/>
          </w:rPr>
          <w:t>Table 54: Diquat – field studies on non-target terrestrial plants (post-emergent exposure)</w:t>
        </w:r>
        <w:r>
          <w:rPr>
            <w:webHidden/>
          </w:rPr>
          <w:tab/>
        </w:r>
        <w:r>
          <w:rPr>
            <w:webHidden/>
          </w:rPr>
          <w:fldChar w:fldCharType="begin"/>
        </w:r>
        <w:r>
          <w:rPr>
            <w:webHidden/>
          </w:rPr>
          <w:instrText xml:space="preserve"> PAGEREF _Toc232589649 \h </w:instrText>
        </w:r>
        <w:r>
          <w:rPr>
            <w:webHidden/>
          </w:rPr>
        </w:r>
        <w:r>
          <w:rPr>
            <w:webHidden/>
          </w:rPr>
          <w:fldChar w:fldCharType="separate"/>
        </w:r>
        <w:r>
          <w:rPr>
            <w:webHidden/>
          </w:rPr>
          <w:t>133</w:t>
        </w:r>
        <w:r>
          <w:rPr>
            <w:webHidden/>
          </w:rPr>
          <w:fldChar w:fldCharType="end"/>
        </w:r>
      </w:hyperlink>
    </w:p>
    <w:p w14:paraId="3E056BBE" w14:textId="22C0BB24" w:rsidR="006B5E72" w:rsidRDefault="006B5E72">
      <w:pPr>
        <w:pStyle w:val="TableofFigures"/>
        <w:rPr>
          <w:rFonts w:asciiTheme="minorHAnsi" w:eastAsiaTheme="minorEastAsia" w:hAnsiTheme="minorHAnsi"/>
          <w:sz w:val="24"/>
          <w:lang w:eastAsia="en-AU"/>
        </w:rPr>
      </w:pPr>
      <w:hyperlink w:anchor="_Toc232589650" w:history="1">
        <w:r w:rsidRPr="00C93B5A">
          <w:rPr>
            <w:rStyle w:val="Hyperlink"/>
          </w:rPr>
          <w:t>Table 55: Seasonal exposure estimates for diquat in animal food items</w:t>
        </w:r>
        <w:r>
          <w:rPr>
            <w:webHidden/>
          </w:rPr>
          <w:tab/>
        </w:r>
        <w:r>
          <w:rPr>
            <w:webHidden/>
          </w:rPr>
          <w:fldChar w:fldCharType="begin"/>
        </w:r>
        <w:r>
          <w:rPr>
            <w:webHidden/>
          </w:rPr>
          <w:instrText xml:space="preserve"> PAGEREF _Toc232589650 \h </w:instrText>
        </w:r>
        <w:r>
          <w:rPr>
            <w:webHidden/>
          </w:rPr>
        </w:r>
        <w:r>
          <w:rPr>
            <w:webHidden/>
          </w:rPr>
          <w:fldChar w:fldCharType="separate"/>
        </w:r>
        <w:r>
          <w:rPr>
            <w:webHidden/>
          </w:rPr>
          <w:t>134</w:t>
        </w:r>
        <w:r>
          <w:rPr>
            <w:webHidden/>
          </w:rPr>
          <w:fldChar w:fldCharType="end"/>
        </w:r>
      </w:hyperlink>
    </w:p>
    <w:p w14:paraId="710338FA" w14:textId="399DD923" w:rsidR="006B5E72" w:rsidRDefault="006B5E72">
      <w:pPr>
        <w:pStyle w:val="TableofFigures"/>
        <w:rPr>
          <w:rFonts w:asciiTheme="minorHAnsi" w:eastAsiaTheme="minorEastAsia" w:hAnsiTheme="minorHAnsi"/>
          <w:sz w:val="24"/>
          <w:lang w:eastAsia="en-AU"/>
        </w:rPr>
      </w:pPr>
      <w:hyperlink w:anchor="_Toc232589651" w:history="1">
        <w:r w:rsidRPr="00C93B5A">
          <w:rPr>
            <w:rStyle w:val="Hyperlink"/>
          </w:rPr>
          <w:t>Table 56: Assessment of risks to wild mammals (acute RAL 21 mg/kg bw; chronic RAL 4.0 mg ac/kg bw/d)</w:t>
        </w:r>
        <w:r>
          <w:rPr>
            <w:webHidden/>
          </w:rPr>
          <w:tab/>
        </w:r>
        <w:r>
          <w:rPr>
            <w:webHidden/>
          </w:rPr>
          <w:fldChar w:fldCharType="begin"/>
        </w:r>
        <w:r>
          <w:rPr>
            <w:webHidden/>
          </w:rPr>
          <w:instrText xml:space="preserve"> PAGEREF _Toc232589651 \h </w:instrText>
        </w:r>
        <w:r>
          <w:rPr>
            <w:webHidden/>
          </w:rPr>
        </w:r>
        <w:r>
          <w:rPr>
            <w:webHidden/>
          </w:rPr>
          <w:fldChar w:fldCharType="separate"/>
        </w:r>
        <w:r>
          <w:rPr>
            <w:webHidden/>
          </w:rPr>
          <w:t>138</w:t>
        </w:r>
        <w:r>
          <w:rPr>
            <w:webHidden/>
          </w:rPr>
          <w:fldChar w:fldCharType="end"/>
        </w:r>
      </w:hyperlink>
    </w:p>
    <w:p w14:paraId="23ADD0AC" w14:textId="4BF942D0" w:rsidR="006B5E72" w:rsidRDefault="006B5E72">
      <w:pPr>
        <w:pStyle w:val="TableofFigures"/>
        <w:rPr>
          <w:rFonts w:asciiTheme="minorHAnsi" w:eastAsiaTheme="minorEastAsia" w:hAnsiTheme="minorHAnsi"/>
          <w:sz w:val="24"/>
          <w:lang w:eastAsia="en-AU"/>
        </w:rPr>
      </w:pPr>
      <w:hyperlink w:anchor="_Toc232589652" w:history="1">
        <w:r w:rsidRPr="00C93B5A">
          <w:rPr>
            <w:rStyle w:val="Hyperlink"/>
          </w:rPr>
          <w:t>Table 57: Assessment of risks to birds (acute RAL 7.0 mg/kg bw; chronic RAL 3.2 mg ac/kg bw/d)</w:t>
        </w:r>
        <w:r>
          <w:rPr>
            <w:webHidden/>
          </w:rPr>
          <w:tab/>
        </w:r>
        <w:r>
          <w:rPr>
            <w:webHidden/>
          </w:rPr>
          <w:fldChar w:fldCharType="begin"/>
        </w:r>
        <w:r>
          <w:rPr>
            <w:webHidden/>
          </w:rPr>
          <w:instrText xml:space="preserve"> PAGEREF _Toc232589652 \h </w:instrText>
        </w:r>
        <w:r>
          <w:rPr>
            <w:webHidden/>
          </w:rPr>
        </w:r>
        <w:r>
          <w:rPr>
            <w:webHidden/>
          </w:rPr>
          <w:fldChar w:fldCharType="separate"/>
        </w:r>
        <w:r>
          <w:rPr>
            <w:webHidden/>
          </w:rPr>
          <w:t>142</w:t>
        </w:r>
        <w:r>
          <w:rPr>
            <w:webHidden/>
          </w:rPr>
          <w:fldChar w:fldCharType="end"/>
        </w:r>
      </w:hyperlink>
    </w:p>
    <w:p w14:paraId="5E2B2814" w14:textId="6BCB7529" w:rsidR="006B5E72" w:rsidRDefault="006B5E72">
      <w:pPr>
        <w:pStyle w:val="TableofFigures"/>
        <w:rPr>
          <w:rFonts w:asciiTheme="minorHAnsi" w:eastAsiaTheme="minorEastAsia" w:hAnsiTheme="minorHAnsi"/>
          <w:sz w:val="24"/>
          <w:lang w:eastAsia="en-AU"/>
        </w:rPr>
      </w:pPr>
      <w:hyperlink w:anchor="_Toc232589653" w:history="1">
        <w:r w:rsidRPr="00C93B5A">
          <w:rPr>
            <w:rStyle w:val="Hyperlink"/>
          </w:rPr>
          <w:t>Table 58: Refined assessment of risks to wild mammals (acute RAL 21 mg/kg bw; chronic RAL 4.0 mg ac/kg bw/d)</w:t>
        </w:r>
        <w:r>
          <w:rPr>
            <w:webHidden/>
          </w:rPr>
          <w:tab/>
        </w:r>
        <w:r>
          <w:rPr>
            <w:webHidden/>
          </w:rPr>
          <w:fldChar w:fldCharType="begin"/>
        </w:r>
        <w:r>
          <w:rPr>
            <w:webHidden/>
          </w:rPr>
          <w:instrText xml:space="preserve"> PAGEREF _Toc232589653 \h </w:instrText>
        </w:r>
        <w:r>
          <w:rPr>
            <w:webHidden/>
          </w:rPr>
        </w:r>
        <w:r>
          <w:rPr>
            <w:webHidden/>
          </w:rPr>
          <w:fldChar w:fldCharType="separate"/>
        </w:r>
        <w:r>
          <w:rPr>
            <w:webHidden/>
          </w:rPr>
          <w:t>145</w:t>
        </w:r>
        <w:r>
          <w:rPr>
            <w:webHidden/>
          </w:rPr>
          <w:fldChar w:fldCharType="end"/>
        </w:r>
      </w:hyperlink>
    </w:p>
    <w:p w14:paraId="38AD800D" w14:textId="66DA55EB" w:rsidR="006B5E72" w:rsidRDefault="006B5E72">
      <w:pPr>
        <w:pStyle w:val="TableofFigures"/>
        <w:rPr>
          <w:rFonts w:asciiTheme="minorHAnsi" w:eastAsiaTheme="minorEastAsia" w:hAnsiTheme="minorHAnsi"/>
          <w:sz w:val="24"/>
          <w:lang w:eastAsia="en-AU"/>
        </w:rPr>
      </w:pPr>
      <w:hyperlink w:anchor="_Toc232589654" w:history="1">
        <w:r w:rsidRPr="00C93B5A">
          <w:rPr>
            <w:rStyle w:val="Hyperlink"/>
          </w:rPr>
          <w:t>Table 59: Refined assessment of risks to birds (acute RAL 7.0 mg/kg bw; chronic RAL 3.2 mg ac/kg bw/d)</w:t>
        </w:r>
        <w:r>
          <w:rPr>
            <w:webHidden/>
          </w:rPr>
          <w:tab/>
        </w:r>
        <w:r>
          <w:rPr>
            <w:webHidden/>
          </w:rPr>
          <w:fldChar w:fldCharType="begin"/>
        </w:r>
        <w:r>
          <w:rPr>
            <w:webHidden/>
          </w:rPr>
          <w:instrText xml:space="preserve"> PAGEREF _Toc232589654 \h </w:instrText>
        </w:r>
        <w:r>
          <w:rPr>
            <w:webHidden/>
          </w:rPr>
        </w:r>
        <w:r>
          <w:rPr>
            <w:webHidden/>
          </w:rPr>
          <w:fldChar w:fldCharType="separate"/>
        </w:r>
        <w:r>
          <w:rPr>
            <w:webHidden/>
          </w:rPr>
          <w:t>148</w:t>
        </w:r>
        <w:r>
          <w:rPr>
            <w:webHidden/>
          </w:rPr>
          <w:fldChar w:fldCharType="end"/>
        </w:r>
      </w:hyperlink>
    </w:p>
    <w:p w14:paraId="73164511" w14:textId="009CD57A" w:rsidR="006B5E72" w:rsidRDefault="006B5E72">
      <w:pPr>
        <w:pStyle w:val="TableofFigures"/>
        <w:rPr>
          <w:rFonts w:asciiTheme="minorHAnsi" w:eastAsiaTheme="minorEastAsia" w:hAnsiTheme="minorHAnsi"/>
          <w:sz w:val="24"/>
          <w:lang w:eastAsia="en-AU"/>
        </w:rPr>
      </w:pPr>
      <w:hyperlink w:anchor="_Toc232589655" w:history="1">
        <w:r w:rsidRPr="00C93B5A">
          <w:rPr>
            <w:rStyle w:val="Hyperlink"/>
          </w:rPr>
          <w:t>Table 60: Sources of uncertainty relevant to a weight of evidence argument</w:t>
        </w:r>
        <w:r>
          <w:rPr>
            <w:webHidden/>
          </w:rPr>
          <w:tab/>
        </w:r>
        <w:r>
          <w:rPr>
            <w:webHidden/>
          </w:rPr>
          <w:fldChar w:fldCharType="begin"/>
        </w:r>
        <w:r>
          <w:rPr>
            <w:webHidden/>
          </w:rPr>
          <w:instrText xml:space="preserve"> PAGEREF _Toc232589655 \h </w:instrText>
        </w:r>
        <w:r>
          <w:rPr>
            <w:webHidden/>
          </w:rPr>
        </w:r>
        <w:r>
          <w:rPr>
            <w:webHidden/>
          </w:rPr>
          <w:fldChar w:fldCharType="separate"/>
        </w:r>
        <w:r>
          <w:rPr>
            <w:webHidden/>
          </w:rPr>
          <w:t>153</w:t>
        </w:r>
        <w:r>
          <w:rPr>
            <w:webHidden/>
          </w:rPr>
          <w:fldChar w:fldCharType="end"/>
        </w:r>
      </w:hyperlink>
    </w:p>
    <w:p w14:paraId="38648EEB" w14:textId="3C01E794" w:rsidR="006B5E72" w:rsidRDefault="006B5E72">
      <w:pPr>
        <w:pStyle w:val="TableofFigures"/>
        <w:rPr>
          <w:rFonts w:asciiTheme="minorHAnsi" w:eastAsiaTheme="minorEastAsia" w:hAnsiTheme="minorHAnsi"/>
          <w:sz w:val="24"/>
          <w:lang w:eastAsia="en-AU"/>
        </w:rPr>
      </w:pPr>
      <w:hyperlink w:anchor="_Toc232589656" w:history="1">
        <w:r w:rsidRPr="00C93B5A">
          <w:rPr>
            <w:rStyle w:val="Hyperlink"/>
          </w:rPr>
          <w:t>Table 61: Risk assessment conclusions for terrestrial vertebrates</w:t>
        </w:r>
        <w:r>
          <w:rPr>
            <w:webHidden/>
          </w:rPr>
          <w:tab/>
        </w:r>
        <w:r>
          <w:rPr>
            <w:webHidden/>
          </w:rPr>
          <w:fldChar w:fldCharType="begin"/>
        </w:r>
        <w:r>
          <w:rPr>
            <w:webHidden/>
          </w:rPr>
          <w:instrText xml:space="preserve"> PAGEREF _Toc232589656 \h </w:instrText>
        </w:r>
        <w:r>
          <w:rPr>
            <w:webHidden/>
          </w:rPr>
        </w:r>
        <w:r>
          <w:rPr>
            <w:webHidden/>
          </w:rPr>
          <w:fldChar w:fldCharType="separate"/>
        </w:r>
        <w:r>
          <w:rPr>
            <w:webHidden/>
          </w:rPr>
          <w:t>163</w:t>
        </w:r>
        <w:r>
          <w:rPr>
            <w:webHidden/>
          </w:rPr>
          <w:fldChar w:fldCharType="end"/>
        </w:r>
      </w:hyperlink>
    </w:p>
    <w:p w14:paraId="642BE59F" w14:textId="04CB9D06" w:rsidR="002A3239" w:rsidRDefault="00B05454" w:rsidP="00B05454">
      <w:pPr>
        <w:pStyle w:val="NormalText"/>
        <w:rPr>
          <w:noProof/>
        </w:rPr>
        <w:sectPr w:rsidR="002A3239" w:rsidSect="009A2AA4">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28B7B36C" w14:textId="5E255280" w:rsidR="00091E19" w:rsidRPr="00305087" w:rsidRDefault="00091E19" w:rsidP="00305087">
      <w:pPr>
        <w:pStyle w:val="PreliminariesH1"/>
      </w:pPr>
      <w:bookmarkStart w:id="1" w:name="_Toc233038924"/>
      <w:r w:rsidRPr="00305087">
        <w:lastRenderedPageBreak/>
        <w:t>Preface</w:t>
      </w:r>
      <w:bookmarkEnd w:id="1"/>
    </w:p>
    <w:p w14:paraId="2A6B0476" w14:textId="0E35275D" w:rsidR="00091E19" w:rsidRPr="00091E19" w:rsidRDefault="00091E19" w:rsidP="00091E19">
      <w:pPr>
        <w:pStyle w:val="NormalText"/>
      </w:pPr>
      <w:r w:rsidRPr="00091E19">
        <w:t xml:space="preserve">The Australian Pesticides and Veterinary Medicines Authority (APVMA) is </w:t>
      </w:r>
      <w:r w:rsidR="00873C77">
        <w:t>the</w:t>
      </w:r>
      <w:r w:rsidR="00873C77" w:rsidRPr="00091E19">
        <w:t xml:space="preserve"> </w:t>
      </w:r>
      <w:r w:rsidRPr="00091E19">
        <w:t>independent statutory authority with responsibility for the regulation of agricultural and veterinary chemicals in Australia. Its statutory powers are provided in the Agricultural and Veterinary Chemicals Code (the</w:t>
      </w:r>
      <w:r w:rsidR="00873C77">
        <w:t xml:space="preserve"> Agvet</w:t>
      </w:r>
      <w:r w:rsidRPr="00091E19">
        <w:t xml:space="preserve"> Code), which is scheduled to the </w:t>
      </w:r>
      <w:r w:rsidRPr="00467453">
        <w:rPr>
          <w:i/>
          <w:iCs/>
        </w:rPr>
        <w:t>Agricultural and Veterinary Chemicals Code Act 1994</w:t>
      </w:r>
      <w:r w:rsidRPr="00091E19">
        <w:t>.</w:t>
      </w:r>
    </w:p>
    <w:p w14:paraId="474D15BD" w14:textId="77777777" w:rsidR="00091E19" w:rsidRPr="00305087" w:rsidRDefault="00091E19" w:rsidP="00305087">
      <w:pPr>
        <w:pStyle w:val="PreliminariesH2"/>
      </w:pPr>
      <w:r w:rsidRPr="00305087">
        <w:t>About this document</w:t>
      </w:r>
    </w:p>
    <w:p w14:paraId="7347D48A" w14:textId="77777777" w:rsidR="00091E19" w:rsidRDefault="00091E19" w:rsidP="00091E19">
      <w:pPr>
        <w:pStyle w:val="NormalText"/>
      </w:pPr>
      <w:r>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25B1AD04" w14:textId="04A2F124" w:rsidR="00091E19" w:rsidRDefault="00091E19" w:rsidP="00091E19">
      <w:pPr>
        <w:pStyle w:val="NormalText"/>
      </w:pPr>
      <w:r>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2C474819" w14:textId="68F82FC1" w:rsidR="00091E19" w:rsidRPr="00305087" w:rsidRDefault="00091E19" w:rsidP="00305087">
      <w:pPr>
        <w:pStyle w:val="Bullet1"/>
      </w:pPr>
      <w:r w:rsidRPr="00305087">
        <w:t>the toxicology of both the active constituent and product</w:t>
      </w:r>
    </w:p>
    <w:p w14:paraId="45A5B229" w14:textId="7B96C981" w:rsidR="00091E19" w:rsidRPr="00305087" w:rsidRDefault="00091E19" w:rsidP="00305087">
      <w:pPr>
        <w:pStyle w:val="Bullet1"/>
      </w:pPr>
      <w:r w:rsidRPr="00305087">
        <w:t>the residues and trade assessment</w:t>
      </w:r>
    </w:p>
    <w:p w14:paraId="00B0A8E3" w14:textId="3E444214" w:rsidR="00091E19" w:rsidRPr="00305087" w:rsidRDefault="00091E19" w:rsidP="00305087">
      <w:pPr>
        <w:pStyle w:val="Bullet1"/>
      </w:pPr>
      <w:r w:rsidRPr="00305087">
        <w:t>occupational exposure aspects</w:t>
      </w:r>
    </w:p>
    <w:p w14:paraId="144BC5B7" w14:textId="7A5DAA5F" w:rsidR="00091E19" w:rsidRPr="00305087" w:rsidRDefault="00091E19" w:rsidP="00305087">
      <w:pPr>
        <w:pStyle w:val="Bullet1"/>
      </w:pPr>
      <w:r w:rsidRPr="00305087">
        <w:t>environmental fate, toxicity, potential exposure and hazard</w:t>
      </w:r>
    </w:p>
    <w:p w14:paraId="39ECA844" w14:textId="42DA8E03" w:rsidR="00091E19" w:rsidRPr="00305087" w:rsidRDefault="00091E19" w:rsidP="00305087">
      <w:pPr>
        <w:pStyle w:val="Bullet1"/>
      </w:pPr>
      <w:r w:rsidRPr="00305087">
        <w:t>efficacy and target crop or animal safety</w:t>
      </w:r>
      <w:r w:rsidR="00467453" w:rsidRPr="00305087">
        <w:t>.</w:t>
      </w:r>
    </w:p>
    <w:p w14:paraId="4700132E" w14:textId="77777777" w:rsidR="00091E19" w:rsidRDefault="00091E19" w:rsidP="00305087">
      <w:pPr>
        <w:pStyle w:val="PreliminariesH2"/>
      </w:pPr>
      <w:r>
        <w:t>Further information</w:t>
      </w:r>
    </w:p>
    <w:p w14:paraId="68EC9F07" w14:textId="684F362F" w:rsidR="00091E19" w:rsidRDefault="00091E19" w:rsidP="00091E19">
      <w:pPr>
        <w:pStyle w:val="NormalText"/>
      </w:pPr>
      <w:r>
        <w:t xml:space="preserve">Further information can be obtained via the contact details provided below. More details on the chemical review process can be found on the APVMA website: </w:t>
      </w:r>
      <w:hyperlink r:id="rId21" w:history="1">
        <w:r w:rsidR="00467453" w:rsidRPr="00467453">
          <w:rPr>
            <w:rStyle w:val="Hyperlink"/>
          </w:rPr>
          <w:t>apvma.gov.au</w:t>
        </w:r>
      </w:hyperlink>
      <w:r w:rsidR="00467453">
        <w:t>.</w:t>
      </w:r>
    </w:p>
    <w:p w14:paraId="589DCF25" w14:textId="313F5207" w:rsidR="00091E19" w:rsidRDefault="00091E19" w:rsidP="00305087">
      <w:pPr>
        <w:pStyle w:val="PreliminariesH3"/>
        <w:numPr>
          <w:ilvl w:val="0"/>
          <w:numId w:val="0"/>
        </w:numPr>
      </w:pPr>
      <w:r>
        <w:t>Contact details</w:t>
      </w:r>
    </w:p>
    <w:p w14:paraId="346A5DB7" w14:textId="18A908C1" w:rsidR="00091E19" w:rsidRPr="00467453" w:rsidRDefault="00091E19" w:rsidP="00305087">
      <w:pPr>
        <w:pStyle w:val="NormalText"/>
      </w:pPr>
      <w:r w:rsidRPr="00467453">
        <w:t>Chemical Review Team</w:t>
      </w:r>
      <w:r w:rsidR="00467453">
        <w:br/>
      </w:r>
      <w:r w:rsidR="00305087">
        <w:t>Australian Pesticides and Veterinary Medicines Authority</w:t>
      </w:r>
      <w:r w:rsidR="00305087">
        <w:br/>
        <w:t>GPO Box 574</w:t>
      </w:r>
      <w:r w:rsidR="00305087">
        <w:br/>
        <w:t>Canberra ACT 2601 Australia</w:t>
      </w:r>
    </w:p>
    <w:p w14:paraId="0304CBEE" w14:textId="307BC356" w:rsidR="00091E19" w:rsidRPr="00467453" w:rsidRDefault="00091E19" w:rsidP="00467453">
      <w:pPr>
        <w:pStyle w:val="NormalText"/>
        <w:sectPr w:rsidR="00091E19" w:rsidRPr="00467453" w:rsidSect="009A2AA4">
          <w:headerReference w:type="default" r:id="rId22"/>
          <w:pgSz w:w="11906" w:h="16838" w:code="9"/>
          <w:pgMar w:top="2835" w:right="1134" w:bottom="1134" w:left="1134" w:header="1701" w:footer="680" w:gutter="0"/>
          <w:pgNumType w:start="1"/>
          <w:cols w:space="708"/>
          <w:docGrid w:linePitch="360"/>
        </w:sectPr>
      </w:pPr>
      <w:r w:rsidRPr="00467453">
        <w:t xml:space="preserve">Email: </w:t>
      </w:r>
      <w:hyperlink r:id="rId23" w:history="1">
        <w:r w:rsidRPr="00467453">
          <w:rPr>
            <w:rStyle w:val="Hyperlink"/>
          </w:rPr>
          <w:t>chemicalreview@apvma.gov.au</w:t>
        </w:r>
      </w:hyperlink>
      <w:r w:rsidR="00305087">
        <w:br/>
        <w:t>Phone</w:t>
      </w:r>
      <w:r w:rsidRPr="00467453">
        <w:t>: +61 2 6770 2</w:t>
      </w:r>
      <w:r w:rsidR="00350B9F">
        <w:t>400</w:t>
      </w:r>
    </w:p>
    <w:p w14:paraId="2DFDE96B" w14:textId="4DB3E7FA" w:rsidR="00353455" w:rsidRDefault="00353455" w:rsidP="00305087">
      <w:pPr>
        <w:pStyle w:val="PreliminariesH1"/>
      </w:pPr>
      <w:bookmarkStart w:id="2" w:name="_Toc414373834"/>
      <w:bookmarkStart w:id="3" w:name="_Toc135232588"/>
      <w:bookmarkStart w:id="4" w:name="_Toc233038925"/>
      <w:r>
        <w:lastRenderedPageBreak/>
        <w:t>Executive Summary</w:t>
      </w:r>
      <w:bookmarkEnd w:id="4"/>
    </w:p>
    <w:p w14:paraId="0230B377" w14:textId="77777777" w:rsidR="005418C6" w:rsidRPr="00305087" w:rsidRDefault="005418C6" w:rsidP="00305087">
      <w:pPr>
        <w:pStyle w:val="PreliminariesH2"/>
      </w:pPr>
      <w:bookmarkStart w:id="5" w:name="_Toc230692136"/>
      <w:bookmarkStart w:id="6" w:name="_Toc227769888"/>
      <w:r w:rsidRPr="00305087">
        <w:t>Key outcomes</w:t>
      </w:r>
      <w:bookmarkEnd w:id="5"/>
    </w:p>
    <w:p w14:paraId="21618CB6" w14:textId="07222582" w:rsidR="005418C6" w:rsidRDefault="005418C6" w:rsidP="00305087">
      <w:pPr>
        <w:pStyle w:val="Bullet1"/>
      </w:pPr>
      <w:r>
        <w:t>Diquat</w:t>
      </w:r>
      <w:r w:rsidRPr="002C38F5">
        <w:t xml:space="preserve"> </w:t>
      </w:r>
      <w:r>
        <w:t xml:space="preserve">products </w:t>
      </w:r>
      <w:r w:rsidR="005270E3">
        <w:t xml:space="preserve">can </w:t>
      </w:r>
      <w:r>
        <w:t>continue to be</w:t>
      </w:r>
      <w:r w:rsidRPr="002C38F5">
        <w:t xml:space="preserve"> registered</w:t>
      </w:r>
      <w:r>
        <w:t xml:space="preserve"> for use in Australia but require </w:t>
      </w:r>
      <w:r w:rsidRPr="002C38F5">
        <w:t>strengthened risk mitigation measures</w:t>
      </w:r>
      <w:r>
        <w:t xml:space="preserve"> to protect worker health and safety, and </w:t>
      </w:r>
      <w:r w:rsidRPr="002C38F5">
        <w:t xml:space="preserve">revised </w:t>
      </w:r>
      <w:r>
        <w:t xml:space="preserve">instructions for use to </w:t>
      </w:r>
      <w:r w:rsidR="005270E3">
        <w:t xml:space="preserve">lower environmental exposure to </w:t>
      </w:r>
      <w:r>
        <w:t>protect the safety of Australian native birds and mammals</w:t>
      </w:r>
      <w:r w:rsidRPr="002C38F5">
        <w:t>.</w:t>
      </w:r>
    </w:p>
    <w:p w14:paraId="365FE99A" w14:textId="22CB773D" w:rsidR="005418C6" w:rsidRDefault="005418C6" w:rsidP="00305087">
      <w:pPr>
        <w:pStyle w:val="Bullet1"/>
      </w:pPr>
      <w:r>
        <w:t>The risk assessment recommendations would  in a substantial reduction in the number of situations where diquat may be used, but range of uses remain supported.</w:t>
      </w:r>
    </w:p>
    <w:p w14:paraId="18918E5E" w14:textId="77777777" w:rsidR="005418C6" w:rsidRPr="00305087" w:rsidRDefault="005418C6" w:rsidP="00305087">
      <w:pPr>
        <w:pStyle w:val="PreliminariesH2"/>
      </w:pPr>
      <w:bookmarkStart w:id="7" w:name="_Toc230692137"/>
      <w:r w:rsidRPr="00305087">
        <w:t>Overview</w:t>
      </w:r>
      <w:bookmarkEnd w:id="7"/>
    </w:p>
    <w:p w14:paraId="230F6253" w14:textId="4548155D" w:rsidR="005418C6" w:rsidRPr="00305087" w:rsidRDefault="008F7939" w:rsidP="00305087">
      <w:pPr>
        <w:pStyle w:val="NormalText"/>
      </w:pPr>
      <w:r w:rsidRPr="00305087">
        <w:t>Diquat</w:t>
      </w:r>
      <w:r w:rsidR="005418C6" w:rsidRPr="00305087">
        <w:t xml:space="preserve"> is a non-selective contact herbicide used across a wide range of agricultural settings. The APVMA has completed a reconsideration of </w:t>
      </w:r>
      <w:r w:rsidRPr="00305087">
        <w:t>diquat</w:t>
      </w:r>
      <w:r w:rsidR="005418C6" w:rsidRPr="00305087">
        <w:t xml:space="preserve"> to determine whether the active constituent approvals, product registrations and labels continue to meet the statutory criteria for safety, efficacy, trade and labelling. The review included risk assessments covering chemistry, toxicology, worker health and safety, residues and trade, and environmental safety.</w:t>
      </w:r>
    </w:p>
    <w:p w14:paraId="203BCA25" w14:textId="79687410" w:rsidR="005418C6" w:rsidRDefault="008F7939" w:rsidP="00305087">
      <w:pPr>
        <w:pStyle w:val="NormalText"/>
      </w:pPr>
      <w:bookmarkStart w:id="8" w:name="_Toc227769891"/>
      <w:bookmarkEnd w:id="6"/>
      <w:r w:rsidRPr="00305087">
        <w:t>D</w:t>
      </w:r>
      <w:r w:rsidR="005418C6" w:rsidRPr="00305087">
        <w:t>iquat</w:t>
      </w:r>
      <w:r w:rsidRPr="00305087">
        <w:t>, and the related chemical paraquat,</w:t>
      </w:r>
      <w:r w:rsidR="005418C6" w:rsidRPr="00305087">
        <w:t xml:space="preserve"> have been registered in Australia since 1964 and were placed under reconsideration in 1997 under the Existing Chemicals Review Program. At the time of publication of the final report, </w:t>
      </w:r>
      <w:r w:rsidRPr="00305087">
        <w:t>diquat</w:t>
      </w:r>
      <w:r w:rsidR="005418C6" w:rsidRPr="00305087">
        <w:t xml:space="preserve"> was present in </w:t>
      </w:r>
      <w:r w:rsidRPr="00305087">
        <w:t>56</w:t>
      </w:r>
      <w:r w:rsidR="005418C6" w:rsidRPr="00305087">
        <w:t xml:space="preserve"> registered products, including </w:t>
      </w:r>
      <w:r w:rsidRPr="00305087">
        <w:t xml:space="preserve">21 diquat only products and 35 </w:t>
      </w:r>
      <w:r w:rsidR="005418C6" w:rsidRPr="00305087">
        <w:t>paraquat</w:t>
      </w:r>
      <w:r w:rsidR="004A5F81" w:rsidRPr="00305087">
        <w:t xml:space="preserve"> plus </w:t>
      </w:r>
      <w:r w:rsidR="005418C6" w:rsidRPr="00305087">
        <w:t xml:space="preserve">diquat co-formulations. </w:t>
      </w:r>
      <w:r w:rsidR="004A5F81" w:rsidRPr="00305087">
        <w:t>This report deals with the diquat only products, while the paraquat plus diquat co-formulated products are dealt with in the Paraquat Final Review Technical Report.</w:t>
      </w:r>
    </w:p>
    <w:p w14:paraId="7C77DC1A" w14:textId="7854FD60" w:rsidR="005270E3" w:rsidRPr="00305087" w:rsidRDefault="005270E3" w:rsidP="00305087">
      <w:pPr>
        <w:pStyle w:val="NormalText"/>
        <w:rPr>
          <w:highlight w:val="yellow"/>
        </w:rPr>
      </w:pPr>
      <w:r w:rsidRPr="005270E3">
        <w:t xml:space="preserve">The APVMA published proposed regulatory decisions on the reconsideration of </w:t>
      </w:r>
      <w:r>
        <w:t>di</w:t>
      </w:r>
      <w:r w:rsidRPr="005270E3">
        <w:t xml:space="preserve">quat, and the related chemical </w:t>
      </w:r>
      <w:r>
        <w:t>para</w:t>
      </w:r>
      <w:r w:rsidRPr="005270E3">
        <w:t xml:space="preserve">quat, on 30 July 2024 and invited public comment on the proposed decisions in a consultation that commenced on 30 July 2024 and closed 29 October 2024. 171 submissions were received. The APVMA has considered all submissions received and, where relevant, the risk assessments presented in this report have been revised to include the new information that was provided. Details of the submissions received and </w:t>
      </w:r>
      <w:hyperlink r:id="rId24" w:history="1">
        <w:r w:rsidRPr="001A5A48">
          <w:rPr>
            <w:rStyle w:val="Hyperlink"/>
          </w:rPr>
          <w:t>the APVMA’s consideration of those submissions</w:t>
        </w:r>
      </w:hyperlink>
      <w:r w:rsidRPr="005270E3">
        <w:t xml:space="preserve"> is published separately.</w:t>
      </w:r>
    </w:p>
    <w:p w14:paraId="30C6A590" w14:textId="77777777" w:rsidR="005418C6" w:rsidRPr="00305087" w:rsidRDefault="005418C6" w:rsidP="00305087">
      <w:pPr>
        <w:pStyle w:val="PreliminariesH2"/>
      </w:pPr>
      <w:bookmarkStart w:id="9" w:name="_Toc230692138"/>
      <w:bookmarkStart w:id="10" w:name="_Toc227769892"/>
      <w:bookmarkEnd w:id="8"/>
      <w:r w:rsidRPr="00305087">
        <w:t>Main findings</w:t>
      </w:r>
      <w:bookmarkEnd w:id="9"/>
    </w:p>
    <w:p w14:paraId="4FCA6106" w14:textId="39110D60" w:rsidR="005418C6" w:rsidRPr="008716A2" w:rsidRDefault="005418C6" w:rsidP="005418C6">
      <w:pPr>
        <w:pStyle w:val="NormalText"/>
      </w:pPr>
      <w:r w:rsidRPr="008716A2">
        <w:t>The key driver of the reconsideration recommendations are risks to terrestrial vertebrates</w:t>
      </w:r>
      <w:r w:rsidR="005270E3">
        <w:t>.</w:t>
      </w:r>
      <w:r w:rsidRPr="008716A2">
        <w:t xml:space="preserve"> These risks relate primarily to acute dietary exposure </w:t>
      </w:r>
      <w:r w:rsidR="005270E3">
        <w:t>for</w:t>
      </w:r>
      <w:r w:rsidR="005270E3" w:rsidRPr="008716A2">
        <w:t xml:space="preserve"> </w:t>
      </w:r>
      <w:r w:rsidRPr="008716A2">
        <w:t>birds</w:t>
      </w:r>
      <w:r w:rsidR="005270E3">
        <w:t>,</w:t>
      </w:r>
      <w:r w:rsidRPr="008716A2">
        <w:t xml:space="preserve"> and </w:t>
      </w:r>
      <w:r w:rsidR="005270E3">
        <w:t xml:space="preserve">to a lesser extent </w:t>
      </w:r>
      <w:r w:rsidRPr="008716A2">
        <w:t>mammals</w:t>
      </w:r>
      <w:r w:rsidR="005270E3">
        <w:t>,</w:t>
      </w:r>
      <w:r w:rsidRPr="008716A2">
        <w:t xml:space="preserve"> foraging in treated areas. As a result</w:t>
      </w:r>
      <w:r>
        <w:t>,</w:t>
      </w:r>
      <w:r w:rsidRPr="008716A2">
        <w:t xml:space="preserve"> limited application rates, or removal of instructions for use in some situations entirely,</w:t>
      </w:r>
      <w:r w:rsidR="005270E3">
        <w:t xml:space="preserve"> are recommended</w:t>
      </w:r>
      <w:r w:rsidRPr="008716A2">
        <w:t xml:space="preserve"> to prevent exposure from exceeding acceptable levels.</w:t>
      </w:r>
    </w:p>
    <w:p w14:paraId="21F9099C" w14:textId="5DA85C8A" w:rsidR="005418C6" w:rsidRPr="008716A2" w:rsidRDefault="005418C6" w:rsidP="005418C6">
      <w:pPr>
        <w:pStyle w:val="NormalText"/>
      </w:pPr>
      <w:r w:rsidRPr="008716A2">
        <w:t xml:space="preserve">Worker health and safety assessments recommended that risks to the safety of occupational users can be managed through strengthened personal protective equipment requirements, </w:t>
      </w:r>
      <w:r w:rsidR="005270E3">
        <w:t>the</w:t>
      </w:r>
      <w:r w:rsidR="005270E3" w:rsidRPr="008716A2">
        <w:t xml:space="preserve"> </w:t>
      </w:r>
      <w:r w:rsidRPr="008716A2">
        <w:t>use of closed mixing and loading systems, enclosed cab requirements for broadacre boom application, revised re-entry intervals and updated label statements.</w:t>
      </w:r>
    </w:p>
    <w:bookmarkEnd w:id="10"/>
    <w:p w14:paraId="1310646F" w14:textId="76B828D7" w:rsidR="005418C6" w:rsidRPr="00BE362F" w:rsidRDefault="005418C6" w:rsidP="005418C6">
      <w:pPr>
        <w:pStyle w:val="NormalText"/>
      </w:pPr>
      <w:r w:rsidRPr="00BE362F">
        <w:lastRenderedPageBreak/>
        <w:t xml:space="preserve">Residues and trade assessments, which consider the findings of the environment, toxicology and worker health and safety assessments, support continued use of </w:t>
      </w:r>
      <w:r w:rsidR="004A5F81">
        <w:t>diquat</w:t>
      </w:r>
      <w:r w:rsidRPr="00BE362F">
        <w:t xml:space="preserve"> in </w:t>
      </w:r>
      <w:r w:rsidR="004A5F81">
        <w:t xml:space="preserve">most </w:t>
      </w:r>
      <w:r w:rsidRPr="00BE362F">
        <w:t>situations that were also supported by those other risk assessments</w:t>
      </w:r>
      <w:r w:rsidR="004A5F81">
        <w:t xml:space="preserve">, with the exception of cotton and sugarcane </w:t>
      </w:r>
      <w:r w:rsidR="00BF56FE">
        <w:t xml:space="preserve">for </w:t>
      </w:r>
      <w:r w:rsidR="004A5F81">
        <w:t>pre-harvest desiccation</w:t>
      </w:r>
      <w:r w:rsidR="00054058">
        <w:t xml:space="preserve"> and weed control in specific vegetable row crops</w:t>
      </w:r>
      <w:r w:rsidRPr="00BE362F">
        <w:t>. These assessments also concluded that dietary exposure from treated commodities is expected to be acceptable for public health. Minor changes to some withholding periods and updated Trade Advice statements were recommended.</w:t>
      </w:r>
    </w:p>
    <w:p w14:paraId="76E9B6C2" w14:textId="4BF396BD" w:rsidR="005418C6" w:rsidRDefault="005418C6" w:rsidP="005418C6">
      <w:pPr>
        <w:pStyle w:val="NormalText"/>
      </w:pPr>
      <w:r w:rsidRPr="00BE362F">
        <w:t xml:space="preserve">Overall, the reconsideration assessments support continuation of </w:t>
      </w:r>
      <w:r w:rsidR="004A5F81">
        <w:t>diquat</w:t>
      </w:r>
      <w:r w:rsidRPr="00BE362F">
        <w:t xml:space="preserve"> approvals and registrations only where strengthened risk mitigation measures, revised labels, and any necessary product-specific changes are implemented to ensure the products continue to meet the legislative criteria.</w:t>
      </w:r>
    </w:p>
    <w:p w14:paraId="5607AEA1" w14:textId="495CE2B7" w:rsidR="00C97A0F" w:rsidRPr="00C97A0F" w:rsidRDefault="00C97A0F">
      <w:pPr>
        <w:pStyle w:val="NormalText"/>
        <w:numPr>
          <w:ilvl w:val="0"/>
          <w:numId w:val="25"/>
        </w:numPr>
        <w:sectPr w:rsidR="00C97A0F" w:rsidRPr="00C97A0F" w:rsidSect="009A03E9">
          <w:headerReference w:type="even" r:id="rId25"/>
          <w:headerReference w:type="default" r:id="rId26"/>
          <w:pgSz w:w="11906" w:h="16838" w:code="9"/>
          <w:pgMar w:top="2835" w:right="1134" w:bottom="1134" w:left="1134" w:header="1701" w:footer="680" w:gutter="0"/>
          <w:cols w:space="708"/>
          <w:docGrid w:linePitch="360"/>
        </w:sectPr>
      </w:pPr>
    </w:p>
    <w:p w14:paraId="45A181D2" w14:textId="00F085EA" w:rsidR="00AC48C8" w:rsidRPr="00FB3E94" w:rsidRDefault="00AC48C8" w:rsidP="001D79CE">
      <w:pPr>
        <w:pStyle w:val="Heading1"/>
      </w:pPr>
      <w:bookmarkStart w:id="11" w:name="_Toc233038926"/>
      <w:r w:rsidRPr="00FB3E94">
        <w:lastRenderedPageBreak/>
        <w:t>Introduction</w:t>
      </w:r>
      <w:bookmarkEnd w:id="11"/>
    </w:p>
    <w:p w14:paraId="5FFE22EA" w14:textId="1B5AC5CE" w:rsidR="00AC48C8" w:rsidRDefault="00AC48C8" w:rsidP="00AC48C8">
      <w:pPr>
        <w:pStyle w:val="NormalText"/>
      </w:pPr>
      <w:r>
        <w:t>Diquat is a non-selective contact herbicide belonging to the bipyridinium class of compounds which also includes the herbicide paraquat. Diquat and paraquat have been registered for use in Australia since 1964. Both compounds share a similar mode of herbicidal action which involves the inhibition of photosynthesis (specifically photosystem I) thereby generating superoxide, leading to lipid peroxidation and membrane damage. Plants die rapidly after treatment and exposure to light.</w:t>
      </w:r>
    </w:p>
    <w:p w14:paraId="338E4BBE" w14:textId="77777777" w:rsidR="00AC48C8" w:rsidRPr="00452764" w:rsidRDefault="00AC48C8" w:rsidP="00FB3E94">
      <w:pPr>
        <w:pStyle w:val="PreliminariesH2"/>
      </w:pPr>
      <w:r w:rsidRPr="00452764">
        <w:t>Purpose of review</w:t>
      </w:r>
    </w:p>
    <w:p w14:paraId="74FC7E9A" w14:textId="752A785A" w:rsidR="00AC48C8" w:rsidRDefault="00AC48C8" w:rsidP="00AC48C8">
      <w:pPr>
        <w:pStyle w:val="NormalText"/>
      </w:pPr>
      <w:r>
        <w:t>Diquat and the related bipyridinium herbicide paraquat were placed under reconsideration by the APVMA</w:t>
      </w:r>
      <w:r w:rsidR="00516D36">
        <w:t xml:space="preserve">, </w:t>
      </w:r>
      <w:r>
        <w:t xml:space="preserve">then </w:t>
      </w:r>
      <w:r w:rsidR="00516D36">
        <w:t>the National Registration Authority (</w:t>
      </w:r>
      <w:r>
        <w:t>NRA) in the third cycle of the Existing Chemicals Review Program, in a notice published in the NRA Gazette on 2 December 1997.</w:t>
      </w:r>
    </w:p>
    <w:p w14:paraId="1591DE32" w14:textId="1D5584C9" w:rsidR="00AC48C8" w:rsidRDefault="00AC48C8" w:rsidP="00AC48C8">
      <w:pPr>
        <w:pStyle w:val="NormalText"/>
      </w:pPr>
      <w:r>
        <w:t>The reconsideration covers all aspects of the active constituent approval, product registration and label approval to evaluate whether the continuing use of diquat</w:t>
      </w:r>
      <w:r w:rsidR="00264DDF">
        <w:t xml:space="preserve"> would</w:t>
      </w:r>
      <w:r>
        <w:t>:</w:t>
      </w:r>
    </w:p>
    <w:p w14:paraId="1805EE92" w14:textId="765EA1E0" w:rsidR="00AC48C8" w:rsidRDefault="00AC48C8" w:rsidP="00AC48C8">
      <w:pPr>
        <w:pStyle w:val="Bullet1"/>
      </w:pPr>
      <w:r>
        <w:t>not be an undue hazard to the safety of people exposed to it during its handling or people using anything containing its residues</w:t>
      </w:r>
    </w:p>
    <w:p w14:paraId="369E18AD" w14:textId="1B2F46D5" w:rsidR="00AC48C8" w:rsidRDefault="00AC48C8" w:rsidP="00AC48C8">
      <w:pPr>
        <w:pStyle w:val="Bullet1"/>
      </w:pPr>
      <w:r>
        <w:t>not be likely to have an effect that is harmful to human beings</w:t>
      </w:r>
    </w:p>
    <w:p w14:paraId="6A25832E" w14:textId="338EBD6B" w:rsidR="00AC48C8" w:rsidRDefault="00AC48C8" w:rsidP="00AC48C8">
      <w:pPr>
        <w:pStyle w:val="Bullet1"/>
      </w:pPr>
      <w:r>
        <w:t>not be likely to have an unintended effect that is harmful to animals, plants or things or to the environment</w:t>
      </w:r>
    </w:p>
    <w:p w14:paraId="3C266FDA" w14:textId="5936BC91" w:rsidR="00AC48C8" w:rsidRDefault="00AC48C8" w:rsidP="00AC48C8">
      <w:pPr>
        <w:pStyle w:val="Bullet1"/>
      </w:pPr>
      <w:r>
        <w:t>not unduly prejudice trade or commerce between Australia and places outside Australia</w:t>
      </w:r>
    </w:p>
    <w:p w14:paraId="299DC681" w14:textId="71079EBA" w:rsidR="00AC48C8" w:rsidRDefault="00873C77" w:rsidP="00AC48C8">
      <w:pPr>
        <w:pStyle w:val="Bullet1"/>
      </w:pPr>
      <w:r>
        <w:t xml:space="preserve">be effective </w:t>
      </w:r>
      <w:r w:rsidR="00AC48C8">
        <w:t>in accordance with the instructions for its use.</w:t>
      </w:r>
    </w:p>
    <w:p w14:paraId="24D50135" w14:textId="77777777" w:rsidR="00AC48C8" w:rsidRDefault="00AC48C8" w:rsidP="00AC48C8">
      <w:pPr>
        <w:pStyle w:val="NormalText"/>
      </w:pPr>
      <w:r>
        <w:t>The following aspects of active constituent approvals and product registrations for diquat have been assessed:</w:t>
      </w:r>
    </w:p>
    <w:p w14:paraId="1A9C0687" w14:textId="5CC35CFB" w:rsidR="00AC48C8" w:rsidRDefault="00AC48C8" w:rsidP="00AC48C8">
      <w:pPr>
        <w:pStyle w:val="Bullet1"/>
      </w:pPr>
      <w:r>
        <w:t>Toxicology</w:t>
      </w:r>
    </w:p>
    <w:p w14:paraId="6EB32C53" w14:textId="09BD5E69" w:rsidR="00AC48C8" w:rsidRDefault="00962D07" w:rsidP="00AC48C8">
      <w:pPr>
        <w:pStyle w:val="Bullet1"/>
      </w:pPr>
      <w:r>
        <w:t xml:space="preserve">Worker </w:t>
      </w:r>
      <w:r w:rsidR="00AC48C8">
        <w:t xml:space="preserve">health and safety </w:t>
      </w:r>
    </w:p>
    <w:p w14:paraId="6AB870B3" w14:textId="6487CDD0" w:rsidR="00AC48C8" w:rsidRDefault="00264DDF" w:rsidP="00AC48C8">
      <w:pPr>
        <w:pStyle w:val="Bullet2"/>
      </w:pPr>
      <w:r>
        <w:t>R</w:t>
      </w:r>
      <w:r w:rsidR="00AC48C8">
        <w:t>isks arising from exposure during handling and application</w:t>
      </w:r>
    </w:p>
    <w:p w14:paraId="40C8694E" w14:textId="268C201B" w:rsidR="00AC48C8" w:rsidRDefault="00264DDF" w:rsidP="00AC48C8">
      <w:pPr>
        <w:pStyle w:val="Bullet2"/>
      </w:pPr>
      <w:r>
        <w:t>R</w:t>
      </w:r>
      <w:r w:rsidR="00AC48C8">
        <w:t>e-entry exposure risks</w:t>
      </w:r>
    </w:p>
    <w:p w14:paraId="637CACDA" w14:textId="0C420C28" w:rsidR="00AC48C8" w:rsidRDefault="00264DDF" w:rsidP="00AC48C8">
      <w:pPr>
        <w:pStyle w:val="Bullet2"/>
      </w:pPr>
      <w:r>
        <w:t>D</w:t>
      </w:r>
      <w:r w:rsidR="00AC48C8">
        <w:t>etermination of appropriate personal protective clothing requirements</w:t>
      </w:r>
    </w:p>
    <w:p w14:paraId="41000707" w14:textId="6ECCFC6A" w:rsidR="00AC48C8" w:rsidRDefault="00AC48C8" w:rsidP="00AC48C8">
      <w:pPr>
        <w:pStyle w:val="Bullet1"/>
      </w:pPr>
      <w:r w:rsidRPr="00AC48C8">
        <w:rPr>
          <w:rStyle w:val="Bullet1Char"/>
        </w:rPr>
        <w:t>R</w:t>
      </w:r>
      <w:r>
        <w:t>esidues and trade</w:t>
      </w:r>
    </w:p>
    <w:p w14:paraId="391A7D99" w14:textId="3A354AF3" w:rsidR="00AC48C8" w:rsidRDefault="00264DDF" w:rsidP="00AC48C8">
      <w:pPr>
        <w:pStyle w:val="Bullet2"/>
      </w:pPr>
      <w:r>
        <w:t>R</w:t>
      </w:r>
      <w:r w:rsidR="00AC48C8">
        <w:t>esidues in treated produce arising from application in accordance with label instructions</w:t>
      </w:r>
    </w:p>
    <w:p w14:paraId="48511931" w14:textId="61F20522" w:rsidR="00AC48C8" w:rsidRDefault="00264DDF" w:rsidP="00AC48C8">
      <w:pPr>
        <w:pStyle w:val="Bullet2"/>
      </w:pPr>
      <w:r>
        <w:rPr>
          <w:rStyle w:val="Bullet2Char"/>
        </w:rPr>
        <w:t>Maximum residue limits (</w:t>
      </w:r>
      <w:r w:rsidR="00AC48C8" w:rsidRPr="00AC48C8">
        <w:rPr>
          <w:rStyle w:val="Bullet2Char"/>
        </w:rPr>
        <w:t>MRLs</w:t>
      </w:r>
      <w:r>
        <w:rPr>
          <w:rStyle w:val="Bullet2Char"/>
        </w:rPr>
        <w:t>)</w:t>
      </w:r>
      <w:r w:rsidR="00AC48C8" w:rsidRPr="00AC48C8">
        <w:rPr>
          <w:rStyle w:val="Bullet2Char"/>
        </w:rPr>
        <w:t xml:space="preserve"> to underpin the assessment of dietary and trade risk for all commodities on which</w:t>
      </w:r>
      <w:r w:rsidR="00AC48C8">
        <w:t xml:space="preserve"> diquat is used</w:t>
      </w:r>
    </w:p>
    <w:p w14:paraId="6A4058FF" w14:textId="54AE7346" w:rsidR="00AC48C8" w:rsidRDefault="00264DDF" w:rsidP="00AC48C8">
      <w:pPr>
        <w:pStyle w:val="Bullet2"/>
      </w:pPr>
      <w:r>
        <w:t>D</w:t>
      </w:r>
      <w:r w:rsidR="00AC48C8">
        <w:t>etermination of dietary exposure resulting from the consumption of produce treated with diquat</w:t>
      </w:r>
    </w:p>
    <w:p w14:paraId="41A31391" w14:textId="1542CC17" w:rsidR="00AC48C8" w:rsidRDefault="00AC48C8" w:rsidP="00AC48C8">
      <w:pPr>
        <w:pStyle w:val="Bullet1"/>
      </w:pPr>
      <w:r>
        <w:t>Environmental safety, including spray drift</w:t>
      </w:r>
    </w:p>
    <w:p w14:paraId="28326EDB" w14:textId="77777777" w:rsidR="00AC48C8" w:rsidRDefault="00AC48C8" w:rsidP="00AC48C8">
      <w:pPr>
        <w:pStyle w:val="NormalText"/>
      </w:pPr>
      <w:r>
        <w:t>The APVMA has also considered information pertaining to chemistry (impurities of toxicological concern).</w:t>
      </w:r>
    </w:p>
    <w:p w14:paraId="31D37E7B" w14:textId="00AC2088" w:rsidR="00AC48C8" w:rsidRDefault="00AC48C8" w:rsidP="00AC48C8">
      <w:pPr>
        <w:pStyle w:val="NormalText"/>
      </w:pPr>
      <w:r>
        <w:lastRenderedPageBreak/>
        <w:t xml:space="preserve">Although paraquat and diquat are structurally related, their relative risk to human and environmental safety, and trade, have been assessed separately. </w:t>
      </w:r>
    </w:p>
    <w:p w14:paraId="1091E144" w14:textId="750D72A6" w:rsidR="00257F8D" w:rsidRDefault="00257F8D" w:rsidP="00AC48C8">
      <w:pPr>
        <w:pStyle w:val="NormalText"/>
      </w:pPr>
      <w:r>
        <w:t xml:space="preserve">A summary of the combined risk assessment outcomes for each use pattern, and whether it is supported for continued approval, is presented in Appendix A. </w:t>
      </w:r>
    </w:p>
    <w:p w14:paraId="19A813FF" w14:textId="77777777" w:rsidR="00AC48C8" w:rsidRPr="00452764" w:rsidRDefault="00AC48C8" w:rsidP="00FB3E94">
      <w:pPr>
        <w:pStyle w:val="PreliminariesH2"/>
      </w:pPr>
      <w:r w:rsidRPr="00452764">
        <w:t>Product claims, use patterns and mode of action</w:t>
      </w:r>
    </w:p>
    <w:p w14:paraId="518C90BC" w14:textId="02C00DA0" w:rsidR="00AC48C8" w:rsidRDefault="00AC48C8" w:rsidP="00AC48C8">
      <w:pPr>
        <w:pStyle w:val="NormalText"/>
      </w:pPr>
      <w:r>
        <w:t xml:space="preserve">Diquat is an active constituent in </w:t>
      </w:r>
      <w:r w:rsidR="00F0168D">
        <w:t>58</w:t>
      </w:r>
      <w:r w:rsidR="002F0935">
        <w:t xml:space="preserve"> </w:t>
      </w:r>
      <w:r>
        <w:t>products registered for use in Australia by the APVMA</w:t>
      </w:r>
      <w:r w:rsidR="00E61669">
        <w:rPr>
          <w:rFonts w:ascii="ZWAdobeF" w:hAnsi="ZWAdobeF" w:cs="ZWAdobeF"/>
          <w:sz w:val="2"/>
          <w:szCs w:val="2"/>
        </w:rPr>
        <w:t>0F</w:t>
      </w:r>
      <w:r w:rsidR="00602535">
        <w:rPr>
          <w:rFonts w:ascii="ZWAdobeF" w:hAnsi="ZWAdobeF" w:cs="ZWAdobeF"/>
          <w:sz w:val="2"/>
          <w:szCs w:val="2"/>
        </w:rPr>
        <w:t>0F</w:t>
      </w:r>
      <w:r w:rsidR="00850F16">
        <w:rPr>
          <w:rStyle w:val="FootnoteReference"/>
        </w:rPr>
        <w:footnoteReference w:id="2"/>
      </w:r>
      <w:r>
        <w:t xml:space="preserve">. These products can be divided into 2 groups based on the presence of paraquat as a second active constituent, as indicated in </w:t>
      </w:r>
      <w:r w:rsidR="00264DDF">
        <w:fldChar w:fldCharType="begin" w:fldLock="1"/>
      </w:r>
      <w:r w:rsidR="00264DDF">
        <w:instrText xml:space="preserve"> REF _Ref169792671 \h </w:instrText>
      </w:r>
      <w:r w:rsidR="00264DDF">
        <w:fldChar w:fldCharType="separate"/>
      </w:r>
      <w:r w:rsidR="0033298E">
        <w:t xml:space="preserve">Table </w:t>
      </w:r>
      <w:r w:rsidR="0033298E">
        <w:rPr>
          <w:noProof/>
        </w:rPr>
        <w:t>1</w:t>
      </w:r>
      <w:r w:rsidR="00264DDF">
        <w:fldChar w:fldCharType="end"/>
      </w:r>
      <w:r>
        <w:t>. These 2 groups can be further divided based on the concentration of diquat and paraquat.</w:t>
      </w:r>
    </w:p>
    <w:p w14:paraId="66616A8E" w14:textId="4497A7A1" w:rsidR="00D37E62" w:rsidRPr="000179FF" w:rsidRDefault="00D37E62" w:rsidP="000179FF">
      <w:pPr>
        <w:pStyle w:val="Caption"/>
      </w:pPr>
      <w:bookmarkStart w:id="12" w:name="_Ref169792671"/>
      <w:bookmarkStart w:id="13" w:name="_Toc232589596"/>
      <w:r w:rsidRPr="000179FF">
        <w:t xml:space="preserve">Table </w:t>
      </w:r>
      <w:fldSimple w:instr=" SEQ Table \* ARABIC ">
        <w:r w:rsidR="00C17BD0" w:rsidRPr="000179FF">
          <w:t>1</w:t>
        </w:r>
      </w:fldSimple>
      <w:bookmarkEnd w:id="12"/>
      <w:r w:rsidRPr="000179FF">
        <w:t>: Diquat product groups</w:t>
      </w:r>
      <w:bookmarkEnd w:id="1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3072"/>
        <w:gridCol w:w="4040"/>
      </w:tblGrid>
      <w:tr w:rsidR="00D37E62" w:rsidRPr="00D37E62" w14:paraId="40E7DC2E" w14:textId="77777777" w:rsidTr="00464B16">
        <w:trPr>
          <w:tblHeader/>
        </w:trPr>
        <w:tc>
          <w:tcPr>
            <w:tcW w:w="1391" w:type="pct"/>
            <w:tcBorders>
              <w:top w:val="single" w:sz="4" w:space="0" w:color="auto"/>
              <w:bottom w:val="single" w:sz="4" w:space="0" w:color="auto"/>
            </w:tcBorders>
            <w:shd w:val="clear" w:color="auto" w:fill="5C2946"/>
          </w:tcPr>
          <w:p w14:paraId="4241BDCD" w14:textId="7ECB71F4" w:rsidR="00D37E62" w:rsidRPr="00D37E62" w:rsidRDefault="00D37E62" w:rsidP="00D37E62">
            <w:pPr>
              <w:pStyle w:val="TableHead"/>
            </w:pPr>
            <w:r w:rsidRPr="00D37E62">
              <w:t>Group</w:t>
            </w:r>
          </w:p>
        </w:tc>
        <w:tc>
          <w:tcPr>
            <w:tcW w:w="1558" w:type="pct"/>
            <w:tcBorders>
              <w:top w:val="single" w:sz="4" w:space="0" w:color="auto"/>
              <w:bottom w:val="single" w:sz="4" w:space="0" w:color="auto"/>
            </w:tcBorders>
            <w:shd w:val="clear" w:color="auto" w:fill="5C2946"/>
          </w:tcPr>
          <w:p w14:paraId="6F1B30BF" w14:textId="77777777" w:rsidR="00D37E62" w:rsidRPr="00D37E62" w:rsidRDefault="00D37E62" w:rsidP="00D37E62">
            <w:pPr>
              <w:pStyle w:val="TableHead"/>
            </w:pPr>
            <w:r w:rsidRPr="00D37E62">
              <w:t>Active constituent(s)</w:t>
            </w:r>
          </w:p>
        </w:tc>
        <w:tc>
          <w:tcPr>
            <w:tcW w:w="2050" w:type="pct"/>
            <w:tcBorders>
              <w:top w:val="single" w:sz="4" w:space="0" w:color="auto"/>
              <w:bottom w:val="single" w:sz="4" w:space="0" w:color="auto"/>
            </w:tcBorders>
            <w:shd w:val="clear" w:color="auto" w:fill="5C2946"/>
          </w:tcPr>
          <w:p w14:paraId="0129EFF9" w14:textId="77777777" w:rsidR="00D37E62" w:rsidRPr="00D37E62" w:rsidRDefault="00D37E62" w:rsidP="00D37E62">
            <w:pPr>
              <w:pStyle w:val="TableHead"/>
            </w:pPr>
            <w:r w:rsidRPr="00D37E62">
              <w:t>Active constituent concentration</w:t>
            </w:r>
          </w:p>
        </w:tc>
      </w:tr>
      <w:tr w:rsidR="00D37E62" w:rsidRPr="00D37E62" w14:paraId="5A851DEB" w14:textId="77777777" w:rsidTr="00264DDF">
        <w:trPr>
          <w:trHeight w:val="275"/>
        </w:trPr>
        <w:tc>
          <w:tcPr>
            <w:tcW w:w="1391" w:type="pct"/>
            <w:tcBorders>
              <w:top w:val="single" w:sz="4" w:space="0" w:color="auto"/>
              <w:bottom w:val="single" w:sz="4" w:space="0" w:color="auto"/>
            </w:tcBorders>
          </w:tcPr>
          <w:p w14:paraId="19F69772" w14:textId="31DCB15B" w:rsidR="00D37E62" w:rsidRPr="00D37E62" w:rsidRDefault="00D37E62" w:rsidP="00D37E62">
            <w:pPr>
              <w:pStyle w:val="TableText"/>
            </w:pPr>
            <w:r w:rsidRPr="00D37E62">
              <w:t>1 (2</w:t>
            </w:r>
            <w:r w:rsidR="0075788F">
              <w:t>1</w:t>
            </w:r>
            <w:r w:rsidRPr="00D37E62">
              <w:t xml:space="preserve"> products)</w:t>
            </w:r>
          </w:p>
        </w:tc>
        <w:tc>
          <w:tcPr>
            <w:tcW w:w="1558" w:type="pct"/>
            <w:tcBorders>
              <w:top w:val="single" w:sz="4" w:space="0" w:color="auto"/>
              <w:bottom w:val="single" w:sz="4" w:space="0" w:color="auto"/>
            </w:tcBorders>
          </w:tcPr>
          <w:p w14:paraId="241CC157" w14:textId="77777777" w:rsidR="00D37E62" w:rsidRPr="00D37E62" w:rsidRDefault="00D37E62" w:rsidP="00D37E62">
            <w:pPr>
              <w:pStyle w:val="TableText"/>
            </w:pPr>
            <w:r w:rsidRPr="00D37E62">
              <w:t>Diquat</w:t>
            </w:r>
          </w:p>
        </w:tc>
        <w:tc>
          <w:tcPr>
            <w:tcW w:w="2050" w:type="pct"/>
            <w:tcBorders>
              <w:top w:val="single" w:sz="4" w:space="0" w:color="auto"/>
              <w:bottom w:val="single" w:sz="4" w:space="0" w:color="auto"/>
            </w:tcBorders>
          </w:tcPr>
          <w:p w14:paraId="7E31E0AC" w14:textId="77777777" w:rsidR="00D37E62" w:rsidRPr="00D37E62" w:rsidRDefault="00D37E62" w:rsidP="00D37E62">
            <w:pPr>
              <w:pStyle w:val="TableText"/>
            </w:pPr>
            <w:r w:rsidRPr="00D37E62">
              <w:t>200 g/L diquat</w:t>
            </w:r>
          </w:p>
        </w:tc>
      </w:tr>
      <w:tr w:rsidR="00D37E62" w:rsidRPr="00D37E62" w14:paraId="46AFE69E" w14:textId="77777777" w:rsidTr="00264DDF">
        <w:tc>
          <w:tcPr>
            <w:tcW w:w="1391" w:type="pct"/>
            <w:tcBorders>
              <w:top w:val="single" w:sz="4" w:space="0" w:color="auto"/>
              <w:bottom w:val="single" w:sz="4" w:space="0" w:color="auto"/>
            </w:tcBorders>
          </w:tcPr>
          <w:p w14:paraId="3FD9AEE4" w14:textId="1C90596A" w:rsidR="00D37E62" w:rsidRPr="00D37E62" w:rsidRDefault="00D37E62" w:rsidP="00D37E62">
            <w:pPr>
              <w:pStyle w:val="TableText"/>
            </w:pPr>
            <w:r w:rsidRPr="00D37E62">
              <w:t>2 (</w:t>
            </w:r>
            <w:r w:rsidR="004C5820">
              <w:t>3</w:t>
            </w:r>
            <w:r w:rsidR="00F0168D">
              <w:t>7</w:t>
            </w:r>
            <w:r w:rsidRPr="00D37E62">
              <w:t xml:space="preserve"> products)</w:t>
            </w:r>
          </w:p>
        </w:tc>
        <w:tc>
          <w:tcPr>
            <w:tcW w:w="1558" w:type="pct"/>
            <w:tcBorders>
              <w:top w:val="single" w:sz="4" w:space="0" w:color="auto"/>
              <w:bottom w:val="single" w:sz="4" w:space="0" w:color="auto"/>
            </w:tcBorders>
          </w:tcPr>
          <w:p w14:paraId="1D173799" w14:textId="448170FD" w:rsidR="00D37E62" w:rsidRPr="00D37E62" w:rsidRDefault="00D37E62" w:rsidP="00D37E62">
            <w:pPr>
              <w:pStyle w:val="TableText"/>
            </w:pPr>
            <w:r w:rsidRPr="00D37E62">
              <w:t>Paraquat</w:t>
            </w:r>
            <w:r w:rsidR="00E34F5C">
              <w:t xml:space="preserve"> and </w:t>
            </w:r>
            <w:r w:rsidR="00264DDF">
              <w:t>d</w:t>
            </w:r>
            <w:r w:rsidRPr="00D37E62">
              <w:t>iquat</w:t>
            </w:r>
          </w:p>
        </w:tc>
        <w:tc>
          <w:tcPr>
            <w:tcW w:w="2050" w:type="pct"/>
            <w:tcBorders>
              <w:top w:val="single" w:sz="4" w:space="0" w:color="auto"/>
              <w:bottom w:val="single" w:sz="4" w:space="0" w:color="auto"/>
            </w:tcBorders>
          </w:tcPr>
          <w:p w14:paraId="1EBCA919" w14:textId="77777777" w:rsidR="00D37E62" w:rsidRPr="00D37E62" w:rsidRDefault="00D37E62" w:rsidP="00D37E62">
            <w:pPr>
              <w:pStyle w:val="TableText"/>
            </w:pPr>
            <w:r w:rsidRPr="00D37E62">
              <w:t>135 g/L paraquat; 115 g/L diquat</w:t>
            </w:r>
          </w:p>
        </w:tc>
      </w:tr>
    </w:tbl>
    <w:p w14:paraId="2FDF9259" w14:textId="5D9CE939" w:rsidR="00D37E62" w:rsidRDefault="00D37E62" w:rsidP="00D37E62">
      <w:pPr>
        <w:pStyle w:val="NormalText"/>
      </w:pPr>
      <w:r>
        <w:t>Diquat and diquat</w:t>
      </w:r>
      <w:r w:rsidR="00695343">
        <w:t>-</w:t>
      </w:r>
      <w:r>
        <w:t>paraquat combination products are registered for the control of broadlea</w:t>
      </w:r>
      <w:r w:rsidR="000B7D94">
        <w:t xml:space="preserve">f </w:t>
      </w:r>
      <w:r>
        <w:t xml:space="preserve">weeds in seed beds before sowing, </w:t>
      </w:r>
      <w:r w:rsidR="009545CE">
        <w:t xml:space="preserve">post-emergence inter-row weed control </w:t>
      </w:r>
      <w:r>
        <w:t>and pre-harvesting operations of a number of crops. Diquat products often include instructions for use as a tank-mix with paraquat or other herbicides to improve efficacy against particular weed species (</w:t>
      </w:r>
      <w:r w:rsidR="00516D36">
        <w:t>e.g.</w:t>
      </w:r>
      <w:r>
        <w:t xml:space="preserve"> capeweed</w:t>
      </w:r>
      <w:r w:rsidR="00264DDF">
        <w:t>) or</w:t>
      </w:r>
      <w:r>
        <w:t xml:space="preserve"> provide residual activity (</w:t>
      </w:r>
      <w:r w:rsidR="00516D36">
        <w:t>e.g.</w:t>
      </w:r>
      <w:r>
        <w:t xml:space="preserve"> diuron used for control of annual grasses and broadleaf weeds in lucerne (</w:t>
      </w:r>
      <w:r w:rsidRPr="00C026B5">
        <w:rPr>
          <w:i/>
        </w:rPr>
        <w:t>Medicago sativa</w:t>
      </w:r>
      <w:r>
        <w:t>))</w:t>
      </w:r>
      <w:r w:rsidR="009545CE">
        <w:t>.</w:t>
      </w:r>
      <w:r>
        <w:t xml:space="preserve"> Diquat is also used to facilitate harvesting operations of a number of crops such as desiccating weeds, accelerating the drying of crops and reducing the moisture content of s</w:t>
      </w:r>
      <w:r w:rsidRPr="00644FE9">
        <w:t xml:space="preserve">eeds. </w:t>
      </w:r>
      <w:r w:rsidR="009545CE">
        <w:t>Additionally, it</w:t>
      </w:r>
      <w:r w:rsidRPr="00644FE9">
        <w:t xml:space="preserve"> is registered for use in aquatic situations for control of various aquatic weeds, particularly invasive species. A detailed list of use patterns considered in this assessment is provided in</w:t>
      </w:r>
      <w:r w:rsidR="00264DDF">
        <w:t xml:space="preserve"> </w:t>
      </w:r>
      <w:hyperlink w:anchor="_Appendix_A_–" w:history="1">
        <w:r w:rsidR="00264DDF" w:rsidRPr="00264DDF">
          <w:rPr>
            <w:rStyle w:val="Hyperlink"/>
          </w:rPr>
          <w:t>Appendix A – Summary of assessment outcomes</w:t>
        </w:r>
      </w:hyperlink>
      <w:r w:rsidR="00644FE9" w:rsidRPr="00644FE9">
        <w:t>.</w:t>
      </w:r>
    </w:p>
    <w:p w14:paraId="2EFE3CF2" w14:textId="1B96393E" w:rsidR="00452764" w:rsidRDefault="00516D36" w:rsidP="00D37E62">
      <w:pPr>
        <w:pStyle w:val="NormalText"/>
      </w:pPr>
      <w:r>
        <w:t xml:space="preserve">This reconsideration has only </w:t>
      </w:r>
      <w:r w:rsidR="000B7D94">
        <w:t>considered</w:t>
      </w:r>
      <w:r>
        <w:t xml:space="preserve"> the approved </w:t>
      </w:r>
      <w:r w:rsidR="000B7D94">
        <w:t xml:space="preserve">label </w:t>
      </w:r>
      <w:r>
        <w:t>uses of diquat</w:t>
      </w:r>
      <w:r w:rsidR="00264DDF">
        <w:t>.</w:t>
      </w:r>
      <w:r w:rsidR="003D51C1">
        <w:t xml:space="preserve"> Assessment of products containing both paraquat and diquat have been considered in the </w:t>
      </w:r>
      <w:r w:rsidR="003D51C1" w:rsidRPr="003D51C1">
        <w:rPr>
          <w:i/>
          <w:iCs/>
        </w:rPr>
        <w:t>Paraquat Review Technical Report</w:t>
      </w:r>
      <w:r w:rsidR="003D51C1">
        <w:t>.</w:t>
      </w:r>
      <w:r w:rsidR="00264DDF">
        <w:t xml:space="preserve"> C</w:t>
      </w:r>
      <w:r w:rsidR="00D37E62">
        <w:t xml:space="preserve">urrent permits for use of diquat </w:t>
      </w:r>
      <w:r w:rsidR="009545CE" w:rsidRPr="009545CE">
        <w:t>are not within the scope of this reconsideration</w:t>
      </w:r>
      <w:r w:rsidR="00D37E62">
        <w:t>.</w:t>
      </w:r>
      <w:r w:rsidR="00452764">
        <w:br w:type="page"/>
      </w:r>
    </w:p>
    <w:p w14:paraId="60D933A8" w14:textId="1CD76568" w:rsidR="00264DDF" w:rsidRPr="00264DDF" w:rsidRDefault="00D37E62" w:rsidP="00264DDF">
      <w:pPr>
        <w:pStyle w:val="NormalText"/>
        <w:sectPr w:rsidR="00264DDF" w:rsidRPr="00264DDF" w:rsidSect="009A2AA4">
          <w:headerReference w:type="even" r:id="rId27"/>
          <w:footerReference w:type="default" r:id="rId28"/>
          <w:pgSz w:w="11906" w:h="16838" w:code="9"/>
          <w:pgMar w:top="2835" w:right="1134" w:bottom="1134" w:left="1134" w:header="1701" w:footer="680" w:gutter="0"/>
          <w:cols w:space="708"/>
          <w:docGrid w:linePitch="360"/>
        </w:sectPr>
      </w:pPr>
      <w:r w:rsidRPr="00264DDF">
        <w:lastRenderedPageBreak/>
        <w:t>Diquat is a group 22</w:t>
      </w:r>
      <w:r w:rsidR="00E61669">
        <w:rPr>
          <w:rFonts w:ascii="ZWAdobeF" w:hAnsi="ZWAdobeF" w:cs="ZWAdobeF"/>
          <w:sz w:val="2"/>
          <w:szCs w:val="2"/>
        </w:rPr>
        <w:t>1F</w:t>
      </w:r>
      <w:r w:rsidR="00602535">
        <w:rPr>
          <w:rFonts w:ascii="ZWAdobeF" w:hAnsi="ZWAdobeF" w:cs="ZWAdobeF"/>
          <w:sz w:val="2"/>
          <w:szCs w:val="2"/>
        </w:rPr>
        <w:t>1F</w:t>
      </w:r>
      <w:r w:rsidRPr="00264DDF">
        <w:rPr>
          <w:rStyle w:val="FootnoteReference"/>
        </w:rPr>
        <w:footnoteReference w:id="3"/>
      </w:r>
      <w:r w:rsidRPr="00264DDF">
        <w:rPr>
          <w:vertAlign w:val="superscript"/>
        </w:rPr>
        <w:t xml:space="preserve"> </w:t>
      </w:r>
      <w:r w:rsidRPr="00264DDF">
        <w:t>mode of action bipyridinium herbicide and is most commonly supplied as the dibromide salt. It is a non-selective contact herbicide and desiccant, absorbed by the foliage, with some translocation in the xylem. It accepts electrons from photosystem I (PS-I, electron diversion), resulting in interaction with the photosynthetic process to produce a hydroxyl radical and other reactive oxygen species that destroy unsaturated lipids and chlorophyll. It is inactivated on contact with soil and not taken up by plant roots. Diquat is used to control weeds before planting, before or just after crop emergence, and directed spray between the rows of established crops.</w:t>
      </w:r>
    </w:p>
    <w:p w14:paraId="5EE3CEA7" w14:textId="77777777" w:rsidR="0082778D" w:rsidRPr="00452764" w:rsidRDefault="0082778D" w:rsidP="00452764">
      <w:pPr>
        <w:pStyle w:val="Heading1"/>
      </w:pPr>
      <w:bookmarkStart w:id="15" w:name="_Toc81569134"/>
      <w:bookmarkStart w:id="16" w:name="_Hlk162352408"/>
      <w:bookmarkStart w:id="17" w:name="_Toc233038927"/>
      <w:r w:rsidRPr="00452764">
        <w:lastRenderedPageBreak/>
        <w:t>Chemistry</w:t>
      </w:r>
      <w:bookmarkEnd w:id="15"/>
      <w:bookmarkEnd w:id="17"/>
    </w:p>
    <w:p w14:paraId="647BC737" w14:textId="66742EC2" w:rsidR="0082778D" w:rsidRPr="00452764" w:rsidRDefault="0082778D" w:rsidP="00452764">
      <w:pPr>
        <w:pStyle w:val="Heading2"/>
      </w:pPr>
      <w:bookmarkStart w:id="18" w:name="_Toc81569135"/>
      <w:bookmarkStart w:id="19" w:name="_Toc233038928"/>
      <w:r w:rsidRPr="00452764">
        <w:t>Active constituent</w:t>
      </w:r>
      <w:bookmarkEnd w:id="18"/>
      <w:bookmarkEnd w:id="19"/>
    </w:p>
    <w:p w14:paraId="20B6B086" w14:textId="5FFD933C" w:rsidR="0074156A" w:rsidRDefault="00EE6876" w:rsidP="00264DDF">
      <w:pPr>
        <w:pStyle w:val="NormalText"/>
      </w:pPr>
      <w:bookmarkStart w:id="20" w:name="_Ref42691162"/>
      <w:r>
        <w:t xml:space="preserve">Diquat dibromide </w:t>
      </w:r>
      <w:r w:rsidR="00346B2F">
        <w:t xml:space="preserve">in its pure form </w:t>
      </w:r>
      <w:r>
        <w:t>is a</w:t>
      </w:r>
      <w:r w:rsidRPr="00884AFB">
        <w:t xml:space="preserve"> </w:t>
      </w:r>
      <w:r>
        <w:t xml:space="preserve">colourless to </w:t>
      </w:r>
      <w:r w:rsidRPr="00884AFB">
        <w:t>y</w:t>
      </w:r>
      <w:r w:rsidRPr="00787D75">
        <w:t>ellow-coloured crystal with a</w:t>
      </w:r>
      <w:r w:rsidRPr="00000D7A">
        <w:t>n earthy odour</w:t>
      </w:r>
      <w:r w:rsidR="00346B2F" w:rsidRPr="00000D7A">
        <w:t>. Diquat dibromide is an extremely hygroscopic material and is commercially supplied as a technical concentrate (manufacturing concentrate) consisting of an aqueous solution with a typical concentration of 375</w:t>
      </w:r>
      <w:r w:rsidR="00464B16">
        <w:t>–</w:t>
      </w:r>
      <w:r w:rsidR="00346B2F" w:rsidRPr="00000D7A">
        <w:t xml:space="preserve">485 g/kg. </w:t>
      </w:r>
      <w:r w:rsidRPr="00787D75">
        <w:t xml:space="preserve">It is very soluble in water </w:t>
      </w:r>
      <w:r w:rsidRPr="00787D75">
        <w:rPr>
          <w:kern w:val="22"/>
        </w:rPr>
        <w:t>(718 g/L at 20</w:t>
      </w:r>
      <w:r w:rsidRPr="00787D75">
        <w:t xml:space="preserve">°C </w:t>
      </w:r>
      <w:r w:rsidRPr="00787D75">
        <w:rPr>
          <w:kern w:val="22"/>
        </w:rPr>
        <w:t xml:space="preserve">in pH 5.2, pH 7.2 and pH 9.2), with a </w:t>
      </w:r>
      <w:r w:rsidRPr="00787D75">
        <w:t xml:space="preserve">slight solubility in methanol (25 g/L) and is practically </w:t>
      </w:r>
      <w:r w:rsidRPr="00787D75">
        <w:rPr>
          <w:kern w:val="22"/>
        </w:rPr>
        <w:t>insoluble in acetone, dichloromethane, ethyl acetate, hexane and toluene</w:t>
      </w:r>
      <w:r w:rsidRPr="00787D75">
        <w:t xml:space="preserve"> (&lt; 0.1 g/L). Diquat </w:t>
      </w:r>
      <w:r w:rsidR="00346B2F" w:rsidRPr="00787D75">
        <w:t>is</w:t>
      </w:r>
      <w:r w:rsidRPr="00787D75">
        <w:t xml:space="preserve"> stable </w:t>
      </w:r>
      <w:r w:rsidR="00346B2F" w:rsidRPr="00787D75">
        <w:t xml:space="preserve">to hydrolysis </w:t>
      </w:r>
      <w:r w:rsidRPr="00787D75">
        <w:t>under acidic, neutral and alkaline conditions. No significan</w:t>
      </w:r>
      <w:r>
        <w:t xml:space="preserve">t decrease in concentration </w:t>
      </w:r>
      <w:r w:rsidR="00346B2F">
        <w:t xml:space="preserve">was observed </w:t>
      </w:r>
      <w:r>
        <w:t>at pH 5</w:t>
      </w:r>
      <w:r w:rsidR="00464B16">
        <w:t>–</w:t>
      </w:r>
      <w:r>
        <w:t xml:space="preserve">7, with &lt;10% loss of diquat at pH 7 after 30 days at </w:t>
      </w:r>
      <w:r w:rsidRPr="00884AFB">
        <w:rPr>
          <w:kern w:val="22"/>
        </w:rPr>
        <w:t>2</w:t>
      </w:r>
      <w:r>
        <w:rPr>
          <w:kern w:val="22"/>
        </w:rPr>
        <w:t>5</w:t>
      </w:r>
      <w:r w:rsidRPr="00884AFB">
        <w:t>°C</w:t>
      </w:r>
      <w:r>
        <w:t>. Diquat</w:t>
      </w:r>
      <w:r w:rsidRPr="00884AFB">
        <w:t xml:space="preserve"> </w:t>
      </w:r>
      <w:r>
        <w:t xml:space="preserve">shows </w:t>
      </w:r>
      <w:r w:rsidRPr="00884AFB">
        <w:t>r</w:t>
      </w:r>
      <w:r>
        <w:rPr>
          <w:kern w:val="22"/>
        </w:rPr>
        <w:t xml:space="preserve">apid </w:t>
      </w:r>
      <w:r w:rsidR="00FE3E55">
        <w:rPr>
          <w:kern w:val="22"/>
        </w:rPr>
        <w:t>photo</w:t>
      </w:r>
      <w:r>
        <w:rPr>
          <w:kern w:val="22"/>
        </w:rPr>
        <w:t>degradation</w:t>
      </w:r>
      <w:r w:rsidRPr="00884AFB">
        <w:rPr>
          <w:kern w:val="22"/>
        </w:rPr>
        <w:t xml:space="preserve"> with only 15.8%</w:t>
      </w:r>
      <w:r w:rsidR="00464B16">
        <w:rPr>
          <w:kern w:val="22"/>
        </w:rPr>
        <w:t> </w:t>
      </w:r>
      <w:r w:rsidRPr="00884AFB">
        <w:rPr>
          <w:kern w:val="22"/>
        </w:rPr>
        <w:t xml:space="preserve">parent compound remaining 3 days </w:t>
      </w:r>
      <w:r w:rsidR="00611E3D" w:rsidRPr="00884AFB">
        <w:rPr>
          <w:kern w:val="22"/>
        </w:rPr>
        <w:t xml:space="preserve">after </w:t>
      </w:r>
      <w:r w:rsidRPr="00884AFB">
        <w:rPr>
          <w:kern w:val="22"/>
        </w:rPr>
        <w:t>irradiation</w:t>
      </w:r>
      <w:r>
        <w:rPr>
          <w:kern w:val="22"/>
        </w:rPr>
        <w:t xml:space="preserve"> follow</w:t>
      </w:r>
      <w:r w:rsidR="00611E3D">
        <w:rPr>
          <w:kern w:val="22"/>
        </w:rPr>
        <w:t>ing</w:t>
      </w:r>
      <w:r w:rsidRPr="00884AFB">
        <w:rPr>
          <w:kern w:val="22"/>
        </w:rPr>
        <w:t xml:space="preserve"> first-order kinetics with an</w:t>
      </w:r>
      <w:r w:rsidRPr="00884AFB">
        <w:t xml:space="preserve"> </w:t>
      </w:r>
      <w:r w:rsidRPr="00884AFB">
        <w:rPr>
          <w:kern w:val="22"/>
        </w:rPr>
        <w:t>estimated half-life of 31 hours</w:t>
      </w:r>
      <w:r w:rsidRPr="00884AFB">
        <w:t>.</w:t>
      </w:r>
      <w:r w:rsidR="00644FE9">
        <w:t xml:space="preserve"> </w:t>
      </w:r>
      <w:r w:rsidR="00644FE9" w:rsidRPr="00264DDF">
        <w:t>Further information about the identity and physicochemical properties of diquat are provided in</w:t>
      </w:r>
      <w:r w:rsidR="00787D75" w:rsidRPr="00264DDF">
        <w:t xml:space="preserve"> </w:t>
      </w:r>
      <w:r w:rsidR="00787D75">
        <w:rPr>
          <w:rStyle w:val="NormalTextChar"/>
        </w:rPr>
        <w:fldChar w:fldCharType="begin" w:fldLock="1"/>
      </w:r>
      <w:r w:rsidR="00787D75">
        <w:rPr>
          <w:rStyle w:val="NormalTextChar"/>
        </w:rPr>
        <w:instrText xml:space="preserve"> REF _Ref166502085 \h </w:instrText>
      </w:r>
      <w:r w:rsidR="00264DDF">
        <w:rPr>
          <w:rStyle w:val="NormalTextChar"/>
        </w:rPr>
        <w:instrText xml:space="preserve"> \* MERGEFORMAT </w:instrText>
      </w:r>
      <w:r w:rsidR="00787D75">
        <w:rPr>
          <w:rStyle w:val="NormalTextChar"/>
        </w:rPr>
      </w:r>
      <w:r w:rsidR="00787D75">
        <w:rPr>
          <w:rStyle w:val="NormalTextChar"/>
        </w:rPr>
        <w:fldChar w:fldCharType="separate"/>
      </w:r>
      <w:r w:rsidR="0033298E">
        <w:t xml:space="preserve">Table </w:t>
      </w:r>
      <w:r w:rsidR="0033298E">
        <w:rPr>
          <w:noProof/>
        </w:rPr>
        <w:t>2</w:t>
      </w:r>
      <w:r w:rsidR="00787D75">
        <w:rPr>
          <w:rStyle w:val="NormalTextChar"/>
        </w:rPr>
        <w:fldChar w:fldCharType="end"/>
      </w:r>
      <w:r w:rsidR="00644FE9" w:rsidRPr="00264DDF">
        <w:t xml:space="preserve"> and</w:t>
      </w:r>
      <w:r w:rsidR="00787D75" w:rsidRPr="00264DDF">
        <w:t xml:space="preserve"> </w:t>
      </w:r>
      <w:r w:rsidR="00787D75">
        <w:rPr>
          <w:rStyle w:val="NormalTextChar"/>
        </w:rPr>
        <w:fldChar w:fldCharType="begin" w:fldLock="1"/>
      </w:r>
      <w:r w:rsidR="00787D75">
        <w:rPr>
          <w:rStyle w:val="NormalTextChar"/>
        </w:rPr>
        <w:instrText xml:space="preserve"> REF _Ref43207548 \h </w:instrText>
      </w:r>
      <w:r w:rsidR="00264DDF">
        <w:rPr>
          <w:rStyle w:val="NormalTextChar"/>
        </w:rPr>
        <w:instrText xml:space="preserve"> \* MERGEFORMAT </w:instrText>
      </w:r>
      <w:r w:rsidR="00787D75">
        <w:rPr>
          <w:rStyle w:val="NormalTextChar"/>
        </w:rPr>
      </w:r>
      <w:r w:rsidR="00787D75">
        <w:rPr>
          <w:rStyle w:val="NormalTextChar"/>
        </w:rPr>
        <w:fldChar w:fldCharType="separate"/>
      </w:r>
      <w:r w:rsidR="0033298E">
        <w:t xml:space="preserve">Table </w:t>
      </w:r>
      <w:r w:rsidR="0033298E">
        <w:rPr>
          <w:noProof/>
        </w:rPr>
        <w:t>3</w:t>
      </w:r>
      <w:r w:rsidR="00787D75">
        <w:rPr>
          <w:rStyle w:val="NormalTextChar"/>
        </w:rPr>
        <w:fldChar w:fldCharType="end"/>
      </w:r>
      <w:r w:rsidR="00787D75" w:rsidRPr="00264DDF">
        <w:t xml:space="preserve">. </w:t>
      </w:r>
      <w:r w:rsidDel="00787D75">
        <w:t>There are currently 12 active</w:t>
      </w:r>
      <w:r w:rsidR="00072488">
        <w:t xml:space="preserve"> constituent</w:t>
      </w:r>
      <w:r w:rsidDel="00787D75">
        <w:t xml:space="preserve"> approvals for diquat dibromide which are listed in</w:t>
      </w:r>
      <w:r w:rsidR="0074156A">
        <w:t xml:space="preserve"> </w:t>
      </w:r>
      <w:r w:rsidR="0074156A">
        <w:fldChar w:fldCharType="begin" w:fldLock="1"/>
      </w:r>
      <w:r w:rsidR="0074156A">
        <w:instrText xml:space="preserve"> REF _Ref168649161 \h </w:instrText>
      </w:r>
      <w:r w:rsidR="00264DDF">
        <w:instrText xml:space="preserve"> \* MERGEFORMAT </w:instrText>
      </w:r>
      <w:r w:rsidR="0074156A">
        <w:fldChar w:fldCharType="separate"/>
      </w:r>
      <w:r w:rsidR="0033298E">
        <w:t xml:space="preserve">Table </w:t>
      </w:r>
      <w:r w:rsidR="0033298E">
        <w:rPr>
          <w:noProof/>
        </w:rPr>
        <w:t>4</w:t>
      </w:r>
      <w:r w:rsidR="0074156A">
        <w:fldChar w:fldCharType="end"/>
      </w:r>
      <w:r w:rsidR="0074156A">
        <w:t>.</w:t>
      </w:r>
    </w:p>
    <w:p w14:paraId="383A35AF" w14:textId="3B7C4B5F" w:rsidR="0074156A" w:rsidRPr="000179FF" w:rsidRDefault="0074156A" w:rsidP="000179FF">
      <w:pPr>
        <w:pStyle w:val="Caption"/>
      </w:pPr>
      <w:bookmarkStart w:id="21" w:name="_Ref166502085"/>
      <w:bookmarkStart w:id="22" w:name="_Toc232589597"/>
      <w:r w:rsidRPr="000179FF">
        <w:t xml:space="preserve">Table </w:t>
      </w:r>
      <w:fldSimple w:instr=" SEQ Table \* ARABIC ">
        <w:r w:rsidR="00C17BD0" w:rsidRPr="000179FF">
          <w:t>2</w:t>
        </w:r>
      </w:fldSimple>
      <w:bookmarkEnd w:id="21"/>
      <w:r w:rsidRPr="000179FF">
        <w:t>: Nomenclature and structural formula of the active constituent diquat</w:t>
      </w:r>
      <w:bookmarkEnd w:id="2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114"/>
        <w:gridCol w:w="6740"/>
      </w:tblGrid>
      <w:tr w:rsidR="0074156A" w14:paraId="64D43EEA" w14:textId="77777777" w:rsidTr="00464B16">
        <w:trPr>
          <w:tblHeader/>
        </w:trPr>
        <w:tc>
          <w:tcPr>
            <w:tcW w:w="1580" w:type="pct"/>
            <w:shd w:val="clear" w:color="auto" w:fill="5C2946"/>
          </w:tcPr>
          <w:p w14:paraId="2C2A39D1" w14:textId="77777777" w:rsidR="0074156A" w:rsidRPr="00AB17DB" w:rsidRDefault="0074156A" w:rsidP="00DC1CBE">
            <w:pPr>
              <w:pStyle w:val="TableHead"/>
            </w:pPr>
            <w:r w:rsidRPr="00AB17DB">
              <w:t>Common name (ISO):</w:t>
            </w:r>
          </w:p>
        </w:tc>
        <w:tc>
          <w:tcPr>
            <w:tcW w:w="3420" w:type="pct"/>
          </w:tcPr>
          <w:p w14:paraId="6AF8C617" w14:textId="77777777" w:rsidR="0074156A" w:rsidRPr="0082778D" w:rsidRDefault="0074156A" w:rsidP="00464B16">
            <w:pPr>
              <w:pStyle w:val="TableText"/>
            </w:pPr>
            <w:r w:rsidRPr="0082778D">
              <w:t>Diquat</w:t>
            </w:r>
          </w:p>
        </w:tc>
      </w:tr>
      <w:tr w:rsidR="0074156A" w14:paraId="0C6F902D" w14:textId="77777777" w:rsidTr="00464B16">
        <w:trPr>
          <w:tblHeader/>
        </w:trPr>
        <w:tc>
          <w:tcPr>
            <w:tcW w:w="1580" w:type="pct"/>
            <w:shd w:val="clear" w:color="auto" w:fill="5C2946"/>
          </w:tcPr>
          <w:p w14:paraId="3D7E79D7" w14:textId="77777777" w:rsidR="0074156A" w:rsidRPr="00452764" w:rsidRDefault="0074156A" w:rsidP="00452764">
            <w:pPr>
              <w:pStyle w:val="TableHead"/>
            </w:pPr>
            <w:r w:rsidRPr="00452764">
              <w:t>IUPAC name:</w:t>
            </w:r>
          </w:p>
        </w:tc>
        <w:tc>
          <w:tcPr>
            <w:tcW w:w="3420" w:type="pct"/>
          </w:tcPr>
          <w:p w14:paraId="3814F6FC" w14:textId="6F22A502" w:rsidR="0074156A" w:rsidRPr="0082778D" w:rsidRDefault="0074156A" w:rsidP="00464B16">
            <w:pPr>
              <w:pStyle w:val="TableText"/>
            </w:pPr>
            <w:r w:rsidRPr="0082778D">
              <w:t>1,1'-ethylene-2,2'-bipyridyldiylium (diquat)</w:t>
            </w:r>
            <w:bookmarkStart w:id="23" w:name="Text157"/>
          </w:p>
          <w:p w14:paraId="1753FF23" w14:textId="77777777" w:rsidR="0074156A" w:rsidRPr="0082778D" w:rsidRDefault="0074156A" w:rsidP="00464B16">
            <w:pPr>
              <w:pStyle w:val="TableText"/>
            </w:pPr>
            <w:r w:rsidRPr="0082778D">
              <w:t>1,1'-ethylene-2,2'-bipyridyldiylium dibromide</w:t>
            </w:r>
            <w:bookmarkEnd w:id="23"/>
            <w:r w:rsidRPr="0082778D">
              <w:t xml:space="preserve"> (diquat dibromide)</w:t>
            </w:r>
          </w:p>
        </w:tc>
      </w:tr>
      <w:tr w:rsidR="0074156A" w14:paraId="46FB74FB" w14:textId="77777777" w:rsidTr="00464B16">
        <w:trPr>
          <w:tblHeader/>
        </w:trPr>
        <w:tc>
          <w:tcPr>
            <w:tcW w:w="1580" w:type="pct"/>
            <w:shd w:val="clear" w:color="auto" w:fill="5C2946"/>
          </w:tcPr>
          <w:p w14:paraId="2EFAB324" w14:textId="77777777" w:rsidR="0074156A" w:rsidRPr="00AB17DB" w:rsidRDefault="0074156A" w:rsidP="00DC1CBE">
            <w:pPr>
              <w:pStyle w:val="TableHead"/>
            </w:pPr>
            <w:r w:rsidRPr="00AB17DB">
              <w:t>CAS registry number:</w:t>
            </w:r>
          </w:p>
        </w:tc>
        <w:tc>
          <w:tcPr>
            <w:tcW w:w="3420" w:type="pct"/>
          </w:tcPr>
          <w:p w14:paraId="62B726AC" w14:textId="7521836F" w:rsidR="0074156A" w:rsidRPr="0082778D" w:rsidRDefault="0074156A" w:rsidP="00464B16">
            <w:pPr>
              <w:pStyle w:val="TableText"/>
            </w:pPr>
            <w:r w:rsidRPr="0082778D">
              <w:t>2764-72-9 (diquat cation)</w:t>
            </w:r>
          </w:p>
          <w:p w14:paraId="27536FF9" w14:textId="77777777" w:rsidR="0074156A" w:rsidRPr="0082778D" w:rsidRDefault="0074156A" w:rsidP="00464B16">
            <w:pPr>
              <w:pStyle w:val="TableText"/>
            </w:pPr>
            <w:r w:rsidRPr="0082778D">
              <w:t>85-00-7 (diquat dibromide)</w:t>
            </w:r>
          </w:p>
        </w:tc>
      </w:tr>
      <w:tr w:rsidR="0074156A" w14:paraId="52D1CBC9" w14:textId="77777777" w:rsidTr="00464B16">
        <w:trPr>
          <w:tblHeader/>
        </w:trPr>
        <w:tc>
          <w:tcPr>
            <w:tcW w:w="1580" w:type="pct"/>
            <w:shd w:val="clear" w:color="auto" w:fill="5C2946"/>
          </w:tcPr>
          <w:p w14:paraId="37C38CA3" w14:textId="77777777" w:rsidR="0074156A" w:rsidRPr="00AB17DB" w:rsidRDefault="0074156A" w:rsidP="00DC1CBE">
            <w:pPr>
              <w:pStyle w:val="TableHead"/>
            </w:pPr>
            <w:r w:rsidRPr="00AB17DB">
              <w:t>Molecular formula:</w:t>
            </w:r>
          </w:p>
        </w:tc>
        <w:tc>
          <w:tcPr>
            <w:tcW w:w="3420" w:type="pct"/>
          </w:tcPr>
          <w:p w14:paraId="63F71FAE" w14:textId="77777777" w:rsidR="0074156A" w:rsidRPr="0082778D" w:rsidRDefault="0074156A" w:rsidP="00464B16">
            <w:pPr>
              <w:pStyle w:val="TableText"/>
            </w:pPr>
            <w:r w:rsidRPr="0082778D">
              <w:t xml:space="preserve">C12H12N2 (diquat) </w:t>
            </w:r>
          </w:p>
          <w:p w14:paraId="1A874794" w14:textId="77777777" w:rsidR="0074156A" w:rsidRPr="0082778D" w:rsidRDefault="0074156A" w:rsidP="00464B16">
            <w:pPr>
              <w:pStyle w:val="TableText"/>
            </w:pPr>
            <w:r w:rsidRPr="0082778D">
              <w:t>C12H12Br2N2 (diquat dibromide)</w:t>
            </w:r>
          </w:p>
        </w:tc>
      </w:tr>
      <w:tr w:rsidR="0074156A" w14:paraId="77110DA9" w14:textId="77777777" w:rsidTr="00464B16">
        <w:trPr>
          <w:tblHeader/>
        </w:trPr>
        <w:tc>
          <w:tcPr>
            <w:tcW w:w="1580" w:type="pct"/>
            <w:shd w:val="clear" w:color="auto" w:fill="5C2946"/>
          </w:tcPr>
          <w:p w14:paraId="5583C1C0" w14:textId="77777777" w:rsidR="0074156A" w:rsidRPr="00AB17DB" w:rsidRDefault="0074156A" w:rsidP="00DC1CBE">
            <w:pPr>
              <w:pStyle w:val="TableHead"/>
            </w:pPr>
            <w:r w:rsidRPr="00AB17DB">
              <w:t>Molecular weight:</w:t>
            </w:r>
          </w:p>
        </w:tc>
        <w:tc>
          <w:tcPr>
            <w:tcW w:w="3420" w:type="pct"/>
          </w:tcPr>
          <w:p w14:paraId="3AACB386" w14:textId="67BDBDA6" w:rsidR="0074156A" w:rsidRPr="0082778D" w:rsidRDefault="0074156A" w:rsidP="00464B16">
            <w:pPr>
              <w:pStyle w:val="TableText"/>
            </w:pPr>
            <w:r w:rsidRPr="0082778D">
              <w:t>184.2 gmol-1 (diquat cation)</w:t>
            </w:r>
          </w:p>
          <w:p w14:paraId="0E6FEE2E" w14:textId="77777777" w:rsidR="0074156A" w:rsidRPr="0082778D" w:rsidRDefault="0074156A" w:rsidP="00464B16">
            <w:pPr>
              <w:pStyle w:val="TableText"/>
            </w:pPr>
            <w:r w:rsidRPr="0082778D">
              <w:t>344.1 gmol-1 (diquat dibromide salt)</w:t>
            </w:r>
          </w:p>
        </w:tc>
      </w:tr>
      <w:tr w:rsidR="0074156A" w14:paraId="6B485044" w14:textId="77777777" w:rsidTr="00464B16">
        <w:trPr>
          <w:tblHeader/>
        </w:trPr>
        <w:tc>
          <w:tcPr>
            <w:tcW w:w="1580" w:type="pct"/>
            <w:shd w:val="clear" w:color="auto" w:fill="5C2946"/>
          </w:tcPr>
          <w:p w14:paraId="6445FA03" w14:textId="77777777" w:rsidR="0074156A" w:rsidRPr="00AB17DB" w:rsidRDefault="0074156A" w:rsidP="00DC1CBE">
            <w:pPr>
              <w:pStyle w:val="TableHead"/>
            </w:pPr>
            <w:r w:rsidRPr="00AB17DB">
              <w:t>Structural formula:</w:t>
            </w:r>
          </w:p>
        </w:tc>
        <w:tc>
          <w:tcPr>
            <w:tcW w:w="3420" w:type="pct"/>
          </w:tcPr>
          <w:p w14:paraId="6B953B66" w14:textId="77777777" w:rsidR="0074156A" w:rsidRDefault="0074156A" w:rsidP="00464B16">
            <w:pPr>
              <w:pStyle w:val="TableText"/>
            </w:pPr>
          </w:p>
          <w:p w14:paraId="5714B0FD" w14:textId="77777777" w:rsidR="0074156A" w:rsidRDefault="0074156A" w:rsidP="00464B16">
            <w:pPr>
              <w:pStyle w:val="TableText"/>
            </w:pPr>
          </w:p>
          <w:p w14:paraId="4FD6BA58" w14:textId="77777777" w:rsidR="0074156A" w:rsidRDefault="0074156A" w:rsidP="00464B16">
            <w:pPr>
              <w:pStyle w:val="TableText"/>
            </w:pPr>
          </w:p>
          <w:p w14:paraId="7BB7930A" w14:textId="77777777" w:rsidR="0074156A" w:rsidRDefault="0074156A" w:rsidP="00464B16">
            <w:pPr>
              <w:pStyle w:val="TableText"/>
            </w:pPr>
          </w:p>
          <w:p w14:paraId="4C90D500" w14:textId="77777777" w:rsidR="0074156A" w:rsidRDefault="0074156A" w:rsidP="00464B16">
            <w:pPr>
              <w:pStyle w:val="TableText"/>
            </w:pPr>
            <w:r w:rsidRPr="00C872F4">
              <w:rPr>
                <w:noProof/>
                <w:lang w:eastAsia="en-AU"/>
              </w:rPr>
              <w:drawing>
                <wp:inline distT="0" distB="0" distL="0" distR="0" wp14:anchorId="55985604" wp14:editId="7FC606F4">
                  <wp:extent cx="1076970" cy="966726"/>
                  <wp:effectExtent l="0" t="0" r="0" b="0"/>
                  <wp:docPr id="1" name="Picture 1" descr="P316C12T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316C12T2#yIS1"/>
                          <pic:cNvPicPr/>
                        </pic:nvPicPr>
                        <pic:blipFill rotWithShape="1">
                          <a:blip r:embed="rId29">
                            <a:extLst>
                              <a:ext uri="{BEBA8EAE-BF5A-486C-A8C5-ECC9F3942E4B}">
                                <a14:imgProps xmlns:a14="http://schemas.microsoft.com/office/drawing/2010/main">
                                  <a14:imgLayer r:embed="rId30">
                                    <a14:imgEffect>
                                      <a14:sharpenSoften amount="50000"/>
                                    </a14:imgEffect>
                                  </a14:imgLayer>
                                </a14:imgProps>
                              </a:ext>
                            </a:extLst>
                          </a:blip>
                          <a:srcRect t="7955"/>
                          <a:stretch/>
                        </pic:blipFill>
                        <pic:spPr bwMode="auto">
                          <a:xfrm>
                            <a:off x="0" y="0"/>
                            <a:ext cx="1128629" cy="101309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3C36CA" w14:textId="77777777" w:rsidR="0074156A" w:rsidRPr="007C3C54" w:rsidRDefault="0074156A" w:rsidP="0059513C">
      <w:pPr>
        <w:pStyle w:val="NormalText"/>
      </w:pPr>
    </w:p>
    <w:p w14:paraId="310EC76A" w14:textId="06C3D4FE" w:rsidR="0074156A" w:rsidRPr="000179FF" w:rsidRDefault="0074156A" w:rsidP="000179FF">
      <w:pPr>
        <w:pStyle w:val="Caption"/>
      </w:pPr>
      <w:bookmarkStart w:id="24" w:name="_Ref43207548"/>
      <w:bookmarkStart w:id="25" w:name="_Toc232589598"/>
      <w:r w:rsidRPr="000179FF">
        <w:lastRenderedPageBreak/>
        <w:t xml:space="preserve">Table </w:t>
      </w:r>
      <w:fldSimple w:instr=" SEQ Table \* ARABIC ">
        <w:r w:rsidR="000179FF">
          <w:rPr>
            <w:noProof/>
          </w:rPr>
          <w:t>3</w:t>
        </w:r>
      </w:fldSimple>
      <w:bookmarkEnd w:id="24"/>
      <w:r w:rsidRPr="000179FF">
        <w:t>: Key physicochemical properties of the active constituent diquat dibromide</w:t>
      </w:r>
      <w:bookmarkEnd w:id="25"/>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204"/>
        <w:gridCol w:w="5650"/>
      </w:tblGrid>
      <w:tr w:rsidR="0074156A" w14:paraId="3C91236B" w14:textId="77777777" w:rsidTr="00464B16">
        <w:trPr>
          <w:tblHeader/>
        </w:trPr>
        <w:tc>
          <w:tcPr>
            <w:tcW w:w="2133" w:type="pct"/>
            <w:shd w:val="clear" w:color="auto" w:fill="5C2946"/>
          </w:tcPr>
          <w:p w14:paraId="1F04F3CB" w14:textId="77777777" w:rsidR="0074156A" w:rsidRPr="00464B16" w:rsidRDefault="0074156A" w:rsidP="00464B16">
            <w:pPr>
              <w:pStyle w:val="TableHead"/>
            </w:pPr>
            <w:r w:rsidRPr="00464B16">
              <w:t>Appearance</w:t>
            </w:r>
          </w:p>
        </w:tc>
        <w:tc>
          <w:tcPr>
            <w:tcW w:w="2867" w:type="pct"/>
          </w:tcPr>
          <w:p w14:paraId="1C0974C3" w14:textId="77777777" w:rsidR="0074156A" w:rsidRDefault="0074156A" w:rsidP="00464B16">
            <w:pPr>
              <w:pStyle w:val="APVMATableText"/>
            </w:pPr>
            <w:r>
              <w:t>Colourless to yellow crystals solid (pure active ingredient)</w:t>
            </w:r>
          </w:p>
          <w:p w14:paraId="31D1114A" w14:textId="77777777" w:rsidR="0074156A" w:rsidRPr="00047053" w:rsidRDefault="0074156A" w:rsidP="00464B16">
            <w:pPr>
              <w:pStyle w:val="APVMATableText"/>
            </w:pPr>
            <w:r>
              <w:t>Dark brown liquid (technical active ingredient)</w:t>
            </w:r>
          </w:p>
        </w:tc>
      </w:tr>
      <w:tr w:rsidR="0074156A" w14:paraId="0A5E27A1" w14:textId="77777777" w:rsidTr="00464B16">
        <w:trPr>
          <w:tblHeader/>
        </w:trPr>
        <w:tc>
          <w:tcPr>
            <w:tcW w:w="2133" w:type="pct"/>
            <w:shd w:val="clear" w:color="auto" w:fill="5C2946"/>
          </w:tcPr>
          <w:p w14:paraId="27088A0D" w14:textId="77777777" w:rsidR="0074156A" w:rsidRPr="00464B16" w:rsidRDefault="0074156A" w:rsidP="00464B16">
            <w:pPr>
              <w:pStyle w:val="TableHead"/>
            </w:pPr>
            <w:r w:rsidRPr="00464B16">
              <w:t>Melting point</w:t>
            </w:r>
          </w:p>
        </w:tc>
        <w:tc>
          <w:tcPr>
            <w:tcW w:w="2867" w:type="pct"/>
          </w:tcPr>
          <w:p w14:paraId="0DA4E7D2" w14:textId="58E75439" w:rsidR="0074156A" w:rsidRPr="00047053" w:rsidRDefault="0074156A" w:rsidP="00464B16">
            <w:pPr>
              <w:pStyle w:val="APVMATableText"/>
            </w:pPr>
            <w:r>
              <w:t>325°C (</w:t>
            </w:r>
            <w:r w:rsidR="00464B16">
              <w:t>d</w:t>
            </w:r>
            <w:r>
              <w:t>ecomposes before melting</w:t>
            </w:r>
            <w:r w:rsidRPr="00047053">
              <w:t>)</w:t>
            </w:r>
          </w:p>
        </w:tc>
      </w:tr>
      <w:tr w:rsidR="0074156A" w14:paraId="656B4B0C" w14:textId="77777777" w:rsidTr="00464B16">
        <w:trPr>
          <w:tblHeader/>
        </w:trPr>
        <w:tc>
          <w:tcPr>
            <w:tcW w:w="2133" w:type="pct"/>
            <w:shd w:val="clear" w:color="auto" w:fill="5C2946"/>
          </w:tcPr>
          <w:p w14:paraId="5922F1C7" w14:textId="77777777" w:rsidR="0074156A" w:rsidRPr="00464B16" w:rsidRDefault="0074156A" w:rsidP="00464B16">
            <w:pPr>
              <w:pStyle w:val="TableHead"/>
            </w:pPr>
            <w:r w:rsidRPr="00464B16">
              <w:t>Relative density</w:t>
            </w:r>
          </w:p>
        </w:tc>
        <w:tc>
          <w:tcPr>
            <w:tcW w:w="2867" w:type="pct"/>
          </w:tcPr>
          <w:p w14:paraId="2CA2322A" w14:textId="77777777" w:rsidR="0074156A" w:rsidRPr="00047053" w:rsidRDefault="0074156A" w:rsidP="00464B16">
            <w:pPr>
              <w:pStyle w:val="APVMATableText"/>
            </w:pPr>
            <w:r>
              <w:t>1.61 g/cm</w:t>
            </w:r>
          </w:p>
        </w:tc>
      </w:tr>
      <w:tr w:rsidR="0074156A" w14:paraId="52936423" w14:textId="77777777" w:rsidTr="00464B16">
        <w:trPr>
          <w:tblHeader/>
        </w:trPr>
        <w:tc>
          <w:tcPr>
            <w:tcW w:w="2133" w:type="pct"/>
            <w:shd w:val="clear" w:color="auto" w:fill="5C2946"/>
          </w:tcPr>
          <w:p w14:paraId="602B0ABC" w14:textId="6E1D2679" w:rsidR="0074156A" w:rsidRPr="00464B16" w:rsidRDefault="0074156A" w:rsidP="00464B16">
            <w:pPr>
              <w:pStyle w:val="TableHead"/>
            </w:pPr>
            <w:r w:rsidRPr="00464B16">
              <w:t>Solubility in water (20°C)</w:t>
            </w:r>
          </w:p>
        </w:tc>
        <w:tc>
          <w:tcPr>
            <w:tcW w:w="2867" w:type="pct"/>
          </w:tcPr>
          <w:p w14:paraId="6E47C668" w14:textId="193A1221" w:rsidR="0074156A" w:rsidRPr="0070196A" w:rsidRDefault="0074156A" w:rsidP="00464B16">
            <w:pPr>
              <w:pStyle w:val="APVMATableText"/>
              <w:rPr>
                <w:kern w:val="22"/>
              </w:rPr>
            </w:pPr>
            <w:r>
              <w:rPr>
                <w:kern w:val="22"/>
              </w:rPr>
              <w:t xml:space="preserve">718 g/L </w:t>
            </w:r>
            <w:r w:rsidRPr="0081066C">
              <w:rPr>
                <w:kern w:val="22"/>
              </w:rPr>
              <w:t>at 20</w:t>
            </w:r>
            <w:r w:rsidRPr="0081066C">
              <w:t>°C</w:t>
            </w:r>
          </w:p>
        </w:tc>
      </w:tr>
      <w:tr w:rsidR="0074156A" w14:paraId="07F647C2" w14:textId="77777777" w:rsidTr="00464B16">
        <w:trPr>
          <w:tblHeader/>
        </w:trPr>
        <w:tc>
          <w:tcPr>
            <w:tcW w:w="2133" w:type="pct"/>
            <w:shd w:val="clear" w:color="auto" w:fill="5C2946"/>
          </w:tcPr>
          <w:p w14:paraId="7B758354" w14:textId="1E7315D7" w:rsidR="0074156A" w:rsidRPr="00464B16" w:rsidRDefault="0074156A" w:rsidP="00464B16">
            <w:pPr>
              <w:pStyle w:val="TableHead"/>
            </w:pPr>
            <w:r w:rsidRPr="00464B16">
              <w:t>Organic solvent solubility (20°C)</w:t>
            </w:r>
          </w:p>
        </w:tc>
        <w:tc>
          <w:tcPr>
            <w:tcW w:w="2867" w:type="pct"/>
          </w:tcPr>
          <w:p w14:paraId="663C2DF1" w14:textId="7F091A61" w:rsidR="0074156A" w:rsidRDefault="0074156A" w:rsidP="00464B16">
            <w:pPr>
              <w:pStyle w:val="APVMATableText"/>
              <w:rPr>
                <w:kern w:val="22"/>
              </w:rPr>
            </w:pPr>
            <w:r w:rsidRPr="00BF2BCE">
              <w:rPr>
                <w:kern w:val="22"/>
              </w:rPr>
              <w:t xml:space="preserve">Slightly soluble in </w:t>
            </w:r>
            <w:r>
              <w:rPr>
                <w:kern w:val="22"/>
              </w:rPr>
              <w:t>alcohols and hydroxylic solvents.</w:t>
            </w:r>
          </w:p>
          <w:p w14:paraId="2DBB5D47" w14:textId="77777777" w:rsidR="0074156A" w:rsidRPr="00BF2BCE" w:rsidRDefault="0074156A" w:rsidP="00464B16">
            <w:pPr>
              <w:pStyle w:val="APVMATableText"/>
              <w:rPr>
                <w:kern w:val="22"/>
              </w:rPr>
            </w:pPr>
            <w:r>
              <w:rPr>
                <w:kern w:val="22"/>
              </w:rPr>
              <w:t>P</w:t>
            </w:r>
            <w:r w:rsidRPr="00BF2BCE">
              <w:rPr>
                <w:kern w:val="22"/>
              </w:rPr>
              <w:t xml:space="preserve">ractically insoluble in </w:t>
            </w:r>
            <w:r>
              <w:rPr>
                <w:kern w:val="22"/>
              </w:rPr>
              <w:t>non-polar organic solvents</w:t>
            </w:r>
            <w:r w:rsidRPr="00BF2BCE">
              <w:t>.</w:t>
            </w:r>
          </w:p>
        </w:tc>
      </w:tr>
      <w:tr w:rsidR="0074156A" w14:paraId="6629DFCE" w14:textId="77777777" w:rsidTr="00464B16">
        <w:trPr>
          <w:tblHeader/>
        </w:trPr>
        <w:tc>
          <w:tcPr>
            <w:tcW w:w="2133" w:type="pct"/>
            <w:shd w:val="clear" w:color="auto" w:fill="5C2946"/>
          </w:tcPr>
          <w:p w14:paraId="0E2BA496" w14:textId="77777777" w:rsidR="0074156A" w:rsidRPr="00464B16" w:rsidRDefault="0074156A" w:rsidP="00464B16">
            <w:pPr>
              <w:pStyle w:val="TableHead"/>
            </w:pPr>
            <w:r w:rsidRPr="00464B16">
              <w:t>Octanol/water partition coefficient (Log Kow)</w:t>
            </w:r>
          </w:p>
        </w:tc>
        <w:tc>
          <w:tcPr>
            <w:tcW w:w="2867" w:type="pct"/>
          </w:tcPr>
          <w:p w14:paraId="3B55D06E" w14:textId="14F05D5A" w:rsidR="0074156A" w:rsidRPr="0081066C" w:rsidRDefault="0074156A" w:rsidP="00464B16">
            <w:pPr>
              <w:pStyle w:val="APVMATableText"/>
              <w:rPr>
                <w:kern w:val="22"/>
              </w:rPr>
            </w:pPr>
            <w:r w:rsidRPr="0081066C">
              <w:rPr>
                <w:kern w:val="22"/>
              </w:rPr>
              <w:t>Log Kow = ­4.60 at 20</w:t>
            </w:r>
            <w:r w:rsidRPr="0081066C">
              <w:t>°C</w:t>
            </w:r>
          </w:p>
        </w:tc>
      </w:tr>
      <w:tr w:rsidR="0074156A" w14:paraId="0CA4D076" w14:textId="77777777" w:rsidTr="00464B16">
        <w:trPr>
          <w:tblHeader/>
        </w:trPr>
        <w:tc>
          <w:tcPr>
            <w:tcW w:w="2133" w:type="pct"/>
            <w:shd w:val="clear" w:color="auto" w:fill="5C2946"/>
          </w:tcPr>
          <w:p w14:paraId="6F7BC57D" w14:textId="77777777" w:rsidR="0074156A" w:rsidRPr="00464B16" w:rsidRDefault="0074156A" w:rsidP="00464B16">
            <w:pPr>
              <w:pStyle w:val="TableHead"/>
            </w:pPr>
            <w:r w:rsidRPr="00464B16">
              <w:t>Vapour pressure</w:t>
            </w:r>
          </w:p>
        </w:tc>
        <w:tc>
          <w:tcPr>
            <w:tcW w:w="2867" w:type="pct"/>
          </w:tcPr>
          <w:p w14:paraId="7A543C93" w14:textId="64AA1404" w:rsidR="0074156A" w:rsidRPr="0040668D" w:rsidRDefault="0074156A" w:rsidP="00464B16">
            <w:pPr>
              <w:pStyle w:val="APVMATableText"/>
            </w:pPr>
            <w:r>
              <w:rPr>
                <w:kern w:val="22"/>
              </w:rPr>
              <w:t>&lt;0.01 mPa at 25</w:t>
            </w:r>
            <w:r>
              <w:t>°C</w:t>
            </w:r>
          </w:p>
        </w:tc>
      </w:tr>
      <w:tr w:rsidR="0074156A" w14:paraId="6B38B700" w14:textId="77777777" w:rsidTr="00464B16">
        <w:trPr>
          <w:trHeight w:val="613"/>
          <w:tblHeader/>
        </w:trPr>
        <w:tc>
          <w:tcPr>
            <w:tcW w:w="2133" w:type="pct"/>
            <w:shd w:val="clear" w:color="auto" w:fill="5C2946"/>
          </w:tcPr>
          <w:p w14:paraId="29DDF87D" w14:textId="77777777" w:rsidR="0074156A" w:rsidRPr="00464B16" w:rsidRDefault="0074156A" w:rsidP="00464B16">
            <w:pPr>
              <w:pStyle w:val="TableHead"/>
            </w:pPr>
            <w:r w:rsidRPr="00464B16">
              <w:t>Henry’s law constant (calculated)</w:t>
            </w:r>
          </w:p>
        </w:tc>
        <w:tc>
          <w:tcPr>
            <w:tcW w:w="2867" w:type="pct"/>
          </w:tcPr>
          <w:p w14:paraId="4392A109" w14:textId="77777777" w:rsidR="0074156A" w:rsidRPr="00047053" w:rsidRDefault="0074156A" w:rsidP="00464B16">
            <w:pPr>
              <w:pStyle w:val="APVMATableText"/>
            </w:pPr>
            <w:r>
              <w:rPr>
                <w:kern w:val="22"/>
              </w:rPr>
              <w:t>&lt; 5 × 10</w:t>
            </w:r>
            <w:r>
              <w:rPr>
                <w:kern w:val="22"/>
                <w:vertAlign w:val="superscript"/>
              </w:rPr>
              <w:t>-9</w:t>
            </w:r>
            <w:r>
              <w:rPr>
                <w:kern w:val="22"/>
              </w:rPr>
              <w:t xml:space="preserve"> Pa.m</w:t>
            </w:r>
            <w:r w:rsidRPr="00B103D5">
              <w:rPr>
                <w:kern w:val="22"/>
                <w:vertAlign w:val="superscript"/>
              </w:rPr>
              <w:t>3</w:t>
            </w:r>
            <w:r>
              <w:rPr>
                <w:kern w:val="22"/>
              </w:rPr>
              <w:t>mol</w:t>
            </w:r>
            <w:r w:rsidRPr="00B103D5">
              <w:rPr>
                <w:kern w:val="22"/>
                <w:vertAlign w:val="superscript"/>
              </w:rPr>
              <w:t>-1</w:t>
            </w:r>
          </w:p>
        </w:tc>
      </w:tr>
      <w:tr w:rsidR="0074156A" w14:paraId="6854733B" w14:textId="77777777" w:rsidTr="00464B16">
        <w:trPr>
          <w:trHeight w:val="613"/>
          <w:tblHeader/>
        </w:trPr>
        <w:tc>
          <w:tcPr>
            <w:tcW w:w="2133" w:type="pct"/>
            <w:shd w:val="clear" w:color="auto" w:fill="5C2946"/>
          </w:tcPr>
          <w:p w14:paraId="79D167F1" w14:textId="3CA50669" w:rsidR="0074156A" w:rsidRPr="00464B16" w:rsidRDefault="0074156A" w:rsidP="00464B16">
            <w:pPr>
              <w:pStyle w:val="TableHead"/>
            </w:pPr>
            <w:r w:rsidRPr="00464B16">
              <w:t>Hydrolysis (DT</w:t>
            </w:r>
            <w:r w:rsidRPr="00C164F7">
              <w:rPr>
                <w:vertAlign w:val="subscript"/>
              </w:rPr>
              <w:t>50</w:t>
            </w:r>
            <w:r w:rsidRPr="00464B16">
              <w:t>; 25°C)</w:t>
            </w:r>
          </w:p>
        </w:tc>
        <w:tc>
          <w:tcPr>
            <w:tcW w:w="2867" w:type="pct"/>
          </w:tcPr>
          <w:p w14:paraId="718D8CF2" w14:textId="59E8B7B4" w:rsidR="0074156A" w:rsidRDefault="0074156A" w:rsidP="00464B16">
            <w:pPr>
              <w:pStyle w:val="APVMATableText"/>
              <w:rPr>
                <w:kern w:val="22"/>
              </w:rPr>
            </w:pPr>
            <w:r>
              <w:rPr>
                <w:kern w:val="22"/>
              </w:rPr>
              <w:t>DT</w:t>
            </w:r>
            <w:r w:rsidRPr="00C164F7">
              <w:rPr>
                <w:kern w:val="22"/>
                <w:vertAlign w:val="subscript"/>
              </w:rPr>
              <w:t>50</w:t>
            </w:r>
            <w:r>
              <w:rPr>
                <w:kern w:val="22"/>
              </w:rPr>
              <w:t xml:space="preserve"> at pH 7 in stimulated natural sunlight is 74 days</w:t>
            </w:r>
            <w:r w:rsidR="00464B16">
              <w:rPr>
                <w:kern w:val="22"/>
              </w:rPr>
              <w:t>.</w:t>
            </w:r>
          </w:p>
          <w:p w14:paraId="5E651E9E" w14:textId="09CDF597" w:rsidR="0074156A" w:rsidRPr="00047053" w:rsidRDefault="0074156A" w:rsidP="00464B16">
            <w:pPr>
              <w:pStyle w:val="APVMATableText"/>
              <w:rPr>
                <w:kern w:val="22"/>
              </w:rPr>
            </w:pPr>
            <w:r>
              <w:rPr>
                <w:kern w:val="22"/>
              </w:rPr>
              <w:t>Hydrolytically stable</w:t>
            </w:r>
            <w:r w:rsidRPr="00884AFB">
              <w:rPr>
                <w:sz w:val="19"/>
                <w:szCs w:val="19"/>
              </w:rPr>
              <w:t xml:space="preserve"> </w:t>
            </w:r>
            <w:r w:rsidRPr="00884AFB">
              <w:t>in the dark condition at pH 4, pH 7 and pH at</w:t>
            </w:r>
            <w:r>
              <w:rPr>
                <w:kern w:val="22"/>
              </w:rPr>
              <w:t xml:space="preserve"> </w:t>
            </w:r>
            <w:r w:rsidRPr="00884AFB">
              <w:rPr>
                <w:kern w:val="22"/>
              </w:rPr>
              <w:t>50</w:t>
            </w:r>
            <w:r w:rsidRPr="00884AFB">
              <w:t>°C for 5 days</w:t>
            </w:r>
            <w:r w:rsidR="00464B16">
              <w:t>.</w:t>
            </w:r>
          </w:p>
        </w:tc>
      </w:tr>
      <w:tr w:rsidR="0074156A" w14:paraId="424B1603" w14:textId="77777777" w:rsidTr="00464B16">
        <w:trPr>
          <w:trHeight w:val="613"/>
          <w:tblHeader/>
        </w:trPr>
        <w:tc>
          <w:tcPr>
            <w:tcW w:w="2133" w:type="pct"/>
            <w:shd w:val="clear" w:color="auto" w:fill="5C2946"/>
          </w:tcPr>
          <w:p w14:paraId="0AD5847D" w14:textId="77777777" w:rsidR="0074156A" w:rsidRPr="00464B16" w:rsidRDefault="0074156A" w:rsidP="00464B16">
            <w:pPr>
              <w:pStyle w:val="TableHead"/>
            </w:pPr>
            <w:r w:rsidRPr="00464B16">
              <w:t>Photolysis (DT</w:t>
            </w:r>
            <w:r w:rsidRPr="00C164F7">
              <w:rPr>
                <w:vertAlign w:val="subscript"/>
              </w:rPr>
              <w:t>50</w:t>
            </w:r>
            <w:r w:rsidRPr="00464B16">
              <w:t>)</w:t>
            </w:r>
          </w:p>
        </w:tc>
        <w:tc>
          <w:tcPr>
            <w:tcW w:w="2867" w:type="pct"/>
          </w:tcPr>
          <w:p w14:paraId="3C487206" w14:textId="1C42C692" w:rsidR="0074156A" w:rsidRPr="00047053" w:rsidRDefault="0074156A" w:rsidP="00464B16">
            <w:pPr>
              <w:pStyle w:val="APVMATableText"/>
              <w:rPr>
                <w:kern w:val="22"/>
              </w:rPr>
            </w:pPr>
            <w:r>
              <w:rPr>
                <w:kern w:val="22"/>
              </w:rPr>
              <w:t>Aqueous photolysis (DT50) is 1.3 days</w:t>
            </w:r>
            <w:r w:rsidR="00464B16">
              <w:rPr>
                <w:kern w:val="22"/>
              </w:rPr>
              <w:t>.</w:t>
            </w:r>
          </w:p>
        </w:tc>
      </w:tr>
    </w:tbl>
    <w:p w14:paraId="43244656" w14:textId="77777777" w:rsidR="00787D75" w:rsidRDefault="00787D75" w:rsidP="00452764">
      <w:pPr>
        <w:pStyle w:val="Heading3"/>
      </w:pPr>
      <w:bookmarkStart w:id="26" w:name="_Ref162013845"/>
      <w:bookmarkStart w:id="27" w:name="_Ref162264021"/>
      <w:bookmarkStart w:id="28" w:name="_Toc233038929"/>
      <w:bookmarkEnd w:id="20"/>
      <w:r>
        <w:t xml:space="preserve">Active constituent </w:t>
      </w:r>
      <w:r w:rsidRPr="00452764">
        <w:t>standards</w:t>
      </w:r>
      <w:bookmarkEnd w:id="28"/>
    </w:p>
    <w:p w14:paraId="61AB29BB" w14:textId="52765139" w:rsidR="00787D75" w:rsidRDefault="004A1688" w:rsidP="00464B16">
      <w:pPr>
        <w:pStyle w:val="NormalText"/>
      </w:pPr>
      <w:r w:rsidRPr="00432AA0">
        <w:t xml:space="preserve">The </w:t>
      </w:r>
      <w:bookmarkStart w:id="29" w:name="_Hlk166508974"/>
      <w:r w:rsidRPr="0085176B">
        <w:rPr>
          <w:i/>
          <w:iCs/>
        </w:rPr>
        <w:fldChar w:fldCharType="begin"/>
      </w:r>
      <w:r w:rsidRPr="0085176B">
        <w:rPr>
          <w:i/>
          <w:iCs/>
        </w:rPr>
        <w:instrText>HYPERLINK "https://www.legislation.gov.au/F2022L00137/latest/text"</w:instrText>
      </w:r>
      <w:r w:rsidRPr="0085176B">
        <w:rPr>
          <w:i/>
          <w:iCs/>
        </w:rPr>
      </w:r>
      <w:r w:rsidRPr="0085176B">
        <w:rPr>
          <w:i/>
          <w:iCs/>
        </w:rPr>
        <w:fldChar w:fldCharType="separate"/>
      </w:r>
      <w:r w:rsidRPr="0085176B">
        <w:rPr>
          <w:rStyle w:val="Hyperlink"/>
          <w:i/>
          <w:iCs/>
        </w:rPr>
        <w:t>Agricultural and Veterinary Chemicals Code (Agricultural Active Constituents) Standards 2022</w:t>
      </w:r>
      <w:r w:rsidRPr="0085176B">
        <w:rPr>
          <w:i/>
          <w:iCs/>
        </w:rPr>
        <w:fldChar w:fldCharType="end"/>
      </w:r>
      <w:bookmarkEnd w:id="29"/>
      <w:r w:rsidRPr="00CB0A15">
        <w:t xml:space="preserve"> </w:t>
      </w:r>
      <w:bookmarkStart w:id="30" w:name="_Hlk166508895"/>
      <w:r w:rsidRPr="00CB0A15">
        <w:t>(Agricultural Active Constituents Standard</w:t>
      </w:r>
      <w:r>
        <w:t>s</w:t>
      </w:r>
      <w:r w:rsidRPr="00CB0A15">
        <w:t xml:space="preserve"> 2022)</w:t>
      </w:r>
      <w:bookmarkEnd w:id="30"/>
      <w:r w:rsidRPr="00CB0A15">
        <w:t xml:space="preserve"> </w:t>
      </w:r>
      <w:r>
        <w:t>entry for diquat dibromide</w:t>
      </w:r>
      <w:r w:rsidR="00787D75">
        <w:t xml:space="preserve"> </w:t>
      </w:r>
      <w:r>
        <w:t xml:space="preserve">specifies a </w:t>
      </w:r>
      <w:r w:rsidR="00787D75">
        <w:t xml:space="preserve">minimum purity of </w:t>
      </w:r>
      <w:r>
        <w:t xml:space="preserve">diquat dibromide of </w:t>
      </w:r>
      <w:r w:rsidR="00787D75">
        <w:t xml:space="preserve">940 g/kg on a dry weight basis, with maximum levels for </w:t>
      </w:r>
      <w:r w:rsidR="00464B16">
        <w:t>2</w:t>
      </w:r>
      <w:r w:rsidR="00787D75">
        <w:t xml:space="preserve"> toxicologically significant impurities of 10</w:t>
      </w:r>
      <w:r w:rsidR="00464B16">
        <w:t> </w:t>
      </w:r>
      <w:r w:rsidR="00787D75">
        <w:t xml:space="preserve">mg/kg for </w:t>
      </w:r>
      <w:r w:rsidR="00787D75" w:rsidRPr="00E406C2">
        <w:t>ethylene dibromide</w:t>
      </w:r>
      <w:r w:rsidR="00787D75">
        <w:t xml:space="preserve"> and 2.5 g/kg for free 2,2’-bipyridyl (0.25% w/w maximum of the </w:t>
      </w:r>
      <w:r w:rsidR="00787D75" w:rsidRPr="00E406C2">
        <w:t>diquat dibromide content</w:t>
      </w:r>
      <w:r w:rsidR="00787D75">
        <w:t>).</w:t>
      </w:r>
    </w:p>
    <w:p w14:paraId="7E6CD8A0" w14:textId="29D2F29B" w:rsidR="00787D75" w:rsidRDefault="00787D75" w:rsidP="00464B16">
      <w:pPr>
        <w:pStyle w:val="NormalText"/>
      </w:pPr>
      <w:r>
        <w:t xml:space="preserve">The </w:t>
      </w:r>
      <w:hyperlink r:id="rId31" w:history="1">
        <w:r w:rsidRPr="00177835">
          <w:rPr>
            <w:rStyle w:val="Hyperlink"/>
          </w:rPr>
          <w:t>Food and Agriculture Organization of The United Nations (FAO) Specifications for Plant Protection Products (FAO Specification for Diquat</w:t>
        </w:r>
      </w:hyperlink>
      <w:r w:rsidR="00AA43D1">
        <w:t>: FAO</w:t>
      </w:r>
      <w:r w:rsidR="00177835">
        <w:t>, 2008</w:t>
      </w:r>
      <w:r>
        <w:t>) specification for diquat dibromide</w:t>
      </w:r>
      <w:r w:rsidR="004A1688" w:rsidRPr="004A1688">
        <w:t xml:space="preserve"> </w:t>
      </w:r>
      <w:r w:rsidR="004A1688">
        <w:t>technical concentrate</w:t>
      </w:r>
      <w:r w:rsidR="00464B16">
        <w:t xml:space="preserve"> </w:t>
      </w:r>
      <w:r>
        <w:t>(</w:t>
      </w:r>
      <w:r w:rsidR="004A1688">
        <w:t>manufacturing concentrate</w:t>
      </w:r>
      <w:r>
        <w:t>) is 377 g/kg or 467 g/L</w:t>
      </w:r>
      <w:r w:rsidRPr="0081066C">
        <w:t xml:space="preserve"> </w:t>
      </w:r>
      <w:r>
        <w:t xml:space="preserve">of diquat dibromide (calculated by multiplying the mass of diquat ion content by 1.87), with maximum levels for </w:t>
      </w:r>
      <w:r w:rsidR="00C164F7">
        <w:t>3</w:t>
      </w:r>
      <w:r>
        <w:t xml:space="preserve"> toxicologically significant impurities, 10 mg/kg for </w:t>
      </w:r>
      <w:r w:rsidRPr="00E406C2">
        <w:t>ethylene dibromide</w:t>
      </w:r>
      <w:r>
        <w:t>, 0.75</w:t>
      </w:r>
      <w:r w:rsidR="00464B16">
        <w:t> </w:t>
      </w:r>
      <w:r>
        <w:t>g/kg for free 2,2’-bipyridyl and 1 mg/kg for total terpyridines.</w:t>
      </w:r>
    </w:p>
    <w:p w14:paraId="30BF6F55" w14:textId="596F4DB9" w:rsidR="00787D75" w:rsidRDefault="00787D75" w:rsidP="00464B16">
      <w:pPr>
        <w:pStyle w:val="NormalText"/>
        <w:spacing w:after="0"/>
      </w:pPr>
      <w:r>
        <w:t>The impurity e</w:t>
      </w:r>
      <w:r w:rsidRPr="00E406C2">
        <w:t>thylene dibromide</w:t>
      </w:r>
      <w:r>
        <w:t xml:space="preserve"> is genotoxic and is a carcinogen while the relevant impurities of 2,2’-bipyridyl and total terpyridines have acute oral </w:t>
      </w:r>
      <w:r w:rsidR="009E546C">
        <w:t>toxicity (FAO, 2008)</w:t>
      </w:r>
      <w:r>
        <w:t>.</w:t>
      </w:r>
    </w:p>
    <w:p w14:paraId="4DC546F6" w14:textId="6DC36E73" w:rsidR="00787D75" w:rsidRDefault="00787D75" w:rsidP="004A1688">
      <w:pPr>
        <w:pStyle w:val="Caption"/>
      </w:pPr>
      <w:r>
        <w:lastRenderedPageBreak/>
        <w:t xml:space="preserve">Figure </w:t>
      </w:r>
      <w:fldSimple w:instr=" SEQ Figure \* ARABIC ">
        <w:r w:rsidR="00C17BD0">
          <w:rPr>
            <w:noProof/>
          </w:rPr>
          <w:t>1</w:t>
        </w:r>
      </w:fldSimple>
      <w:r>
        <w:t>: Structures of toxicologically significant impurities in diquat dibromide</w:t>
      </w:r>
    </w:p>
    <w:tbl>
      <w:tblPr>
        <w:tblStyle w:val="TableGrid"/>
        <w:tblW w:w="0" w:type="auto"/>
        <w:tblLook w:val="04A0" w:firstRow="1" w:lastRow="0" w:firstColumn="1" w:lastColumn="0" w:noHBand="0" w:noVBand="1"/>
      </w:tblPr>
      <w:tblGrid>
        <w:gridCol w:w="3209"/>
        <w:gridCol w:w="3209"/>
        <w:gridCol w:w="3210"/>
      </w:tblGrid>
      <w:tr w:rsidR="00787D75" w14:paraId="564CDFE1" w14:textId="77777777" w:rsidTr="00464B16">
        <w:trPr>
          <w:cantSplit/>
          <w:trHeight w:val="1572"/>
        </w:trPr>
        <w:tc>
          <w:tcPr>
            <w:tcW w:w="3209" w:type="dxa"/>
          </w:tcPr>
          <w:p w14:paraId="293BA913" w14:textId="1ECC07B1" w:rsidR="00787D75" w:rsidRDefault="00787D75" w:rsidP="0059513C">
            <w:pPr>
              <w:pStyle w:val="NormalText"/>
              <w:spacing w:line="240" w:lineRule="auto"/>
            </w:pPr>
            <w:r w:rsidRPr="00E97F08">
              <w:rPr>
                <w:noProof/>
                <w:lang w:eastAsia="en-AU"/>
              </w:rPr>
              <w:drawing>
                <wp:inline distT="0" distB="0" distL="0" distR="0" wp14:anchorId="6479F9CF" wp14:editId="6B05CC07">
                  <wp:extent cx="1066949" cy="666843"/>
                  <wp:effectExtent l="0" t="0" r="0" b="0"/>
                  <wp:docPr id="1685972842" name="Picture 1685972842" descr="P358C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72842" name="Picture 1685972842" descr="P358C1T4#yIS1"/>
                          <pic:cNvPicPr/>
                        </pic:nvPicPr>
                        <pic:blipFill>
                          <a:blip r:embed="rId32"/>
                          <a:stretch>
                            <a:fillRect/>
                          </a:stretch>
                        </pic:blipFill>
                        <pic:spPr>
                          <a:xfrm>
                            <a:off x="0" y="0"/>
                            <a:ext cx="1066949" cy="666843"/>
                          </a:xfrm>
                          <a:prstGeom prst="rect">
                            <a:avLst/>
                          </a:prstGeom>
                        </pic:spPr>
                      </pic:pic>
                    </a:graphicData>
                  </a:graphic>
                </wp:inline>
              </w:drawing>
            </w:r>
          </w:p>
        </w:tc>
        <w:tc>
          <w:tcPr>
            <w:tcW w:w="3209" w:type="dxa"/>
          </w:tcPr>
          <w:p w14:paraId="70D1F905" w14:textId="77777777" w:rsidR="00787D75" w:rsidRDefault="00787D75" w:rsidP="0059513C">
            <w:pPr>
              <w:pStyle w:val="NormalText"/>
            </w:pPr>
            <w:r w:rsidRPr="00D55551">
              <w:rPr>
                <w:noProof/>
                <w:sz w:val="24"/>
                <w:lang w:eastAsia="en-AU"/>
              </w:rPr>
              <w:drawing>
                <wp:anchor distT="0" distB="0" distL="114300" distR="114300" simplePos="0" relativeHeight="251657216" behindDoc="1" locked="0" layoutInCell="1" allowOverlap="1" wp14:anchorId="355DF189" wp14:editId="2C9354C4">
                  <wp:simplePos x="0" y="0"/>
                  <wp:positionH relativeFrom="margin">
                    <wp:posOffset>287213</wp:posOffset>
                  </wp:positionH>
                  <wp:positionV relativeFrom="margin">
                    <wp:posOffset>220842</wp:posOffset>
                  </wp:positionV>
                  <wp:extent cx="1359673" cy="586307"/>
                  <wp:effectExtent l="0" t="0" r="0" b="0"/>
                  <wp:wrapNone/>
                  <wp:docPr id="1399157855" name="Picture 1399157855" descr="P359C2T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57855" name="Picture 1399157855" descr="P359C2T4#y1"/>
                          <pic:cNvPicPr/>
                        </pic:nvPicPr>
                        <pic:blipFill>
                          <a:blip r:embed="rId33">
                            <a:extLst>
                              <a:ext uri="{28A0092B-C50C-407E-A947-70E740481C1C}">
                                <a14:useLocalDpi xmlns:a14="http://schemas.microsoft.com/office/drawing/2010/main" val="0"/>
                              </a:ext>
                            </a:extLst>
                          </a:blip>
                          <a:stretch>
                            <a:fillRect/>
                          </a:stretch>
                        </pic:blipFill>
                        <pic:spPr>
                          <a:xfrm>
                            <a:off x="0" y="0"/>
                            <a:ext cx="1359673" cy="586307"/>
                          </a:xfrm>
                          <a:prstGeom prst="rect">
                            <a:avLst/>
                          </a:prstGeom>
                        </pic:spPr>
                      </pic:pic>
                    </a:graphicData>
                  </a:graphic>
                  <wp14:sizeRelH relativeFrom="margin">
                    <wp14:pctWidth>0</wp14:pctWidth>
                  </wp14:sizeRelH>
                  <wp14:sizeRelV relativeFrom="margin">
                    <wp14:pctHeight>0</wp14:pctHeight>
                  </wp14:sizeRelV>
                </wp:anchor>
              </w:drawing>
            </w:r>
          </w:p>
        </w:tc>
        <w:tc>
          <w:tcPr>
            <w:tcW w:w="3210" w:type="dxa"/>
          </w:tcPr>
          <w:p w14:paraId="424B1AB8" w14:textId="77777777" w:rsidR="00787D75" w:rsidRDefault="00787D75" w:rsidP="0059513C">
            <w:pPr>
              <w:pStyle w:val="NormalText"/>
            </w:pPr>
            <w:r w:rsidRPr="00D55551">
              <w:rPr>
                <w:noProof/>
                <w:sz w:val="24"/>
                <w:lang w:eastAsia="en-AU"/>
              </w:rPr>
              <w:drawing>
                <wp:anchor distT="0" distB="0" distL="114300" distR="114300" simplePos="0" relativeHeight="251658240" behindDoc="1" locked="0" layoutInCell="1" allowOverlap="1" wp14:anchorId="78688A39" wp14:editId="2B27AC69">
                  <wp:simplePos x="0" y="0"/>
                  <wp:positionH relativeFrom="margin">
                    <wp:posOffset>30922</wp:posOffset>
                  </wp:positionH>
                  <wp:positionV relativeFrom="margin">
                    <wp:posOffset>14715</wp:posOffset>
                  </wp:positionV>
                  <wp:extent cx="1893494" cy="970060"/>
                  <wp:effectExtent l="0" t="0" r="0" b="0"/>
                  <wp:wrapNone/>
                  <wp:docPr id="1364179329" name="Picture 1364179329" descr="P360C3T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79329" name="Picture 1364179329" descr="P360C3T4#y1"/>
                          <pic:cNvPicPr/>
                        </pic:nvPicPr>
                        <pic:blipFill>
                          <a:blip r:embed="rId34" cstate="print">
                            <a:extLst>
                              <a:ext uri="{BEBA8EAE-BF5A-486C-A8C5-ECC9F3942E4B}">
                                <a14:imgProps xmlns:a14="http://schemas.microsoft.com/office/drawing/2010/main">
                                  <a14:imgLayer r:embed="rId3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09587" cy="978305"/>
                          </a:xfrm>
                          <a:prstGeom prst="rect">
                            <a:avLst/>
                          </a:prstGeom>
                        </pic:spPr>
                      </pic:pic>
                    </a:graphicData>
                  </a:graphic>
                  <wp14:sizeRelH relativeFrom="margin">
                    <wp14:pctWidth>0</wp14:pctWidth>
                  </wp14:sizeRelH>
                  <wp14:sizeRelV relativeFrom="margin">
                    <wp14:pctHeight>0</wp14:pctHeight>
                  </wp14:sizeRelV>
                </wp:anchor>
              </w:drawing>
            </w:r>
          </w:p>
        </w:tc>
      </w:tr>
      <w:tr w:rsidR="00787D75" w14:paraId="0664CF86" w14:textId="77777777" w:rsidTr="009E546C">
        <w:trPr>
          <w:cantSplit/>
        </w:trPr>
        <w:tc>
          <w:tcPr>
            <w:tcW w:w="3209" w:type="dxa"/>
          </w:tcPr>
          <w:p w14:paraId="4C8E3587" w14:textId="2AE78B60" w:rsidR="00787D75" w:rsidRPr="00E509BB" w:rsidRDefault="00787D75" w:rsidP="0059513C">
            <w:pPr>
              <w:pStyle w:val="NormalText"/>
              <w:rPr>
                <w:szCs w:val="19"/>
                <w:lang w:eastAsia="en-AU"/>
              </w:rPr>
            </w:pPr>
            <w:r>
              <w:rPr>
                <w:szCs w:val="19"/>
                <w:lang w:eastAsia="en-AU"/>
              </w:rPr>
              <w:t>Ethylene dibromide</w:t>
            </w:r>
          </w:p>
        </w:tc>
        <w:tc>
          <w:tcPr>
            <w:tcW w:w="3209" w:type="dxa"/>
          </w:tcPr>
          <w:p w14:paraId="06A85044" w14:textId="77777777" w:rsidR="00787D75" w:rsidRPr="00E509BB" w:rsidRDefault="00787D75" w:rsidP="0059513C">
            <w:pPr>
              <w:pStyle w:val="NormalText"/>
              <w:rPr>
                <w:szCs w:val="19"/>
              </w:rPr>
            </w:pPr>
            <w:r w:rsidRPr="00E509BB">
              <w:rPr>
                <w:szCs w:val="19"/>
              </w:rPr>
              <w:t>2,2’-bipyridyl</w:t>
            </w:r>
          </w:p>
        </w:tc>
        <w:tc>
          <w:tcPr>
            <w:tcW w:w="3210" w:type="dxa"/>
          </w:tcPr>
          <w:p w14:paraId="021BFA7A" w14:textId="77777777" w:rsidR="00787D75" w:rsidRPr="00E509BB" w:rsidRDefault="00787D75" w:rsidP="0059513C">
            <w:pPr>
              <w:pStyle w:val="NormalText"/>
              <w:rPr>
                <w:szCs w:val="19"/>
              </w:rPr>
            </w:pPr>
            <w:r w:rsidRPr="00E509BB">
              <w:rPr>
                <w:szCs w:val="19"/>
              </w:rPr>
              <w:t>2,2’:6’, 2”-terpyridines</w:t>
            </w:r>
          </w:p>
        </w:tc>
      </w:tr>
    </w:tbl>
    <w:p w14:paraId="7CF9CFB8" w14:textId="6D9D747B" w:rsidR="00787D75" w:rsidRPr="00452764" w:rsidRDefault="00787D75" w:rsidP="00452764">
      <w:pPr>
        <w:pStyle w:val="Heading3"/>
      </w:pPr>
      <w:bookmarkStart w:id="31" w:name="_Toc233038930"/>
      <w:r w:rsidRPr="00452764">
        <w:t xml:space="preserve">Statutory considerations under the safety criteria </w:t>
      </w:r>
      <w:r w:rsidR="00464B16" w:rsidRPr="00452764">
        <w:t>–</w:t>
      </w:r>
      <w:r w:rsidRPr="00452764">
        <w:t xml:space="preserve"> active constituents</w:t>
      </w:r>
      <w:bookmarkEnd w:id="31"/>
    </w:p>
    <w:p w14:paraId="16A2B93C" w14:textId="77777777" w:rsidR="00787D75" w:rsidRDefault="00787D75" w:rsidP="00787D75">
      <w:pPr>
        <w:pStyle w:val="NormalText"/>
      </w:pPr>
      <w:r w:rsidRPr="00644FE9">
        <w:t>Under section 5A of the Agvet Code, when determining whether an active constituent sat</w:t>
      </w:r>
      <w:r>
        <w:t>isfies the safety criteria, the APVMA must (amongst other matters) have regard to:</w:t>
      </w:r>
    </w:p>
    <w:p w14:paraId="7BA90225" w14:textId="0E599403" w:rsidR="00787D75" w:rsidRDefault="00464B16" w:rsidP="00464B16">
      <w:pPr>
        <w:pStyle w:val="Bullet1"/>
      </w:pPr>
      <w:r>
        <w:t>t</w:t>
      </w:r>
      <w:r w:rsidR="00787D75">
        <w:t>he method by which the active constituent is or is proposed to be manufactured</w:t>
      </w:r>
    </w:p>
    <w:p w14:paraId="1DC42CFF" w14:textId="4E401BB7" w:rsidR="00787D75" w:rsidRDefault="00464B16" w:rsidP="00464B16">
      <w:pPr>
        <w:pStyle w:val="Bullet1"/>
      </w:pPr>
      <w:r>
        <w:t>t</w:t>
      </w:r>
      <w:r w:rsidR="00787D75">
        <w:t>he extent to which the active constituent will contain impurities</w:t>
      </w:r>
    </w:p>
    <w:p w14:paraId="09FEE751" w14:textId="23887566" w:rsidR="00787D75" w:rsidRDefault="00464B16" w:rsidP="00464B16">
      <w:pPr>
        <w:pStyle w:val="Bullet1"/>
      </w:pPr>
      <w:r>
        <w:t>w</w:t>
      </w:r>
      <w:r w:rsidR="00787D75">
        <w:t>hether an analysis of the active constituent has been carried out and the results of any such analysis</w:t>
      </w:r>
    </w:p>
    <w:p w14:paraId="12FCB624" w14:textId="66EC5773" w:rsidR="00787D75" w:rsidRDefault="00464B16" w:rsidP="00464B16">
      <w:pPr>
        <w:pStyle w:val="Bullet1"/>
      </w:pPr>
      <w:r>
        <w:t>a</w:t>
      </w:r>
      <w:r w:rsidR="00787D75">
        <w:t>ny other relevant matters</w:t>
      </w:r>
      <w:r>
        <w:t>.</w:t>
      </w:r>
    </w:p>
    <w:p w14:paraId="03E440E6" w14:textId="48B0406E" w:rsidR="00787D75" w:rsidRDefault="00787D75" w:rsidP="00787D75">
      <w:pPr>
        <w:pStyle w:val="NormalText"/>
      </w:pPr>
      <w:r>
        <w:t>The manufacturing processes of each source of diquat dibromide were assessed at the time of approval, along with batch analyses of the chemical composition, including the levels of impurities.</w:t>
      </w:r>
      <w:r w:rsidR="00B51109">
        <w:t xml:space="preserve"> As these assessments contain commercially confidential information, they will not be discussed further in this report.</w:t>
      </w:r>
    </w:p>
    <w:p w14:paraId="669A6569" w14:textId="555E0841" w:rsidR="00787D75" w:rsidRDefault="00787D75" w:rsidP="00787D75">
      <w:pPr>
        <w:pStyle w:val="NormalText"/>
      </w:pPr>
      <w:r>
        <w:t>Diquat dibromide is manufactured using 2,2’-bipyridyl and 1,2-dibromoethane (ethylene dibromide) as starting materials. As both of these compounds are of toxicological significance, maximum limits have been specified in both the APVMA standard and in the FAO specification for diquat dibromide. Terpyridines, which are also of toxicological significance, can be formed as a byproduct during the manufacture of 2,2’-bipyridyl and can therefore be present in diquat dibromide technical concentrates.</w:t>
      </w:r>
    </w:p>
    <w:p w14:paraId="4C314D47" w14:textId="123F5DC9" w:rsidR="00787D75" w:rsidRDefault="00787D75" w:rsidP="00787D75">
      <w:pPr>
        <w:pStyle w:val="NormalText"/>
      </w:pPr>
      <w:r>
        <w:t>Based on the information considered at the time of approval (particularly the manufacturing process information), other impurities of toxicological significance are not expected to be present in approved sources of diquat dibromide technical concentrate.</w:t>
      </w:r>
    </w:p>
    <w:p w14:paraId="24261C9F" w14:textId="77777777" w:rsidR="00C1509F" w:rsidRDefault="00787D75" w:rsidP="00787D75">
      <w:pPr>
        <w:pStyle w:val="NormalText"/>
      </w:pPr>
      <w:r>
        <w:t>A limit for terpyridines is not currently included in the APVMA standard for diquat dibromide</w:t>
      </w:r>
      <w:r w:rsidR="00643534">
        <w:t xml:space="preserve">. </w:t>
      </w:r>
      <w:r w:rsidR="00C1509F">
        <w:t xml:space="preserve">A limit for </w:t>
      </w:r>
      <w:r w:rsidR="00C1509F" w:rsidRPr="0085176B">
        <w:t>free 2,2’-bipyridyl</w:t>
      </w:r>
      <w:r w:rsidR="00C1509F">
        <w:t xml:space="preserve"> is included in the current APVMA </w:t>
      </w:r>
      <w:r w:rsidR="00C1509F" w:rsidRPr="0085176B">
        <w:t>standard for diquat dibromide</w:t>
      </w:r>
      <w:r w:rsidR="00C1509F">
        <w:t xml:space="preserve">, however it is less conservative than the limit set in the FAO specification (2.5 g/kg compared with 0.75 g/kg in the FAO specification). </w:t>
      </w:r>
      <w:r w:rsidR="00643534">
        <w:t>Due to the toxicological hazard presented by levels of total terpyridines</w:t>
      </w:r>
      <w:r w:rsidR="00C1509F">
        <w:t xml:space="preserve"> and </w:t>
      </w:r>
      <w:r w:rsidR="00C1509F" w:rsidRPr="00C1509F">
        <w:t>free 2,2’-bipyridy</w:t>
      </w:r>
      <w:r w:rsidR="00C1509F">
        <w:t xml:space="preserve">l </w:t>
      </w:r>
      <w:r w:rsidR="00643534">
        <w:t xml:space="preserve">exceeding the limit prescribed by the FAO specification, the APVMA </w:t>
      </w:r>
      <w:r w:rsidR="00F84430">
        <w:t xml:space="preserve">is not satisfied that diquat dibromide approvals which do not comply with the FAO specification meet the safety criteria. </w:t>
      </w:r>
    </w:p>
    <w:p w14:paraId="1B0C138D" w14:textId="37940CF0" w:rsidR="00787D75" w:rsidRPr="0010582A" w:rsidRDefault="00787D75" w:rsidP="00787D75">
      <w:pPr>
        <w:pStyle w:val="NormalText"/>
      </w:pPr>
      <w:r>
        <w:t>Based on the information provided and the assessment</w:t>
      </w:r>
      <w:r w:rsidR="00140A91">
        <w:t>s</w:t>
      </w:r>
      <w:r>
        <w:t xml:space="preserve"> conducted at the time of approval, in respect of the chemistry-related matters in the section 5A safety criteria, </w:t>
      </w:r>
      <w:r w:rsidR="00140A91">
        <w:t>the</w:t>
      </w:r>
      <w:r>
        <w:t xml:space="preserve"> APVMA remains satisfied in respect </w:t>
      </w:r>
      <w:r w:rsidR="00140A91">
        <w:t xml:space="preserve">to </w:t>
      </w:r>
      <w:r w:rsidRPr="0010582A">
        <w:t>the manufacturing method for approved diquat dibromide active constituents.</w:t>
      </w:r>
    </w:p>
    <w:p w14:paraId="3956CF8E" w14:textId="25194194" w:rsidR="00787D75" w:rsidRDefault="00787D75" w:rsidP="00787D75">
      <w:pPr>
        <w:pStyle w:val="NormalText"/>
      </w:pPr>
      <w:r w:rsidRPr="00993941">
        <w:lastRenderedPageBreak/>
        <w:t>In regard to the analyses of approved diquat dibromide actives and the extent to which they contain impurities, the APVMA is</w:t>
      </w:r>
      <w:r w:rsidR="0010582A" w:rsidRPr="00993941">
        <w:t xml:space="preserve"> satisfied that the active constituent approv</w:t>
      </w:r>
      <w:r w:rsidR="0010582A" w:rsidRPr="0085176B">
        <w:t>als 44219 and 887</w:t>
      </w:r>
      <w:r w:rsidR="00D928B3" w:rsidRPr="0085176B">
        <w:t>1</w:t>
      </w:r>
      <w:r w:rsidR="0010582A" w:rsidRPr="0085176B">
        <w:t>4 co</w:t>
      </w:r>
      <w:r w:rsidR="0010582A" w:rsidRPr="00993941">
        <w:t xml:space="preserve">mply with the FAO specification and </w:t>
      </w:r>
      <w:r w:rsidR="00C1509F">
        <w:t xml:space="preserve">therefore </w:t>
      </w:r>
      <w:r w:rsidR="0010582A" w:rsidRPr="00993941">
        <w:t>meet the safety criteria. The APVMA is</w:t>
      </w:r>
      <w:r w:rsidRPr="00993941">
        <w:t xml:space="preserve"> not currently satisfied that </w:t>
      </w:r>
      <w:r w:rsidR="0010582A" w:rsidRPr="00993941">
        <w:t xml:space="preserve">the </w:t>
      </w:r>
      <w:r w:rsidR="004E21DB" w:rsidRPr="00993941">
        <w:t xml:space="preserve">remaining </w:t>
      </w:r>
      <w:r w:rsidRPr="00993941">
        <w:t xml:space="preserve">diquat dibromide technical concentrate </w:t>
      </w:r>
      <w:r w:rsidR="0010582A" w:rsidRPr="00993941">
        <w:t xml:space="preserve">approvals listed in </w:t>
      </w:r>
      <w:r w:rsidR="0010582A" w:rsidRPr="00993941">
        <w:fldChar w:fldCharType="begin" w:fldLock="1"/>
      </w:r>
      <w:r w:rsidR="0010582A" w:rsidRPr="00993941">
        <w:instrText xml:space="preserve"> REF _Ref168649161 \h  \* MERGEFORMAT </w:instrText>
      </w:r>
      <w:r w:rsidR="0010582A" w:rsidRPr="00993941">
        <w:fldChar w:fldCharType="separate"/>
      </w:r>
      <w:r w:rsidR="0033298E">
        <w:t xml:space="preserve">Table </w:t>
      </w:r>
      <w:r w:rsidR="0033298E">
        <w:rPr>
          <w:noProof/>
        </w:rPr>
        <w:t>4</w:t>
      </w:r>
      <w:r w:rsidR="0010582A" w:rsidRPr="00993941">
        <w:fldChar w:fldCharType="end"/>
      </w:r>
      <w:r w:rsidR="0010582A" w:rsidRPr="00993941">
        <w:t xml:space="preserve"> meet</w:t>
      </w:r>
      <w:r w:rsidRPr="00993941">
        <w:t xml:space="preserve"> the safety criteria</w:t>
      </w:r>
      <w:r w:rsidR="0010582A" w:rsidRPr="00993941">
        <w:t>, as holders of these approvals</w:t>
      </w:r>
      <w:r w:rsidR="00993941">
        <w:t xml:space="preserve"> (</w:t>
      </w:r>
      <w:r w:rsidR="00993941" w:rsidRPr="00993941">
        <w:t>56655, 56808, 58221, 58386, 59111, 62650, 64501, 67123, 87160 and 88034</w:t>
      </w:r>
      <w:r w:rsidR="00993941">
        <w:t>)</w:t>
      </w:r>
      <w:r w:rsidR="0010582A" w:rsidRPr="00993941">
        <w:t xml:space="preserve"> have not </w:t>
      </w:r>
      <w:r w:rsidR="00C1509F">
        <w:t xml:space="preserve">provided data to </w:t>
      </w:r>
      <w:r w:rsidR="0010582A" w:rsidRPr="00993941">
        <w:t>demonstrate</w:t>
      </w:r>
      <w:r w:rsidR="00C1509F">
        <w:t xml:space="preserve"> </w:t>
      </w:r>
      <w:r w:rsidR="0010582A" w:rsidRPr="00993941">
        <w:t>that</w:t>
      </w:r>
      <w:r w:rsidRPr="00993941">
        <w:t xml:space="preserve"> they comply with the FAO specification, including the limit for terpyridines</w:t>
      </w:r>
      <w:r w:rsidR="0085176B">
        <w:t xml:space="preserve"> and the more stringent limit for </w:t>
      </w:r>
      <w:r w:rsidR="0085176B" w:rsidRPr="0085176B">
        <w:t>free 2,2’-bipyridyl</w:t>
      </w:r>
      <w:r w:rsidR="0085176B">
        <w:t>.</w:t>
      </w:r>
    </w:p>
    <w:p w14:paraId="1807EC36" w14:textId="453ABD89" w:rsidR="0085176B" w:rsidRDefault="00140A91" w:rsidP="00787D75">
      <w:pPr>
        <w:pStyle w:val="NormalText"/>
      </w:pPr>
      <w:r>
        <w:t>T</w:t>
      </w:r>
      <w:r w:rsidR="00787D75">
        <w:t>o demonstrate that these approvals satisfy the safety criteria, holders</w:t>
      </w:r>
      <w:r w:rsidR="00993941">
        <w:t xml:space="preserve"> for these active constituents (</w:t>
      </w:r>
      <w:r w:rsidR="00993941" w:rsidRPr="00993941">
        <w:t>56655, 56808, 58221, 58386, 59111, 62650, 64501, 67123, 87160 and 88034</w:t>
      </w:r>
      <w:r w:rsidR="00993941">
        <w:t>)</w:t>
      </w:r>
      <w:r w:rsidR="00787D75">
        <w:t xml:space="preserve"> would need to provide re</w:t>
      </w:r>
      <w:r w:rsidR="00C1509F">
        <w:t>cent</w:t>
      </w:r>
      <w:r w:rsidR="00787D75">
        <w:t xml:space="preserve"> Declarations of Composition and batch analyses demonstrating compliance with the </w:t>
      </w:r>
      <w:r w:rsidR="0085176B">
        <w:t xml:space="preserve">FAO Specification for diquat dibromide. </w:t>
      </w:r>
    </w:p>
    <w:p w14:paraId="1D1E0E09" w14:textId="1944F61F" w:rsidR="00C1509F" w:rsidRDefault="00C1509F" w:rsidP="00787D75">
      <w:pPr>
        <w:pStyle w:val="NormalText"/>
      </w:pPr>
      <w:r>
        <w:t xml:space="preserve">The APVMA intends to revise the </w:t>
      </w:r>
      <w:r w:rsidRPr="00C1509F">
        <w:t>Agricultural Active Constituents Standards 2022</w:t>
      </w:r>
      <w:r>
        <w:t xml:space="preserve"> for diquat </w:t>
      </w:r>
      <w:r w:rsidRPr="00C1509F">
        <w:t>dibromide technical concentrate to harmonise with the FAO specification</w:t>
      </w:r>
      <w:r>
        <w:t>, however this will be done as a separate process out of the scope of this reconsideration.</w:t>
      </w:r>
    </w:p>
    <w:p w14:paraId="5B8CB891" w14:textId="0E59F5B1" w:rsidR="00DB3E7A" w:rsidRPr="000179FF" w:rsidRDefault="00DB3E7A" w:rsidP="000179FF">
      <w:pPr>
        <w:pStyle w:val="Caption"/>
      </w:pPr>
      <w:bookmarkStart w:id="32" w:name="_Ref168649161"/>
      <w:bookmarkStart w:id="33" w:name="_Ref168657220"/>
      <w:bookmarkStart w:id="34" w:name="_Toc232589599"/>
      <w:r w:rsidRPr="000179FF">
        <w:t xml:space="preserve">Table </w:t>
      </w:r>
      <w:fldSimple w:instr=" SEQ Table \* ARABIC ">
        <w:r w:rsidR="000179FF">
          <w:rPr>
            <w:noProof/>
          </w:rPr>
          <w:t>4</w:t>
        </w:r>
      </w:fldSimple>
      <w:bookmarkEnd w:id="26"/>
      <w:bookmarkEnd w:id="32"/>
      <w:r w:rsidRPr="000179FF">
        <w:t>: Current</w:t>
      </w:r>
      <w:r w:rsidR="00602535">
        <w:rPr>
          <w:rFonts w:ascii="ZWAdobeF" w:hAnsi="ZWAdobeF" w:cs="ZWAdobeF"/>
          <w:color w:val="auto"/>
          <w:sz w:val="2"/>
          <w:szCs w:val="2"/>
        </w:rPr>
        <w:t>2F</w:t>
      </w:r>
      <w:r w:rsidR="005457B8">
        <w:rPr>
          <w:rStyle w:val="FootnoteReference"/>
        </w:rPr>
        <w:footnoteReference w:id="4"/>
      </w:r>
      <w:r w:rsidRPr="000179FF">
        <w:t xml:space="preserve"> active </w:t>
      </w:r>
      <w:r w:rsidR="00644FE9" w:rsidRPr="000179FF">
        <w:t xml:space="preserve">constituent </w:t>
      </w:r>
      <w:r w:rsidRPr="000179FF">
        <w:t>approvals for diquat dibromide</w:t>
      </w:r>
      <w:bookmarkEnd w:id="27"/>
      <w:bookmarkEnd w:id="33"/>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51"/>
      </w:tblGrid>
      <w:tr w:rsidR="00DB3E7A" w14:paraId="5015ED88" w14:textId="77777777" w:rsidTr="00D556F8">
        <w:trPr>
          <w:tblHeader/>
        </w:trPr>
        <w:tc>
          <w:tcPr>
            <w:tcW w:w="4077" w:type="dxa"/>
            <w:tcBorders>
              <w:top w:val="single" w:sz="4" w:space="0" w:color="auto"/>
              <w:bottom w:val="single" w:sz="4" w:space="0" w:color="auto"/>
            </w:tcBorders>
            <w:shd w:val="clear" w:color="auto" w:fill="5C2946"/>
          </w:tcPr>
          <w:p w14:paraId="40916D30" w14:textId="77777777" w:rsidR="00DB3E7A" w:rsidRPr="00E97F08" w:rsidRDefault="00DB3E7A" w:rsidP="00DB3E7A">
            <w:pPr>
              <w:pStyle w:val="TableHead"/>
            </w:pPr>
            <w:r w:rsidRPr="00E97F08">
              <w:t>Approval number</w:t>
            </w:r>
          </w:p>
        </w:tc>
        <w:tc>
          <w:tcPr>
            <w:tcW w:w="5551" w:type="dxa"/>
            <w:tcBorders>
              <w:top w:val="single" w:sz="4" w:space="0" w:color="auto"/>
              <w:bottom w:val="single" w:sz="4" w:space="0" w:color="auto"/>
            </w:tcBorders>
            <w:shd w:val="clear" w:color="auto" w:fill="5C2946"/>
          </w:tcPr>
          <w:p w14:paraId="2616B477" w14:textId="77777777" w:rsidR="00DB3E7A" w:rsidRPr="00E97F08" w:rsidRDefault="00DB3E7A" w:rsidP="00DB3E7A">
            <w:pPr>
              <w:pStyle w:val="TableHead"/>
            </w:pPr>
            <w:r w:rsidRPr="00E97F08">
              <w:t>Approval holder</w:t>
            </w:r>
          </w:p>
        </w:tc>
      </w:tr>
      <w:tr w:rsidR="00DB3E7A" w:rsidRPr="00644FE9" w14:paraId="40FEB55E" w14:textId="77777777" w:rsidTr="00464B16">
        <w:tc>
          <w:tcPr>
            <w:tcW w:w="4077" w:type="dxa"/>
            <w:tcBorders>
              <w:top w:val="single" w:sz="4" w:space="0" w:color="auto"/>
              <w:bottom w:val="single" w:sz="4" w:space="0" w:color="auto"/>
            </w:tcBorders>
          </w:tcPr>
          <w:p w14:paraId="74464C00" w14:textId="77777777" w:rsidR="00DB3E7A" w:rsidRPr="00644FE9" w:rsidRDefault="00DB3E7A" w:rsidP="00DB3E7A">
            <w:pPr>
              <w:pStyle w:val="TableText"/>
            </w:pPr>
            <w:r w:rsidRPr="00644FE9">
              <w:t>44219 (manufacturing concentrate)</w:t>
            </w:r>
          </w:p>
        </w:tc>
        <w:tc>
          <w:tcPr>
            <w:tcW w:w="5551" w:type="dxa"/>
            <w:tcBorders>
              <w:top w:val="single" w:sz="4" w:space="0" w:color="auto"/>
              <w:bottom w:val="single" w:sz="4" w:space="0" w:color="auto"/>
            </w:tcBorders>
          </w:tcPr>
          <w:p w14:paraId="47DE94C9" w14:textId="77777777" w:rsidR="00DB3E7A" w:rsidRPr="00644FE9" w:rsidRDefault="00DB3E7A" w:rsidP="00DB3E7A">
            <w:pPr>
              <w:pStyle w:val="TableText"/>
            </w:pPr>
            <w:r w:rsidRPr="00644FE9">
              <w:t>Syngenta Australia Pty Ltd</w:t>
            </w:r>
          </w:p>
        </w:tc>
      </w:tr>
      <w:tr w:rsidR="00DB3E7A" w:rsidRPr="00644FE9" w14:paraId="4E37779F" w14:textId="77777777" w:rsidTr="00464B16">
        <w:tc>
          <w:tcPr>
            <w:tcW w:w="4077" w:type="dxa"/>
            <w:tcBorders>
              <w:top w:val="single" w:sz="4" w:space="0" w:color="auto"/>
              <w:bottom w:val="single" w:sz="4" w:space="0" w:color="auto"/>
            </w:tcBorders>
          </w:tcPr>
          <w:p w14:paraId="0680A288" w14:textId="77777777" w:rsidR="00DB3E7A" w:rsidRPr="00644FE9" w:rsidRDefault="00DB3E7A" w:rsidP="00DB3E7A">
            <w:pPr>
              <w:pStyle w:val="TableText"/>
            </w:pPr>
            <w:r w:rsidRPr="00644FE9">
              <w:t>56655 (manufacturing concentrate)</w:t>
            </w:r>
          </w:p>
        </w:tc>
        <w:tc>
          <w:tcPr>
            <w:tcW w:w="5551" w:type="dxa"/>
            <w:tcBorders>
              <w:top w:val="single" w:sz="4" w:space="0" w:color="auto"/>
              <w:bottom w:val="single" w:sz="4" w:space="0" w:color="auto"/>
            </w:tcBorders>
          </w:tcPr>
          <w:p w14:paraId="0FE7E48C" w14:textId="77777777" w:rsidR="00DB3E7A" w:rsidRPr="00644FE9" w:rsidRDefault="00DB3E7A" w:rsidP="00DB3E7A">
            <w:pPr>
              <w:pStyle w:val="TableText"/>
            </w:pPr>
            <w:r w:rsidRPr="00644FE9">
              <w:t>Halley International Enterprise (Australia) Pty Ltd</w:t>
            </w:r>
          </w:p>
        </w:tc>
      </w:tr>
      <w:tr w:rsidR="00DB3E7A" w:rsidRPr="00644FE9" w14:paraId="58572A48" w14:textId="77777777" w:rsidTr="00464B16">
        <w:tc>
          <w:tcPr>
            <w:tcW w:w="4077" w:type="dxa"/>
            <w:tcBorders>
              <w:top w:val="single" w:sz="4" w:space="0" w:color="auto"/>
              <w:bottom w:val="single" w:sz="4" w:space="0" w:color="auto"/>
            </w:tcBorders>
          </w:tcPr>
          <w:p w14:paraId="40F4E168" w14:textId="77777777" w:rsidR="00DB3E7A" w:rsidRPr="00644FE9" w:rsidRDefault="00DB3E7A" w:rsidP="00DB3E7A">
            <w:pPr>
              <w:pStyle w:val="TableText"/>
            </w:pPr>
            <w:r w:rsidRPr="00644FE9">
              <w:t>56808 (manufacturing concentrate)</w:t>
            </w:r>
          </w:p>
        </w:tc>
        <w:tc>
          <w:tcPr>
            <w:tcW w:w="5551" w:type="dxa"/>
            <w:tcBorders>
              <w:top w:val="single" w:sz="4" w:space="0" w:color="auto"/>
              <w:bottom w:val="single" w:sz="4" w:space="0" w:color="auto"/>
            </w:tcBorders>
          </w:tcPr>
          <w:p w14:paraId="0D783A09" w14:textId="77777777" w:rsidR="00DB3E7A" w:rsidRPr="00644FE9" w:rsidRDefault="00DB3E7A" w:rsidP="00DB3E7A">
            <w:pPr>
              <w:pStyle w:val="TableText"/>
            </w:pPr>
            <w:r w:rsidRPr="00644FE9">
              <w:t>Conquest Crop Protection Pty Ltd</w:t>
            </w:r>
          </w:p>
        </w:tc>
      </w:tr>
      <w:tr w:rsidR="00DB3E7A" w:rsidRPr="00644FE9" w14:paraId="673B4C8E" w14:textId="77777777" w:rsidTr="00464B16">
        <w:tc>
          <w:tcPr>
            <w:tcW w:w="4077" w:type="dxa"/>
            <w:tcBorders>
              <w:top w:val="single" w:sz="4" w:space="0" w:color="auto"/>
              <w:bottom w:val="single" w:sz="4" w:space="0" w:color="auto"/>
            </w:tcBorders>
          </w:tcPr>
          <w:p w14:paraId="22FE0325" w14:textId="77777777" w:rsidR="00DB3E7A" w:rsidRPr="00644FE9" w:rsidRDefault="00DB3E7A" w:rsidP="00DB3E7A">
            <w:pPr>
              <w:pStyle w:val="TableText"/>
            </w:pPr>
            <w:r w:rsidRPr="00644FE9">
              <w:t>58221 (manufacturing concentrate)</w:t>
            </w:r>
          </w:p>
        </w:tc>
        <w:tc>
          <w:tcPr>
            <w:tcW w:w="5551" w:type="dxa"/>
            <w:tcBorders>
              <w:top w:val="single" w:sz="4" w:space="0" w:color="auto"/>
              <w:bottom w:val="single" w:sz="4" w:space="0" w:color="auto"/>
            </w:tcBorders>
          </w:tcPr>
          <w:p w14:paraId="05CB6701" w14:textId="77777777" w:rsidR="00DB3E7A" w:rsidRPr="00644FE9" w:rsidRDefault="00DB3E7A" w:rsidP="00DB3E7A">
            <w:pPr>
              <w:pStyle w:val="TableText"/>
            </w:pPr>
            <w:r w:rsidRPr="00644FE9">
              <w:t>Sinon Australia Pty Limited</w:t>
            </w:r>
          </w:p>
        </w:tc>
      </w:tr>
      <w:tr w:rsidR="00DB3E7A" w:rsidRPr="00644FE9" w14:paraId="4D06D0AF" w14:textId="77777777" w:rsidTr="00464B16">
        <w:tc>
          <w:tcPr>
            <w:tcW w:w="4077" w:type="dxa"/>
            <w:tcBorders>
              <w:top w:val="single" w:sz="4" w:space="0" w:color="auto"/>
              <w:bottom w:val="single" w:sz="4" w:space="0" w:color="auto"/>
            </w:tcBorders>
          </w:tcPr>
          <w:p w14:paraId="68F4D074" w14:textId="77777777" w:rsidR="00DB3E7A" w:rsidRPr="00644FE9" w:rsidRDefault="00DB3E7A" w:rsidP="00DB3E7A">
            <w:pPr>
              <w:pStyle w:val="TableText"/>
            </w:pPr>
            <w:r w:rsidRPr="00644FE9">
              <w:t>58386 (manufacturing concentrate)</w:t>
            </w:r>
          </w:p>
        </w:tc>
        <w:tc>
          <w:tcPr>
            <w:tcW w:w="5551" w:type="dxa"/>
            <w:tcBorders>
              <w:top w:val="single" w:sz="4" w:space="0" w:color="auto"/>
              <w:bottom w:val="single" w:sz="4" w:space="0" w:color="auto"/>
            </w:tcBorders>
          </w:tcPr>
          <w:p w14:paraId="12EDEF6C" w14:textId="77777777" w:rsidR="00DB3E7A" w:rsidRPr="00644FE9" w:rsidRDefault="00DB3E7A" w:rsidP="00DB3E7A">
            <w:pPr>
              <w:pStyle w:val="TableText"/>
            </w:pPr>
            <w:r w:rsidRPr="00644FE9">
              <w:t>ADAMA Australia Pty Limited</w:t>
            </w:r>
          </w:p>
        </w:tc>
      </w:tr>
      <w:tr w:rsidR="00DB3E7A" w:rsidRPr="00644FE9" w14:paraId="0597C128" w14:textId="77777777" w:rsidTr="00464B16">
        <w:tc>
          <w:tcPr>
            <w:tcW w:w="4077" w:type="dxa"/>
            <w:tcBorders>
              <w:top w:val="single" w:sz="4" w:space="0" w:color="auto"/>
              <w:bottom w:val="single" w:sz="4" w:space="0" w:color="auto"/>
            </w:tcBorders>
          </w:tcPr>
          <w:p w14:paraId="1980AA3C" w14:textId="77777777" w:rsidR="00DB3E7A" w:rsidRPr="00644FE9" w:rsidRDefault="00DB3E7A" w:rsidP="00DB3E7A">
            <w:pPr>
              <w:pStyle w:val="TableText"/>
            </w:pPr>
            <w:r w:rsidRPr="00644FE9">
              <w:t>59111 (manufacturing concentrate)</w:t>
            </w:r>
          </w:p>
        </w:tc>
        <w:tc>
          <w:tcPr>
            <w:tcW w:w="5551" w:type="dxa"/>
            <w:tcBorders>
              <w:top w:val="single" w:sz="4" w:space="0" w:color="auto"/>
              <w:bottom w:val="single" w:sz="4" w:space="0" w:color="auto"/>
            </w:tcBorders>
          </w:tcPr>
          <w:p w14:paraId="780F7F68" w14:textId="77777777" w:rsidR="00DB3E7A" w:rsidRPr="00644FE9" w:rsidRDefault="00DB3E7A" w:rsidP="00DB3E7A">
            <w:pPr>
              <w:pStyle w:val="TableText"/>
            </w:pPr>
            <w:r w:rsidRPr="00644FE9">
              <w:t>Pacific Agriscience Pty Ltd</w:t>
            </w:r>
          </w:p>
        </w:tc>
      </w:tr>
      <w:tr w:rsidR="00DB3E7A" w:rsidRPr="00644FE9" w14:paraId="29DADEA0" w14:textId="77777777" w:rsidTr="00464B16">
        <w:tc>
          <w:tcPr>
            <w:tcW w:w="4077" w:type="dxa"/>
            <w:tcBorders>
              <w:top w:val="single" w:sz="4" w:space="0" w:color="auto"/>
              <w:bottom w:val="single" w:sz="4" w:space="0" w:color="auto"/>
            </w:tcBorders>
          </w:tcPr>
          <w:p w14:paraId="29D9BF20" w14:textId="02165B72" w:rsidR="00DB3E7A" w:rsidRPr="00644FE9" w:rsidRDefault="00DB3E7A" w:rsidP="00DB3E7A">
            <w:pPr>
              <w:pStyle w:val="TableText"/>
            </w:pPr>
            <w:r w:rsidRPr="00644FE9">
              <w:t>62650</w:t>
            </w:r>
            <w:r w:rsidR="00DE2E8B" w:rsidRPr="00644FE9">
              <w:t xml:space="preserve"> (manufacturing concentrate)</w:t>
            </w:r>
          </w:p>
        </w:tc>
        <w:tc>
          <w:tcPr>
            <w:tcW w:w="5551" w:type="dxa"/>
            <w:tcBorders>
              <w:top w:val="single" w:sz="4" w:space="0" w:color="auto"/>
              <w:bottom w:val="single" w:sz="4" w:space="0" w:color="auto"/>
            </w:tcBorders>
          </w:tcPr>
          <w:p w14:paraId="2185ECD1" w14:textId="77777777" w:rsidR="00DB3E7A" w:rsidRPr="00644FE9" w:rsidRDefault="00DB3E7A" w:rsidP="00DB3E7A">
            <w:pPr>
              <w:pStyle w:val="TableText"/>
            </w:pPr>
            <w:r w:rsidRPr="00644FE9">
              <w:t>Agrogill Chemicals Pty Ltd</w:t>
            </w:r>
          </w:p>
        </w:tc>
      </w:tr>
      <w:tr w:rsidR="00DB3E7A" w:rsidRPr="00644FE9" w14:paraId="50B2A9B1" w14:textId="77777777" w:rsidTr="00464B16">
        <w:tc>
          <w:tcPr>
            <w:tcW w:w="4077" w:type="dxa"/>
            <w:tcBorders>
              <w:top w:val="single" w:sz="4" w:space="0" w:color="auto"/>
              <w:bottom w:val="single" w:sz="4" w:space="0" w:color="auto"/>
            </w:tcBorders>
          </w:tcPr>
          <w:p w14:paraId="4C9B6BA7" w14:textId="62277A12" w:rsidR="00DB3E7A" w:rsidRPr="00644FE9" w:rsidRDefault="00DB3E7A" w:rsidP="00DB3E7A">
            <w:pPr>
              <w:pStyle w:val="TableText"/>
            </w:pPr>
            <w:r w:rsidRPr="00644FE9">
              <w:t>64501</w:t>
            </w:r>
            <w:r w:rsidR="00DE2E8B" w:rsidRPr="00644FE9">
              <w:t xml:space="preserve"> (manufacturing concentrate)</w:t>
            </w:r>
          </w:p>
        </w:tc>
        <w:tc>
          <w:tcPr>
            <w:tcW w:w="5551" w:type="dxa"/>
            <w:tcBorders>
              <w:top w:val="single" w:sz="4" w:space="0" w:color="auto"/>
              <w:bottom w:val="single" w:sz="4" w:space="0" w:color="auto"/>
            </w:tcBorders>
          </w:tcPr>
          <w:p w14:paraId="017DC31C" w14:textId="77777777" w:rsidR="00DB3E7A" w:rsidRPr="00644FE9" w:rsidRDefault="00DB3E7A" w:rsidP="00DB3E7A">
            <w:pPr>
              <w:pStyle w:val="TableText"/>
            </w:pPr>
            <w:r w:rsidRPr="00644FE9">
              <w:t>Sharda Worldwide Exports Pvt Ltd</w:t>
            </w:r>
          </w:p>
        </w:tc>
      </w:tr>
      <w:tr w:rsidR="00DB3E7A" w:rsidRPr="00644FE9" w14:paraId="112B23D5" w14:textId="77777777" w:rsidTr="00464B16">
        <w:tc>
          <w:tcPr>
            <w:tcW w:w="4077" w:type="dxa"/>
            <w:tcBorders>
              <w:top w:val="single" w:sz="4" w:space="0" w:color="auto"/>
              <w:bottom w:val="single" w:sz="4" w:space="0" w:color="auto"/>
            </w:tcBorders>
          </w:tcPr>
          <w:p w14:paraId="7124BEB2" w14:textId="72233CDF" w:rsidR="00DB3E7A" w:rsidRPr="00644FE9" w:rsidRDefault="00DB3E7A" w:rsidP="00DB3E7A">
            <w:pPr>
              <w:pStyle w:val="TableText"/>
            </w:pPr>
            <w:r w:rsidRPr="00644FE9">
              <w:t>67123</w:t>
            </w:r>
            <w:r w:rsidR="00DE2E8B" w:rsidRPr="00644FE9">
              <w:t xml:space="preserve"> (manufacturing concentrate)</w:t>
            </w:r>
          </w:p>
        </w:tc>
        <w:tc>
          <w:tcPr>
            <w:tcW w:w="5551" w:type="dxa"/>
            <w:tcBorders>
              <w:top w:val="single" w:sz="4" w:space="0" w:color="auto"/>
              <w:bottom w:val="single" w:sz="4" w:space="0" w:color="auto"/>
            </w:tcBorders>
          </w:tcPr>
          <w:p w14:paraId="29B49E56" w14:textId="77777777" w:rsidR="00DB3E7A" w:rsidRPr="00644FE9" w:rsidRDefault="00DB3E7A" w:rsidP="00DB3E7A">
            <w:pPr>
              <w:pStyle w:val="TableText"/>
            </w:pPr>
            <w:r w:rsidRPr="00644FE9">
              <w:t>Titan Ag Pty Ltd</w:t>
            </w:r>
          </w:p>
        </w:tc>
      </w:tr>
      <w:tr w:rsidR="00DB3E7A" w:rsidRPr="00644FE9" w14:paraId="66B77509" w14:textId="77777777" w:rsidTr="00464B16">
        <w:tc>
          <w:tcPr>
            <w:tcW w:w="4077" w:type="dxa"/>
            <w:tcBorders>
              <w:top w:val="single" w:sz="4" w:space="0" w:color="auto"/>
              <w:bottom w:val="single" w:sz="4" w:space="0" w:color="auto"/>
            </w:tcBorders>
          </w:tcPr>
          <w:p w14:paraId="3F0A6D02" w14:textId="77777777" w:rsidR="00DB3E7A" w:rsidRPr="00644FE9" w:rsidRDefault="00DB3E7A" w:rsidP="00DB3E7A">
            <w:pPr>
              <w:pStyle w:val="TableText"/>
            </w:pPr>
            <w:r w:rsidRPr="00644FE9">
              <w:t>87160 (manufacturing concentrate)</w:t>
            </w:r>
          </w:p>
        </w:tc>
        <w:tc>
          <w:tcPr>
            <w:tcW w:w="5551" w:type="dxa"/>
            <w:tcBorders>
              <w:top w:val="single" w:sz="4" w:space="0" w:color="auto"/>
              <w:bottom w:val="single" w:sz="4" w:space="0" w:color="auto"/>
            </w:tcBorders>
          </w:tcPr>
          <w:p w14:paraId="0E04BC46" w14:textId="77777777" w:rsidR="00DB3E7A" w:rsidRPr="00644FE9" w:rsidRDefault="00DB3E7A" w:rsidP="00DB3E7A">
            <w:pPr>
              <w:pStyle w:val="TableText"/>
            </w:pPr>
            <w:r w:rsidRPr="00644FE9">
              <w:t>Agrogill Chemicals Pty Ltd</w:t>
            </w:r>
          </w:p>
        </w:tc>
      </w:tr>
      <w:tr w:rsidR="00DB3E7A" w:rsidRPr="00644FE9" w14:paraId="2A4306D8" w14:textId="77777777" w:rsidTr="00464B16">
        <w:tc>
          <w:tcPr>
            <w:tcW w:w="4077" w:type="dxa"/>
            <w:tcBorders>
              <w:top w:val="single" w:sz="4" w:space="0" w:color="auto"/>
              <w:bottom w:val="single" w:sz="4" w:space="0" w:color="auto"/>
            </w:tcBorders>
          </w:tcPr>
          <w:p w14:paraId="2711CF89" w14:textId="77777777" w:rsidR="00DB3E7A" w:rsidRPr="00644FE9" w:rsidRDefault="00DB3E7A" w:rsidP="00DB3E7A">
            <w:pPr>
              <w:pStyle w:val="TableText"/>
            </w:pPr>
            <w:r w:rsidRPr="00644FE9">
              <w:t>88034 (manufacturing concentrate)</w:t>
            </w:r>
          </w:p>
        </w:tc>
        <w:tc>
          <w:tcPr>
            <w:tcW w:w="5551" w:type="dxa"/>
            <w:tcBorders>
              <w:top w:val="single" w:sz="4" w:space="0" w:color="auto"/>
              <w:bottom w:val="single" w:sz="4" w:space="0" w:color="auto"/>
            </w:tcBorders>
          </w:tcPr>
          <w:p w14:paraId="71537882" w14:textId="77777777" w:rsidR="00DB3E7A" w:rsidRPr="00644FE9" w:rsidRDefault="00DB3E7A" w:rsidP="00DB3E7A">
            <w:pPr>
              <w:pStyle w:val="TableText"/>
            </w:pPr>
            <w:r w:rsidRPr="00644FE9">
              <w:t>Foisen Scitech Co., Limited</w:t>
            </w:r>
          </w:p>
        </w:tc>
      </w:tr>
      <w:tr w:rsidR="00DB3E7A" w:rsidRPr="00644FE9" w14:paraId="00865494" w14:textId="77777777" w:rsidTr="00464B16">
        <w:trPr>
          <w:trHeight w:val="507"/>
        </w:trPr>
        <w:tc>
          <w:tcPr>
            <w:tcW w:w="4077" w:type="dxa"/>
            <w:tcBorders>
              <w:top w:val="single" w:sz="4" w:space="0" w:color="auto"/>
              <w:bottom w:val="single" w:sz="4" w:space="0" w:color="auto"/>
            </w:tcBorders>
          </w:tcPr>
          <w:p w14:paraId="686A4A6F" w14:textId="30A35A17" w:rsidR="00DB3E7A" w:rsidRPr="00644FE9" w:rsidRDefault="00DB3E7A" w:rsidP="00DB3E7A">
            <w:pPr>
              <w:pStyle w:val="TableText"/>
            </w:pPr>
            <w:r w:rsidRPr="00644FE9">
              <w:lastRenderedPageBreak/>
              <w:t>887</w:t>
            </w:r>
            <w:r w:rsidR="00D928B3">
              <w:t>1</w:t>
            </w:r>
            <w:r w:rsidRPr="00644FE9">
              <w:t>4 (manufacturing concentrate)</w:t>
            </w:r>
          </w:p>
        </w:tc>
        <w:tc>
          <w:tcPr>
            <w:tcW w:w="5551" w:type="dxa"/>
            <w:tcBorders>
              <w:top w:val="single" w:sz="4" w:space="0" w:color="auto"/>
              <w:bottom w:val="single" w:sz="4" w:space="0" w:color="auto"/>
            </w:tcBorders>
          </w:tcPr>
          <w:p w14:paraId="50B6667B" w14:textId="77777777" w:rsidR="00DB3E7A" w:rsidRPr="00644FE9" w:rsidRDefault="00DB3E7A" w:rsidP="00DB3E7A">
            <w:pPr>
              <w:pStyle w:val="TableText"/>
            </w:pPr>
            <w:r w:rsidRPr="00644FE9">
              <w:t>Foisen Scitech Co., Limited</w:t>
            </w:r>
          </w:p>
        </w:tc>
      </w:tr>
    </w:tbl>
    <w:p w14:paraId="34230B59" w14:textId="77777777" w:rsidR="00B23D4E" w:rsidRPr="00452764" w:rsidRDefault="00B23D4E" w:rsidP="00452764">
      <w:pPr>
        <w:pStyle w:val="Heading2"/>
      </w:pPr>
      <w:bookmarkStart w:id="35" w:name="_Toc233038931"/>
      <w:bookmarkEnd w:id="2"/>
      <w:bookmarkEnd w:id="3"/>
      <w:r w:rsidRPr="00452764">
        <w:t>Formulated products</w:t>
      </w:r>
      <w:bookmarkEnd w:id="35"/>
    </w:p>
    <w:p w14:paraId="28F463F9" w14:textId="45D2DEF7" w:rsidR="00AB17DB" w:rsidRDefault="00B23D4E" w:rsidP="00B23D4E">
      <w:pPr>
        <w:pStyle w:val="NormalText"/>
      </w:pPr>
      <w:r>
        <w:t>There are currently 2</w:t>
      </w:r>
      <w:r w:rsidR="002368EE">
        <w:t>1</w:t>
      </w:r>
      <w:r>
        <w:t xml:space="preserve"> registered products containing diquat as the only active constituent. In addition, </w:t>
      </w:r>
      <w:r w:rsidR="004C5820" w:rsidRPr="002368EE">
        <w:t>3</w:t>
      </w:r>
      <w:r w:rsidR="002368EE" w:rsidRPr="002368EE">
        <w:t>5</w:t>
      </w:r>
      <w:r w:rsidR="00D556F8" w:rsidRPr="002368EE">
        <w:t> </w:t>
      </w:r>
      <w:r w:rsidRPr="002368EE">
        <w:t>agricultural chemical products c</w:t>
      </w:r>
      <w:r>
        <w:t xml:space="preserve">ontain both diquat and paraquat as the active constituents. </w:t>
      </w:r>
      <w:r w:rsidR="002368EE">
        <w:t xml:space="preserve">One diquat product and 2 products containing both paraquat and diquat were registered after 28 February 2024 and are not formally considered in the reconsideration. </w:t>
      </w:r>
      <w:r>
        <w:t xml:space="preserve">The </w:t>
      </w:r>
      <w:r w:rsidR="002368EE">
        <w:t xml:space="preserve">remaining </w:t>
      </w:r>
      <w:r>
        <w:t xml:space="preserve">products are listed in </w:t>
      </w:r>
      <w:r w:rsidR="0010582A">
        <w:fldChar w:fldCharType="begin" w:fldLock="1"/>
      </w:r>
      <w:r w:rsidR="0010582A">
        <w:instrText xml:space="preserve"> REF _Ref162264070 \h </w:instrText>
      </w:r>
      <w:r w:rsidR="0010582A">
        <w:fldChar w:fldCharType="separate"/>
      </w:r>
      <w:r w:rsidR="0033298E">
        <w:t xml:space="preserve">Table </w:t>
      </w:r>
      <w:r w:rsidR="0033298E">
        <w:rPr>
          <w:noProof/>
        </w:rPr>
        <w:t>5</w:t>
      </w:r>
      <w:r w:rsidR="0010582A">
        <w:fldChar w:fldCharType="end"/>
      </w:r>
      <w:r>
        <w:t>.</w:t>
      </w:r>
    </w:p>
    <w:p w14:paraId="24DDF6BC" w14:textId="525C8127" w:rsidR="008A0EFE" w:rsidRDefault="008A0EFE" w:rsidP="00452764">
      <w:pPr>
        <w:pStyle w:val="Heading3"/>
      </w:pPr>
      <w:bookmarkStart w:id="36" w:name="_Toc233038932"/>
      <w:r w:rsidRPr="001E5086">
        <w:t xml:space="preserve">Statutory considerations </w:t>
      </w:r>
      <w:r w:rsidRPr="00452764">
        <w:t>under</w:t>
      </w:r>
      <w:r w:rsidRPr="001E5086">
        <w:t xml:space="preserve"> the safety criteria </w:t>
      </w:r>
      <w:r w:rsidR="00D556F8">
        <w:t>–</w:t>
      </w:r>
      <w:r w:rsidRPr="001E5086">
        <w:t xml:space="preserve"> fo</w:t>
      </w:r>
      <w:r w:rsidRPr="00644FE9">
        <w:t>rm</w:t>
      </w:r>
      <w:r>
        <w:t>ulated products</w:t>
      </w:r>
      <w:bookmarkEnd w:id="36"/>
    </w:p>
    <w:p w14:paraId="724F6170" w14:textId="77777777" w:rsidR="008A0EFE" w:rsidRDefault="008A0EFE" w:rsidP="008A0EFE">
      <w:pPr>
        <w:pStyle w:val="NormalText"/>
      </w:pPr>
      <w:r>
        <w:t>Under section 5A of the Agvet Code, when determining whether a chemical product satisfies the safety criteria, the APVMA must (amongst other matters) have regard to:</w:t>
      </w:r>
    </w:p>
    <w:p w14:paraId="6A59E90A" w14:textId="22327D34" w:rsidR="008A0EFE" w:rsidRDefault="00D556F8" w:rsidP="00D556F8">
      <w:pPr>
        <w:pStyle w:val="Bullet1"/>
      </w:pPr>
      <w:r>
        <w:t>h</w:t>
      </w:r>
      <w:r w:rsidR="008A0EFE">
        <w:t>ow the product is formulated</w:t>
      </w:r>
    </w:p>
    <w:p w14:paraId="164E1F71" w14:textId="52A439F5" w:rsidR="008A0EFE" w:rsidRDefault="00D556F8" w:rsidP="00D556F8">
      <w:pPr>
        <w:pStyle w:val="Bullet1"/>
      </w:pPr>
      <w:r>
        <w:t>t</w:t>
      </w:r>
      <w:r w:rsidR="008A0EFE">
        <w:t>he composition and form of the constituents of the product</w:t>
      </w:r>
    </w:p>
    <w:p w14:paraId="4E1900BA" w14:textId="757A52BA" w:rsidR="008A0EFE" w:rsidRDefault="00D556F8" w:rsidP="00D556F8">
      <w:pPr>
        <w:pStyle w:val="Bullet1"/>
      </w:pPr>
      <w:r>
        <w:t>a</w:t>
      </w:r>
      <w:r w:rsidR="008A0EFE">
        <w:t>ny relevant particulars entered into the Register for the product</w:t>
      </w:r>
      <w:r>
        <w:t>.</w:t>
      </w:r>
    </w:p>
    <w:p w14:paraId="303DAEC5" w14:textId="77777777" w:rsidR="008A0EFE" w:rsidRDefault="008A0EFE" w:rsidP="008A0EFE">
      <w:pPr>
        <w:pStyle w:val="NormalText"/>
      </w:pPr>
      <w:r>
        <w:t>And the APVMA may have regard to:</w:t>
      </w:r>
    </w:p>
    <w:p w14:paraId="4966952E" w14:textId="54D0AD66" w:rsidR="008A0EFE" w:rsidRDefault="00D556F8" w:rsidP="00D556F8">
      <w:pPr>
        <w:pStyle w:val="Bullet1"/>
      </w:pPr>
      <w:r>
        <w:t>t</w:t>
      </w:r>
      <w:r w:rsidR="008A0EFE">
        <w:t>he stability of the product</w:t>
      </w:r>
    </w:p>
    <w:p w14:paraId="7F75E8D6" w14:textId="73A5701E" w:rsidR="008A0EFE" w:rsidRDefault="00D556F8" w:rsidP="00D556F8">
      <w:pPr>
        <w:pStyle w:val="Bullet1"/>
      </w:pPr>
      <w:r>
        <w:t>s</w:t>
      </w:r>
      <w:r w:rsidR="008A0EFE">
        <w:t>pecifications for containers for the product</w:t>
      </w:r>
      <w:r>
        <w:t>.</w:t>
      </w:r>
    </w:p>
    <w:p w14:paraId="697265DB" w14:textId="4B740B8C" w:rsidR="008A0EFE" w:rsidRDefault="008A0EFE" w:rsidP="008A0EFE">
      <w:pPr>
        <w:pStyle w:val="NormalText"/>
      </w:pPr>
      <w:bookmarkStart w:id="37" w:name="_Hlk165923618"/>
      <w:r>
        <w:t xml:space="preserve">The APVMA has previously assessed the formulation details, constituent specifications, formulation type, manufacturing process (how the product is formulated), stability </w:t>
      </w:r>
      <w:r w:rsidR="00736FFD">
        <w:t xml:space="preserve">and containers </w:t>
      </w:r>
      <w:r>
        <w:t>of each proposed product prior to registration. Based on the information provided and assessed at the time of registration, the APVMA remains satisfied with respect to the chemistry related aspects of the safety criteria for products containing diquat dibromide as the active constituent</w:t>
      </w:r>
      <w:r w:rsidR="00736FFD">
        <w:t xml:space="preserve"> in relation to how the product is formulated, the composition and form of the constituents of the products and product stability</w:t>
      </w:r>
      <w:r>
        <w:t xml:space="preserve">. </w:t>
      </w:r>
      <w:r w:rsidR="00736FFD">
        <w:t>Additional excipients and manufacturing impurities from the active constituent up to the levels declared in the declarations of composition are considered acceptable and do not present any additional toxicological concern.</w:t>
      </w:r>
    </w:p>
    <w:p w14:paraId="2DF96045" w14:textId="3979D7EC" w:rsidR="00037C8E" w:rsidRDefault="00140A91" w:rsidP="00B23D4E">
      <w:pPr>
        <w:pStyle w:val="NormalText"/>
      </w:pPr>
      <w:r>
        <w:t>Th</w:t>
      </w:r>
      <w:r w:rsidR="00736FFD">
        <w:t xml:space="preserve">e APVMA was satisfied at the time of registration that the </w:t>
      </w:r>
      <w:r>
        <w:t xml:space="preserve">containers for the products </w:t>
      </w:r>
      <w:r w:rsidR="00736FFD">
        <w:t>met the safety criteria</w:t>
      </w:r>
      <w:r>
        <w:t xml:space="preserve"> and remains satisfied of that aspect</w:t>
      </w:r>
      <w:r w:rsidR="00736FFD">
        <w:t>.</w:t>
      </w:r>
    </w:p>
    <w:bookmarkEnd w:id="37"/>
    <w:p w14:paraId="04CBA386" w14:textId="5CAE1957" w:rsidR="00037C8E" w:rsidRDefault="00643534" w:rsidP="00037C8E">
      <w:pPr>
        <w:pStyle w:val="NormalText"/>
      </w:pPr>
      <w:r>
        <w:t>A</w:t>
      </w:r>
      <w:r w:rsidR="00037C8E" w:rsidRPr="008542FD">
        <w:t>ll</w:t>
      </w:r>
      <w:r>
        <w:t xml:space="preserve"> </w:t>
      </w:r>
      <w:r w:rsidRPr="008542FD">
        <w:t>currently registered</w:t>
      </w:r>
      <w:r w:rsidR="00037C8E" w:rsidRPr="008542FD">
        <w:t xml:space="preserve"> </w:t>
      </w:r>
      <w:r w:rsidR="00037C8E">
        <w:t>di</w:t>
      </w:r>
      <w:r w:rsidR="00037C8E" w:rsidRPr="008542FD">
        <w:t>quat products are soluble concentrates. The formulation type</w:t>
      </w:r>
      <w:r w:rsidR="00140A91">
        <w:t xml:space="preserve"> </w:t>
      </w:r>
      <w:r w:rsidR="006C0DF6">
        <w:t xml:space="preserve">recorded </w:t>
      </w:r>
      <w:r w:rsidR="00140A91">
        <w:t>in the register</w:t>
      </w:r>
      <w:r w:rsidR="00037C8E" w:rsidRPr="008542FD">
        <w:t xml:space="preserve"> </w:t>
      </w:r>
      <w:r w:rsidR="006C0DF6">
        <w:t xml:space="preserve">for all products </w:t>
      </w:r>
      <w:r w:rsidR="00037C8E" w:rsidRPr="008542FD">
        <w:t>should be soluble concentrate (SL).</w:t>
      </w:r>
    </w:p>
    <w:p w14:paraId="1F6FE5B3" w14:textId="52C3CA6F" w:rsidR="00B23D4E" w:rsidRPr="000179FF" w:rsidRDefault="00B23D4E" w:rsidP="000179FF">
      <w:pPr>
        <w:pStyle w:val="Caption"/>
      </w:pPr>
      <w:bookmarkStart w:id="38" w:name="_Ref162264070"/>
      <w:bookmarkStart w:id="39" w:name="_Toc47879477"/>
      <w:bookmarkStart w:id="40" w:name="_Toc232589600"/>
      <w:r w:rsidRPr="000179FF">
        <w:lastRenderedPageBreak/>
        <w:t xml:space="preserve">Table </w:t>
      </w:r>
      <w:fldSimple w:instr=" SEQ Table \* ARABIC ">
        <w:r w:rsidR="000179FF">
          <w:rPr>
            <w:noProof/>
          </w:rPr>
          <w:t>5</w:t>
        </w:r>
      </w:fldSimple>
      <w:bookmarkEnd w:id="38"/>
      <w:r w:rsidRPr="000179FF">
        <w:t xml:space="preserve">: Currently registered chemical products containing </w:t>
      </w:r>
      <w:bookmarkEnd w:id="39"/>
      <w:r w:rsidRPr="000179FF">
        <w:t>diquat</w:t>
      </w:r>
      <w:bookmarkEnd w:id="40"/>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3"/>
        <w:gridCol w:w="2173"/>
        <w:gridCol w:w="2323"/>
        <w:gridCol w:w="2877"/>
        <w:gridCol w:w="22"/>
        <w:gridCol w:w="1162"/>
      </w:tblGrid>
      <w:tr w:rsidR="00B23D4E" w14:paraId="375DF349" w14:textId="77777777" w:rsidTr="00D556F8">
        <w:trPr>
          <w:tblHeader/>
        </w:trPr>
        <w:tc>
          <w:tcPr>
            <w:tcW w:w="661" w:type="pct"/>
            <w:tcBorders>
              <w:top w:val="single" w:sz="4" w:space="0" w:color="auto"/>
              <w:bottom w:val="single" w:sz="4" w:space="0" w:color="auto"/>
            </w:tcBorders>
            <w:shd w:val="clear" w:color="auto" w:fill="5C2946"/>
          </w:tcPr>
          <w:p w14:paraId="22CBBBA0" w14:textId="77777777" w:rsidR="00B23D4E" w:rsidRPr="00F040E0" w:rsidRDefault="00B23D4E" w:rsidP="00D556F8">
            <w:pPr>
              <w:pStyle w:val="TableHead"/>
            </w:pPr>
            <w:r w:rsidRPr="00F040E0">
              <w:t>Registration number</w:t>
            </w:r>
          </w:p>
        </w:tc>
        <w:tc>
          <w:tcPr>
            <w:tcW w:w="1102" w:type="pct"/>
            <w:tcBorders>
              <w:top w:val="single" w:sz="4" w:space="0" w:color="auto"/>
              <w:bottom w:val="single" w:sz="4" w:space="0" w:color="auto"/>
            </w:tcBorders>
            <w:shd w:val="clear" w:color="auto" w:fill="5C2946"/>
          </w:tcPr>
          <w:p w14:paraId="7CE9BA6B" w14:textId="77777777" w:rsidR="00B23D4E" w:rsidRPr="00F040E0" w:rsidRDefault="00B23D4E" w:rsidP="00D556F8">
            <w:pPr>
              <w:pStyle w:val="TableHead"/>
            </w:pPr>
            <w:r w:rsidRPr="00F040E0">
              <w:t>Product name</w:t>
            </w:r>
          </w:p>
        </w:tc>
        <w:tc>
          <w:tcPr>
            <w:tcW w:w="1178" w:type="pct"/>
            <w:tcBorders>
              <w:top w:val="single" w:sz="4" w:space="0" w:color="auto"/>
              <w:bottom w:val="single" w:sz="4" w:space="0" w:color="auto"/>
            </w:tcBorders>
            <w:shd w:val="clear" w:color="auto" w:fill="5C2946"/>
          </w:tcPr>
          <w:p w14:paraId="2DA19E26" w14:textId="77777777" w:rsidR="00B23D4E" w:rsidRPr="00F040E0" w:rsidRDefault="00B23D4E" w:rsidP="00D556F8">
            <w:pPr>
              <w:pStyle w:val="TableHead"/>
            </w:pPr>
            <w:r>
              <w:t>Holder</w:t>
            </w:r>
          </w:p>
        </w:tc>
        <w:tc>
          <w:tcPr>
            <w:tcW w:w="1470" w:type="pct"/>
            <w:gridSpan w:val="2"/>
            <w:tcBorders>
              <w:top w:val="single" w:sz="4" w:space="0" w:color="auto"/>
              <w:bottom w:val="single" w:sz="4" w:space="0" w:color="auto"/>
            </w:tcBorders>
            <w:shd w:val="clear" w:color="auto" w:fill="5C2946"/>
          </w:tcPr>
          <w:p w14:paraId="2C3CD446" w14:textId="09347DD5" w:rsidR="00B23D4E" w:rsidRDefault="00B23D4E" w:rsidP="00D556F8">
            <w:pPr>
              <w:pStyle w:val="TableHead"/>
            </w:pPr>
            <w:r>
              <w:t xml:space="preserve">Active </w:t>
            </w:r>
            <w:r w:rsidR="00D556F8">
              <w:t>c</w:t>
            </w:r>
            <w:r>
              <w:t>onstituents</w:t>
            </w:r>
          </w:p>
        </w:tc>
        <w:tc>
          <w:tcPr>
            <w:tcW w:w="589" w:type="pct"/>
            <w:tcBorders>
              <w:top w:val="single" w:sz="4" w:space="0" w:color="auto"/>
              <w:bottom w:val="single" w:sz="4" w:space="0" w:color="auto"/>
            </w:tcBorders>
            <w:shd w:val="clear" w:color="auto" w:fill="5C2946"/>
          </w:tcPr>
          <w:p w14:paraId="34A84B4F" w14:textId="51259EDD" w:rsidR="00B23D4E" w:rsidRDefault="00B23D4E" w:rsidP="00D556F8">
            <w:pPr>
              <w:pStyle w:val="TableHead"/>
            </w:pPr>
            <w:r>
              <w:t xml:space="preserve">Product </w:t>
            </w:r>
            <w:r w:rsidR="00D556F8">
              <w:t>g</w:t>
            </w:r>
            <w:r>
              <w:t>roup</w:t>
            </w:r>
          </w:p>
        </w:tc>
      </w:tr>
      <w:tr w:rsidR="00B23D4E" w:rsidRPr="000F1DA7" w14:paraId="1C2530C3" w14:textId="77777777" w:rsidTr="00D556F8">
        <w:trPr>
          <w:trHeight w:val="447"/>
        </w:trPr>
        <w:tc>
          <w:tcPr>
            <w:tcW w:w="5000" w:type="pct"/>
            <w:gridSpan w:val="6"/>
            <w:tcBorders>
              <w:top w:val="single" w:sz="4" w:space="0" w:color="auto"/>
              <w:bottom w:val="single" w:sz="4" w:space="0" w:color="auto"/>
            </w:tcBorders>
            <w:noWrap/>
          </w:tcPr>
          <w:p w14:paraId="2A4B0C57" w14:textId="77777777" w:rsidR="00B23D4E" w:rsidRPr="00D556F8" w:rsidRDefault="00B23D4E" w:rsidP="00D556F8">
            <w:pPr>
              <w:pStyle w:val="TableSubHead"/>
            </w:pPr>
            <w:r w:rsidRPr="00D556F8">
              <w:t>Products containing diquat as diquat dibromide</w:t>
            </w:r>
          </w:p>
        </w:tc>
      </w:tr>
      <w:tr w:rsidR="00B23D4E" w:rsidRPr="000F1DA7" w14:paraId="4159BC1B" w14:textId="77777777" w:rsidTr="00D556F8">
        <w:trPr>
          <w:trHeight w:val="561"/>
        </w:trPr>
        <w:tc>
          <w:tcPr>
            <w:tcW w:w="661" w:type="pct"/>
            <w:tcBorders>
              <w:top w:val="single" w:sz="4" w:space="0" w:color="auto"/>
              <w:bottom w:val="single" w:sz="4" w:space="0" w:color="auto"/>
            </w:tcBorders>
            <w:noWrap/>
            <w:hideMark/>
          </w:tcPr>
          <w:p w14:paraId="59CC636F" w14:textId="77777777" w:rsidR="00B23D4E" w:rsidRPr="000F1DA7" w:rsidRDefault="00B23D4E" w:rsidP="00B23D4E">
            <w:pPr>
              <w:pStyle w:val="TableText"/>
            </w:pPr>
            <w:bookmarkStart w:id="41" w:name="_Toc47879478"/>
            <w:r w:rsidRPr="000F1DA7">
              <w:t>46534</w:t>
            </w:r>
          </w:p>
        </w:tc>
        <w:tc>
          <w:tcPr>
            <w:tcW w:w="1102" w:type="pct"/>
            <w:tcBorders>
              <w:top w:val="single" w:sz="4" w:space="0" w:color="auto"/>
              <w:bottom w:val="single" w:sz="4" w:space="0" w:color="auto"/>
            </w:tcBorders>
            <w:noWrap/>
            <w:hideMark/>
          </w:tcPr>
          <w:p w14:paraId="110F74D1" w14:textId="77777777" w:rsidR="00B23D4E" w:rsidRPr="000F1DA7" w:rsidRDefault="00B23D4E" w:rsidP="00B23D4E">
            <w:pPr>
              <w:pStyle w:val="TableText"/>
            </w:pPr>
            <w:r w:rsidRPr="000F1DA7">
              <w:t>Reglone Non-Residual Herbicide</w:t>
            </w:r>
          </w:p>
        </w:tc>
        <w:tc>
          <w:tcPr>
            <w:tcW w:w="1178" w:type="pct"/>
            <w:tcBorders>
              <w:top w:val="single" w:sz="4" w:space="0" w:color="auto"/>
              <w:bottom w:val="single" w:sz="4" w:space="0" w:color="auto"/>
            </w:tcBorders>
            <w:noWrap/>
            <w:hideMark/>
          </w:tcPr>
          <w:p w14:paraId="19012116" w14:textId="77777777" w:rsidR="00B23D4E" w:rsidRPr="000F1DA7" w:rsidRDefault="00B23D4E" w:rsidP="00B23D4E">
            <w:pPr>
              <w:pStyle w:val="TableText"/>
            </w:pPr>
            <w:r w:rsidRPr="000F1DA7">
              <w:t>Syngenta Australia Pty Ltd</w:t>
            </w:r>
          </w:p>
        </w:tc>
        <w:tc>
          <w:tcPr>
            <w:tcW w:w="1470" w:type="pct"/>
            <w:gridSpan w:val="2"/>
            <w:tcBorders>
              <w:top w:val="single" w:sz="4" w:space="0" w:color="auto"/>
              <w:bottom w:val="single" w:sz="4" w:space="0" w:color="auto"/>
            </w:tcBorders>
          </w:tcPr>
          <w:p w14:paraId="5B5F1472" w14:textId="503A1C65"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69A02FE1" w14:textId="77777777" w:rsidR="00B23D4E" w:rsidRPr="000F1DA7" w:rsidRDefault="00B23D4E" w:rsidP="00B23D4E">
            <w:pPr>
              <w:pStyle w:val="TableText"/>
            </w:pPr>
            <w:r>
              <w:t>1</w:t>
            </w:r>
          </w:p>
        </w:tc>
      </w:tr>
      <w:tr w:rsidR="00B23D4E" w:rsidRPr="000F1DA7" w14:paraId="4BA40B33" w14:textId="77777777" w:rsidTr="00D556F8">
        <w:trPr>
          <w:trHeight w:val="510"/>
        </w:trPr>
        <w:tc>
          <w:tcPr>
            <w:tcW w:w="661" w:type="pct"/>
            <w:tcBorders>
              <w:top w:val="single" w:sz="4" w:space="0" w:color="auto"/>
              <w:bottom w:val="single" w:sz="4" w:space="0" w:color="auto"/>
            </w:tcBorders>
            <w:noWrap/>
            <w:hideMark/>
          </w:tcPr>
          <w:p w14:paraId="2A922AD5" w14:textId="77777777" w:rsidR="00B23D4E" w:rsidRPr="000F1DA7" w:rsidRDefault="00B23D4E" w:rsidP="00B23D4E">
            <w:pPr>
              <w:pStyle w:val="TableText"/>
            </w:pPr>
            <w:r w:rsidRPr="000F1DA7">
              <w:t>58411</w:t>
            </w:r>
          </w:p>
        </w:tc>
        <w:tc>
          <w:tcPr>
            <w:tcW w:w="1102" w:type="pct"/>
            <w:tcBorders>
              <w:top w:val="single" w:sz="4" w:space="0" w:color="auto"/>
              <w:bottom w:val="single" w:sz="4" w:space="0" w:color="auto"/>
            </w:tcBorders>
            <w:noWrap/>
            <w:hideMark/>
          </w:tcPr>
          <w:p w14:paraId="4481EABF" w14:textId="77777777" w:rsidR="00B23D4E" w:rsidRPr="000F1DA7" w:rsidRDefault="00B23D4E" w:rsidP="00B23D4E">
            <w:pPr>
              <w:pStyle w:val="TableText"/>
            </w:pPr>
            <w:r w:rsidRPr="000F1DA7">
              <w:t>Imtrade Diquat 200 Non-Residual Herbicide</w:t>
            </w:r>
          </w:p>
        </w:tc>
        <w:tc>
          <w:tcPr>
            <w:tcW w:w="1178" w:type="pct"/>
            <w:tcBorders>
              <w:top w:val="single" w:sz="4" w:space="0" w:color="auto"/>
              <w:bottom w:val="single" w:sz="4" w:space="0" w:color="auto"/>
            </w:tcBorders>
            <w:noWrap/>
            <w:hideMark/>
          </w:tcPr>
          <w:p w14:paraId="47177229" w14:textId="77777777" w:rsidR="00B23D4E" w:rsidRPr="000F1DA7" w:rsidRDefault="00B23D4E" w:rsidP="00B23D4E">
            <w:pPr>
              <w:pStyle w:val="TableText"/>
            </w:pPr>
            <w:r w:rsidRPr="000F1DA7">
              <w:t>Imtrade Australia Pty Ltd</w:t>
            </w:r>
          </w:p>
        </w:tc>
        <w:tc>
          <w:tcPr>
            <w:tcW w:w="1470" w:type="pct"/>
            <w:gridSpan w:val="2"/>
            <w:tcBorders>
              <w:top w:val="single" w:sz="4" w:space="0" w:color="auto"/>
              <w:bottom w:val="single" w:sz="4" w:space="0" w:color="auto"/>
            </w:tcBorders>
          </w:tcPr>
          <w:p w14:paraId="69836163" w14:textId="6370018B"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03C12A4" w14:textId="77777777" w:rsidR="00B23D4E" w:rsidRPr="000F1DA7" w:rsidRDefault="00B23D4E" w:rsidP="00B23D4E">
            <w:pPr>
              <w:pStyle w:val="TableText"/>
            </w:pPr>
            <w:r>
              <w:t>1</w:t>
            </w:r>
          </w:p>
        </w:tc>
      </w:tr>
      <w:tr w:rsidR="00B23D4E" w:rsidRPr="000F1DA7" w14:paraId="52D92DC8" w14:textId="77777777" w:rsidTr="00D556F8">
        <w:trPr>
          <w:trHeight w:val="300"/>
        </w:trPr>
        <w:tc>
          <w:tcPr>
            <w:tcW w:w="661" w:type="pct"/>
            <w:tcBorders>
              <w:top w:val="single" w:sz="4" w:space="0" w:color="auto"/>
              <w:bottom w:val="single" w:sz="4" w:space="0" w:color="auto"/>
            </w:tcBorders>
            <w:noWrap/>
            <w:hideMark/>
          </w:tcPr>
          <w:p w14:paraId="6F4E7379" w14:textId="77777777" w:rsidR="00B23D4E" w:rsidRPr="000F1DA7" w:rsidRDefault="00B23D4E" w:rsidP="00B23D4E">
            <w:pPr>
              <w:pStyle w:val="TableText"/>
            </w:pPr>
            <w:r w:rsidRPr="000F1DA7">
              <w:t>58833</w:t>
            </w:r>
          </w:p>
        </w:tc>
        <w:tc>
          <w:tcPr>
            <w:tcW w:w="1102" w:type="pct"/>
            <w:tcBorders>
              <w:top w:val="single" w:sz="4" w:space="0" w:color="auto"/>
              <w:bottom w:val="single" w:sz="4" w:space="0" w:color="auto"/>
            </w:tcBorders>
            <w:noWrap/>
            <w:hideMark/>
          </w:tcPr>
          <w:p w14:paraId="2FB0E1E5" w14:textId="77777777" w:rsidR="00B23D4E" w:rsidRPr="000F1DA7" w:rsidRDefault="00B23D4E" w:rsidP="00B23D4E">
            <w:pPr>
              <w:pStyle w:val="TableText"/>
            </w:pPr>
            <w:r w:rsidRPr="000F1DA7">
              <w:t>Conquest Sanction 200 Non-Residual Herbicide</w:t>
            </w:r>
          </w:p>
        </w:tc>
        <w:tc>
          <w:tcPr>
            <w:tcW w:w="1178" w:type="pct"/>
            <w:tcBorders>
              <w:top w:val="single" w:sz="4" w:space="0" w:color="auto"/>
              <w:bottom w:val="single" w:sz="4" w:space="0" w:color="auto"/>
            </w:tcBorders>
            <w:noWrap/>
            <w:hideMark/>
          </w:tcPr>
          <w:p w14:paraId="2FD6C843" w14:textId="77777777" w:rsidR="00B23D4E" w:rsidRPr="000F1DA7" w:rsidRDefault="00B23D4E" w:rsidP="00B23D4E">
            <w:pPr>
              <w:pStyle w:val="TableText"/>
            </w:pPr>
            <w:r w:rsidRPr="000F1DA7">
              <w:t>Conquest Crop Protection Pty Ltd</w:t>
            </w:r>
          </w:p>
        </w:tc>
        <w:tc>
          <w:tcPr>
            <w:tcW w:w="1470" w:type="pct"/>
            <w:gridSpan w:val="2"/>
            <w:tcBorders>
              <w:top w:val="single" w:sz="4" w:space="0" w:color="auto"/>
              <w:bottom w:val="single" w:sz="4" w:space="0" w:color="auto"/>
            </w:tcBorders>
          </w:tcPr>
          <w:p w14:paraId="5DCD8369" w14:textId="7AE89C1D"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30374184" w14:textId="77777777" w:rsidR="00B23D4E" w:rsidRPr="000F1DA7" w:rsidRDefault="00B23D4E" w:rsidP="00B23D4E">
            <w:pPr>
              <w:pStyle w:val="TableText"/>
            </w:pPr>
            <w:r>
              <w:t>1</w:t>
            </w:r>
          </w:p>
        </w:tc>
      </w:tr>
      <w:tr w:rsidR="00B23D4E" w:rsidRPr="000F1DA7" w14:paraId="0CB8576B" w14:textId="77777777" w:rsidTr="00D556F8">
        <w:trPr>
          <w:trHeight w:val="510"/>
        </w:trPr>
        <w:tc>
          <w:tcPr>
            <w:tcW w:w="661" w:type="pct"/>
            <w:tcBorders>
              <w:top w:val="single" w:sz="4" w:space="0" w:color="auto"/>
              <w:bottom w:val="single" w:sz="4" w:space="0" w:color="auto"/>
            </w:tcBorders>
            <w:noWrap/>
            <w:hideMark/>
          </w:tcPr>
          <w:p w14:paraId="70BE40C6" w14:textId="77777777" w:rsidR="00B23D4E" w:rsidRPr="000F1DA7" w:rsidRDefault="00B23D4E" w:rsidP="00B23D4E">
            <w:pPr>
              <w:pStyle w:val="TableText"/>
            </w:pPr>
            <w:r w:rsidRPr="000F1DA7">
              <w:t>59332</w:t>
            </w:r>
          </w:p>
        </w:tc>
        <w:tc>
          <w:tcPr>
            <w:tcW w:w="1102" w:type="pct"/>
            <w:tcBorders>
              <w:top w:val="single" w:sz="4" w:space="0" w:color="auto"/>
              <w:bottom w:val="single" w:sz="4" w:space="0" w:color="auto"/>
            </w:tcBorders>
            <w:noWrap/>
            <w:hideMark/>
          </w:tcPr>
          <w:p w14:paraId="4DC7D414" w14:textId="77777777" w:rsidR="00B23D4E" w:rsidRPr="000F1DA7" w:rsidRDefault="00B23D4E" w:rsidP="00B23D4E">
            <w:pPr>
              <w:pStyle w:val="TableText"/>
            </w:pPr>
            <w:r w:rsidRPr="000F1DA7">
              <w:t>Kenso Agcare Diquat 200 Herbicide</w:t>
            </w:r>
          </w:p>
        </w:tc>
        <w:tc>
          <w:tcPr>
            <w:tcW w:w="1178" w:type="pct"/>
            <w:tcBorders>
              <w:top w:val="single" w:sz="4" w:space="0" w:color="auto"/>
              <w:bottom w:val="single" w:sz="4" w:space="0" w:color="auto"/>
            </w:tcBorders>
            <w:noWrap/>
            <w:hideMark/>
          </w:tcPr>
          <w:p w14:paraId="061FEFB1" w14:textId="77777777" w:rsidR="00B23D4E" w:rsidRPr="000F1DA7" w:rsidRDefault="00B23D4E" w:rsidP="00B23D4E">
            <w:pPr>
              <w:pStyle w:val="TableText"/>
            </w:pPr>
            <w:r w:rsidRPr="000F1DA7">
              <w:t>Kenso Corporation (M) Sdn. Bhd.</w:t>
            </w:r>
          </w:p>
        </w:tc>
        <w:tc>
          <w:tcPr>
            <w:tcW w:w="1470" w:type="pct"/>
            <w:gridSpan w:val="2"/>
            <w:tcBorders>
              <w:top w:val="single" w:sz="4" w:space="0" w:color="auto"/>
              <w:bottom w:val="single" w:sz="4" w:space="0" w:color="auto"/>
            </w:tcBorders>
          </w:tcPr>
          <w:p w14:paraId="123B0669" w14:textId="249C49AA"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D71AAF4" w14:textId="77777777" w:rsidR="00B23D4E" w:rsidRPr="000F1DA7" w:rsidRDefault="00B23D4E" w:rsidP="00B23D4E">
            <w:pPr>
              <w:pStyle w:val="TableText"/>
            </w:pPr>
            <w:r>
              <w:t>1</w:t>
            </w:r>
          </w:p>
        </w:tc>
      </w:tr>
      <w:tr w:rsidR="00B23D4E" w:rsidRPr="000F1DA7" w14:paraId="2B4C68C3" w14:textId="77777777" w:rsidTr="00D556F8">
        <w:trPr>
          <w:trHeight w:val="300"/>
        </w:trPr>
        <w:tc>
          <w:tcPr>
            <w:tcW w:w="661" w:type="pct"/>
            <w:tcBorders>
              <w:top w:val="single" w:sz="4" w:space="0" w:color="auto"/>
              <w:bottom w:val="single" w:sz="4" w:space="0" w:color="auto"/>
            </w:tcBorders>
            <w:noWrap/>
            <w:hideMark/>
          </w:tcPr>
          <w:p w14:paraId="16FE5241" w14:textId="77777777" w:rsidR="00B23D4E" w:rsidRPr="000F1DA7" w:rsidRDefault="00B23D4E" w:rsidP="00B23D4E">
            <w:pPr>
              <w:pStyle w:val="TableText"/>
            </w:pPr>
            <w:r w:rsidRPr="000F1DA7">
              <w:t>60297</w:t>
            </w:r>
          </w:p>
        </w:tc>
        <w:tc>
          <w:tcPr>
            <w:tcW w:w="1102" w:type="pct"/>
            <w:tcBorders>
              <w:top w:val="single" w:sz="4" w:space="0" w:color="auto"/>
              <w:bottom w:val="single" w:sz="4" w:space="0" w:color="auto"/>
            </w:tcBorders>
            <w:noWrap/>
            <w:hideMark/>
          </w:tcPr>
          <w:p w14:paraId="35A64BCD" w14:textId="77777777" w:rsidR="00B23D4E" w:rsidRPr="000F1DA7" w:rsidRDefault="00B23D4E" w:rsidP="00B23D4E">
            <w:pPr>
              <w:pStyle w:val="TableText"/>
            </w:pPr>
            <w:r w:rsidRPr="000F1DA7">
              <w:t>Dia-Kill 200 Herbicide</w:t>
            </w:r>
          </w:p>
        </w:tc>
        <w:tc>
          <w:tcPr>
            <w:tcW w:w="1178" w:type="pct"/>
            <w:tcBorders>
              <w:top w:val="single" w:sz="4" w:space="0" w:color="auto"/>
              <w:bottom w:val="single" w:sz="4" w:space="0" w:color="auto"/>
            </w:tcBorders>
            <w:noWrap/>
            <w:hideMark/>
          </w:tcPr>
          <w:p w14:paraId="47B6B630" w14:textId="77777777" w:rsidR="00B23D4E" w:rsidRPr="000F1DA7" w:rsidRDefault="00B23D4E" w:rsidP="00B23D4E">
            <w:pPr>
              <w:pStyle w:val="TableText"/>
            </w:pPr>
            <w:r w:rsidRPr="000F1DA7">
              <w:t>Sinon Australia Pty Limited</w:t>
            </w:r>
          </w:p>
        </w:tc>
        <w:tc>
          <w:tcPr>
            <w:tcW w:w="1470" w:type="pct"/>
            <w:gridSpan w:val="2"/>
            <w:tcBorders>
              <w:top w:val="single" w:sz="4" w:space="0" w:color="auto"/>
              <w:bottom w:val="single" w:sz="4" w:space="0" w:color="auto"/>
            </w:tcBorders>
          </w:tcPr>
          <w:p w14:paraId="47782A8D" w14:textId="3F8C1C4C"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68053844" w14:textId="77777777" w:rsidR="00B23D4E" w:rsidRPr="000F1DA7" w:rsidRDefault="00B23D4E" w:rsidP="00B23D4E">
            <w:pPr>
              <w:pStyle w:val="TableText"/>
            </w:pPr>
            <w:r>
              <w:t>1</w:t>
            </w:r>
          </w:p>
        </w:tc>
      </w:tr>
      <w:tr w:rsidR="00B23D4E" w:rsidRPr="000F1DA7" w14:paraId="544AE4B7" w14:textId="77777777" w:rsidTr="00D556F8">
        <w:trPr>
          <w:trHeight w:val="300"/>
        </w:trPr>
        <w:tc>
          <w:tcPr>
            <w:tcW w:w="661" w:type="pct"/>
            <w:tcBorders>
              <w:top w:val="single" w:sz="4" w:space="0" w:color="auto"/>
              <w:bottom w:val="single" w:sz="4" w:space="0" w:color="auto"/>
            </w:tcBorders>
            <w:noWrap/>
            <w:hideMark/>
          </w:tcPr>
          <w:p w14:paraId="2D5BD56F" w14:textId="77777777" w:rsidR="00B23D4E" w:rsidRPr="000F1DA7" w:rsidRDefault="00B23D4E" w:rsidP="00B23D4E">
            <w:pPr>
              <w:pStyle w:val="TableText"/>
            </w:pPr>
            <w:r w:rsidRPr="000F1DA7">
              <w:t>63173</w:t>
            </w:r>
          </w:p>
        </w:tc>
        <w:tc>
          <w:tcPr>
            <w:tcW w:w="1102" w:type="pct"/>
            <w:tcBorders>
              <w:top w:val="single" w:sz="4" w:space="0" w:color="auto"/>
              <w:bottom w:val="single" w:sz="4" w:space="0" w:color="auto"/>
            </w:tcBorders>
            <w:noWrap/>
            <w:hideMark/>
          </w:tcPr>
          <w:p w14:paraId="3717DFF0" w14:textId="77777777" w:rsidR="00B23D4E" w:rsidRPr="000F1DA7" w:rsidRDefault="00B23D4E" w:rsidP="00B23D4E">
            <w:pPr>
              <w:pStyle w:val="TableText"/>
            </w:pPr>
            <w:r w:rsidRPr="000F1DA7">
              <w:t>Accensi Diquat 200 Non-Residual Herbicide</w:t>
            </w:r>
          </w:p>
        </w:tc>
        <w:tc>
          <w:tcPr>
            <w:tcW w:w="1178" w:type="pct"/>
            <w:tcBorders>
              <w:top w:val="single" w:sz="4" w:space="0" w:color="auto"/>
              <w:bottom w:val="single" w:sz="4" w:space="0" w:color="auto"/>
            </w:tcBorders>
            <w:noWrap/>
            <w:hideMark/>
          </w:tcPr>
          <w:p w14:paraId="29F6C125" w14:textId="785A7E14" w:rsidR="00B23D4E" w:rsidRPr="000F1DA7" w:rsidRDefault="00B23D4E" w:rsidP="00B23D4E">
            <w:pPr>
              <w:pStyle w:val="TableText"/>
            </w:pPr>
            <w:r w:rsidRPr="000F1DA7">
              <w:t>A</w:t>
            </w:r>
            <w:r w:rsidR="007313F3">
              <w:t>ustralian Agribusiness (Holdings) Pty Ltd</w:t>
            </w:r>
          </w:p>
        </w:tc>
        <w:tc>
          <w:tcPr>
            <w:tcW w:w="1470" w:type="pct"/>
            <w:gridSpan w:val="2"/>
            <w:tcBorders>
              <w:top w:val="single" w:sz="4" w:space="0" w:color="auto"/>
              <w:bottom w:val="single" w:sz="4" w:space="0" w:color="auto"/>
            </w:tcBorders>
          </w:tcPr>
          <w:p w14:paraId="7A5C82CD" w14:textId="46ADC6AE"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4A12F4EC" w14:textId="77777777" w:rsidR="00B23D4E" w:rsidRPr="000F1DA7" w:rsidRDefault="00B23D4E" w:rsidP="00B23D4E">
            <w:pPr>
              <w:pStyle w:val="TableText"/>
            </w:pPr>
            <w:r>
              <w:t>1</w:t>
            </w:r>
          </w:p>
        </w:tc>
      </w:tr>
      <w:tr w:rsidR="00B23D4E" w:rsidRPr="000F1DA7" w14:paraId="18CC7C73" w14:textId="77777777" w:rsidTr="00D556F8">
        <w:trPr>
          <w:trHeight w:val="300"/>
        </w:trPr>
        <w:tc>
          <w:tcPr>
            <w:tcW w:w="661" w:type="pct"/>
            <w:tcBorders>
              <w:top w:val="single" w:sz="4" w:space="0" w:color="auto"/>
              <w:bottom w:val="single" w:sz="4" w:space="0" w:color="auto"/>
            </w:tcBorders>
            <w:noWrap/>
            <w:hideMark/>
          </w:tcPr>
          <w:p w14:paraId="5835184C" w14:textId="77777777" w:rsidR="00B23D4E" w:rsidRPr="000F1DA7" w:rsidRDefault="00B23D4E" w:rsidP="00B23D4E">
            <w:pPr>
              <w:pStyle w:val="TableText"/>
            </w:pPr>
            <w:r w:rsidRPr="000F1DA7">
              <w:t>64177</w:t>
            </w:r>
          </w:p>
        </w:tc>
        <w:tc>
          <w:tcPr>
            <w:tcW w:w="1102" w:type="pct"/>
            <w:tcBorders>
              <w:top w:val="single" w:sz="4" w:space="0" w:color="auto"/>
              <w:bottom w:val="single" w:sz="4" w:space="0" w:color="auto"/>
            </w:tcBorders>
            <w:noWrap/>
            <w:hideMark/>
          </w:tcPr>
          <w:p w14:paraId="07F1F0F5" w14:textId="77777777" w:rsidR="00B23D4E" w:rsidRPr="000F1DA7" w:rsidRDefault="00B23D4E" w:rsidP="00B23D4E">
            <w:pPr>
              <w:pStyle w:val="TableText"/>
            </w:pPr>
            <w:r w:rsidRPr="000F1DA7">
              <w:t>Titan Diquat 200 Non-Residual Herbicide</w:t>
            </w:r>
          </w:p>
        </w:tc>
        <w:tc>
          <w:tcPr>
            <w:tcW w:w="1178" w:type="pct"/>
            <w:tcBorders>
              <w:top w:val="single" w:sz="4" w:space="0" w:color="auto"/>
              <w:bottom w:val="single" w:sz="4" w:space="0" w:color="auto"/>
            </w:tcBorders>
            <w:noWrap/>
            <w:hideMark/>
          </w:tcPr>
          <w:p w14:paraId="67B59635" w14:textId="77777777" w:rsidR="00B23D4E" w:rsidRPr="000F1DA7" w:rsidRDefault="00B23D4E" w:rsidP="00B23D4E">
            <w:pPr>
              <w:pStyle w:val="TableText"/>
            </w:pPr>
            <w:r w:rsidRPr="000F1DA7">
              <w:t>Titan Ag Pty Ltd</w:t>
            </w:r>
          </w:p>
        </w:tc>
        <w:tc>
          <w:tcPr>
            <w:tcW w:w="1470" w:type="pct"/>
            <w:gridSpan w:val="2"/>
            <w:tcBorders>
              <w:top w:val="single" w:sz="4" w:space="0" w:color="auto"/>
              <w:bottom w:val="single" w:sz="4" w:space="0" w:color="auto"/>
            </w:tcBorders>
          </w:tcPr>
          <w:p w14:paraId="3C5059BA" w14:textId="443B852B"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18F12AD" w14:textId="77777777" w:rsidR="00B23D4E" w:rsidRPr="000F1DA7" w:rsidRDefault="00B23D4E" w:rsidP="00B23D4E">
            <w:pPr>
              <w:pStyle w:val="TableText"/>
            </w:pPr>
            <w:r>
              <w:t>1</w:t>
            </w:r>
          </w:p>
        </w:tc>
      </w:tr>
      <w:tr w:rsidR="00B23D4E" w:rsidRPr="000F1DA7" w14:paraId="5B1B26F2" w14:textId="77777777" w:rsidTr="00D556F8">
        <w:trPr>
          <w:trHeight w:val="300"/>
        </w:trPr>
        <w:tc>
          <w:tcPr>
            <w:tcW w:w="661" w:type="pct"/>
            <w:tcBorders>
              <w:top w:val="single" w:sz="4" w:space="0" w:color="auto"/>
              <w:bottom w:val="single" w:sz="4" w:space="0" w:color="auto"/>
            </w:tcBorders>
            <w:noWrap/>
            <w:hideMark/>
          </w:tcPr>
          <w:p w14:paraId="77CEF628" w14:textId="77777777" w:rsidR="00B23D4E" w:rsidRPr="000F1DA7" w:rsidRDefault="00B23D4E" w:rsidP="00B23D4E">
            <w:pPr>
              <w:pStyle w:val="TableText"/>
            </w:pPr>
            <w:r w:rsidRPr="000F1DA7">
              <w:t>64311</w:t>
            </w:r>
          </w:p>
        </w:tc>
        <w:tc>
          <w:tcPr>
            <w:tcW w:w="1102" w:type="pct"/>
            <w:tcBorders>
              <w:top w:val="single" w:sz="4" w:space="0" w:color="auto"/>
              <w:bottom w:val="single" w:sz="4" w:space="0" w:color="auto"/>
            </w:tcBorders>
            <w:noWrap/>
            <w:hideMark/>
          </w:tcPr>
          <w:p w14:paraId="59C64714" w14:textId="77777777" w:rsidR="00B23D4E" w:rsidRPr="000F1DA7" w:rsidRDefault="00B23D4E" w:rsidP="00B23D4E">
            <w:pPr>
              <w:pStyle w:val="TableText"/>
            </w:pPr>
            <w:r w:rsidRPr="000F1DA7">
              <w:t>Farmalinx Diquat 200 Herbicide</w:t>
            </w:r>
          </w:p>
        </w:tc>
        <w:tc>
          <w:tcPr>
            <w:tcW w:w="1178" w:type="pct"/>
            <w:tcBorders>
              <w:top w:val="single" w:sz="4" w:space="0" w:color="auto"/>
              <w:bottom w:val="single" w:sz="4" w:space="0" w:color="auto"/>
            </w:tcBorders>
            <w:noWrap/>
            <w:hideMark/>
          </w:tcPr>
          <w:p w14:paraId="26A1AF7F" w14:textId="77777777" w:rsidR="00B23D4E" w:rsidRPr="000F1DA7" w:rsidRDefault="00B23D4E" w:rsidP="00B23D4E">
            <w:pPr>
              <w:pStyle w:val="TableText"/>
            </w:pPr>
            <w:r w:rsidRPr="000F1DA7">
              <w:t>Farmalinx Pty Ltd</w:t>
            </w:r>
          </w:p>
        </w:tc>
        <w:tc>
          <w:tcPr>
            <w:tcW w:w="1470" w:type="pct"/>
            <w:gridSpan w:val="2"/>
            <w:tcBorders>
              <w:top w:val="single" w:sz="4" w:space="0" w:color="auto"/>
              <w:bottom w:val="single" w:sz="4" w:space="0" w:color="auto"/>
            </w:tcBorders>
          </w:tcPr>
          <w:p w14:paraId="23D65DD3" w14:textId="0E2C2129"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1DA3473" w14:textId="77777777" w:rsidR="00B23D4E" w:rsidRPr="000F1DA7" w:rsidRDefault="00B23D4E" w:rsidP="00B23D4E">
            <w:pPr>
              <w:pStyle w:val="TableText"/>
            </w:pPr>
            <w:r>
              <w:t>1</w:t>
            </w:r>
          </w:p>
        </w:tc>
      </w:tr>
      <w:tr w:rsidR="00B23D4E" w:rsidRPr="000F1DA7" w14:paraId="7365E61E" w14:textId="77777777" w:rsidTr="00D556F8">
        <w:trPr>
          <w:trHeight w:val="300"/>
        </w:trPr>
        <w:tc>
          <w:tcPr>
            <w:tcW w:w="661" w:type="pct"/>
            <w:tcBorders>
              <w:top w:val="single" w:sz="4" w:space="0" w:color="auto"/>
              <w:bottom w:val="single" w:sz="4" w:space="0" w:color="auto"/>
            </w:tcBorders>
            <w:noWrap/>
            <w:hideMark/>
          </w:tcPr>
          <w:p w14:paraId="3BB205D4" w14:textId="77777777" w:rsidR="00B23D4E" w:rsidRPr="000F1DA7" w:rsidRDefault="00B23D4E" w:rsidP="00B23D4E">
            <w:pPr>
              <w:pStyle w:val="TableText"/>
            </w:pPr>
            <w:r w:rsidRPr="000F1DA7">
              <w:t>64889</w:t>
            </w:r>
          </w:p>
        </w:tc>
        <w:tc>
          <w:tcPr>
            <w:tcW w:w="1102" w:type="pct"/>
            <w:tcBorders>
              <w:top w:val="single" w:sz="4" w:space="0" w:color="auto"/>
              <w:bottom w:val="single" w:sz="4" w:space="0" w:color="auto"/>
            </w:tcBorders>
            <w:noWrap/>
            <w:hideMark/>
          </w:tcPr>
          <w:p w14:paraId="37966FC8" w14:textId="77777777" w:rsidR="00B23D4E" w:rsidRPr="000F1DA7" w:rsidRDefault="00B23D4E" w:rsidP="00B23D4E">
            <w:pPr>
              <w:pStyle w:val="TableText"/>
            </w:pPr>
            <w:r w:rsidRPr="000F1DA7">
              <w:t>Genfarm Diquat 200 Non-Residual Herbicide</w:t>
            </w:r>
          </w:p>
        </w:tc>
        <w:tc>
          <w:tcPr>
            <w:tcW w:w="1178" w:type="pct"/>
            <w:tcBorders>
              <w:top w:val="single" w:sz="4" w:space="0" w:color="auto"/>
              <w:bottom w:val="single" w:sz="4" w:space="0" w:color="auto"/>
            </w:tcBorders>
            <w:noWrap/>
            <w:hideMark/>
          </w:tcPr>
          <w:p w14:paraId="214B165D" w14:textId="77777777" w:rsidR="00B23D4E" w:rsidRPr="000F1DA7" w:rsidRDefault="00B23D4E" w:rsidP="00B23D4E">
            <w:pPr>
              <w:pStyle w:val="TableText"/>
            </w:pPr>
            <w:r w:rsidRPr="000F1DA7">
              <w:t>Nutrien Ag Solutions Limited</w:t>
            </w:r>
          </w:p>
        </w:tc>
        <w:tc>
          <w:tcPr>
            <w:tcW w:w="1470" w:type="pct"/>
            <w:gridSpan w:val="2"/>
            <w:tcBorders>
              <w:top w:val="single" w:sz="4" w:space="0" w:color="auto"/>
              <w:bottom w:val="single" w:sz="4" w:space="0" w:color="auto"/>
            </w:tcBorders>
          </w:tcPr>
          <w:p w14:paraId="58A5A4EE" w14:textId="141A0BC0"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65B532AC" w14:textId="77777777" w:rsidR="00B23D4E" w:rsidRPr="000F1DA7" w:rsidRDefault="00B23D4E" w:rsidP="00B23D4E">
            <w:pPr>
              <w:pStyle w:val="TableText"/>
            </w:pPr>
            <w:r>
              <w:t>1</w:t>
            </w:r>
          </w:p>
        </w:tc>
      </w:tr>
      <w:tr w:rsidR="00B23D4E" w:rsidRPr="000F1DA7" w14:paraId="4BF98B06" w14:textId="77777777" w:rsidTr="00D556F8">
        <w:trPr>
          <w:trHeight w:val="300"/>
        </w:trPr>
        <w:tc>
          <w:tcPr>
            <w:tcW w:w="661" w:type="pct"/>
            <w:tcBorders>
              <w:top w:val="single" w:sz="4" w:space="0" w:color="auto"/>
              <w:bottom w:val="single" w:sz="4" w:space="0" w:color="auto"/>
            </w:tcBorders>
            <w:noWrap/>
            <w:hideMark/>
          </w:tcPr>
          <w:p w14:paraId="273A13D9" w14:textId="77777777" w:rsidR="00B23D4E" w:rsidRPr="000F1DA7" w:rsidRDefault="00B23D4E" w:rsidP="00B23D4E">
            <w:pPr>
              <w:pStyle w:val="TableText"/>
            </w:pPr>
            <w:r w:rsidRPr="000F1DA7">
              <w:t>65909</w:t>
            </w:r>
          </w:p>
        </w:tc>
        <w:tc>
          <w:tcPr>
            <w:tcW w:w="1102" w:type="pct"/>
            <w:tcBorders>
              <w:top w:val="single" w:sz="4" w:space="0" w:color="auto"/>
              <w:bottom w:val="single" w:sz="4" w:space="0" w:color="auto"/>
            </w:tcBorders>
            <w:noWrap/>
            <w:hideMark/>
          </w:tcPr>
          <w:p w14:paraId="7A18248D" w14:textId="77777777" w:rsidR="00B23D4E" w:rsidRPr="000F1DA7" w:rsidRDefault="00B23D4E" w:rsidP="00B23D4E">
            <w:pPr>
              <w:pStyle w:val="TableText"/>
            </w:pPr>
            <w:r w:rsidRPr="000F1DA7">
              <w:t>Rainbow Diquat 200 Non-Residual Herbicide</w:t>
            </w:r>
          </w:p>
        </w:tc>
        <w:tc>
          <w:tcPr>
            <w:tcW w:w="1178" w:type="pct"/>
            <w:tcBorders>
              <w:top w:val="single" w:sz="4" w:space="0" w:color="auto"/>
              <w:bottom w:val="single" w:sz="4" w:space="0" w:color="auto"/>
            </w:tcBorders>
            <w:noWrap/>
            <w:hideMark/>
          </w:tcPr>
          <w:p w14:paraId="0B3F2252" w14:textId="77777777" w:rsidR="00B23D4E" w:rsidRPr="000F1DA7" w:rsidRDefault="00B23D4E" w:rsidP="00B23D4E">
            <w:pPr>
              <w:pStyle w:val="TableText"/>
            </w:pPr>
            <w:r w:rsidRPr="000F1DA7">
              <w:t>Shandong Rainbow International Co Ltd</w:t>
            </w:r>
          </w:p>
        </w:tc>
        <w:tc>
          <w:tcPr>
            <w:tcW w:w="1470" w:type="pct"/>
            <w:gridSpan w:val="2"/>
            <w:tcBorders>
              <w:top w:val="single" w:sz="4" w:space="0" w:color="auto"/>
              <w:bottom w:val="single" w:sz="4" w:space="0" w:color="auto"/>
            </w:tcBorders>
          </w:tcPr>
          <w:p w14:paraId="10146940" w14:textId="5BDE7603"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A167E55" w14:textId="77777777" w:rsidR="00B23D4E" w:rsidRPr="000F1DA7" w:rsidRDefault="00B23D4E" w:rsidP="00B23D4E">
            <w:pPr>
              <w:pStyle w:val="TableText"/>
            </w:pPr>
            <w:r>
              <w:t>1</w:t>
            </w:r>
          </w:p>
        </w:tc>
      </w:tr>
      <w:tr w:rsidR="00B23D4E" w:rsidRPr="000F1DA7" w14:paraId="6698B893" w14:textId="77777777" w:rsidTr="00D556F8">
        <w:trPr>
          <w:trHeight w:val="300"/>
        </w:trPr>
        <w:tc>
          <w:tcPr>
            <w:tcW w:w="661" w:type="pct"/>
            <w:tcBorders>
              <w:top w:val="single" w:sz="4" w:space="0" w:color="auto"/>
              <w:bottom w:val="single" w:sz="4" w:space="0" w:color="auto"/>
            </w:tcBorders>
            <w:noWrap/>
            <w:hideMark/>
          </w:tcPr>
          <w:p w14:paraId="3F5740AB" w14:textId="77777777" w:rsidR="00B23D4E" w:rsidRPr="000F1DA7" w:rsidRDefault="00B23D4E" w:rsidP="00B23D4E">
            <w:pPr>
              <w:pStyle w:val="TableText"/>
            </w:pPr>
            <w:r w:rsidRPr="000F1DA7">
              <w:t>66064</w:t>
            </w:r>
          </w:p>
        </w:tc>
        <w:tc>
          <w:tcPr>
            <w:tcW w:w="1102" w:type="pct"/>
            <w:tcBorders>
              <w:top w:val="single" w:sz="4" w:space="0" w:color="auto"/>
              <w:bottom w:val="single" w:sz="4" w:space="0" w:color="auto"/>
            </w:tcBorders>
            <w:noWrap/>
            <w:hideMark/>
          </w:tcPr>
          <w:p w14:paraId="1158B1A5" w14:textId="77777777" w:rsidR="00B23D4E" w:rsidRPr="000F1DA7" w:rsidRDefault="00B23D4E" w:rsidP="00B23D4E">
            <w:pPr>
              <w:pStyle w:val="TableText"/>
            </w:pPr>
            <w:r w:rsidRPr="000F1DA7">
              <w:t>KDPC Desiquat Non-Residual Herbicide</w:t>
            </w:r>
          </w:p>
        </w:tc>
        <w:tc>
          <w:tcPr>
            <w:tcW w:w="1178" w:type="pct"/>
            <w:tcBorders>
              <w:top w:val="single" w:sz="4" w:space="0" w:color="auto"/>
              <w:bottom w:val="single" w:sz="4" w:space="0" w:color="auto"/>
            </w:tcBorders>
            <w:noWrap/>
            <w:hideMark/>
          </w:tcPr>
          <w:p w14:paraId="12A3D266" w14:textId="77777777" w:rsidR="00B23D4E" w:rsidRPr="000F1DA7" w:rsidRDefault="00B23D4E" w:rsidP="00B23D4E">
            <w:pPr>
              <w:pStyle w:val="TableText"/>
            </w:pPr>
            <w:r w:rsidRPr="000F1DA7">
              <w:t>KD Plant Care Pty Ltd</w:t>
            </w:r>
          </w:p>
        </w:tc>
        <w:tc>
          <w:tcPr>
            <w:tcW w:w="1470" w:type="pct"/>
            <w:gridSpan w:val="2"/>
            <w:tcBorders>
              <w:top w:val="single" w:sz="4" w:space="0" w:color="auto"/>
              <w:bottom w:val="single" w:sz="4" w:space="0" w:color="auto"/>
            </w:tcBorders>
          </w:tcPr>
          <w:p w14:paraId="31CB4329" w14:textId="53D8DE5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5DDC46E5" w14:textId="77777777" w:rsidR="00B23D4E" w:rsidRPr="000F1DA7" w:rsidRDefault="00B23D4E" w:rsidP="00B23D4E">
            <w:pPr>
              <w:pStyle w:val="TableText"/>
            </w:pPr>
            <w:r>
              <w:t>1</w:t>
            </w:r>
          </w:p>
        </w:tc>
      </w:tr>
      <w:tr w:rsidR="00B23D4E" w:rsidRPr="000F1DA7" w14:paraId="6C00F86E" w14:textId="77777777" w:rsidTr="00D556F8">
        <w:trPr>
          <w:trHeight w:val="255"/>
        </w:trPr>
        <w:tc>
          <w:tcPr>
            <w:tcW w:w="661" w:type="pct"/>
            <w:tcBorders>
              <w:top w:val="single" w:sz="4" w:space="0" w:color="auto"/>
              <w:bottom w:val="single" w:sz="4" w:space="0" w:color="auto"/>
            </w:tcBorders>
            <w:noWrap/>
            <w:hideMark/>
          </w:tcPr>
          <w:p w14:paraId="187593B1" w14:textId="77777777" w:rsidR="00B23D4E" w:rsidRPr="000F1DA7" w:rsidRDefault="00B23D4E" w:rsidP="00B23D4E">
            <w:pPr>
              <w:pStyle w:val="TableText"/>
            </w:pPr>
            <w:r w:rsidRPr="000F1DA7">
              <w:t>81984</w:t>
            </w:r>
          </w:p>
        </w:tc>
        <w:tc>
          <w:tcPr>
            <w:tcW w:w="1102" w:type="pct"/>
            <w:tcBorders>
              <w:top w:val="single" w:sz="4" w:space="0" w:color="auto"/>
              <w:bottom w:val="single" w:sz="4" w:space="0" w:color="auto"/>
            </w:tcBorders>
            <w:noWrap/>
            <w:hideMark/>
          </w:tcPr>
          <w:p w14:paraId="71AFAB6A" w14:textId="77777777" w:rsidR="00B23D4E" w:rsidRPr="000F1DA7" w:rsidRDefault="00B23D4E" w:rsidP="00B23D4E">
            <w:pPr>
              <w:pStyle w:val="TableText"/>
            </w:pPr>
            <w:r w:rsidRPr="000F1DA7">
              <w:t>AQ 200 Aquatic Herbicide</w:t>
            </w:r>
          </w:p>
        </w:tc>
        <w:tc>
          <w:tcPr>
            <w:tcW w:w="1178" w:type="pct"/>
            <w:tcBorders>
              <w:top w:val="single" w:sz="4" w:space="0" w:color="auto"/>
              <w:bottom w:val="single" w:sz="4" w:space="0" w:color="auto"/>
            </w:tcBorders>
            <w:noWrap/>
            <w:hideMark/>
          </w:tcPr>
          <w:p w14:paraId="7B4FF199" w14:textId="77777777" w:rsidR="00B23D4E" w:rsidRPr="000F1DA7" w:rsidRDefault="00B23D4E" w:rsidP="00B23D4E">
            <w:pPr>
              <w:pStyle w:val="TableText"/>
            </w:pPr>
            <w:r w:rsidRPr="000F1DA7">
              <w:t>Aquatic Site Maintenance Pty Ltd</w:t>
            </w:r>
          </w:p>
        </w:tc>
        <w:tc>
          <w:tcPr>
            <w:tcW w:w="1470" w:type="pct"/>
            <w:gridSpan w:val="2"/>
            <w:tcBorders>
              <w:top w:val="single" w:sz="4" w:space="0" w:color="auto"/>
              <w:bottom w:val="single" w:sz="4" w:space="0" w:color="auto"/>
            </w:tcBorders>
          </w:tcPr>
          <w:p w14:paraId="44F47098" w14:textId="329C3155"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090545A" w14:textId="77777777" w:rsidR="00B23D4E" w:rsidRPr="000F1DA7" w:rsidRDefault="00B23D4E" w:rsidP="00B23D4E">
            <w:pPr>
              <w:pStyle w:val="TableText"/>
            </w:pPr>
            <w:r>
              <w:t>1</w:t>
            </w:r>
          </w:p>
        </w:tc>
      </w:tr>
      <w:tr w:rsidR="00B23D4E" w:rsidRPr="000F1DA7" w14:paraId="0EB5DAA4" w14:textId="77777777" w:rsidTr="00D556F8">
        <w:trPr>
          <w:trHeight w:val="255"/>
        </w:trPr>
        <w:tc>
          <w:tcPr>
            <w:tcW w:w="661" w:type="pct"/>
            <w:tcBorders>
              <w:top w:val="single" w:sz="4" w:space="0" w:color="auto"/>
              <w:bottom w:val="single" w:sz="4" w:space="0" w:color="auto"/>
            </w:tcBorders>
            <w:noWrap/>
            <w:hideMark/>
          </w:tcPr>
          <w:p w14:paraId="7C4777FD" w14:textId="77777777" w:rsidR="00B23D4E" w:rsidRPr="000F1DA7" w:rsidRDefault="00B23D4E" w:rsidP="00B23D4E">
            <w:pPr>
              <w:pStyle w:val="TableText"/>
            </w:pPr>
            <w:r w:rsidRPr="000F1DA7">
              <w:t>82741</w:t>
            </w:r>
          </w:p>
        </w:tc>
        <w:tc>
          <w:tcPr>
            <w:tcW w:w="1102" w:type="pct"/>
            <w:tcBorders>
              <w:top w:val="single" w:sz="4" w:space="0" w:color="auto"/>
              <w:bottom w:val="single" w:sz="4" w:space="0" w:color="auto"/>
            </w:tcBorders>
            <w:noWrap/>
            <w:hideMark/>
          </w:tcPr>
          <w:p w14:paraId="5CD311A1" w14:textId="77777777" w:rsidR="00B23D4E" w:rsidRPr="000F1DA7" w:rsidRDefault="00B23D4E" w:rsidP="00B23D4E">
            <w:pPr>
              <w:pStyle w:val="TableText"/>
            </w:pPr>
            <w:r w:rsidRPr="000F1DA7">
              <w:t>Water Treats Aquatic Weed Killer</w:t>
            </w:r>
          </w:p>
        </w:tc>
        <w:tc>
          <w:tcPr>
            <w:tcW w:w="1178" w:type="pct"/>
            <w:tcBorders>
              <w:top w:val="single" w:sz="4" w:space="0" w:color="auto"/>
              <w:bottom w:val="single" w:sz="4" w:space="0" w:color="auto"/>
            </w:tcBorders>
            <w:noWrap/>
            <w:hideMark/>
          </w:tcPr>
          <w:p w14:paraId="28583CE9" w14:textId="77777777" w:rsidR="00B23D4E" w:rsidRPr="000F1DA7" w:rsidRDefault="00B23D4E" w:rsidP="00B23D4E">
            <w:pPr>
              <w:pStyle w:val="TableText"/>
            </w:pPr>
            <w:r w:rsidRPr="000F1DA7">
              <w:t>Clearwater Lakes And Ponds Pty Ltd</w:t>
            </w:r>
          </w:p>
        </w:tc>
        <w:tc>
          <w:tcPr>
            <w:tcW w:w="1470" w:type="pct"/>
            <w:gridSpan w:val="2"/>
            <w:tcBorders>
              <w:top w:val="single" w:sz="4" w:space="0" w:color="auto"/>
              <w:bottom w:val="single" w:sz="4" w:space="0" w:color="auto"/>
            </w:tcBorders>
          </w:tcPr>
          <w:p w14:paraId="5C256DF1" w14:textId="5BEED6DC"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22F79257" w14:textId="77777777" w:rsidR="00B23D4E" w:rsidRPr="000F1DA7" w:rsidRDefault="00B23D4E" w:rsidP="00B23D4E">
            <w:pPr>
              <w:pStyle w:val="TableText"/>
            </w:pPr>
            <w:r>
              <w:t>1</w:t>
            </w:r>
          </w:p>
        </w:tc>
      </w:tr>
      <w:tr w:rsidR="00B23D4E" w:rsidRPr="000F1DA7" w14:paraId="68447C0E" w14:textId="77777777" w:rsidTr="00D556F8">
        <w:trPr>
          <w:trHeight w:val="300"/>
        </w:trPr>
        <w:tc>
          <w:tcPr>
            <w:tcW w:w="661" w:type="pct"/>
            <w:tcBorders>
              <w:top w:val="single" w:sz="4" w:space="0" w:color="auto"/>
              <w:bottom w:val="single" w:sz="4" w:space="0" w:color="auto"/>
            </w:tcBorders>
            <w:noWrap/>
            <w:hideMark/>
          </w:tcPr>
          <w:p w14:paraId="7191808B" w14:textId="77777777" w:rsidR="00B23D4E" w:rsidRPr="000F1DA7" w:rsidRDefault="00B23D4E" w:rsidP="00B23D4E">
            <w:pPr>
              <w:pStyle w:val="TableText"/>
            </w:pPr>
            <w:r w:rsidRPr="000F1DA7">
              <w:t>83557</w:t>
            </w:r>
          </w:p>
        </w:tc>
        <w:tc>
          <w:tcPr>
            <w:tcW w:w="1102" w:type="pct"/>
            <w:tcBorders>
              <w:top w:val="single" w:sz="4" w:space="0" w:color="auto"/>
              <w:bottom w:val="single" w:sz="4" w:space="0" w:color="auto"/>
            </w:tcBorders>
            <w:noWrap/>
            <w:hideMark/>
          </w:tcPr>
          <w:p w14:paraId="75FD52D2" w14:textId="77777777" w:rsidR="00B23D4E" w:rsidRPr="000F1DA7" w:rsidRDefault="00B23D4E" w:rsidP="00B23D4E">
            <w:pPr>
              <w:pStyle w:val="TableText"/>
            </w:pPr>
            <w:r w:rsidRPr="000F1DA7">
              <w:t>Apparent Diquat 200 Herbicide</w:t>
            </w:r>
          </w:p>
        </w:tc>
        <w:tc>
          <w:tcPr>
            <w:tcW w:w="1178" w:type="pct"/>
            <w:tcBorders>
              <w:top w:val="single" w:sz="4" w:space="0" w:color="auto"/>
              <w:bottom w:val="single" w:sz="4" w:space="0" w:color="auto"/>
            </w:tcBorders>
            <w:noWrap/>
            <w:hideMark/>
          </w:tcPr>
          <w:p w14:paraId="125F4C16" w14:textId="77777777" w:rsidR="00B23D4E" w:rsidRPr="000F1DA7" w:rsidRDefault="00B23D4E" w:rsidP="00B23D4E">
            <w:pPr>
              <w:pStyle w:val="TableText"/>
            </w:pPr>
            <w:r w:rsidRPr="000F1DA7">
              <w:t>Titan Ag Pty Ltd</w:t>
            </w:r>
          </w:p>
        </w:tc>
        <w:tc>
          <w:tcPr>
            <w:tcW w:w="1470" w:type="pct"/>
            <w:gridSpan w:val="2"/>
            <w:tcBorders>
              <w:top w:val="single" w:sz="4" w:space="0" w:color="auto"/>
              <w:bottom w:val="single" w:sz="4" w:space="0" w:color="auto"/>
            </w:tcBorders>
          </w:tcPr>
          <w:p w14:paraId="6CF69CF7" w14:textId="750B357E"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4BF099AE" w14:textId="77777777" w:rsidR="00B23D4E" w:rsidRPr="000F1DA7" w:rsidRDefault="00B23D4E" w:rsidP="00B23D4E">
            <w:pPr>
              <w:pStyle w:val="TableText"/>
            </w:pPr>
            <w:r>
              <w:t>1</w:t>
            </w:r>
          </w:p>
        </w:tc>
      </w:tr>
      <w:tr w:rsidR="00B23D4E" w:rsidRPr="000F1DA7" w14:paraId="7A733F28" w14:textId="77777777" w:rsidTr="00D556F8">
        <w:trPr>
          <w:trHeight w:val="300"/>
        </w:trPr>
        <w:tc>
          <w:tcPr>
            <w:tcW w:w="661" w:type="pct"/>
            <w:tcBorders>
              <w:top w:val="single" w:sz="4" w:space="0" w:color="auto"/>
              <w:bottom w:val="single" w:sz="4" w:space="0" w:color="auto"/>
            </w:tcBorders>
            <w:noWrap/>
            <w:hideMark/>
          </w:tcPr>
          <w:p w14:paraId="265808BE" w14:textId="77777777" w:rsidR="00B23D4E" w:rsidRPr="000F1DA7" w:rsidRDefault="00B23D4E" w:rsidP="00B23D4E">
            <w:pPr>
              <w:pStyle w:val="TableText"/>
            </w:pPr>
            <w:r w:rsidRPr="000F1DA7">
              <w:t>84436</w:t>
            </w:r>
          </w:p>
        </w:tc>
        <w:tc>
          <w:tcPr>
            <w:tcW w:w="1102" w:type="pct"/>
            <w:tcBorders>
              <w:top w:val="single" w:sz="4" w:space="0" w:color="auto"/>
              <w:bottom w:val="single" w:sz="4" w:space="0" w:color="auto"/>
            </w:tcBorders>
            <w:noWrap/>
            <w:hideMark/>
          </w:tcPr>
          <w:p w14:paraId="1A542AD5" w14:textId="77777777" w:rsidR="00B23D4E" w:rsidRPr="000F1DA7" w:rsidRDefault="00B23D4E" w:rsidP="00B23D4E">
            <w:pPr>
              <w:pStyle w:val="TableText"/>
            </w:pPr>
            <w:r w:rsidRPr="000F1DA7">
              <w:t>4Farmers Diquat 200 Herbicide</w:t>
            </w:r>
          </w:p>
        </w:tc>
        <w:tc>
          <w:tcPr>
            <w:tcW w:w="1178" w:type="pct"/>
            <w:tcBorders>
              <w:top w:val="single" w:sz="4" w:space="0" w:color="auto"/>
              <w:bottom w:val="single" w:sz="4" w:space="0" w:color="auto"/>
            </w:tcBorders>
            <w:noWrap/>
            <w:hideMark/>
          </w:tcPr>
          <w:p w14:paraId="29FBDDA2" w14:textId="77777777" w:rsidR="00B23D4E" w:rsidRPr="000F1DA7" w:rsidRDefault="00B23D4E" w:rsidP="00B23D4E">
            <w:pPr>
              <w:pStyle w:val="TableText"/>
            </w:pPr>
            <w:r w:rsidRPr="000F1DA7">
              <w:t>4 Farmers Australia Pty Ltd</w:t>
            </w:r>
          </w:p>
        </w:tc>
        <w:tc>
          <w:tcPr>
            <w:tcW w:w="1470" w:type="pct"/>
            <w:gridSpan w:val="2"/>
            <w:tcBorders>
              <w:top w:val="single" w:sz="4" w:space="0" w:color="auto"/>
              <w:bottom w:val="single" w:sz="4" w:space="0" w:color="auto"/>
            </w:tcBorders>
          </w:tcPr>
          <w:p w14:paraId="3E7268CB" w14:textId="643DCF0E"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462AFE86" w14:textId="77777777" w:rsidR="00B23D4E" w:rsidRPr="000F1DA7" w:rsidRDefault="00B23D4E" w:rsidP="00B23D4E">
            <w:pPr>
              <w:pStyle w:val="TableText"/>
            </w:pPr>
            <w:r>
              <w:t>1</w:t>
            </w:r>
          </w:p>
        </w:tc>
      </w:tr>
      <w:tr w:rsidR="00B23D4E" w:rsidRPr="000F1DA7" w14:paraId="22E7A31A" w14:textId="77777777" w:rsidTr="00D556F8">
        <w:trPr>
          <w:trHeight w:val="300"/>
        </w:trPr>
        <w:tc>
          <w:tcPr>
            <w:tcW w:w="661" w:type="pct"/>
            <w:tcBorders>
              <w:top w:val="single" w:sz="4" w:space="0" w:color="auto"/>
              <w:bottom w:val="single" w:sz="4" w:space="0" w:color="auto"/>
            </w:tcBorders>
            <w:noWrap/>
            <w:hideMark/>
          </w:tcPr>
          <w:p w14:paraId="324AD1A0" w14:textId="77777777" w:rsidR="00B23D4E" w:rsidRPr="000F1DA7" w:rsidRDefault="00B23D4E" w:rsidP="00B23D4E">
            <w:pPr>
              <w:pStyle w:val="TableText"/>
            </w:pPr>
            <w:r w:rsidRPr="000F1DA7">
              <w:t>88533</w:t>
            </w:r>
          </w:p>
        </w:tc>
        <w:tc>
          <w:tcPr>
            <w:tcW w:w="1102" w:type="pct"/>
            <w:tcBorders>
              <w:top w:val="single" w:sz="4" w:space="0" w:color="auto"/>
              <w:bottom w:val="single" w:sz="4" w:space="0" w:color="auto"/>
            </w:tcBorders>
            <w:noWrap/>
            <w:hideMark/>
          </w:tcPr>
          <w:p w14:paraId="7B58B6C5" w14:textId="4967F44C" w:rsidR="00B23D4E" w:rsidRPr="000F1DA7" w:rsidRDefault="00B23D4E" w:rsidP="00B23D4E">
            <w:pPr>
              <w:pStyle w:val="TableText"/>
            </w:pPr>
            <w:r w:rsidRPr="000F1DA7">
              <w:t>Barmac Diquat 200 Herbicide</w:t>
            </w:r>
          </w:p>
        </w:tc>
        <w:tc>
          <w:tcPr>
            <w:tcW w:w="1178" w:type="pct"/>
            <w:tcBorders>
              <w:top w:val="single" w:sz="4" w:space="0" w:color="auto"/>
              <w:bottom w:val="single" w:sz="4" w:space="0" w:color="auto"/>
            </w:tcBorders>
            <w:noWrap/>
            <w:hideMark/>
          </w:tcPr>
          <w:p w14:paraId="1568A6FE" w14:textId="02316EDA" w:rsidR="00B23D4E" w:rsidRPr="000F1DA7" w:rsidRDefault="007313F3" w:rsidP="00B23D4E">
            <w:pPr>
              <w:pStyle w:val="TableText"/>
            </w:pPr>
            <w:r w:rsidRPr="007313F3">
              <w:t>Australian Agribusiness (Holdings) Pty Ltd</w:t>
            </w:r>
          </w:p>
        </w:tc>
        <w:tc>
          <w:tcPr>
            <w:tcW w:w="1470" w:type="pct"/>
            <w:gridSpan w:val="2"/>
            <w:tcBorders>
              <w:top w:val="single" w:sz="4" w:space="0" w:color="auto"/>
              <w:bottom w:val="single" w:sz="4" w:space="0" w:color="auto"/>
            </w:tcBorders>
          </w:tcPr>
          <w:p w14:paraId="6ADB28D3" w14:textId="6F99DE9F"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4BA1C96" w14:textId="77777777" w:rsidR="00B23D4E" w:rsidRPr="000F1DA7" w:rsidRDefault="00B23D4E" w:rsidP="00B23D4E">
            <w:pPr>
              <w:pStyle w:val="TableText"/>
            </w:pPr>
            <w:r>
              <w:t>1</w:t>
            </w:r>
          </w:p>
        </w:tc>
      </w:tr>
      <w:tr w:rsidR="00B23D4E" w:rsidRPr="000F1DA7" w14:paraId="61259503" w14:textId="77777777" w:rsidTr="00D556F8">
        <w:trPr>
          <w:trHeight w:val="300"/>
        </w:trPr>
        <w:tc>
          <w:tcPr>
            <w:tcW w:w="661" w:type="pct"/>
            <w:tcBorders>
              <w:top w:val="single" w:sz="4" w:space="0" w:color="auto"/>
              <w:bottom w:val="single" w:sz="4" w:space="0" w:color="auto"/>
            </w:tcBorders>
            <w:noWrap/>
            <w:hideMark/>
          </w:tcPr>
          <w:p w14:paraId="2B68D29F" w14:textId="77777777" w:rsidR="00B23D4E" w:rsidRPr="000F1DA7" w:rsidRDefault="00B23D4E" w:rsidP="00B23D4E">
            <w:pPr>
              <w:pStyle w:val="TableText"/>
            </w:pPr>
            <w:r w:rsidRPr="000F1DA7">
              <w:t>88796</w:t>
            </w:r>
          </w:p>
        </w:tc>
        <w:tc>
          <w:tcPr>
            <w:tcW w:w="1102" w:type="pct"/>
            <w:tcBorders>
              <w:top w:val="single" w:sz="4" w:space="0" w:color="auto"/>
              <w:bottom w:val="single" w:sz="4" w:space="0" w:color="auto"/>
            </w:tcBorders>
            <w:noWrap/>
            <w:hideMark/>
          </w:tcPr>
          <w:p w14:paraId="6F64DDBF" w14:textId="77777777" w:rsidR="00B23D4E" w:rsidRPr="000F1DA7" w:rsidRDefault="00B23D4E" w:rsidP="00B23D4E">
            <w:pPr>
              <w:pStyle w:val="TableText"/>
            </w:pPr>
            <w:r w:rsidRPr="000F1DA7">
              <w:t>Foison Diquat 200SL Herbicide</w:t>
            </w:r>
          </w:p>
        </w:tc>
        <w:tc>
          <w:tcPr>
            <w:tcW w:w="1178" w:type="pct"/>
            <w:tcBorders>
              <w:top w:val="single" w:sz="4" w:space="0" w:color="auto"/>
              <w:bottom w:val="single" w:sz="4" w:space="0" w:color="auto"/>
            </w:tcBorders>
            <w:noWrap/>
            <w:hideMark/>
          </w:tcPr>
          <w:p w14:paraId="0B9BED3D" w14:textId="77777777" w:rsidR="00B23D4E" w:rsidRPr="000F1DA7" w:rsidRDefault="00B23D4E" w:rsidP="00B23D4E">
            <w:pPr>
              <w:pStyle w:val="TableText"/>
            </w:pPr>
            <w:r w:rsidRPr="000F1DA7">
              <w:t>Foison Scitech Co., Limited</w:t>
            </w:r>
          </w:p>
        </w:tc>
        <w:tc>
          <w:tcPr>
            <w:tcW w:w="1470" w:type="pct"/>
            <w:gridSpan w:val="2"/>
            <w:tcBorders>
              <w:top w:val="single" w:sz="4" w:space="0" w:color="auto"/>
              <w:bottom w:val="single" w:sz="4" w:space="0" w:color="auto"/>
            </w:tcBorders>
          </w:tcPr>
          <w:p w14:paraId="77E8F295" w14:textId="451EDE0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3EAF2B86" w14:textId="77777777" w:rsidR="00B23D4E" w:rsidRPr="000F1DA7" w:rsidRDefault="00B23D4E" w:rsidP="00B23D4E">
            <w:pPr>
              <w:pStyle w:val="TableText"/>
            </w:pPr>
            <w:r>
              <w:t>1</w:t>
            </w:r>
          </w:p>
        </w:tc>
      </w:tr>
      <w:tr w:rsidR="00B23D4E" w:rsidRPr="000F1DA7" w14:paraId="44FA49E2" w14:textId="77777777" w:rsidTr="00D556F8">
        <w:trPr>
          <w:trHeight w:val="300"/>
        </w:trPr>
        <w:tc>
          <w:tcPr>
            <w:tcW w:w="661" w:type="pct"/>
            <w:tcBorders>
              <w:top w:val="single" w:sz="4" w:space="0" w:color="auto"/>
              <w:bottom w:val="single" w:sz="4" w:space="0" w:color="auto"/>
            </w:tcBorders>
            <w:noWrap/>
            <w:hideMark/>
          </w:tcPr>
          <w:p w14:paraId="79D26C0D" w14:textId="77777777" w:rsidR="00B23D4E" w:rsidRPr="000F1DA7" w:rsidRDefault="00B23D4E" w:rsidP="00B23D4E">
            <w:pPr>
              <w:pStyle w:val="TableText"/>
            </w:pPr>
            <w:r w:rsidRPr="000F1DA7">
              <w:lastRenderedPageBreak/>
              <w:t>89075</w:t>
            </w:r>
          </w:p>
        </w:tc>
        <w:tc>
          <w:tcPr>
            <w:tcW w:w="1102" w:type="pct"/>
            <w:tcBorders>
              <w:top w:val="single" w:sz="4" w:space="0" w:color="auto"/>
              <w:bottom w:val="single" w:sz="4" w:space="0" w:color="auto"/>
            </w:tcBorders>
            <w:noWrap/>
            <w:hideMark/>
          </w:tcPr>
          <w:p w14:paraId="1888385E" w14:textId="77777777" w:rsidR="00B23D4E" w:rsidRPr="000F1DA7" w:rsidRDefault="00B23D4E" w:rsidP="00B23D4E">
            <w:pPr>
              <w:pStyle w:val="TableText"/>
            </w:pPr>
            <w:r w:rsidRPr="000F1DA7">
              <w:t>Agrevo Diquat 200SL Herbicide</w:t>
            </w:r>
          </w:p>
        </w:tc>
        <w:tc>
          <w:tcPr>
            <w:tcW w:w="1178" w:type="pct"/>
            <w:tcBorders>
              <w:top w:val="single" w:sz="4" w:space="0" w:color="auto"/>
              <w:bottom w:val="single" w:sz="4" w:space="0" w:color="auto"/>
            </w:tcBorders>
            <w:noWrap/>
            <w:hideMark/>
          </w:tcPr>
          <w:p w14:paraId="3CE73B8D" w14:textId="77777777" w:rsidR="00B23D4E" w:rsidRPr="000F1DA7" w:rsidRDefault="00B23D4E" w:rsidP="00B23D4E">
            <w:pPr>
              <w:pStyle w:val="TableText"/>
            </w:pPr>
            <w:r w:rsidRPr="000F1DA7">
              <w:t>Agrevo Australia Pty Ltd</w:t>
            </w:r>
          </w:p>
        </w:tc>
        <w:tc>
          <w:tcPr>
            <w:tcW w:w="1470" w:type="pct"/>
            <w:gridSpan w:val="2"/>
            <w:tcBorders>
              <w:top w:val="single" w:sz="4" w:space="0" w:color="auto"/>
              <w:bottom w:val="single" w:sz="4" w:space="0" w:color="auto"/>
            </w:tcBorders>
          </w:tcPr>
          <w:p w14:paraId="0DE45C0E" w14:textId="0D157465"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0CAC31AC" w14:textId="77777777" w:rsidR="00B23D4E" w:rsidRPr="000F1DA7" w:rsidRDefault="00B23D4E" w:rsidP="00B23D4E">
            <w:pPr>
              <w:pStyle w:val="TableText"/>
            </w:pPr>
            <w:r>
              <w:t>1</w:t>
            </w:r>
          </w:p>
        </w:tc>
      </w:tr>
      <w:tr w:rsidR="00B23D4E" w:rsidRPr="000F1DA7" w14:paraId="7A81FE3D" w14:textId="77777777" w:rsidTr="00D556F8">
        <w:trPr>
          <w:trHeight w:val="300"/>
        </w:trPr>
        <w:tc>
          <w:tcPr>
            <w:tcW w:w="661" w:type="pct"/>
            <w:tcBorders>
              <w:top w:val="single" w:sz="4" w:space="0" w:color="auto"/>
              <w:bottom w:val="single" w:sz="4" w:space="0" w:color="auto"/>
            </w:tcBorders>
            <w:noWrap/>
            <w:hideMark/>
          </w:tcPr>
          <w:p w14:paraId="0EC14197" w14:textId="77777777" w:rsidR="00B23D4E" w:rsidRPr="000F1DA7" w:rsidRDefault="00B23D4E" w:rsidP="00B23D4E">
            <w:pPr>
              <w:pStyle w:val="TableText"/>
            </w:pPr>
            <w:r w:rsidRPr="000F1DA7">
              <w:t>90843</w:t>
            </w:r>
          </w:p>
        </w:tc>
        <w:tc>
          <w:tcPr>
            <w:tcW w:w="1102" w:type="pct"/>
            <w:tcBorders>
              <w:top w:val="single" w:sz="4" w:space="0" w:color="auto"/>
              <w:bottom w:val="single" w:sz="4" w:space="0" w:color="auto"/>
            </w:tcBorders>
            <w:noWrap/>
            <w:hideMark/>
          </w:tcPr>
          <w:p w14:paraId="26FDF741" w14:textId="77777777" w:rsidR="00B23D4E" w:rsidRPr="000F1DA7" w:rsidRDefault="00B23D4E" w:rsidP="00B23D4E">
            <w:pPr>
              <w:pStyle w:val="TableText"/>
            </w:pPr>
            <w:r w:rsidRPr="000F1DA7">
              <w:t>Slash 200 SL Herbicide</w:t>
            </w:r>
          </w:p>
        </w:tc>
        <w:tc>
          <w:tcPr>
            <w:tcW w:w="1178" w:type="pct"/>
            <w:tcBorders>
              <w:top w:val="single" w:sz="4" w:space="0" w:color="auto"/>
              <w:bottom w:val="single" w:sz="4" w:space="0" w:color="auto"/>
            </w:tcBorders>
            <w:noWrap/>
            <w:hideMark/>
          </w:tcPr>
          <w:p w14:paraId="78033155" w14:textId="77777777" w:rsidR="00B23D4E" w:rsidRPr="000F1DA7" w:rsidRDefault="00B23D4E" w:rsidP="00B23D4E">
            <w:pPr>
              <w:pStyle w:val="TableText"/>
            </w:pPr>
            <w:r w:rsidRPr="000F1DA7">
              <w:t>Asiatic Agricultural Industries Pte Ltd</w:t>
            </w:r>
          </w:p>
        </w:tc>
        <w:tc>
          <w:tcPr>
            <w:tcW w:w="1470" w:type="pct"/>
            <w:gridSpan w:val="2"/>
            <w:tcBorders>
              <w:top w:val="single" w:sz="4" w:space="0" w:color="auto"/>
              <w:bottom w:val="single" w:sz="4" w:space="0" w:color="auto"/>
            </w:tcBorders>
          </w:tcPr>
          <w:p w14:paraId="2D8876FA" w14:textId="77EB264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67491A47" w14:textId="77777777" w:rsidR="00B23D4E" w:rsidRPr="000F1DA7" w:rsidRDefault="00B23D4E" w:rsidP="00B23D4E">
            <w:pPr>
              <w:pStyle w:val="TableText"/>
            </w:pPr>
            <w:r>
              <w:t>1</w:t>
            </w:r>
          </w:p>
        </w:tc>
      </w:tr>
      <w:bookmarkEnd w:id="41"/>
      <w:tr w:rsidR="00A11E50" w:rsidRPr="000F1DA7" w14:paraId="01FA2EAC" w14:textId="77777777" w:rsidTr="00D556F8">
        <w:trPr>
          <w:trHeight w:val="300"/>
        </w:trPr>
        <w:tc>
          <w:tcPr>
            <w:tcW w:w="661" w:type="pct"/>
            <w:tcBorders>
              <w:top w:val="single" w:sz="4" w:space="0" w:color="auto"/>
              <w:bottom w:val="single" w:sz="4" w:space="0" w:color="auto"/>
            </w:tcBorders>
            <w:noWrap/>
          </w:tcPr>
          <w:p w14:paraId="690D85EC" w14:textId="563D7714" w:rsidR="00A11E50" w:rsidRPr="000F1DA7" w:rsidRDefault="00A11E50" w:rsidP="00A11E50">
            <w:pPr>
              <w:pStyle w:val="TableText"/>
            </w:pPr>
            <w:r w:rsidRPr="005061A3">
              <w:t>92386</w:t>
            </w:r>
          </w:p>
        </w:tc>
        <w:tc>
          <w:tcPr>
            <w:tcW w:w="1102" w:type="pct"/>
            <w:tcBorders>
              <w:top w:val="single" w:sz="4" w:space="0" w:color="auto"/>
              <w:bottom w:val="single" w:sz="4" w:space="0" w:color="auto"/>
            </w:tcBorders>
            <w:noWrap/>
          </w:tcPr>
          <w:p w14:paraId="46D7AD4A" w14:textId="0F0E1C20" w:rsidR="00A11E50" w:rsidRPr="000F1DA7" w:rsidRDefault="00A11E50" w:rsidP="00A11E50">
            <w:pPr>
              <w:pStyle w:val="TableText"/>
            </w:pPr>
            <w:r w:rsidRPr="005061A3">
              <w:t>KELPIE DIQUAT 200SL Herbicide</w:t>
            </w:r>
          </w:p>
        </w:tc>
        <w:tc>
          <w:tcPr>
            <w:tcW w:w="1178" w:type="pct"/>
            <w:tcBorders>
              <w:top w:val="single" w:sz="4" w:space="0" w:color="auto"/>
              <w:bottom w:val="single" w:sz="4" w:space="0" w:color="auto"/>
            </w:tcBorders>
            <w:noWrap/>
          </w:tcPr>
          <w:p w14:paraId="5B1FC1B4" w14:textId="2B59B3A5" w:rsidR="00A11E50" w:rsidRPr="000F1DA7" w:rsidRDefault="00A11E50" w:rsidP="00A11E50">
            <w:pPr>
              <w:pStyle w:val="TableText"/>
            </w:pPr>
            <w:r w:rsidRPr="005061A3">
              <w:t>SINOCHEM INTERNATIONAL AUSTRALIA PTY. LTD.</w:t>
            </w:r>
          </w:p>
        </w:tc>
        <w:tc>
          <w:tcPr>
            <w:tcW w:w="1470" w:type="pct"/>
            <w:gridSpan w:val="2"/>
            <w:tcBorders>
              <w:top w:val="single" w:sz="4" w:space="0" w:color="auto"/>
              <w:bottom w:val="single" w:sz="4" w:space="0" w:color="auto"/>
            </w:tcBorders>
          </w:tcPr>
          <w:p w14:paraId="6C56FDB7" w14:textId="5CDB6988" w:rsidR="00A11E50" w:rsidRPr="00020769" w:rsidRDefault="00A11E50" w:rsidP="00A11E50">
            <w:pPr>
              <w:pStyle w:val="TableText"/>
            </w:pPr>
            <w:r w:rsidRPr="00020769">
              <w:t>Diquat 200 g/L</w:t>
            </w:r>
          </w:p>
        </w:tc>
        <w:tc>
          <w:tcPr>
            <w:tcW w:w="589" w:type="pct"/>
            <w:tcBorders>
              <w:top w:val="single" w:sz="4" w:space="0" w:color="auto"/>
              <w:bottom w:val="single" w:sz="4" w:space="0" w:color="auto"/>
            </w:tcBorders>
          </w:tcPr>
          <w:p w14:paraId="605041D3" w14:textId="686C5D19" w:rsidR="00A11E50" w:rsidRDefault="00A11E50" w:rsidP="00A11E50">
            <w:pPr>
              <w:pStyle w:val="TableText"/>
            </w:pPr>
            <w:r>
              <w:t>1</w:t>
            </w:r>
          </w:p>
        </w:tc>
      </w:tr>
      <w:tr w:rsidR="00A11E50" w14:paraId="6744F5D2" w14:textId="77777777" w:rsidTr="00D556F8">
        <w:tc>
          <w:tcPr>
            <w:tcW w:w="5000" w:type="pct"/>
            <w:gridSpan w:val="6"/>
            <w:tcBorders>
              <w:top w:val="single" w:sz="4" w:space="0" w:color="auto"/>
              <w:bottom w:val="single" w:sz="4" w:space="0" w:color="auto"/>
            </w:tcBorders>
          </w:tcPr>
          <w:p w14:paraId="6803724E" w14:textId="77777777" w:rsidR="00A11E50" w:rsidRDefault="00A11E50" w:rsidP="00A11E50">
            <w:pPr>
              <w:pStyle w:val="TableSubHead"/>
            </w:pPr>
            <w:r>
              <w:t>Soluble</w:t>
            </w:r>
            <w:r w:rsidRPr="00F040E0">
              <w:t xml:space="preserve"> concentrat</w:t>
            </w:r>
            <w:r>
              <w:t>e (SL) formulation containing paraquat as paraquat dichloride and diquat as diquat dibromide</w:t>
            </w:r>
          </w:p>
        </w:tc>
      </w:tr>
      <w:tr w:rsidR="00A11E50" w14:paraId="20AEA8FE" w14:textId="77777777" w:rsidTr="00EE2957">
        <w:trPr>
          <w:trHeight w:val="510"/>
        </w:trPr>
        <w:tc>
          <w:tcPr>
            <w:tcW w:w="661" w:type="pct"/>
            <w:tcBorders>
              <w:top w:val="single" w:sz="4" w:space="0" w:color="auto"/>
              <w:bottom w:val="single" w:sz="4" w:space="0" w:color="auto"/>
            </w:tcBorders>
            <w:noWrap/>
            <w:vAlign w:val="center"/>
          </w:tcPr>
          <w:p w14:paraId="5B3AEB63" w14:textId="30A74BFE" w:rsidR="00A11E50" w:rsidRPr="000F1DA7" w:rsidRDefault="00A11E50" w:rsidP="00A11E50">
            <w:pPr>
              <w:pStyle w:val="TableText"/>
            </w:pPr>
            <w:r w:rsidRPr="00464E33">
              <w:t>46516</w:t>
            </w:r>
          </w:p>
        </w:tc>
        <w:tc>
          <w:tcPr>
            <w:tcW w:w="1102" w:type="pct"/>
            <w:tcBorders>
              <w:top w:val="single" w:sz="4" w:space="0" w:color="auto"/>
              <w:bottom w:val="single" w:sz="4" w:space="0" w:color="auto"/>
            </w:tcBorders>
            <w:noWrap/>
            <w:vAlign w:val="center"/>
          </w:tcPr>
          <w:p w14:paraId="7E6510E6" w14:textId="369A887C" w:rsidR="00A11E50" w:rsidRPr="000F1DA7" w:rsidRDefault="00A11E50" w:rsidP="00A11E50">
            <w:pPr>
              <w:pStyle w:val="TableText"/>
            </w:pPr>
            <w:r w:rsidRPr="00464E33">
              <w:t>Spray.Seed 250 Herbicide</w:t>
            </w:r>
          </w:p>
        </w:tc>
        <w:tc>
          <w:tcPr>
            <w:tcW w:w="1178" w:type="pct"/>
            <w:tcBorders>
              <w:top w:val="single" w:sz="4" w:space="0" w:color="auto"/>
              <w:bottom w:val="single" w:sz="4" w:space="0" w:color="auto"/>
            </w:tcBorders>
            <w:noWrap/>
            <w:vAlign w:val="center"/>
          </w:tcPr>
          <w:p w14:paraId="064642E4" w14:textId="0A3AFBB7" w:rsidR="00A11E50" w:rsidRPr="000F1DA7" w:rsidRDefault="00A11E50" w:rsidP="00A11E50">
            <w:pPr>
              <w:pStyle w:val="TableText"/>
            </w:pPr>
            <w:r w:rsidRPr="00464E33">
              <w:t>Syngenta Australia Pty Ltd</w:t>
            </w:r>
          </w:p>
        </w:tc>
        <w:tc>
          <w:tcPr>
            <w:tcW w:w="1459" w:type="pct"/>
            <w:tcBorders>
              <w:top w:val="single" w:sz="4" w:space="0" w:color="auto"/>
              <w:bottom w:val="single" w:sz="4" w:space="0" w:color="auto"/>
            </w:tcBorders>
          </w:tcPr>
          <w:p w14:paraId="5080D7B4" w14:textId="5FCFD105"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9DFFB0A" w14:textId="429285FB" w:rsidR="00A11E50" w:rsidRDefault="00A11E50" w:rsidP="00A11E50">
            <w:pPr>
              <w:pStyle w:val="TableText"/>
            </w:pPr>
            <w:r>
              <w:t>2</w:t>
            </w:r>
          </w:p>
        </w:tc>
      </w:tr>
      <w:tr w:rsidR="00A11E50" w14:paraId="131CF40B" w14:textId="77777777" w:rsidTr="00EE2957">
        <w:trPr>
          <w:trHeight w:val="510"/>
        </w:trPr>
        <w:tc>
          <w:tcPr>
            <w:tcW w:w="661" w:type="pct"/>
            <w:tcBorders>
              <w:top w:val="single" w:sz="4" w:space="0" w:color="auto"/>
              <w:bottom w:val="single" w:sz="4" w:space="0" w:color="auto"/>
            </w:tcBorders>
            <w:noWrap/>
            <w:vAlign w:val="center"/>
          </w:tcPr>
          <w:p w14:paraId="5B97712C" w14:textId="452DE7FD" w:rsidR="00A11E50" w:rsidRPr="000F1DA7" w:rsidRDefault="00A11E50" w:rsidP="00A11E50">
            <w:pPr>
              <w:pStyle w:val="TableText"/>
            </w:pPr>
            <w:r w:rsidRPr="00464E33">
              <w:t>58336</w:t>
            </w:r>
          </w:p>
        </w:tc>
        <w:tc>
          <w:tcPr>
            <w:tcW w:w="1102" w:type="pct"/>
            <w:tcBorders>
              <w:top w:val="single" w:sz="4" w:space="0" w:color="auto"/>
              <w:bottom w:val="single" w:sz="4" w:space="0" w:color="auto"/>
            </w:tcBorders>
            <w:noWrap/>
            <w:vAlign w:val="center"/>
          </w:tcPr>
          <w:p w14:paraId="5BDD96CD" w14:textId="11899FCA" w:rsidR="00A11E50" w:rsidRPr="000F1DA7" w:rsidRDefault="00A11E50" w:rsidP="00A11E50">
            <w:pPr>
              <w:pStyle w:val="TableText"/>
            </w:pPr>
            <w:r w:rsidRPr="00464E33">
              <w:t>Halley Premier 250 Herbicide</w:t>
            </w:r>
          </w:p>
        </w:tc>
        <w:tc>
          <w:tcPr>
            <w:tcW w:w="1178" w:type="pct"/>
            <w:tcBorders>
              <w:top w:val="single" w:sz="4" w:space="0" w:color="auto"/>
              <w:bottom w:val="single" w:sz="4" w:space="0" w:color="auto"/>
            </w:tcBorders>
            <w:noWrap/>
            <w:vAlign w:val="center"/>
          </w:tcPr>
          <w:p w14:paraId="5EEF0CF0" w14:textId="5C6F288E" w:rsidR="00A11E50" w:rsidRPr="000F1DA7" w:rsidRDefault="00A11E50" w:rsidP="00A11E50">
            <w:pPr>
              <w:pStyle w:val="TableText"/>
            </w:pPr>
            <w:r w:rsidRPr="00464E33">
              <w:t>Halley International Enterprise (Australia) Pty Ltd</w:t>
            </w:r>
          </w:p>
        </w:tc>
        <w:tc>
          <w:tcPr>
            <w:tcW w:w="1459" w:type="pct"/>
            <w:tcBorders>
              <w:top w:val="single" w:sz="4" w:space="0" w:color="auto"/>
              <w:bottom w:val="single" w:sz="4" w:space="0" w:color="auto"/>
            </w:tcBorders>
          </w:tcPr>
          <w:p w14:paraId="13D0448F" w14:textId="6AFC4AF7" w:rsidR="00A11E50" w:rsidRPr="003B6AFB"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7E2CE9B" w14:textId="77777777" w:rsidR="00A11E50" w:rsidRDefault="00A11E50" w:rsidP="00A11E50">
            <w:pPr>
              <w:pStyle w:val="TableText"/>
            </w:pPr>
            <w:r>
              <w:t>2</w:t>
            </w:r>
          </w:p>
        </w:tc>
      </w:tr>
      <w:tr w:rsidR="00A11E50" w14:paraId="3CD5E6F1" w14:textId="77777777" w:rsidTr="00EE2957">
        <w:trPr>
          <w:trHeight w:val="510"/>
        </w:trPr>
        <w:tc>
          <w:tcPr>
            <w:tcW w:w="661" w:type="pct"/>
            <w:tcBorders>
              <w:top w:val="single" w:sz="4" w:space="0" w:color="auto"/>
              <w:bottom w:val="single" w:sz="4" w:space="0" w:color="auto"/>
            </w:tcBorders>
            <w:noWrap/>
            <w:vAlign w:val="center"/>
          </w:tcPr>
          <w:p w14:paraId="5F0845DA" w14:textId="070EA00B" w:rsidR="00A11E50" w:rsidRPr="000F1DA7" w:rsidRDefault="00A11E50" w:rsidP="00A11E50">
            <w:pPr>
              <w:pStyle w:val="TableText"/>
            </w:pPr>
            <w:r w:rsidRPr="00464E33">
              <w:t>58412</w:t>
            </w:r>
          </w:p>
        </w:tc>
        <w:tc>
          <w:tcPr>
            <w:tcW w:w="1102" w:type="pct"/>
            <w:tcBorders>
              <w:top w:val="single" w:sz="4" w:space="0" w:color="auto"/>
              <w:bottom w:val="single" w:sz="4" w:space="0" w:color="auto"/>
            </w:tcBorders>
            <w:noWrap/>
            <w:vAlign w:val="center"/>
          </w:tcPr>
          <w:p w14:paraId="5B6CB4E7" w14:textId="4896D813" w:rsidR="00A11E50" w:rsidRPr="000F1DA7" w:rsidRDefault="00A11E50" w:rsidP="00A11E50">
            <w:pPr>
              <w:pStyle w:val="TableText"/>
            </w:pPr>
            <w:r w:rsidRPr="00464E33">
              <w:t>Imtrade Spraykill 250 Herbicide</w:t>
            </w:r>
          </w:p>
        </w:tc>
        <w:tc>
          <w:tcPr>
            <w:tcW w:w="1178" w:type="pct"/>
            <w:tcBorders>
              <w:top w:val="single" w:sz="4" w:space="0" w:color="auto"/>
              <w:bottom w:val="single" w:sz="4" w:space="0" w:color="auto"/>
            </w:tcBorders>
            <w:noWrap/>
            <w:vAlign w:val="center"/>
          </w:tcPr>
          <w:p w14:paraId="7464F3A8" w14:textId="498F3CEB" w:rsidR="00A11E50" w:rsidRPr="000F1DA7" w:rsidRDefault="00A11E50" w:rsidP="00A11E50">
            <w:pPr>
              <w:pStyle w:val="TableText"/>
            </w:pPr>
            <w:r w:rsidRPr="00464E33">
              <w:t>Imtrade Australia Pty Ltd</w:t>
            </w:r>
          </w:p>
        </w:tc>
        <w:tc>
          <w:tcPr>
            <w:tcW w:w="1459" w:type="pct"/>
            <w:tcBorders>
              <w:top w:val="single" w:sz="4" w:space="0" w:color="auto"/>
              <w:bottom w:val="single" w:sz="4" w:space="0" w:color="auto"/>
            </w:tcBorders>
          </w:tcPr>
          <w:p w14:paraId="5FE469E4" w14:textId="3B17ED43"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8BF4564" w14:textId="1FF5FCE2" w:rsidR="00A11E50" w:rsidRDefault="00A11E50" w:rsidP="00A11E50">
            <w:pPr>
              <w:pStyle w:val="TableText"/>
            </w:pPr>
            <w:r>
              <w:t>2</w:t>
            </w:r>
          </w:p>
        </w:tc>
      </w:tr>
      <w:tr w:rsidR="00A11E50" w14:paraId="6C55DA58" w14:textId="77777777" w:rsidTr="00EE2957">
        <w:trPr>
          <w:trHeight w:val="510"/>
        </w:trPr>
        <w:tc>
          <w:tcPr>
            <w:tcW w:w="661" w:type="pct"/>
            <w:tcBorders>
              <w:top w:val="single" w:sz="4" w:space="0" w:color="auto"/>
              <w:bottom w:val="single" w:sz="4" w:space="0" w:color="auto"/>
            </w:tcBorders>
            <w:noWrap/>
            <w:vAlign w:val="center"/>
          </w:tcPr>
          <w:p w14:paraId="58CAF468" w14:textId="6226BA0C" w:rsidR="00A11E50" w:rsidRPr="000F1DA7" w:rsidRDefault="00A11E50" w:rsidP="00A11E50">
            <w:pPr>
              <w:pStyle w:val="TableText"/>
            </w:pPr>
            <w:r w:rsidRPr="00464E33">
              <w:t>58470</w:t>
            </w:r>
          </w:p>
        </w:tc>
        <w:tc>
          <w:tcPr>
            <w:tcW w:w="1102" w:type="pct"/>
            <w:tcBorders>
              <w:top w:val="single" w:sz="4" w:space="0" w:color="auto"/>
              <w:bottom w:val="single" w:sz="4" w:space="0" w:color="auto"/>
            </w:tcBorders>
            <w:noWrap/>
            <w:vAlign w:val="center"/>
          </w:tcPr>
          <w:p w14:paraId="7D0F0C46" w14:textId="0C42F17E" w:rsidR="00A11E50" w:rsidRPr="000F1DA7" w:rsidRDefault="00A11E50" w:rsidP="00A11E50">
            <w:pPr>
              <w:pStyle w:val="TableText"/>
            </w:pPr>
            <w:r w:rsidRPr="00464E33">
              <w:t>Conquest Scorcher 250 Herbicide</w:t>
            </w:r>
          </w:p>
        </w:tc>
        <w:tc>
          <w:tcPr>
            <w:tcW w:w="1178" w:type="pct"/>
            <w:tcBorders>
              <w:top w:val="single" w:sz="4" w:space="0" w:color="auto"/>
              <w:bottom w:val="single" w:sz="4" w:space="0" w:color="auto"/>
            </w:tcBorders>
            <w:noWrap/>
            <w:vAlign w:val="center"/>
          </w:tcPr>
          <w:p w14:paraId="4556D91C" w14:textId="01F8D09C" w:rsidR="00A11E50" w:rsidRPr="000F1DA7" w:rsidRDefault="00A11E50" w:rsidP="00A11E50">
            <w:pPr>
              <w:pStyle w:val="TableText"/>
            </w:pPr>
            <w:r w:rsidRPr="00464E33">
              <w:t>Conquest Crop Protection Pty Ltd</w:t>
            </w:r>
          </w:p>
        </w:tc>
        <w:tc>
          <w:tcPr>
            <w:tcW w:w="1459" w:type="pct"/>
            <w:tcBorders>
              <w:top w:val="single" w:sz="4" w:space="0" w:color="auto"/>
              <w:bottom w:val="single" w:sz="4" w:space="0" w:color="auto"/>
            </w:tcBorders>
          </w:tcPr>
          <w:p w14:paraId="2FD3CE6E" w14:textId="5D80C1DE"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BA321D5" w14:textId="77777777" w:rsidR="00A11E50" w:rsidRDefault="00A11E50" w:rsidP="00A11E50">
            <w:pPr>
              <w:pStyle w:val="TableText"/>
            </w:pPr>
            <w:r w:rsidRPr="00B349FB">
              <w:t>2</w:t>
            </w:r>
          </w:p>
        </w:tc>
      </w:tr>
      <w:tr w:rsidR="00A11E50" w14:paraId="14394BE1" w14:textId="77777777" w:rsidTr="00EE2957">
        <w:trPr>
          <w:trHeight w:val="510"/>
        </w:trPr>
        <w:tc>
          <w:tcPr>
            <w:tcW w:w="661" w:type="pct"/>
            <w:tcBorders>
              <w:top w:val="single" w:sz="4" w:space="0" w:color="auto"/>
              <w:bottom w:val="single" w:sz="4" w:space="0" w:color="auto"/>
            </w:tcBorders>
            <w:noWrap/>
            <w:vAlign w:val="center"/>
          </w:tcPr>
          <w:p w14:paraId="34A64673" w14:textId="3DE37092" w:rsidR="00A11E50" w:rsidRPr="000F1DA7" w:rsidRDefault="00A11E50" w:rsidP="00A11E50">
            <w:pPr>
              <w:pStyle w:val="TableText"/>
            </w:pPr>
            <w:r w:rsidRPr="00464E33">
              <w:t>58733</w:t>
            </w:r>
          </w:p>
        </w:tc>
        <w:tc>
          <w:tcPr>
            <w:tcW w:w="1102" w:type="pct"/>
            <w:tcBorders>
              <w:top w:val="single" w:sz="4" w:space="0" w:color="auto"/>
              <w:bottom w:val="single" w:sz="4" w:space="0" w:color="auto"/>
            </w:tcBorders>
            <w:noWrap/>
            <w:vAlign w:val="center"/>
          </w:tcPr>
          <w:p w14:paraId="69E97394" w14:textId="2C60D14E" w:rsidR="00A11E50" w:rsidRPr="000F1DA7" w:rsidRDefault="00A11E50" w:rsidP="00A11E50">
            <w:pPr>
              <w:pStyle w:val="TableText"/>
            </w:pPr>
            <w:r w:rsidRPr="00464E33">
              <w:t>4Farmers Brown Out 250 Herbicide</w:t>
            </w:r>
          </w:p>
        </w:tc>
        <w:tc>
          <w:tcPr>
            <w:tcW w:w="1178" w:type="pct"/>
            <w:tcBorders>
              <w:top w:val="single" w:sz="4" w:space="0" w:color="auto"/>
              <w:bottom w:val="single" w:sz="4" w:space="0" w:color="auto"/>
            </w:tcBorders>
            <w:noWrap/>
            <w:vAlign w:val="center"/>
          </w:tcPr>
          <w:p w14:paraId="3C03F1BF" w14:textId="55B44E95" w:rsidR="00A11E50" w:rsidRPr="000F1DA7" w:rsidRDefault="00A11E50" w:rsidP="00A11E50">
            <w:pPr>
              <w:pStyle w:val="TableText"/>
            </w:pPr>
            <w:r w:rsidRPr="00464E33">
              <w:t>4 Farmers Australia Pty Ltd</w:t>
            </w:r>
          </w:p>
        </w:tc>
        <w:tc>
          <w:tcPr>
            <w:tcW w:w="1459" w:type="pct"/>
            <w:tcBorders>
              <w:top w:val="single" w:sz="4" w:space="0" w:color="auto"/>
              <w:bottom w:val="single" w:sz="4" w:space="0" w:color="auto"/>
            </w:tcBorders>
          </w:tcPr>
          <w:p w14:paraId="7E5E0553" w14:textId="4E869270"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7FF324A" w14:textId="77777777" w:rsidR="00A11E50" w:rsidRDefault="00A11E50" w:rsidP="00A11E50">
            <w:pPr>
              <w:pStyle w:val="TableText"/>
            </w:pPr>
            <w:r w:rsidRPr="00B349FB">
              <w:t>2</w:t>
            </w:r>
          </w:p>
        </w:tc>
      </w:tr>
      <w:tr w:rsidR="00A11E50" w14:paraId="0F1FE909" w14:textId="77777777" w:rsidTr="00EE2957">
        <w:trPr>
          <w:trHeight w:val="510"/>
        </w:trPr>
        <w:tc>
          <w:tcPr>
            <w:tcW w:w="661" w:type="pct"/>
            <w:tcBorders>
              <w:top w:val="single" w:sz="4" w:space="0" w:color="auto"/>
              <w:bottom w:val="single" w:sz="4" w:space="0" w:color="auto"/>
            </w:tcBorders>
            <w:noWrap/>
            <w:vAlign w:val="center"/>
          </w:tcPr>
          <w:p w14:paraId="7520A81D" w14:textId="4CD98FB8" w:rsidR="00A11E50" w:rsidRPr="000F1DA7" w:rsidRDefault="00A11E50" w:rsidP="00A11E50">
            <w:pPr>
              <w:pStyle w:val="TableText"/>
            </w:pPr>
            <w:r w:rsidRPr="00464E33">
              <w:t>59098</w:t>
            </w:r>
          </w:p>
        </w:tc>
        <w:tc>
          <w:tcPr>
            <w:tcW w:w="1102" w:type="pct"/>
            <w:tcBorders>
              <w:top w:val="single" w:sz="4" w:space="0" w:color="auto"/>
              <w:bottom w:val="single" w:sz="4" w:space="0" w:color="auto"/>
            </w:tcBorders>
            <w:noWrap/>
            <w:vAlign w:val="center"/>
          </w:tcPr>
          <w:p w14:paraId="00DE5547" w14:textId="1E8D81DC" w:rsidR="00A11E50" w:rsidRPr="000F1DA7" w:rsidRDefault="00A11E50" w:rsidP="00A11E50">
            <w:pPr>
              <w:pStyle w:val="TableText"/>
            </w:pPr>
            <w:r w:rsidRPr="00464E33">
              <w:t>Spray-Plant 250 Herbicide</w:t>
            </w:r>
          </w:p>
        </w:tc>
        <w:tc>
          <w:tcPr>
            <w:tcW w:w="1178" w:type="pct"/>
            <w:tcBorders>
              <w:top w:val="single" w:sz="4" w:space="0" w:color="auto"/>
              <w:bottom w:val="single" w:sz="4" w:space="0" w:color="auto"/>
            </w:tcBorders>
            <w:noWrap/>
            <w:vAlign w:val="center"/>
          </w:tcPr>
          <w:p w14:paraId="6C7A3844" w14:textId="79915E83" w:rsidR="00A11E50" w:rsidRPr="000F1DA7" w:rsidRDefault="00A11E50" w:rsidP="00A11E50">
            <w:pPr>
              <w:pStyle w:val="TableText"/>
            </w:pPr>
            <w:r w:rsidRPr="00464E33">
              <w:t>Sipcam Pacific Australia Pty Ltd</w:t>
            </w:r>
          </w:p>
        </w:tc>
        <w:tc>
          <w:tcPr>
            <w:tcW w:w="1459" w:type="pct"/>
            <w:tcBorders>
              <w:top w:val="single" w:sz="4" w:space="0" w:color="auto"/>
              <w:bottom w:val="single" w:sz="4" w:space="0" w:color="auto"/>
            </w:tcBorders>
          </w:tcPr>
          <w:p w14:paraId="27CD80BE" w14:textId="4CADEE55"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1D0B797" w14:textId="77777777" w:rsidR="00A11E50" w:rsidRDefault="00A11E50" w:rsidP="00A11E50">
            <w:pPr>
              <w:pStyle w:val="TableText"/>
            </w:pPr>
            <w:r w:rsidRPr="00B349FB">
              <w:t>2</w:t>
            </w:r>
          </w:p>
        </w:tc>
      </w:tr>
      <w:tr w:rsidR="00A11E50" w14:paraId="5A59CC86" w14:textId="77777777" w:rsidTr="00EE2957">
        <w:trPr>
          <w:trHeight w:val="510"/>
        </w:trPr>
        <w:tc>
          <w:tcPr>
            <w:tcW w:w="661" w:type="pct"/>
            <w:tcBorders>
              <w:top w:val="single" w:sz="4" w:space="0" w:color="auto"/>
              <w:bottom w:val="single" w:sz="4" w:space="0" w:color="auto"/>
            </w:tcBorders>
            <w:noWrap/>
            <w:vAlign w:val="center"/>
          </w:tcPr>
          <w:p w14:paraId="563BB531" w14:textId="34F04E71" w:rsidR="00A11E50" w:rsidRPr="000F1DA7" w:rsidRDefault="00A11E50" w:rsidP="00A11E50">
            <w:pPr>
              <w:pStyle w:val="TableText"/>
            </w:pPr>
            <w:r w:rsidRPr="00464E33">
              <w:t>59333</w:t>
            </w:r>
          </w:p>
        </w:tc>
        <w:tc>
          <w:tcPr>
            <w:tcW w:w="1102" w:type="pct"/>
            <w:tcBorders>
              <w:top w:val="single" w:sz="4" w:space="0" w:color="auto"/>
              <w:bottom w:val="single" w:sz="4" w:space="0" w:color="auto"/>
            </w:tcBorders>
            <w:noWrap/>
            <w:vAlign w:val="center"/>
          </w:tcPr>
          <w:p w14:paraId="4BA2F81C" w14:textId="0D97BB22" w:rsidR="00A11E50" w:rsidRPr="000F1DA7" w:rsidRDefault="00A11E50" w:rsidP="00A11E50">
            <w:pPr>
              <w:pStyle w:val="TableText"/>
            </w:pPr>
            <w:r w:rsidRPr="00464E33">
              <w:t>Kenso Agcare Speedy 250 Herbicide</w:t>
            </w:r>
          </w:p>
        </w:tc>
        <w:tc>
          <w:tcPr>
            <w:tcW w:w="1178" w:type="pct"/>
            <w:tcBorders>
              <w:top w:val="single" w:sz="4" w:space="0" w:color="auto"/>
              <w:bottom w:val="single" w:sz="4" w:space="0" w:color="auto"/>
            </w:tcBorders>
            <w:noWrap/>
            <w:vAlign w:val="center"/>
          </w:tcPr>
          <w:p w14:paraId="461525CF" w14:textId="4A2FE89D" w:rsidR="00A11E50" w:rsidRPr="000F1DA7" w:rsidRDefault="00A11E50" w:rsidP="00A11E50">
            <w:pPr>
              <w:pStyle w:val="TableText"/>
            </w:pPr>
            <w:r w:rsidRPr="00464E33">
              <w:t>Kenso Corporation (M) Sdn. Bhd.</w:t>
            </w:r>
          </w:p>
        </w:tc>
        <w:tc>
          <w:tcPr>
            <w:tcW w:w="1459" w:type="pct"/>
            <w:tcBorders>
              <w:top w:val="single" w:sz="4" w:space="0" w:color="auto"/>
              <w:bottom w:val="single" w:sz="4" w:space="0" w:color="auto"/>
            </w:tcBorders>
          </w:tcPr>
          <w:p w14:paraId="345855A9" w14:textId="6F6AFB99"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BDAF79B" w14:textId="77777777" w:rsidR="00A11E50" w:rsidRDefault="00A11E50" w:rsidP="00A11E50">
            <w:pPr>
              <w:pStyle w:val="TableText"/>
            </w:pPr>
            <w:r w:rsidRPr="00B349FB">
              <w:t>2</w:t>
            </w:r>
          </w:p>
        </w:tc>
      </w:tr>
      <w:tr w:rsidR="00A11E50" w14:paraId="09CEDD8E" w14:textId="77777777" w:rsidTr="00EE2957">
        <w:trPr>
          <w:trHeight w:val="510"/>
        </w:trPr>
        <w:tc>
          <w:tcPr>
            <w:tcW w:w="661" w:type="pct"/>
            <w:tcBorders>
              <w:top w:val="single" w:sz="4" w:space="0" w:color="auto"/>
              <w:bottom w:val="single" w:sz="4" w:space="0" w:color="auto"/>
            </w:tcBorders>
            <w:noWrap/>
            <w:vAlign w:val="center"/>
          </w:tcPr>
          <w:p w14:paraId="42081B01" w14:textId="147BE030" w:rsidR="00A11E50" w:rsidRPr="000F1DA7" w:rsidRDefault="00A11E50" w:rsidP="00A11E50">
            <w:pPr>
              <w:pStyle w:val="TableText"/>
            </w:pPr>
            <w:r w:rsidRPr="00464E33">
              <w:t>59878</w:t>
            </w:r>
          </w:p>
        </w:tc>
        <w:tc>
          <w:tcPr>
            <w:tcW w:w="1102" w:type="pct"/>
            <w:tcBorders>
              <w:top w:val="single" w:sz="4" w:space="0" w:color="auto"/>
              <w:bottom w:val="single" w:sz="4" w:space="0" w:color="auto"/>
            </w:tcBorders>
            <w:noWrap/>
            <w:vAlign w:val="center"/>
          </w:tcPr>
          <w:p w14:paraId="4C00C589" w14:textId="0EB0D903" w:rsidR="00A11E50" w:rsidRPr="000F1DA7" w:rsidRDefault="00A11E50" w:rsidP="00A11E50">
            <w:pPr>
              <w:pStyle w:val="TableText"/>
            </w:pPr>
            <w:r w:rsidRPr="00464E33">
              <w:t>Genfarm Di-Par 250 Herbicide</w:t>
            </w:r>
          </w:p>
        </w:tc>
        <w:tc>
          <w:tcPr>
            <w:tcW w:w="1178" w:type="pct"/>
            <w:tcBorders>
              <w:top w:val="single" w:sz="4" w:space="0" w:color="auto"/>
              <w:bottom w:val="single" w:sz="4" w:space="0" w:color="auto"/>
            </w:tcBorders>
            <w:noWrap/>
            <w:vAlign w:val="center"/>
          </w:tcPr>
          <w:p w14:paraId="54A7003F" w14:textId="6229C085"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25C144CF" w14:textId="072A22F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2797D77" w14:textId="77777777" w:rsidR="00A11E50" w:rsidRDefault="00A11E50" w:rsidP="00A11E50">
            <w:pPr>
              <w:pStyle w:val="TableText"/>
            </w:pPr>
            <w:r w:rsidRPr="00B349FB">
              <w:t>2</w:t>
            </w:r>
          </w:p>
        </w:tc>
      </w:tr>
      <w:tr w:rsidR="00A11E50" w14:paraId="607B3687" w14:textId="77777777" w:rsidTr="00EE2957">
        <w:trPr>
          <w:trHeight w:val="510"/>
        </w:trPr>
        <w:tc>
          <w:tcPr>
            <w:tcW w:w="661" w:type="pct"/>
            <w:tcBorders>
              <w:top w:val="single" w:sz="4" w:space="0" w:color="auto"/>
              <w:bottom w:val="single" w:sz="4" w:space="0" w:color="auto"/>
            </w:tcBorders>
            <w:noWrap/>
            <w:vAlign w:val="center"/>
          </w:tcPr>
          <w:p w14:paraId="60164137" w14:textId="7AD6E551" w:rsidR="00A11E50" w:rsidRPr="000F1DA7" w:rsidRDefault="00A11E50" w:rsidP="00A11E50">
            <w:pPr>
              <w:pStyle w:val="TableText"/>
            </w:pPr>
            <w:r w:rsidRPr="00464E33">
              <w:t>60287</w:t>
            </w:r>
          </w:p>
        </w:tc>
        <w:tc>
          <w:tcPr>
            <w:tcW w:w="1102" w:type="pct"/>
            <w:tcBorders>
              <w:top w:val="single" w:sz="4" w:space="0" w:color="auto"/>
              <w:bottom w:val="single" w:sz="4" w:space="0" w:color="auto"/>
            </w:tcBorders>
            <w:noWrap/>
            <w:vAlign w:val="center"/>
          </w:tcPr>
          <w:p w14:paraId="50D0C764" w14:textId="2503E210" w:rsidR="00A11E50" w:rsidRPr="000F1DA7" w:rsidRDefault="00A11E50" w:rsidP="00A11E50">
            <w:pPr>
              <w:pStyle w:val="TableText"/>
            </w:pPr>
            <w:r w:rsidRPr="00464E33">
              <w:t>Combik 250 Herbicide</w:t>
            </w:r>
          </w:p>
        </w:tc>
        <w:tc>
          <w:tcPr>
            <w:tcW w:w="1178" w:type="pct"/>
            <w:tcBorders>
              <w:top w:val="single" w:sz="4" w:space="0" w:color="auto"/>
              <w:bottom w:val="single" w:sz="4" w:space="0" w:color="auto"/>
            </w:tcBorders>
            <w:noWrap/>
            <w:vAlign w:val="center"/>
          </w:tcPr>
          <w:p w14:paraId="747E31E0" w14:textId="3B8EF444" w:rsidR="00A11E50" w:rsidRPr="000F1DA7" w:rsidRDefault="00A11E50" w:rsidP="00A11E50">
            <w:pPr>
              <w:pStyle w:val="TableText"/>
            </w:pPr>
            <w:r w:rsidRPr="00464E33">
              <w:t>Sinon Australia Pty Limited</w:t>
            </w:r>
          </w:p>
        </w:tc>
        <w:tc>
          <w:tcPr>
            <w:tcW w:w="1459" w:type="pct"/>
            <w:tcBorders>
              <w:top w:val="single" w:sz="4" w:space="0" w:color="auto"/>
              <w:bottom w:val="single" w:sz="4" w:space="0" w:color="auto"/>
            </w:tcBorders>
          </w:tcPr>
          <w:p w14:paraId="284C4374" w14:textId="099F138F"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0C49455" w14:textId="77777777" w:rsidR="00A11E50" w:rsidRDefault="00A11E50" w:rsidP="00A11E50">
            <w:pPr>
              <w:pStyle w:val="TableText"/>
            </w:pPr>
            <w:r w:rsidRPr="00B349FB">
              <w:t>2</w:t>
            </w:r>
          </w:p>
        </w:tc>
      </w:tr>
      <w:tr w:rsidR="00A11E50" w14:paraId="619E7A17" w14:textId="77777777" w:rsidTr="00EE2957">
        <w:trPr>
          <w:trHeight w:val="510"/>
        </w:trPr>
        <w:tc>
          <w:tcPr>
            <w:tcW w:w="661" w:type="pct"/>
            <w:tcBorders>
              <w:top w:val="single" w:sz="4" w:space="0" w:color="auto"/>
              <w:bottom w:val="single" w:sz="4" w:space="0" w:color="auto"/>
            </w:tcBorders>
            <w:noWrap/>
            <w:vAlign w:val="center"/>
          </w:tcPr>
          <w:p w14:paraId="71E7B4FA" w14:textId="393826D4" w:rsidR="00A11E50" w:rsidRPr="000F1DA7" w:rsidRDefault="00A11E50" w:rsidP="00A11E50">
            <w:pPr>
              <w:pStyle w:val="TableText"/>
            </w:pPr>
            <w:r w:rsidRPr="00464E33">
              <w:t>61460</w:t>
            </w:r>
          </w:p>
        </w:tc>
        <w:tc>
          <w:tcPr>
            <w:tcW w:w="1102" w:type="pct"/>
            <w:tcBorders>
              <w:top w:val="single" w:sz="4" w:space="0" w:color="auto"/>
              <w:bottom w:val="single" w:sz="4" w:space="0" w:color="auto"/>
            </w:tcBorders>
            <w:noWrap/>
            <w:vAlign w:val="center"/>
          </w:tcPr>
          <w:p w14:paraId="6116D627" w14:textId="5681CDA4" w:rsidR="00A11E50" w:rsidRPr="000F1DA7" w:rsidRDefault="00A11E50" w:rsidP="00A11E50">
            <w:pPr>
              <w:pStyle w:val="TableText"/>
            </w:pPr>
            <w:r w:rsidRPr="00464E33">
              <w:t>Alarm Herbicide</w:t>
            </w:r>
          </w:p>
        </w:tc>
        <w:tc>
          <w:tcPr>
            <w:tcW w:w="1178" w:type="pct"/>
            <w:tcBorders>
              <w:top w:val="single" w:sz="4" w:space="0" w:color="auto"/>
              <w:bottom w:val="single" w:sz="4" w:space="0" w:color="auto"/>
            </w:tcBorders>
            <w:noWrap/>
            <w:vAlign w:val="center"/>
          </w:tcPr>
          <w:p w14:paraId="44226F68" w14:textId="3B540F74" w:rsidR="00A11E50" w:rsidRPr="000F1DA7" w:rsidRDefault="00A11E50" w:rsidP="00A11E50">
            <w:pPr>
              <w:pStyle w:val="TableText"/>
            </w:pPr>
            <w:r w:rsidRPr="00464E33">
              <w:t>Sipcam Pacific Australia Pty Ltd</w:t>
            </w:r>
          </w:p>
        </w:tc>
        <w:tc>
          <w:tcPr>
            <w:tcW w:w="1459" w:type="pct"/>
            <w:tcBorders>
              <w:top w:val="single" w:sz="4" w:space="0" w:color="auto"/>
              <w:bottom w:val="single" w:sz="4" w:space="0" w:color="auto"/>
            </w:tcBorders>
          </w:tcPr>
          <w:p w14:paraId="7818CF6E" w14:textId="330592E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ADAA951" w14:textId="77777777" w:rsidR="00A11E50" w:rsidRDefault="00A11E50" w:rsidP="00A11E50">
            <w:pPr>
              <w:pStyle w:val="TableText"/>
            </w:pPr>
            <w:r w:rsidRPr="00B349FB">
              <w:t>2</w:t>
            </w:r>
          </w:p>
        </w:tc>
      </w:tr>
      <w:tr w:rsidR="00A11E50" w14:paraId="4DA2D4E9" w14:textId="77777777" w:rsidTr="00EE2957">
        <w:trPr>
          <w:trHeight w:val="510"/>
        </w:trPr>
        <w:tc>
          <w:tcPr>
            <w:tcW w:w="661" w:type="pct"/>
            <w:tcBorders>
              <w:top w:val="single" w:sz="4" w:space="0" w:color="auto"/>
              <w:bottom w:val="single" w:sz="4" w:space="0" w:color="auto"/>
            </w:tcBorders>
            <w:noWrap/>
            <w:vAlign w:val="center"/>
          </w:tcPr>
          <w:p w14:paraId="17BEB354" w14:textId="47DD1B07" w:rsidR="00A11E50" w:rsidRPr="000F1DA7" w:rsidRDefault="00A11E50" w:rsidP="00A11E50">
            <w:pPr>
              <w:pStyle w:val="TableText"/>
            </w:pPr>
            <w:r w:rsidRPr="00464E33">
              <w:t>61860</w:t>
            </w:r>
          </w:p>
        </w:tc>
        <w:tc>
          <w:tcPr>
            <w:tcW w:w="1102" w:type="pct"/>
            <w:tcBorders>
              <w:top w:val="single" w:sz="4" w:space="0" w:color="auto"/>
              <w:bottom w:val="single" w:sz="4" w:space="0" w:color="auto"/>
            </w:tcBorders>
            <w:noWrap/>
            <w:vAlign w:val="center"/>
          </w:tcPr>
          <w:p w14:paraId="09F2515F" w14:textId="4CD28DEA" w:rsidR="00A11E50" w:rsidRPr="000F1DA7" w:rsidRDefault="00A11E50" w:rsidP="00A11E50">
            <w:pPr>
              <w:pStyle w:val="TableText"/>
            </w:pPr>
            <w:r w:rsidRPr="00464E33">
              <w:t>Titan Eos Herbicide</w:t>
            </w:r>
          </w:p>
        </w:tc>
        <w:tc>
          <w:tcPr>
            <w:tcW w:w="1178" w:type="pct"/>
            <w:tcBorders>
              <w:top w:val="single" w:sz="4" w:space="0" w:color="auto"/>
              <w:bottom w:val="single" w:sz="4" w:space="0" w:color="auto"/>
            </w:tcBorders>
            <w:noWrap/>
            <w:vAlign w:val="center"/>
          </w:tcPr>
          <w:p w14:paraId="3028514D" w14:textId="0CC12445" w:rsidR="00A11E50" w:rsidRPr="000F1DA7" w:rsidRDefault="00A11E50" w:rsidP="00A11E50">
            <w:pPr>
              <w:pStyle w:val="TableText"/>
            </w:pPr>
            <w:r w:rsidRPr="00464E33">
              <w:t>Titan Ag Pty Ltd</w:t>
            </w:r>
          </w:p>
        </w:tc>
        <w:tc>
          <w:tcPr>
            <w:tcW w:w="1459" w:type="pct"/>
            <w:tcBorders>
              <w:top w:val="single" w:sz="4" w:space="0" w:color="auto"/>
              <w:bottom w:val="single" w:sz="4" w:space="0" w:color="auto"/>
            </w:tcBorders>
          </w:tcPr>
          <w:p w14:paraId="15C3BBC2" w14:textId="0FF6C80E"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106D194" w14:textId="77777777" w:rsidR="00A11E50" w:rsidRDefault="00A11E50" w:rsidP="00A11E50">
            <w:pPr>
              <w:pStyle w:val="TableText"/>
            </w:pPr>
            <w:r w:rsidRPr="00B349FB">
              <w:t>2</w:t>
            </w:r>
          </w:p>
        </w:tc>
      </w:tr>
      <w:tr w:rsidR="00A11E50" w14:paraId="6750FA73" w14:textId="77777777" w:rsidTr="00EE2957">
        <w:trPr>
          <w:trHeight w:val="510"/>
        </w:trPr>
        <w:tc>
          <w:tcPr>
            <w:tcW w:w="661" w:type="pct"/>
            <w:tcBorders>
              <w:top w:val="single" w:sz="4" w:space="0" w:color="auto"/>
              <w:bottom w:val="single" w:sz="4" w:space="0" w:color="auto"/>
            </w:tcBorders>
            <w:noWrap/>
            <w:vAlign w:val="center"/>
          </w:tcPr>
          <w:p w14:paraId="7ACEC6AF" w14:textId="549A5327" w:rsidR="00A11E50" w:rsidRPr="000F1DA7" w:rsidRDefault="00A11E50" w:rsidP="00A11E50">
            <w:pPr>
              <w:pStyle w:val="TableText"/>
            </w:pPr>
            <w:r w:rsidRPr="00464E33">
              <w:t>62495</w:t>
            </w:r>
          </w:p>
        </w:tc>
        <w:tc>
          <w:tcPr>
            <w:tcW w:w="1102" w:type="pct"/>
            <w:tcBorders>
              <w:top w:val="single" w:sz="4" w:space="0" w:color="auto"/>
              <w:bottom w:val="single" w:sz="4" w:space="0" w:color="auto"/>
            </w:tcBorders>
            <w:noWrap/>
            <w:vAlign w:val="center"/>
          </w:tcPr>
          <w:p w14:paraId="69A911D2" w14:textId="7F7F815D" w:rsidR="00A11E50" w:rsidRPr="000F1DA7" w:rsidRDefault="00A11E50" w:rsidP="00A11E50">
            <w:pPr>
              <w:pStyle w:val="TableText"/>
            </w:pPr>
            <w:r w:rsidRPr="00464E33">
              <w:t>Sanonda Paraquat/Diquat Herbicide</w:t>
            </w:r>
          </w:p>
        </w:tc>
        <w:tc>
          <w:tcPr>
            <w:tcW w:w="1178" w:type="pct"/>
            <w:tcBorders>
              <w:top w:val="single" w:sz="4" w:space="0" w:color="auto"/>
              <w:bottom w:val="single" w:sz="4" w:space="0" w:color="auto"/>
            </w:tcBorders>
            <w:noWrap/>
            <w:vAlign w:val="center"/>
          </w:tcPr>
          <w:p w14:paraId="161D9503" w14:textId="6D7332D0" w:rsidR="00A11E50" w:rsidRPr="000F1DA7" w:rsidRDefault="00A11E50" w:rsidP="00A11E50">
            <w:pPr>
              <w:pStyle w:val="TableText"/>
            </w:pPr>
            <w:r w:rsidRPr="00464E33">
              <w:t>Sanonda (Australia) Pty Ltd</w:t>
            </w:r>
          </w:p>
        </w:tc>
        <w:tc>
          <w:tcPr>
            <w:tcW w:w="1459" w:type="pct"/>
            <w:tcBorders>
              <w:top w:val="single" w:sz="4" w:space="0" w:color="auto"/>
              <w:bottom w:val="single" w:sz="4" w:space="0" w:color="auto"/>
            </w:tcBorders>
          </w:tcPr>
          <w:p w14:paraId="07EA40E7" w14:textId="15607C8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40C882DC" w14:textId="77777777" w:rsidR="00A11E50" w:rsidRDefault="00A11E50" w:rsidP="00A11E50">
            <w:pPr>
              <w:pStyle w:val="TableText"/>
            </w:pPr>
            <w:r w:rsidRPr="00B349FB">
              <w:t>2</w:t>
            </w:r>
          </w:p>
        </w:tc>
      </w:tr>
      <w:tr w:rsidR="00A11E50" w14:paraId="0CE13A9D" w14:textId="77777777" w:rsidTr="00EE2957">
        <w:trPr>
          <w:trHeight w:val="510"/>
        </w:trPr>
        <w:tc>
          <w:tcPr>
            <w:tcW w:w="661" w:type="pct"/>
            <w:tcBorders>
              <w:top w:val="single" w:sz="4" w:space="0" w:color="auto"/>
              <w:bottom w:val="single" w:sz="4" w:space="0" w:color="auto"/>
            </w:tcBorders>
            <w:noWrap/>
            <w:vAlign w:val="center"/>
          </w:tcPr>
          <w:p w14:paraId="28A50763" w14:textId="506483DA" w:rsidR="00A11E50" w:rsidRPr="000F1DA7" w:rsidRDefault="00A11E50" w:rsidP="00A11E50">
            <w:pPr>
              <w:pStyle w:val="TableText"/>
            </w:pPr>
            <w:r w:rsidRPr="00464E33">
              <w:t>62631</w:t>
            </w:r>
          </w:p>
        </w:tc>
        <w:tc>
          <w:tcPr>
            <w:tcW w:w="1102" w:type="pct"/>
            <w:tcBorders>
              <w:top w:val="single" w:sz="4" w:space="0" w:color="auto"/>
              <w:bottom w:val="single" w:sz="4" w:space="0" w:color="auto"/>
            </w:tcBorders>
            <w:noWrap/>
            <w:vAlign w:val="center"/>
          </w:tcPr>
          <w:p w14:paraId="5E19333C" w14:textId="4C845C1D" w:rsidR="00A11E50" w:rsidRPr="000F1DA7" w:rsidRDefault="00A11E50" w:rsidP="00A11E50">
            <w:pPr>
              <w:pStyle w:val="TableText"/>
            </w:pPr>
            <w:r w:rsidRPr="00464E33">
              <w:t>Accensi Paraquat/Diquat 250 Herbicide</w:t>
            </w:r>
          </w:p>
        </w:tc>
        <w:tc>
          <w:tcPr>
            <w:tcW w:w="1178" w:type="pct"/>
            <w:tcBorders>
              <w:top w:val="single" w:sz="4" w:space="0" w:color="auto"/>
              <w:bottom w:val="single" w:sz="4" w:space="0" w:color="auto"/>
            </w:tcBorders>
            <w:noWrap/>
            <w:vAlign w:val="center"/>
          </w:tcPr>
          <w:p w14:paraId="07CF6F93" w14:textId="621707C4" w:rsidR="00A11E50" w:rsidRPr="000F1DA7" w:rsidRDefault="00D7704B" w:rsidP="00A11E50">
            <w:pPr>
              <w:pStyle w:val="TableText"/>
            </w:pPr>
            <w:r w:rsidRPr="00D7704B">
              <w:t>Australian Agribusiness (Holdings) Pty Ltd</w:t>
            </w:r>
          </w:p>
        </w:tc>
        <w:tc>
          <w:tcPr>
            <w:tcW w:w="1459" w:type="pct"/>
            <w:tcBorders>
              <w:top w:val="single" w:sz="4" w:space="0" w:color="auto"/>
              <w:bottom w:val="single" w:sz="4" w:space="0" w:color="auto"/>
            </w:tcBorders>
          </w:tcPr>
          <w:p w14:paraId="3BF807A9" w14:textId="71E9977F"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54AAD25" w14:textId="77777777" w:rsidR="00A11E50" w:rsidRDefault="00A11E50" w:rsidP="00A11E50">
            <w:pPr>
              <w:pStyle w:val="TableText"/>
            </w:pPr>
            <w:r w:rsidRPr="00B349FB">
              <w:t>2</w:t>
            </w:r>
          </w:p>
        </w:tc>
      </w:tr>
      <w:tr w:rsidR="00A11E50" w14:paraId="6C33C196" w14:textId="77777777" w:rsidTr="00EE2957">
        <w:trPr>
          <w:trHeight w:val="510"/>
        </w:trPr>
        <w:tc>
          <w:tcPr>
            <w:tcW w:w="661" w:type="pct"/>
            <w:tcBorders>
              <w:top w:val="single" w:sz="4" w:space="0" w:color="auto"/>
              <w:bottom w:val="single" w:sz="4" w:space="0" w:color="auto"/>
            </w:tcBorders>
            <w:noWrap/>
            <w:vAlign w:val="center"/>
          </w:tcPr>
          <w:p w14:paraId="77136496" w14:textId="12280622" w:rsidR="00A11E50" w:rsidRPr="000F1DA7" w:rsidRDefault="00A11E50" w:rsidP="00A11E50">
            <w:pPr>
              <w:pStyle w:val="TableText"/>
            </w:pPr>
            <w:r w:rsidRPr="00464E33">
              <w:lastRenderedPageBreak/>
              <w:t>63565</w:t>
            </w:r>
          </w:p>
        </w:tc>
        <w:tc>
          <w:tcPr>
            <w:tcW w:w="1102" w:type="pct"/>
            <w:tcBorders>
              <w:top w:val="single" w:sz="4" w:space="0" w:color="auto"/>
              <w:bottom w:val="single" w:sz="4" w:space="0" w:color="auto"/>
            </w:tcBorders>
            <w:noWrap/>
            <w:vAlign w:val="center"/>
          </w:tcPr>
          <w:p w14:paraId="3E06C1BB" w14:textId="5F82CA73" w:rsidR="00A11E50" w:rsidRPr="000F1DA7" w:rsidRDefault="00A11E50" w:rsidP="00A11E50">
            <w:pPr>
              <w:pStyle w:val="TableText"/>
            </w:pPr>
            <w:r w:rsidRPr="00464E33">
              <w:t>Ozcrop Blowout Herbicide</w:t>
            </w:r>
          </w:p>
        </w:tc>
        <w:tc>
          <w:tcPr>
            <w:tcW w:w="1178" w:type="pct"/>
            <w:tcBorders>
              <w:top w:val="single" w:sz="4" w:space="0" w:color="auto"/>
              <w:bottom w:val="single" w:sz="4" w:space="0" w:color="auto"/>
            </w:tcBorders>
            <w:noWrap/>
            <w:vAlign w:val="center"/>
          </w:tcPr>
          <w:p w14:paraId="24430ADC" w14:textId="22B2EAB0" w:rsidR="00A11E50" w:rsidRPr="000F1DA7" w:rsidRDefault="00D7704B" w:rsidP="00A11E50">
            <w:pPr>
              <w:pStyle w:val="TableText"/>
            </w:pPr>
            <w:r w:rsidRPr="00D7704B">
              <w:t>R</w:t>
            </w:r>
            <w:r>
              <w:t>ainbow Agroscience Australia Pty Ltd</w:t>
            </w:r>
          </w:p>
        </w:tc>
        <w:tc>
          <w:tcPr>
            <w:tcW w:w="1459" w:type="pct"/>
            <w:tcBorders>
              <w:top w:val="single" w:sz="4" w:space="0" w:color="auto"/>
              <w:bottom w:val="single" w:sz="4" w:space="0" w:color="auto"/>
            </w:tcBorders>
          </w:tcPr>
          <w:p w14:paraId="3B04714A" w14:textId="32DFD71D"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47AF5C8" w14:textId="77777777" w:rsidR="00A11E50" w:rsidRDefault="00A11E50" w:rsidP="00A11E50">
            <w:pPr>
              <w:pStyle w:val="TableText"/>
            </w:pPr>
            <w:r w:rsidRPr="00B349FB">
              <w:t>2</w:t>
            </w:r>
          </w:p>
        </w:tc>
      </w:tr>
      <w:tr w:rsidR="00A11E50" w14:paraId="0BF6521B" w14:textId="77777777" w:rsidTr="00EE2957">
        <w:trPr>
          <w:trHeight w:val="510"/>
        </w:trPr>
        <w:tc>
          <w:tcPr>
            <w:tcW w:w="661" w:type="pct"/>
            <w:tcBorders>
              <w:top w:val="single" w:sz="4" w:space="0" w:color="auto"/>
              <w:bottom w:val="single" w:sz="4" w:space="0" w:color="auto"/>
            </w:tcBorders>
            <w:noWrap/>
            <w:vAlign w:val="center"/>
          </w:tcPr>
          <w:p w14:paraId="18967FB8" w14:textId="740F1939" w:rsidR="00A11E50" w:rsidRPr="000F1DA7" w:rsidRDefault="00A11E50" w:rsidP="00A11E50">
            <w:pPr>
              <w:pStyle w:val="TableText"/>
            </w:pPr>
            <w:r w:rsidRPr="00464E33">
              <w:t>64325</w:t>
            </w:r>
          </w:p>
        </w:tc>
        <w:tc>
          <w:tcPr>
            <w:tcW w:w="1102" w:type="pct"/>
            <w:tcBorders>
              <w:top w:val="single" w:sz="4" w:space="0" w:color="auto"/>
              <w:bottom w:val="single" w:sz="4" w:space="0" w:color="auto"/>
            </w:tcBorders>
            <w:noWrap/>
            <w:vAlign w:val="center"/>
          </w:tcPr>
          <w:p w14:paraId="60AE82CB" w14:textId="0F44B130" w:rsidR="00A11E50" w:rsidRPr="000F1DA7" w:rsidRDefault="00A11E50" w:rsidP="00A11E50">
            <w:pPr>
              <w:pStyle w:val="TableText"/>
            </w:pPr>
            <w:r w:rsidRPr="00464E33">
              <w:t>Farmalinx Paradat Herbicide</w:t>
            </w:r>
          </w:p>
        </w:tc>
        <w:tc>
          <w:tcPr>
            <w:tcW w:w="1178" w:type="pct"/>
            <w:tcBorders>
              <w:top w:val="single" w:sz="4" w:space="0" w:color="auto"/>
              <w:bottom w:val="single" w:sz="4" w:space="0" w:color="auto"/>
            </w:tcBorders>
            <w:noWrap/>
            <w:vAlign w:val="center"/>
          </w:tcPr>
          <w:p w14:paraId="21DC947E" w14:textId="28426228" w:rsidR="00A11E50" w:rsidRPr="000F1DA7" w:rsidRDefault="00A11E50" w:rsidP="00A11E50">
            <w:pPr>
              <w:pStyle w:val="TableText"/>
            </w:pPr>
            <w:r w:rsidRPr="00464E33">
              <w:t>Farmalinx Pty Ltd</w:t>
            </w:r>
          </w:p>
        </w:tc>
        <w:tc>
          <w:tcPr>
            <w:tcW w:w="1459" w:type="pct"/>
            <w:tcBorders>
              <w:top w:val="single" w:sz="4" w:space="0" w:color="auto"/>
              <w:bottom w:val="single" w:sz="4" w:space="0" w:color="auto"/>
            </w:tcBorders>
          </w:tcPr>
          <w:p w14:paraId="26396B16" w14:textId="17F9A7CE"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3CDDF25" w14:textId="77777777" w:rsidR="00A11E50" w:rsidRDefault="00A11E50" w:rsidP="00A11E50">
            <w:pPr>
              <w:pStyle w:val="TableText"/>
            </w:pPr>
            <w:r w:rsidRPr="00B349FB">
              <w:t>2</w:t>
            </w:r>
          </w:p>
        </w:tc>
      </w:tr>
      <w:tr w:rsidR="00A11E50" w14:paraId="4907898F" w14:textId="77777777" w:rsidTr="00EE2957">
        <w:trPr>
          <w:trHeight w:val="510"/>
        </w:trPr>
        <w:tc>
          <w:tcPr>
            <w:tcW w:w="661" w:type="pct"/>
            <w:tcBorders>
              <w:top w:val="single" w:sz="4" w:space="0" w:color="auto"/>
              <w:bottom w:val="single" w:sz="4" w:space="0" w:color="auto"/>
            </w:tcBorders>
            <w:noWrap/>
            <w:vAlign w:val="center"/>
          </w:tcPr>
          <w:p w14:paraId="03B88A1D" w14:textId="7970F8B3" w:rsidR="00A11E50" w:rsidRPr="000F1DA7" w:rsidRDefault="00A11E50" w:rsidP="00A11E50">
            <w:pPr>
              <w:pStyle w:val="TableText"/>
            </w:pPr>
            <w:r w:rsidRPr="00464E33">
              <w:t>64704</w:t>
            </w:r>
          </w:p>
        </w:tc>
        <w:tc>
          <w:tcPr>
            <w:tcW w:w="1102" w:type="pct"/>
            <w:tcBorders>
              <w:top w:val="single" w:sz="4" w:space="0" w:color="auto"/>
              <w:bottom w:val="single" w:sz="4" w:space="0" w:color="auto"/>
            </w:tcBorders>
            <w:noWrap/>
            <w:vAlign w:val="center"/>
          </w:tcPr>
          <w:p w14:paraId="599725C4" w14:textId="27516EB9" w:rsidR="00A11E50" w:rsidRPr="000F1DA7" w:rsidRDefault="00A11E50" w:rsidP="00A11E50">
            <w:pPr>
              <w:pStyle w:val="TableText"/>
            </w:pPr>
            <w:r w:rsidRPr="00464E33">
              <w:t>Fosterra Paraquat / Diquat Herbicide</w:t>
            </w:r>
          </w:p>
        </w:tc>
        <w:tc>
          <w:tcPr>
            <w:tcW w:w="1178" w:type="pct"/>
            <w:tcBorders>
              <w:top w:val="single" w:sz="4" w:space="0" w:color="auto"/>
              <w:bottom w:val="single" w:sz="4" w:space="0" w:color="auto"/>
            </w:tcBorders>
            <w:noWrap/>
            <w:vAlign w:val="center"/>
          </w:tcPr>
          <w:p w14:paraId="1690C8FE" w14:textId="0911D918" w:rsidR="00A11E50" w:rsidRPr="000F1DA7" w:rsidRDefault="00A11E50" w:rsidP="00A11E50">
            <w:pPr>
              <w:pStyle w:val="TableText"/>
            </w:pPr>
            <w:r w:rsidRPr="00464E33">
              <w:t>Fosterra Pty Ltd</w:t>
            </w:r>
          </w:p>
        </w:tc>
        <w:tc>
          <w:tcPr>
            <w:tcW w:w="1459" w:type="pct"/>
            <w:tcBorders>
              <w:top w:val="single" w:sz="4" w:space="0" w:color="auto"/>
              <w:bottom w:val="single" w:sz="4" w:space="0" w:color="auto"/>
            </w:tcBorders>
          </w:tcPr>
          <w:p w14:paraId="4B7B6442" w14:textId="2CBA2551"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7C2035A" w14:textId="77777777" w:rsidR="00A11E50" w:rsidRDefault="00A11E50" w:rsidP="00A11E50">
            <w:pPr>
              <w:pStyle w:val="TableText"/>
            </w:pPr>
            <w:r w:rsidRPr="00B349FB">
              <w:t>2</w:t>
            </w:r>
          </w:p>
        </w:tc>
      </w:tr>
      <w:tr w:rsidR="00A11E50" w14:paraId="3B09C464" w14:textId="77777777" w:rsidTr="00EE2957">
        <w:trPr>
          <w:trHeight w:val="510"/>
        </w:trPr>
        <w:tc>
          <w:tcPr>
            <w:tcW w:w="661" w:type="pct"/>
            <w:tcBorders>
              <w:top w:val="single" w:sz="4" w:space="0" w:color="auto"/>
              <w:bottom w:val="single" w:sz="4" w:space="0" w:color="auto"/>
            </w:tcBorders>
            <w:noWrap/>
            <w:vAlign w:val="center"/>
          </w:tcPr>
          <w:p w14:paraId="41350213" w14:textId="0DDF5415" w:rsidR="00A11E50" w:rsidRPr="000F1DA7" w:rsidRDefault="00A11E50" w:rsidP="00A11E50">
            <w:pPr>
              <w:pStyle w:val="TableText"/>
            </w:pPr>
            <w:r w:rsidRPr="00464E33">
              <w:t>64802</w:t>
            </w:r>
          </w:p>
        </w:tc>
        <w:tc>
          <w:tcPr>
            <w:tcW w:w="1102" w:type="pct"/>
            <w:tcBorders>
              <w:top w:val="single" w:sz="4" w:space="0" w:color="auto"/>
              <w:bottom w:val="single" w:sz="4" w:space="0" w:color="auto"/>
            </w:tcBorders>
            <w:noWrap/>
            <w:vAlign w:val="center"/>
          </w:tcPr>
          <w:p w14:paraId="299D658D" w14:textId="3B6B6639" w:rsidR="00A11E50" w:rsidRPr="000F1DA7" w:rsidRDefault="00A11E50" w:rsidP="00A11E50">
            <w:pPr>
              <w:pStyle w:val="TableText"/>
            </w:pPr>
            <w:r w:rsidRPr="00464E33">
              <w:t>Kwicknock 250 Herbicide</w:t>
            </w:r>
          </w:p>
        </w:tc>
        <w:tc>
          <w:tcPr>
            <w:tcW w:w="1178" w:type="pct"/>
            <w:tcBorders>
              <w:top w:val="single" w:sz="4" w:space="0" w:color="auto"/>
              <w:bottom w:val="single" w:sz="4" w:space="0" w:color="auto"/>
            </w:tcBorders>
            <w:noWrap/>
            <w:vAlign w:val="center"/>
          </w:tcPr>
          <w:p w14:paraId="164D931D" w14:textId="2912C589" w:rsidR="00A11E50" w:rsidRPr="000F1DA7" w:rsidRDefault="00A11E50" w:rsidP="00A11E50">
            <w:pPr>
              <w:pStyle w:val="TableText"/>
            </w:pPr>
            <w:r w:rsidRPr="00464E33">
              <w:t>Grow Choice Pty Limited</w:t>
            </w:r>
          </w:p>
        </w:tc>
        <w:tc>
          <w:tcPr>
            <w:tcW w:w="1459" w:type="pct"/>
            <w:tcBorders>
              <w:top w:val="single" w:sz="4" w:space="0" w:color="auto"/>
              <w:bottom w:val="single" w:sz="4" w:space="0" w:color="auto"/>
            </w:tcBorders>
          </w:tcPr>
          <w:p w14:paraId="39117E8D" w14:textId="4AFB08DF"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F30B7D8" w14:textId="77777777" w:rsidR="00A11E50" w:rsidRDefault="00A11E50" w:rsidP="00A11E50">
            <w:pPr>
              <w:pStyle w:val="TableText"/>
            </w:pPr>
            <w:r w:rsidRPr="00B349FB">
              <w:t>2</w:t>
            </w:r>
          </w:p>
        </w:tc>
      </w:tr>
      <w:tr w:rsidR="00A11E50" w14:paraId="3C7A4A3A" w14:textId="77777777" w:rsidTr="00EE2957">
        <w:trPr>
          <w:trHeight w:val="510"/>
        </w:trPr>
        <w:tc>
          <w:tcPr>
            <w:tcW w:w="661" w:type="pct"/>
            <w:tcBorders>
              <w:top w:val="single" w:sz="4" w:space="0" w:color="auto"/>
              <w:bottom w:val="single" w:sz="4" w:space="0" w:color="auto"/>
            </w:tcBorders>
            <w:noWrap/>
            <w:vAlign w:val="center"/>
          </w:tcPr>
          <w:p w14:paraId="00C011F7" w14:textId="7DAD80CF" w:rsidR="00A11E50" w:rsidRPr="000F1DA7" w:rsidRDefault="00A11E50" w:rsidP="00A11E50">
            <w:pPr>
              <w:pStyle w:val="TableText"/>
            </w:pPr>
            <w:r w:rsidRPr="00464E33">
              <w:t>65295</w:t>
            </w:r>
          </w:p>
        </w:tc>
        <w:tc>
          <w:tcPr>
            <w:tcW w:w="1102" w:type="pct"/>
            <w:tcBorders>
              <w:top w:val="single" w:sz="4" w:space="0" w:color="auto"/>
              <w:bottom w:val="single" w:sz="4" w:space="0" w:color="auto"/>
            </w:tcBorders>
            <w:noWrap/>
            <w:vAlign w:val="center"/>
          </w:tcPr>
          <w:p w14:paraId="637DD7D7" w14:textId="643B3D06" w:rsidR="00A11E50" w:rsidRPr="000F1DA7" w:rsidRDefault="00D321CC" w:rsidP="00A11E50">
            <w:pPr>
              <w:pStyle w:val="TableText"/>
            </w:pPr>
            <w:r w:rsidRPr="00D321CC">
              <w:t>Blowout 250 SL Herbicide</w:t>
            </w:r>
          </w:p>
        </w:tc>
        <w:tc>
          <w:tcPr>
            <w:tcW w:w="1178" w:type="pct"/>
            <w:tcBorders>
              <w:top w:val="single" w:sz="4" w:space="0" w:color="auto"/>
              <w:bottom w:val="single" w:sz="4" w:space="0" w:color="auto"/>
            </w:tcBorders>
            <w:noWrap/>
            <w:vAlign w:val="center"/>
          </w:tcPr>
          <w:p w14:paraId="6DCE4C43" w14:textId="3C7FD5B4" w:rsidR="00A11E50" w:rsidRPr="000F1DA7" w:rsidRDefault="00A11E50" w:rsidP="00A11E50">
            <w:pPr>
              <w:pStyle w:val="TableText"/>
            </w:pPr>
            <w:r w:rsidRPr="00464E33">
              <w:t>Shandong Rainbow International Co Ltd</w:t>
            </w:r>
          </w:p>
        </w:tc>
        <w:tc>
          <w:tcPr>
            <w:tcW w:w="1459" w:type="pct"/>
            <w:tcBorders>
              <w:top w:val="single" w:sz="4" w:space="0" w:color="auto"/>
              <w:bottom w:val="single" w:sz="4" w:space="0" w:color="auto"/>
            </w:tcBorders>
          </w:tcPr>
          <w:p w14:paraId="1E50A6FE" w14:textId="06A7E6C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7233378" w14:textId="77777777" w:rsidR="00A11E50" w:rsidRDefault="00A11E50" w:rsidP="00A11E50">
            <w:pPr>
              <w:pStyle w:val="TableText"/>
            </w:pPr>
            <w:r w:rsidRPr="00B349FB">
              <w:t>2</w:t>
            </w:r>
          </w:p>
        </w:tc>
      </w:tr>
      <w:tr w:rsidR="00A11E50" w14:paraId="23D8D98E" w14:textId="77777777" w:rsidTr="00EE2957">
        <w:trPr>
          <w:trHeight w:val="510"/>
        </w:trPr>
        <w:tc>
          <w:tcPr>
            <w:tcW w:w="661" w:type="pct"/>
            <w:tcBorders>
              <w:top w:val="single" w:sz="4" w:space="0" w:color="auto"/>
              <w:bottom w:val="single" w:sz="4" w:space="0" w:color="auto"/>
            </w:tcBorders>
            <w:noWrap/>
            <w:vAlign w:val="center"/>
          </w:tcPr>
          <w:p w14:paraId="3A7E5F6C" w14:textId="2A2E9342" w:rsidR="00A11E50" w:rsidRPr="000F1DA7" w:rsidRDefault="00A11E50" w:rsidP="00A11E50">
            <w:pPr>
              <w:pStyle w:val="TableText"/>
            </w:pPr>
            <w:r w:rsidRPr="00464E33">
              <w:t>65708</w:t>
            </w:r>
          </w:p>
        </w:tc>
        <w:tc>
          <w:tcPr>
            <w:tcW w:w="1102" w:type="pct"/>
            <w:tcBorders>
              <w:top w:val="single" w:sz="4" w:space="0" w:color="auto"/>
              <w:bottom w:val="single" w:sz="4" w:space="0" w:color="auto"/>
            </w:tcBorders>
            <w:noWrap/>
            <w:vAlign w:val="center"/>
          </w:tcPr>
          <w:p w14:paraId="1D1F8F99" w14:textId="7EBAECEF" w:rsidR="00A11E50" w:rsidRPr="000F1DA7" w:rsidRDefault="00A11E50" w:rsidP="00A11E50">
            <w:pPr>
              <w:pStyle w:val="TableText"/>
            </w:pPr>
            <w:r w:rsidRPr="00464E33">
              <w:t>Pacific Diquat/Paraquat 250 Herbicide</w:t>
            </w:r>
          </w:p>
        </w:tc>
        <w:tc>
          <w:tcPr>
            <w:tcW w:w="1178" w:type="pct"/>
            <w:tcBorders>
              <w:top w:val="single" w:sz="4" w:space="0" w:color="auto"/>
              <w:bottom w:val="single" w:sz="4" w:space="0" w:color="auto"/>
            </w:tcBorders>
            <w:noWrap/>
            <w:vAlign w:val="center"/>
          </w:tcPr>
          <w:p w14:paraId="5ED4A07F" w14:textId="4E288A3A" w:rsidR="00A11E50" w:rsidRPr="000F1DA7" w:rsidRDefault="00A11E50" w:rsidP="00A11E50">
            <w:pPr>
              <w:pStyle w:val="TableText"/>
            </w:pPr>
            <w:r w:rsidRPr="00464E33">
              <w:t>Pacific Agriscience Pty Ltd</w:t>
            </w:r>
          </w:p>
        </w:tc>
        <w:tc>
          <w:tcPr>
            <w:tcW w:w="1459" w:type="pct"/>
            <w:tcBorders>
              <w:top w:val="single" w:sz="4" w:space="0" w:color="auto"/>
              <w:bottom w:val="single" w:sz="4" w:space="0" w:color="auto"/>
            </w:tcBorders>
          </w:tcPr>
          <w:p w14:paraId="1E1DFFA8" w14:textId="00724840"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FE5897F" w14:textId="77777777" w:rsidR="00A11E50" w:rsidRDefault="00A11E50" w:rsidP="00A11E50">
            <w:pPr>
              <w:pStyle w:val="TableText"/>
            </w:pPr>
            <w:r w:rsidRPr="00B349FB">
              <w:t>2</w:t>
            </w:r>
          </w:p>
        </w:tc>
      </w:tr>
      <w:tr w:rsidR="00A11E50" w14:paraId="0F554C48" w14:textId="77777777" w:rsidTr="00EE2957">
        <w:trPr>
          <w:trHeight w:val="510"/>
        </w:trPr>
        <w:tc>
          <w:tcPr>
            <w:tcW w:w="661" w:type="pct"/>
            <w:tcBorders>
              <w:top w:val="single" w:sz="4" w:space="0" w:color="auto"/>
              <w:bottom w:val="single" w:sz="4" w:space="0" w:color="auto"/>
            </w:tcBorders>
            <w:noWrap/>
            <w:vAlign w:val="center"/>
          </w:tcPr>
          <w:p w14:paraId="0DBB7952" w14:textId="35623F6A" w:rsidR="00A11E50" w:rsidRPr="000F1DA7" w:rsidRDefault="00A11E50" w:rsidP="00A11E50">
            <w:pPr>
              <w:pStyle w:val="TableText"/>
            </w:pPr>
            <w:r w:rsidRPr="00464E33">
              <w:t>66327</w:t>
            </w:r>
          </w:p>
        </w:tc>
        <w:tc>
          <w:tcPr>
            <w:tcW w:w="1102" w:type="pct"/>
            <w:tcBorders>
              <w:top w:val="single" w:sz="4" w:space="0" w:color="auto"/>
              <w:bottom w:val="single" w:sz="4" w:space="0" w:color="auto"/>
            </w:tcBorders>
            <w:noWrap/>
            <w:vAlign w:val="center"/>
          </w:tcPr>
          <w:p w14:paraId="6C29FB07" w14:textId="7B494460" w:rsidR="00A11E50" w:rsidRPr="000F1DA7" w:rsidRDefault="00D321CC" w:rsidP="00A11E50">
            <w:pPr>
              <w:pStyle w:val="TableText"/>
            </w:pPr>
            <w:r w:rsidRPr="00D321CC">
              <w:t>STRAVIA DIQUAT | PARAQUAT 250 SL HERBICIDE</w:t>
            </w:r>
          </w:p>
        </w:tc>
        <w:tc>
          <w:tcPr>
            <w:tcW w:w="1178" w:type="pct"/>
            <w:tcBorders>
              <w:top w:val="single" w:sz="4" w:space="0" w:color="auto"/>
              <w:bottom w:val="single" w:sz="4" w:space="0" w:color="auto"/>
            </w:tcBorders>
            <w:noWrap/>
            <w:vAlign w:val="center"/>
          </w:tcPr>
          <w:p w14:paraId="21903D3F" w14:textId="0EA1E294" w:rsidR="00A11E50" w:rsidRPr="000F1DA7" w:rsidRDefault="00D321CC" w:rsidP="00A11E50">
            <w:pPr>
              <w:pStyle w:val="TableText"/>
            </w:pPr>
            <w:r>
              <w:t>Stravia Pty Ltd</w:t>
            </w:r>
          </w:p>
        </w:tc>
        <w:tc>
          <w:tcPr>
            <w:tcW w:w="1459" w:type="pct"/>
            <w:tcBorders>
              <w:top w:val="single" w:sz="4" w:space="0" w:color="auto"/>
              <w:bottom w:val="single" w:sz="4" w:space="0" w:color="auto"/>
            </w:tcBorders>
          </w:tcPr>
          <w:p w14:paraId="358A5D8C" w14:textId="7FE57EBC"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8339E86" w14:textId="77777777" w:rsidR="00A11E50" w:rsidRDefault="00A11E50" w:rsidP="00A11E50">
            <w:pPr>
              <w:pStyle w:val="TableText"/>
            </w:pPr>
            <w:r w:rsidRPr="00B349FB">
              <w:t>2</w:t>
            </w:r>
          </w:p>
        </w:tc>
      </w:tr>
      <w:tr w:rsidR="00A11E50" w14:paraId="0202C83F" w14:textId="77777777" w:rsidTr="00EE2957">
        <w:trPr>
          <w:trHeight w:val="510"/>
        </w:trPr>
        <w:tc>
          <w:tcPr>
            <w:tcW w:w="661" w:type="pct"/>
            <w:tcBorders>
              <w:top w:val="single" w:sz="4" w:space="0" w:color="auto"/>
              <w:bottom w:val="single" w:sz="4" w:space="0" w:color="auto"/>
            </w:tcBorders>
            <w:noWrap/>
            <w:vAlign w:val="center"/>
          </w:tcPr>
          <w:p w14:paraId="565C1237" w14:textId="1D5B9194" w:rsidR="00A11E50" w:rsidRPr="000F1DA7" w:rsidRDefault="00A11E50" w:rsidP="00A11E50">
            <w:pPr>
              <w:pStyle w:val="TableText"/>
            </w:pPr>
            <w:r w:rsidRPr="00464E33">
              <w:t>66788</w:t>
            </w:r>
          </w:p>
        </w:tc>
        <w:tc>
          <w:tcPr>
            <w:tcW w:w="1102" w:type="pct"/>
            <w:tcBorders>
              <w:top w:val="single" w:sz="4" w:space="0" w:color="auto"/>
              <w:bottom w:val="single" w:sz="4" w:space="0" w:color="auto"/>
            </w:tcBorders>
            <w:noWrap/>
            <w:vAlign w:val="center"/>
          </w:tcPr>
          <w:p w14:paraId="25339A54" w14:textId="7ED6BB9E" w:rsidR="00A11E50" w:rsidRPr="000F1DA7" w:rsidRDefault="00A11E50" w:rsidP="00A11E50">
            <w:pPr>
              <w:pStyle w:val="TableText"/>
            </w:pPr>
            <w:r w:rsidRPr="00464E33">
              <w:t>Agro-Essence Paraquat+Diquat 250 Herbicide</w:t>
            </w:r>
          </w:p>
        </w:tc>
        <w:tc>
          <w:tcPr>
            <w:tcW w:w="1178" w:type="pct"/>
            <w:tcBorders>
              <w:top w:val="single" w:sz="4" w:space="0" w:color="auto"/>
              <w:bottom w:val="single" w:sz="4" w:space="0" w:color="auto"/>
            </w:tcBorders>
            <w:noWrap/>
            <w:vAlign w:val="center"/>
          </w:tcPr>
          <w:p w14:paraId="47B453E5" w14:textId="3DDA92B9" w:rsidR="00A11E50" w:rsidRPr="000F1DA7" w:rsidRDefault="00D7704B" w:rsidP="00A11E50">
            <w:pPr>
              <w:pStyle w:val="TableText"/>
            </w:pPr>
            <w:r>
              <w:t>Theyes Management Pty Ltd</w:t>
            </w:r>
          </w:p>
        </w:tc>
        <w:tc>
          <w:tcPr>
            <w:tcW w:w="1459" w:type="pct"/>
            <w:tcBorders>
              <w:top w:val="single" w:sz="4" w:space="0" w:color="auto"/>
              <w:bottom w:val="single" w:sz="4" w:space="0" w:color="auto"/>
            </w:tcBorders>
          </w:tcPr>
          <w:p w14:paraId="6C0347B0" w14:textId="6DD36CB3"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4E2206D" w14:textId="77777777" w:rsidR="00A11E50" w:rsidRDefault="00A11E50" w:rsidP="00A11E50">
            <w:pPr>
              <w:pStyle w:val="TableText"/>
            </w:pPr>
            <w:r w:rsidRPr="00B349FB">
              <w:t>2</w:t>
            </w:r>
          </w:p>
        </w:tc>
      </w:tr>
      <w:tr w:rsidR="00A11E50" w14:paraId="7890699A" w14:textId="77777777" w:rsidTr="00EE2957">
        <w:trPr>
          <w:trHeight w:val="510"/>
        </w:trPr>
        <w:tc>
          <w:tcPr>
            <w:tcW w:w="661" w:type="pct"/>
            <w:tcBorders>
              <w:top w:val="single" w:sz="4" w:space="0" w:color="auto"/>
              <w:bottom w:val="single" w:sz="4" w:space="0" w:color="auto"/>
            </w:tcBorders>
            <w:noWrap/>
            <w:vAlign w:val="center"/>
          </w:tcPr>
          <w:p w14:paraId="3FC8D9C6" w14:textId="4FCDE0D0" w:rsidR="00A11E50" w:rsidRPr="000F1DA7" w:rsidRDefault="00A11E50" w:rsidP="00A11E50">
            <w:pPr>
              <w:pStyle w:val="TableText"/>
            </w:pPr>
            <w:r w:rsidRPr="00464E33">
              <w:t>67399</w:t>
            </w:r>
          </w:p>
        </w:tc>
        <w:tc>
          <w:tcPr>
            <w:tcW w:w="1102" w:type="pct"/>
            <w:tcBorders>
              <w:top w:val="single" w:sz="4" w:space="0" w:color="auto"/>
              <w:bottom w:val="single" w:sz="4" w:space="0" w:color="auto"/>
            </w:tcBorders>
            <w:noWrap/>
            <w:vAlign w:val="center"/>
          </w:tcPr>
          <w:p w14:paraId="17576650" w14:textId="46F67773" w:rsidR="00A11E50" w:rsidRPr="000F1DA7" w:rsidRDefault="00FE40D5" w:rsidP="00A11E50">
            <w:pPr>
              <w:pStyle w:val="TableText"/>
            </w:pPr>
            <w:r w:rsidRPr="00FE40D5">
              <w:t>Quantum Spray n Sow Herbicide</w:t>
            </w:r>
          </w:p>
        </w:tc>
        <w:tc>
          <w:tcPr>
            <w:tcW w:w="1178" w:type="pct"/>
            <w:tcBorders>
              <w:top w:val="single" w:sz="4" w:space="0" w:color="auto"/>
              <w:bottom w:val="single" w:sz="4" w:space="0" w:color="auto"/>
            </w:tcBorders>
            <w:noWrap/>
            <w:vAlign w:val="center"/>
          </w:tcPr>
          <w:p w14:paraId="0EFCCC54" w14:textId="282B9035" w:rsidR="00A11E50" w:rsidRPr="000F1DA7" w:rsidRDefault="00FE40D5" w:rsidP="00A11E50">
            <w:pPr>
              <w:pStyle w:val="TableText"/>
            </w:pPr>
            <w:r w:rsidRPr="00FE40D5">
              <w:t>Q</w:t>
            </w:r>
            <w:r w:rsidR="00D7704B">
              <w:t xml:space="preserve">uantum Agrosciences Holdings Pty Ltd </w:t>
            </w:r>
          </w:p>
        </w:tc>
        <w:tc>
          <w:tcPr>
            <w:tcW w:w="1459" w:type="pct"/>
            <w:tcBorders>
              <w:top w:val="single" w:sz="4" w:space="0" w:color="auto"/>
              <w:bottom w:val="single" w:sz="4" w:space="0" w:color="auto"/>
            </w:tcBorders>
          </w:tcPr>
          <w:p w14:paraId="13376E03" w14:textId="45B5521D"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084251B" w14:textId="77777777" w:rsidR="00A11E50" w:rsidRDefault="00A11E50" w:rsidP="00A11E50">
            <w:pPr>
              <w:pStyle w:val="TableText"/>
            </w:pPr>
            <w:r w:rsidRPr="00B349FB">
              <w:t>2</w:t>
            </w:r>
          </w:p>
        </w:tc>
      </w:tr>
      <w:tr w:rsidR="00A11E50" w14:paraId="0B3FF0B0" w14:textId="77777777" w:rsidTr="00EE2957">
        <w:trPr>
          <w:trHeight w:val="510"/>
        </w:trPr>
        <w:tc>
          <w:tcPr>
            <w:tcW w:w="661" w:type="pct"/>
            <w:tcBorders>
              <w:top w:val="single" w:sz="4" w:space="0" w:color="auto"/>
              <w:bottom w:val="single" w:sz="4" w:space="0" w:color="auto"/>
            </w:tcBorders>
            <w:noWrap/>
            <w:vAlign w:val="center"/>
          </w:tcPr>
          <w:p w14:paraId="57302F42" w14:textId="7C0C8DFE" w:rsidR="00A11E50" w:rsidRPr="000F1DA7" w:rsidRDefault="00A11E50" w:rsidP="00A11E50">
            <w:pPr>
              <w:pStyle w:val="TableText"/>
            </w:pPr>
            <w:r w:rsidRPr="00464E33">
              <w:t>67627</w:t>
            </w:r>
          </w:p>
        </w:tc>
        <w:tc>
          <w:tcPr>
            <w:tcW w:w="1102" w:type="pct"/>
            <w:tcBorders>
              <w:top w:val="single" w:sz="4" w:space="0" w:color="auto"/>
              <w:bottom w:val="single" w:sz="4" w:space="0" w:color="auto"/>
            </w:tcBorders>
            <w:noWrap/>
            <w:vAlign w:val="center"/>
          </w:tcPr>
          <w:p w14:paraId="6E91C99F" w14:textId="6EE2B4EC" w:rsidR="00A11E50" w:rsidRPr="000F1DA7" w:rsidRDefault="00A11E50" w:rsidP="00A11E50">
            <w:pPr>
              <w:pStyle w:val="TableText"/>
            </w:pPr>
            <w:r w:rsidRPr="00464E33">
              <w:t>Apparent Weedy Seedy 250 Herbicide</w:t>
            </w:r>
          </w:p>
        </w:tc>
        <w:tc>
          <w:tcPr>
            <w:tcW w:w="1178" w:type="pct"/>
            <w:tcBorders>
              <w:top w:val="single" w:sz="4" w:space="0" w:color="auto"/>
              <w:bottom w:val="single" w:sz="4" w:space="0" w:color="auto"/>
            </w:tcBorders>
            <w:noWrap/>
            <w:vAlign w:val="center"/>
          </w:tcPr>
          <w:p w14:paraId="69F0C003" w14:textId="63AD8EEE" w:rsidR="00A11E50" w:rsidRPr="000F1DA7" w:rsidRDefault="00A11E50" w:rsidP="00A11E50">
            <w:pPr>
              <w:pStyle w:val="TableText"/>
            </w:pPr>
            <w:r w:rsidRPr="00464E33">
              <w:t>Titan Ag Pty Ltd</w:t>
            </w:r>
          </w:p>
        </w:tc>
        <w:tc>
          <w:tcPr>
            <w:tcW w:w="1459" w:type="pct"/>
            <w:tcBorders>
              <w:top w:val="single" w:sz="4" w:space="0" w:color="auto"/>
              <w:bottom w:val="single" w:sz="4" w:space="0" w:color="auto"/>
            </w:tcBorders>
          </w:tcPr>
          <w:p w14:paraId="5403189E" w14:textId="41D6814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5D443F6" w14:textId="77777777" w:rsidR="00A11E50" w:rsidRDefault="00A11E50" w:rsidP="00A11E50">
            <w:pPr>
              <w:pStyle w:val="TableText"/>
            </w:pPr>
            <w:r w:rsidRPr="00B349FB">
              <w:t>2</w:t>
            </w:r>
          </w:p>
        </w:tc>
      </w:tr>
      <w:tr w:rsidR="00A11E50" w14:paraId="0038BE92" w14:textId="77777777" w:rsidTr="00EE2957">
        <w:trPr>
          <w:trHeight w:val="510"/>
        </w:trPr>
        <w:tc>
          <w:tcPr>
            <w:tcW w:w="661" w:type="pct"/>
            <w:tcBorders>
              <w:top w:val="single" w:sz="4" w:space="0" w:color="auto"/>
              <w:bottom w:val="single" w:sz="4" w:space="0" w:color="auto"/>
            </w:tcBorders>
            <w:noWrap/>
            <w:vAlign w:val="center"/>
          </w:tcPr>
          <w:p w14:paraId="2F014BE2" w14:textId="0ACEBB15" w:rsidR="00A11E50" w:rsidRPr="000F1DA7" w:rsidRDefault="00A11E50" w:rsidP="00A11E50">
            <w:pPr>
              <w:pStyle w:val="TableText"/>
            </w:pPr>
            <w:r w:rsidRPr="00464E33">
              <w:t>67707</w:t>
            </w:r>
          </w:p>
        </w:tc>
        <w:tc>
          <w:tcPr>
            <w:tcW w:w="1102" w:type="pct"/>
            <w:tcBorders>
              <w:top w:val="single" w:sz="4" w:space="0" w:color="auto"/>
              <w:bottom w:val="single" w:sz="4" w:space="0" w:color="auto"/>
            </w:tcBorders>
            <w:noWrap/>
            <w:vAlign w:val="center"/>
          </w:tcPr>
          <w:p w14:paraId="5FC8DC90" w14:textId="6B546662" w:rsidR="00A11E50" w:rsidRPr="000F1DA7" w:rsidRDefault="00A11E50" w:rsidP="00A11E50">
            <w:pPr>
              <w:pStyle w:val="TableText"/>
            </w:pPr>
            <w:r w:rsidRPr="00464E33">
              <w:t>Smart Combination 250 Herbicide</w:t>
            </w:r>
          </w:p>
        </w:tc>
        <w:tc>
          <w:tcPr>
            <w:tcW w:w="1178" w:type="pct"/>
            <w:tcBorders>
              <w:top w:val="single" w:sz="4" w:space="0" w:color="auto"/>
              <w:bottom w:val="single" w:sz="4" w:space="0" w:color="auto"/>
            </w:tcBorders>
            <w:noWrap/>
            <w:vAlign w:val="center"/>
          </w:tcPr>
          <w:p w14:paraId="37C27ABF" w14:textId="3D480ADC" w:rsidR="00A11E50" w:rsidRPr="000F1DA7" w:rsidRDefault="00A11E50" w:rsidP="00A11E50">
            <w:pPr>
              <w:pStyle w:val="TableText"/>
            </w:pPr>
            <w:r w:rsidRPr="00464E33">
              <w:t>Crop Smart Pty Ltd</w:t>
            </w:r>
          </w:p>
        </w:tc>
        <w:tc>
          <w:tcPr>
            <w:tcW w:w="1459" w:type="pct"/>
            <w:tcBorders>
              <w:top w:val="single" w:sz="4" w:space="0" w:color="auto"/>
              <w:bottom w:val="single" w:sz="4" w:space="0" w:color="auto"/>
            </w:tcBorders>
          </w:tcPr>
          <w:p w14:paraId="3AEBC395" w14:textId="2C98E62D"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1BB0EF0" w14:textId="77777777" w:rsidR="00A11E50" w:rsidRDefault="00A11E50" w:rsidP="00A11E50">
            <w:pPr>
              <w:pStyle w:val="TableText"/>
            </w:pPr>
            <w:r w:rsidRPr="00B349FB">
              <w:t>2</w:t>
            </w:r>
          </w:p>
        </w:tc>
      </w:tr>
      <w:tr w:rsidR="00A11E50" w14:paraId="7686D6FC" w14:textId="77777777" w:rsidTr="00EE2957">
        <w:trPr>
          <w:trHeight w:val="510"/>
        </w:trPr>
        <w:tc>
          <w:tcPr>
            <w:tcW w:w="661" w:type="pct"/>
            <w:tcBorders>
              <w:top w:val="single" w:sz="4" w:space="0" w:color="auto"/>
              <w:bottom w:val="single" w:sz="4" w:space="0" w:color="auto"/>
            </w:tcBorders>
            <w:noWrap/>
            <w:vAlign w:val="center"/>
          </w:tcPr>
          <w:p w14:paraId="1BF38F0E" w14:textId="08B30971" w:rsidR="00A11E50" w:rsidRPr="000F1DA7" w:rsidRDefault="00A11E50" w:rsidP="00A11E50">
            <w:pPr>
              <w:pStyle w:val="TableText"/>
            </w:pPr>
            <w:r w:rsidRPr="00464E33">
              <w:t>67891</w:t>
            </w:r>
          </w:p>
        </w:tc>
        <w:tc>
          <w:tcPr>
            <w:tcW w:w="1102" w:type="pct"/>
            <w:tcBorders>
              <w:top w:val="single" w:sz="4" w:space="0" w:color="auto"/>
              <w:bottom w:val="single" w:sz="4" w:space="0" w:color="auto"/>
            </w:tcBorders>
            <w:noWrap/>
            <w:vAlign w:val="center"/>
          </w:tcPr>
          <w:p w14:paraId="69C3D668" w14:textId="135BE0E6" w:rsidR="00A11E50" w:rsidRPr="000F1DA7" w:rsidRDefault="00A11E50" w:rsidP="00A11E50">
            <w:pPr>
              <w:pStyle w:val="TableText"/>
            </w:pPr>
            <w:r w:rsidRPr="00464E33">
              <w:t>Spalding Exocet 250 Herbicide</w:t>
            </w:r>
          </w:p>
        </w:tc>
        <w:tc>
          <w:tcPr>
            <w:tcW w:w="1178" w:type="pct"/>
            <w:tcBorders>
              <w:top w:val="single" w:sz="4" w:space="0" w:color="auto"/>
              <w:bottom w:val="single" w:sz="4" w:space="0" w:color="auto"/>
            </w:tcBorders>
            <w:noWrap/>
            <w:vAlign w:val="center"/>
          </w:tcPr>
          <w:p w14:paraId="19054AEC" w14:textId="269EFAD8" w:rsidR="00A11E50" w:rsidRPr="000F1DA7" w:rsidRDefault="00A11E50" w:rsidP="00A11E50">
            <w:pPr>
              <w:pStyle w:val="TableText"/>
            </w:pPr>
            <w:r w:rsidRPr="00464E33">
              <w:t>DGL Environmental Pty Ltd</w:t>
            </w:r>
          </w:p>
        </w:tc>
        <w:tc>
          <w:tcPr>
            <w:tcW w:w="1459" w:type="pct"/>
            <w:tcBorders>
              <w:top w:val="single" w:sz="4" w:space="0" w:color="auto"/>
              <w:bottom w:val="single" w:sz="4" w:space="0" w:color="auto"/>
            </w:tcBorders>
          </w:tcPr>
          <w:p w14:paraId="7B17EBDD" w14:textId="58CAFA8D"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FC07CF6" w14:textId="77777777" w:rsidR="00A11E50" w:rsidRDefault="00A11E50" w:rsidP="00A11E50">
            <w:pPr>
              <w:pStyle w:val="TableText"/>
            </w:pPr>
            <w:r w:rsidRPr="00B349FB">
              <w:t>2</w:t>
            </w:r>
          </w:p>
        </w:tc>
      </w:tr>
      <w:tr w:rsidR="00A11E50" w14:paraId="5EC7FFEF" w14:textId="77777777" w:rsidTr="00EE2957">
        <w:trPr>
          <w:trHeight w:val="510"/>
        </w:trPr>
        <w:tc>
          <w:tcPr>
            <w:tcW w:w="661" w:type="pct"/>
            <w:tcBorders>
              <w:top w:val="single" w:sz="4" w:space="0" w:color="auto"/>
              <w:bottom w:val="single" w:sz="4" w:space="0" w:color="auto"/>
            </w:tcBorders>
            <w:noWrap/>
            <w:vAlign w:val="center"/>
          </w:tcPr>
          <w:p w14:paraId="2DF277C9" w14:textId="6357E2A0" w:rsidR="00A11E50" w:rsidRPr="000F1DA7" w:rsidRDefault="00A11E50" w:rsidP="00A11E50">
            <w:pPr>
              <w:pStyle w:val="TableText"/>
            </w:pPr>
            <w:r w:rsidRPr="00464E33">
              <w:t>68075</w:t>
            </w:r>
          </w:p>
        </w:tc>
        <w:tc>
          <w:tcPr>
            <w:tcW w:w="1102" w:type="pct"/>
            <w:tcBorders>
              <w:top w:val="single" w:sz="4" w:space="0" w:color="auto"/>
              <w:bottom w:val="single" w:sz="4" w:space="0" w:color="auto"/>
            </w:tcBorders>
            <w:noWrap/>
            <w:vAlign w:val="center"/>
          </w:tcPr>
          <w:p w14:paraId="49EA25C6" w14:textId="72DDDEF0" w:rsidR="00A11E50" w:rsidRPr="000F1DA7" w:rsidRDefault="00A11E50" w:rsidP="00A11E50">
            <w:pPr>
              <w:pStyle w:val="TableText"/>
            </w:pPr>
            <w:r w:rsidRPr="00464E33">
              <w:t>Ezycrop Paraquat-Diquat 250 Herbicide</w:t>
            </w:r>
          </w:p>
        </w:tc>
        <w:tc>
          <w:tcPr>
            <w:tcW w:w="1178" w:type="pct"/>
            <w:tcBorders>
              <w:top w:val="single" w:sz="4" w:space="0" w:color="auto"/>
              <w:bottom w:val="single" w:sz="4" w:space="0" w:color="auto"/>
            </w:tcBorders>
            <w:noWrap/>
            <w:vAlign w:val="center"/>
          </w:tcPr>
          <w:p w14:paraId="36B7E8E8" w14:textId="5D27D3D7" w:rsidR="00A11E50" w:rsidRPr="000F1DA7" w:rsidRDefault="00A11E50" w:rsidP="00A11E50">
            <w:pPr>
              <w:pStyle w:val="TableText"/>
            </w:pPr>
            <w:r w:rsidRPr="00464E33">
              <w:t>Ezycrop Pty Ltd</w:t>
            </w:r>
          </w:p>
        </w:tc>
        <w:tc>
          <w:tcPr>
            <w:tcW w:w="1459" w:type="pct"/>
            <w:tcBorders>
              <w:top w:val="single" w:sz="4" w:space="0" w:color="auto"/>
              <w:bottom w:val="single" w:sz="4" w:space="0" w:color="auto"/>
            </w:tcBorders>
          </w:tcPr>
          <w:p w14:paraId="486EED2A" w14:textId="189FA73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28D38C6" w14:textId="77777777" w:rsidR="00A11E50" w:rsidRDefault="00A11E50" w:rsidP="00A11E50">
            <w:pPr>
              <w:pStyle w:val="TableText"/>
            </w:pPr>
            <w:r w:rsidRPr="00B349FB">
              <w:t>2</w:t>
            </w:r>
          </w:p>
        </w:tc>
      </w:tr>
      <w:tr w:rsidR="00A11E50" w14:paraId="41D706EB" w14:textId="77777777" w:rsidTr="00EE2957">
        <w:trPr>
          <w:trHeight w:val="510"/>
        </w:trPr>
        <w:tc>
          <w:tcPr>
            <w:tcW w:w="661" w:type="pct"/>
            <w:tcBorders>
              <w:top w:val="single" w:sz="4" w:space="0" w:color="auto"/>
              <w:bottom w:val="single" w:sz="4" w:space="0" w:color="auto"/>
            </w:tcBorders>
            <w:noWrap/>
            <w:vAlign w:val="center"/>
          </w:tcPr>
          <w:p w14:paraId="39B26544" w14:textId="22CE9157" w:rsidR="00A11E50" w:rsidRPr="000F1DA7" w:rsidRDefault="00A11E50" w:rsidP="00A11E50">
            <w:pPr>
              <w:pStyle w:val="TableText"/>
            </w:pPr>
            <w:r w:rsidRPr="00464E33">
              <w:t>68202</w:t>
            </w:r>
          </w:p>
        </w:tc>
        <w:tc>
          <w:tcPr>
            <w:tcW w:w="1102" w:type="pct"/>
            <w:tcBorders>
              <w:top w:val="single" w:sz="4" w:space="0" w:color="auto"/>
              <w:bottom w:val="single" w:sz="4" w:space="0" w:color="auto"/>
            </w:tcBorders>
            <w:noWrap/>
            <w:vAlign w:val="center"/>
          </w:tcPr>
          <w:p w14:paraId="0BE3BBB2" w14:textId="4A4CD272" w:rsidR="00A11E50" w:rsidRPr="000F1DA7" w:rsidRDefault="00A11E50" w:rsidP="00A11E50">
            <w:pPr>
              <w:pStyle w:val="TableText"/>
            </w:pPr>
            <w:r w:rsidRPr="00464E33">
              <w:t>Novaguard Paraquat-Diquat 250 Herbicide</w:t>
            </w:r>
          </w:p>
        </w:tc>
        <w:tc>
          <w:tcPr>
            <w:tcW w:w="1178" w:type="pct"/>
            <w:tcBorders>
              <w:top w:val="single" w:sz="4" w:space="0" w:color="auto"/>
              <w:bottom w:val="single" w:sz="4" w:space="0" w:color="auto"/>
            </w:tcBorders>
            <w:noWrap/>
            <w:vAlign w:val="center"/>
          </w:tcPr>
          <w:p w14:paraId="3AA454E9" w14:textId="237D50C2" w:rsidR="00A11E50" w:rsidRPr="000F1DA7" w:rsidRDefault="00A11E50" w:rsidP="00A11E50">
            <w:pPr>
              <w:pStyle w:val="TableText"/>
            </w:pPr>
            <w:r w:rsidRPr="00464E33">
              <w:t>Novaguard Pty Ltd</w:t>
            </w:r>
          </w:p>
        </w:tc>
        <w:tc>
          <w:tcPr>
            <w:tcW w:w="1459" w:type="pct"/>
            <w:tcBorders>
              <w:top w:val="single" w:sz="4" w:space="0" w:color="auto"/>
              <w:bottom w:val="single" w:sz="4" w:space="0" w:color="auto"/>
            </w:tcBorders>
          </w:tcPr>
          <w:p w14:paraId="4D5A3FCB" w14:textId="499DC48B"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A4E1DB9" w14:textId="77777777" w:rsidR="00A11E50" w:rsidRDefault="00A11E50" w:rsidP="00A11E50">
            <w:pPr>
              <w:pStyle w:val="TableText"/>
            </w:pPr>
            <w:r w:rsidRPr="00B349FB">
              <w:t>2</w:t>
            </w:r>
          </w:p>
        </w:tc>
      </w:tr>
      <w:tr w:rsidR="00A11E50" w14:paraId="714B2A10" w14:textId="77777777" w:rsidTr="00EE2957">
        <w:trPr>
          <w:trHeight w:val="510"/>
        </w:trPr>
        <w:tc>
          <w:tcPr>
            <w:tcW w:w="661" w:type="pct"/>
            <w:tcBorders>
              <w:top w:val="single" w:sz="4" w:space="0" w:color="auto"/>
              <w:bottom w:val="single" w:sz="4" w:space="0" w:color="auto"/>
            </w:tcBorders>
            <w:noWrap/>
            <w:vAlign w:val="center"/>
          </w:tcPr>
          <w:p w14:paraId="71312E80" w14:textId="42797EE0" w:rsidR="00A11E50" w:rsidRPr="000F1DA7" w:rsidRDefault="00A11E50" w:rsidP="00A11E50">
            <w:pPr>
              <w:pStyle w:val="TableText"/>
            </w:pPr>
            <w:r w:rsidRPr="00464E33">
              <w:t>68280</w:t>
            </w:r>
          </w:p>
        </w:tc>
        <w:tc>
          <w:tcPr>
            <w:tcW w:w="1102" w:type="pct"/>
            <w:tcBorders>
              <w:top w:val="single" w:sz="4" w:space="0" w:color="auto"/>
              <w:bottom w:val="single" w:sz="4" w:space="0" w:color="auto"/>
            </w:tcBorders>
            <w:noWrap/>
            <w:vAlign w:val="center"/>
          </w:tcPr>
          <w:p w14:paraId="06D1C922" w14:textId="4235940F" w:rsidR="00A11E50" w:rsidRPr="000F1DA7" w:rsidRDefault="00A11E50" w:rsidP="00A11E50">
            <w:pPr>
              <w:pStyle w:val="TableText"/>
            </w:pPr>
            <w:r w:rsidRPr="00464E33">
              <w:t>Agro Burner 250 Herbicide</w:t>
            </w:r>
          </w:p>
        </w:tc>
        <w:tc>
          <w:tcPr>
            <w:tcW w:w="1178" w:type="pct"/>
            <w:tcBorders>
              <w:top w:val="single" w:sz="4" w:space="0" w:color="auto"/>
              <w:bottom w:val="single" w:sz="4" w:space="0" w:color="auto"/>
            </w:tcBorders>
            <w:noWrap/>
            <w:vAlign w:val="center"/>
          </w:tcPr>
          <w:p w14:paraId="391DCEBB" w14:textId="261A74FA" w:rsidR="00A11E50" w:rsidRPr="000F1DA7" w:rsidRDefault="00A11E50" w:rsidP="00A11E50">
            <w:pPr>
              <w:pStyle w:val="TableText"/>
            </w:pPr>
            <w:r w:rsidRPr="00464E33">
              <w:t>Agrogill Chemicals Pty Ltd</w:t>
            </w:r>
          </w:p>
        </w:tc>
        <w:tc>
          <w:tcPr>
            <w:tcW w:w="1459" w:type="pct"/>
            <w:tcBorders>
              <w:top w:val="single" w:sz="4" w:space="0" w:color="auto"/>
              <w:bottom w:val="single" w:sz="4" w:space="0" w:color="auto"/>
            </w:tcBorders>
          </w:tcPr>
          <w:p w14:paraId="4790AA4F" w14:textId="79638769"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3E27264" w14:textId="77777777" w:rsidR="00A11E50" w:rsidRDefault="00A11E50" w:rsidP="00A11E50">
            <w:pPr>
              <w:pStyle w:val="TableText"/>
            </w:pPr>
            <w:r w:rsidRPr="00B349FB">
              <w:t>2</w:t>
            </w:r>
          </w:p>
        </w:tc>
      </w:tr>
      <w:tr w:rsidR="00A11E50" w14:paraId="1DF34037" w14:textId="77777777" w:rsidTr="00EE2957">
        <w:trPr>
          <w:trHeight w:val="510"/>
        </w:trPr>
        <w:tc>
          <w:tcPr>
            <w:tcW w:w="661" w:type="pct"/>
            <w:tcBorders>
              <w:top w:val="single" w:sz="4" w:space="0" w:color="auto"/>
              <w:bottom w:val="single" w:sz="4" w:space="0" w:color="auto"/>
            </w:tcBorders>
            <w:noWrap/>
            <w:vAlign w:val="center"/>
          </w:tcPr>
          <w:p w14:paraId="6B998971" w14:textId="6E639ADB" w:rsidR="00A11E50" w:rsidRPr="000F1DA7" w:rsidRDefault="00A11E50" w:rsidP="00A11E50">
            <w:pPr>
              <w:pStyle w:val="TableText"/>
            </w:pPr>
            <w:r w:rsidRPr="00464E33">
              <w:t>68479</w:t>
            </w:r>
          </w:p>
        </w:tc>
        <w:tc>
          <w:tcPr>
            <w:tcW w:w="1102" w:type="pct"/>
            <w:tcBorders>
              <w:top w:val="single" w:sz="4" w:space="0" w:color="auto"/>
              <w:bottom w:val="single" w:sz="4" w:space="0" w:color="auto"/>
            </w:tcBorders>
            <w:noWrap/>
            <w:vAlign w:val="center"/>
          </w:tcPr>
          <w:p w14:paraId="7C3AA7F6" w14:textId="5EF7ECD6" w:rsidR="00A11E50" w:rsidRPr="000F1DA7" w:rsidRDefault="00A11E50" w:rsidP="00A11E50">
            <w:pPr>
              <w:pStyle w:val="TableText"/>
            </w:pPr>
            <w:r w:rsidRPr="00464E33">
              <w:t>Agmate Paraquat &amp; Diquat 250 SL Herbicide</w:t>
            </w:r>
          </w:p>
        </w:tc>
        <w:tc>
          <w:tcPr>
            <w:tcW w:w="1178" w:type="pct"/>
            <w:tcBorders>
              <w:top w:val="single" w:sz="4" w:space="0" w:color="auto"/>
              <w:bottom w:val="single" w:sz="4" w:space="0" w:color="auto"/>
            </w:tcBorders>
            <w:noWrap/>
            <w:vAlign w:val="center"/>
          </w:tcPr>
          <w:p w14:paraId="714A8891" w14:textId="5318525A" w:rsidR="00A11E50" w:rsidRPr="000F1DA7" w:rsidRDefault="00A11E50" w:rsidP="00A11E50">
            <w:pPr>
              <w:pStyle w:val="TableText"/>
            </w:pPr>
            <w:r w:rsidRPr="00464E33">
              <w:t>Agcare Pty Ltd</w:t>
            </w:r>
          </w:p>
        </w:tc>
        <w:tc>
          <w:tcPr>
            <w:tcW w:w="1459" w:type="pct"/>
            <w:tcBorders>
              <w:top w:val="single" w:sz="4" w:space="0" w:color="auto"/>
              <w:bottom w:val="single" w:sz="4" w:space="0" w:color="auto"/>
            </w:tcBorders>
          </w:tcPr>
          <w:p w14:paraId="53661AC9" w14:textId="39DE031E"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F1E7175" w14:textId="77777777" w:rsidR="00A11E50" w:rsidRDefault="00A11E50" w:rsidP="00A11E50">
            <w:pPr>
              <w:pStyle w:val="TableText"/>
            </w:pPr>
            <w:r w:rsidRPr="00B349FB">
              <w:t>2</w:t>
            </w:r>
          </w:p>
        </w:tc>
      </w:tr>
      <w:tr w:rsidR="00A11E50" w14:paraId="6012B093" w14:textId="77777777" w:rsidTr="00EE2957">
        <w:trPr>
          <w:trHeight w:val="510"/>
        </w:trPr>
        <w:tc>
          <w:tcPr>
            <w:tcW w:w="661" w:type="pct"/>
            <w:tcBorders>
              <w:top w:val="single" w:sz="4" w:space="0" w:color="auto"/>
              <w:bottom w:val="single" w:sz="4" w:space="0" w:color="auto"/>
            </w:tcBorders>
            <w:noWrap/>
            <w:vAlign w:val="center"/>
          </w:tcPr>
          <w:p w14:paraId="17F345FD" w14:textId="3EB12714" w:rsidR="00A11E50" w:rsidRPr="000F1DA7" w:rsidRDefault="00A11E50" w:rsidP="00A11E50">
            <w:pPr>
              <w:pStyle w:val="TableText"/>
            </w:pPr>
            <w:r w:rsidRPr="00464E33">
              <w:t>81790</w:t>
            </w:r>
          </w:p>
        </w:tc>
        <w:tc>
          <w:tcPr>
            <w:tcW w:w="1102" w:type="pct"/>
            <w:tcBorders>
              <w:top w:val="single" w:sz="4" w:space="0" w:color="auto"/>
              <w:bottom w:val="single" w:sz="4" w:space="0" w:color="auto"/>
            </w:tcBorders>
            <w:noWrap/>
            <w:vAlign w:val="center"/>
          </w:tcPr>
          <w:p w14:paraId="6AD0C3BD" w14:textId="64646311" w:rsidR="00A11E50" w:rsidRPr="000F1DA7" w:rsidRDefault="00A11E50" w:rsidP="00A11E50">
            <w:pPr>
              <w:pStyle w:val="TableText"/>
            </w:pPr>
            <w:r w:rsidRPr="00464E33">
              <w:t>Relyon Di-Par 250 SC Herbicide</w:t>
            </w:r>
          </w:p>
        </w:tc>
        <w:tc>
          <w:tcPr>
            <w:tcW w:w="1178" w:type="pct"/>
            <w:tcBorders>
              <w:top w:val="single" w:sz="4" w:space="0" w:color="auto"/>
              <w:bottom w:val="single" w:sz="4" w:space="0" w:color="auto"/>
            </w:tcBorders>
            <w:noWrap/>
            <w:vAlign w:val="center"/>
          </w:tcPr>
          <w:p w14:paraId="65F218C7" w14:textId="0921CC8E"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13AD7285" w14:textId="152218F6"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00F2532" w14:textId="77777777" w:rsidR="00A11E50" w:rsidRDefault="00A11E50" w:rsidP="00A11E50">
            <w:pPr>
              <w:pStyle w:val="TableText"/>
            </w:pPr>
            <w:r w:rsidRPr="00B349FB">
              <w:t>2</w:t>
            </w:r>
          </w:p>
        </w:tc>
      </w:tr>
      <w:tr w:rsidR="00A11E50" w14:paraId="68FD6463" w14:textId="77777777" w:rsidTr="00EE2957">
        <w:trPr>
          <w:trHeight w:val="510"/>
        </w:trPr>
        <w:tc>
          <w:tcPr>
            <w:tcW w:w="661" w:type="pct"/>
            <w:tcBorders>
              <w:top w:val="single" w:sz="4" w:space="0" w:color="auto"/>
              <w:bottom w:val="single" w:sz="4" w:space="0" w:color="auto"/>
            </w:tcBorders>
            <w:noWrap/>
            <w:vAlign w:val="center"/>
          </w:tcPr>
          <w:p w14:paraId="13BF5588" w14:textId="73ED195C" w:rsidR="00A11E50" w:rsidRPr="000F1DA7" w:rsidRDefault="00A11E50" w:rsidP="00A11E50">
            <w:pPr>
              <w:pStyle w:val="TableText"/>
            </w:pPr>
            <w:r w:rsidRPr="00464E33">
              <w:lastRenderedPageBreak/>
              <w:t>83923</w:t>
            </w:r>
          </w:p>
        </w:tc>
        <w:tc>
          <w:tcPr>
            <w:tcW w:w="1102" w:type="pct"/>
            <w:tcBorders>
              <w:top w:val="single" w:sz="4" w:space="0" w:color="auto"/>
              <w:bottom w:val="single" w:sz="4" w:space="0" w:color="auto"/>
            </w:tcBorders>
            <w:noWrap/>
            <w:vAlign w:val="center"/>
          </w:tcPr>
          <w:p w14:paraId="2E410013" w14:textId="25958EF9" w:rsidR="00A11E50" w:rsidRPr="000F1DA7" w:rsidRDefault="00A11E50" w:rsidP="00A11E50">
            <w:pPr>
              <w:pStyle w:val="TableText"/>
            </w:pPr>
            <w:r w:rsidRPr="00464E33">
              <w:t>Accensi Paraquat / Diquat Prime 250 Herbicide</w:t>
            </w:r>
          </w:p>
        </w:tc>
        <w:tc>
          <w:tcPr>
            <w:tcW w:w="1178" w:type="pct"/>
            <w:tcBorders>
              <w:top w:val="single" w:sz="4" w:space="0" w:color="auto"/>
              <w:bottom w:val="single" w:sz="4" w:space="0" w:color="auto"/>
            </w:tcBorders>
            <w:noWrap/>
            <w:vAlign w:val="center"/>
          </w:tcPr>
          <w:p w14:paraId="0EAC9F30" w14:textId="341F855B" w:rsidR="00A11E50" w:rsidRPr="000F1DA7" w:rsidRDefault="00D7704B" w:rsidP="00A11E50">
            <w:pPr>
              <w:pStyle w:val="TableText"/>
            </w:pPr>
            <w:r w:rsidRPr="00D7704B">
              <w:t>Australian Agribusiness (Holdings) Pty Ltd</w:t>
            </w:r>
          </w:p>
        </w:tc>
        <w:tc>
          <w:tcPr>
            <w:tcW w:w="1459" w:type="pct"/>
            <w:tcBorders>
              <w:top w:val="single" w:sz="4" w:space="0" w:color="auto"/>
              <w:bottom w:val="single" w:sz="4" w:space="0" w:color="auto"/>
            </w:tcBorders>
          </w:tcPr>
          <w:p w14:paraId="0F63B674" w14:textId="074E3F4F"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F5B3496" w14:textId="77777777" w:rsidR="00A11E50" w:rsidRDefault="00A11E50" w:rsidP="00A11E50">
            <w:pPr>
              <w:pStyle w:val="TableText"/>
            </w:pPr>
            <w:r w:rsidRPr="00B349FB">
              <w:t>2</w:t>
            </w:r>
          </w:p>
        </w:tc>
      </w:tr>
      <w:tr w:rsidR="00A11E50" w14:paraId="268B3647" w14:textId="77777777" w:rsidTr="00EE2957">
        <w:trPr>
          <w:trHeight w:val="510"/>
        </w:trPr>
        <w:tc>
          <w:tcPr>
            <w:tcW w:w="661" w:type="pct"/>
            <w:tcBorders>
              <w:top w:val="single" w:sz="4" w:space="0" w:color="auto"/>
              <w:bottom w:val="single" w:sz="4" w:space="0" w:color="auto"/>
            </w:tcBorders>
            <w:noWrap/>
            <w:vAlign w:val="center"/>
          </w:tcPr>
          <w:p w14:paraId="5C011A95" w14:textId="4DE62096" w:rsidR="00A11E50" w:rsidRPr="000F1DA7" w:rsidRDefault="00A11E50" w:rsidP="00A11E50">
            <w:pPr>
              <w:pStyle w:val="TableText"/>
            </w:pPr>
            <w:r w:rsidRPr="00464E33">
              <w:t>85112</w:t>
            </w:r>
          </w:p>
        </w:tc>
        <w:tc>
          <w:tcPr>
            <w:tcW w:w="1102" w:type="pct"/>
            <w:tcBorders>
              <w:top w:val="single" w:sz="4" w:space="0" w:color="auto"/>
              <w:bottom w:val="single" w:sz="4" w:space="0" w:color="auto"/>
            </w:tcBorders>
            <w:noWrap/>
            <w:vAlign w:val="center"/>
          </w:tcPr>
          <w:p w14:paraId="3165A032" w14:textId="256E2A47" w:rsidR="00A11E50" w:rsidRPr="000F1DA7" w:rsidRDefault="00A11E50" w:rsidP="00A11E50">
            <w:pPr>
              <w:pStyle w:val="TableText"/>
            </w:pPr>
            <w:r w:rsidRPr="00464E33">
              <w:t>Raystar Paraquat Diquat SL Herbicide</w:t>
            </w:r>
          </w:p>
        </w:tc>
        <w:tc>
          <w:tcPr>
            <w:tcW w:w="1178" w:type="pct"/>
            <w:tcBorders>
              <w:top w:val="single" w:sz="4" w:space="0" w:color="auto"/>
              <w:bottom w:val="single" w:sz="4" w:space="0" w:color="auto"/>
            </w:tcBorders>
            <w:noWrap/>
            <w:vAlign w:val="center"/>
          </w:tcPr>
          <w:p w14:paraId="22BF5E61" w14:textId="78A3763C" w:rsidR="00A11E50" w:rsidRPr="000F1DA7" w:rsidRDefault="00A11E50" w:rsidP="00A11E50">
            <w:pPr>
              <w:pStyle w:val="TableText"/>
            </w:pPr>
            <w:r w:rsidRPr="00464E33">
              <w:t>Raystar Cropprotection Pty Ltd</w:t>
            </w:r>
          </w:p>
        </w:tc>
        <w:tc>
          <w:tcPr>
            <w:tcW w:w="1459" w:type="pct"/>
            <w:tcBorders>
              <w:top w:val="single" w:sz="4" w:space="0" w:color="auto"/>
              <w:bottom w:val="single" w:sz="4" w:space="0" w:color="auto"/>
            </w:tcBorders>
          </w:tcPr>
          <w:p w14:paraId="22947C44" w14:textId="19ED833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5700C0E" w14:textId="77777777" w:rsidR="00A11E50" w:rsidRDefault="00A11E50" w:rsidP="00A11E50">
            <w:pPr>
              <w:pStyle w:val="TableText"/>
            </w:pPr>
            <w:r w:rsidRPr="00B349FB">
              <w:t>2</w:t>
            </w:r>
          </w:p>
        </w:tc>
      </w:tr>
      <w:tr w:rsidR="00A11E50" w14:paraId="4F045A93" w14:textId="77777777" w:rsidTr="00EE2957">
        <w:trPr>
          <w:trHeight w:val="510"/>
        </w:trPr>
        <w:tc>
          <w:tcPr>
            <w:tcW w:w="661" w:type="pct"/>
            <w:tcBorders>
              <w:top w:val="single" w:sz="4" w:space="0" w:color="auto"/>
              <w:bottom w:val="single" w:sz="4" w:space="0" w:color="auto"/>
            </w:tcBorders>
            <w:noWrap/>
            <w:vAlign w:val="center"/>
          </w:tcPr>
          <w:p w14:paraId="45ADF651" w14:textId="24CF4DC9" w:rsidR="00A11E50" w:rsidRPr="000F1DA7" w:rsidRDefault="00A11E50" w:rsidP="00A11E50">
            <w:pPr>
              <w:pStyle w:val="TableText"/>
            </w:pPr>
            <w:r w:rsidRPr="00464E33">
              <w:t>89832</w:t>
            </w:r>
          </w:p>
        </w:tc>
        <w:tc>
          <w:tcPr>
            <w:tcW w:w="1102" w:type="pct"/>
            <w:tcBorders>
              <w:top w:val="single" w:sz="4" w:space="0" w:color="auto"/>
              <w:bottom w:val="single" w:sz="4" w:space="0" w:color="auto"/>
            </w:tcBorders>
            <w:noWrap/>
            <w:vAlign w:val="center"/>
          </w:tcPr>
          <w:p w14:paraId="3DCF67EE" w14:textId="1F595BA1" w:rsidR="00A11E50" w:rsidRPr="000F1DA7" w:rsidRDefault="00A11E50" w:rsidP="00A11E50">
            <w:pPr>
              <w:pStyle w:val="TableText"/>
            </w:pPr>
            <w:r w:rsidRPr="00464E33">
              <w:t>Genfarm Di-Par 250 SC Herbicide</w:t>
            </w:r>
          </w:p>
        </w:tc>
        <w:tc>
          <w:tcPr>
            <w:tcW w:w="1178" w:type="pct"/>
            <w:tcBorders>
              <w:top w:val="single" w:sz="4" w:space="0" w:color="auto"/>
              <w:bottom w:val="single" w:sz="4" w:space="0" w:color="auto"/>
            </w:tcBorders>
            <w:noWrap/>
            <w:vAlign w:val="center"/>
          </w:tcPr>
          <w:p w14:paraId="58D2DB85" w14:textId="162F0FFA"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2C3C50CA" w14:textId="6F569E9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0F41633" w14:textId="77777777" w:rsidR="00A11E50" w:rsidRDefault="00A11E50" w:rsidP="00A11E50">
            <w:pPr>
              <w:pStyle w:val="TableText"/>
            </w:pPr>
            <w:r w:rsidRPr="00B349FB">
              <w:t>2</w:t>
            </w:r>
          </w:p>
        </w:tc>
      </w:tr>
      <w:tr w:rsidR="00A11E50" w14:paraId="6E212E88" w14:textId="77777777" w:rsidTr="00EE2957">
        <w:trPr>
          <w:trHeight w:val="285"/>
        </w:trPr>
        <w:tc>
          <w:tcPr>
            <w:tcW w:w="661" w:type="pct"/>
            <w:tcBorders>
              <w:top w:val="single" w:sz="4" w:space="0" w:color="auto"/>
              <w:bottom w:val="single" w:sz="4" w:space="0" w:color="auto"/>
            </w:tcBorders>
            <w:noWrap/>
            <w:vAlign w:val="center"/>
          </w:tcPr>
          <w:p w14:paraId="21E04152" w14:textId="18E93458" w:rsidR="00A11E50" w:rsidRPr="000F1DA7" w:rsidRDefault="00A11E50" w:rsidP="00A11E50">
            <w:pPr>
              <w:pStyle w:val="TableText"/>
            </w:pPr>
            <w:r w:rsidRPr="00464E33">
              <w:t>90172</w:t>
            </w:r>
          </w:p>
        </w:tc>
        <w:tc>
          <w:tcPr>
            <w:tcW w:w="1102" w:type="pct"/>
            <w:tcBorders>
              <w:top w:val="single" w:sz="4" w:space="0" w:color="auto"/>
              <w:bottom w:val="single" w:sz="4" w:space="0" w:color="auto"/>
            </w:tcBorders>
            <w:noWrap/>
            <w:vAlign w:val="center"/>
          </w:tcPr>
          <w:p w14:paraId="33369AF1" w14:textId="52AF46D5" w:rsidR="00A11E50" w:rsidRPr="000F1DA7" w:rsidRDefault="00A11E50" w:rsidP="00A11E50">
            <w:pPr>
              <w:pStyle w:val="TableText"/>
            </w:pPr>
            <w:r w:rsidRPr="00464E33">
              <w:t>Cropsure Squadron 250 Herbicide</w:t>
            </w:r>
          </w:p>
        </w:tc>
        <w:tc>
          <w:tcPr>
            <w:tcW w:w="1178" w:type="pct"/>
            <w:tcBorders>
              <w:top w:val="single" w:sz="4" w:space="0" w:color="auto"/>
              <w:bottom w:val="single" w:sz="4" w:space="0" w:color="auto"/>
            </w:tcBorders>
            <w:noWrap/>
            <w:vAlign w:val="center"/>
          </w:tcPr>
          <w:p w14:paraId="50E2D336" w14:textId="2F947278" w:rsidR="00A11E50" w:rsidRPr="000F1DA7" w:rsidRDefault="00A11E50" w:rsidP="00A11E50">
            <w:pPr>
              <w:pStyle w:val="TableText"/>
            </w:pPr>
            <w:r w:rsidRPr="00464E33">
              <w:t>Cropsure Pty Ltd</w:t>
            </w:r>
          </w:p>
        </w:tc>
        <w:tc>
          <w:tcPr>
            <w:tcW w:w="1459" w:type="pct"/>
            <w:tcBorders>
              <w:top w:val="single" w:sz="4" w:space="0" w:color="auto"/>
              <w:bottom w:val="single" w:sz="4" w:space="0" w:color="auto"/>
            </w:tcBorders>
          </w:tcPr>
          <w:p w14:paraId="28CD9948" w14:textId="27366AA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27E30C0" w14:textId="77777777" w:rsidR="00A11E50" w:rsidRDefault="00A11E50" w:rsidP="00A11E50">
            <w:pPr>
              <w:pStyle w:val="TableText"/>
            </w:pPr>
            <w:r w:rsidRPr="00B349FB">
              <w:t>2</w:t>
            </w:r>
          </w:p>
        </w:tc>
      </w:tr>
      <w:tr w:rsidR="00A11E50" w14:paraId="2ECEE7D6" w14:textId="77777777" w:rsidTr="00EE2957">
        <w:trPr>
          <w:trHeight w:val="285"/>
        </w:trPr>
        <w:tc>
          <w:tcPr>
            <w:tcW w:w="661" w:type="pct"/>
            <w:tcBorders>
              <w:top w:val="single" w:sz="4" w:space="0" w:color="auto"/>
              <w:bottom w:val="single" w:sz="4" w:space="0" w:color="auto"/>
            </w:tcBorders>
            <w:noWrap/>
            <w:vAlign w:val="center"/>
          </w:tcPr>
          <w:p w14:paraId="4F7ED3BF" w14:textId="6CF831DE" w:rsidR="00A11E50" w:rsidRPr="00977E1B" w:rsidRDefault="00A11E50" w:rsidP="00A11E50">
            <w:pPr>
              <w:pStyle w:val="TableText"/>
            </w:pPr>
            <w:r w:rsidRPr="00464E33">
              <w:t>91135</w:t>
            </w:r>
          </w:p>
        </w:tc>
        <w:tc>
          <w:tcPr>
            <w:tcW w:w="1102" w:type="pct"/>
            <w:tcBorders>
              <w:top w:val="single" w:sz="4" w:space="0" w:color="auto"/>
              <w:bottom w:val="single" w:sz="4" w:space="0" w:color="auto"/>
            </w:tcBorders>
            <w:noWrap/>
            <w:vAlign w:val="center"/>
          </w:tcPr>
          <w:p w14:paraId="4F8E1FC7" w14:textId="1194393A" w:rsidR="00A11E50" w:rsidRPr="00977E1B" w:rsidRDefault="00FE40D5" w:rsidP="00A11E50">
            <w:pPr>
              <w:pStyle w:val="TableText"/>
            </w:pPr>
            <w:r w:rsidRPr="00FE40D5">
              <w:t>QA Paraquat/Diquat 250 SL Herbicide</w:t>
            </w:r>
          </w:p>
        </w:tc>
        <w:tc>
          <w:tcPr>
            <w:tcW w:w="1178" w:type="pct"/>
            <w:tcBorders>
              <w:top w:val="single" w:sz="4" w:space="0" w:color="auto"/>
              <w:bottom w:val="single" w:sz="4" w:space="0" w:color="auto"/>
            </w:tcBorders>
            <w:noWrap/>
            <w:vAlign w:val="center"/>
          </w:tcPr>
          <w:p w14:paraId="1A65E385" w14:textId="329B6FE4" w:rsidR="00A11E50" w:rsidRPr="00977E1B" w:rsidRDefault="00A11E50" w:rsidP="00A11E50">
            <w:pPr>
              <w:pStyle w:val="TableText"/>
            </w:pPr>
            <w:r w:rsidRPr="00464E33">
              <w:t>Agmerch Pty Ltd</w:t>
            </w:r>
          </w:p>
        </w:tc>
        <w:tc>
          <w:tcPr>
            <w:tcW w:w="1459" w:type="pct"/>
            <w:tcBorders>
              <w:top w:val="single" w:sz="4" w:space="0" w:color="auto"/>
              <w:bottom w:val="single" w:sz="4" w:space="0" w:color="auto"/>
            </w:tcBorders>
          </w:tcPr>
          <w:p w14:paraId="51D63111" w14:textId="2EBDCD16"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1254B85" w14:textId="42718F3F" w:rsidR="00A11E50" w:rsidRPr="00B349FB" w:rsidRDefault="00A11E50" w:rsidP="00A11E50">
            <w:pPr>
              <w:pStyle w:val="TableText"/>
            </w:pPr>
            <w:r w:rsidRPr="00B349FB">
              <w:t>2</w:t>
            </w:r>
          </w:p>
        </w:tc>
      </w:tr>
    </w:tbl>
    <w:p w14:paraId="07710F5F" w14:textId="77777777" w:rsidR="00B23D4E" w:rsidRPr="00452764" w:rsidRDefault="00B23D4E" w:rsidP="00452764">
      <w:pPr>
        <w:pStyle w:val="Heading2"/>
      </w:pPr>
      <w:bookmarkStart w:id="42" w:name="_Toc81569137"/>
      <w:bookmarkStart w:id="43" w:name="_Toc233038933"/>
      <w:r w:rsidRPr="00452764">
        <w:t>Recommendations</w:t>
      </w:r>
      <w:bookmarkEnd w:id="42"/>
      <w:bookmarkEnd w:id="43"/>
    </w:p>
    <w:p w14:paraId="6F1CF315" w14:textId="6C2B18B8" w:rsidR="006C0DF6" w:rsidRPr="00D556F8" w:rsidRDefault="006C0DF6" w:rsidP="00D556F8">
      <w:pPr>
        <w:pStyle w:val="NormalText"/>
      </w:pPr>
      <w:r w:rsidRPr="00D556F8">
        <w:t>The APVMA notes that the limits for impurities of toxicological concern in the FAO specification for diquat dibromide are lower than those in the Active Constituent Standard 2022 for free 2-2’bipyridyl and total terpyridines.</w:t>
      </w:r>
    </w:p>
    <w:p w14:paraId="2E8BA8EE" w14:textId="555DE62D" w:rsidR="001C1DCA" w:rsidRPr="00D556F8" w:rsidRDefault="008D1D52" w:rsidP="00D556F8">
      <w:pPr>
        <w:pStyle w:val="NormalText"/>
      </w:pPr>
      <w:r w:rsidRPr="00D556F8">
        <w:t>The recommendation</w:t>
      </w:r>
      <w:r w:rsidR="001C1DCA" w:rsidRPr="00D556F8">
        <w:t>s</w:t>
      </w:r>
      <w:r w:rsidRPr="00D556F8">
        <w:t xml:space="preserve"> of the chemistry assessment </w:t>
      </w:r>
      <w:r w:rsidR="001C1DCA" w:rsidRPr="00D556F8">
        <w:t>are that the APVMA:</w:t>
      </w:r>
    </w:p>
    <w:p w14:paraId="39C6C267" w14:textId="7A4BBAB6" w:rsidR="008D1D52" w:rsidRPr="00452764" w:rsidRDefault="006C0DF6" w:rsidP="00452764">
      <w:pPr>
        <w:pStyle w:val="Bullet1"/>
      </w:pPr>
      <w:r w:rsidRPr="00452764">
        <w:t>remain</w:t>
      </w:r>
      <w:r w:rsidR="00D556F8" w:rsidRPr="00452764">
        <w:t>s</w:t>
      </w:r>
      <w:r w:rsidRPr="00452764">
        <w:t xml:space="preserve"> </w:t>
      </w:r>
      <w:r w:rsidR="008D1D52" w:rsidRPr="00452764">
        <w:t xml:space="preserve">satisfied </w:t>
      </w:r>
      <w:r w:rsidR="001C1DCA" w:rsidRPr="00452764">
        <w:t>that the</w:t>
      </w:r>
      <w:r w:rsidR="00DF5EF8" w:rsidRPr="00452764">
        <w:t xml:space="preserve"> </w:t>
      </w:r>
      <w:bookmarkStart w:id="44" w:name="_Hlk166572614"/>
      <w:r w:rsidR="008C19F6" w:rsidRPr="00452764">
        <w:t xml:space="preserve">diquat dibromide </w:t>
      </w:r>
      <w:r w:rsidR="00DF5EF8" w:rsidRPr="00452764">
        <w:t>active constituents</w:t>
      </w:r>
      <w:bookmarkStart w:id="45" w:name="_Hlk162013066"/>
      <w:bookmarkEnd w:id="44"/>
      <w:r w:rsidR="00037C8E" w:rsidRPr="00452764">
        <w:t xml:space="preserve"> (</w:t>
      </w:r>
      <w:r w:rsidR="001C1DCA" w:rsidRPr="00452764">
        <w:t>manufacturing concentrates</w:t>
      </w:r>
      <w:r w:rsidR="00037C8E" w:rsidRPr="00452764">
        <w:t>)</w:t>
      </w:r>
      <w:r w:rsidR="001C1DCA" w:rsidRPr="00452764">
        <w:t xml:space="preserve"> with the approval numbers </w:t>
      </w:r>
      <w:r w:rsidR="008D1D52" w:rsidRPr="00452764">
        <w:t>44219</w:t>
      </w:r>
      <w:r w:rsidR="001C1DCA" w:rsidRPr="00452764">
        <w:t xml:space="preserve"> and</w:t>
      </w:r>
      <w:r w:rsidR="008D1D52" w:rsidRPr="00452764">
        <w:t xml:space="preserve"> 887</w:t>
      </w:r>
      <w:r w:rsidR="0041383B" w:rsidRPr="00452764">
        <w:t>1</w:t>
      </w:r>
      <w:r w:rsidR="008D1D52" w:rsidRPr="00452764">
        <w:t>4</w:t>
      </w:r>
      <w:r w:rsidR="001C1DCA" w:rsidRPr="00452764">
        <w:t xml:space="preserve"> comply with the FAO Specification for diquat</w:t>
      </w:r>
      <w:r w:rsidR="00C33621" w:rsidRPr="00452764">
        <w:t xml:space="preserve"> dibromide</w:t>
      </w:r>
      <w:r w:rsidR="001C1DCA" w:rsidRPr="00452764">
        <w:t xml:space="preserve"> </w:t>
      </w:r>
      <w:r w:rsidR="008C19F6" w:rsidRPr="00452764">
        <w:t xml:space="preserve">and </w:t>
      </w:r>
      <w:r w:rsidR="001C1DCA" w:rsidRPr="00452764">
        <w:t xml:space="preserve">continue to meet the safety criteria from a </w:t>
      </w:r>
      <w:r w:rsidR="00D556F8" w:rsidRPr="00452764">
        <w:t>c</w:t>
      </w:r>
      <w:r w:rsidR="001C1DCA" w:rsidRPr="00452764">
        <w:t xml:space="preserve">hemistry and </w:t>
      </w:r>
      <w:r w:rsidR="00D556F8" w:rsidRPr="00452764">
        <w:t>m</w:t>
      </w:r>
      <w:r w:rsidR="001C1DCA" w:rsidRPr="00452764">
        <w:t>anufacture perspective</w:t>
      </w:r>
    </w:p>
    <w:p w14:paraId="16212545" w14:textId="2B2373AE" w:rsidR="00DF5EF8" w:rsidRPr="008C19F6" w:rsidRDefault="00DF5EF8" w:rsidP="001C1DCA">
      <w:pPr>
        <w:pStyle w:val="Bullet1"/>
      </w:pPr>
      <w:bookmarkStart w:id="46" w:name="_Hlk166572132"/>
      <w:bookmarkStart w:id="47" w:name="_Hlk162264265"/>
      <w:bookmarkEnd w:id="45"/>
      <w:r w:rsidRPr="008C19F6">
        <w:t>not be satisfied that the remaining active constituent approvals listed in</w:t>
      </w:r>
      <w:r w:rsidR="000D7193">
        <w:t xml:space="preserve"> </w:t>
      </w:r>
      <w:r w:rsidR="000D7193">
        <w:fldChar w:fldCharType="begin" w:fldLock="1"/>
      </w:r>
      <w:r w:rsidR="000D7193">
        <w:instrText xml:space="preserve"> REF _Ref168649161 \h </w:instrText>
      </w:r>
      <w:r w:rsidR="000D7193">
        <w:fldChar w:fldCharType="separate"/>
      </w:r>
      <w:r w:rsidR="0033298E">
        <w:t xml:space="preserve">Table </w:t>
      </w:r>
      <w:r w:rsidR="0033298E">
        <w:rPr>
          <w:noProof/>
        </w:rPr>
        <w:t>4</w:t>
      </w:r>
      <w:r w:rsidR="000D7193">
        <w:fldChar w:fldCharType="end"/>
      </w:r>
      <w:r w:rsidR="000D7193">
        <w:t xml:space="preserve"> </w:t>
      </w:r>
      <w:r w:rsidRPr="008C19F6">
        <w:t xml:space="preserve">meet the safety criteria as the holders have not demonstrated that the active constituents </w:t>
      </w:r>
      <w:r w:rsidR="006C0DF6">
        <w:t xml:space="preserve">do not contain the impurities of toxicological concern identified in the </w:t>
      </w:r>
      <w:r w:rsidR="006C0DF6" w:rsidRPr="008C19F6">
        <w:t>FAO Specification</w:t>
      </w:r>
    </w:p>
    <w:p w14:paraId="72B04CCA" w14:textId="0ECD76DF" w:rsidR="001A6022" w:rsidRPr="008C19F6" w:rsidRDefault="001A6022" w:rsidP="001C1DCA">
      <w:pPr>
        <w:pStyle w:val="Bullet1"/>
      </w:pPr>
      <w:r w:rsidRPr="008C19F6">
        <w:t xml:space="preserve">could be satisfied that all diquat dibromide </w:t>
      </w:r>
      <w:r w:rsidR="008C19F6" w:rsidRPr="008C19F6">
        <w:t>active constituent</w:t>
      </w:r>
      <w:r w:rsidRPr="008C19F6">
        <w:t xml:space="preserve"> approvals listed in </w:t>
      </w:r>
      <w:r w:rsidR="00D556F8">
        <w:fldChar w:fldCharType="begin" w:fldLock="1"/>
      </w:r>
      <w:r w:rsidR="00D556F8">
        <w:instrText xml:space="preserve"> REF _Ref168649161 \h </w:instrText>
      </w:r>
      <w:r w:rsidR="00D556F8">
        <w:fldChar w:fldCharType="separate"/>
      </w:r>
      <w:r w:rsidR="0033298E">
        <w:t xml:space="preserve">Table </w:t>
      </w:r>
      <w:r w:rsidR="0033298E">
        <w:rPr>
          <w:noProof/>
        </w:rPr>
        <w:t>4</w:t>
      </w:r>
      <w:r w:rsidR="00D556F8">
        <w:fldChar w:fldCharType="end"/>
      </w:r>
      <w:r w:rsidR="00D556F8">
        <w:t xml:space="preserve"> </w:t>
      </w:r>
      <w:r w:rsidRPr="008C19F6">
        <w:t xml:space="preserve">meet the safety criteria if the holders of those approvals provide an </w:t>
      </w:r>
      <w:r w:rsidR="008C19F6" w:rsidRPr="008C19F6">
        <w:t xml:space="preserve">updated </w:t>
      </w:r>
      <w:r w:rsidRPr="008C19F6">
        <w:t>Declaration of Composition and the results of 5</w:t>
      </w:r>
      <w:r w:rsidR="00D556F8">
        <w:t> </w:t>
      </w:r>
      <w:r w:rsidRPr="008C19F6">
        <w:t xml:space="preserve">batch analyses </w:t>
      </w:r>
      <w:r w:rsidR="006C0DF6">
        <w:t xml:space="preserve">to demonstrate that they </w:t>
      </w:r>
      <w:r w:rsidR="008C19F6" w:rsidRPr="008C19F6">
        <w:t>conform to</w:t>
      </w:r>
      <w:r w:rsidRPr="008C19F6">
        <w:t xml:space="preserve"> the FAO Specification for Diquat to the APVMA</w:t>
      </w:r>
      <w:bookmarkEnd w:id="46"/>
    </w:p>
    <w:p w14:paraId="02B469FE" w14:textId="547EB046" w:rsidR="00D556F8" w:rsidRDefault="008D1D52" w:rsidP="001C1DCA">
      <w:pPr>
        <w:pStyle w:val="Bullet1"/>
        <w:sectPr w:rsidR="00D556F8" w:rsidSect="009A2AA4">
          <w:headerReference w:type="even" r:id="rId36"/>
          <w:pgSz w:w="11906" w:h="16838" w:code="9"/>
          <w:pgMar w:top="2835" w:right="1134" w:bottom="1134" w:left="1134" w:header="1701" w:footer="680" w:gutter="0"/>
          <w:cols w:space="708"/>
          <w:docGrid w:linePitch="360"/>
        </w:sectPr>
      </w:pPr>
      <w:r w:rsidRPr="008C19F6">
        <w:t xml:space="preserve">be satisfied that </w:t>
      </w:r>
      <w:r w:rsidR="00B23D4E" w:rsidRPr="008C19F6">
        <w:t>continued registration of products containing diquat dibromide</w:t>
      </w:r>
      <w:r w:rsidR="00ED2073" w:rsidRPr="008C19F6">
        <w:t xml:space="preserve">, listed in </w:t>
      </w:r>
      <w:r w:rsidR="00ED2073" w:rsidRPr="008C19F6">
        <w:fldChar w:fldCharType="begin" w:fldLock="1"/>
      </w:r>
      <w:r w:rsidR="00ED2073" w:rsidRPr="008C19F6">
        <w:instrText xml:space="preserve"> REF _Ref162264070 \h </w:instrText>
      </w:r>
      <w:r w:rsidR="008C19F6">
        <w:instrText xml:space="preserve"> \* MERGEFORMAT </w:instrText>
      </w:r>
      <w:r w:rsidR="00ED2073" w:rsidRPr="008C19F6">
        <w:fldChar w:fldCharType="separate"/>
      </w:r>
      <w:r w:rsidR="0033298E">
        <w:t xml:space="preserve">Table </w:t>
      </w:r>
      <w:r w:rsidR="0033298E">
        <w:rPr>
          <w:noProof/>
        </w:rPr>
        <w:t>5</w:t>
      </w:r>
      <w:r w:rsidR="00ED2073" w:rsidRPr="008C19F6">
        <w:fldChar w:fldCharType="end"/>
      </w:r>
      <w:r w:rsidR="00ED2073" w:rsidRPr="008C19F6">
        <w:t>,</w:t>
      </w:r>
      <w:r w:rsidR="00B23D4E" w:rsidRPr="008C19F6">
        <w:t xml:space="preserve"> would </w:t>
      </w:r>
      <w:r w:rsidR="007F07F9" w:rsidRPr="008C19F6">
        <w:t>meet</w:t>
      </w:r>
      <w:r w:rsidR="00B23D4E" w:rsidRPr="008C19F6">
        <w:t xml:space="preserve"> the safety criteria under section 5A of the Agvet Code</w:t>
      </w:r>
      <w:r w:rsidR="00ED2073" w:rsidRPr="008C19F6">
        <w:t xml:space="preserve"> from a </w:t>
      </w:r>
      <w:r w:rsidR="00D556F8">
        <w:t>c</w:t>
      </w:r>
      <w:r w:rsidR="00ED2073" w:rsidRPr="008C19F6">
        <w:t xml:space="preserve">hemistry and </w:t>
      </w:r>
      <w:r w:rsidR="00D556F8">
        <w:t>m</w:t>
      </w:r>
      <w:r w:rsidR="00ED2073" w:rsidRPr="008C19F6">
        <w:t>anufacture perspective.</w:t>
      </w:r>
      <w:bookmarkEnd w:id="47"/>
    </w:p>
    <w:p w14:paraId="04EEF5E5" w14:textId="0E90C978" w:rsidR="00306EBA" w:rsidRPr="00452764" w:rsidRDefault="00306EBA" w:rsidP="00452764">
      <w:pPr>
        <w:pStyle w:val="Heading1"/>
      </w:pPr>
      <w:bookmarkStart w:id="48" w:name="_Toc46842339"/>
      <w:bookmarkStart w:id="49" w:name="_Toc50644746"/>
      <w:bookmarkStart w:id="50" w:name="_Toc157602748"/>
      <w:bookmarkStart w:id="51" w:name="_Toc233038934"/>
      <w:bookmarkEnd w:id="16"/>
      <w:r w:rsidRPr="00452764">
        <w:lastRenderedPageBreak/>
        <w:t>Toxicology</w:t>
      </w:r>
      <w:bookmarkEnd w:id="48"/>
      <w:bookmarkEnd w:id="49"/>
      <w:bookmarkEnd w:id="50"/>
      <w:bookmarkEnd w:id="51"/>
    </w:p>
    <w:p w14:paraId="5DFBB47A" w14:textId="3E4ED0AA" w:rsidR="00F62F09" w:rsidRDefault="00306EBA" w:rsidP="00306EBA">
      <w:pPr>
        <w:pStyle w:val="NormalText"/>
      </w:pPr>
      <w:r w:rsidRPr="00133AC3">
        <w:t xml:space="preserve">A large toxicology database is available for </w:t>
      </w:r>
      <w:r>
        <w:t>di</w:t>
      </w:r>
      <w:r w:rsidRPr="00133AC3">
        <w:t>quat and was considered to be of sufficient breadth and quality for human health risk assessment purposes.</w:t>
      </w:r>
    </w:p>
    <w:p w14:paraId="1B2C448C" w14:textId="79DFE5C1" w:rsidR="00F62F09" w:rsidRDefault="00F62F09" w:rsidP="00306EBA">
      <w:pPr>
        <w:pStyle w:val="NormalText"/>
      </w:pPr>
      <w:r>
        <w:t>T</w:t>
      </w:r>
      <w:r w:rsidRPr="00F62F09">
        <w:t xml:space="preserve">he APVMA has completed a review of submissions received in response to the public consultation on the Proposed Regulatory Decision on </w:t>
      </w:r>
      <w:r>
        <w:t>diquat</w:t>
      </w:r>
      <w:r w:rsidRPr="00F62F09">
        <w:t xml:space="preserve"> (consultation period </w:t>
      </w:r>
      <w:r w:rsidRPr="00D471B2">
        <w:t>closed</w:t>
      </w:r>
      <w:r w:rsidRPr="00F62F09">
        <w:t xml:space="preserve"> 29 October 2024). </w:t>
      </w:r>
      <w:r>
        <w:t xml:space="preserve">No new data was submitted that </w:t>
      </w:r>
      <w:r w:rsidRPr="00F62F09">
        <w:t>introduce</w:t>
      </w:r>
      <w:r>
        <w:t>d</w:t>
      </w:r>
      <w:r w:rsidRPr="00F62F09">
        <w:t xml:space="preserve"> any</w:t>
      </w:r>
      <w:r w:rsidR="00035302">
        <w:t xml:space="preserve"> new</w:t>
      </w:r>
      <w:r w:rsidRPr="00F62F09">
        <w:t xml:space="preserve"> toxicological endpoints that would alter the existing </w:t>
      </w:r>
      <w:r w:rsidR="00855791" w:rsidRPr="00F62F09">
        <w:t>health-based</w:t>
      </w:r>
      <w:r w:rsidRPr="00F62F09">
        <w:t xml:space="preserve"> guidance values and exposure assessments of </w:t>
      </w:r>
      <w:r>
        <w:t>diquat.</w:t>
      </w:r>
    </w:p>
    <w:p w14:paraId="5E5C1327" w14:textId="69847FEB" w:rsidR="00306EBA" w:rsidRPr="00133AC3" w:rsidRDefault="00306EBA" w:rsidP="00306EBA">
      <w:pPr>
        <w:pStyle w:val="NormalText"/>
      </w:pPr>
      <w:r w:rsidRPr="00133AC3">
        <w:t xml:space="preserve">The following is a summary of the conclusions of the mammalian toxicology and metabolism/toxicokinetics of </w:t>
      </w:r>
      <w:r w:rsidR="00D556F8">
        <w:t>d</w:t>
      </w:r>
      <w:r>
        <w:t>iquat.</w:t>
      </w:r>
    </w:p>
    <w:p w14:paraId="0D57AB85" w14:textId="075713AC" w:rsidR="00306EBA" w:rsidRPr="00452764" w:rsidRDefault="00306EBA" w:rsidP="00452764">
      <w:pPr>
        <w:pStyle w:val="Heading2"/>
      </w:pPr>
      <w:bookmarkStart w:id="52" w:name="_Toc46842340"/>
      <w:bookmarkStart w:id="53" w:name="_Toc50644747"/>
      <w:bookmarkStart w:id="54" w:name="_Toc157602749"/>
      <w:bookmarkStart w:id="55" w:name="_Toc233038935"/>
      <w:r w:rsidRPr="00452764">
        <w:t>Evaluation of toxicology</w:t>
      </w:r>
      <w:bookmarkEnd w:id="52"/>
      <w:bookmarkEnd w:id="53"/>
      <w:bookmarkEnd w:id="54"/>
      <w:bookmarkEnd w:id="55"/>
    </w:p>
    <w:p w14:paraId="775BB374" w14:textId="3CB0639D" w:rsidR="00306EBA" w:rsidRPr="00133AC3" w:rsidRDefault="00306EBA" w:rsidP="00452764">
      <w:pPr>
        <w:pStyle w:val="Heading3"/>
      </w:pPr>
      <w:bookmarkStart w:id="56" w:name="_Toc46842341"/>
      <w:bookmarkStart w:id="57" w:name="_Toc233038936"/>
      <w:r w:rsidRPr="00452764">
        <w:t>Biochemical</w:t>
      </w:r>
      <w:r w:rsidRPr="00133AC3">
        <w:t xml:space="preserve"> </w:t>
      </w:r>
      <w:r w:rsidR="00E747BB">
        <w:t>a</w:t>
      </w:r>
      <w:r w:rsidRPr="00133AC3">
        <w:t>spects</w:t>
      </w:r>
      <w:bookmarkEnd w:id="56"/>
      <w:bookmarkEnd w:id="57"/>
    </w:p>
    <w:p w14:paraId="14005471" w14:textId="21D3BF56" w:rsidR="00306EBA" w:rsidRPr="00754F8D" w:rsidRDefault="00306EBA" w:rsidP="00306EBA">
      <w:pPr>
        <w:pStyle w:val="NormalText"/>
      </w:pPr>
      <w:bookmarkStart w:id="58" w:name="_Toc46842342"/>
      <w:r w:rsidRPr="00754F8D">
        <w:t>Diquat is rapidly, but poorly absorbed following oral dosing in the rat, with only 4</w:t>
      </w:r>
      <w:r w:rsidR="00E747BB">
        <w:t>–</w:t>
      </w:r>
      <w:r w:rsidRPr="00754F8D">
        <w:t>11% of an oral dose absorbed (Daniel &amp; Gage, 1966). Following absorption, diquat is widely distributed, with highest concentrations in the kidneys</w:t>
      </w:r>
      <w:r w:rsidR="00E747BB">
        <w:t>;</w:t>
      </w:r>
      <w:r w:rsidRPr="00754F8D">
        <w:t xml:space="preserve"> </w:t>
      </w:r>
      <w:r w:rsidR="00E94EF0" w:rsidRPr="00754F8D">
        <w:t>however</w:t>
      </w:r>
      <w:r w:rsidR="00E747BB">
        <w:t>,</w:t>
      </w:r>
      <w:r w:rsidR="00E94EF0">
        <w:t xml:space="preserve"> it</w:t>
      </w:r>
      <w:r w:rsidRPr="00754F8D">
        <w:t xml:space="preserve"> is not extensively metabolised. The highest levels following oral absorption were present in the stomach and intestines reflecting their contents (Johns</w:t>
      </w:r>
      <w:r w:rsidR="00F02475" w:rsidRPr="00754F8D">
        <w:t>t</w:t>
      </w:r>
      <w:r w:rsidRPr="00754F8D">
        <w:t>on et al, 1991). In rats, unchanged diquat was excreted in the faeces, with around 5% of administered dose excreted in the urine (Williams et al</w:t>
      </w:r>
      <w:r w:rsidR="00844A7E">
        <w:t>,</w:t>
      </w:r>
      <w:r w:rsidRPr="00754F8D">
        <w:t xml:space="preserve"> 1991) the majority of the administered dose is excreted in the faeces (up to 80%), with smaller amounts (10</w:t>
      </w:r>
      <w:r w:rsidR="00E747BB">
        <w:t>–</w:t>
      </w:r>
      <w:r w:rsidRPr="00754F8D">
        <w:t>20%) in the urine. Elimination of oral dosing was virtually complete by 168 h after dosing (Johnston et al, 1994</w:t>
      </w:r>
      <w:r w:rsidR="00844A7E">
        <w:t xml:space="preserve"> </w:t>
      </w:r>
      <w:r w:rsidR="00F02475" w:rsidRPr="00754F8D">
        <w:t>(a,</w:t>
      </w:r>
      <w:r w:rsidRPr="00754F8D">
        <w:t>b)</w:t>
      </w:r>
      <w:r w:rsidR="00F02475" w:rsidRPr="00754F8D">
        <w:t>)</w:t>
      </w:r>
      <w:r w:rsidRPr="00754F8D">
        <w:t>, with only 0.02% of the administered dose retained in tissues.</w:t>
      </w:r>
    </w:p>
    <w:p w14:paraId="6BB42AB8" w14:textId="7DFB595A" w:rsidR="00306EBA" w:rsidRDefault="00306EBA" w:rsidP="00306EBA">
      <w:pPr>
        <w:pStyle w:val="NormalText"/>
      </w:pPr>
      <w:r w:rsidRPr="00754F8D">
        <w:t>Percutaneous absorption of diquat in male rats resulted in maximum absorption of 3.4% (Brorby et al, 1988). Human skin or isolated epidermis showed lower levels of absorption (Scott et al</w:t>
      </w:r>
      <w:r w:rsidR="00844A7E">
        <w:t>,</w:t>
      </w:r>
      <w:r w:rsidRPr="00754F8D">
        <w:t xml:space="preserve"> 1991a &amp;</w:t>
      </w:r>
      <w:r w:rsidR="00E94EF0">
        <w:t xml:space="preserve"> </w:t>
      </w:r>
      <w:r w:rsidRPr="00754F8D">
        <w:t>b) and was also proportional to the amount of diquat applied. The absorption rate for human, rat, rabbit, mouse and guinea pig skins was 0.058, 0.231, 0.333, 0.431 and 0.455 µg diquat cation/cm</w:t>
      </w:r>
      <w:r w:rsidRPr="00E747BB">
        <w:rPr>
          <w:vertAlign w:val="superscript"/>
        </w:rPr>
        <w:t>2</w:t>
      </w:r>
      <w:r w:rsidRPr="00754F8D">
        <w:t>/h, indicating that human skin was the least permeable of tested skin (Scott and Corrigan, 1989).</w:t>
      </w:r>
    </w:p>
    <w:p w14:paraId="2EECE778" w14:textId="77777777" w:rsidR="00612356" w:rsidRPr="00133AC3" w:rsidRDefault="00612356" w:rsidP="00E747BB">
      <w:pPr>
        <w:pStyle w:val="Heading3"/>
      </w:pPr>
      <w:bookmarkStart w:id="59" w:name="_Toc46842345"/>
      <w:bookmarkStart w:id="60" w:name="_Toc233038937"/>
      <w:r w:rsidRPr="00133AC3">
        <w:t>Major toxicological mode(s) of action and key events</w:t>
      </w:r>
      <w:bookmarkEnd w:id="59"/>
      <w:bookmarkEnd w:id="60"/>
    </w:p>
    <w:p w14:paraId="11726FE2" w14:textId="4727450E" w:rsidR="00612356" w:rsidRPr="00133AC3" w:rsidRDefault="002F625F" w:rsidP="00612356">
      <w:pPr>
        <w:pStyle w:val="NormalText"/>
      </w:pPr>
      <w:r w:rsidRPr="002F625F">
        <w:t xml:space="preserve">Diquat mediates toxicity to mammals in </w:t>
      </w:r>
      <w:r w:rsidR="00844A7E">
        <w:t>two</w:t>
      </w:r>
      <w:r w:rsidR="00844A7E" w:rsidRPr="002F625F">
        <w:t xml:space="preserve"> </w:t>
      </w:r>
      <w:r w:rsidRPr="002F625F">
        <w:t>principal ways: direct irritation of mucous membranes</w:t>
      </w:r>
      <w:r>
        <w:t>,</w:t>
      </w:r>
      <w:r w:rsidRPr="002F625F">
        <w:t xml:space="preserve"> and intracellular redox cycling, which generates oxygen radicals that injure or kill cells in which they are formed.</w:t>
      </w:r>
    </w:p>
    <w:p w14:paraId="79D7D378" w14:textId="6466963C" w:rsidR="00306EBA" w:rsidRPr="00133AC3" w:rsidRDefault="00306EBA" w:rsidP="00E747BB">
      <w:pPr>
        <w:pStyle w:val="Heading3"/>
      </w:pPr>
      <w:bookmarkStart w:id="61" w:name="_Toc46842346"/>
      <w:bookmarkStart w:id="62" w:name="_Toc233038938"/>
      <w:bookmarkEnd w:id="58"/>
      <w:r w:rsidRPr="00133AC3">
        <w:t>Acute toxicity</w:t>
      </w:r>
      <w:bookmarkEnd w:id="61"/>
      <w:r w:rsidR="00844A7E">
        <w:t xml:space="preserve"> in animals</w:t>
      </w:r>
      <w:bookmarkEnd w:id="62"/>
    </w:p>
    <w:p w14:paraId="67D8A1E5" w14:textId="37C67C6E" w:rsidR="00306EBA" w:rsidRPr="00754F8D" w:rsidRDefault="00306EBA" w:rsidP="00306EBA">
      <w:pPr>
        <w:pStyle w:val="NormalText"/>
      </w:pPr>
      <w:r w:rsidRPr="00754F8D">
        <w:t xml:space="preserve">The acute oral toxicity of diquat is moderate in </w:t>
      </w:r>
      <w:r w:rsidR="00D95B6A">
        <w:t>rats and mice</w:t>
      </w:r>
      <w:r w:rsidRPr="00754F8D">
        <w:t xml:space="preserve"> (</w:t>
      </w:r>
      <w:r w:rsidR="00754F8D">
        <w:t>lethal dose to 50%</w:t>
      </w:r>
      <w:r w:rsidR="00D95B6A">
        <w:t xml:space="preserve"> of sample</w:t>
      </w:r>
      <w:r w:rsidR="00754F8D">
        <w:t xml:space="preserve"> (</w:t>
      </w:r>
      <w:r w:rsidRPr="00754F8D">
        <w:t>LD</w:t>
      </w:r>
      <w:r w:rsidRPr="00754F8D">
        <w:rPr>
          <w:vertAlign w:val="subscript"/>
        </w:rPr>
        <w:t>50</w:t>
      </w:r>
      <w:r w:rsidR="00754F8D">
        <w:t>)</w:t>
      </w:r>
      <w:r w:rsidRPr="00754F8D">
        <w:t xml:space="preserve"> from 120</w:t>
      </w:r>
      <w:r w:rsidR="00E747BB">
        <w:t>–</w:t>
      </w:r>
      <w:r w:rsidRPr="00754F8D">
        <w:t>231</w:t>
      </w:r>
      <w:r w:rsidR="00E747BB">
        <w:t> </w:t>
      </w:r>
      <w:r w:rsidRPr="00754F8D">
        <w:t>mg/kg bw</w:t>
      </w:r>
      <w:r w:rsidR="00D95B6A">
        <w:t xml:space="preserve">; </w:t>
      </w:r>
      <w:bookmarkStart w:id="63" w:name="_Hlk159332870"/>
      <w:r w:rsidRPr="00754F8D">
        <w:t>Swan 1960, 1962; Duncan et al</w:t>
      </w:r>
      <w:r w:rsidR="001477C1" w:rsidRPr="00754F8D">
        <w:t>,</w:t>
      </w:r>
      <w:r w:rsidRPr="00754F8D">
        <w:t xml:space="preserve"> 1985a; McCall </w:t>
      </w:r>
      <w:r w:rsidR="00A65D81" w:rsidRPr="00754F8D">
        <w:t>and</w:t>
      </w:r>
      <w:r w:rsidRPr="00754F8D">
        <w:t xml:space="preserve"> Robinson</w:t>
      </w:r>
      <w:r w:rsidR="001477C1" w:rsidRPr="00754F8D">
        <w:t>,</w:t>
      </w:r>
      <w:r w:rsidRPr="00754F8D">
        <w:t xml:space="preserve"> 1990a), </w:t>
      </w:r>
      <w:bookmarkEnd w:id="63"/>
      <w:r w:rsidRPr="00754F8D">
        <w:t>rabbits and guinea pigs (</w:t>
      </w:r>
      <w:r w:rsidR="00D95B6A">
        <w:t>LD</w:t>
      </w:r>
      <w:r w:rsidR="00D95B6A" w:rsidRPr="00D95B6A">
        <w:rPr>
          <w:vertAlign w:val="subscript"/>
        </w:rPr>
        <w:t xml:space="preserve">50 </w:t>
      </w:r>
      <w:r w:rsidRPr="00754F8D">
        <w:t>approximately 100 mg/kg bw</w:t>
      </w:r>
      <w:r w:rsidR="00D95B6A">
        <w:t xml:space="preserve">; </w:t>
      </w:r>
      <w:r w:rsidRPr="00754F8D">
        <w:t>Swan</w:t>
      </w:r>
      <w:r w:rsidR="001477C1" w:rsidRPr="00754F8D">
        <w:t>,</w:t>
      </w:r>
      <w:r w:rsidRPr="00754F8D">
        <w:t xml:space="preserve"> 1960; Clark </w:t>
      </w:r>
      <w:r w:rsidR="00A65D81" w:rsidRPr="00754F8D">
        <w:t xml:space="preserve">and </w:t>
      </w:r>
      <w:r w:rsidRPr="00754F8D">
        <w:t>Hurst</w:t>
      </w:r>
      <w:r w:rsidR="001477C1" w:rsidRPr="00754F8D">
        <w:t>,</w:t>
      </w:r>
      <w:r w:rsidRPr="00754F8D">
        <w:t xml:space="preserve"> 1970). In dogs and monkeys the LD</w:t>
      </w:r>
      <w:r w:rsidRPr="00754F8D">
        <w:rPr>
          <w:vertAlign w:val="subscript"/>
        </w:rPr>
        <w:t>50</w:t>
      </w:r>
      <w:r w:rsidR="00D95B6A" w:rsidRPr="00D95B6A">
        <w:t>s</w:t>
      </w:r>
      <w:r w:rsidRPr="00754F8D">
        <w:t xml:space="preserve"> were 100</w:t>
      </w:r>
      <w:r w:rsidR="00E747BB">
        <w:t>–</w:t>
      </w:r>
      <w:r w:rsidRPr="00754F8D">
        <w:t>200</w:t>
      </w:r>
      <w:r w:rsidR="00E747BB">
        <w:t> </w:t>
      </w:r>
      <w:r w:rsidRPr="00754F8D">
        <w:t>mg/kg bw</w:t>
      </w:r>
      <w:r w:rsidR="00D95B6A">
        <w:t>;</w:t>
      </w:r>
      <w:bookmarkStart w:id="64" w:name="_Hlk159332883"/>
      <w:r w:rsidR="00D95B6A">
        <w:t xml:space="preserve"> </w:t>
      </w:r>
      <w:r w:rsidRPr="00754F8D">
        <w:t>Swan</w:t>
      </w:r>
      <w:r w:rsidR="001477C1" w:rsidRPr="00754F8D">
        <w:t>,</w:t>
      </w:r>
      <w:r w:rsidRPr="00754F8D">
        <w:t xml:space="preserve"> 1960; Clark </w:t>
      </w:r>
      <w:r w:rsidR="00A65D81" w:rsidRPr="00754F8D">
        <w:t>and</w:t>
      </w:r>
      <w:r w:rsidRPr="00754F8D">
        <w:t xml:space="preserve"> Hurst</w:t>
      </w:r>
      <w:r w:rsidR="001477C1" w:rsidRPr="00754F8D">
        <w:t>,</w:t>
      </w:r>
      <w:r w:rsidRPr="00754F8D">
        <w:t xml:space="preserve"> 1970). </w:t>
      </w:r>
      <w:bookmarkEnd w:id="64"/>
      <w:r w:rsidRPr="00754F8D">
        <w:t xml:space="preserve">A range of clinical signs have been observed in laboratory animals following acute oral exposures including pupillary dilatation, difficulty in breathing, weight loss, </w:t>
      </w:r>
      <w:r w:rsidRPr="00754F8D">
        <w:lastRenderedPageBreak/>
        <w:t>piloerection, hypothermia, distended abdomen, upward curvature of the spine, staining around the mouth and nose, diarrhoea and incontinence.</w:t>
      </w:r>
    </w:p>
    <w:p w14:paraId="7CC7BF68" w14:textId="0EFC2F99" w:rsidR="00306EBA" w:rsidRDefault="00306EBA" w:rsidP="00306EBA">
      <w:pPr>
        <w:pStyle w:val="NormalText"/>
      </w:pPr>
      <w:r w:rsidRPr="00754F8D">
        <w:t>In rats, the acute dermal toxicity of diquat is moderate (LD</w:t>
      </w:r>
      <w:r w:rsidRPr="00754F8D">
        <w:rPr>
          <w:vertAlign w:val="subscript"/>
        </w:rPr>
        <w:t>50</w:t>
      </w:r>
      <w:r w:rsidRPr="00754F8D">
        <w:t xml:space="preserve"> &gt; 420 mg/kg bw</w:t>
      </w:r>
      <w:r w:rsidR="00D95B6A">
        <w:t xml:space="preserve">; </w:t>
      </w:r>
      <w:bookmarkStart w:id="65" w:name="_Hlk159332893"/>
      <w:r w:rsidRPr="00754F8D">
        <w:t xml:space="preserve">McCall </w:t>
      </w:r>
      <w:r w:rsidR="00A65D81" w:rsidRPr="00754F8D">
        <w:t>and</w:t>
      </w:r>
      <w:r w:rsidRPr="00754F8D">
        <w:t xml:space="preserve"> Robinson</w:t>
      </w:r>
      <w:r w:rsidR="001477C1" w:rsidRPr="00754F8D">
        <w:t>,</w:t>
      </w:r>
      <w:r w:rsidRPr="00754F8D">
        <w:t xml:space="preserve"> 1990b)</w:t>
      </w:r>
      <w:r w:rsidR="00E747BB">
        <w:t>;</w:t>
      </w:r>
      <w:r w:rsidRPr="00754F8D">
        <w:t xml:space="preserve"> however</w:t>
      </w:r>
      <w:r w:rsidR="00E747BB">
        <w:t>,</w:t>
      </w:r>
      <w:r w:rsidRPr="00754F8D">
        <w:t xml:space="preserve"> there is high dermal toxicity in rabbits (50 mg/kg bw</w:t>
      </w:r>
      <w:r w:rsidR="00D95B6A">
        <w:t xml:space="preserve">; </w:t>
      </w:r>
      <w:r w:rsidRPr="00754F8D">
        <w:t xml:space="preserve">Duncan </w:t>
      </w:r>
      <w:r w:rsidRPr="00D471B2">
        <w:rPr>
          <w:iCs/>
        </w:rPr>
        <w:t>et al</w:t>
      </w:r>
      <w:r w:rsidR="00844A7E">
        <w:rPr>
          <w:i/>
        </w:rPr>
        <w:t>,</w:t>
      </w:r>
      <w:r w:rsidRPr="00754F8D">
        <w:t xml:space="preserve"> 1985b). The </w:t>
      </w:r>
      <w:bookmarkEnd w:id="65"/>
      <w:r w:rsidRPr="00754F8D">
        <w:t>acute inhalational toxicity in rats is high (LC</w:t>
      </w:r>
      <w:r w:rsidRPr="00D95B6A">
        <w:rPr>
          <w:vertAlign w:val="subscript"/>
        </w:rPr>
        <w:t>50</w:t>
      </w:r>
      <w:r w:rsidRPr="00754F8D">
        <w:t xml:space="preserve"> = 121 mg/m3, whole body exposure, 4-h</w:t>
      </w:r>
      <w:r w:rsidR="00754F8D">
        <w:t xml:space="preserve">; </w:t>
      </w:r>
      <w:r w:rsidR="00045435" w:rsidRPr="00754F8D">
        <w:t>Bruce et al, 1985</w:t>
      </w:r>
      <w:r w:rsidRPr="00754F8D">
        <w:t>). Diquat manufacturing concentrate was a slight skin irritant (Robinson</w:t>
      </w:r>
      <w:r w:rsidR="001477C1" w:rsidRPr="00754F8D">
        <w:t>,</w:t>
      </w:r>
      <w:r w:rsidRPr="00754F8D">
        <w:t xml:space="preserve"> 1998a) and a slight eye irritant (Levy</w:t>
      </w:r>
      <w:r w:rsidR="001477C1" w:rsidRPr="00754F8D">
        <w:t xml:space="preserve"> et al,</w:t>
      </w:r>
      <w:r w:rsidRPr="00754F8D">
        <w:t xml:space="preserve"> 1979</w:t>
      </w:r>
      <w:r w:rsidR="008719DD">
        <w:t>;</w:t>
      </w:r>
      <w:r w:rsidRPr="00754F8D">
        <w:t xml:space="preserve"> Robinson</w:t>
      </w:r>
      <w:r w:rsidR="001477C1" w:rsidRPr="00754F8D">
        <w:t>,</w:t>
      </w:r>
      <w:r w:rsidRPr="00754F8D">
        <w:t xml:space="preserve"> 1998</w:t>
      </w:r>
      <w:r w:rsidR="00754F8D">
        <w:t>(</w:t>
      </w:r>
      <w:r w:rsidRPr="00754F8D">
        <w:t>b</w:t>
      </w:r>
      <w:r w:rsidR="00754F8D">
        <w:t>)</w:t>
      </w:r>
      <w:r w:rsidRPr="00754F8D">
        <w:t xml:space="preserve">). While diquat dibromide was a moderate sensitiser (Rattray </w:t>
      </w:r>
      <w:r w:rsidR="00754F8D">
        <w:t>and</w:t>
      </w:r>
      <w:r w:rsidRPr="00754F8D">
        <w:t xml:space="preserve"> Robinson</w:t>
      </w:r>
      <w:r w:rsidR="001477C1" w:rsidRPr="00754F8D">
        <w:t>,</w:t>
      </w:r>
      <w:r w:rsidRPr="00754F8D">
        <w:t xml:space="preserve"> 1990), a diquat manufacturing concentration was negative for sensitisation (Thompson et al, 1985).</w:t>
      </w:r>
    </w:p>
    <w:p w14:paraId="1606E43B" w14:textId="77777777" w:rsidR="00306EBA" w:rsidRDefault="00306EBA" w:rsidP="00452764">
      <w:pPr>
        <w:pStyle w:val="Heading3"/>
      </w:pPr>
      <w:bookmarkStart w:id="66" w:name="_Toc46842347"/>
      <w:bookmarkStart w:id="67" w:name="_Toc233038939"/>
      <w:r w:rsidRPr="00E7383C">
        <w:t>Acute toxicity in humans</w:t>
      </w:r>
      <w:bookmarkEnd w:id="66"/>
      <w:bookmarkEnd w:id="67"/>
    </w:p>
    <w:p w14:paraId="216E7132" w14:textId="08A3296A" w:rsidR="00306EBA" w:rsidRPr="00EA77AB" w:rsidRDefault="00306EBA" w:rsidP="00306EBA">
      <w:pPr>
        <w:pStyle w:val="NormalText"/>
      </w:pPr>
      <w:r>
        <w:t xml:space="preserve">Accidents resulting in human exposure to diquat have resulted in severe skin and eye damage, as well as corrosive damage to the mucosa following ingestion. Paralytic ileus can result in accumulation of fluid in the gut, leading to hypovolaemic shock. Nephrotoxicity, ranging from transient proteinuria to renal failure frequently occurs </w:t>
      </w:r>
      <w:r w:rsidRPr="00754F8D">
        <w:t xml:space="preserve">(Jones </w:t>
      </w:r>
      <w:r w:rsidR="000960D4" w:rsidRPr="00754F8D">
        <w:t>and</w:t>
      </w:r>
      <w:r w:rsidRPr="00754F8D">
        <w:t xml:space="preserve"> Vale</w:t>
      </w:r>
      <w:r w:rsidR="00000D7A" w:rsidRPr="00754F8D">
        <w:t>,</w:t>
      </w:r>
      <w:r w:rsidRPr="00754F8D">
        <w:t xml:space="preserve"> 200</w:t>
      </w:r>
      <w:r w:rsidR="000960D4" w:rsidRPr="00754F8D">
        <w:t>0</w:t>
      </w:r>
      <w:r w:rsidR="008719DD">
        <w:t>;</w:t>
      </w:r>
      <w:r w:rsidRPr="00754F8D">
        <w:t xml:space="preserve"> Vanholder et al</w:t>
      </w:r>
      <w:r w:rsidR="00000D7A" w:rsidRPr="00754F8D">
        <w:t>,</w:t>
      </w:r>
      <w:r w:rsidRPr="00754F8D">
        <w:t xml:space="preserve"> 1981). Treatment with gastric lavage and the administration of activated charcoal, as well as supportive therapy, has been effective. Diquat is poorly absorbed through human skin, at around 0.3% (Feldmann &amp; Maibach 1974).</w:t>
      </w:r>
    </w:p>
    <w:p w14:paraId="24F942C3" w14:textId="77777777" w:rsidR="00306EBA" w:rsidRPr="00133AC3" w:rsidRDefault="00306EBA" w:rsidP="00E747BB">
      <w:pPr>
        <w:pStyle w:val="Heading3"/>
      </w:pPr>
      <w:bookmarkStart w:id="68" w:name="_Toc46842348"/>
      <w:bookmarkStart w:id="69" w:name="_Toc233038940"/>
      <w:r w:rsidRPr="00133AC3">
        <w:t>Repeat dose tox</w:t>
      </w:r>
      <w:r w:rsidRPr="00452764">
        <w:t>icity</w:t>
      </w:r>
      <w:bookmarkEnd w:id="68"/>
      <w:bookmarkEnd w:id="69"/>
    </w:p>
    <w:p w14:paraId="350F10CA" w14:textId="5176CED8" w:rsidR="000A4915" w:rsidRPr="00452764" w:rsidRDefault="00306EBA" w:rsidP="00452764">
      <w:pPr>
        <w:pStyle w:val="Heading4"/>
        <w:rPr>
          <w:rStyle w:val="NormalTextChar"/>
          <w:rFonts w:ascii="Franklin Gothic Medium" w:hAnsi="Franklin Gothic Medium"/>
          <w:kern w:val="0"/>
          <w:sz w:val="22"/>
          <w:szCs w:val="28"/>
        </w:rPr>
      </w:pPr>
      <w:r w:rsidRPr="00452764">
        <w:t>Ocular toxicity</w:t>
      </w:r>
    </w:p>
    <w:p w14:paraId="02428FA1" w14:textId="27DD5E2D" w:rsidR="00306EBA" w:rsidRPr="002E1ACD" w:rsidRDefault="00306EBA" w:rsidP="00E87B29">
      <w:pPr>
        <w:pStyle w:val="NormalText"/>
        <w:rPr>
          <w:rStyle w:val="NormalTextChar"/>
        </w:rPr>
      </w:pPr>
      <w:r w:rsidRPr="002E1ACD">
        <w:rPr>
          <w:rStyle w:val="NormalTextChar"/>
        </w:rPr>
        <w:t xml:space="preserve">Diquat causes cataracts in experimental animals on repeated administration. Although 8–16 </w:t>
      </w:r>
      <w:r w:rsidR="00B46E26">
        <w:rPr>
          <w:rStyle w:val="NormalTextChar"/>
        </w:rPr>
        <w:t>weeks</w:t>
      </w:r>
      <w:r w:rsidRPr="002E1ACD">
        <w:rPr>
          <w:rStyle w:val="NormalTextChar"/>
        </w:rPr>
        <w:t xml:space="preserve"> of continuous exposure was required in rats and dogs, cataract formation is the most sensitive indicator of medium- and long-term dietary exposure to </w:t>
      </w:r>
      <w:r w:rsidR="00783CE3" w:rsidRPr="002E1ACD">
        <w:rPr>
          <w:rStyle w:val="NormalTextChar"/>
        </w:rPr>
        <w:t>diquat and</w:t>
      </w:r>
      <w:r w:rsidRPr="002E1ACD">
        <w:rPr>
          <w:rStyle w:val="NormalTextChar"/>
        </w:rPr>
        <w:t xml:space="preserve"> is one of the toxicological effects upon which the original NOAEL of 0.2</w:t>
      </w:r>
      <w:r w:rsidR="00E747BB">
        <w:rPr>
          <w:rStyle w:val="NormalTextChar"/>
        </w:rPr>
        <w:t> </w:t>
      </w:r>
      <w:r w:rsidRPr="002E1ACD">
        <w:rPr>
          <w:rStyle w:val="NormalTextChar"/>
        </w:rPr>
        <w:t>mg/kg bw/d in rats was based. However, re-evaluati</w:t>
      </w:r>
      <w:r w:rsidRPr="00754F8D">
        <w:rPr>
          <w:rStyle w:val="NormalTextChar"/>
        </w:rPr>
        <w:t>on of this study has determined that there is no evidence of progression in rats at 15 ppm (equal to 0.6 mg/kg bw/d</w:t>
      </w:r>
      <w:r w:rsidR="00754F8D">
        <w:rPr>
          <w:rStyle w:val="NormalTextChar"/>
        </w:rPr>
        <w:t xml:space="preserve">; </w:t>
      </w:r>
      <w:r w:rsidR="00870347" w:rsidRPr="00754F8D">
        <w:rPr>
          <w:rStyle w:val="NormalTextChar"/>
        </w:rPr>
        <w:t xml:space="preserve">Hodge, </w:t>
      </w:r>
      <w:r w:rsidR="003F23AB" w:rsidRPr="00754F8D">
        <w:rPr>
          <w:rStyle w:val="NormalTextChar"/>
        </w:rPr>
        <w:t xml:space="preserve">1988; </w:t>
      </w:r>
      <w:r w:rsidR="00754F8D" w:rsidRPr="00754F8D">
        <w:rPr>
          <w:rStyle w:val="NormalTextChar"/>
        </w:rPr>
        <w:t>Hodge,</w:t>
      </w:r>
      <w:r w:rsidR="00754F8D">
        <w:rPr>
          <w:rStyle w:val="NormalTextChar"/>
        </w:rPr>
        <w:t xml:space="preserve"> </w:t>
      </w:r>
      <w:r w:rsidR="00870347" w:rsidRPr="00754F8D">
        <w:rPr>
          <w:rStyle w:val="NormalTextChar"/>
        </w:rPr>
        <w:t>1989(a))</w:t>
      </w:r>
      <w:r w:rsidRPr="00754F8D">
        <w:rPr>
          <w:rStyle w:val="NormalTextChar"/>
        </w:rPr>
        <w:t>, in contrast to effects at higher doses, and this is now considered to be the NOAEL for the study. The LOAELs for cataract formation were 3.6 mg/kg bw/d in rats and 2.5 mg/kg bw/d in dogs</w:t>
      </w:r>
      <w:r w:rsidR="003A5B27" w:rsidRPr="00754F8D">
        <w:rPr>
          <w:rStyle w:val="NormalTextChar"/>
        </w:rPr>
        <w:t xml:space="preserve"> (Hopkins, 1990)</w:t>
      </w:r>
      <w:r w:rsidRPr="00754F8D">
        <w:rPr>
          <w:rStyle w:val="NormalTextChar"/>
        </w:rPr>
        <w:t>. Several chronic studies revealed time- and dose-dependency in the rate of onset, which was hastened by increasing doses. Interestingly, mice did not develop cataracts in 80-w</w:t>
      </w:r>
      <w:r w:rsidR="00B46E26" w:rsidRPr="00754F8D">
        <w:rPr>
          <w:rStyle w:val="NormalTextChar"/>
        </w:rPr>
        <w:t>ee</w:t>
      </w:r>
      <w:r w:rsidRPr="00754F8D">
        <w:rPr>
          <w:rStyle w:val="NormalTextChar"/>
        </w:rPr>
        <w:t>k and 2-y</w:t>
      </w:r>
      <w:r w:rsidR="00B46E26" w:rsidRPr="00754F8D">
        <w:rPr>
          <w:rStyle w:val="NormalTextChar"/>
        </w:rPr>
        <w:t>ea</w:t>
      </w:r>
      <w:r w:rsidRPr="00754F8D">
        <w:rPr>
          <w:rStyle w:val="NormalTextChar"/>
        </w:rPr>
        <w:t>r studies at doses up to approximately 50 mg/kg bw/d</w:t>
      </w:r>
      <w:r w:rsidR="003A5B27" w:rsidRPr="00754F8D">
        <w:rPr>
          <w:rStyle w:val="NormalTextChar"/>
        </w:rPr>
        <w:t xml:space="preserve"> (</w:t>
      </w:r>
      <w:r w:rsidR="003A5B27" w:rsidRPr="00754F8D">
        <w:t>Hodge, 1992</w:t>
      </w:r>
      <w:r w:rsidR="005F703E" w:rsidRPr="00754F8D">
        <w:t>(</w:t>
      </w:r>
      <w:r w:rsidR="003A5B27" w:rsidRPr="00754F8D">
        <w:t>a,b</w:t>
      </w:r>
      <w:r w:rsidR="005F703E" w:rsidRPr="00754F8D">
        <w:t>)</w:t>
      </w:r>
      <w:r w:rsidR="003A5B27" w:rsidRPr="00754F8D">
        <w:t>)</w:t>
      </w:r>
      <w:r w:rsidRPr="00754F8D">
        <w:rPr>
          <w:rStyle w:val="NormalTextChar"/>
        </w:rPr>
        <w:t xml:space="preserve">. Early studies demonstrated that diquat cataractogenesis was independent of ambient </w:t>
      </w:r>
      <w:r w:rsidR="00B67B43" w:rsidRPr="00754F8D">
        <w:rPr>
          <w:rStyle w:val="NormalTextChar"/>
        </w:rPr>
        <w:t>light and</w:t>
      </w:r>
      <w:r w:rsidRPr="00754F8D">
        <w:rPr>
          <w:rStyle w:val="NormalTextChar"/>
        </w:rPr>
        <w:t xml:space="preserve"> could not be am</w:t>
      </w:r>
      <w:r w:rsidRPr="002E1ACD">
        <w:rPr>
          <w:rStyle w:val="NormalTextChar"/>
        </w:rPr>
        <w:t>eliorated by dietary supplementation with ascorbic acid. It has subsequently been suggested that the reductive potential of diquat is involved in cataract formation. Injection of 300 nmol diquat into the eyes of rabbits results in enlargement and vacuolation of the posterior and anterior lens sutures within 1–3 d</w:t>
      </w:r>
      <w:r w:rsidR="00B46E26">
        <w:rPr>
          <w:rStyle w:val="NormalTextChar"/>
        </w:rPr>
        <w:t>ays</w:t>
      </w:r>
      <w:r w:rsidRPr="002E1ACD">
        <w:rPr>
          <w:rStyle w:val="NormalTextChar"/>
        </w:rPr>
        <w:t>, separation of lens fibres within 3–4 d</w:t>
      </w:r>
      <w:r w:rsidR="00B46E26">
        <w:rPr>
          <w:rStyle w:val="NormalTextChar"/>
        </w:rPr>
        <w:t>ays</w:t>
      </w:r>
      <w:r w:rsidRPr="002E1ACD">
        <w:rPr>
          <w:rStyle w:val="NormalTextChar"/>
        </w:rPr>
        <w:t xml:space="preserve"> and complete opacity of the lens within 4–6 </w:t>
      </w:r>
      <w:r w:rsidR="00B46E26">
        <w:rPr>
          <w:rStyle w:val="NormalTextChar"/>
        </w:rPr>
        <w:t>weeks</w:t>
      </w:r>
      <w:r w:rsidRPr="002E1ACD">
        <w:rPr>
          <w:rStyle w:val="NormalTextChar"/>
        </w:rPr>
        <w:t xml:space="preserve"> after administration</w:t>
      </w:r>
      <w:r w:rsidR="00956BCC" w:rsidRPr="00956BCC">
        <w:t xml:space="preserve"> </w:t>
      </w:r>
      <w:r w:rsidR="00956BCC">
        <w:t>(</w:t>
      </w:r>
      <w:r w:rsidR="00956BCC" w:rsidRPr="00956BCC">
        <w:rPr>
          <w:rStyle w:val="NormalTextChar"/>
        </w:rPr>
        <w:t xml:space="preserve">Bhuyan </w:t>
      </w:r>
      <w:r w:rsidR="00956BCC">
        <w:rPr>
          <w:rStyle w:val="NormalTextChar"/>
        </w:rPr>
        <w:t>and</w:t>
      </w:r>
      <w:r w:rsidR="00956BCC" w:rsidRPr="00956BCC">
        <w:rPr>
          <w:rStyle w:val="NormalTextChar"/>
        </w:rPr>
        <w:t xml:space="preserve"> Bhuyan</w:t>
      </w:r>
      <w:r w:rsidR="00956BCC">
        <w:rPr>
          <w:rStyle w:val="NormalTextChar"/>
        </w:rPr>
        <w:t xml:space="preserve">, </w:t>
      </w:r>
      <w:r w:rsidR="00956BCC" w:rsidRPr="00956BCC">
        <w:rPr>
          <w:rStyle w:val="NormalTextChar"/>
        </w:rPr>
        <w:t>1994)</w:t>
      </w:r>
      <w:r w:rsidRPr="002E1ACD">
        <w:rPr>
          <w:rStyle w:val="NormalTextChar"/>
        </w:rPr>
        <w:t xml:space="preserve">. These observations correlate with increased intra-ocular formation of oxy and hydroxyl radicals and </w:t>
      </w:r>
      <w:r w:rsidR="00035302">
        <w:rPr>
          <w:rStyle w:val="NormalTextChar"/>
        </w:rPr>
        <w:t>hydrogen peroxide (</w:t>
      </w:r>
      <w:r w:rsidRPr="002E1ACD">
        <w:rPr>
          <w:rStyle w:val="NormalTextChar"/>
        </w:rPr>
        <w:t>H</w:t>
      </w:r>
      <w:r w:rsidRPr="00D471B2">
        <w:rPr>
          <w:rStyle w:val="NormalTextChar"/>
          <w:vertAlign w:val="subscript"/>
        </w:rPr>
        <w:t>2</w:t>
      </w:r>
      <w:r w:rsidRPr="002E1ACD">
        <w:rPr>
          <w:rStyle w:val="NormalTextChar"/>
        </w:rPr>
        <w:t>O</w:t>
      </w:r>
      <w:r w:rsidRPr="00D471B2">
        <w:rPr>
          <w:rStyle w:val="NormalTextChar"/>
          <w:vertAlign w:val="subscript"/>
        </w:rPr>
        <w:t>2</w:t>
      </w:r>
      <w:r w:rsidR="00035302">
        <w:rPr>
          <w:rStyle w:val="NormalTextChar"/>
        </w:rPr>
        <w:t>),</w:t>
      </w:r>
      <w:r w:rsidRPr="002E1ACD">
        <w:rPr>
          <w:rStyle w:val="NormalTextChar"/>
        </w:rPr>
        <w:t xml:space="preserve"> produced by the reaction of diquat free radical with O</w:t>
      </w:r>
      <w:r w:rsidRPr="00D471B2">
        <w:rPr>
          <w:rStyle w:val="NormalTextChar"/>
          <w:vertAlign w:val="subscript"/>
        </w:rPr>
        <w:t>2</w:t>
      </w:r>
      <w:r w:rsidRPr="002E1ACD">
        <w:rPr>
          <w:rStyle w:val="NormalTextChar"/>
        </w:rPr>
        <w:t>. While the mechanisms underlying diquat cataractogenesis in laboratory species would also operate in humans, there has been no evidence that diquat has caused cataracts to develop in humans, even among occupationally exposed persons.</w:t>
      </w:r>
    </w:p>
    <w:p w14:paraId="2AB99FE8" w14:textId="31E5B2BC" w:rsidR="000A4915" w:rsidRPr="00452764" w:rsidRDefault="00306EBA" w:rsidP="00452764">
      <w:pPr>
        <w:pStyle w:val="Heading4"/>
      </w:pPr>
      <w:r w:rsidRPr="00452764">
        <w:t>Renal toxicity</w:t>
      </w:r>
    </w:p>
    <w:p w14:paraId="4E8CCFF4" w14:textId="195CEA42" w:rsidR="00306EBA" w:rsidRPr="00656980" w:rsidRDefault="00306EBA" w:rsidP="00E87B29">
      <w:pPr>
        <w:pStyle w:val="NormalText"/>
        <w:rPr>
          <w:rStyle w:val="NormalTextChar"/>
        </w:rPr>
      </w:pPr>
      <w:r w:rsidRPr="00656980">
        <w:rPr>
          <w:rStyle w:val="NormalTextChar"/>
        </w:rPr>
        <w:t>The kidney is the major route of excretion of diquat and is the organ in which the highest tissue residue levels of the chemical are found</w:t>
      </w:r>
      <w:r w:rsidR="00CC2929">
        <w:rPr>
          <w:rStyle w:val="NormalTextChar"/>
        </w:rPr>
        <w:t xml:space="preserve">. </w:t>
      </w:r>
      <w:r w:rsidR="00E27044">
        <w:rPr>
          <w:rStyle w:val="NormalTextChar"/>
        </w:rPr>
        <w:t>The</w:t>
      </w:r>
      <w:r w:rsidR="00CC2929">
        <w:rPr>
          <w:rStyle w:val="NormalTextChar"/>
        </w:rPr>
        <w:t xml:space="preserve"> kidney</w:t>
      </w:r>
      <w:r w:rsidRPr="00656980">
        <w:rPr>
          <w:rStyle w:val="NormalTextChar"/>
        </w:rPr>
        <w:t xml:space="preserve"> is </w:t>
      </w:r>
      <w:r w:rsidR="00D471B2">
        <w:rPr>
          <w:rStyle w:val="NormalTextChar"/>
        </w:rPr>
        <w:t xml:space="preserve">therefore </w:t>
      </w:r>
      <w:r w:rsidRPr="00656980">
        <w:rPr>
          <w:rStyle w:val="NormalTextChar"/>
        </w:rPr>
        <w:t xml:space="preserve">vulnerable to cellular injury caused by superoxide anions </w:t>
      </w:r>
      <w:r w:rsidRPr="00656980">
        <w:rPr>
          <w:rStyle w:val="NormalTextChar"/>
        </w:rPr>
        <w:lastRenderedPageBreak/>
        <w:t>generated from diquat by redox cycling. In primates and humans, the impairment and loss of renal function following acute poisoning with diquat has been well documented, as has the destruction and shedding of cells lining the renal tubule.</w:t>
      </w:r>
    </w:p>
    <w:p w14:paraId="0B12B3E4" w14:textId="259C88AE" w:rsidR="00306EBA" w:rsidRDefault="00306EBA" w:rsidP="00E87B29">
      <w:pPr>
        <w:pStyle w:val="NormalText"/>
      </w:pPr>
      <w:r>
        <w:t xml:space="preserve">Renal toxicity has also been observed in repeat-dose studies with diquat, affecting mice, rats and dogs. Of these </w:t>
      </w:r>
      <w:r w:rsidR="00D471B2">
        <w:t>3</w:t>
      </w:r>
      <w:r w:rsidR="00CC2929">
        <w:t> </w:t>
      </w:r>
      <w:r>
        <w:t>species, the rat appears to be the most sensitive, developing renal imp</w:t>
      </w:r>
      <w:r w:rsidRPr="00754F8D">
        <w:t>airment at and above 2.9 mg/kg bw/d during the second half of a 2-</w:t>
      </w:r>
      <w:r w:rsidR="00B46E26" w:rsidRPr="00754F8D">
        <w:t>year</w:t>
      </w:r>
      <w:r w:rsidRPr="00754F8D">
        <w:t xml:space="preserve"> study, although without any associated morphological abnormalities</w:t>
      </w:r>
      <w:r w:rsidR="00956BCC" w:rsidRPr="00754F8D">
        <w:t xml:space="preserve"> (</w:t>
      </w:r>
      <w:r w:rsidR="00956BCC" w:rsidRPr="00754F8D">
        <w:rPr>
          <w:snapToGrid w:val="0"/>
        </w:rPr>
        <w:t xml:space="preserve">Colley </w:t>
      </w:r>
      <w:r w:rsidR="00956BCC" w:rsidRPr="00754F8D">
        <w:rPr>
          <w:iCs/>
          <w:snapToGrid w:val="0"/>
        </w:rPr>
        <w:t>et al, 1985)</w:t>
      </w:r>
      <w:r w:rsidRPr="00754F8D">
        <w:rPr>
          <w:iCs/>
        </w:rPr>
        <w:t xml:space="preserve">. Rats fed 28 mg/kg bw/d diquat over 4 </w:t>
      </w:r>
      <w:r w:rsidR="00B46E26" w:rsidRPr="00754F8D">
        <w:rPr>
          <w:iCs/>
        </w:rPr>
        <w:t>weeks</w:t>
      </w:r>
      <w:r w:rsidRPr="00754F8D">
        <w:rPr>
          <w:iCs/>
        </w:rPr>
        <w:t xml:space="preserve"> disp</w:t>
      </w:r>
      <w:r w:rsidRPr="00754F8D">
        <w:t>layed polyuria whereas those receiving 40</w:t>
      </w:r>
      <w:r w:rsidR="00E747BB">
        <w:t> </w:t>
      </w:r>
      <w:r w:rsidRPr="00754F8D">
        <w:t>mg diquat/kg bw/d in a subchronic study showed an increased tendency to shed renal tubule cells into the urine</w:t>
      </w:r>
      <w:r w:rsidR="004537A0" w:rsidRPr="00754F8D">
        <w:t xml:space="preserve"> (Horner, 1992</w:t>
      </w:r>
      <w:r w:rsidR="0070417A" w:rsidRPr="00754F8D">
        <w:t>(a)</w:t>
      </w:r>
      <w:r w:rsidR="004537A0" w:rsidRPr="00754F8D">
        <w:t>)</w:t>
      </w:r>
      <w:r w:rsidRPr="00754F8D">
        <w:t>. At approximately 22 mg/kg bw/d, parental generation rats in</w:t>
      </w:r>
      <w:r>
        <w:t xml:space="preserve"> a reproduction study had renal tubular dilatation and hypertrophy/hy</w:t>
      </w:r>
      <w:r w:rsidRPr="00754F8D">
        <w:t>perplasia of the collecting duct, whereas their offspring manifested a variety of lesions in the renal cortex, nephrons and papillae</w:t>
      </w:r>
      <w:r w:rsidR="004537A0" w:rsidRPr="00754F8D">
        <w:t xml:space="preserve"> (Hodg</w:t>
      </w:r>
      <w:r w:rsidR="009779C8" w:rsidRPr="00754F8D">
        <w:t>e</w:t>
      </w:r>
      <w:r w:rsidR="004537A0" w:rsidRPr="00754F8D">
        <w:t>, 1990)</w:t>
      </w:r>
      <w:r w:rsidRPr="00754F8D">
        <w:t xml:space="preserve">. Urinary incontinence, renal tubule </w:t>
      </w:r>
      <w:r w:rsidR="00CC2929">
        <w:t xml:space="preserve">dilation </w:t>
      </w:r>
      <w:r w:rsidRPr="00754F8D">
        <w:t xml:space="preserve">and tubular hyaline droplet formation occurred at and above 12 mg/kg bw/d in </w:t>
      </w:r>
      <w:r w:rsidR="00E747BB" w:rsidRPr="00754F8D">
        <w:t>chronically exposed</w:t>
      </w:r>
      <w:r w:rsidRPr="00754F8D">
        <w:t xml:space="preserve"> mice</w:t>
      </w:r>
      <w:r w:rsidR="004537A0" w:rsidRPr="00754F8D">
        <w:t xml:space="preserve"> (Hodge, 1992(a,b)</w:t>
      </w:r>
      <w:r w:rsidRPr="00754F8D">
        <w:t>. Renal enlargement, although not functional impairment, was seen in dogs at the termination of a 1-</w:t>
      </w:r>
      <w:r w:rsidR="00B46E26" w:rsidRPr="00754F8D">
        <w:t>year</w:t>
      </w:r>
      <w:r w:rsidRPr="00754F8D">
        <w:t xml:space="preserve"> dietary study in which they had been treated with diquat at 12.5 mg/kg bw/d</w:t>
      </w:r>
      <w:r w:rsidR="002F490B" w:rsidRPr="00754F8D">
        <w:t xml:space="preserve"> (Hopkins, 1990)</w:t>
      </w:r>
      <w:r w:rsidRPr="00754F8D">
        <w:t>.</w:t>
      </w:r>
    </w:p>
    <w:p w14:paraId="7B2B270D" w14:textId="6252B02B" w:rsidR="00306EBA" w:rsidRPr="00B67B43" w:rsidRDefault="00306EBA" w:rsidP="0059513C">
      <w:pPr>
        <w:pStyle w:val="NormalText"/>
      </w:pPr>
      <w:r w:rsidRPr="00B67B43">
        <w:t>Taken together, these results suggest that the kidney is able to withstand prolonged dietary exposure to diquat at doses equivalent to 10–20% of the LD</w:t>
      </w:r>
      <w:r w:rsidRPr="00D95B6A">
        <w:rPr>
          <w:vertAlign w:val="subscript"/>
        </w:rPr>
        <w:t>50</w:t>
      </w:r>
      <w:r w:rsidRPr="00B67B43">
        <w:t>.</w:t>
      </w:r>
    </w:p>
    <w:p w14:paraId="25E0C9C0" w14:textId="6988A6E2" w:rsidR="000A4915" w:rsidRPr="00452764" w:rsidRDefault="00306EBA" w:rsidP="00452764">
      <w:pPr>
        <w:pStyle w:val="Heading4"/>
        <w:rPr>
          <w:rStyle w:val="NormalTextChar"/>
          <w:rFonts w:ascii="Franklin Gothic Medium" w:hAnsi="Franklin Gothic Medium"/>
          <w:kern w:val="0"/>
          <w:sz w:val="22"/>
          <w:szCs w:val="28"/>
        </w:rPr>
      </w:pPr>
      <w:r w:rsidRPr="00452764">
        <w:t>G</w:t>
      </w:r>
      <w:r w:rsidR="000A4915" w:rsidRPr="00452764">
        <w:t xml:space="preserve">astrointestinal tract </w:t>
      </w:r>
      <w:r w:rsidRPr="00452764">
        <w:t>toxicity</w:t>
      </w:r>
    </w:p>
    <w:p w14:paraId="41861010" w14:textId="40F788D2" w:rsidR="00306EBA" w:rsidRPr="00754F8D" w:rsidRDefault="000A4915" w:rsidP="002E1ACD">
      <w:pPr>
        <w:pStyle w:val="NormalText"/>
        <w:rPr>
          <w:rStyle w:val="NormalTextChar"/>
        </w:rPr>
      </w:pPr>
      <w:r w:rsidRPr="002E1ACD">
        <w:rPr>
          <w:rStyle w:val="NormalTextChar"/>
        </w:rPr>
        <w:t>C</w:t>
      </w:r>
      <w:r w:rsidR="00306EBA" w:rsidRPr="002E1ACD">
        <w:rPr>
          <w:rStyle w:val="NormalTextChar"/>
        </w:rPr>
        <w:t>onsistent with its inflammatory and destructive effects on the</w:t>
      </w:r>
      <w:r w:rsidR="00A80E27" w:rsidRPr="00A80E27">
        <w:t xml:space="preserve"> </w:t>
      </w:r>
      <w:r w:rsidR="00A80E27">
        <w:rPr>
          <w:rStyle w:val="NormalTextChar"/>
        </w:rPr>
        <w:t>g</w:t>
      </w:r>
      <w:r w:rsidR="00A80E27" w:rsidRPr="00A80E27">
        <w:rPr>
          <w:rStyle w:val="NormalTextChar"/>
        </w:rPr>
        <w:t>astrointestinal tract</w:t>
      </w:r>
      <w:r w:rsidR="00306EBA" w:rsidRPr="002E1ACD">
        <w:rPr>
          <w:rStyle w:val="NormalTextChar"/>
        </w:rPr>
        <w:t xml:space="preserve"> </w:t>
      </w:r>
      <w:r w:rsidR="00A80E27">
        <w:rPr>
          <w:rStyle w:val="NormalTextChar"/>
        </w:rPr>
        <w:t>(</w:t>
      </w:r>
      <w:r w:rsidR="00306EBA" w:rsidRPr="002E1ACD">
        <w:rPr>
          <w:rStyle w:val="NormalTextChar"/>
        </w:rPr>
        <w:t>GIT</w:t>
      </w:r>
      <w:r w:rsidR="00A80E27">
        <w:rPr>
          <w:rStyle w:val="NormalTextChar"/>
        </w:rPr>
        <w:t>)</w:t>
      </w:r>
      <w:r w:rsidR="00306EBA" w:rsidRPr="002E1ACD">
        <w:rPr>
          <w:rStyle w:val="NormalTextChar"/>
        </w:rPr>
        <w:t xml:space="preserve"> epithelium subsequent to acute administration, diquat also causes similar lesions after repeated dosing. In developmental studies, stomach and intestinal inflammation and other abnormalities were found in some rabbit dams gavaged at 5 and 10</w:t>
      </w:r>
      <w:r w:rsidR="00E747BB">
        <w:rPr>
          <w:rStyle w:val="NormalTextChar"/>
        </w:rPr>
        <w:t> </w:t>
      </w:r>
      <w:r w:rsidR="00306EBA" w:rsidRPr="002E1ACD">
        <w:rPr>
          <w:rStyle w:val="NormalTextChar"/>
        </w:rPr>
        <w:t>mg/kg bw/d. Short-term repeat-dose, subchronic and chronic studies in rats and dogs showed that these species are highly sensitive to irritant effects on the mouth, stomach and intestine when treated with diquat by dietary admixture. Indeed, the maximum dose was li</w:t>
      </w:r>
      <w:r w:rsidR="00306EBA" w:rsidRPr="00754F8D">
        <w:rPr>
          <w:rStyle w:val="NormalTextChar"/>
        </w:rPr>
        <w:t>mited by ulceration and development of other lesions within the oral cavity. Even comparatively low concentrations of diquat in the feed caused macro- and microscopically detectable changes in intestinal morphology. A 1-</w:t>
      </w:r>
      <w:r w:rsidR="00B46E26" w:rsidRPr="00754F8D">
        <w:rPr>
          <w:rStyle w:val="NormalTextChar"/>
        </w:rPr>
        <w:t>year</w:t>
      </w:r>
      <w:r w:rsidR="00306EBA" w:rsidRPr="00754F8D">
        <w:rPr>
          <w:rStyle w:val="NormalTextChar"/>
        </w:rPr>
        <w:t xml:space="preserve"> study by Hopkins (1990) recorded inflammation and hypertrophy of the intestine in dogs receiving 0.5 mg diquat/kg bw/d or more.</w:t>
      </w:r>
    </w:p>
    <w:p w14:paraId="4F2316D8" w14:textId="57265898" w:rsidR="00306EBA" w:rsidRPr="00754F8D" w:rsidRDefault="00306EBA" w:rsidP="00E747BB">
      <w:pPr>
        <w:pStyle w:val="Heading3"/>
      </w:pPr>
      <w:bookmarkStart w:id="70" w:name="_Toc46842349"/>
      <w:bookmarkStart w:id="71" w:name="_Toc233038941"/>
      <w:r w:rsidRPr="00754F8D">
        <w:t>Gen</w:t>
      </w:r>
      <w:r w:rsidR="00F0098B">
        <w:t>otoxicity</w:t>
      </w:r>
      <w:bookmarkEnd w:id="70"/>
      <w:bookmarkEnd w:id="71"/>
    </w:p>
    <w:p w14:paraId="10303EEE" w14:textId="59C6D407" w:rsidR="00306EBA" w:rsidRPr="005F703E" w:rsidRDefault="00306EBA" w:rsidP="00306EBA">
      <w:pPr>
        <w:pStyle w:val="NormalText"/>
      </w:pPr>
      <w:r w:rsidRPr="00754F8D">
        <w:t xml:space="preserve">Diquat has been assayed for genotoxicity in a wide variety of </w:t>
      </w:r>
      <w:r w:rsidRPr="00754F8D">
        <w:rPr>
          <w:i/>
        </w:rPr>
        <w:t>in vitro</w:t>
      </w:r>
      <w:r w:rsidRPr="00754F8D">
        <w:t xml:space="preserve"> and </w:t>
      </w:r>
      <w:r w:rsidRPr="00754F8D">
        <w:rPr>
          <w:i/>
        </w:rPr>
        <w:t>in vivo</w:t>
      </w:r>
      <w:r w:rsidRPr="00754F8D">
        <w:t xml:space="preserve"> test systems. Negative results have been obtained in assays for reverse mutation in bacteria</w:t>
      </w:r>
      <w:r w:rsidR="00A75F38" w:rsidRPr="00754F8D">
        <w:rPr>
          <w:snapToGrid w:val="0"/>
        </w:rPr>
        <w:t xml:space="preserve"> </w:t>
      </w:r>
      <w:r w:rsidR="000B2E54" w:rsidRPr="00754F8D">
        <w:rPr>
          <w:snapToGrid w:val="0"/>
        </w:rPr>
        <w:t>(</w:t>
      </w:r>
      <w:r w:rsidR="00A75F38" w:rsidRPr="00754F8D">
        <w:rPr>
          <w:snapToGrid w:val="0"/>
        </w:rPr>
        <w:t>Callander</w:t>
      </w:r>
      <w:r w:rsidR="000B2E54" w:rsidRPr="00754F8D">
        <w:rPr>
          <w:snapToGrid w:val="0"/>
        </w:rPr>
        <w:t xml:space="preserve">, </w:t>
      </w:r>
      <w:r w:rsidR="00A75F38" w:rsidRPr="00754F8D">
        <w:rPr>
          <w:snapToGrid w:val="0"/>
        </w:rPr>
        <w:t>1986</w:t>
      </w:r>
      <w:r w:rsidR="008719DD">
        <w:rPr>
          <w:snapToGrid w:val="0"/>
        </w:rPr>
        <w:t xml:space="preserve"> </w:t>
      </w:r>
      <w:r w:rsidR="000B2E54" w:rsidRPr="00754F8D">
        <w:rPr>
          <w:snapToGrid w:val="0"/>
        </w:rPr>
        <w:t>(</w:t>
      </w:r>
      <w:r w:rsidR="00A75F38" w:rsidRPr="00754F8D">
        <w:rPr>
          <w:snapToGrid w:val="0"/>
        </w:rPr>
        <w:t>a</w:t>
      </w:r>
      <w:r w:rsidR="000B2E54" w:rsidRPr="00754F8D">
        <w:rPr>
          <w:snapToGrid w:val="0"/>
        </w:rPr>
        <w:t>,</w:t>
      </w:r>
      <w:r w:rsidR="00A75F38" w:rsidRPr="00754F8D">
        <w:rPr>
          <w:snapToGrid w:val="0"/>
        </w:rPr>
        <w:t>b)</w:t>
      </w:r>
      <w:r w:rsidR="000B2E54" w:rsidRPr="00754F8D">
        <w:rPr>
          <w:snapToGrid w:val="0"/>
        </w:rPr>
        <w:t>),</w:t>
      </w:r>
      <w:r w:rsidRPr="00754F8D">
        <w:t xml:space="preserve"> recessive lethal mutation in insects</w:t>
      </w:r>
      <w:r w:rsidR="00A75F38" w:rsidRPr="00754F8D">
        <w:rPr>
          <w:snapToGrid w:val="0"/>
        </w:rPr>
        <w:t xml:space="preserve"> </w:t>
      </w:r>
      <w:r w:rsidR="000B2E54" w:rsidRPr="00754F8D">
        <w:rPr>
          <w:snapToGrid w:val="0"/>
        </w:rPr>
        <w:t>(</w:t>
      </w:r>
      <w:r w:rsidR="00A75F38" w:rsidRPr="00754F8D">
        <w:rPr>
          <w:snapToGrid w:val="0"/>
        </w:rPr>
        <w:t>Benes and Sram</w:t>
      </w:r>
      <w:r w:rsidR="000B2E54" w:rsidRPr="00754F8D">
        <w:rPr>
          <w:snapToGrid w:val="0"/>
        </w:rPr>
        <w:t xml:space="preserve">, </w:t>
      </w:r>
      <w:r w:rsidR="00A75F38" w:rsidRPr="00754F8D">
        <w:rPr>
          <w:snapToGrid w:val="0"/>
        </w:rPr>
        <w:t>1969)</w:t>
      </w:r>
      <w:r w:rsidRPr="00754F8D">
        <w:t>, dominant lethal mutation in mice</w:t>
      </w:r>
      <w:r w:rsidR="00A75F38" w:rsidRPr="00754F8D">
        <w:t xml:space="preserve"> </w:t>
      </w:r>
      <w:r w:rsidR="00A75F38" w:rsidRPr="00754F8D">
        <w:rPr>
          <w:snapToGrid w:val="0"/>
        </w:rPr>
        <w:t>(</w:t>
      </w:r>
      <w:r w:rsidR="000B2E54" w:rsidRPr="00754F8D">
        <w:t xml:space="preserve">Pasi et al ,1974; </w:t>
      </w:r>
      <w:r w:rsidR="00A75F38" w:rsidRPr="00754F8D">
        <w:t>McGre</w:t>
      </w:r>
      <w:r w:rsidR="00A75F38" w:rsidRPr="00754F8D">
        <w:rPr>
          <w:snapToGrid w:val="0"/>
        </w:rPr>
        <w:t>gor</w:t>
      </w:r>
      <w:r w:rsidR="000B2E54" w:rsidRPr="00754F8D">
        <w:rPr>
          <w:snapToGrid w:val="0"/>
        </w:rPr>
        <w:t xml:space="preserve">, </w:t>
      </w:r>
      <w:r w:rsidR="00A75F38" w:rsidRPr="00754F8D">
        <w:rPr>
          <w:snapToGrid w:val="0"/>
        </w:rPr>
        <w:t>1974),</w:t>
      </w:r>
      <w:r w:rsidRPr="00754F8D">
        <w:t xml:space="preserve"> clastogenic activity in mice </w:t>
      </w:r>
      <w:r w:rsidR="000B2E54" w:rsidRPr="00754F8D">
        <w:t>(</w:t>
      </w:r>
      <w:r w:rsidR="00A75F38" w:rsidRPr="00754F8D">
        <w:rPr>
          <w:snapToGrid w:val="0"/>
        </w:rPr>
        <w:t>Sheldon et al</w:t>
      </w:r>
      <w:r w:rsidR="000B2E54" w:rsidRPr="00754F8D">
        <w:rPr>
          <w:snapToGrid w:val="0"/>
        </w:rPr>
        <w:t>,</w:t>
      </w:r>
      <w:r w:rsidR="00A75F38" w:rsidRPr="00754F8D">
        <w:rPr>
          <w:snapToGrid w:val="0"/>
        </w:rPr>
        <w:t xml:space="preserve"> 1986</w:t>
      </w:r>
      <w:r w:rsidR="000B2E54" w:rsidRPr="00754F8D">
        <w:rPr>
          <w:snapToGrid w:val="0"/>
        </w:rPr>
        <w:t xml:space="preserve">) </w:t>
      </w:r>
      <w:r w:rsidRPr="00754F8D">
        <w:t>and rats</w:t>
      </w:r>
      <w:r w:rsidR="00A75F38" w:rsidRPr="00754F8D">
        <w:t xml:space="preserve"> </w:t>
      </w:r>
      <w:r w:rsidR="000B2E54" w:rsidRPr="00754F8D">
        <w:t>(</w:t>
      </w:r>
      <w:r w:rsidR="00A75F38" w:rsidRPr="00754F8D">
        <w:rPr>
          <w:snapToGrid w:val="0"/>
        </w:rPr>
        <w:t>Anderson et al</w:t>
      </w:r>
      <w:r w:rsidR="000B2E54" w:rsidRPr="00754F8D">
        <w:rPr>
          <w:snapToGrid w:val="0"/>
        </w:rPr>
        <w:t>,</w:t>
      </w:r>
      <w:r w:rsidR="00A75F38" w:rsidRPr="00754F8D">
        <w:rPr>
          <w:snapToGrid w:val="0"/>
        </w:rPr>
        <w:t xml:space="preserve"> 1978</w:t>
      </w:r>
      <w:r w:rsidR="000B2E54" w:rsidRPr="00754F8D">
        <w:rPr>
          <w:snapToGrid w:val="0"/>
        </w:rPr>
        <w:t>)</w:t>
      </w:r>
      <w:r w:rsidRPr="00754F8D">
        <w:t>, and unschedule</w:t>
      </w:r>
      <w:r>
        <w:t>d DNA synthesis in rats</w:t>
      </w:r>
      <w:r w:rsidR="00A75F38" w:rsidRPr="00A75F38">
        <w:rPr>
          <w:snapToGrid w:val="0"/>
        </w:rPr>
        <w:t xml:space="preserve"> </w:t>
      </w:r>
      <w:r w:rsidR="008D6001">
        <w:rPr>
          <w:snapToGrid w:val="0"/>
        </w:rPr>
        <w:t>(</w:t>
      </w:r>
      <w:r w:rsidR="00A75F38">
        <w:rPr>
          <w:snapToGrid w:val="0"/>
        </w:rPr>
        <w:t>Trueman</w:t>
      </w:r>
      <w:r w:rsidR="008D6001">
        <w:rPr>
          <w:snapToGrid w:val="0"/>
        </w:rPr>
        <w:t xml:space="preserve"> RW, </w:t>
      </w:r>
      <w:r w:rsidR="00A75F38">
        <w:rPr>
          <w:snapToGrid w:val="0"/>
        </w:rPr>
        <w:t>1987)</w:t>
      </w:r>
      <w:r>
        <w:t>. Although diquat has caused forward mutation and clastogenicity in cultured mammalian cells, these effects were observed only in the presence of marked cytotoxicity, and so are not indicative of ge</w:t>
      </w:r>
      <w:r w:rsidRPr="005F703E">
        <w:t xml:space="preserve">notoxic activity </w:t>
      </w:r>
      <w:r w:rsidRPr="005F703E">
        <w:rPr>
          <w:i/>
        </w:rPr>
        <w:t>per se</w:t>
      </w:r>
      <w:r w:rsidR="00A75F38" w:rsidRPr="005F703E">
        <w:rPr>
          <w:snapToGrid w:val="0"/>
        </w:rPr>
        <w:t xml:space="preserve"> </w:t>
      </w:r>
      <w:r w:rsidR="008D6001" w:rsidRPr="005F703E">
        <w:rPr>
          <w:snapToGrid w:val="0"/>
        </w:rPr>
        <w:t>(</w:t>
      </w:r>
      <w:r w:rsidR="00A75F38" w:rsidRPr="005F703E">
        <w:rPr>
          <w:snapToGrid w:val="0"/>
        </w:rPr>
        <w:t>Richardson</w:t>
      </w:r>
      <w:r w:rsidR="008D6001" w:rsidRPr="005F703E">
        <w:rPr>
          <w:snapToGrid w:val="0"/>
        </w:rPr>
        <w:t xml:space="preserve"> </w:t>
      </w:r>
      <w:r w:rsidR="00A75F38" w:rsidRPr="005F703E">
        <w:rPr>
          <w:snapToGrid w:val="0"/>
        </w:rPr>
        <w:t>et al</w:t>
      </w:r>
      <w:r w:rsidR="008D6001" w:rsidRPr="005F703E">
        <w:rPr>
          <w:i/>
          <w:snapToGrid w:val="0"/>
        </w:rPr>
        <w:t>,</w:t>
      </w:r>
      <w:r w:rsidR="00A75F38" w:rsidRPr="005F703E">
        <w:rPr>
          <w:snapToGrid w:val="0"/>
        </w:rPr>
        <w:t xml:space="preserve"> 1986</w:t>
      </w:r>
      <w:r w:rsidR="008D6001" w:rsidRPr="005F703E">
        <w:rPr>
          <w:snapToGrid w:val="0"/>
        </w:rPr>
        <w:t xml:space="preserve">; </w:t>
      </w:r>
      <w:r w:rsidR="00A75F38" w:rsidRPr="005F703E">
        <w:rPr>
          <w:snapToGrid w:val="0"/>
        </w:rPr>
        <w:t>Wildgoose</w:t>
      </w:r>
      <w:r w:rsidR="008D6001" w:rsidRPr="005F703E">
        <w:rPr>
          <w:snapToGrid w:val="0"/>
        </w:rPr>
        <w:t xml:space="preserve"> </w:t>
      </w:r>
      <w:r w:rsidR="00A75F38" w:rsidRPr="005F703E">
        <w:rPr>
          <w:snapToGrid w:val="0"/>
        </w:rPr>
        <w:t>et al</w:t>
      </w:r>
      <w:r w:rsidR="008D6001" w:rsidRPr="005F703E">
        <w:rPr>
          <w:snapToGrid w:val="0"/>
        </w:rPr>
        <w:t>,</w:t>
      </w:r>
      <w:r w:rsidR="00A75F38" w:rsidRPr="005F703E">
        <w:rPr>
          <w:snapToGrid w:val="0"/>
        </w:rPr>
        <w:t xml:space="preserve"> 1986)</w:t>
      </w:r>
      <w:r w:rsidRPr="005F703E">
        <w:t>.</w:t>
      </w:r>
      <w:bookmarkStart w:id="72" w:name="_Toc46842350"/>
    </w:p>
    <w:p w14:paraId="25EAD780" w14:textId="77777777" w:rsidR="00306EBA" w:rsidRPr="005F703E" w:rsidRDefault="00306EBA" w:rsidP="00E747BB">
      <w:pPr>
        <w:pStyle w:val="Heading3"/>
      </w:pPr>
      <w:bookmarkStart w:id="73" w:name="_Toc233038942"/>
      <w:r w:rsidRPr="005F703E">
        <w:t>Carcinogenicity</w:t>
      </w:r>
      <w:bookmarkEnd w:id="72"/>
      <w:bookmarkEnd w:id="73"/>
    </w:p>
    <w:p w14:paraId="3D5A1554" w14:textId="18081F02" w:rsidR="00306EBA" w:rsidRPr="00D95B6A" w:rsidRDefault="00306EBA" w:rsidP="00306EBA">
      <w:pPr>
        <w:pStyle w:val="NormalText"/>
      </w:pPr>
      <w:r w:rsidRPr="005F703E">
        <w:t>Long-term feeding studies in mice and rats revealed no evidence that di</w:t>
      </w:r>
      <w:r w:rsidRPr="00D95B6A">
        <w:t>quat was carcinogenic</w:t>
      </w:r>
      <w:r w:rsidR="005F703E" w:rsidRPr="00D95B6A">
        <w:t xml:space="preserve"> (Colley, 1995; Hodge, 1992(a,b); Harling et al, 1997)</w:t>
      </w:r>
      <w:r w:rsidRPr="00D95B6A">
        <w:t>.</w:t>
      </w:r>
    </w:p>
    <w:p w14:paraId="43F10A76" w14:textId="12198315" w:rsidR="00306EBA" w:rsidRPr="009779C8" w:rsidRDefault="00306EBA" w:rsidP="00E747BB">
      <w:pPr>
        <w:pStyle w:val="Heading3"/>
      </w:pPr>
      <w:bookmarkStart w:id="74" w:name="_Toc46842351"/>
      <w:bookmarkStart w:id="75" w:name="_Toc233038943"/>
      <w:r w:rsidRPr="00D95B6A">
        <w:lastRenderedPageBreak/>
        <w:t>Reproduction studies</w:t>
      </w:r>
      <w:bookmarkEnd w:id="74"/>
      <w:bookmarkEnd w:id="75"/>
    </w:p>
    <w:p w14:paraId="112B2DA2" w14:textId="7FF09128" w:rsidR="00306EBA" w:rsidRPr="00D95B6A" w:rsidRDefault="00306EBA" w:rsidP="00306EBA">
      <w:pPr>
        <w:pStyle w:val="NormalText"/>
      </w:pPr>
      <w:r w:rsidRPr="009779C8">
        <w:t xml:space="preserve">Diquat does not cause reproductive toxicity or foetal developmental </w:t>
      </w:r>
      <w:r w:rsidR="00E747BB" w:rsidRPr="009779C8">
        <w:t>malformations but</w:t>
      </w:r>
      <w:r w:rsidRPr="009779C8">
        <w:t xml:space="preserve"> is </w:t>
      </w:r>
      <w:r w:rsidR="00E747BB" w:rsidRPr="009779C8">
        <w:t>fetotoxic</w:t>
      </w:r>
      <w:r w:rsidRPr="009779C8">
        <w:t xml:space="preserve"> at maternally toxic doses. In adequate multi-generation rat studies, cataracts, oral cavity lesions and impeded food utilisation occurred in parental animals, consistent with effects noted in so</w:t>
      </w:r>
      <w:r w:rsidRPr="00D95B6A">
        <w:t>me repeat-dose and chronic studies</w:t>
      </w:r>
      <w:r w:rsidR="009779C8" w:rsidRPr="00D95B6A">
        <w:t xml:space="preserve"> (Griffiths et al, 1966; Fletcher et al, 1972; Hodge, 1990)</w:t>
      </w:r>
      <w:r w:rsidRPr="00D95B6A">
        <w:t>. These findings were accompanied by reduced litter size, pup b</w:t>
      </w:r>
      <w:r w:rsidR="009779C8" w:rsidRPr="00D95B6A">
        <w:t>odyweight</w:t>
      </w:r>
      <w:r w:rsidRPr="00D95B6A">
        <w:t xml:space="preserve"> and </w:t>
      </w:r>
      <w:r w:rsidR="009779C8" w:rsidRPr="00D95B6A">
        <w:t xml:space="preserve">bodyweight </w:t>
      </w:r>
      <w:r w:rsidRPr="00D95B6A">
        <w:t>gain and functional and morphological evidence of injury to the urinary tract of pups. Cataracts did not occur in pups. The lowest parental NOAEL was 1.4 mg/kg bw/d, while the NOAEL in pups was 7</w:t>
      </w:r>
      <w:r w:rsidR="00E747BB">
        <w:t> </w:t>
      </w:r>
      <w:r w:rsidRPr="00D95B6A">
        <w:t>mg/kg bw/d</w:t>
      </w:r>
      <w:r w:rsidR="009779C8" w:rsidRPr="00D95B6A">
        <w:t xml:space="preserve"> (Griffiths et al, 1966; Fletcher et al 1972)</w:t>
      </w:r>
      <w:r w:rsidRPr="00D95B6A">
        <w:t>.</w:t>
      </w:r>
    </w:p>
    <w:p w14:paraId="051D9122" w14:textId="23CC6B96" w:rsidR="005D6DA0" w:rsidRPr="0043262D" w:rsidRDefault="005D6DA0" w:rsidP="00E747BB">
      <w:pPr>
        <w:pStyle w:val="Heading3"/>
      </w:pPr>
      <w:bookmarkStart w:id="76" w:name="_Toc233038944"/>
      <w:r w:rsidRPr="0043262D">
        <w:t>Development</w:t>
      </w:r>
      <w:r w:rsidR="00CC2929">
        <w:t>al</w:t>
      </w:r>
      <w:r w:rsidRPr="0043262D">
        <w:t xml:space="preserve"> studies</w:t>
      </w:r>
      <w:bookmarkEnd w:id="76"/>
    </w:p>
    <w:p w14:paraId="40824E62" w14:textId="6F3B3B2F" w:rsidR="00306EBA" w:rsidRDefault="00306EBA" w:rsidP="00306EBA">
      <w:pPr>
        <w:pStyle w:val="NormalText"/>
      </w:pPr>
      <w:r w:rsidRPr="0043262D">
        <w:t>In developmental studies, the most sensitive species appears to be the mouse, in which NOAELs for foeto- and materno-toxicity were not established even at the lowest dose of 1 mg/kg bw/d</w:t>
      </w:r>
      <w:r w:rsidR="0043262D">
        <w:t xml:space="preserve"> (</w:t>
      </w:r>
      <w:r w:rsidR="0043262D" w:rsidRPr="0043262D">
        <w:t>Palmer et al</w:t>
      </w:r>
      <w:r w:rsidR="0043262D">
        <w:t>,</w:t>
      </w:r>
      <w:r w:rsidR="0043262D" w:rsidRPr="0043262D">
        <w:t xml:space="preserve"> 1978)</w:t>
      </w:r>
      <w:r w:rsidRPr="0043262D">
        <w:t>. By contrast, rats are more resistant, showing lowest NOAELs of 4 mg/kg bw/d for materno- and foeto-toxicity</w:t>
      </w:r>
      <w:r w:rsidR="0043262D">
        <w:t xml:space="preserve"> (</w:t>
      </w:r>
      <w:r w:rsidR="0043262D" w:rsidRPr="0043262D">
        <w:t>Wickramaratne</w:t>
      </w:r>
      <w:r w:rsidR="0043262D">
        <w:t>,</w:t>
      </w:r>
      <w:r w:rsidR="0043262D" w:rsidRPr="0043262D">
        <w:t xml:space="preserve"> 1989</w:t>
      </w:r>
      <w:r w:rsidR="00950A05">
        <w:t xml:space="preserve"> </w:t>
      </w:r>
      <w:r w:rsidR="0043262D" w:rsidRPr="0043262D">
        <w:t>(a, b))</w:t>
      </w:r>
      <w:r w:rsidRPr="0043262D">
        <w:t>. The lowest maternal and foetal NOAELs in rabbits were 1 and 3 mg/kg bw/d, respectively</w:t>
      </w:r>
      <w:r w:rsidR="0043262D">
        <w:t xml:space="preserve"> (Hodge, 1989</w:t>
      </w:r>
      <w:r w:rsidR="00950A05">
        <w:t xml:space="preserve"> </w:t>
      </w:r>
      <w:r w:rsidR="0043262D">
        <w:t>(b))</w:t>
      </w:r>
      <w:r w:rsidRPr="0043262D">
        <w:t xml:space="preserve">. In all </w:t>
      </w:r>
      <w:r w:rsidR="00D471B2">
        <w:t>3</w:t>
      </w:r>
      <w:r w:rsidR="00E333B3" w:rsidRPr="0043262D">
        <w:t xml:space="preserve"> </w:t>
      </w:r>
      <w:r w:rsidRPr="0043262D">
        <w:t>species, the most consistent toxic signs were depressed maternal b</w:t>
      </w:r>
      <w:r w:rsidR="00E333B3">
        <w:t xml:space="preserve">ody </w:t>
      </w:r>
      <w:r w:rsidRPr="0043262D">
        <w:t>w</w:t>
      </w:r>
      <w:r w:rsidR="00E333B3">
        <w:t>eight</w:t>
      </w:r>
      <w:r w:rsidRPr="0043262D">
        <w:t xml:space="preserve"> gain, foetal viability and foetal growth, and delayed foetal ossification. Ocular injury was never observed in pups or foetuses.</w:t>
      </w:r>
    </w:p>
    <w:p w14:paraId="6205D7B9" w14:textId="77777777" w:rsidR="00306EBA" w:rsidRPr="00452764" w:rsidRDefault="00306EBA" w:rsidP="00452764">
      <w:pPr>
        <w:pStyle w:val="Heading3"/>
      </w:pPr>
      <w:bookmarkStart w:id="77" w:name="_Toc233038945"/>
      <w:r w:rsidRPr="00452764">
        <w:t>Special studies</w:t>
      </w:r>
      <w:bookmarkEnd w:id="77"/>
    </w:p>
    <w:p w14:paraId="1531B10C" w14:textId="1A409103" w:rsidR="00306EBA" w:rsidRPr="00452764" w:rsidRDefault="00306EBA" w:rsidP="00452764">
      <w:pPr>
        <w:pStyle w:val="Heading4"/>
      </w:pPr>
      <w:r w:rsidRPr="00452764">
        <w:t>Neurotoxicity</w:t>
      </w:r>
    </w:p>
    <w:p w14:paraId="2E61CEDC" w14:textId="2F583CE4" w:rsidR="00306EBA" w:rsidRPr="007A6C85" w:rsidRDefault="00306EBA" w:rsidP="00306EBA">
      <w:pPr>
        <w:pStyle w:val="NormalText"/>
      </w:pPr>
      <w:r w:rsidRPr="00C15F8E">
        <w:t>In both humans and animals, diquat is capable of causing</w:t>
      </w:r>
      <w:r w:rsidR="00E333B3">
        <w:t xml:space="preserve"> central nervous system</w:t>
      </w:r>
      <w:r w:rsidRPr="00C15F8E">
        <w:t xml:space="preserve"> </w:t>
      </w:r>
      <w:r w:rsidR="00E333B3">
        <w:t>(</w:t>
      </w:r>
      <w:r w:rsidRPr="00C15F8E">
        <w:t>CNS</w:t>
      </w:r>
      <w:r w:rsidR="00E333B3">
        <w:t>)</w:t>
      </w:r>
      <w:r w:rsidRPr="00C15F8E">
        <w:t xml:space="preserve"> effects at or near lethal doses. Rats given high doses orally or by injection show pupillary dilation, abolition of the light reflex, muscular twitching and convulsions. Intoxicated persons may display nervousness, disorientation and diminished reflexes. Persistent neurological </w:t>
      </w:r>
      <w:r w:rsidRPr="007A6C85">
        <w:t>symptoms have been observed following non-fatal diquat poisoning (Rudez et al. 1999), while grand mal seizures may occur in patients who do not survive. Coma is invariably present in fatal cases. These effects are thought to arise from injury to the brain, in which perivascular haemorrhage, tissue lysis and infarction of the pons are commonly found postmortem</w:t>
      </w:r>
      <w:r w:rsidR="0070417A" w:rsidRPr="007A6C85">
        <w:t xml:space="preserve"> (Jones and Vale, 2000)</w:t>
      </w:r>
      <w:r w:rsidRPr="007A6C85">
        <w:t>.</w:t>
      </w:r>
    </w:p>
    <w:p w14:paraId="79499BEB" w14:textId="58381A4D" w:rsidR="00306EBA" w:rsidRPr="007A6C85" w:rsidRDefault="00306EBA" w:rsidP="00306EBA">
      <w:pPr>
        <w:pStyle w:val="NormalText"/>
      </w:pPr>
      <w:r w:rsidRPr="007A6C85">
        <w:t>Modern acute and repeat-dose neurotoxicity studies with diquat in rats have been assessed</w:t>
      </w:r>
      <w:r w:rsidR="0070417A" w:rsidRPr="007A6C85">
        <w:t xml:space="preserve"> (Horner, 1992</w:t>
      </w:r>
      <w:r w:rsidR="008719DD">
        <w:t xml:space="preserve"> </w:t>
      </w:r>
      <w:r w:rsidR="0070417A" w:rsidRPr="007A6C85">
        <w:t>(a,b))</w:t>
      </w:r>
      <w:r w:rsidRPr="007A6C85">
        <w:t>. There were no behavioural signs indicative of CNS impairment and no pathological features consistent with injury to the brain or peripheral nervous system, at even the highest doses.</w:t>
      </w:r>
    </w:p>
    <w:p w14:paraId="17EF89F3" w14:textId="6C9429C7" w:rsidR="00306EBA" w:rsidRDefault="00306EBA" w:rsidP="00306EBA">
      <w:pPr>
        <w:pStyle w:val="NormalText"/>
      </w:pPr>
      <w:r w:rsidRPr="007A6C85">
        <w:t xml:space="preserve">There is no convincing evidence that diquat induces Parkinson’s disease or any similar condition in humans or animals. Only a small (0.5%) proportion of an </w:t>
      </w:r>
      <w:r w:rsidR="00E333B3">
        <w:t>intravenous (</w:t>
      </w:r>
      <w:r w:rsidR="008A22D1" w:rsidRPr="007A6C85">
        <w:t>IV</w:t>
      </w:r>
      <w:r w:rsidR="00E333B3">
        <w:t>)</w:t>
      </w:r>
      <w:r w:rsidRPr="007A6C85">
        <w:t xml:space="preserve"> dose of diquat is taken up into the mouse brain, from which the chemical becomes rapidly depleted. A search of the available literature has not revealed any other reports associating diquat with Parkinson’s disease in humans.</w:t>
      </w:r>
    </w:p>
    <w:p w14:paraId="5B8BE141" w14:textId="77777777" w:rsidR="00306EBA" w:rsidRPr="00452764" w:rsidRDefault="00306EBA" w:rsidP="00452764">
      <w:pPr>
        <w:pStyle w:val="Heading4"/>
      </w:pPr>
      <w:r w:rsidRPr="00452764">
        <w:t>Human studies</w:t>
      </w:r>
    </w:p>
    <w:p w14:paraId="204D5A60" w14:textId="4D78AC2A" w:rsidR="00306EBA" w:rsidRDefault="00306EBA" w:rsidP="00306EBA">
      <w:pPr>
        <w:pStyle w:val="NormalText"/>
      </w:pPr>
      <w:r>
        <w:t xml:space="preserve">The toxicity of diquat has been well characterised in humans, in part because of the considerable extent and duration of its use as a herbicide, </w:t>
      </w:r>
      <w:r w:rsidR="00E333B3">
        <w:t>as well as</w:t>
      </w:r>
      <w:r>
        <w:t xml:space="preserve"> incidents involving accidental or suicidal ingestion of diquat products.</w:t>
      </w:r>
    </w:p>
    <w:p w14:paraId="5290CD98" w14:textId="7B3F549D" w:rsidR="00306EBA" w:rsidRDefault="00306EBA" w:rsidP="00306EBA">
      <w:pPr>
        <w:pStyle w:val="NormalText"/>
      </w:pPr>
      <w:r>
        <w:lastRenderedPageBreak/>
        <w:t>In general, the symptoms of human exposure to toxicologically significant amounts of diquat are similar to those reported in acute and short-term studies in animals. Due to its irritancy to the skin and mucous membranes, inflammation and bleeding of the nasal mucosa have been observed in people handling crystalline diquat powder under laboratory conditions, and heavy inhalation exposure to diquat spray mist can cause irritation of the upper respiratory tract. Concentrated diquat products have been reported to delay the healing of superficial cuts on the hands of spray operators, and to cause discolouration, growth disturbances and shedding of finger or toenails.</w:t>
      </w:r>
    </w:p>
    <w:p w14:paraId="182C2D51" w14:textId="472CFBC7" w:rsidR="00306EBA" w:rsidRDefault="00306EBA" w:rsidP="00306EBA">
      <w:pPr>
        <w:pStyle w:val="NormalText"/>
      </w:pPr>
      <w:r>
        <w:t>Diquat poisoning is less common than paraquat poisoning, but the misuse of diquat has caused numerous human fatalities and cases requiring hospitalisation. The dark brown to black colour of concentrated diquat solutions has contributed to their being mistaken for soft drinks when decanted from the original container into soft drink bottles. Particularly in Japan and some developing countries, diquat and/or paraquat have been used as an agent of suicide. Since 1987, however, there has been a dec</w:t>
      </w:r>
      <w:r w:rsidRPr="00D95B6A">
        <w:t xml:space="preserve">line in most countries in the total numbers of suicidal deaths, although the mortality rate among persons who have swallowed diquat or paraquat remains high (Reigart </w:t>
      </w:r>
      <w:r w:rsidR="008719DD">
        <w:t>and</w:t>
      </w:r>
      <w:r w:rsidR="008719DD" w:rsidRPr="00D95B6A">
        <w:t xml:space="preserve"> </w:t>
      </w:r>
      <w:r w:rsidRPr="00D95B6A">
        <w:t xml:space="preserve">Roberts 1999). The estimated lowest lethal dose of diquat in humans is 6 g (approximately 85 mg/kg bw); clinical experience suggests that fatality will occur in one third of the cases after an ingested dose of 1–12 g, while intakes of 12 g or more are usually fatal (Jones </w:t>
      </w:r>
      <w:r w:rsidR="008719DD">
        <w:t>and</w:t>
      </w:r>
      <w:r w:rsidR="008719DD" w:rsidRPr="00D95B6A">
        <w:t xml:space="preserve"> </w:t>
      </w:r>
      <w:r w:rsidRPr="00D95B6A">
        <w:t>Vale, 2000).</w:t>
      </w:r>
    </w:p>
    <w:p w14:paraId="71D341E2" w14:textId="22DFB2CF" w:rsidR="00306EBA" w:rsidRPr="00D95B6A" w:rsidRDefault="00306EBA" w:rsidP="00306EBA">
      <w:pPr>
        <w:pStyle w:val="NormalText"/>
      </w:pPr>
      <w:r>
        <w:t>Even though intestinal absorption of diquat is relatively slow, uptake into target organs and tissues occurs within 6–18 h. The early symptoms of ingested diquat poisoning arise from irritation to the oral and gastric mucosa. They include burning pain in the mouth, throat, chest and abdomen, intense nausea</w:t>
      </w:r>
      <w:r w:rsidR="008719DD">
        <w:t xml:space="preserve">, </w:t>
      </w:r>
      <w:r>
        <w:t xml:space="preserve">vomiting and diarrhoea. Blood may appear in the vomitus or faeces. Intestinal paralysis may occur, with pooling of fluid in the gut. The kidney is both the principal organ of excretion and target organ, and renal injury is a prominent feature in cases of diquat poisoning, especially among patients who die. Proteinuria, haematuria and pyuria (excretion of pus) and elevated </w:t>
      </w:r>
      <w:r w:rsidR="00E333B3">
        <w:t>blood urea nitrogen (</w:t>
      </w:r>
      <w:r>
        <w:t>BUN</w:t>
      </w:r>
      <w:r w:rsidR="00E333B3">
        <w:t>)</w:t>
      </w:r>
      <w:r>
        <w:t xml:space="preserve"> may be observed, with possible progression to renal failure. Liver injury may also occur, seen as elevated serum ALP, AST, ALT and LDH activity, sometimes accompanied by jaundice. Some patients display signs of CNS toxicity including nervousness, irritability, restlessness, combativeness, disorientation, nonsensical statements and diminished reflexes. Neurological signs sometimes progress to coma, accompanied by tonic-clonic seizures. Brain stem </w:t>
      </w:r>
      <w:r w:rsidRPr="005E214C">
        <w:t>infarction, particul</w:t>
      </w:r>
      <w:r w:rsidRPr="00D95B6A">
        <w:t xml:space="preserve">arly involving the pons, have been noted consistently in fatal cases. If the patient survives for several hours or days, circulatory function may fail due to dehydration. Hypotension and tachycardia can occur, with shock resulting in death. Toxic cardiomyopathy or a secondary infection such as bronchopneumonia may develop (Reigart </w:t>
      </w:r>
      <w:r w:rsidR="00AE1265">
        <w:t>and</w:t>
      </w:r>
      <w:r w:rsidR="00AE1265" w:rsidRPr="00D95B6A">
        <w:t xml:space="preserve"> </w:t>
      </w:r>
      <w:r w:rsidRPr="00D95B6A">
        <w:t xml:space="preserve">Roberts 1999; Jones </w:t>
      </w:r>
      <w:r w:rsidR="00AE1265">
        <w:t>and</w:t>
      </w:r>
      <w:r w:rsidR="00AE1265" w:rsidRPr="00D95B6A">
        <w:t xml:space="preserve"> </w:t>
      </w:r>
      <w:r w:rsidRPr="00D95B6A">
        <w:t>Vale 2000).</w:t>
      </w:r>
    </w:p>
    <w:p w14:paraId="0B7C00DB" w14:textId="1C08808D" w:rsidR="00840727" w:rsidRDefault="00306EBA" w:rsidP="00840727">
      <w:pPr>
        <w:pStyle w:val="NormalText"/>
      </w:pPr>
      <w:r w:rsidRPr="00D95B6A">
        <w:t xml:space="preserve">There is no antidote, and the single most effective treatment is to prevent absorption of diquat from the GIT by administration of bentonite, Fuller’s earth or activated charcoal. While the use of intestinal lavage has been recommended, its effectiveness is in doubt and it should not be performed later than 1 h post ingestion, due to the risk of inducing bleeding, perforation or scarring in the bowel if it has already suffered irritation, necrotic or other traumatic injury (Reigart </w:t>
      </w:r>
      <w:r w:rsidR="00AE1265">
        <w:t>and</w:t>
      </w:r>
      <w:r w:rsidR="00AE1265" w:rsidRPr="00D95B6A">
        <w:t xml:space="preserve"> </w:t>
      </w:r>
      <w:r w:rsidRPr="00D95B6A">
        <w:t xml:space="preserve">Roberts, 1999; Jones </w:t>
      </w:r>
      <w:r w:rsidR="00AE1265">
        <w:t>and</w:t>
      </w:r>
      <w:r w:rsidR="00AE1265" w:rsidRPr="00D95B6A">
        <w:t xml:space="preserve"> </w:t>
      </w:r>
      <w:r w:rsidRPr="00D95B6A">
        <w:t xml:space="preserve">Vale 2000). Maintenance of adequate urinary output with </w:t>
      </w:r>
      <w:r w:rsidR="00A80E27" w:rsidRPr="00D95B6A">
        <w:t>IV</w:t>
      </w:r>
      <w:r w:rsidRPr="00D95B6A">
        <w:t xml:space="preserve"> fluids is considered to be essential to correct dehydration and metabolic acidosis, accelerate diquat excretion and reduce the concentration of diquat within the renal tubule. However, </w:t>
      </w:r>
      <w:r w:rsidR="00BC0227">
        <w:t>IV</w:t>
      </w:r>
      <w:r w:rsidR="00BC0227" w:rsidRPr="00D95B6A">
        <w:t xml:space="preserve"> </w:t>
      </w:r>
      <w:r w:rsidRPr="00D95B6A">
        <w:t>infusion must cease if renal failure develops, in which case haemodialysis should be performed. Reigart and Roberts (1999) warn that haemodialysis is not effective in clearing diquat from the blood and tissues, probably because the bipyridyl herbicides have a large volume of distribution.</w:t>
      </w:r>
      <w:bookmarkStart w:id="78" w:name="_Toc46842354"/>
      <w:bookmarkStart w:id="79" w:name="_Toc50644748"/>
      <w:bookmarkStart w:id="80" w:name="_Toc157602750"/>
      <w:r w:rsidR="00840727">
        <w:br w:type="page"/>
      </w:r>
    </w:p>
    <w:p w14:paraId="415EFA27" w14:textId="698E19AD" w:rsidR="00306EBA" w:rsidRPr="00452764" w:rsidRDefault="00306EBA" w:rsidP="00452764">
      <w:pPr>
        <w:pStyle w:val="Heading2"/>
      </w:pPr>
      <w:bookmarkStart w:id="81" w:name="_Toc233038946"/>
      <w:r w:rsidRPr="00452764">
        <w:lastRenderedPageBreak/>
        <w:t>Health-based guidance values</w:t>
      </w:r>
      <w:bookmarkEnd w:id="78"/>
      <w:bookmarkEnd w:id="79"/>
      <w:bookmarkEnd w:id="80"/>
      <w:bookmarkEnd w:id="81"/>
    </w:p>
    <w:p w14:paraId="73AF9384" w14:textId="36922102" w:rsidR="00306EBA" w:rsidRPr="000179FF" w:rsidRDefault="00306EBA" w:rsidP="000179FF">
      <w:pPr>
        <w:pStyle w:val="Caption"/>
      </w:pPr>
      <w:bookmarkStart w:id="82" w:name="_Ref158977490"/>
      <w:bookmarkStart w:id="83" w:name="_Toc232589601"/>
      <w:r w:rsidRPr="000179FF">
        <w:t xml:space="preserve">Table </w:t>
      </w:r>
      <w:fldSimple w:instr=" SEQ Table \* ARABIC ">
        <w:r w:rsidR="000179FF">
          <w:rPr>
            <w:noProof/>
          </w:rPr>
          <w:t>6</w:t>
        </w:r>
      </w:fldSimple>
      <w:r w:rsidRPr="000179FF">
        <w:t xml:space="preserve">: Points of </w:t>
      </w:r>
      <w:r w:rsidR="00840727" w:rsidRPr="000179FF">
        <w:t>departure for human health risk assessment</w:t>
      </w:r>
      <w:bookmarkEnd w:id="82"/>
      <w:bookmarkEnd w:id="83"/>
    </w:p>
    <w:tbl>
      <w:tblPr>
        <w:tblW w:w="9638" w:type="dxa"/>
        <w:jc w:val="center"/>
        <w:tblBorders>
          <w:bottom w:val="dotted" w:sz="2" w:space="0" w:color="auto"/>
          <w:insideH w:val="dotted" w:sz="2" w:space="0" w:color="auto"/>
        </w:tblBorders>
        <w:tblCellMar>
          <w:top w:w="28" w:type="dxa"/>
          <w:bottom w:w="28" w:type="dxa"/>
        </w:tblCellMar>
        <w:tblLook w:val="01E0" w:firstRow="1" w:lastRow="1" w:firstColumn="1" w:lastColumn="1" w:noHBand="0" w:noVBand="0"/>
      </w:tblPr>
      <w:tblGrid>
        <w:gridCol w:w="2110"/>
        <w:gridCol w:w="2198"/>
        <w:gridCol w:w="2008"/>
        <w:gridCol w:w="1826"/>
        <w:gridCol w:w="1496"/>
      </w:tblGrid>
      <w:tr w:rsidR="00306EBA" w14:paraId="25230CB2" w14:textId="77777777" w:rsidTr="00840727">
        <w:trPr>
          <w:cantSplit/>
          <w:tblHeader/>
          <w:jc w:val="center"/>
        </w:trPr>
        <w:tc>
          <w:tcPr>
            <w:tcW w:w="4308" w:type="dxa"/>
            <w:gridSpan w:val="2"/>
            <w:tcBorders>
              <w:top w:val="single" w:sz="4" w:space="0" w:color="auto"/>
              <w:bottom w:val="single" w:sz="4" w:space="0" w:color="auto"/>
            </w:tcBorders>
            <w:shd w:val="clear" w:color="auto" w:fill="5C2946"/>
          </w:tcPr>
          <w:p w14:paraId="31BB17A1" w14:textId="397D0169" w:rsidR="00306EBA" w:rsidRPr="009C6C41" w:rsidRDefault="00306EBA" w:rsidP="00840727">
            <w:pPr>
              <w:pStyle w:val="TableHead"/>
            </w:pPr>
            <w:r w:rsidRPr="009C6C41">
              <w:t xml:space="preserve">Study </w:t>
            </w:r>
            <w:r w:rsidR="00840727">
              <w:t>t</w:t>
            </w:r>
            <w:r w:rsidRPr="009C6C41">
              <w:t>ype</w:t>
            </w:r>
          </w:p>
        </w:tc>
        <w:tc>
          <w:tcPr>
            <w:tcW w:w="2008" w:type="dxa"/>
            <w:tcBorders>
              <w:top w:val="single" w:sz="4" w:space="0" w:color="auto"/>
              <w:bottom w:val="single" w:sz="4" w:space="0" w:color="auto"/>
            </w:tcBorders>
            <w:shd w:val="clear" w:color="auto" w:fill="5C2946"/>
          </w:tcPr>
          <w:p w14:paraId="71864BE2" w14:textId="3D2018EC" w:rsidR="00306EBA" w:rsidRPr="009C6C41" w:rsidRDefault="00306EBA" w:rsidP="00840727">
            <w:pPr>
              <w:pStyle w:val="TableHead"/>
            </w:pPr>
            <w:r w:rsidRPr="009C6C41">
              <w:t xml:space="preserve">Key </w:t>
            </w:r>
            <w:r w:rsidR="00840727">
              <w:t>e</w:t>
            </w:r>
            <w:r w:rsidRPr="009C6C41">
              <w:t>ffect</w:t>
            </w:r>
          </w:p>
        </w:tc>
        <w:tc>
          <w:tcPr>
            <w:tcW w:w="1826" w:type="dxa"/>
            <w:tcBorders>
              <w:top w:val="single" w:sz="4" w:space="0" w:color="auto"/>
              <w:bottom w:val="single" w:sz="4" w:space="0" w:color="auto"/>
            </w:tcBorders>
            <w:shd w:val="clear" w:color="auto" w:fill="5C2946"/>
          </w:tcPr>
          <w:p w14:paraId="481A197B" w14:textId="5B45321C" w:rsidR="00306EBA" w:rsidRPr="009C6C41" w:rsidRDefault="00306EBA" w:rsidP="00840727">
            <w:pPr>
              <w:pStyle w:val="TableHead"/>
            </w:pPr>
            <w:r w:rsidRPr="009C6C41">
              <w:t xml:space="preserve">Point of </w:t>
            </w:r>
            <w:r w:rsidR="00840727">
              <w:t>d</w:t>
            </w:r>
            <w:r w:rsidRPr="009C6C41">
              <w:t>eparture</w:t>
            </w:r>
          </w:p>
        </w:tc>
        <w:tc>
          <w:tcPr>
            <w:tcW w:w="1496" w:type="dxa"/>
            <w:tcBorders>
              <w:top w:val="single" w:sz="4" w:space="0" w:color="auto"/>
              <w:bottom w:val="single" w:sz="4" w:space="0" w:color="auto"/>
            </w:tcBorders>
            <w:shd w:val="clear" w:color="auto" w:fill="5C2946"/>
          </w:tcPr>
          <w:p w14:paraId="2C50719B" w14:textId="77777777" w:rsidR="00306EBA" w:rsidRPr="009C6C41" w:rsidRDefault="00306EBA" w:rsidP="00840727">
            <w:pPr>
              <w:pStyle w:val="TableHead"/>
            </w:pPr>
            <w:r>
              <w:t>Reference</w:t>
            </w:r>
          </w:p>
        </w:tc>
      </w:tr>
      <w:tr w:rsidR="00840727" w14:paraId="17B309FD" w14:textId="77777777" w:rsidTr="00825292">
        <w:trPr>
          <w:cantSplit/>
          <w:jc w:val="center"/>
        </w:trPr>
        <w:tc>
          <w:tcPr>
            <w:tcW w:w="9638" w:type="dxa"/>
            <w:gridSpan w:val="5"/>
            <w:tcBorders>
              <w:top w:val="single" w:sz="4" w:space="0" w:color="auto"/>
              <w:bottom w:val="single" w:sz="4" w:space="0" w:color="auto"/>
            </w:tcBorders>
          </w:tcPr>
          <w:p w14:paraId="4E25B58F" w14:textId="61814D2E" w:rsidR="00840727" w:rsidRPr="007F495A" w:rsidRDefault="00840727" w:rsidP="00FB02F4">
            <w:pPr>
              <w:pStyle w:val="TableText"/>
              <w:spacing w:before="0" w:after="0"/>
            </w:pPr>
            <w:r w:rsidRPr="007F495A">
              <w:t>Repeat dose exposure</w:t>
            </w:r>
          </w:p>
        </w:tc>
      </w:tr>
      <w:tr w:rsidR="00D95B6A" w14:paraId="6F16183A" w14:textId="77777777" w:rsidTr="00840727">
        <w:trPr>
          <w:cantSplit/>
          <w:trHeight w:val="1550"/>
          <w:jc w:val="center"/>
        </w:trPr>
        <w:tc>
          <w:tcPr>
            <w:tcW w:w="2110" w:type="dxa"/>
            <w:vMerge w:val="restart"/>
            <w:tcBorders>
              <w:top w:val="single" w:sz="4" w:space="0" w:color="auto"/>
            </w:tcBorders>
          </w:tcPr>
          <w:p w14:paraId="040033BB" w14:textId="57A28BB7" w:rsidR="00D95B6A" w:rsidRPr="00840727" w:rsidRDefault="00D95B6A" w:rsidP="00840727">
            <w:pPr>
              <w:pStyle w:val="TableText"/>
            </w:pPr>
            <w:bookmarkStart w:id="84" w:name="_Hlk159332849"/>
            <w:r w:rsidRPr="00840727">
              <w:t>Short term oral exposure</w:t>
            </w:r>
          </w:p>
        </w:tc>
        <w:tc>
          <w:tcPr>
            <w:tcW w:w="2198" w:type="dxa"/>
            <w:tcBorders>
              <w:top w:val="single" w:sz="4" w:space="0" w:color="auto"/>
            </w:tcBorders>
          </w:tcPr>
          <w:p w14:paraId="16CD3ACB" w14:textId="77777777" w:rsidR="00D95B6A" w:rsidRPr="00840727" w:rsidRDefault="00D95B6A" w:rsidP="00840727">
            <w:pPr>
              <w:pStyle w:val="TableText"/>
            </w:pPr>
            <w:r w:rsidRPr="00840727">
              <w:t>28 day oral (dietary) repeat dose; rat)</w:t>
            </w:r>
          </w:p>
        </w:tc>
        <w:tc>
          <w:tcPr>
            <w:tcW w:w="2008" w:type="dxa"/>
            <w:tcBorders>
              <w:top w:val="single" w:sz="4" w:space="0" w:color="auto"/>
            </w:tcBorders>
          </w:tcPr>
          <w:p w14:paraId="5A553784" w14:textId="77777777" w:rsidR="00D95B6A" w:rsidRPr="00840727" w:rsidRDefault="00D95B6A" w:rsidP="00840727">
            <w:pPr>
              <w:pStyle w:val="TableText"/>
            </w:pPr>
            <w:r w:rsidRPr="00840727">
              <w:t xml:space="preserve">Decreased food consumption, serum chemistry changes, increased urinary volume and increased kidney weight </w:t>
            </w:r>
          </w:p>
        </w:tc>
        <w:tc>
          <w:tcPr>
            <w:tcW w:w="1826" w:type="dxa"/>
            <w:tcBorders>
              <w:top w:val="single" w:sz="4" w:space="0" w:color="auto"/>
            </w:tcBorders>
          </w:tcPr>
          <w:p w14:paraId="123F9E85" w14:textId="77777777" w:rsidR="00D95B6A" w:rsidRPr="00840727" w:rsidRDefault="00D95B6A" w:rsidP="00840727">
            <w:pPr>
              <w:pStyle w:val="TableText"/>
            </w:pPr>
            <w:r w:rsidRPr="00840727">
              <w:t>NOEL 200 ppm, equal to 17 mg/kg bw/day</w:t>
            </w:r>
          </w:p>
          <w:p w14:paraId="2DB10672" w14:textId="77777777" w:rsidR="00D95B6A" w:rsidRPr="00840727" w:rsidRDefault="00D95B6A" w:rsidP="00840727">
            <w:pPr>
              <w:pStyle w:val="TableText"/>
            </w:pPr>
            <w:r w:rsidRPr="00840727">
              <w:t>LOEL 350 ppm, equal to 30 mg/kg bw/day</w:t>
            </w:r>
          </w:p>
        </w:tc>
        <w:tc>
          <w:tcPr>
            <w:tcW w:w="1496" w:type="dxa"/>
            <w:tcBorders>
              <w:top w:val="single" w:sz="4" w:space="0" w:color="auto"/>
            </w:tcBorders>
          </w:tcPr>
          <w:p w14:paraId="7B510ABE" w14:textId="77777777" w:rsidR="00D95B6A" w:rsidRPr="00840727" w:rsidRDefault="00D95B6A" w:rsidP="00840727">
            <w:pPr>
              <w:pStyle w:val="TableText"/>
            </w:pPr>
            <w:r w:rsidRPr="00840727">
              <w:t>Colley et al, 1981</w:t>
            </w:r>
          </w:p>
        </w:tc>
      </w:tr>
      <w:tr w:rsidR="00D95B6A" w14:paraId="76908970" w14:textId="77777777" w:rsidTr="002B2BB3">
        <w:trPr>
          <w:cantSplit/>
          <w:jc w:val="center"/>
        </w:trPr>
        <w:tc>
          <w:tcPr>
            <w:tcW w:w="2110" w:type="dxa"/>
            <w:vMerge/>
          </w:tcPr>
          <w:p w14:paraId="66B55937" w14:textId="77777777" w:rsidR="00D95B6A" w:rsidRPr="00840727" w:rsidRDefault="00D95B6A" w:rsidP="00840727">
            <w:pPr>
              <w:pStyle w:val="TableText"/>
            </w:pPr>
          </w:p>
        </w:tc>
        <w:tc>
          <w:tcPr>
            <w:tcW w:w="2198" w:type="dxa"/>
            <w:tcBorders>
              <w:top w:val="single" w:sz="4" w:space="0" w:color="auto"/>
              <w:bottom w:val="single" w:sz="4" w:space="0" w:color="auto"/>
            </w:tcBorders>
          </w:tcPr>
          <w:p w14:paraId="562C6F71" w14:textId="34DB4A2A" w:rsidR="00D95B6A" w:rsidRPr="00840727" w:rsidRDefault="00D95B6A" w:rsidP="00840727">
            <w:pPr>
              <w:pStyle w:val="TableText"/>
            </w:pPr>
            <w:r w:rsidRPr="00840727">
              <w:t>13 week dietary repeat dose, rat (adult)</w:t>
            </w:r>
          </w:p>
        </w:tc>
        <w:tc>
          <w:tcPr>
            <w:tcW w:w="2008" w:type="dxa"/>
            <w:tcBorders>
              <w:top w:val="single" w:sz="4" w:space="0" w:color="auto"/>
              <w:bottom w:val="single" w:sz="4" w:space="0" w:color="auto"/>
            </w:tcBorders>
          </w:tcPr>
          <w:p w14:paraId="01BC2170" w14:textId="497C3C54" w:rsidR="00D95B6A" w:rsidRPr="00840727" w:rsidRDefault="00D95B6A" w:rsidP="00840727">
            <w:pPr>
              <w:pStyle w:val="TableText"/>
            </w:pPr>
            <w:r w:rsidRPr="00840727">
              <w:t>Reduced weight gain, food consumption and food utilisation. Cataracts developed from week 8 at 500 ppm (40 mg/kg bw/d)</w:t>
            </w:r>
          </w:p>
        </w:tc>
        <w:tc>
          <w:tcPr>
            <w:tcW w:w="1826" w:type="dxa"/>
            <w:tcBorders>
              <w:top w:val="single" w:sz="4" w:space="0" w:color="auto"/>
              <w:bottom w:val="single" w:sz="4" w:space="0" w:color="auto"/>
            </w:tcBorders>
          </w:tcPr>
          <w:p w14:paraId="369462CD" w14:textId="23662415" w:rsidR="00D95B6A" w:rsidRPr="00840727" w:rsidRDefault="00D95B6A" w:rsidP="00840727">
            <w:pPr>
              <w:pStyle w:val="TableText"/>
            </w:pPr>
            <w:r w:rsidRPr="00840727">
              <w:t>NOAEL 100 ppm (8.9 mg/kg bw/day)</w:t>
            </w:r>
          </w:p>
        </w:tc>
        <w:tc>
          <w:tcPr>
            <w:tcW w:w="1496" w:type="dxa"/>
            <w:tcBorders>
              <w:top w:val="single" w:sz="4" w:space="0" w:color="auto"/>
              <w:bottom w:val="single" w:sz="4" w:space="0" w:color="auto"/>
            </w:tcBorders>
          </w:tcPr>
          <w:p w14:paraId="759F2D0F" w14:textId="77777777" w:rsidR="00D95B6A" w:rsidRPr="00840727" w:rsidRDefault="00D95B6A" w:rsidP="00840727">
            <w:pPr>
              <w:pStyle w:val="TableText"/>
            </w:pPr>
            <w:r w:rsidRPr="00840727">
              <w:t>Hodge 1988b and 1989a</w:t>
            </w:r>
          </w:p>
        </w:tc>
      </w:tr>
      <w:tr w:rsidR="00D95B6A" w14:paraId="39DB8071" w14:textId="77777777" w:rsidTr="002B2BB3">
        <w:trPr>
          <w:cantSplit/>
          <w:jc w:val="center"/>
        </w:trPr>
        <w:tc>
          <w:tcPr>
            <w:tcW w:w="2110" w:type="dxa"/>
            <w:vMerge/>
          </w:tcPr>
          <w:p w14:paraId="50556517" w14:textId="77777777" w:rsidR="00D95B6A" w:rsidRPr="00840727" w:rsidRDefault="00D95B6A" w:rsidP="00840727">
            <w:pPr>
              <w:pStyle w:val="TableText"/>
            </w:pPr>
          </w:p>
        </w:tc>
        <w:tc>
          <w:tcPr>
            <w:tcW w:w="2198" w:type="dxa"/>
            <w:tcBorders>
              <w:top w:val="single" w:sz="4" w:space="0" w:color="auto"/>
              <w:bottom w:val="single" w:sz="4" w:space="0" w:color="auto"/>
            </w:tcBorders>
          </w:tcPr>
          <w:p w14:paraId="77140176" w14:textId="67C41FB4" w:rsidR="00D95B6A" w:rsidRPr="00840727" w:rsidRDefault="00D95B6A" w:rsidP="00840727">
            <w:pPr>
              <w:pStyle w:val="TableText"/>
            </w:pPr>
            <w:r w:rsidRPr="00840727">
              <w:t>13 week dietary repeat dose, rat (adult)</w:t>
            </w:r>
          </w:p>
        </w:tc>
        <w:tc>
          <w:tcPr>
            <w:tcW w:w="2008" w:type="dxa"/>
            <w:tcBorders>
              <w:top w:val="single" w:sz="4" w:space="0" w:color="auto"/>
              <w:bottom w:val="single" w:sz="4" w:space="0" w:color="auto"/>
            </w:tcBorders>
          </w:tcPr>
          <w:p w14:paraId="5AC08BF8" w14:textId="2A79DDAC" w:rsidR="00D95B6A" w:rsidRPr="00840727" w:rsidRDefault="00D95B6A" w:rsidP="00840727">
            <w:pPr>
              <w:pStyle w:val="TableText"/>
            </w:pPr>
            <w:r w:rsidRPr="00840727">
              <w:t>Ocular lesions and</w:t>
            </w:r>
          </w:p>
          <w:p w14:paraId="55891177" w14:textId="7010BABB" w:rsidR="00D95B6A" w:rsidRPr="00840727" w:rsidRDefault="00D95B6A" w:rsidP="00840727">
            <w:pPr>
              <w:pStyle w:val="TableText"/>
            </w:pPr>
            <w:r w:rsidRPr="00840727">
              <w:t>lens opacities evident at 300 ppm</w:t>
            </w:r>
          </w:p>
        </w:tc>
        <w:tc>
          <w:tcPr>
            <w:tcW w:w="1826" w:type="dxa"/>
            <w:tcBorders>
              <w:top w:val="single" w:sz="4" w:space="0" w:color="auto"/>
              <w:bottom w:val="single" w:sz="4" w:space="0" w:color="auto"/>
            </w:tcBorders>
          </w:tcPr>
          <w:p w14:paraId="7D12334A" w14:textId="77777777" w:rsidR="00D95B6A" w:rsidRPr="00840727" w:rsidRDefault="00D95B6A" w:rsidP="00840727">
            <w:pPr>
              <w:pStyle w:val="TableText"/>
            </w:pPr>
            <w:r w:rsidRPr="00840727">
              <w:t>NOAEL of 60ppm</w:t>
            </w:r>
          </w:p>
          <w:p w14:paraId="066FD6FA" w14:textId="3921FFC9" w:rsidR="00D95B6A" w:rsidRPr="00840727" w:rsidRDefault="00D95B6A" w:rsidP="00840727">
            <w:pPr>
              <w:pStyle w:val="TableText"/>
            </w:pPr>
            <w:r w:rsidRPr="00840727">
              <w:t>(4.7 mg/kg bw/d)</w:t>
            </w:r>
          </w:p>
        </w:tc>
        <w:tc>
          <w:tcPr>
            <w:tcW w:w="1496" w:type="dxa"/>
            <w:tcBorders>
              <w:top w:val="single" w:sz="4" w:space="0" w:color="auto"/>
              <w:bottom w:val="single" w:sz="4" w:space="0" w:color="auto"/>
            </w:tcBorders>
          </w:tcPr>
          <w:p w14:paraId="0B96F902" w14:textId="1F6ADE9F" w:rsidR="00D95B6A" w:rsidRPr="00840727" w:rsidRDefault="00D95B6A" w:rsidP="00840727">
            <w:pPr>
              <w:pStyle w:val="TableText"/>
            </w:pPr>
            <w:r w:rsidRPr="00840727">
              <w:t xml:space="preserve">Noakes, 2003 </w:t>
            </w:r>
          </w:p>
        </w:tc>
      </w:tr>
      <w:tr w:rsidR="00255682" w14:paraId="6FEA6E54" w14:textId="77777777" w:rsidTr="002B2BB3">
        <w:trPr>
          <w:cantSplit/>
          <w:jc w:val="center"/>
        </w:trPr>
        <w:tc>
          <w:tcPr>
            <w:tcW w:w="2110" w:type="dxa"/>
            <w:tcBorders>
              <w:top w:val="single" w:sz="4" w:space="0" w:color="auto"/>
              <w:bottom w:val="single" w:sz="4" w:space="0" w:color="auto"/>
            </w:tcBorders>
          </w:tcPr>
          <w:p w14:paraId="45A52886" w14:textId="77777777" w:rsidR="00255682" w:rsidRPr="00840727" w:rsidRDefault="00255682" w:rsidP="00840727">
            <w:pPr>
              <w:pStyle w:val="TableText"/>
            </w:pPr>
            <w:r w:rsidRPr="00840727">
              <w:t>Long term oral exposure</w:t>
            </w:r>
          </w:p>
        </w:tc>
        <w:tc>
          <w:tcPr>
            <w:tcW w:w="2198" w:type="dxa"/>
            <w:tcBorders>
              <w:top w:val="single" w:sz="4" w:space="0" w:color="auto"/>
              <w:bottom w:val="single" w:sz="4" w:space="0" w:color="auto"/>
            </w:tcBorders>
          </w:tcPr>
          <w:p w14:paraId="6C1086B3" w14:textId="77777777" w:rsidR="00255682" w:rsidRPr="00840727" w:rsidRDefault="00255682" w:rsidP="00840727">
            <w:pPr>
              <w:pStyle w:val="TableText"/>
            </w:pPr>
            <w:r w:rsidRPr="00840727">
              <w:t>2 year oral (dietary repeat dose; rat (adult)</w:t>
            </w:r>
          </w:p>
        </w:tc>
        <w:tc>
          <w:tcPr>
            <w:tcW w:w="2008" w:type="dxa"/>
            <w:tcBorders>
              <w:top w:val="single" w:sz="4" w:space="0" w:color="auto"/>
              <w:bottom w:val="single" w:sz="4" w:space="0" w:color="auto"/>
            </w:tcBorders>
          </w:tcPr>
          <w:p w14:paraId="510C820E" w14:textId="77777777" w:rsidR="00255682" w:rsidRPr="00840727" w:rsidRDefault="00255682" w:rsidP="00840727">
            <w:pPr>
              <w:pStyle w:val="TableText"/>
            </w:pPr>
            <w:r w:rsidRPr="00840727">
              <w:t>Cataracts</w:t>
            </w:r>
          </w:p>
        </w:tc>
        <w:tc>
          <w:tcPr>
            <w:tcW w:w="1826" w:type="dxa"/>
            <w:tcBorders>
              <w:top w:val="single" w:sz="4" w:space="0" w:color="auto"/>
              <w:bottom w:val="single" w:sz="4" w:space="0" w:color="auto"/>
            </w:tcBorders>
          </w:tcPr>
          <w:p w14:paraId="67E624D5" w14:textId="77777777" w:rsidR="00255682" w:rsidRPr="00840727" w:rsidRDefault="00255682" w:rsidP="00840727">
            <w:pPr>
              <w:pStyle w:val="TableText"/>
            </w:pPr>
            <w:r w:rsidRPr="00840727">
              <w:t>NOEL – 15 ppm 0.58 mg/kg bw/day</w:t>
            </w:r>
          </w:p>
          <w:p w14:paraId="031FDFBE" w14:textId="325A1ACF" w:rsidR="00255682" w:rsidRPr="00840727" w:rsidRDefault="00255682" w:rsidP="00840727">
            <w:pPr>
              <w:pStyle w:val="TableText"/>
            </w:pPr>
            <w:r w:rsidRPr="00840727">
              <w:t>LOEL – 75 ppm</w:t>
            </w:r>
          </w:p>
        </w:tc>
        <w:tc>
          <w:tcPr>
            <w:tcW w:w="1496" w:type="dxa"/>
            <w:tcBorders>
              <w:top w:val="single" w:sz="4" w:space="0" w:color="auto"/>
              <w:bottom w:val="single" w:sz="4" w:space="0" w:color="auto"/>
            </w:tcBorders>
          </w:tcPr>
          <w:p w14:paraId="78D71FC3" w14:textId="10F1894B" w:rsidR="00255682" w:rsidRPr="00840727" w:rsidRDefault="00255682" w:rsidP="00840727">
            <w:pPr>
              <w:pStyle w:val="TableText"/>
            </w:pPr>
            <w:r w:rsidRPr="00840727">
              <w:t>Co</w:t>
            </w:r>
            <w:r w:rsidR="00C52A22" w:rsidRPr="00840727">
              <w:t>l</w:t>
            </w:r>
            <w:r w:rsidRPr="00840727">
              <w:t>ley et al, 1985</w:t>
            </w:r>
          </w:p>
        </w:tc>
      </w:tr>
      <w:tr w:rsidR="00840727" w14:paraId="48E830E7" w14:textId="77777777" w:rsidTr="00D76547">
        <w:trPr>
          <w:cantSplit/>
          <w:jc w:val="center"/>
        </w:trPr>
        <w:tc>
          <w:tcPr>
            <w:tcW w:w="9638" w:type="dxa"/>
            <w:gridSpan w:val="5"/>
            <w:tcBorders>
              <w:top w:val="single" w:sz="4" w:space="0" w:color="auto"/>
              <w:bottom w:val="single" w:sz="4" w:space="0" w:color="auto"/>
            </w:tcBorders>
          </w:tcPr>
          <w:p w14:paraId="44D8B6C3" w14:textId="7CCB6362" w:rsidR="00840727" w:rsidRPr="005E214C" w:rsidRDefault="00840727" w:rsidP="00255682">
            <w:pPr>
              <w:pStyle w:val="TableText"/>
              <w:spacing w:before="0" w:after="0"/>
            </w:pPr>
            <w:r>
              <w:t>Reproduction and development</w:t>
            </w:r>
          </w:p>
        </w:tc>
      </w:tr>
      <w:tr w:rsidR="00255682" w14:paraId="708961B2" w14:textId="77777777" w:rsidTr="002B2BB3">
        <w:trPr>
          <w:cantSplit/>
          <w:jc w:val="center"/>
        </w:trPr>
        <w:tc>
          <w:tcPr>
            <w:tcW w:w="2110" w:type="dxa"/>
            <w:tcBorders>
              <w:top w:val="single" w:sz="4" w:space="0" w:color="auto"/>
              <w:bottom w:val="single" w:sz="4" w:space="0" w:color="auto"/>
            </w:tcBorders>
          </w:tcPr>
          <w:p w14:paraId="0EA8F480" w14:textId="77777777" w:rsidR="00255682" w:rsidRPr="00840727" w:rsidRDefault="00255682" w:rsidP="00840727">
            <w:pPr>
              <w:pStyle w:val="TableText"/>
            </w:pPr>
            <w:r w:rsidRPr="00840727">
              <w:t>Reproduction</w:t>
            </w:r>
          </w:p>
        </w:tc>
        <w:tc>
          <w:tcPr>
            <w:tcW w:w="2198" w:type="dxa"/>
            <w:tcBorders>
              <w:top w:val="single" w:sz="4" w:space="0" w:color="auto"/>
              <w:bottom w:val="single" w:sz="4" w:space="0" w:color="auto"/>
            </w:tcBorders>
          </w:tcPr>
          <w:p w14:paraId="02B8792B" w14:textId="77777777" w:rsidR="00255682" w:rsidRPr="00840727" w:rsidRDefault="00255682" w:rsidP="00840727">
            <w:pPr>
              <w:pStyle w:val="TableText"/>
            </w:pPr>
            <w:r w:rsidRPr="00840727">
              <w:t>Three-generation reproduction study; rat</w:t>
            </w:r>
          </w:p>
        </w:tc>
        <w:tc>
          <w:tcPr>
            <w:tcW w:w="2008" w:type="dxa"/>
            <w:tcBorders>
              <w:top w:val="single" w:sz="4" w:space="0" w:color="auto"/>
              <w:bottom w:val="single" w:sz="4" w:space="0" w:color="auto"/>
            </w:tcBorders>
          </w:tcPr>
          <w:p w14:paraId="7A0D0F9B" w14:textId="531382AF" w:rsidR="00255682" w:rsidRPr="00840727" w:rsidRDefault="00255682" w:rsidP="00840727">
            <w:pPr>
              <w:pStyle w:val="TableText"/>
            </w:pPr>
            <w:r w:rsidRPr="00840727">
              <w:t>Parents: cataracts, decreased bodyweight</w:t>
            </w:r>
          </w:p>
          <w:p w14:paraId="621C94DC" w14:textId="3CD0977A" w:rsidR="00255682" w:rsidRPr="00840727" w:rsidRDefault="00255682" w:rsidP="00840727">
            <w:pPr>
              <w:pStyle w:val="TableText"/>
            </w:pPr>
            <w:r w:rsidRPr="00840727">
              <w:t>Offspring: decreased bodyweight</w:t>
            </w:r>
          </w:p>
        </w:tc>
        <w:tc>
          <w:tcPr>
            <w:tcW w:w="1826" w:type="dxa"/>
            <w:tcBorders>
              <w:top w:val="single" w:sz="4" w:space="0" w:color="auto"/>
              <w:bottom w:val="single" w:sz="4" w:space="0" w:color="auto"/>
            </w:tcBorders>
          </w:tcPr>
          <w:p w14:paraId="7D87ADE2" w14:textId="421CEF54" w:rsidR="00255682" w:rsidRPr="00840727" w:rsidRDefault="00255682" w:rsidP="00840727">
            <w:pPr>
              <w:pStyle w:val="TableText"/>
            </w:pPr>
            <w:r w:rsidRPr="00840727">
              <w:t>Parental: NOAEL 125 ppm (6.9 mg/kg bw/day</w:t>
            </w:r>
          </w:p>
          <w:p w14:paraId="5926C1DE" w14:textId="77777777" w:rsidR="00255682" w:rsidRPr="00840727" w:rsidRDefault="00255682" w:rsidP="00840727">
            <w:pPr>
              <w:pStyle w:val="TableText"/>
            </w:pPr>
            <w:r w:rsidRPr="00840727">
              <w:t>Offspring: NOAEL 6.9 mg/kg bw/day</w:t>
            </w:r>
          </w:p>
        </w:tc>
        <w:tc>
          <w:tcPr>
            <w:tcW w:w="1496" w:type="dxa"/>
            <w:tcBorders>
              <w:top w:val="single" w:sz="4" w:space="0" w:color="auto"/>
              <w:bottom w:val="single" w:sz="4" w:space="0" w:color="auto"/>
            </w:tcBorders>
          </w:tcPr>
          <w:p w14:paraId="3EE84AC6" w14:textId="4AF7AD3E" w:rsidR="00255682" w:rsidRPr="00840727" w:rsidRDefault="00255682" w:rsidP="00840727">
            <w:pPr>
              <w:pStyle w:val="TableText"/>
            </w:pPr>
            <w:r w:rsidRPr="00840727">
              <w:t>Fletcher et al 1972, Griffiths et al, 1966</w:t>
            </w:r>
          </w:p>
        </w:tc>
      </w:tr>
    </w:tbl>
    <w:bookmarkEnd w:id="84"/>
    <w:p w14:paraId="6175ECB6" w14:textId="4FC5FA79" w:rsidR="00306EBA" w:rsidRDefault="00306EBA" w:rsidP="00306EBA">
      <w:pPr>
        <w:pStyle w:val="NormalText"/>
      </w:pPr>
      <w:r>
        <w:t xml:space="preserve">The </w:t>
      </w:r>
      <w:r w:rsidR="008C37A4">
        <w:t xml:space="preserve">acceptable daily intake (ADI) and </w:t>
      </w:r>
      <w:r w:rsidRPr="003458EB">
        <w:t xml:space="preserve">acute reference dose (ARfD) for </w:t>
      </w:r>
      <w:r w:rsidR="004D5EC8">
        <w:t>di</w:t>
      </w:r>
      <w:r w:rsidRPr="003458EB">
        <w:t>quat will be retained</w:t>
      </w:r>
      <w:r w:rsidR="008C37A4">
        <w:t xml:space="preserve"> (shown in Table</w:t>
      </w:r>
      <w:r w:rsidR="00025B80">
        <w:t>s</w:t>
      </w:r>
      <w:r w:rsidR="008C37A4">
        <w:t xml:space="preserve"> 7</w:t>
      </w:r>
      <w:r w:rsidR="00025B80">
        <w:t xml:space="preserve"> and 8</w:t>
      </w:r>
      <w:r w:rsidR="008C37A4">
        <w:t>)</w:t>
      </w:r>
      <w:r w:rsidRPr="003458EB">
        <w:t>.</w:t>
      </w:r>
    </w:p>
    <w:p w14:paraId="0406F67C" w14:textId="0F6BA398" w:rsidR="00306EBA" w:rsidRDefault="00306EBA" w:rsidP="00306EBA">
      <w:pPr>
        <w:pStyle w:val="Caption"/>
      </w:pPr>
      <w:bookmarkStart w:id="85" w:name="_Ref169794725"/>
      <w:bookmarkStart w:id="86" w:name="_Ref158977432"/>
      <w:bookmarkStart w:id="87" w:name="_Toc232589602"/>
      <w:r>
        <w:t xml:space="preserve">Table </w:t>
      </w:r>
      <w:fldSimple w:instr=" SEQ Table \* ARABIC ">
        <w:r w:rsidR="000179FF">
          <w:rPr>
            <w:noProof/>
          </w:rPr>
          <w:t>7</w:t>
        </w:r>
      </w:fldSimple>
      <w:bookmarkEnd w:id="85"/>
      <w:r>
        <w:t>: Acceptable daily intake for diquat</w:t>
      </w:r>
      <w:bookmarkEnd w:id="86"/>
      <w:bookmarkEnd w:id="87"/>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06EBA" w14:paraId="20D9248C" w14:textId="77777777" w:rsidTr="00840727">
        <w:trPr>
          <w:cantSplit/>
          <w:tblHeader/>
        </w:trPr>
        <w:tc>
          <w:tcPr>
            <w:tcW w:w="1440" w:type="dxa"/>
            <w:tcBorders>
              <w:top w:val="single" w:sz="4" w:space="0" w:color="auto"/>
              <w:bottom w:val="single" w:sz="4" w:space="0" w:color="auto"/>
            </w:tcBorders>
            <w:shd w:val="clear" w:color="auto" w:fill="5C2946"/>
            <w:vAlign w:val="center"/>
          </w:tcPr>
          <w:p w14:paraId="1A2AA9E6" w14:textId="77777777" w:rsidR="00306EBA" w:rsidRDefault="00306EBA" w:rsidP="00493AD9">
            <w:pPr>
              <w:pStyle w:val="TableHead"/>
            </w:pPr>
            <w:r>
              <w:t>Chemical</w:t>
            </w:r>
          </w:p>
        </w:tc>
        <w:tc>
          <w:tcPr>
            <w:tcW w:w="1445" w:type="dxa"/>
            <w:tcBorders>
              <w:top w:val="single" w:sz="4" w:space="0" w:color="auto"/>
              <w:bottom w:val="single" w:sz="4" w:space="0" w:color="auto"/>
            </w:tcBorders>
            <w:shd w:val="clear" w:color="auto" w:fill="5C2946"/>
            <w:vAlign w:val="center"/>
          </w:tcPr>
          <w:p w14:paraId="1C9CD72B" w14:textId="7D979FDB" w:rsidR="00306EBA" w:rsidRDefault="00306EBA" w:rsidP="00840727">
            <w:pPr>
              <w:pStyle w:val="TableHead"/>
            </w:pPr>
            <w:r>
              <w:t>ADI</w:t>
            </w:r>
            <w:r w:rsidR="00840727">
              <w:br/>
            </w:r>
            <w:r>
              <w:t>mg/kg bw/day</w:t>
            </w:r>
          </w:p>
        </w:tc>
        <w:tc>
          <w:tcPr>
            <w:tcW w:w="1132" w:type="dxa"/>
            <w:tcBorders>
              <w:top w:val="single" w:sz="4" w:space="0" w:color="auto"/>
              <w:bottom w:val="single" w:sz="4" w:space="0" w:color="auto"/>
            </w:tcBorders>
            <w:shd w:val="clear" w:color="auto" w:fill="5C2946"/>
            <w:vAlign w:val="center"/>
          </w:tcPr>
          <w:p w14:paraId="47F7457E" w14:textId="1C324F8B" w:rsidR="00306EBA" w:rsidRDefault="00306EBA" w:rsidP="00493AD9">
            <w:pPr>
              <w:pStyle w:val="TableHead"/>
            </w:pPr>
            <w:r>
              <w:t>NO</w:t>
            </w:r>
            <w:r w:rsidR="00F13BC8">
              <w:t>A</w:t>
            </w:r>
            <w:r>
              <w:t>EL</w:t>
            </w:r>
          </w:p>
        </w:tc>
        <w:tc>
          <w:tcPr>
            <w:tcW w:w="1131" w:type="dxa"/>
            <w:tcBorders>
              <w:top w:val="single" w:sz="4" w:space="0" w:color="auto"/>
              <w:bottom w:val="single" w:sz="4" w:space="0" w:color="auto"/>
            </w:tcBorders>
            <w:shd w:val="clear" w:color="auto" w:fill="5C2946"/>
            <w:vAlign w:val="center"/>
          </w:tcPr>
          <w:p w14:paraId="7431C771" w14:textId="77777777" w:rsidR="00306EBA" w:rsidRDefault="00306EBA" w:rsidP="00493AD9">
            <w:pPr>
              <w:pStyle w:val="TableHead"/>
            </w:pPr>
            <w:r>
              <w:t>Date</w:t>
            </w:r>
          </w:p>
        </w:tc>
        <w:tc>
          <w:tcPr>
            <w:tcW w:w="2682" w:type="dxa"/>
            <w:tcBorders>
              <w:top w:val="single" w:sz="4" w:space="0" w:color="auto"/>
              <w:bottom w:val="single" w:sz="4" w:space="0" w:color="auto"/>
            </w:tcBorders>
            <w:shd w:val="clear" w:color="auto" w:fill="5C2946"/>
            <w:vAlign w:val="center"/>
          </w:tcPr>
          <w:p w14:paraId="34BD1DA2" w14:textId="77777777" w:rsidR="00306EBA" w:rsidRDefault="00306EBA" w:rsidP="00493AD9">
            <w:pPr>
              <w:pStyle w:val="TableHead"/>
            </w:pPr>
            <w:r>
              <w:t>Study</w:t>
            </w:r>
          </w:p>
        </w:tc>
        <w:tc>
          <w:tcPr>
            <w:tcW w:w="1985" w:type="dxa"/>
            <w:tcBorders>
              <w:top w:val="single" w:sz="4" w:space="0" w:color="auto"/>
              <w:bottom w:val="single" w:sz="4" w:space="0" w:color="auto"/>
            </w:tcBorders>
            <w:shd w:val="clear" w:color="auto" w:fill="5C2946"/>
            <w:vAlign w:val="center"/>
          </w:tcPr>
          <w:p w14:paraId="562692C3" w14:textId="77777777" w:rsidR="00306EBA" w:rsidRDefault="00306EBA" w:rsidP="00493AD9">
            <w:pPr>
              <w:pStyle w:val="TableHead"/>
            </w:pPr>
            <w:r>
              <w:t>Comments</w:t>
            </w:r>
          </w:p>
        </w:tc>
      </w:tr>
      <w:tr w:rsidR="00306EBA" w14:paraId="0D5376D0" w14:textId="77777777" w:rsidTr="00493AD9">
        <w:trPr>
          <w:cantSplit/>
        </w:trPr>
        <w:tc>
          <w:tcPr>
            <w:tcW w:w="1440" w:type="dxa"/>
            <w:tcBorders>
              <w:top w:val="single" w:sz="4" w:space="0" w:color="auto"/>
              <w:bottom w:val="single" w:sz="4" w:space="0" w:color="auto"/>
            </w:tcBorders>
          </w:tcPr>
          <w:p w14:paraId="455BE34E" w14:textId="02EB8AB5" w:rsidR="00306EBA" w:rsidRPr="00840727" w:rsidRDefault="002B174D" w:rsidP="00840727">
            <w:pPr>
              <w:pStyle w:val="TableText"/>
            </w:pPr>
            <w:r w:rsidRPr="00840727">
              <w:t xml:space="preserve">Diquat </w:t>
            </w:r>
            <w:r w:rsidR="00306EBA" w:rsidRPr="00840727">
              <w:t>ion</w:t>
            </w:r>
          </w:p>
        </w:tc>
        <w:tc>
          <w:tcPr>
            <w:tcW w:w="1445" w:type="dxa"/>
            <w:tcBorders>
              <w:top w:val="single" w:sz="4" w:space="0" w:color="auto"/>
              <w:bottom w:val="single" w:sz="4" w:space="0" w:color="auto"/>
            </w:tcBorders>
          </w:tcPr>
          <w:p w14:paraId="712BF602" w14:textId="77777777" w:rsidR="00306EBA" w:rsidRPr="00840727" w:rsidRDefault="00306EBA" w:rsidP="00840727">
            <w:pPr>
              <w:pStyle w:val="TableText"/>
            </w:pPr>
            <w:r w:rsidRPr="00840727">
              <w:t>0.006</w:t>
            </w:r>
          </w:p>
        </w:tc>
        <w:tc>
          <w:tcPr>
            <w:tcW w:w="1132" w:type="dxa"/>
            <w:tcBorders>
              <w:top w:val="single" w:sz="4" w:space="0" w:color="auto"/>
              <w:bottom w:val="single" w:sz="4" w:space="0" w:color="auto"/>
            </w:tcBorders>
          </w:tcPr>
          <w:p w14:paraId="3E89A04A" w14:textId="77777777" w:rsidR="00306EBA" w:rsidRPr="00840727" w:rsidRDefault="00306EBA" w:rsidP="00840727">
            <w:pPr>
              <w:pStyle w:val="TableText"/>
            </w:pPr>
            <w:r w:rsidRPr="00840727">
              <w:t>0.6</w:t>
            </w:r>
          </w:p>
        </w:tc>
        <w:tc>
          <w:tcPr>
            <w:tcW w:w="1131" w:type="dxa"/>
            <w:tcBorders>
              <w:top w:val="single" w:sz="4" w:space="0" w:color="auto"/>
              <w:bottom w:val="single" w:sz="4" w:space="0" w:color="auto"/>
            </w:tcBorders>
          </w:tcPr>
          <w:p w14:paraId="40D71092" w14:textId="72EABD2F" w:rsidR="00306EBA" w:rsidRPr="00840727" w:rsidRDefault="008C37A4" w:rsidP="00840727">
            <w:pPr>
              <w:pStyle w:val="TableText"/>
            </w:pPr>
            <w:r>
              <w:t>15 July 2019</w:t>
            </w:r>
          </w:p>
        </w:tc>
        <w:tc>
          <w:tcPr>
            <w:tcW w:w="2682" w:type="dxa"/>
            <w:tcBorders>
              <w:top w:val="single" w:sz="4" w:space="0" w:color="auto"/>
              <w:bottom w:val="single" w:sz="4" w:space="0" w:color="auto"/>
            </w:tcBorders>
          </w:tcPr>
          <w:p w14:paraId="15A39B24" w14:textId="77777777" w:rsidR="00306EBA" w:rsidRPr="00840727" w:rsidRDefault="00306EBA" w:rsidP="00840727">
            <w:pPr>
              <w:pStyle w:val="TableText"/>
            </w:pPr>
            <w:r w:rsidRPr="00840727">
              <w:t>2-year dietary rat study; a NOAEL of 0.6 mg/kg bw/d was based on lenticular cataract formation at the next higher dose</w:t>
            </w:r>
          </w:p>
        </w:tc>
        <w:tc>
          <w:tcPr>
            <w:tcW w:w="1985" w:type="dxa"/>
            <w:tcBorders>
              <w:top w:val="single" w:sz="4" w:space="0" w:color="auto"/>
              <w:bottom w:val="single" w:sz="4" w:space="0" w:color="auto"/>
            </w:tcBorders>
          </w:tcPr>
          <w:p w14:paraId="40836F59" w14:textId="542D9F92" w:rsidR="00306EBA" w:rsidRPr="00840727" w:rsidRDefault="00306EBA" w:rsidP="00840727">
            <w:pPr>
              <w:pStyle w:val="TableText"/>
            </w:pPr>
            <w:r w:rsidRPr="00840727">
              <w:t>Acceptable margin of exposure ≥ 100</w:t>
            </w:r>
          </w:p>
        </w:tc>
      </w:tr>
    </w:tbl>
    <w:p w14:paraId="5601B5FE" w14:textId="2D7E3BE7" w:rsidR="00306EBA" w:rsidRPr="000179FF" w:rsidRDefault="00306EBA" w:rsidP="000179FF">
      <w:pPr>
        <w:pStyle w:val="Caption"/>
      </w:pPr>
      <w:bookmarkStart w:id="88" w:name="_Ref158977452"/>
      <w:bookmarkStart w:id="89" w:name="_Toc232589603"/>
      <w:r w:rsidRPr="000179FF">
        <w:lastRenderedPageBreak/>
        <w:t xml:space="preserve">Table </w:t>
      </w:r>
      <w:fldSimple w:instr=" SEQ Table \* ARABIC ">
        <w:r w:rsidR="000179FF">
          <w:rPr>
            <w:noProof/>
          </w:rPr>
          <w:t>8</w:t>
        </w:r>
      </w:fldSimple>
      <w:r w:rsidRPr="000179FF">
        <w:t xml:space="preserve">: Acute reference dose for </w:t>
      </w:r>
      <w:r w:rsidR="004D5EC8" w:rsidRPr="000179FF">
        <w:t>di</w:t>
      </w:r>
      <w:r w:rsidRPr="000179FF">
        <w:t>quat</w:t>
      </w:r>
      <w:bookmarkEnd w:id="88"/>
      <w:bookmarkEnd w:id="89"/>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06EBA" w14:paraId="7C4D06FE" w14:textId="77777777" w:rsidTr="00840727">
        <w:trPr>
          <w:cantSplit/>
          <w:tblHeader/>
        </w:trPr>
        <w:tc>
          <w:tcPr>
            <w:tcW w:w="1440" w:type="dxa"/>
            <w:tcBorders>
              <w:top w:val="single" w:sz="4" w:space="0" w:color="auto"/>
              <w:bottom w:val="single" w:sz="4" w:space="0" w:color="auto"/>
            </w:tcBorders>
            <w:shd w:val="clear" w:color="auto" w:fill="5C2946"/>
          </w:tcPr>
          <w:p w14:paraId="1AAFC677" w14:textId="77777777" w:rsidR="00306EBA" w:rsidRDefault="00306EBA" w:rsidP="00840727">
            <w:pPr>
              <w:pStyle w:val="TableHead"/>
            </w:pPr>
            <w:r>
              <w:t>Chemical</w:t>
            </w:r>
          </w:p>
        </w:tc>
        <w:tc>
          <w:tcPr>
            <w:tcW w:w="1445" w:type="dxa"/>
            <w:tcBorders>
              <w:top w:val="single" w:sz="4" w:space="0" w:color="auto"/>
              <w:bottom w:val="single" w:sz="4" w:space="0" w:color="auto"/>
            </w:tcBorders>
            <w:shd w:val="clear" w:color="auto" w:fill="5C2946"/>
          </w:tcPr>
          <w:p w14:paraId="711E49BC" w14:textId="584E0697" w:rsidR="00306EBA" w:rsidRDefault="00306EBA" w:rsidP="00C22F6A">
            <w:pPr>
              <w:pStyle w:val="TableHead"/>
            </w:pPr>
            <w:r>
              <w:t>ARfD</w:t>
            </w:r>
            <w:r w:rsidR="00C22F6A">
              <w:br/>
            </w:r>
            <w:r>
              <w:t>mg/kg bw/day</w:t>
            </w:r>
          </w:p>
        </w:tc>
        <w:tc>
          <w:tcPr>
            <w:tcW w:w="1132" w:type="dxa"/>
            <w:tcBorders>
              <w:top w:val="single" w:sz="4" w:space="0" w:color="auto"/>
              <w:bottom w:val="single" w:sz="4" w:space="0" w:color="auto"/>
            </w:tcBorders>
            <w:shd w:val="clear" w:color="auto" w:fill="5C2946"/>
          </w:tcPr>
          <w:p w14:paraId="31FF952D" w14:textId="6D405305" w:rsidR="00306EBA" w:rsidRDefault="00306EBA" w:rsidP="00840727">
            <w:pPr>
              <w:pStyle w:val="TableHead"/>
            </w:pPr>
            <w:r>
              <w:t>NO</w:t>
            </w:r>
            <w:r w:rsidR="00F13BC8">
              <w:t>A</w:t>
            </w:r>
            <w:r>
              <w:t>EL</w:t>
            </w:r>
          </w:p>
        </w:tc>
        <w:tc>
          <w:tcPr>
            <w:tcW w:w="1131" w:type="dxa"/>
            <w:tcBorders>
              <w:top w:val="single" w:sz="4" w:space="0" w:color="auto"/>
              <w:bottom w:val="single" w:sz="4" w:space="0" w:color="auto"/>
            </w:tcBorders>
            <w:shd w:val="clear" w:color="auto" w:fill="5C2946"/>
          </w:tcPr>
          <w:p w14:paraId="350ABE22" w14:textId="77777777" w:rsidR="00306EBA" w:rsidRDefault="00306EBA" w:rsidP="00840727">
            <w:pPr>
              <w:pStyle w:val="TableHead"/>
            </w:pPr>
            <w:r>
              <w:t>Date</w:t>
            </w:r>
          </w:p>
        </w:tc>
        <w:tc>
          <w:tcPr>
            <w:tcW w:w="2682" w:type="dxa"/>
            <w:tcBorders>
              <w:top w:val="single" w:sz="4" w:space="0" w:color="auto"/>
              <w:bottom w:val="single" w:sz="4" w:space="0" w:color="auto"/>
            </w:tcBorders>
            <w:shd w:val="clear" w:color="auto" w:fill="5C2946"/>
          </w:tcPr>
          <w:p w14:paraId="782CEF92" w14:textId="77777777" w:rsidR="00306EBA" w:rsidRDefault="00306EBA" w:rsidP="00840727">
            <w:pPr>
              <w:pStyle w:val="TableHead"/>
            </w:pPr>
            <w:r>
              <w:t>Study</w:t>
            </w:r>
          </w:p>
        </w:tc>
        <w:tc>
          <w:tcPr>
            <w:tcW w:w="1985" w:type="dxa"/>
            <w:tcBorders>
              <w:top w:val="single" w:sz="4" w:space="0" w:color="auto"/>
              <w:bottom w:val="single" w:sz="4" w:space="0" w:color="auto"/>
            </w:tcBorders>
            <w:shd w:val="clear" w:color="auto" w:fill="5C2946"/>
          </w:tcPr>
          <w:p w14:paraId="6EEFB058" w14:textId="77777777" w:rsidR="00306EBA" w:rsidRDefault="00306EBA" w:rsidP="00840727">
            <w:pPr>
              <w:pStyle w:val="TableHead"/>
            </w:pPr>
            <w:r>
              <w:t>Comments</w:t>
            </w:r>
          </w:p>
        </w:tc>
      </w:tr>
      <w:tr w:rsidR="00306EBA" w14:paraId="40B21252" w14:textId="77777777" w:rsidTr="00840727">
        <w:trPr>
          <w:cantSplit/>
        </w:trPr>
        <w:tc>
          <w:tcPr>
            <w:tcW w:w="1440" w:type="dxa"/>
            <w:tcBorders>
              <w:top w:val="single" w:sz="4" w:space="0" w:color="auto"/>
              <w:bottom w:val="single" w:sz="4" w:space="0" w:color="auto"/>
            </w:tcBorders>
          </w:tcPr>
          <w:p w14:paraId="32123530" w14:textId="77777777" w:rsidR="00306EBA" w:rsidRPr="00840727" w:rsidRDefault="00306EBA" w:rsidP="00840727">
            <w:pPr>
              <w:pStyle w:val="TableText"/>
            </w:pPr>
            <w:r w:rsidRPr="00840727">
              <w:t>Diquat ion</w:t>
            </w:r>
          </w:p>
        </w:tc>
        <w:tc>
          <w:tcPr>
            <w:tcW w:w="1445" w:type="dxa"/>
            <w:tcBorders>
              <w:top w:val="single" w:sz="4" w:space="0" w:color="auto"/>
              <w:bottom w:val="single" w:sz="4" w:space="0" w:color="auto"/>
            </w:tcBorders>
          </w:tcPr>
          <w:p w14:paraId="7F8F301A" w14:textId="77777777" w:rsidR="00306EBA" w:rsidRPr="00840727" w:rsidRDefault="00306EBA" w:rsidP="00840727">
            <w:pPr>
              <w:pStyle w:val="TableText"/>
            </w:pPr>
            <w:r w:rsidRPr="00840727">
              <w:t>0.8</w:t>
            </w:r>
          </w:p>
        </w:tc>
        <w:tc>
          <w:tcPr>
            <w:tcW w:w="1132" w:type="dxa"/>
            <w:tcBorders>
              <w:top w:val="single" w:sz="4" w:space="0" w:color="auto"/>
              <w:bottom w:val="single" w:sz="4" w:space="0" w:color="auto"/>
            </w:tcBorders>
          </w:tcPr>
          <w:p w14:paraId="33354218" w14:textId="77777777" w:rsidR="00306EBA" w:rsidRPr="00840727" w:rsidRDefault="00306EBA" w:rsidP="00840727">
            <w:pPr>
              <w:pStyle w:val="TableText"/>
            </w:pPr>
            <w:r w:rsidRPr="00840727">
              <w:t>75</w:t>
            </w:r>
          </w:p>
        </w:tc>
        <w:tc>
          <w:tcPr>
            <w:tcW w:w="1131" w:type="dxa"/>
            <w:tcBorders>
              <w:top w:val="single" w:sz="4" w:space="0" w:color="auto"/>
              <w:bottom w:val="single" w:sz="4" w:space="0" w:color="auto"/>
            </w:tcBorders>
          </w:tcPr>
          <w:p w14:paraId="1D3554E2" w14:textId="3268B746" w:rsidR="00306EBA" w:rsidRPr="00840727" w:rsidRDefault="00025B80" w:rsidP="00840727">
            <w:pPr>
              <w:pStyle w:val="TableText"/>
            </w:pPr>
            <w:r>
              <w:t>15 July 2019</w:t>
            </w:r>
          </w:p>
        </w:tc>
        <w:tc>
          <w:tcPr>
            <w:tcW w:w="2682" w:type="dxa"/>
            <w:tcBorders>
              <w:top w:val="single" w:sz="4" w:space="0" w:color="auto"/>
              <w:bottom w:val="single" w:sz="4" w:space="0" w:color="auto"/>
            </w:tcBorders>
          </w:tcPr>
          <w:p w14:paraId="2206247D" w14:textId="190DEFEB" w:rsidR="00306EBA" w:rsidRPr="00840727" w:rsidRDefault="00306EBA" w:rsidP="00840727">
            <w:pPr>
              <w:pStyle w:val="TableText"/>
            </w:pPr>
            <w:r w:rsidRPr="00840727">
              <w:t>Acute neurotoxicity rat study: a NOAEL of 75 mg/kg bw was based on clinical signs, inappetence and reduced bodyweight gain at the next higher dose</w:t>
            </w:r>
          </w:p>
        </w:tc>
        <w:tc>
          <w:tcPr>
            <w:tcW w:w="1985" w:type="dxa"/>
            <w:tcBorders>
              <w:top w:val="single" w:sz="4" w:space="0" w:color="auto"/>
              <w:bottom w:val="single" w:sz="4" w:space="0" w:color="auto"/>
            </w:tcBorders>
          </w:tcPr>
          <w:p w14:paraId="60B2A6B3" w14:textId="77777777" w:rsidR="00306EBA" w:rsidRPr="00840727" w:rsidRDefault="00306EBA" w:rsidP="00840727">
            <w:pPr>
              <w:pStyle w:val="TableText"/>
            </w:pPr>
          </w:p>
        </w:tc>
      </w:tr>
    </w:tbl>
    <w:p w14:paraId="0A759FD8" w14:textId="77777777" w:rsidR="00306EBA" w:rsidRPr="00452764" w:rsidRDefault="00306EBA" w:rsidP="00452764">
      <w:pPr>
        <w:pStyle w:val="Heading2"/>
      </w:pPr>
      <w:bookmarkStart w:id="90" w:name="_Toc233038947"/>
      <w:r w:rsidRPr="00452764">
        <w:t>Poisons scheduling</w:t>
      </w:r>
      <w:bookmarkEnd w:id="90"/>
    </w:p>
    <w:p w14:paraId="5D81E2F4" w14:textId="6B163A10" w:rsidR="00306EBA" w:rsidRPr="00A01B38" w:rsidRDefault="00306EBA" w:rsidP="00306EBA">
      <w:pPr>
        <w:pStyle w:val="NormalText"/>
      </w:pPr>
      <w:r>
        <w:t>Di</w:t>
      </w:r>
      <w:r w:rsidRPr="00A01B38">
        <w:t>quat is currently included in Schedule 7 of the Standard for the Uniform Scheduling of Medicines and Poisons (SUSMP)</w:t>
      </w:r>
      <w:r w:rsidR="004D5EC8">
        <w:t xml:space="preserve"> e</w:t>
      </w:r>
      <w:r>
        <w:t>xcept when included in Schedule 6. Diquat is included in Schedule 6 in preparations containing 20% or less of diquat.</w:t>
      </w:r>
    </w:p>
    <w:p w14:paraId="5AECA167" w14:textId="492BC45E" w:rsidR="00306EBA" w:rsidRPr="00A01B38" w:rsidRDefault="00306EBA" w:rsidP="00306EBA">
      <w:pPr>
        <w:pStyle w:val="NormalText"/>
      </w:pPr>
      <w:r w:rsidRPr="00A01B38">
        <w:t xml:space="preserve">No change to the current poisons scheduling </w:t>
      </w:r>
      <w:r w:rsidR="008C37A4">
        <w:t>is</w:t>
      </w:r>
      <w:r w:rsidR="008C37A4" w:rsidRPr="00A01B38">
        <w:t xml:space="preserve"> </w:t>
      </w:r>
      <w:r w:rsidRPr="00A01B38">
        <w:t>required.</w:t>
      </w:r>
    </w:p>
    <w:p w14:paraId="42F8C270" w14:textId="77777777" w:rsidR="00306EBA" w:rsidRPr="00452764" w:rsidRDefault="00306EBA" w:rsidP="00452764">
      <w:pPr>
        <w:pStyle w:val="Heading2"/>
      </w:pPr>
      <w:bookmarkStart w:id="91" w:name="_Toc233038948"/>
      <w:r w:rsidRPr="00452764">
        <w:t>Recommendations</w:t>
      </w:r>
      <w:bookmarkEnd w:id="91"/>
    </w:p>
    <w:p w14:paraId="5C480A3E" w14:textId="77777777" w:rsidR="00306EBA" w:rsidRPr="00A01B38" w:rsidRDefault="00306EBA" w:rsidP="00306EBA">
      <w:pPr>
        <w:pStyle w:val="NormalText"/>
      </w:pPr>
      <w:r w:rsidRPr="00A01B38">
        <w:t>The toxicological component of the Review Technical Report</w:t>
      </w:r>
      <w:bookmarkStart w:id="92" w:name="_Hlk161912813"/>
      <w:r w:rsidRPr="00A01B38">
        <w:t xml:space="preserve"> considered the hazards identified in acute, short-term, chronic, reproduction and developmental toxicity studies, genotoxicity, carcinogenicity and neurotoxicity studies of </w:t>
      </w:r>
      <w:r>
        <w:t>di</w:t>
      </w:r>
      <w:r w:rsidRPr="00A01B38">
        <w:t>quat.</w:t>
      </w:r>
    </w:p>
    <w:bookmarkEnd w:id="92"/>
    <w:p w14:paraId="52BDD845" w14:textId="5B234807" w:rsidR="00306EBA" w:rsidRPr="00A01B38" w:rsidRDefault="00306EBA" w:rsidP="00306EBA">
      <w:pPr>
        <w:pStyle w:val="NormalText"/>
      </w:pPr>
      <w:r w:rsidRPr="00A01B38">
        <w:t xml:space="preserve">The </w:t>
      </w:r>
      <w:r>
        <w:t>di</w:t>
      </w:r>
      <w:r w:rsidRPr="00A01B38">
        <w:t>quat toxicology component of the Review Technical Report concluded</w:t>
      </w:r>
      <w:r w:rsidR="00A5621E">
        <w:t xml:space="preserve"> that,</w:t>
      </w:r>
      <w:r w:rsidRPr="00A01B38">
        <w:t xml:space="preserve"> provided conditions of registration and label instructions were followed</w:t>
      </w:r>
      <w:r w:rsidR="00840727">
        <w:t>:</w:t>
      </w:r>
    </w:p>
    <w:p w14:paraId="581EB08C" w14:textId="64DDB119" w:rsidR="00306EBA" w:rsidRPr="00A01B38" w:rsidRDefault="00661945" w:rsidP="00452764">
      <w:pPr>
        <w:pStyle w:val="Bullet1"/>
      </w:pPr>
      <w:r>
        <w:t>T</w:t>
      </w:r>
      <w:r w:rsidR="00840727" w:rsidRPr="00A01B38">
        <w:t xml:space="preserve">hat the active constituents and registration of products containing </w:t>
      </w:r>
      <w:r w:rsidR="00840727">
        <w:t>diquat</w:t>
      </w:r>
      <w:r w:rsidR="00840727" w:rsidRPr="00A01B38">
        <w:t xml:space="preserve"> </w:t>
      </w:r>
      <w:r w:rsidR="00306EBA" w:rsidRPr="00A01B38">
        <w:t>would not be an undue hazard to the safety of people exposed to it during its handling or people using anything containing its residues</w:t>
      </w:r>
      <w:r w:rsidR="00B30948" w:rsidRPr="00B30948">
        <w:t xml:space="preserve"> when used in accordance with directions for use</w:t>
      </w:r>
      <w:r>
        <w:t>.</w:t>
      </w:r>
    </w:p>
    <w:p w14:paraId="2C67D0C3" w14:textId="3EF994E0" w:rsidR="00306EBA" w:rsidRPr="00A01B38" w:rsidRDefault="00661945" w:rsidP="00452764">
      <w:pPr>
        <w:pStyle w:val="Bullet1"/>
      </w:pPr>
      <w:r>
        <w:t>T</w:t>
      </w:r>
      <w:r w:rsidR="00840727" w:rsidRPr="00A01B38">
        <w:t xml:space="preserve">hat the active constituents and registration of products containing </w:t>
      </w:r>
      <w:r w:rsidR="00840727">
        <w:t>diquat</w:t>
      </w:r>
      <w:r w:rsidR="00840727" w:rsidRPr="00A01B38">
        <w:t xml:space="preserve"> </w:t>
      </w:r>
      <w:r w:rsidR="00306EBA" w:rsidRPr="00A01B38">
        <w:t>would not be likely to have an effect that is harmful to human beings</w:t>
      </w:r>
      <w:r w:rsidR="00B30948">
        <w:t xml:space="preserve"> when used in accordance with directions for use</w:t>
      </w:r>
      <w:r>
        <w:t>.</w:t>
      </w:r>
    </w:p>
    <w:p w14:paraId="25C0A3E1" w14:textId="7EA55973" w:rsidR="00306EBA" w:rsidRPr="00A01B38" w:rsidRDefault="00661945" w:rsidP="00452764">
      <w:pPr>
        <w:pStyle w:val="Bullet1"/>
      </w:pPr>
      <w:bookmarkStart w:id="93" w:name="_Hlk162015586"/>
      <w:r>
        <w:t>T</w:t>
      </w:r>
      <w:r w:rsidR="00306EBA" w:rsidRPr="00A01B38">
        <w:t xml:space="preserve">he acceptable daily intake (ADI) for </w:t>
      </w:r>
      <w:r w:rsidR="00306EBA">
        <w:t>di</w:t>
      </w:r>
      <w:r w:rsidR="00306EBA" w:rsidRPr="00A01B38">
        <w:t xml:space="preserve">quat </w:t>
      </w:r>
      <w:r w:rsidR="008A44AB">
        <w:t>should remain</w:t>
      </w:r>
      <w:r w:rsidR="00306EBA" w:rsidRPr="00B30948">
        <w:t xml:space="preserve"> at 0.006 mg</w:t>
      </w:r>
      <w:r w:rsidR="00306EBA" w:rsidRPr="00A01B38">
        <w:t xml:space="preserve"> per kilogram body weight per day based on a no observed adverse effect level of 0.</w:t>
      </w:r>
      <w:r w:rsidR="00306EBA">
        <w:t>6</w:t>
      </w:r>
      <w:r w:rsidR="00306EBA" w:rsidRPr="00A01B38">
        <w:t xml:space="preserve"> mg/kg bw/day in a </w:t>
      </w:r>
      <w:r w:rsidR="00840727">
        <w:t>2</w:t>
      </w:r>
      <w:r w:rsidR="00306EBA" w:rsidRPr="00A01B38">
        <w:t xml:space="preserve">-year </w:t>
      </w:r>
      <w:r w:rsidR="00306EBA">
        <w:t xml:space="preserve">rat </w:t>
      </w:r>
      <w:r w:rsidR="00306EBA" w:rsidRPr="00A01B38">
        <w:t xml:space="preserve">dietary study, based on </w:t>
      </w:r>
      <w:r w:rsidR="00306EBA">
        <w:t xml:space="preserve">lenticular cataract formation </w:t>
      </w:r>
      <w:r w:rsidR="00306EBA" w:rsidRPr="00A01B38">
        <w:t>at the next higher dose. The ADI incorporates a 100-fold uncertainty factor to account for inter- and intra-species variation in sensitivity</w:t>
      </w:r>
      <w:r>
        <w:t>.</w:t>
      </w:r>
    </w:p>
    <w:p w14:paraId="6A5BBCD0" w14:textId="37FD2FE3" w:rsidR="00306EBA" w:rsidRPr="00A01B38" w:rsidRDefault="00661945" w:rsidP="00452764">
      <w:pPr>
        <w:pStyle w:val="Bullet1"/>
      </w:pPr>
      <w:r>
        <w:t>T</w:t>
      </w:r>
      <w:r w:rsidR="00306EBA" w:rsidRPr="00A01B38">
        <w:t xml:space="preserve">he acute reference dose (ARfD) for </w:t>
      </w:r>
      <w:r w:rsidR="004D5EC8">
        <w:t>di</w:t>
      </w:r>
      <w:r w:rsidR="00306EBA" w:rsidRPr="00A01B38">
        <w:t>quat should remain at 0.</w:t>
      </w:r>
      <w:r w:rsidR="00306EBA">
        <w:t>8</w:t>
      </w:r>
      <w:r w:rsidR="00306EBA" w:rsidRPr="00A01B38">
        <w:t xml:space="preserve"> mg of </w:t>
      </w:r>
      <w:r w:rsidR="00306EBA">
        <w:t xml:space="preserve">diquat </w:t>
      </w:r>
      <w:r w:rsidR="00306EBA" w:rsidRPr="00A01B38">
        <w:t xml:space="preserve">per kg body weight based on a no observed adverse effect level of </w:t>
      </w:r>
      <w:r w:rsidR="00306EBA">
        <w:t xml:space="preserve">75 </w:t>
      </w:r>
      <w:r w:rsidR="00306EBA" w:rsidRPr="00A01B38">
        <w:t xml:space="preserve">mg per kilogram body weight in a </w:t>
      </w:r>
      <w:r w:rsidR="00306EBA">
        <w:t>rat</w:t>
      </w:r>
      <w:r w:rsidR="00306EBA" w:rsidRPr="00A01B38">
        <w:t xml:space="preserve"> </w:t>
      </w:r>
      <w:r w:rsidR="00306EBA">
        <w:t xml:space="preserve">acute neurotoxicity </w:t>
      </w:r>
      <w:r w:rsidR="00306EBA" w:rsidRPr="00A01B38">
        <w:t>study. The ARfD incorporates a 100-fold uncertainty factor to account for inter- and intra-species variation in sensitivity</w:t>
      </w:r>
      <w:r>
        <w:t>.</w:t>
      </w:r>
    </w:p>
    <w:bookmarkEnd w:id="93"/>
    <w:p w14:paraId="610E5B19" w14:textId="63A40297" w:rsidR="00840727" w:rsidRDefault="00661945" w:rsidP="00452764">
      <w:pPr>
        <w:pStyle w:val="Bullet1"/>
        <w:sectPr w:rsidR="00840727" w:rsidSect="009A2AA4">
          <w:headerReference w:type="even" r:id="rId37"/>
          <w:pgSz w:w="11906" w:h="16838" w:code="9"/>
          <w:pgMar w:top="2835" w:right="1134" w:bottom="1134" w:left="1134" w:header="1701" w:footer="680" w:gutter="0"/>
          <w:cols w:space="708"/>
          <w:docGrid w:linePitch="360"/>
        </w:sectPr>
      </w:pPr>
      <w:r>
        <w:t>T</w:t>
      </w:r>
      <w:r w:rsidR="00306EBA" w:rsidRPr="00A01B38">
        <w:t xml:space="preserve">hat the scheduling for </w:t>
      </w:r>
      <w:r w:rsidR="00306EBA">
        <w:t xml:space="preserve">diquat </w:t>
      </w:r>
      <w:r w:rsidR="00306EBA" w:rsidRPr="00A01B38">
        <w:t>in the Standard for the Uniform Scheduling of Medicines and Poisons remain unchanged.</w:t>
      </w:r>
    </w:p>
    <w:p w14:paraId="5ADA96A8" w14:textId="77777777" w:rsidR="00306EBA" w:rsidRPr="00661945" w:rsidRDefault="00306EBA" w:rsidP="00661945">
      <w:pPr>
        <w:pStyle w:val="Heading1"/>
      </w:pPr>
      <w:bookmarkStart w:id="94" w:name="_Toc152921602"/>
      <w:bookmarkStart w:id="95" w:name="_Toc233038949"/>
      <w:r w:rsidRPr="00661945">
        <w:lastRenderedPageBreak/>
        <w:t>Worker health and safety</w:t>
      </w:r>
      <w:bookmarkEnd w:id="94"/>
      <w:bookmarkEnd w:id="95"/>
    </w:p>
    <w:p w14:paraId="5B80F9E9" w14:textId="611EB197" w:rsidR="00F57CC0" w:rsidRPr="00C55EB2" w:rsidRDefault="00F57CC0" w:rsidP="00F57CC0">
      <w:pPr>
        <w:pStyle w:val="NormalText"/>
      </w:pPr>
      <w:r w:rsidRPr="00C55EB2">
        <w:t xml:space="preserve">The risks associated with the use of products containing </w:t>
      </w:r>
      <w:r>
        <w:t>diquat</w:t>
      </w:r>
      <w:r w:rsidRPr="00C55EB2">
        <w:t xml:space="preserve"> have been assessed in accordance with the </w:t>
      </w:r>
      <w:hyperlink r:id="rId38" w:history="1">
        <w:r w:rsidRPr="00C55EB2">
          <w:rPr>
            <w:rStyle w:val="Hyperlink"/>
          </w:rPr>
          <w:t>APVMA Human Health Risk Assessment Manual</w:t>
        </w:r>
      </w:hyperlink>
      <w:r w:rsidRPr="00C55EB2">
        <w:t>, and a summary of the evaluation is presented.</w:t>
      </w:r>
    </w:p>
    <w:p w14:paraId="0ED28699" w14:textId="77777777" w:rsidR="00306EBA" w:rsidRPr="00661945" w:rsidRDefault="00306EBA" w:rsidP="00661945">
      <w:pPr>
        <w:pStyle w:val="Heading2"/>
      </w:pPr>
      <w:bookmarkStart w:id="96" w:name="_Toc152921604"/>
      <w:bookmarkStart w:id="97" w:name="_Toc233038950"/>
      <w:r w:rsidRPr="00661945">
        <w:t>Worker exposure assessment</w:t>
      </w:r>
      <w:bookmarkEnd w:id="96"/>
      <w:bookmarkEnd w:id="97"/>
    </w:p>
    <w:p w14:paraId="3D824DB6" w14:textId="5DD3A89E" w:rsidR="00306EBA" w:rsidRPr="00306EBA" w:rsidRDefault="00306EBA" w:rsidP="00306EBA">
      <w:pPr>
        <w:pStyle w:val="NormalText"/>
      </w:pPr>
      <w:r w:rsidRPr="00306EBA">
        <w:t xml:space="preserve">This exposure assessment and risk characterisations includes professional workers who mix, load and apply </w:t>
      </w:r>
      <w:r w:rsidR="004D5EC8">
        <w:t xml:space="preserve">diquat </w:t>
      </w:r>
      <w:r w:rsidRPr="00306EBA">
        <w:t>and combination products and professional workers who re-enter treated areas.</w:t>
      </w:r>
    </w:p>
    <w:p w14:paraId="4AEC0673" w14:textId="5E8BF53F" w:rsidR="00306EBA" w:rsidRPr="00306EBA" w:rsidRDefault="00306EBA" w:rsidP="00306EBA">
      <w:pPr>
        <w:pStyle w:val="NormalText"/>
      </w:pPr>
      <w:r w:rsidRPr="00306EBA">
        <w:t>For exposure during mixing, loading and application, the current assessment has utilised the US EPA Office of Pesticide Programs Occupational Handler Exposure Calculator (US EPA 2020</w:t>
      </w:r>
      <w:r w:rsidR="00BD323C">
        <w:t>(</w:t>
      </w:r>
      <w:r w:rsidRPr="00306EBA">
        <w:t>a</w:t>
      </w:r>
      <w:r w:rsidR="00BD323C">
        <w:t>)</w:t>
      </w:r>
      <w:r w:rsidRPr="00306EBA">
        <w:t>). For exposure associated with re-entry into pesticide treated area, the current assessment has utilised the US EPA Occupational Pesticide Re-entry Exposure Calculator (US EPA 2020</w:t>
      </w:r>
      <w:r w:rsidR="00BD323C">
        <w:t>(</w:t>
      </w:r>
      <w:r w:rsidRPr="00306EBA">
        <w:t>b</w:t>
      </w:r>
      <w:r w:rsidR="00BD323C">
        <w:t>)</w:t>
      </w:r>
      <w:r w:rsidRPr="00306EBA">
        <w:t>).</w:t>
      </w:r>
    </w:p>
    <w:p w14:paraId="5BC0409E" w14:textId="6A742D7D" w:rsidR="00306EBA" w:rsidRPr="00213536" w:rsidRDefault="00306EBA" w:rsidP="00306EBA">
      <w:pPr>
        <w:pStyle w:val="NormalText"/>
      </w:pPr>
      <w:r w:rsidRPr="00F413F1">
        <w:t xml:space="preserve">The following assumptions have been used in the exposure modelling (see </w:t>
      </w:r>
      <w:r>
        <w:fldChar w:fldCharType="begin" w:fldLock="1"/>
      </w:r>
      <w:r>
        <w:instrText xml:space="preserve"> REF _Ref148435442 \h  \* MERGEFORMAT </w:instrText>
      </w:r>
      <w:r>
        <w:fldChar w:fldCharType="separate"/>
      </w:r>
      <w:r w:rsidR="0033298E">
        <w:t xml:space="preserve">Table </w:t>
      </w:r>
      <w:r w:rsidR="0033298E">
        <w:rPr>
          <w:noProof/>
        </w:rPr>
        <w:t>9</w:t>
      </w:r>
      <w:r>
        <w:fldChar w:fldCharType="end"/>
      </w:r>
      <w:r w:rsidRPr="00F413F1">
        <w:t>).</w:t>
      </w:r>
    </w:p>
    <w:p w14:paraId="797BDB3D" w14:textId="6A64FC22" w:rsidR="00306EBA" w:rsidRPr="000179FF" w:rsidRDefault="002B174D" w:rsidP="000179FF">
      <w:pPr>
        <w:pStyle w:val="Caption"/>
      </w:pPr>
      <w:bookmarkStart w:id="98" w:name="_Ref148435442"/>
      <w:bookmarkStart w:id="99" w:name="_Toc152921671"/>
      <w:bookmarkStart w:id="100" w:name="_Toc232589604"/>
      <w:r w:rsidRPr="000179FF">
        <w:t xml:space="preserve">Table </w:t>
      </w:r>
      <w:fldSimple w:instr=" SEQ Table \* ARABIC ">
        <w:r w:rsidR="001F2FFD">
          <w:rPr>
            <w:noProof/>
          </w:rPr>
          <w:t>9</w:t>
        </w:r>
      </w:fldSimple>
      <w:bookmarkEnd w:id="98"/>
      <w:r w:rsidR="00306EBA" w:rsidRPr="000179FF">
        <w:t>:</w:t>
      </w:r>
      <w:r w:rsidRPr="000179FF">
        <w:t xml:space="preserve"> </w:t>
      </w:r>
      <w:r w:rsidR="00306EBA" w:rsidRPr="000179FF">
        <w:t xml:space="preserve">Assumptions used in modelling exposure for professional use of </w:t>
      </w:r>
      <w:bookmarkEnd w:id="99"/>
      <w:r w:rsidR="004D5EC8" w:rsidRPr="000179FF">
        <w:t>diquat</w:t>
      </w:r>
      <w:r w:rsidR="00802A2E" w:rsidRPr="000179FF">
        <w:t xml:space="preserve"> and paraquat plus diquat products</w:t>
      </w:r>
      <w:bookmarkEnd w:id="100"/>
    </w:p>
    <w:tbl>
      <w:tblPr>
        <w:tblW w:w="5000" w:type="pct"/>
        <w:tblBorders>
          <w:bottom w:val="dotted" w:sz="2" w:space="0" w:color="auto"/>
          <w:insideH w:val="dotted" w:sz="2" w:space="0" w:color="auto"/>
        </w:tblBorders>
        <w:tblLook w:val="0000" w:firstRow="0" w:lastRow="0" w:firstColumn="0" w:lastColumn="0" w:noHBand="0" w:noVBand="0"/>
      </w:tblPr>
      <w:tblGrid>
        <w:gridCol w:w="5380"/>
        <w:gridCol w:w="4474"/>
      </w:tblGrid>
      <w:tr w:rsidR="00306EBA" w14:paraId="6D214DCC" w14:textId="77777777" w:rsidTr="00493AD9">
        <w:trPr>
          <w:tblHeader/>
        </w:trPr>
        <w:tc>
          <w:tcPr>
            <w:tcW w:w="2730" w:type="pct"/>
            <w:tcBorders>
              <w:top w:val="single" w:sz="4" w:space="0" w:color="auto"/>
              <w:bottom w:val="single" w:sz="4" w:space="0" w:color="auto"/>
            </w:tcBorders>
            <w:shd w:val="clear" w:color="auto" w:fill="5C2946"/>
          </w:tcPr>
          <w:p w14:paraId="1F96BE4E" w14:textId="77777777" w:rsidR="00306EBA" w:rsidRPr="00835CB9" w:rsidRDefault="00306EBA" w:rsidP="00493AD9">
            <w:pPr>
              <w:pStyle w:val="TableHead"/>
            </w:pPr>
            <w:r w:rsidRPr="00835CB9">
              <w:t>Parameter</w:t>
            </w:r>
          </w:p>
        </w:tc>
        <w:tc>
          <w:tcPr>
            <w:tcW w:w="2270" w:type="pct"/>
            <w:tcBorders>
              <w:top w:val="single" w:sz="4" w:space="0" w:color="auto"/>
              <w:bottom w:val="single" w:sz="4" w:space="0" w:color="auto"/>
            </w:tcBorders>
            <w:shd w:val="clear" w:color="auto" w:fill="5C2946"/>
          </w:tcPr>
          <w:p w14:paraId="750F75A6" w14:textId="77777777" w:rsidR="00306EBA" w:rsidRPr="00835CB9" w:rsidRDefault="00306EBA" w:rsidP="00493AD9">
            <w:pPr>
              <w:pStyle w:val="TableHead"/>
            </w:pPr>
            <w:r w:rsidRPr="00835CB9">
              <w:t>Value</w:t>
            </w:r>
          </w:p>
        </w:tc>
      </w:tr>
      <w:tr w:rsidR="00306EBA" w14:paraId="1EC42DAF" w14:textId="77777777" w:rsidTr="00493AD9">
        <w:tc>
          <w:tcPr>
            <w:tcW w:w="2730" w:type="pct"/>
            <w:tcBorders>
              <w:top w:val="single" w:sz="4" w:space="0" w:color="auto"/>
              <w:bottom w:val="single" w:sz="4" w:space="0" w:color="auto"/>
            </w:tcBorders>
          </w:tcPr>
          <w:p w14:paraId="31B28BEA" w14:textId="64403AB7" w:rsidR="00306EBA" w:rsidRPr="00306EBA" w:rsidRDefault="00306EBA" w:rsidP="00306EBA">
            <w:pPr>
              <w:pStyle w:val="TableText"/>
            </w:pPr>
            <w:r w:rsidRPr="00306EBA">
              <w:t xml:space="preserve">Point of </w:t>
            </w:r>
            <w:r w:rsidR="00C22F6A">
              <w:t>d</w:t>
            </w:r>
            <w:r w:rsidRPr="00306EBA">
              <w:t>eparture for risk assessment</w:t>
            </w:r>
            <w:r w:rsidR="00BC0227">
              <w:t xml:space="preserve"> (diquat)</w:t>
            </w:r>
          </w:p>
        </w:tc>
        <w:tc>
          <w:tcPr>
            <w:tcW w:w="2270" w:type="pct"/>
            <w:tcBorders>
              <w:top w:val="single" w:sz="4" w:space="0" w:color="auto"/>
              <w:bottom w:val="single" w:sz="4" w:space="0" w:color="auto"/>
            </w:tcBorders>
          </w:tcPr>
          <w:p w14:paraId="29AE4CC7" w14:textId="24C95D95" w:rsidR="00306EBA" w:rsidRPr="00306EBA" w:rsidRDefault="00306EBA" w:rsidP="00306EBA">
            <w:pPr>
              <w:pStyle w:val="TableText"/>
            </w:pPr>
            <w:r w:rsidRPr="00306EBA">
              <w:t>0.</w:t>
            </w:r>
            <w:r w:rsidR="004D5EC8">
              <w:t xml:space="preserve">282 </w:t>
            </w:r>
            <w:r w:rsidRPr="00306EBA">
              <w:t xml:space="preserve">mg/kg bw/day (based on NOAEL of </w:t>
            </w:r>
            <w:r w:rsidR="004D5EC8">
              <w:t xml:space="preserve">4.7 </w:t>
            </w:r>
            <w:r w:rsidRPr="00306EBA">
              <w:t xml:space="preserve">mg/kg bw/day and a </w:t>
            </w:r>
            <w:r w:rsidR="004D5EC8">
              <w:t>6</w:t>
            </w:r>
            <w:r w:rsidRPr="00306EBA">
              <w:t>% oral availability</w:t>
            </w:r>
            <w:r w:rsidR="00FC18A4">
              <w:t>)</w:t>
            </w:r>
          </w:p>
        </w:tc>
      </w:tr>
      <w:tr w:rsidR="00306EBA" w14:paraId="48289CB0" w14:textId="77777777" w:rsidTr="00493AD9">
        <w:tc>
          <w:tcPr>
            <w:tcW w:w="2730" w:type="pct"/>
            <w:tcBorders>
              <w:top w:val="single" w:sz="4" w:space="0" w:color="auto"/>
              <w:bottom w:val="single" w:sz="4" w:space="0" w:color="auto"/>
            </w:tcBorders>
          </w:tcPr>
          <w:p w14:paraId="67195FAC" w14:textId="77777777" w:rsidR="00306EBA" w:rsidRPr="00306EBA" w:rsidRDefault="00306EBA" w:rsidP="00306EBA">
            <w:pPr>
              <w:pStyle w:val="TableText"/>
            </w:pPr>
            <w:r w:rsidRPr="00306EBA">
              <w:t>Acceptable margin of exposure (MOE)</w:t>
            </w:r>
          </w:p>
        </w:tc>
        <w:tc>
          <w:tcPr>
            <w:tcW w:w="2270" w:type="pct"/>
            <w:tcBorders>
              <w:top w:val="single" w:sz="4" w:space="0" w:color="auto"/>
              <w:bottom w:val="single" w:sz="4" w:space="0" w:color="auto"/>
            </w:tcBorders>
          </w:tcPr>
          <w:p w14:paraId="5378462A" w14:textId="2C33468B" w:rsidR="00306EBA" w:rsidRPr="00306EBA" w:rsidRDefault="00306EBA" w:rsidP="00306EBA">
            <w:pPr>
              <w:pStyle w:val="TableText"/>
            </w:pPr>
            <w:r w:rsidRPr="00306EBA">
              <w:t>100</w:t>
            </w:r>
            <w:r w:rsidR="00E61669">
              <w:rPr>
                <w:rFonts w:ascii="ZWAdobeF" w:hAnsi="ZWAdobeF" w:cs="ZWAdobeF"/>
                <w:spacing w:val="0"/>
                <w:sz w:val="2"/>
                <w:szCs w:val="2"/>
              </w:rPr>
              <w:t>2F</w:t>
            </w:r>
            <w:r w:rsidR="00602535">
              <w:rPr>
                <w:rFonts w:ascii="ZWAdobeF" w:hAnsi="ZWAdobeF" w:cs="ZWAdobeF"/>
                <w:spacing w:val="0"/>
                <w:sz w:val="2"/>
                <w:szCs w:val="2"/>
              </w:rPr>
              <w:t>3F</w:t>
            </w:r>
            <w:r w:rsidR="00D636A5" w:rsidRPr="00D636A5">
              <w:rPr>
                <w:rFonts w:asciiTheme="minorHAnsi" w:hAnsiTheme="minorHAnsi" w:cstheme="minorBidi"/>
                <w:spacing w:val="0"/>
                <w:kern w:val="2"/>
                <w:sz w:val="24"/>
                <w:vertAlign w:val="superscript"/>
              </w:rPr>
              <w:footnoteReference w:id="5"/>
            </w:r>
          </w:p>
        </w:tc>
      </w:tr>
      <w:tr w:rsidR="00306EBA" w14:paraId="01A6BD0C" w14:textId="77777777" w:rsidTr="00493AD9">
        <w:tc>
          <w:tcPr>
            <w:tcW w:w="2730" w:type="pct"/>
            <w:tcBorders>
              <w:top w:val="single" w:sz="4" w:space="0" w:color="auto"/>
              <w:bottom w:val="single" w:sz="4" w:space="0" w:color="auto"/>
            </w:tcBorders>
          </w:tcPr>
          <w:p w14:paraId="590FE733" w14:textId="77777777" w:rsidR="00306EBA" w:rsidRPr="00306EBA" w:rsidRDefault="00306EBA" w:rsidP="00306EBA">
            <w:pPr>
              <w:pStyle w:val="TableText"/>
            </w:pPr>
            <w:r w:rsidRPr="00306EBA">
              <w:t>Body weight (adult)</w:t>
            </w:r>
          </w:p>
        </w:tc>
        <w:tc>
          <w:tcPr>
            <w:tcW w:w="2270" w:type="pct"/>
            <w:tcBorders>
              <w:top w:val="single" w:sz="4" w:space="0" w:color="auto"/>
              <w:bottom w:val="single" w:sz="4" w:space="0" w:color="auto"/>
            </w:tcBorders>
          </w:tcPr>
          <w:p w14:paraId="52257282" w14:textId="77777777" w:rsidR="00306EBA" w:rsidRPr="00306EBA" w:rsidRDefault="00306EBA" w:rsidP="00306EBA">
            <w:pPr>
              <w:pStyle w:val="TableText"/>
            </w:pPr>
            <w:r w:rsidRPr="00306EBA">
              <w:t>80 kg</w:t>
            </w:r>
          </w:p>
        </w:tc>
      </w:tr>
      <w:tr w:rsidR="00306EBA" w14:paraId="61BA17C5" w14:textId="77777777" w:rsidTr="00493AD9">
        <w:trPr>
          <w:cantSplit/>
        </w:trPr>
        <w:tc>
          <w:tcPr>
            <w:tcW w:w="2730" w:type="pct"/>
            <w:tcBorders>
              <w:top w:val="single" w:sz="4" w:space="0" w:color="auto"/>
              <w:bottom w:val="single" w:sz="4" w:space="0" w:color="auto"/>
            </w:tcBorders>
          </w:tcPr>
          <w:p w14:paraId="74AF2456" w14:textId="77777777" w:rsidR="00306EBA" w:rsidRPr="00306EBA" w:rsidRDefault="00306EBA" w:rsidP="00306EBA">
            <w:pPr>
              <w:pStyle w:val="TableText"/>
            </w:pPr>
            <w:r w:rsidRPr="00306EBA">
              <w:t>Body weight (child)</w:t>
            </w:r>
          </w:p>
        </w:tc>
        <w:tc>
          <w:tcPr>
            <w:tcW w:w="2270" w:type="pct"/>
            <w:tcBorders>
              <w:top w:val="single" w:sz="4" w:space="0" w:color="auto"/>
              <w:bottom w:val="single" w:sz="4" w:space="0" w:color="auto"/>
            </w:tcBorders>
          </w:tcPr>
          <w:p w14:paraId="7E11F32C" w14:textId="77777777" w:rsidR="00306EBA" w:rsidRPr="00306EBA" w:rsidRDefault="00306EBA" w:rsidP="00306EBA">
            <w:pPr>
              <w:pStyle w:val="TableText"/>
            </w:pPr>
            <w:r w:rsidRPr="00306EBA">
              <w:t>1 to 2 y: 11 kg</w:t>
            </w:r>
          </w:p>
          <w:p w14:paraId="11AAD500" w14:textId="77777777" w:rsidR="00306EBA" w:rsidRPr="00306EBA" w:rsidRDefault="00306EBA" w:rsidP="00306EBA">
            <w:pPr>
              <w:pStyle w:val="TableText"/>
            </w:pPr>
            <w:r w:rsidRPr="00306EBA">
              <w:t>2 to 3 y: 15 kg</w:t>
            </w:r>
          </w:p>
        </w:tc>
      </w:tr>
      <w:tr w:rsidR="00306EBA" w14:paraId="487ABAE8" w14:textId="77777777" w:rsidTr="00493AD9">
        <w:tc>
          <w:tcPr>
            <w:tcW w:w="2730" w:type="pct"/>
            <w:tcBorders>
              <w:top w:val="single" w:sz="4" w:space="0" w:color="auto"/>
              <w:bottom w:val="single" w:sz="4" w:space="0" w:color="auto"/>
            </w:tcBorders>
          </w:tcPr>
          <w:p w14:paraId="3B2ED84D" w14:textId="7DB36A0F" w:rsidR="00306EBA" w:rsidRPr="00306EBA" w:rsidRDefault="00306EBA" w:rsidP="00306EBA">
            <w:pPr>
              <w:pStyle w:val="TableText"/>
            </w:pPr>
            <w:r w:rsidRPr="00306EBA">
              <w:t>Dermal absorption factor</w:t>
            </w:r>
            <w:r w:rsidR="00802A2E">
              <w:t xml:space="preserve"> (diquat)</w:t>
            </w:r>
          </w:p>
        </w:tc>
        <w:tc>
          <w:tcPr>
            <w:tcW w:w="2270" w:type="pct"/>
            <w:tcBorders>
              <w:top w:val="single" w:sz="4" w:space="0" w:color="auto"/>
              <w:bottom w:val="single" w:sz="4" w:space="0" w:color="auto"/>
            </w:tcBorders>
            <w:vAlign w:val="center"/>
          </w:tcPr>
          <w:p w14:paraId="0F2CE5DB" w14:textId="70442563" w:rsidR="00306EBA" w:rsidRPr="00306EBA" w:rsidRDefault="004D5EC8" w:rsidP="00306EBA">
            <w:pPr>
              <w:pStyle w:val="TableText"/>
            </w:pPr>
            <w:r>
              <w:t>3</w:t>
            </w:r>
            <w:r w:rsidR="00306EBA" w:rsidRPr="00306EBA">
              <w:t xml:space="preserve">.3% </w:t>
            </w:r>
          </w:p>
        </w:tc>
      </w:tr>
      <w:tr w:rsidR="00802A2E" w14:paraId="0F0334C6" w14:textId="77777777" w:rsidTr="00493AD9">
        <w:tc>
          <w:tcPr>
            <w:tcW w:w="2730" w:type="pct"/>
            <w:tcBorders>
              <w:top w:val="single" w:sz="4" w:space="0" w:color="auto"/>
              <w:bottom w:val="single" w:sz="4" w:space="0" w:color="auto"/>
            </w:tcBorders>
          </w:tcPr>
          <w:p w14:paraId="0586CFDC" w14:textId="47F729A2" w:rsidR="00802A2E" w:rsidRPr="00306EBA" w:rsidRDefault="00802A2E" w:rsidP="00802A2E">
            <w:pPr>
              <w:pStyle w:val="TableText"/>
            </w:pPr>
            <w:r w:rsidRPr="00D63217">
              <w:t>Dermal absorption factor</w:t>
            </w:r>
            <w:r>
              <w:t xml:space="preserve"> (paraquat)</w:t>
            </w:r>
          </w:p>
        </w:tc>
        <w:tc>
          <w:tcPr>
            <w:tcW w:w="2270" w:type="pct"/>
            <w:tcBorders>
              <w:top w:val="single" w:sz="4" w:space="0" w:color="auto"/>
              <w:bottom w:val="single" w:sz="4" w:space="0" w:color="auto"/>
            </w:tcBorders>
            <w:vAlign w:val="center"/>
          </w:tcPr>
          <w:p w14:paraId="1FE0D2C9" w14:textId="7004FA99" w:rsidR="00802A2E" w:rsidRDefault="00802A2E" w:rsidP="00802A2E">
            <w:pPr>
              <w:pStyle w:val="TableText"/>
            </w:pPr>
            <w:r w:rsidRPr="00D63217">
              <w:t xml:space="preserve">0.3% </w:t>
            </w:r>
          </w:p>
        </w:tc>
      </w:tr>
      <w:tr w:rsidR="00306EBA" w14:paraId="6A952EF4" w14:textId="77777777" w:rsidTr="00493AD9">
        <w:tc>
          <w:tcPr>
            <w:tcW w:w="2730" w:type="pct"/>
            <w:tcBorders>
              <w:top w:val="single" w:sz="4" w:space="0" w:color="auto"/>
              <w:bottom w:val="single" w:sz="4" w:space="0" w:color="auto"/>
            </w:tcBorders>
          </w:tcPr>
          <w:p w14:paraId="27612089" w14:textId="0A43D5B1" w:rsidR="00306EBA" w:rsidRPr="00306EBA" w:rsidRDefault="00306EBA" w:rsidP="00306EBA">
            <w:pPr>
              <w:pStyle w:val="TableText"/>
            </w:pPr>
            <w:r w:rsidRPr="00306EBA">
              <w:t>Inhalation absorption factor</w:t>
            </w:r>
            <w:r w:rsidR="00802A2E">
              <w:t xml:space="preserve"> (paraquat and diquat)</w:t>
            </w:r>
          </w:p>
        </w:tc>
        <w:tc>
          <w:tcPr>
            <w:tcW w:w="2270" w:type="pct"/>
            <w:tcBorders>
              <w:top w:val="single" w:sz="4" w:space="0" w:color="auto"/>
              <w:bottom w:val="single" w:sz="4" w:space="0" w:color="auto"/>
            </w:tcBorders>
          </w:tcPr>
          <w:p w14:paraId="542A01D5" w14:textId="77777777" w:rsidR="00306EBA" w:rsidRPr="00306EBA" w:rsidRDefault="00306EBA" w:rsidP="00306EBA">
            <w:pPr>
              <w:pStyle w:val="TableText"/>
            </w:pPr>
            <w:r w:rsidRPr="00306EBA">
              <w:t>100%</w:t>
            </w:r>
          </w:p>
        </w:tc>
      </w:tr>
      <w:tr w:rsidR="00E42C22" w14:paraId="34BEDF70" w14:textId="77777777" w:rsidTr="00493AD9">
        <w:tc>
          <w:tcPr>
            <w:tcW w:w="2730" w:type="pct"/>
            <w:tcBorders>
              <w:top w:val="single" w:sz="4" w:space="0" w:color="auto"/>
              <w:bottom w:val="single" w:sz="4" w:space="0" w:color="auto"/>
            </w:tcBorders>
          </w:tcPr>
          <w:p w14:paraId="0E28B9BA" w14:textId="49D48A41" w:rsidR="00E42C22" w:rsidRPr="00306EBA" w:rsidRDefault="00E42C22" w:rsidP="00306EBA">
            <w:pPr>
              <w:pStyle w:val="TableText"/>
            </w:pPr>
            <w:r>
              <w:t>Small scale agriculture ground boom application</w:t>
            </w:r>
          </w:p>
        </w:tc>
        <w:tc>
          <w:tcPr>
            <w:tcW w:w="2270" w:type="pct"/>
            <w:tcBorders>
              <w:top w:val="single" w:sz="4" w:space="0" w:color="auto"/>
              <w:bottom w:val="single" w:sz="4" w:space="0" w:color="auto"/>
            </w:tcBorders>
          </w:tcPr>
          <w:p w14:paraId="4B69CBDE" w14:textId="6DDDDAE6" w:rsidR="00E42C22" w:rsidRPr="00306EBA" w:rsidRDefault="00E42C22" w:rsidP="00306EBA">
            <w:pPr>
              <w:pStyle w:val="TableText"/>
            </w:pPr>
            <w:r>
              <w:t>6 ha/day</w:t>
            </w:r>
          </w:p>
        </w:tc>
      </w:tr>
      <w:tr w:rsidR="00306EBA" w14:paraId="54A613EF" w14:textId="77777777" w:rsidTr="00493AD9">
        <w:tc>
          <w:tcPr>
            <w:tcW w:w="2730" w:type="pct"/>
            <w:tcBorders>
              <w:top w:val="single" w:sz="4" w:space="0" w:color="auto"/>
              <w:bottom w:val="single" w:sz="4" w:space="0" w:color="auto"/>
            </w:tcBorders>
          </w:tcPr>
          <w:p w14:paraId="2EABAB18" w14:textId="77777777" w:rsidR="00306EBA" w:rsidRPr="00306EBA" w:rsidRDefault="00306EBA" w:rsidP="00306EBA">
            <w:pPr>
              <w:pStyle w:val="TableText"/>
            </w:pPr>
            <w:r w:rsidRPr="00306EBA">
              <w:lastRenderedPageBreak/>
              <w:t>Groundboom field application (most crops)</w:t>
            </w:r>
          </w:p>
        </w:tc>
        <w:tc>
          <w:tcPr>
            <w:tcW w:w="2270" w:type="pct"/>
            <w:tcBorders>
              <w:top w:val="single" w:sz="4" w:space="0" w:color="auto"/>
              <w:bottom w:val="single" w:sz="4" w:space="0" w:color="auto"/>
            </w:tcBorders>
          </w:tcPr>
          <w:p w14:paraId="0ACF7AC8" w14:textId="5A258E8A" w:rsidR="00306EBA" w:rsidRPr="00306EBA" w:rsidRDefault="00F13BC8" w:rsidP="00306EBA">
            <w:pPr>
              <w:pStyle w:val="TableText"/>
            </w:pPr>
            <w:r>
              <w:t>5</w:t>
            </w:r>
            <w:r w:rsidRPr="00306EBA">
              <w:t xml:space="preserve">0 </w:t>
            </w:r>
            <w:r w:rsidR="00306EBA" w:rsidRPr="00306EBA">
              <w:t xml:space="preserve">to </w:t>
            </w:r>
            <w:r>
              <w:t>5</w:t>
            </w:r>
            <w:r w:rsidRPr="00306EBA">
              <w:t xml:space="preserve">00 </w:t>
            </w:r>
            <w:r w:rsidR="00306EBA" w:rsidRPr="00306EBA">
              <w:t>ha/day</w:t>
            </w:r>
          </w:p>
        </w:tc>
      </w:tr>
      <w:tr w:rsidR="00306EBA" w14:paraId="79BAED45" w14:textId="77777777" w:rsidTr="00493AD9">
        <w:tc>
          <w:tcPr>
            <w:tcW w:w="2730" w:type="pct"/>
            <w:tcBorders>
              <w:top w:val="single" w:sz="4" w:space="0" w:color="auto"/>
              <w:bottom w:val="single" w:sz="4" w:space="0" w:color="auto"/>
            </w:tcBorders>
          </w:tcPr>
          <w:p w14:paraId="0257AA65" w14:textId="77777777" w:rsidR="00306EBA" w:rsidRPr="00306EBA" w:rsidRDefault="00306EBA" w:rsidP="00306EBA">
            <w:pPr>
              <w:pStyle w:val="TableText"/>
            </w:pPr>
            <w:r w:rsidRPr="00306EBA">
              <w:t>Groundboom field application (cotton)</w:t>
            </w:r>
          </w:p>
        </w:tc>
        <w:tc>
          <w:tcPr>
            <w:tcW w:w="2270" w:type="pct"/>
            <w:tcBorders>
              <w:top w:val="single" w:sz="4" w:space="0" w:color="auto"/>
              <w:bottom w:val="single" w:sz="4" w:space="0" w:color="auto"/>
            </w:tcBorders>
          </w:tcPr>
          <w:p w14:paraId="78308DC0" w14:textId="6DDA35A6" w:rsidR="00306EBA" w:rsidRPr="00306EBA" w:rsidRDefault="00F13BC8" w:rsidP="00306EBA">
            <w:pPr>
              <w:pStyle w:val="TableText"/>
            </w:pPr>
            <w:r>
              <w:t>4</w:t>
            </w:r>
            <w:r w:rsidRPr="00306EBA">
              <w:t xml:space="preserve">00 </w:t>
            </w:r>
            <w:r w:rsidR="00306EBA" w:rsidRPr="00306EBA">
              <w:t>ha/day</w:t>
            </w:r>
          </w:p>
        </w:tc>
      </w:tr>
      <w:tr w:rsidR="00306EBA" w14:paraId="1538C2D2" w14:textId="77777777" w:rsidTr="00493AD9">
        <w:tc>
          <w:tcPr>
            <w:tcW w:w="2730" w:type="pct"/>
            <w:tcBorders>
              <w:top w:val="single" w:sz="4" w:space="0" w:color="auto"/>
              <w:bottom w:val="single" w:sz="4" w:space="0" w:color="auto"/>
            </w:tcBorders>
          </w:tcPr>
          <w:p w14:paraId="132D5DD7" w14:textId="77777777" w:rsidR="00306EBA" w:rsidRPr="00306EBA" w:rsidRDefault="00306EBA" w:rsidP="00306EBA">
            <w:pPr>
              <w:pStyle w:val="TableText"/>
            </w:pPr>
            <w:r w:rsidRPr="00306EBA">
              <w:t>Groundboom field application (broadacre uses)</w:t>
            </w:r>
          </w:p>
        </w:tc>
        <w:tc>
          <w:tcPr>
            <w:tcW w:w="2270" w:type="pct"/>
            <w:tcBorders>
              <w:top w:val="single" w:sz="4" w:space="0" w:color="auto"/>
              <w:bottom w:val="single" w:sz="4" w:space="0" w:color="auto"/>
            </w:tcBorders>
          </w:tcPr>
          <w:p w14:paraId="4E75B8A0" w14:textId="67490243" w:rsidR="00306EBA" w:rsidRPr="00306EBA" w:rsidRDefault="00F13BC8" w:rsidP="00306EBA">
            <w:pPr>
              <w:pStyle w:val="TableText"/>
            </w:pPr>
            <w:r>
              <w:t>5</w:t>
            </w:r>
            <w:r w:rsidRPr="00306EBA">
              <w:t xml:space="preserve">00 </w:t>
            </w:r>
            <w:r w:rsidR="00306EBA" w:rsidRPr="00306EBA">
              <w:t>ha/day</w:t>
            </w:r>
          </w:p>
        </w:tc>
      </w:tr>
      <w:tr w:rsidR="00306EBA" w14:paraId="45221D45" w14:textId="77777777" w:rsidTr="00493AD9">
        <w:tc>
          <w:tcPr>
            <w:tcW w:w="2730" w:type="pct"/>
            <w:tcBorders>
              <w:top w:val="single" w:sz="4" w:space="0" w:color="auto"/>
              <w:bottom w:val="single" w:sz="4" w:space="0" w:color="auto"/>
            </w:tcBorders>
          </w:tcPr>
          <w:p w14:paraId="3D96ACF5" w14:textId="77777777" w:rsidR="00306EBA" w:rsidRPr="00306EBA" w:rsidRDefault="00306EBA" w:rsidP="00306EBA">
            <w:pPr>
              <w:pStyle w:val="TableText"/>
            </w:pPr>
            <w:r w:rsidRPr="00306EBA">
              <w:t>Backpack application (mixer, loader, applicator)</w:t>
            </w:r>
          </w:p>
        </w:tc>
        <w:tc>
          <w:tcPr>
            <w:tcW w:w="2270" w:type="pct"/>
            <w:tcBorders>
              <w:top w:val="single" w:sz="4" w:space="0" w:color="auto"/>
              <w:bottom w:val="single" w:sz="4" w:space="0" w:color="auto"/>
            </w:tcBorders>
          </w:tcPr>
          <w:p w14:paraId="58761575" w14:textId="1F28B90E" w:rsidR="00306EBA" w:rsidRPr="00306EBA" w:rsidRDefault="00F90992" w:rsidP="00306EBA">
            <w:pPr>
              <w:pStyle w:val="TableText"/>
            </w:pPr>
            <w:r w:rsidRPr="00306EBA">
              <w:t>150 L</w:t>
            </w:r>
            <w:r>
              <w:t xml:space="preserve"> dilute product</w:t>
            </w:r>
            <w:r w:rsidRPr="00306EBA">
              <w:t>/day</w:t>
            </w:r>
          </w:p>
        </w:tc>
      </w:tr>
      <w:tr w:rsidR="00306EBA" w14:paraId="1920727B" w14:textId="77777777" w:rsidTr="00493AD9">
        <w:tc>
          <w:tcPr>
            <w:tcW w:w="2730" w:type="pct"/>
            <w:tcBorders>
              <w:top w:val="single" w:sz="4" w:space="0" w:color="auto"/>
              <w:bottom w:val="single" w:sz="4" w:space="0" w:color="auto"/>
            </w:tcBorders>
          </w:tcPr>
          <w:p w14:paraId="48C9ABE5" w14:textId="77777777" w:rsidR="00306EBA" w:rsidRPr="00306EBA" w:rsidRDefault="00306EBA" w:rsidP="00306EBA">
            <w:pPr>
              <w:pStyle w:val="TableText"/>
            </w:pPr>
            <w:r w:rsidRPr="00306EBA">
              <w:t>Manually pressurised hand wand application</w:t>
            </w:r>
          </w:p>
        </w:tc>
        <w:tc>
          <w:tcPr>
            <w:tcW w:w="2270" w:type="pct"/>
            <w:tcBorders>
              <w:top w:val="single" w:sz="4" w:space="0" w:color="auto"/>
              <w:bottom w:val="single" w:sz="4" w:space="0" w:color="auto"/>
            </w:tcBorders>
          </w:tcPr>
          <w:p w14:paraId="7BD44322" w14:textId="7850150A" w:rsidR="00306EBA" w:rsidRPr="00306EBA" w:rsidRDefault="00F90992" w:rsidP="00306EBA">
            <w:pPr>
              <w:pStyle w:val="TableText"/>
            </w:pPr>
            <w:r w:rsidRPr="00306EBA">
              <w:t>150 L</w:t>
            </w:r>
            <w:r>
              <w:t xml:space="preserve"> dilute product</w:t>
            </w:r>
            <w:r w:rsidRPr="00306EBA">
              <w:t>/day</w:t>
            </w:r>
          </w:p>
        </w:tc>
      </w:tr>
      <w:tr w:rsidR="00306EBA" w14:paraId="222D6511" w14:textId="77777777" w:rsidTr="00493AD9">
        <w:tc>
          <w:tcPr>
            <w:tcW w:w="2730" w:type="pct"/>
            <w:tcBorders>
              <w:top w:val="single" w:sz="4" w:space="0" w:color="auto"/>
              <w:bottom w:val="single" w:sz="4" w:space="0" w:color="auto"/>
            </w:tcBorders>
          </w:tcPr>
          <w:p w14:paraId="0CD4875E" w14:textId="460C1D45" w:rsidR="00306EBA" w:rsidRPr="00306EBA" w:rsidRDefault="00306EBA" w:rsidP="00306EBA">
            <w:pPr>
              <w:pStyle w:val="TableText"/>
            </w:pPr>
            <w:r w:rsidRPr="00306EBA">
              <w:t xml:space="preserve">Mechanically pressurised </w:t>
            </w:r>
            <w:r w:rsidR="00AB6881" w:rsidRPr="00306EBA">
              <w:t>hand</w:t>
            </w:r>
            <w:r w:rsidR="00AB6881">
              <w:t xml:space="preserve"> wand</w:t>
            </w:r>
            <w:r w:rsidR="00AB6881" w:rsidRPr="00306EBA">
              <w:t xml:space="preserve"> </w:t>
            </w:r>
            <w:r w:rsidRPr="00306EBA">
              <w:t>application</w:t>
            </w:r>
          </w:p>
        </w:tc>
        <w:tc>
          <w:tcPr>
            <w:tcW w:w="2270" w:type="pct"/>
            <w:tcBorders>
              <w:top w:val="single" w:sz="4" w:space="0" w:color="auto"/>
              <w:bottom w:val="single" w:sz="4" w:space="0" w:color="auto"/>
            </w:tcBorders>
          </w:tcPr>
          <w:p w14:paraId="29BB62B1" w14:textId="77777777" w:rsidR="00F13BC8" w:rsidRDefault="00F13BC8" w:rsidP="00F13BC8">
            <w:pPr>
              <w:pStyle w:val="TableText"/>
            </w:pPr>
            <w:r>
              <w:t xml:space="preserve">Spot treatment foliar = 1,000 L dilute product/day </w:t>
            </w:r>
          </w:p>
          <w:p w14:paraId="5059DAD8" w14:textId="302CA285" w:rsidR="00306EBA" w:rsidRPr="00306EBA" w:rsidRDefault="00F13BC8" w:rsidP="00F13BC8">
            <w:pPr>
              <w:pStyle w:val="TableText"/>
            </w:pPr>
            <w:r>
              <w:t>Broadcast foliar = 4,000 L dilute product/day</w:t>
            </w:r>
          </w:p>
        </w:tc>
      </w:tr>
    </w:tbl>
    <w:p w14:paraId="67A9638D" w14:textId="65C5D9BF" w:rsidR="00306EBA" w:rsidRDefault="00306EBA" w:rsidP="00661945">
      <w:pPr>
        <w:pStyle w:val="NormalText"/>
      </w:pPr>
      <w:r w:rsidRPr="00FD4EAE">
        <w:t xml:space="preserve">The </w:t>
      </w:r>
      <w:r w:rsidRPr="009F599D">
        <w:t>exposure assessments and risk characterisations</w:t>
      </w:r>
      <w:r>
        <w:t xml:space="preserve"> for professional use of </w:t>
      </w:r>
      <w:r w:rsidR="004D5EC8">
        <w:t>di</w:t>
      </w:r>
      <w:r>
        <w:t>quat also rely upon a further series of reasonable assumptions, notably that professional users:</w:t>
      </w:r>
    </w:p>
    <w:p w14:paraId="685D18F3" w14:textId="77777777" w:rsidR="00306EBA" w:rsidRPr="00835CB9" w:rsidRDefault="00306EBA" w:rsidP="00305A1A">
      <w:pPr>
        <w:pStyle w:val="Bullet1"/>
        <w:numPr>
          <w:ilvl w:val="0"/>
          <w:numId w:val="1"/>
        </w:numPr>
      </w:pPr>
      <w:r w:rsidRPr="00835CB9">
        <w:t>are trained in accurate mixing, loading and application methods</w:t>
      </w:r>
    </w:p>
    <w:p w14:paraId="5692FE5D" w14:textId="77777777" w:rsidR="00306EBA" w:rsidRPr="00835CB9" w:rsidRDefault="00306EBA" w:rsidP="00305A1A">
      <w:pPr>
        <w:pStyle w:val="Bullet1"/>
        <w:numPr>
          <w:ilvl w:val="0"/>
          <w:numId w:val="1"/>
        </w:numPr>
      </w:pPr>
      <w:r w:rsidRPr="00835CB9">
        <w:t>are trained in, and are competent and experienced users of, personal protective equipment and relevant application techniques and equipment</w:t>
      </w:r>
    </w:p>
    <w:p w14:paraId="603518B0" w14:textId="77777777" w:rsidR="00306EBA" w:rsidRPr="00835CB9" w:rsidRDefault="00306EBA" w:rsidP="00305A1A">
      <w:pPr>
        <w:pStyle w:val="Bullet1"/>
        <w:numPr>
          <w:ilvl w:val="0"/>
          <w:numId w:val="1"/>
        </w:numPr>
      </w:pPr>
      <w:r w:rsidRPr="00835CB9">
        <w:t>have a high level of compliance with label directions, including label-specified application rates and the use of personal protective equipment specified on product labels</w:t>
      </w:r>
    </w:p>
    <w:p w14:paraId="70010F25" w14:textId="1C4C9971" w:rsidR="00306EBA" w:rsidRPr="00835CB9" w:rsidRDefault="00306EBA" w:rsidP="00305A1A">
      <w:pPr>
        <w:pStyle w:val="Bullet1"/>
        <w:numPr>
          <w:ilvl w:val="0"/>
          <w:numId w:val="1"/>
        </w:numPr>
      </w:pPr>
      <w:r w:rsidRPr="00835CB9">
        <w:t xml:space="preserve">wear long-sleeved shirt, long pants, shoes and socks or an equivalent single layer of clothing when using </w:t>
      </w:r>
      <w:r w:rsidR="004D5EC8">
        <w:t>di</w:t>
      </w:r>
      <w:r>
        <w:t>quat</w:t>
      </w:r>
      <w:r w:rsidRPr="00835CB9">
        <w:t>, in addition to any personal protective equipment specified on product labels.</w:t>
      </w:r>
    </w:p>
    <w:p w14:paraId="73AEFE44" w14:textId="31685E4D" w:rsidR="00306EBA" w:rsidRPr="00306EBA" w:rsidRDefault="00306EBA" w:rsidP="00661945">
      <w:pPr>
        <w:pStyle w:val="Heading3"/>
      </w:pPr>
      <w:bookmarkStart w:id="101" w:name="_Toc152921605"/>
      <w:bookmarkStart w:id="102" w:name="_Toc233038951"/>
      <w:r w:rsidRPr="00306EBA">
        <w:t xml:space="preserve">Ground-based </w:t>
      </w:r>
      <w:r w:rsidR="00A062EB">
        <w:t xml:space="preserve">and aerial </w:t>
      </w:r>
      <w:r w:rsidRPr="00306EBA">
        <w:t>application</w:t>
      </w:r>
      <w:bookmarkEnd w:id="101"/>
      <w:bookmarkEnd w:id="102"/>
    </w:p>
    <w:p w14:paraId="2A157383" w14:textId="7CD1EFD7" w:rsidR="00F62F09" w:rsidRDefault="00306EBA" w:rsidP="00C22F6A">
      <w:pPr>
        <w:pStyle w:val="NormalText"/>
      </w:pPr>
      <w:r w:rsidRPr="00C94A10">
        <w:t xml:space="preserve">The outcomes for the exposure risk assessments for the professional </w:t>
      </w:r>
      <w:r w:rsidRPr="00213536">
        <w:t xml:space="preserve">use of </w:t>
      </w:r>
      <w:r w:rsidR="004D5EC8">
        <w:t>di</w:t>
      </w:r>
      <w:r>
        <w:t xml:space="preserve">quat in agricultural situations </w:t>
      </w:r>
      <w:r w:rsidRPr="00213536">
        <w:t xml:space="preserve">using ground-based </w:t>
      </w:r>
      <w:r w:rsidR="00710FD1">
        <w:t xml:space="preserve">or aerial </w:t>
      </w:r>
      <w:r w:rsidRPr="00213536">
        <w:t>application equipment are set out in</w:t>
      </w:r>
      <w:r w:rsidR="004F064F">
        <w:t xml:space="preserve"> </w:t>
      </w:r>
      <w:r w:rsidR="00710FD1">
        <w:fldChar w:fldCharType="begin" w:fldLock="1"/>
      </w:r>
      <w:r w:rsidR="00710FD1">
        <w:instrText xml:space="preserve"> REF _Ref167461141 \h </w:instrText>
      </w:r>
      <w:r w:rsidR="008A22D1">
        <w:instrText xml:space="preserve"> \* MERGEFORMAT </w:instrText>
      </w:r>
      <w:r w:rsidR="00710FD1">
        <w:fldChar w:fldCharType="separate"/>
      </w:r>
      <w:r w:rsidR="0033298E">
        <w:t xml:space="preserve">Table </w:t>
      </w:r>
      <w:r w:rsidR="0033298E">
        <w:rPr>
          <w:noProof/>
        </w:rPr>
        <w:t>10</w:t>
      </w:r>
      <w:r w:rsidR="00710FD1">
        <w:fldChar w:fldCharType="end"/>
      </w:r>
      <w:r w:rsidRPr="00213536">
        <w:t>. Modelling for ground</w:t>
      </w:r>
      <w:r>
        <w:t xml:space="preserve">-based application assumed that all steps in the use of </w:t>
      </w:r>
      <w:r w:rsidR="004D5EC8">
        <w:t>di</w:t>
      </w:r>
      <w:r>
        <w:t>quat products are performed by a</w:t>
      </w:r>
      <w:r w:rsidR="00D636A5">
        <w:t>n</w:t>
      </w:r>
      <w:r>
        <w:t xml:space="preserve"> </w:t>
      </w:r>
      <w:r w:rsidR="00D636A5">
        <w:t xml:space="preserve">individual worker </w:t>
      </w:r>
      <w:r>
        <w:t>(i.e.</w:t>
      </w:r>
      <w:r w:rsidRPr="00C94A10">
        <w:t xml:space="preserve"> a</w:t>
      </w:r>
      <w:r w:rsidR="00D636A5">
        <w:t>n</w:t>
      </w:r>
      <w:r w:rsidRPr="00C94A10">
        <w:t xml:space="preserve"> </w:t>
      </w:r>
      <w:r w:rsidR="00D636A5">
        <w:t>individual worker</w:t>
      </w:r>
      <w:r w:rsidR="00D636A5" w:rsidRPr="00C94A10">
        <w:t xml:space="preserve"> </w:t>
      </w:r>
      <w:r w:rsidRPr="00C94A10">
        <w:t xml:space="preserve">mixes, loads and applies the </w:t>
      </w:r>
      <w:r w:rsidR="00D636A5">
        <w:t>herbi</w:t>
      </w:r>
      <w:r w:rsidR="00D636A5" w:rsidRPr="00C94A10">
        <w:t>cide</w:t>
      </w:r>
      <w:r>
        <w:t xml:space="preserve">) and that there was only one type of use or activity performed per </w:t>
      </w:r>
      <w:r w:rsidRPr="00735C60">
        <w:t>operator p</w:t>
      </w:r>
      <w:r>
        <w:t xml:space="preserve">er day. Modelling for re-entry activities (8-hour days) assessed worker exposure via dermal exposure, as inhalation exposure under these circumstances were regarded as negligible. It is noted that the calculated </w:t>
      </w:r>
      <w:r w:rsidRPr="00B71E79">
        <w:t xml:space="preserve">re-entry </w:t>
      </w:r>
      <w:r>
        <w:t xml:space="preserve">intervals are not required when </w:t>
      </w:r>
      <w:r w:rsidRPr="00B71E79">
        <w:t xml:space="preserve">crops </w:t>
      </w:r>
      <w:r>
        <w:t xml:space="preserve">are </w:t>
      </w:r>
      <w:r w:rsidRPr="00B71E79">
        <w:t xml:space="preserve">treated </w:t>
      </w:r>
      <w:r>
        <w:t xml:space="preserve">at the bare soil or </w:t>
      </w:r>
      <w:r w:rsidRPr="00B71E79">
        <w:t>pre-emerge</w:t>
      </w:r>
      <w:r>
        <w:t>nt stage.</w:t>
      </w:r>
      <w:bookmarkStart w:id="103" w:name="_Hlk170386438"/>
    </w:p>
    <w:p w14:paraId="15C7E8DC" w14:textId="3B3E311B" w:rsidR="00F62F09" w:rsidRDefault="00F62F09" w:rsidP="00C22F6A">
      <w:pPr>
        <w:pStyle w:val="NormalText"/>
      </w:pPr>
      <w:r w:rsidRPr="00F62F09">
        <w:t xml:space="preserve">Instead of modelling exposure for a pre-determined work rate (scale of use), the APVMA used a reverse exposure modelling approach to determine the maximum active handling rate that can be used </w:t>
      </w:r>
      <w:r w:rsidR="00D636A5">
        <w:t>per</w:t>
      </w:r>
      <w:r w:rsidRPr="00F62F09">
        <w:t xml:space="preserve"> day</w:t>
      </w:r>
      <w:r w:rsidR="00D636A5" w:rsidRPr="00D636A5">
        <w:t xml:space="preserve"> </w:t>
      </w:r>
      <w:r w:rsidR="00D636A5">
        <w:t>for an individual worker</w:t>
      </w:r>
      <w:r w:rsidRPr="00F62F09">
        <w:t xml:space="preserve">. Dermal and inhalation unit exposure values were obtained from the US EPA Office of Pesticide Programs Occupational Handler Exposure Unit Surrogate Exposure Reference Table (US EPA, 2021). The APVMA then assessed whether the maximum active handling rate was practical based on the expected scale of use (as indicated in </w:t>
      </w:r>
      <w:r w:rsidRPr="00F62F09">
        <w:fldChar w:fldCharType="begin" w:fldLock="1"/>
      </w:r>
      <w:r w:rsidRPr="00F62F09">
        <w:instrText xml:space="preserve"> REF _Ref167461141 \h </w:instrText>
      </w:r>
      <w:r w:rsidRPr="00556DFF">
        <w:instrText xml:space="preserve"> \* MERGEFORMAT </w:instrText>
      </w:r>
      <w:r w:rsidRPr="00F62F09">
        <w:fldChar w:fldCharType="separate"/>
      </w:r>
      <w:r w:rsidR="0033298E">
        <w:rPr>
          <w:noProof/>
        </w:rPr>
        <w:t>Table 10</w:t>
      </w:r>
      <w:r w:rsidRPr="00F62F09">
        <w:fldChar w:fldCharType="end"/>
      </w:r>
      <w:r w:rsidR="00C2587C">
        <w:t>.</w:t>
      </w:r>
      <w:r w:rsidR="00AC1BB4" w:rsidRPr="00AC1BB4">
        <w:t xml:space="preserve"> As the maximum concentration of </w:t>
      </w:r>
      <w:r w:rsidR="00AC1BB4">
        <w:t>di</w:t>
      </w:r>
      <w:r w:rsidR="00AC1BB4" w:rsidRPr="00AC1BB4">
        <w:t>quat applied per hectare is limited by the findings of the environment risk assessment (see section 6), it is implausible for the maximum safe handling rates to be exceeded in most circumstances, when the product is applied according to the directions for use. Accordingly daily work-rate limitations are not required to mitigate risks of exposure to workers</w:t>
      </w:r>
      <w:r w:rsidR="00AC1BB4">
        <w:t>.</w:t>
      </w:r>
    </w:p>
    <w:p w14:paraId="6AFAFBC9" w14:textId="4CD57A74" w:rsidR="00306EBA" w:rsidRPr="0038663C" w:rsidRDefault="00D15739" w:rsidP="000179FF">
      <w:pPr>
        <w:pStyle w:val="Caption"/>
      </w:pPr>
      <w:bookmarkStart w:id="104" w:name="_Ref167461141"/>
      <w:bookmarkStart w:id="105" w:name="_Toc232589605"/>
      <w:bookmarkEnd w:id="103"/>
      <w:r w:rsidRPr="0038663C">
        <w:lastRenderedPageBreak/>
        <w:t xml:space="preserve">Table </w:t>
      </w:r>
      <w:fldSimple w:instr=" SEQ Table \* ARABIC ">
        <w:r w:rsidR="000179FF">
          <w:rPr>
            <w:noProof/>
          </w:rPr>
          <w:t>10</w:t>
        </w:r>
      </w:fldSimple>
      <w:bookmarkEnd w:id="104"/>
      <w:r w:rsidRPr="0038663C">
        <w:t>: Risk assessment outcomes for l</w:t>
      </w:r>
      <w:r w:rsidR="00306EBA" w:rsidRPr="0038663C">
        <w:t xml:space="preserve">iquid </w:t>
      </w:r>
      <w:r w:rsidR="004D5EC8" w:rsidRPr="0038663C">
        <w:t>di</w:t>
      </w:r>
      <w:r w:rsidR="00306EBA" w:rsidRPr="0038663C">
        <w:t>quat products</w:t>
      </w:r>
      <w:bookmarkEnd w:id="105"/>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587"/>
        <w:gridCol w:w="3231"/>
        <w:gridCol w:w="2948"/>
      </w:tblGrid>
      <w:tr w:rsidR="00CB0358" w:rsidRPr="008C0220" w14:paraId="598341E0" w14:textId="77777777" w:rsidTr="00C22F6A">
        <w:trPr>
          <w:trHeight w:val="889"/>
          <w:tblHeader/>
        </w:trPr>
        <w:tc>
          <w:tcPr>
            <w:tcW w:w="1928" w:type="dxa"/>
            <w:tcBorders>
              <w:top w:val="single" w:sz="4" w:space="0" w:color="auto"/>
              <w:bottom w:val="single" w:sz="4" w:space="0" w:color="auto"/>
            </w:tcBorders>
            <w:shd w:val="clear" w:color="auto" w:fill="5C2946"/>
          </w:tcPr>
          <w:p w14:paraId="399A3F76" w14:textId="77777777" w:rsidR="00306EBA" w:rsidRPr="008C0220" w:rsidRDefault="00306EBA" w:rsidP="00C22F6A">
            <w:pPr>
              <w:pStyle w:val="TableHead"/>
            </w:pPr>
            <w:r w:rsidRPr="008C0220">
              <w:t>Activity</w:t>
            </w:r>
          </w:p>
        </w:tc>
        <w:tc>
          <w:tcPr>
            <w:tcW w:w="1587" w:type="dxa"/>
            <w:tcBorders>
              <w:top w:val="single" w:sz="4" w:space="0" w:color="auto"/>
              <w:bottom w:val="single" w:sz="4" w:space="0" w:color="auto"/>
            </w:tcBorders>
            <w:shd w:val="clear" w:color="auto" w:fill="5C2946"/>
          </w:tcPr>
          <w:p w14:paraId="6D816C01" w14:textId="5091199A" w:rsidR="00306EBA" w:rsidRPr="008C0220" w:rsidRDefault="00306EBA" w:rsidP="00C22F6A">
            <w:pPr>
              <w:pStyle w:val="TableHead"/>
            </w:pPr>
            <w:r w:rsidRPr="008C0220">
              <w:t xml:space="preserve">Scale of </w:t>
            </w:r>
            <w:r w:rsidR="00C22F6A">
              <w:t>u</w:t>
            </w:r>
            <w:r w:rsidRPr="008C0220">
              <w:t>se</w:t>
            </w:r>
            <w:r w:rsidR="002D71CE">
              <w:t xml:space="preserve"> assessed</w:t>
            </w:r>
          </w:p>
        </w:tc>
        <w:tc>
          <w:tcPr>
            <w:tcW w:w="3231" w:type="dxa"/>
            <w:tcBorders>
              <w:top w:val="single" w:sz="4" w:space="0" w:color="auto"/>
              <w:bottom w:val="single" w:sz="4" w:space="0" w:color="auto"/>
            </w:tcBorders>
            <w:shd w:val="clear" w:color="auto" w:fill="5C2946"/>
          </w:tcPr>
          <w:p w14:paraId="19194FE9" w14:textId="462601A9" w:rsidR="00306EBA" w:rsidRPr="008C0220" w:rsidRDefault="00306EBA" w:rsidP="00C22F6A">
            <w:pPr>
              <w:pStyle w:val="TableHead"/>
            </w:pPr>
            <w:r w:rsidRPr="008C0220">
              <w:t>Minimum acceptable Personal</w:t>
            </w:r>
            <w:r w:rsidR="00E61669">
              <w:rPr>
                <w:rFonts w:ascii="ZWAdobeF" w:hAnsi="ZWAdobeF" w:cs="ZWAdobeF"/>
                <w:color w:val="auto"/>
                <w:spacing w:val="0"/>
                <w:sz w:val="2"/>
                <w:szCs w:val="2"/>
              </w:rPr>
              <w:t>3F</w:t>
            </w:r>
            <w:r w:rsidR="00602535">
              <w:rPr>
                <w:rFonts w:ascii="ZWAdobeF" w:hAnsi="ZWAdobeF" w:cs="ZWAdobeF"/>
                <w:color w:val="auto"/>
                <w:spacing w:val="0"/>
                <w:sz w:val="2"/>
                <w:szCs w:val="2"/>
              </w:rPr>
              <w:t>4F</w:t>
            </w:r>
            <w:r w:rsidR="00447FFA">
              <w:rPr>
                <w:rStyle w:val="FootnoteReference"/>
              </w:rPr>
              <w:footnoteReference w:id="6"/>
            </w:r>
            <w:r w:rsidRPr="008C0220">
              <w:t xml:space="preserve"> Protective Equipment (PPE)</w:t>
            </w:r>
          </w:p>
        </w:tc>
        <w:tc>
          <w:tcPr>
            <w:tcW w:w="2948" w:type="dxa"/>
            <w:tcBorders>
              <w:top w:val="single" w:sz="4" w:space="0" w:color="auto"/>
              <w:bottom w:val="single" w:sz="4" w:space="0" w:color="auto"/>
            </w:tcBorders>
            <w:shd w:val="clear" w:color="auto" w:fill="5C2946"/>
          </w:tcPr>
          <w:p w14:paraId="653FBEB0" w14:textId="52FBBF62" w:rsidR="00306EBA" w:rsidRPr="008C0220" w:rsidRDefault="00306EBA" w:rsidP="00C22F6A">
            <w:pPr>
              <w:pStyle w:val="TableHead"/>
            </w:pPr>
            <w:r w:rsidRPr="008C0220">
              <w:t xml:space="preserve">Use </w:t>
            </w:r>
            <w:r w:rsidR="00CB0358">
              <w:t>a</w:t>
            </w:r>
            <w:r w:rsidR="00CB0358" w:rsidRPr="008C0220">
              <w:t>cceptable</w:t>
            </w:r>
            <w:r w:rsidR="00C22F6A">
              <w:br/>
            </w:r>
            <w:r w:rsidRPr="008C0220">
              <w:t>(Yes/No</w:t>
            </w:r>
            <w:r w:rsidR="00C74E18">
              <w:t>/Restricted</w:t>
            </w:r>
            <w:r w:rsidRPr="008C0220">
              <w:t>)</w:t>
            </w:r>
          </w:p>
        </w:tc>
      </w:tr>
      <w:tr w:rsidR="00CB0358" w:rsidRPr="008C0220" w14:paraId="11C814A2" w14:textId="77777777" w:rsidTr="00C22F6A">
        <w:tc>
          <w:tcPr>
            <w:tcW w:w="1928" w:type="dxa"/>
            <w:vMerge w:val="restart"/>
            <w:tcBorders>
              <w:top w:val="single" w:sz="4" w:space="0" w:color="auto"/>
              <w:bottom w:val="single" w:sz="4" w:space="0" w:color="auto"/>
            </w:tcBorders>
          </w:tcPr>
          <w:p w14:paraId="1B830359" w14:textId="77777777" w:rsidR="00306EBA" w:rsidRPr="00C22F6A" w:rsidRDefault="00306EBA" w:rsidP="00C22F6A">
            <w:pPr>
              <w:pStyle w:val="TableText"/>
            </w:pPr>
            <w:bookmarkStart w:id="106" w:name="_Hlk169596465"/>
            <w:r w:rsidRPr="00C22F6A">
              <w:t>Ground boom application mix, load and apply (a single operator mixes, loads and applies)</w:t>
            </w:r>
          </w:p>
        </w:tc>
        <w:tc>
          <w:tcPr>
            <w:tcW w:w="1587" w:type="dxa"/>
            <w:tcBorders>
              <w:top w:val="single" w:sz="4" w:space="0" w:color="auto"/>
              <w:bottom w:val="single" w:sz="4" w:space="0" w:color="auto"/>
            </w:tcBorders>
          </w:tcPr>
          <w:p w14:paraId="0C242010" w14:textId="77777777" w:rsidR="00306EBA" w:rsidRPr="00C22F6A" w:rsidRDefault="00306EBA" w:rsidP="00C22F6A">
            <w:pPr>
              <w:pStyle w:val="TableText"/>
            </w:pPr>
            <w:r w:rsidRPr="00C22F6A">
              <w:t>Small scale agriculture</w:t>
            </w:r>
          </w:p>
          <w:p w14:paraId="60EEB82A" w14:textId="09678128" w:rsidR="00306EBA" w:rsidRPr="00C22F6A" w:rsidRDefault="00306EBA" w:rsidP="00C22F6A">
            <w:pPr>
              <w:pStyle w:val="TableText"/>
            </w:pPr>
            <w:r w:rsidRPr="00C22F6A">
              <w:t>(up to 6</w:t>
            </w:r>
            <w:r w:rsidR="00C22F6A">
              <w:t> </w:t>
            </w:r>
            <w:r w:rsidRPr="00C22F6A">
              <w:t>ha/day)</w:t>
            </w:r>
          </w:p>
        </w:tc>
        <w:tc>
          <w:tcPr>
            <w:tcW w:w="3231" w:type="dxa"/>
            <w:tcBorders>
              <w:top w:val="single" w:sz="4" w:space="0" w:color="auto"/>
              <w:bottom w:val="single" w:sz="4" w:space="0" w:color="auto"/>
            </w:tcBorders>
          </w:tcPr>
          <w:p w14:paraId="411BFF7F" w14:textId="77777777" w:rsidR="00306EBA" w:rsidRPr="00C22F6A" w:rsidRDefault="00306EBA" w:rsidP="00C22F6A">
            <w:pPr>
              <w:pStyle w:val="TableText"/>
            </w:pPr>
            <w:r w:rsidRPr="00C22F6A">
              <w:t>Open cab</w:t>
            </w:r>
          </w:p>
          <w:p w14:paraId="6A25759D" w14:textId="77777777" w:rsidR="00306EBA" w:rsidRPr="00C22F6A" w:rsidRDefault="00306EBA" w:rsidP="00C22F6A">
            <w:pPr>
              <w:pStyle w:val="TableText"/>
            </w:pPr>
            <w:r w:rsidRPr="00C22F6A">
              <w:t>Single layer</w:t>
            </w:r>
          </w:p>
          <w:p w14:paraId="3A1DF701" w14:textId="77777777" w:rsidR="00306EBA" w:rsidRPr="00C22F6A" w:rsidRDefault="00306EBA" w:rsidP="00C22F6A">
            <w:pPr>
              <w:pStyle w:val="TableText"/>
            </w:pPr>
            <w:r w:rsidRPr="00C22F6A">
              <w:t>Gloves</w:t>
            </w:r>
          </w:p>
          <w:p w14:paraId="2A99BB94" w14:textId="77777777" w:rsidR="00306EBA" w:rsidRPr="00C22F6A" w:rsidRDefault="00306EBA" w:rsidP="00C22F6A">
            <w:pPr>
              <w:pStyle w:val="TableText"/>
            </w:pPr>
            <w:r w:rsidRPr="00C22F6A">
              <w:t>PF10 respirator</w:t>
            </w:r>
          </w:p>
          <w:p w14:paraId="66BDEAEA" w14:textId="445FA53F" w:rsidR="00306EBA" w:rsidRPr="00C22F6A" w:rsidRDefault="00306EBA" w:rsidP="00C22F6A">
            <w:pPr>
              <w:pStyle w:val="TableText"/>
            </w:pPr>
            <w:r w:rsidRPr="00C22F6A">
              <w:t>Face shield or goggles</w:t>
            </w:r>
            <w:r w:rsidR="004D5EC8" w:rsidRPr="00C22F6A">
              <w:t xml:space="preserve"> when mixing or loading</w:t>
            </w:r>
          </w:p>
        </w:tc>
        <w:tc>
          <w:tcPr>
            <w:tcW w:w="2948" w:type="dxa"/>
            <w:tcBorders>
              <w:top w:val="single" w:sz="4" w:space="0" w:color="auto"/>
              <w:bottom w:val="single" w:sz="4" w:space="0" w:color="auto"/>
            </w:tcBorders>
          </w:tcPr>
          <w:p w14:paraId="043EA7A8" w14:textId="4F31665E" w:rsidR="00306EBA" w:rsidRPr="001A5A48" w:rsidRDefault="00B064A0" w:rsidP="00C22F6A">
            <w:pPr>
              <w:pStyle w:val="TableText"/>
              <w:rPr>
                <w:vertAlign w:val="superscript"/>
              </w:rPr>
            </w:pPr>
            <w:r>
              <w:t>Restricted</w:t>
            </w:r>
            <w:r w:rsidR="007B103B">
              <w:rPr>
                <w:vertAlign w:val="superscript"/>
              </w:rPr>
              <w:t>5</w:t>
            </w:r>
          </w:p>
          <w:p w14:paraId="1EE9FE28" w14:textId="083E7EAC" w:rsidR="00BD323C" w:rsidRPr="00C22F6A" w:rsidRDefault="00BD323C" w:rsidP="00C22F6A">
            <w:pPr>
              <w:pStyle w:val="TableText"/>
            </w:pPr>
          </w:p>
        </w:tc>
      </w:tr>
      <w:tr w:rsidR="00CB0358" w:rsidRPr="008C0220" w14:paraId="2760549B" w14:textId="77777777" w:rsidTr="00C22F6A">
        <w:tc>
          <w:tcPr>
            <w:tcW w:w="1928" w:type="dxa"/>
            <w:vMerge/>
            <w:tcBorders>
              <w:bottom w:val="single" w:sz="4" w:space="0" w:color="auto"/>
            </w:tcBorders>
          </w:tcPr>
          <w:p w14:paraId="43CC44FF" w14:textId="77777777" w:rsidR="00306EBA" w:rsidRPr="00C22F6A" w:rsidRDefault="00306EBA" w:rsidP="00C22F6A">
            <w:pPr>
              <w:pStyle w:val="TableText"/>
            </w:pPr>
          </w:p>
        </w:tc>
        <w:tc>
          <w:tcPr>
            <w:tcW w:w="1587" w:type="dxa"/>
            <w:tcBorders>
              <w:top w:val="single" w:sz="4" w:space="0" w:color="auto"/>
              <w:bottom w:val="single" w:sz="4" w:space="0" w:color="auto"/>
            </w:tcBorders>
          </w:tcPr>
          <w:p w14:paraId="0E7FC2AE" w14:textId="77777777" w:rsidR="00306EBA" w:rsidRPr="00C22F6A" w:rsidRDefault="00306EBA" w:rsidP="00C22F6A">
            <w:pPr>
              <w:pStyle w:val="TableText"/>
            </w:pPr>
            <w:r w:rsidRPr="00C22F6A">
              <w:t>Broad scale agriculture</w:t>
            </w:r>
          </w:p>
          <w:p w14:paraId="565C5118" w14:textId="13E4BA57" w:rsidR="00306EBA" w:rsidRPr="00C22F6A" w:rsidRDefault="00306EBA" w:rsidP="00C22F6A">
            <w:pPr>
              <w:pStyle w:val="TableText"/>
            </w:pPr>
            <w:r w:rsidRPr="00C22F6A">
              <w:t xml:space="preserve">(up to </w:t>
            </w:r>
            <w:r w:rsidR="008C5AB2">
              <w:t>5</w:t>
            </w:r>
            <w:r w:rsidR="008C5AB2" w:rsidRPr="00C22F6A">
              <w:t>00</w:t>
            </w:r>
            <w:r w:rsidR="008C5AB2">
              <w:t> </w:t>
            </w:r>
            <w:r w:rsidRPr="00C22F6A">
              <w:t>ha/day</w:t>
            </w:r>
            <w:r w:rsidR="00761DB6">
              <w:t xml:space="preserve"> </w:t>
            </w:r>
            <w:r w:rsidR="00761DB6" w:rsidRPr="00761DB6">
              <w:t>for all crops and 400 ha/d for cotton</w:t>
            </w:r>
            <w:r w:rsidRPr="00C22F6A">
              <w:t>)</w:t>
            </w:r>
          </w:p>
        </w:tc>
        <w:tc>
          <w:tcPr>
            <w:tcW w:w="3231" w:type="dxa"/>
            <w:tcBorders>
              <w:top w:val="single" w:sz="4" w:space="0" w:color="auto"/>
              <w:bottom w:val="single" w:sz="4" w:space="0" w:color="auto"/>
            </w:tcBorders>
          </w:tcPr>
          <w:p w14:paraId="2E9FF54A" w14:textId="77777777" w:rsidR="00306EBA" w:rsidRPr="00C22F6A" w:rsidRDefault="00306EBA" w:rsidP="00C22F6A">
            <w:pPr>
              <w:pStyle w:val="TableText"/>
            </w:pPr>
            <w:r w:rsidRPr="00C22F6A">
              <w:t>Enclosed cab application</w:t>
            </w:r>
          </w:p>
          <w:p w14:paraId="4991DD1E" w14:textId="1BEB9EB5" w:rsidR="00306EBA" w:rsidRPr="00C22F6A" w:rsidRDefault="005A5492" w:rsidP="00C22F6A">
            <w:pPr>
              <w:pStyle w:val="TableText"/>
            </w:pPr>
            <w:r w:rsidRPr="00C22F6A">
              <w:t>C</w:t>
            </w:r>
            <w:r w:rsidR="00306EBA" w:rsidRPr="00C22F6A">
              <w:t>losed mixing and loading (single layer of clothing, gloves, PF10 respirator, face shield or goggles when connecting, disconnecting or cleaning components of the mixing and loading system)</w:t>
            </w:r>
          </w:p>
        </w:tc>
        <w:tc>
          <w:tcPr>
            <w:tcW w:w="2948" w:type="dxa"/>
            <w:tcBorders>
              <w:top w:val="single" w:sz="4" w:space="0" w:color="auto"/>
              <w:bottom w:val="single" w:sz="4" w:space="0" w:color="auto"/>
            </w:tcBorders>
          </w:tcPr>
          <w:p w14:paraId="691A7171" w14:textId="6D9EDFA4" w:rsidR="00CB0358" w:rsidRPr="001A5A48" w:rsidRDefault="00B064A0" w:rsidP="00C22F6A">
            <w:pPr>
              <w:pStyle w:val="TableText"/>
              <w:rPr>
                <w:vertAlign w:val="superscript"/>
              </w:rPr>
            </w:pPr>
            <w:r>
              <w:t>Restricted</w:t>
            </w:r>
            <w:r>
              <w:rPr>
                <w:vertAlign w:val="superscript"/>
              </w:rPr>
              <w:t>5</w:t>
            </w:r>
          </w:p>
          <w:p w14:paraId="59442C32" w14:textId="720D4399" w:rsidR="00306EBA" w:rsidRPr="00C22F6A" w:rsidRDefault="00306EBA" w:rsidP="00C22F6A">
            <w:pPr>
              <w:pStyle w:val="TableText"/>
            </w:pPr>
            <w:r w:rsidRPr="00C22F6A">
              <w:t>Maximum acceptable handling rate of 3</w:t>
            </w:r>
            <w:r w:rsidR="004D5EC8" w:rsidRPr="00C22F6A">
              <w:t>1</w:t>
            </w:r>
            <w:r w:rsidRPr="00C22F6A">
              <w:t>7</w:t>
            </w:r>
            <w:r w:rsidR="004D5EC8" w:rsidRPr="00C22F6A">
              <w:t>.7</w:t>
            </w:r>
            <w:r w:rsidRPr="00C22F6A">
              <w:t xml:space="preserve"> kg of </w:t>
            </w:r>
            <w:r w:rsidR="004D5EC8" w:rsidRPr="00C22F6A">
              <w:t xml:space="preserve">diquat </w:t>
            </w:r>
            <w:r w:rsidRPr="00C22F6A">
              <w:t xml:space="preserve">per </w:t>
            </w:r>
            <w:r w:rsidR="0083629D">
              <w:t>individual worker</w:t>
            </w:r>
            <w:r w:rsidR="0083629D" w:rsidRPr="00C22F6A">
              <w:t xml:space="preserve"> </w:t>
            </w:r>
            <w:r w:rsidRPr="00C22F6A">
              <w:t>per day</w:t>
            </w:r>
          </w:p>
        </w:tc>
      </w:tr>
      <w:tr w:rsidR="00B40D50" w:rsidRPr="008C0220" w14:paraId="07B83FAE" w14:textId="77777777" w:rsidTr="00C22F6A">
        <w:trPr>
          <w:trHeight w:val="889"/>
        </w:trPr>
        <w:tc>
          <w:tcPr>
            <w:tcW w:w="1928" w:type="dxa"/>
            <w:tcBorders>
              <w:top w:val="single" w:sz="4" w:space="0" w:color="auto"/>
              <w:bottom w:val="single" w:sz="4" w:space="0" w:color="auto"/>
            </w:tcBorders>
          </w:tcPr>
          <w:p w14:paraId="173120E5" w14:textId="333D221C" w:rsidR="00B40D50" w:rsidRPr="00C646B2" w:rsidRDefault="00B40D50" w:rsidP="00C22F6A">
            <w:pPr>
              <w:pStyle w:val="TableText"/>
            </w:pPr>
            <w:r w:rsidRPr="00C646B2">
              <w:t xml:space="preserve">Aerial </w:t>
            </w:r>
            <w:r w:rsidR="00C22F6A" w:rsidRPr="00C646B2">
              <w:t>a</w:t>
            </w:r>
            <w:r w:rsidRPr="00C646B2">
              <w:t>pplication</w:t>
            </w:r>
          </w:p>
        </w:tc>
        <w:tc>
          <w:tcPr>
            <w:tcW w:w="1587" w:type="dxa"/>
            <w:tcBorders>
              <w:top w:val="single" w:sz="4" w:space="0" w:color="auto"/>
              <w:bottom w:val="single" w:sz="4" w:space="0" w:color="auto"/>
            </w:tcBorders>
          </w:tcPr>
          <w:p w14:paraId="52C7BE11" w14:textId="432E775A" w:rsidR="00B40D50" w:rsidRPr="00C646B2" w:rsidRDefault="00BD323C" w:rsidP="00C22F6A">
            <w:pPr>
              <w:pStyle w:val="TableText"/>
            </w:pPr>
            <w:r w:rsidRPr="00C646B2">
              <w:t xml:space="preserve">Pilot exposure </w:t>
            </w:r>
            <w:r w:rsidRPr="00802A2E">
              <w:t>e</w:t>
            </w:r>
            <w:r w:rsidR="00A062EB" w:rsidRPr="00802A2E">
              <w:t>xtrapolated from enclosed cab ground application</w:t>
            </w:r>
          </w:p>
        </w:tc>
        <w:tc>
          <w:tcPr>
            <w:tcW w:w="3231" w:type="dxa"/>
            <w:tcBorders>
              <w:top w:val="single" w:sz="4" w:space="0" w:color="auto"/>
              <w:bottom w:val="single" w:sz="4" w:space="0" w:color="auto"/>
            </w:tcBorders>
          </w:tcPr>
          <w:p w14:paraId="53D379F3" w14:textId="62D280D8" w:rsidR="00B40D50" w:rsidRPr="00C646B2" w:rsidRDefault="00A062EB" w:rsidP="00C22F6A">
            <w:pPr>
              <w:pStyle w:val="TableText"/>
            </w:pPr>
            <w:r w:rsidRPr="00C646B2">
              <w:t>Enclosed cab application</w:t>
            </w:r>
          </w:p>
        </w:tc>
        <w:tc>
          <w:tcPr>
            <w:tcW w:w="2948" w:type="dxa"/>
            <w:tcBorders>
              <w:top w:val="single" w:sz="4" w:space="0" w:color="auto"/>
              <w:bottom w:val="single" w:sz="4" w:space="0" w:color="auto"/>
            </w:tcBorders>
          </w:tcPr>
          <w:p w14:paraId="27225B7D" w14:textId="64AD8269" w:rsidR="00B40D50" w:rsidRPr="001A5A48" w:rsidRDefault="00B064A0" w:rsidP="00C22F6A">
            <w:pPr>
              <w:pStyle w:val="TableText"/>
              <w:rPr>
                <w:vertAlign w:val="superscript"/>
              </w:rPr>
            </w:pPr>
            <w:r>
              <w:t>Restricted</w:t>
            </w:r>
            <w:r w:rsidR="007B103B">
              <w:rPr>
                <w:vertAlign w:val="superscript"/>
              </w:rPr>
              <w:t>5</w:t>
            </w:r>
          </w:p>
          <w:p w14:paraId="72FA4F11" w14:textId="01E73FD8" w:rsidR="00C5697A" w:rsidRPr="00C646B2" w:rsidRDefault="00C5697A" w:rsidP="00C22F6A">
            <w:pPr>
              <w:pStyle w:val="TableText"/>
            </w:pPr>
            <w:r w:rsidRPr="00C646B2">
              <w:t xml:space="preserve">Maximum acceptable handling rate of 543.0 kg of diquat per </w:t>
            </w:r>
            <w:r w:rsidR="0083629D">
              <w:t>individual worker</w:t>
            </w:r>
            <w:r w:rsidR="0083629D" w:rsidRPr="00C646B2">
              <w:t xml:space="preserve"> </w:t>
            </w:r>
            <w:r w:rsidRPr="00C646B2">
              <w:t>per day</w:t>
            </w:r>
            <w:r w:rsidR="001E66B1">
              <w:t xml:space="preserve"> </w:t>
            </w:r>
          </w:p>
        </w:tc>
      </w:tr>
      <w:tr w:rsidR="00710FD1" w:rsidRPr="008C0220" w14:paraId="522C28ED" w14:textId="77777777" w:rsidTr="00C22F6A">
        <w:trPr>
          <w:trHeight w:val="889"/>
        </w:trPr>
        <w:tc>
          <w:tcPr>
            <w:tcW w:w="1928" w:type="dxa"/>
            <w:tcBorders>
              <w:top w:val="single" w:sz="4" w:space="0" w:color="auto"/>
              <w:bottom w:val="single" w:sz="4" w:space="0" w:color="auto"/>
            </w:tcBorders>
          </w:tcPr>
          <w:p w14:paraId="36148432" w14:textId="4B526051" w:rsidR="00710FD1" w:rsidRPr="00C646B2" w:rsidRDefault="00710FD1" w:rsidP="00C22F6A">
            <w:pPr>
              <w:pStyle w:val="TableText"/>
            </w:pPr>
            <w:r w:rsidRPr="00C646B2">
              <w:t>Closed mixing and loading for aerial application</w:t>
            </w:r>
          </w:p>
        </w:tc>
        <w:tc>
          <w:tcPr>
            <w:tcW w:w="1587" w:type="dxa"/>
            <w:tcBorders>
              <w:top w:val="single" w:sz="4" w:space="0" w:color="auto"/>
              <w:bottom w:val="single" w:sz="4" w:space="0" w:color="auto"/>
            </w:tcBorders>
          </w:tcPr>
          <w:p w14:paraId="4C204988" w14:textId="3245DC97" w:rsidR="00710FD1" w:rsidRPr="00C646B2" w:rsidRDefault="00710FD1" w:rsidP="00C22F6A">
            <w:pPr>
              <w:pStyle w:val="TableText"/>
            </w:pPr>
            <w:r w:rsidRPr="00C646B2">
              <w:t xml:space="preserve">Mixing and loading </w:t>
            </w:r>
            <w:r w:rsidR="00BD323C" w:rsidRPr="00C646B2">
              <w:t>only</w:t>
            </w:r>
          </w:p>
        </w:tc>
        <w:tc>
          <w:tcPr>
            <w:tcW w:w="3231" w:type="dxa"/>
            <w:tcBorders>
              <w:top w:val="single" w:sz="4" w:space="0" w:color="auto"/>
              <w:bottom w:val="single" w:sz="4" w:space="0" w:color="auto"/>
            </w:tcBorders>
          </w:tcPr>
          <w:p w14:paraId="0DB1B84E" w14:textId="2B022616" w:rsidR="00710FD1" w:rsidRPr="00C646B2" w:rsidRDefault="00710FD1" w:rsidP="00C22F6A">
            <w:pPr>
              <w:pStyle w:val="TableText"/>
            </w:pPr>
            <w:r w:rsidRPr="00C646B2">
              <w:t>Closed mixing and loading (Single layer of clothing, gloves, PF10 respirator, face shield or goggles when connecting, disconnecting or cleaning components of the mixing and loading system)</w:t>
            </w:r>
          </w:p>
        </w:tc>
        <w:tc>
          <w:tcPr>
            <w:tcW w:w="2948" w:type="dxa"/>
            <w:tcBorders>
              <w:top w:val="single" w:sz="4" w:space="0" w:color="auto"/>
              <w:bottom w:val="single" w:sz="4" w:space="0" w:color="auto"/>
            </w:tcBorders>
          </w:tcPr>
          <w:p w14:paraId="0A7DB723" w14:textId="20B8D5CB" w:rsidR="00BD323C" w:rsidRPr="001A5A48" w:rsidRDefault="00B064A0" w:rsidP="00C22F6A">
            <w:pPr>
              <w:pStyle w:val="TableText"/>
              <w:rPr>
                <w:vertAlign w:val="superscript"/>
              </w:rPr>
            </w:pPr>
            <w:r>
              <w:t>Restricted</w:t>
            </w:r>
            <w:r>
              <w:rPr>
                <w:vertAlign w:val="superscript"/>
              </w:rPr>
              <w:t>5</w:t>
            </w:r>
          </w:p>
          <w:p w14:paraId="75F85044" w14:textId="1F88ED4E" w:rsidR="00710FD1" w:rsidRPr="00C646B2" w:rsidRDefault="00BD323C" w:rsidP="00C22F6A">
            <w:pPr>
              <w:pStyle w:val="TableText"/>
            </w:pPr>
            <w:r w:rsidRPr="00C646B2">
              <w:t xml:space="preserve">Maximum acceptable handling rate of 765.1 kg of diquat per </w:t>
            </w:r>
            <w:r w:rsidR="0083629D">
              <w:t>individual worker</w:t>
            </w:r>
            <w:r w:rsidR="0083629D" w:rsidRPr="00C646B2">
              <w:t xml:space="preserve"> </w:t>
            </w:r>
            <w:r w:rsidRPr="00C646B2">
              <w:t>per day</w:t>
            </w:r>
          </w:p>
        </w:tc>
      </w:tr>
      <w:tr w:rsidR="00802A2E" w:rsidRPr="008C0220" w14:paraId="5D4FBF8A" w14:textId="77777777" w:rsidTr="000742AA">
        <w:trPr>
          <w:trHeight w:val="889"/>
        </w:trPr>
        <w:tc>
          <w:tcPr>
            <w:tcW w:w="1928" w:type="dxa"/>
            <w:tcBorders>
              <w:left w:val="nil"/>
              <w:right w:val="nil"/>
            </w:tcBorders>
          </w:tcPr>
          <w:p w14:paraId="31BD08DB" w14:textId="0EFA745F" w:rsidR="00802A2E" w:rsidRPr="00C646B2" w:rsidRDefault="00802A2E" w:rsidP="00802A2E">
            <w:pPr>
              <w:pStyle w:val="TableText"/>
            </w:pPr>
            <w:r w:rsidRPr="00D63217">
              <w:t xml:space="preserve">Backpack sprayer </w:t>
            </w:r>
            <w:r w:rsidRPr="00D63217">
              <w:br/>
              <w:t>(a single operator mixes, loads and applies)</w:t>
            </w:r>
          </w:p>
        </w:tc>
        <w:tc>
          <w:tcPr>
            <w:tcW w:w="1587" w:type="dxa"/>
            <w:tcBorders>
              <w:left w:val="nil"/>
              <w:right w:val="nil"/>
            </w:tcBorders>
          </w:tcPr>
          <w:p w14:paraId="3C0976ED" w14:textId="394F170F" w:rsidR="00802A2E" w:rsidRPr="00C646B2" w:rsidRDefault="00802A2E" w:rsidP="00802A2E">
            <w:pPr>
              <w:pStyle w:val="TableText"/>
            </w:pPr>
            <w:r w:rsidRPr="00D63217">
              <w:t>150 L/day</w:t>
            </w:r>
          </w:p>
        </w:tc>
        <w:tc>
          <w:tcPr>
            <w:tcW w:w="3231" w:type="dxa"/>
            <w:tcBorders>
              <w:left w:val="nil"/>
              <w:right w:val="nil"/>
            </w:tcBorders>
          </w:tcPr>
          <w:p w14:paraId="522432DF" w14:textId="2A347D48" w:rsidR="00802A2E" w:rsidRPr="00C646B2" w:rsidRDefault="00802A2E" w:rsidP="00802A2E">
            <w:pPr>
              <w:pStyle w:val="TableText"/>
            </w:pPr>
            <w:r>
              <w:t>Double</w:t>
            </w:r>
            <w:r w:rsidRPr="000744E4">
              <w:t xml:space="preserve"> layer</w:t>
            </w:r>
            <w:r w:rsidRPr="000744E4">
              <w:br/>
              <w:t>Gloves</w:t>
            </w:r>
            <w:r w:rsidRPr="000744E4">
              <w:br/>
              <w:t>PF</w:t>
            </w:r>
            <w:r>
              <w:t>5</w:t>
            </w:r>
            <w:r w:rsidRPr="000744E4">
              <w:t>0 respirator</w:t>
            </w:r>
            <w:r w:rsidRPr="00D63217">
              <w:br/>
              <w:t>Face shield or goggles when mixing and loading</w:t>
            </w:r>
          </w:p>
        </w:tc>
        <w:tc>
          <w:tcPr>
            <w:tcW w:w="2948" w:type="dxa"/>
            <w:tcBorders>
              <w:left w:val="nil"/>
              <w:right w:val="nil"/>
            </w:tcBorders>
          </w:tcPr>
          <w:p w14:paraId="19161FDC" w14:textId="77777777" w:rsidR="00802A2E" w:rsidRPr="00117486" w:rsidRDefault="00802A2E" w:rsidP="00802A2E">
            <w:pPr>
              <w:pStyle w:val="TableText"/>
            </w:pPr>
            <w:r w:rsidRPr="00117486">
              <w:t>No</w:t>
            </w:r>
          </w:p>
          <w:p w14:paraId="51C06782" w14:textId="54BFBD0B" w:rsidR="00802A2E" w:rsidRPr="00C646B2" w:rsidRDefault="00802A2E" w:rsidP="00802A2E">
            <w:pPr>
              <w:pStyle w:val="TableText"/>
            </w:pPr>
            <w:r w:rsidRPr="00117486">
              <w:t>Maximum acceptable handling rate of 0.</w:t>
            </w:r>
            <w:r w:rsidR="00FF6DE5">
              <w:t>2</w:t>
            </w:r>
            <w:r w:rsidRPr="00117486">
              <w:t xml:space="preserve"> kg of </w:t>
            </w:r>
            <w:r>
              <w:t>diquat</w:t>
            </w:r>
            <w:r w:rsidRPr="00117486">
              <w:t xml:space="preserve"> per </w:t>
            </w:r>
            <w:r w:rsidR="0083629D">
              <w:t>individual worker</w:t>
            </w:r>
            <w:r w:rsidRPr="00117486">
              <w:t xml:space="preserve"> per day</w:t>
            </w:r>
          </w:p>
        </w:tc>
      </w:tr>
      <w:tr w:rsidR="00B40D50" w:rsidRPr="008C0220" w14:paraId="1A971DC1" w14:textId="77777777" w:rsidTr="00C22F6A">
        <w:trPr>
          <w:trHeight w:val="889"/>
        </w:trPr>
        <w:tc>
          <w:tcPr>
            <w:tcW w:w="1928" w:type="dxa"/>
            <w:tcBorders>
              <w:top w:val="single" w:sz="4" w:space="0" w:color="auto"/>
              <w:bottom w:val="single" w:sz="4" w:space="0" w:color="auto"/>
            </w:tcBorders>
          </w:tcPr>
          <w:p w14:paraId="6346044B" w14:textId="77777777" w:rsidR="00B40D50" w:rsidRPr="00C22F6A" w:rsidRDefault="00B40D50" w:rsidP="00C22F6A">
            <w:pPr>
              <w:pStyle w:val="TableText"/>
            </w:pPr>
            <w:r w:rsidRPr="00C22F6A">
              <w:t xml:space="preserve">Manually pressurised hand wand application (a single operator </w:t>
            </w:r>
            <w:r w:rsidRPr="00C22F6A">
              <w:lastRenderedPageBreak/>
              <w:t>mixes, loads and applies)*</w:t>
            </w:r>
          </w:p>
        </w:tc>
        <w:tc>
          <w:tcPr>
            <w:tcW w:w="1587" w:type="dxa"/>
            <w:tcBorders>
              <w:top w:val="single" w:sz="4" w:space="0" w:color="auto"/>
              <w:bottom w:val="single" w:sz="4" w:space="0" w:color="auto"/>
            </w:tcBorders>
          </w:tcPr>
          <w:p w14:paraId="101F9162" w14:textId="1E304A5A" w:rsidR="00B40D50" w:rsidRPr="00C22F6A" w:rsidRDefault="00B40D50" w:rsidP="00C22F6A">
            <w:pPr>
              <w:pStyle w:val="TableText"/>
            </w:pPr>
            <w:r w:rsidRPr="00C22F6A">
              <w:lastRenderedPageBreak/>
              <w:t>150 L/day</w:t>
            </w:r>
          </w:p>
        </w:tc>
        <w:tc>
          <w:tcPr>
            <w:tcW w:w="3231" w:type="dxa"/>
            <w:tcBorders>
              <w:top w:val="single" w:sz="4" w:space="0" w:color="auto"/>
              <w:bottom w:val="single" w:sz="4" w:space="0" w:color="auto"/>
            </w:tcBorders>
          </w:tcPr>
          <w:p w14:paraId="261911CD" w14:textId="630486C7" w:rsidR="00B40D50" w:rsidRPr="00C22F6A" w:rsidRDefault="00F13BC8" w:rsidP="00C22F6A">
            <w:pPr>
              <w:pStyle w:val="TableText"/>
            </w:pPr>
            <w:r>
              <w:t>Double</w:t>
            </w:r>
            <w:r w:rsidRPr="00C22F6A">
              <w:t xml:space="preserve"> </w:t>
            </w:r>
            <w:r w:rsidR="00B40D50" w:rsidRPr="00C22F6A">
              <w:t>layer</w:t>
            </w:r>
          </w:p>
          <w:p w14:paraId="2ACCBDF7" w14:textId="77777777" w:rsidR="00B40D50" w:rsidRPr="00C22F6A" w:rsidRDefault="00B40D50" w:rsidP="00C22F6A">
            <w:pPr>
              <w:pStyle w:val="TableText"/>
            </w:pPr>
            <w:r w:rsidRPr="00C22F6A">
              <w:t>Gloves</w:t>
            </w:r>
          </w:p>
          <w:p w14:paraId="0BA07411" w14:textId="3FB36F0A" w:rsidR="00B40D50" w:rsidRPr="00C22F6A" w:rsidRDefault="00F13BC8" w:rsidP="00C22F6A">
            <w:pPr>
              <w:pStyle w:val="TableText"/>
            </w:pPr>
            <w:r w:rsidRPr="00C22F6A">
              <w:lastRenderedPageBreak/>
              <w:t>PF</w:t>
            </w:r>
            <w:r>
              <w:t>5</w:t>
            </w:r>
            <w:r w:rsidRPr="00C22F6A">
              <w:t xml:space="preserve">0 </w:t>
            </w:r>
            <w:r w:rsidR="00B40D50" w:rsidRPr="00C22F6A">
              <w:t>respirator</w:t>
            </w:r>
          </w:p>
          <w:p w14:paraId="259160A8" w14:textId="77777777" w:rsidR="00B40D50" w:rsidRPr="00C22F6A" w:rsidRDefault="00B40D50" w:rsidP="00C22F6A">
            <w:pPr>
              <w:pStyle w:val="TableText"/>
            </w:pPr>
            <w:r w:rsidRPr="00C22F6A">
              <w:t>Face shield or goggles when mixing and loading</w:t>
            </w:r>
          </w:p>
        </w:tc>
        <w:tc>
          <w:tcPr>
            <w:tcW w:w="2948" w:type="dxa"/>
            <w:tcBorders>
              <w:top w:val="single" w:sz="4" w:space="0" w:color="auto"/>
              <w:bottom w:val="single" w:sz="4" w:space="0" w:color="auto"/>
            </w:tcBorders>
          </w:tcPr>
          <w:p w14:paraId="3F034A76" w14:textId="66AB7A0D" w:rsidR="00B40D50" w:rsidRPr="00C22F6A" w:rsidRDefault="000E2722" w:rsidP="00C22F6A">
            <w:pPr>
              <w:pStyle w:val="TableText"/>
            </w:pPr>
            <w:r w:rsidRPr="00C22F6A">
              <w:lastRenderedPageBreak/>
              <w:t>Yes</w:t>
            </w:r>
          </w:p>
          <w:p w14:paraId="0D268A5F" w14:textId="2D49F6D6" w:rsidR="00B40D50" w:rsidRPr="00C22F6A" w:rsidRDefault="00B40D50" w:rsidP="00C22F6A">
            <w:pPr>
              <w:pStyle w:val="TableText"/>
            </w:pPr>
            <w:r w:rsidRPr="00C22F6A">
              <w:t xml:space="preserve">Maximum acceptable handling rate of </w:t>
            </w:r>
            <w:r w:rsidR="00F13BC8">
              <w:t>8.2</w:t>
            </w:r>
            <w:r w:rsidRPr="00C22F6A">
              <w:t xml:space="preserve"> kg of diquat per </w:t>
            </w:r>
            <w:r w:rsidR="0083629D">
              <w:lastRenderedPageBreak/>
              <w:t>individual worker</w:t>
            </w:r>
            <w:r w:rsidR="0083629D" w:rsidRPr="00C22F6A">
              <w:t xml:space="preserve"> </w:t>
            </w:r>
            <w:r w:rsidRPr="00C22F6A">
              <w:t>per day</w:t>
            </w:r>
          </w:p>
        </w:tc>
      </w:tr>
      <w:tr w:rsidR="00B40D50" w:rsidRPr="008C0220" w14:paraId="72FE9BB8" w14:textId="77777777" w:rsidTr="00C22F6A">
        <w:trPr>
          <w:cantSplit/>
          <w:trHeight w:val="889"/>
        </w:trPr>
        <w:tc>
          <w:tcPr>
            <w:tcW w:w="1928" w:type="dxa"/>
            <w:tcBorders>
              <w:top w:val="single" w:sz="4" w:space="0" w:color="auto"/>
              <w:bottom w:val="single" w:sz="4" w:space="0" w:color="auto"/>
            </w:tcBorders>
          </w:tcPr>
          <w:p w14:paraId="325D3447" w14:textId="6ACE1409" w:rsidR="00B40D50" w:rsidRPr="00C22F6A" w:rsidRDefault="00B40D50" w:rsidP="00C22F6A">
            <w:pPr>
              <w:pStyle w:val="TableText"/>
            </w:pPr>
            <w:r w:rsidRPr="00C22F6A">
              <w:lastRenderedPageBreak/>
              <w:t>Mechanically pressurised hand wand application (a single operator mixes, loads and applies)*</w:t>
            </w:r>
          </w:p>
        </w:tc>
        <w:tc>
          <w:tcPr>
            <w:tcW w:w="1587" w:type="dxa"/>
            <w:tcBorders>
              <w:top w:val="single" w:sz="4" w:space="0" w:color="auto"/>
              <w:bottom w:val="single" w:sz="4" w:space="0" w:color="auto"/>
            </w:tcBorders>
          </w:tcPr>
          <w:p w14:paraId="78C27745" w14:textId="77777777" w:rsidR="00F13BC8" w:rsidRDefault="00F13BC8" w:rsidP="00F13BC8">
            <w:pPr>
              <w:pStyle w:val="TableText"/>
            </w:pPr>
            <w:r>
              <w:t>1,000 L/day spot treatment foliar</w:t>
            </w:r>
          </w:p>
          <w:p w14:paraId="3CAB665A" w14:textId="098F4A69" w:rsidR="00B40D50" w:rsidRPr="00C22F6A" w:rsidRDefault="00F13BC8" w:rsidP="00F13BC8">
            <w:pPr>
              <w:pStyle w:val="TableText"/>
            </w:pPr>
            <w:r>
              <w:t>4,000 L/day Broadcast foliar treatment</w:t>
            </w:r>
          </w:p>
        </w:tc>
        <w:tc>
          <w:tcPr>
            <w:tcW w:w="3231" w:type="dxa"/>
            <w:tcBorders>
              <w:top w:val="single" w:sz="4" w:space="0" w:color="auto"/>
              <w:bottom w:val="single" w:sz="4" w:space="0" w:color="auto"/>
            </w:tcBorders>
          </w:tcPr>
          <w:p w14:paraId="16826D61" w14:textId="59264960" w:rsidR="00B40D50" w:rsidRPr="00C22F6A" w:rsidRDefault="00F13BC8" w:rsidP="00C22F6A">
            <w:pPr>
              <w:pStyle w:val="TableText"/>
            </w:pPr>
            <w:r>
              <w:t>Double</w:t>
            </w:r>
            <w:r w:rsidRPr="00C22F6A">
              <w:t xml:space="preserve"> </w:t>
            </w:r>
            <w:r w:rsidR="00B40D50" w:rsidRPr="00C22F6A">
              <w:t>layer</w:t>
            </w:r>
          </w:p>
          <w:p w14:paraId="24AADE2F" w14:textId="77777777" w:rsidR="00B40D50" w:rsidRPr="00C22F6A" w:rsidRDefault="00B40D50" w:rsidP="00C22F6A">
            <w:pPr>
              <w:pStyle w:val="TableText"/>
            </w:pPr>
            <w:r w:rsidRPr="00C22F6A">
              <w:t>Gloves</w:t>
            </w:r>
          </w:p>
          <w:p w14:paraId="4A1A708A" w14:textId="2CD9E0A9" w:rsidR="00B40D50" w:rsidRPr="00C22F6A" w:rsidRDefault="00F13BC8" w:rsidP="00C22F6A">
            <w:pPr>
              <w:pStyle w:val="TableText"/>
            </w:pPr>
            <w:r w:rsidRPr="00C22F6A">
              <w:t>PF</w:t>
            </w:r>
            <w:r>
              <w:t>5</w:t>
            </w:r>
            <w:r w:rsidRPr="00C22F6A">
              <w:t xml:space="preserve">0 </w:t>
            </w:r>
            <w:r w:rsidR="00B40D50" w:rsidRPr="00C22F6A">
              <w:t>respirator</w:t>
            </w:r>
          </w:p>
          <w:p w14:paraId="735C3233" w14:textId="77777777" w:rsidR="00B40D50" w:rsidRPr="00C22F6A" w:rsidRDefault="00B40D50" w:rsidP="00C22F6A">
            <w:pPr>
              <w:pStyle w:val="TableText"/>
            </w:pPr>
            <w:r w:rsidRPr="00C22F6A">
              <w:t>Face shield or goggles when mixing and loading</w:t>
            </w:r>
          </w:p>
        </w:tc>
        <w:tc>
          <w:tcPr>
            <w:tcW w:w="2948" w:type="dxa"/>
            <w:tcBorders>
              <w:top w:val="single" w:sz="4" w:space="0" w:color="auto"/>
              <w:bottom w:val="single" w:sz="4" w:space="0" w:color="auto"/>
            </w:tcBorders>
          </w:tcPr>
          <w:p w14:paraId="1362294B" w14:textId="54486392" w:rsidR="00B40D50" w:rsidRPr="00C22F6A" w:rsidRDefault="000E2722" w:rsidP="00C22F6A">
            <w:pPr>
              <w:pStyle w:val="TableText"/>
            </w:pPr>
            <w:r w:rsidRPr="00C22F6A">
              <w:t>Yes</w:t>
            </w:r>
          </w:p>
          <w:p w14:paraId="73287ADE" w14:textId="65B75FEA" w:rsidR="00B40D50" w:rsidRPr="00C22F6A" w:rsidRDefault="00B40D50" w:rsidP="00C22F6A">
            <w:pPr>
              <w:pStyle w:val="TableText"/>
            </w:pPr>
            <w:r w:rsidRPr="00C22F6A">
              <w:t xml:space="preserve">Maximum acceptable handling rate of </w:t>
            </w:r>
            <w:r w:rsidR="00F13BC8">
              <w:t>2.3</w:t>
            </w:r>
            <w:r w:rsidRPr="00C22F6A">
              <w:t xml:space="preserve"> kg diquat per </w:t>
            </w:r>
            <w:r w:rsidR="0083629D">
              <w:t>individual worker</w:t>
            </w:r>
            <w:r w:rsidR="0083629D" w:rsidRPr="00C22F6A">
              <w:t xml:space="preserve"> </w:t>
            </w:r>
            <w:r w:rsidRPr="00C22F6A">
              <w:t>per day</w:t>
            </w:r>
          </w:p>
        </w:tc>
      </w:tr>
    </w:tbl>
    <w:p w14:paraId="38A72016" w14:textId="4B81DD2A" w:rsidR="00306EBA" w:rsidRPr="00661945" w:rsidRDefault="00306EBA" w:rsidP="00661945">
      <w:pPr>
        <w:pStyle w:val="Heading3"/>
      </w:pPr>
      <w:bookmarkStart w:id="107" w:name="_Toc233038952"/>
      <w:bookmarkEnd w:id="106"/>
      <w:r w:rsidRPr="00661945">
        <w:t>Re-entry</w:t>
      </w:r>
      <w:r w:rsidR="00D15739" w:rsidRPr="00661945">
        <w:t xml:space="preserve"> to treated areas</w:t>
      </w:r>
      <w:bookmarkEnd w:id="107"/>
    </w:p>
    <w:p w14:paraId="362166D9" w14:textId="1FD18611" w:rsidR="00F0098B" w:rsidRDefault="00306EBA" w:rsidP="00306EBA">
      <w:pPr>
        <w:pStyle w:val="NormalText"/>
      </w:pPr>
      <w:r w:rsidRPr="00F0098B">
        <w:t>Based on the acute hazards associated with exposure to diquat, treated areas should not be entered until the spray has dried</w:t>
      </w:r>
      <w:r w:rsidR="00C43D8A">
        <w:t>,</w:t>
      </w:r>
      <w:r w:rsidR="00F0098B" w:rsidRPr="00F0098B">
        <w:t xml:space="preserve"> </w:t>
      </w:r>
      <w:r w:rsidR="004865BB">
        <w:t xml:space="preserve">unless using </w:t>
      </w:r>
      <w:r w:rsidR="007D17F5" w:rsidRPr="007D17F5">
        <w:t>an enclosed cab or wear</w:t>
      </w:r>
      <w:r w:rsidR="004865BB">
        <w:t>ing</w:t>
      </w:r>
      <w:r w:rsidR="007D17F5" w:rsidRPr="007D17F5">
        <w:t xml:space="preserve"> cotton overalls and gloves.</w:t>
      </w:r>
    </w:p>
    <w:p w14:paraId="7E86D124" w14:textId="7646DE0F" w:rsidR="00306EBA" w:rsidRDefault="00F0098B" w:rsidP="00306EBA">
      <w:pPr>
        <w:pStyle w:val="NormalText"/>
      </w:pPr>
      <w:r w:rsidRPr="007C0C3B">
        <w:t>The recommended re-entry periods depend on the application rate</w:t>
      </w:r>
      <w:r>
        <w:t xml:space="preserve"> and activity, as specified </w:t>
      </w:r>
      <w:r w:rsidR="00096184">
        <w:t xml:space="preserve">below </w:t>
      </w:r>
      <w:r>
        <w:t>in</w:t>
      </w:r>
      <w:r w:rsidR="000B45CC">
        <w:t xml:space="preserve"> </w:t>
      </w:r>
      <w:r w:rsidR="000B45CC">
        <w:fldChar w:fldCharType="begin" w:fldLock="1"/>
      </w:r>
      <w:r w:rsidR="000B45CC">
        <w:instrText xml:space="preserve"> REF _Ref221535347 \h </w:instrText>
      </w:r>
      <w:r w:rsidR="000B45CC">
        <w:fldChar w:fldCharType="separate"/>
      </w:r>
      <w:r w:rsidR="0033298E" w:rsidRPr="00D63217">
        <w:t xml:space="preserve">Table </w:t>
      </w:r>
      <w:r w:rsidR="0033298E">
        <w:rPr>
          <w:noProof/>
        </w:rPr>
        <w:t>11</w:t>
      </w:r>
      <w:r w:rsidR="000B45CC">
        <w:fldChar w:fldCharType="end"/>
      </w:r>
      <w:r w:rsidR="000B45CC">
        <w:t xml:space="preserve"> </w:t>
      </w:r>
      <w:r>
        <w:t>for diquat products</w:t>
      </w:r>
      <w:r w:rsidR="00C2587C">
        <w:t>.</w:t>
      </w:r>
    </w:p>
    <w:p w14:paraId="6516E180" w14:textId="466A1839" w:rsidR="00F0098B" w:rsidRPr="000179FF" w:rsidRDefault="00F0098B" w:rsidP="000179FF">
      <w:pPr>
        <w:pStyle w:val="Caption"/>
      </w:pPr>
      <w:bookmarkStart w:id="108" w:name="_Ref221535347"/>
      <w:bookmarkStart w:id="109" w:name="_Ref228441127"/>
      <w:bookmarkStart w:id="110" w:name="_Toc232589606"/>
      <w:r w:rsidRPr="000179FF">
        <w:t xml:space="preserve">Table </w:t>
      </w:r>
      <w:fldSimple w:instr=" SEQ Table \* ARABIC ">
        <w:r w:rsidR="000179FF">
          <w:rPr>
            <w:noProof/>
          </w:rPr>
          <w:t>11</w:t>
        </w:r>
      </w:fldSimple>
      <w:bookmarkEnd w:id="108"/>
      <w:r w:rsidRPr="000179FF">
        <w:t>: Re-entry intervals diquat products</w:t>
      </w:r>
      <w:bookmarkEnd w:id="109"/>
      <w:bookmarkEnd w:id="110"/>
    </w:p>
    <w:tbl>
      <w:tblPr>
        <w:tblStyle w:val="TableGrid"/>
        <w:tblW w:w="5000" w:type="pct"/>
        <w:tblLook w:val="04A0" w:firstRow="1" w:lastRow="0" w:firstColumn="1" w:lastColumn="0" w:noHBand="0" w:noVBand="1"/>
      </w:tblPr>
      <w:tblGrid>
        <w:gridCol w:w="6697"/>
        <w:gridCol w:w="3157"/>
      </w:tblGrid>
      <w:tr w:rsidR="00F0098B" w:rsidRPr="0034682A" w14:paraId="58895068" w14:textId="77777777" w:rsidTr="00C43D8A">
        <w:trPr>
          <w:trHeight w:val="481"/>
          <w:tblHeader/>
        </w:trPr>
        <w:tc>
          <w:tcPr>
            <w:tcW w:w="3398" w:type="pct"/>
            <w:tcBorders>
              <w:bottom w:val="single" w:sz="4" w:space="0" w:color="auto"/>
              <w:right w:val="nil"/>
            </w:tcBorders>
            <w:shd w:val="clear" w:color="auto" w:fill="5C2946"/>
            <w:vAlign w:val="center"/>
          </w:tcPr>
          <w:p w14:paraId="39D5D393" w14:textId="77777777" w:rsidR="00F0098B" w:rsidRPr="00661945" w:rsidRDefault="00F0098B" w:rsidP="00661945">
            <w:pPr>
              <w:pStyle w:val="TableHead"/>
            </w:pPr>
            <w:r w:rsidRPr="00661945">
              <w:t>Activity</w:t>
            </w:r>
          </w:p>
        </w:tc>
        <w:tc>
          <w:tcPr>
            <w:tcW w:w="1602" w:type="pct"/>
            <w:tcBorders>
              <w:left w:val="nil"/>
              <w:bottom w:val="single" w:sz="4" w:space="0" w:color="auto"/>
            </w:tcBorders>
            <w:shd w:val="clear" w:color="auto" w:fill="5C2946"/>
            <w:vAlign w:val="center"/>
          </w:tcPr>
          <w:p w14:paraId="5B2293B4" w14:textId="70B62DDB" w:rsidR="00F0098B" w:rsidRPr="00661945" w:rsidRDefault="00F0098B" w:rsidP="00661945">
            <w:pPr>
              <w:pStyle w:val="TableHead"/>
              <w:jc w:val="right"/>
            </w:pPr>
            <w:r w:rsidRPr="00661945">
              <w:t>Non-Re-Entry Period (Days)</w:t>
            </w:r>
            <w:r w:rsidR="00294F49" w:rsidRPr="00661945">
              <w:rPr>
                <w:vertAlign w:val="superscript"/>
              </w:rPr>
              <w:t>1</w:t>
            </w:r>
          </w:p>
        </w:tc>
      </w:tr>
      <w:tr w:rsidR="00F0098B" w:rsidRPr="0034682A" w14:paraId="111B0812" w14:textId="77777777" w:rsidTr="00C43D8A">
        <w:tc>
          <w:tcPr>
            <w:tcW w:w="3398" w:type="pct"/>
            <w:tcBorders>
              <w:left w:val="nil"/>
              <w:right w:val="nil"/>
            </w:tcBorders>
            <w:vAlign w:val="center"/>
          </w:tcPr>
          <w:p w14:paraId="6A92FBEA" w14:textId="77777777" w:rsidR="00F0098B" w:rsidRPr="00C43D8A" w:rsidRDefault="00F0098B" w:rsidP="00B16CCF">
            <w:pPr>
              <w:pStyle w:val="TableText"/>
              <w:rPr>
                <w:szCs w:val="17"/>
              </w:rPr>
            </w:pPr>
            <w:r w:rsidRPr="00C43D8A">
              <w:rPr>
                <w:szCs w:val="17"/>
              </w:rPr>
              <w:t xml:space="preserve">Scouting (application rate up to </w:t>
            </w:r>
            <w:r w:rsidRPr="00F0098B">
              <w:rPr>
                <w:szCs w:val="17"/>
              </w:rPr>
              <w:t>4</w:t>
            </w:r>
            <w:r w:rsidRPr="00C43D8A">
              <w:rPr>
                <w:szCs w:val="17"/>
              </w:rPr>
              <w:t>00 g/ha)</w:t>
            </w:r>
          </w:p>
        </w:tc>
        <w:tc>
          <w:tcPr>
            <w:tcW w:w="1602" w:type="pct"/>
            <w:tcBorders>
              <w:left w:val="nil"/>
              <w:right w:val="nil"/>
            </w:tcBorders>
            <w:vAlign w:val="center"/>
          </w:tcPr>
          <w:p w14:paraId="23D72E61" w14:textId="77777777" w:rsidR="00F0098B" w:rsidRPr="00C43D8A" w:rsidRDefault="00F0098B" w:rsidP="00661945">
            <w:pPr>
              <w:pStyle w:val="TableText"/>
              <w:jc w:val="right"/>
              <w:rPr>
                <w:szCs w:val="17"/>
              </w:rPr>
            </w:pPr>
            <w:r w:rsidRPr="00C43D8A">
              <w:rPr>
                <w:szCs w:val="17"/>
              </w:rPr>
              <w:t>0</w:t>
            </w:r>
          </w:p>
        </w:tc>
      </w:tr>
      <w:tr w:rsidR="00F0098B" w:rsidRPr="0034682A" w14:paraId="061D3AF7" w14:textId="77777777" w:rsidTr="00C43D8A">
        <w:tc>
          <w:tcPr>
            <w:tcW w:w="3398" w:type="pct"/>
            <w:tcBorders>
              <w:left w:val="nil"/>
              <w:right w:val="nil"/>
            </w:tcBorders>
            <w:vAlign w:val="center"/>
          </w:tcPr>
          <w:p w14:paraId="5511634B" w14:textId="0DC600F2" w:rsidR="00F0098B" w:rsidRPr="00F0098B" w:rsidRDefault="00F0098B" w:rsidP="00B16CCF">
            <w:pPr>
              <w:pStyle w:val="TableText"/>
              <w:rPr>
                <w:szCs w:val="17"/>
              </w:rPr>
            </w:pPr>
            <w:r w:rsidRPr="00C43D8A">
              <w:rPr>
                <w:szCs w:val="17"/>
              </w:rPr>
              <w:t xml:space="preserve">Scouting (application rate of </w:t>
            </w:r>
            <w:r w:rsidRPr="00F0098B">
              <w:rPr>
                <w:szCs w:val="17"/>
              </w:rPr>
              <w:t xml:space="preserve">401 to </w:t>
            </w:r>
            <w:r w:rsidR="00DF613B" w:rsidRPr="00DF613B">
              <w:rPr>
                <w:szCs w:val="17"/>
              </w:rPr>
              <w:t>≤</w:t>
            </w:r>
            <w:r w:rsidR="00DF613B">
              <w:rPr>
                <w:szCs w:val="17"/>
              </w:rPr>
              <w:t xml:space="preserve"> </w:t>
            </w:r>
            <w:r w:rsidRPr="00C43D8A">
              <w:rPr>
                <w:szCs w:val="17"/>
              </w:rPr>
              <w:t>600 g/ha)</w:t>
            </w:r>
          </w:p>
        </w:tc>
        <w:tc>
          <w:tcPr>
            <w:tcW w:w="1602" w:type="pct"/>
            <w:tcBorders>
              <w:left w:val="nil"/>
              <w:right w:val="nil"/>
            </w:tcBorders>
            <w:vAlign w:val="center"/>
          </w:tcPr>
          <w:p w14:paraId="171B1C66" w14:textId="77777777" w:rsidR="00F0098B" w:rsidRPr="00F0098B" w:rsidRDefault="00F0098B" w:rsidP="00661945">
            <w:pPr>
              <w:pStyle w:val="TableText"/>
              <w:jc w:val="right"/>
              <w:rPr>
                <w:szCs w:val="17"/>
              </w:rPr>
            </w:pPr>
            <w:r w:rsidRPr="00C43D8A">
              <w:rPr>
                <w:szCs w:val="17"/>
              </w:rPr>
              <w:t>1</w:t>
            </w:r>
          </w:p>
        </w:tc>
      </w:tr>
      <w:tr w:rsidR="00F0098B" w:rsidRPr="0034682A" w14:paraId="2FD65823" w14:textId="77777777" w:rsidTr="00C43D8A">
        <w:tc>
          <w:tcPr>
            <w:tcW w:w="3398" w:type="pct"/>
            <w:tcBorders>
              <w:left w:val="nil"/>
              <w:right w:val="nil"/>
            </w:tcBorders>
            <w:vAlign w:val="center"/>
          </w:tcPr>
          <w:p w14:paraId="2A6BDB44" w14:textId="2E1C5757" w:rsidR="00F0098B" w:rsidRPr="00F0098B" w:rsidRDefault="00F0098B" w:rsidP="00B16CCF">
            <w:pPr>
              <w:pStyle w:val="TableText"/>
              <w:rPr>
                <w:szCs w:val="17"/>
              </w:rPr>
            </w:pPr>
            <w:r w:rsidRPr="00C43D8A">
              <w:rPr>
                <w:szCs w:val="17"/>
              </w:rPr>
              <w:t xml:space="preserve">Scouting (application rate of </w:t>
            </w:r>
            <w:r w:rsidRPr="00F0098B">
              <w:rPr>
                <w:szCs w:val="17"/>
              </w:rPr>
              <w:t xml:space="preserve">601 to </w:t>
            </w:r>
            <w:r w:rsidR="00DF613B" w:rsidRPr="00DF613B">
              <w:rPr>
                <w:szCs w:val="17"/>
              </w:rPr>
              <w:t>≤</w:t>
            </w:r>
            <w:r w:rsidR="00DF613B">
              <w:rPr>
                <w:szCs w:val="17"/>
              </w:rPr>
              <w:t xml:space="preserve"> </w:t>
            </w:r>
            <w:r w:rsidRPr="00C43D8A">
              <w:rPr>
                <w:szCs w:val="17"/>
              </w:rPr>
              <w:t>800 g/ha)</w:t>
            </w:r>
          </w:p>
        </w:tc>
        <w:tc>
          <w:tcPr>
            <w:tcW w:w="1602" w:type="pct"/>
            <w:tcBorders>
              <w:left w:val="nil"/>
              <w:right w:val="nil"/>
            </w:tcBorders>
            <w:vAlign w:val="center"/>
          </w:tcPr>
          <w:p w14:paraId="06C788C3" w14:textId="77777777" w:rsidR="00F0098B" w:rsidRPr="00F0098B" w:rsidRDefault="00F0098B" w:rsidP="00661945">
            <w:pPr>
              <w:pStyle w:val="TableText"/>
              <w:jc w:val="right"/>
              <w:rPr>
                <w:szCs w:val="17"/>
              </w:rPr>
            </w:pPr>
            <w:r w:rsidRPr="00C43D8A">
              <w:rPr>
                <w:szCs w:val="17"/>
              </w:rPr>
              <w:t>4</w:t>
            </w:r>
          </w:p>
        </w:tc>
      </w:tr>
      <w:tr w:rsidR="00F0098B" w:rsidRPr="0034682A" w14:paraId="2A332386" w14:textId="77777777" w:rsidTr="00C43D8A">
        <w:tc>
          <w:tcPr>
            <w:tcW w:w="3398" w:type="pct"/>
            <w:tcBorders>
              <w:left w:val="nil"/>
              <w:right w:val="nil"/>
            </w:tcBorders>
            <w:vAlign w:val="center"/>
          </w:tcPr>
          <w:p w14:paraId="4D001280" w14:textId="139CB929" w:rsidR="00F0098B" w:rsidRPr="00C43D8A" w:rsidRDefault="00F0098B" w:rsidP="00B16CCF">
            <w:pPr>
              <w:pStyle w:val="TableText"/>
              <w:rPr>
                <w:szCs w:val="17"/>
              </w:rPr>
            </w:pPr>
            <w:r w:rsidRPr="00C43D8A">
              <w:rPr>
                <w:szCs w:val="17"/>
              </w:rPr>
              <w:t xml:space="preserve">Irrigation (hand set) (application rate </w:t>
            </w:r>
            <w:r w:rsidR="00DF613B">
              <w:rPr>
                <w:szCs w:val="17"/>
              </w:rPr>
              <w:t xml:space="preserve">of </w:t>
            </w:r>
            <w:r w:rsidRPr="00C43D8A">
              <w:rPr>
                <w:szCs w:val="17"/>
              </w:rPr>
              <w:t>up to 300 g/ha)</w:t>
            </w:r>
          </w:p>
        </w:tc>
        <w:tc>
          <w:tcPr>
            <w:tcW w:w="1602" w:type="pct"/>
            <w:tcBorders>
              <w:left w:val="nil"/>
              <w:right w:val="nil"/>
            </w:tcBorders>
            <w:vAlign w:val="center"/>
          </w:tcPr>
          <w:p w14:paraId="16D2A5E6" w14:textId="77777777" w:rsidR="00F0098B" w:rsidRPr="00C43D8A" w:rsidRDefault="00F0098B" w:rsidP="00661945">
            <w:pPr>
              <w:pStyle w:val="TableText"/>
              <w:jc w:val="right"/>
              <w:rPr>
                <w:szCs w:val="17"/>
              </w:rPr>
            </w:pPr>
            <w:r w:rsidRPr="00C43D8A">
              <w:rPr>
                <w:szCs w:val="17"/>
              </w:rPr>
              <w:t>0</w:t>
            </w:r>
          </w:p>
        </w:tc>
      </w:tr>
      <w:tr w:rsidR="00F0098B" w:rsidRPr="0034682A" w14:paraId="5B7A5C08" w14:textId="77777777" w:rsidTr="00C43D8A">
        <w:tc>
          <w:tcPr>
            <w:tcW w:w="3398" w:type="pct"/>
            <w:tcBorders>
              <w:left w:val="nil"/>
              <w:right w:val="nil"/>
            </w:tcBorders>
            <w:vAlign w:val="center"/>
          </w:tcPr>
          <w:p w14:paraId="06E6A3A6" w14:textId="653E5EA1" w:rsidR="00F0098B" w:rsidRPr="00C43D8A" w:rsidRDefault="00F0098B" w:rsidP="00B16CCF">
            <w:pPr>
              <w:pStyle w:val="TableText"/>
              <w:rPr>
                <w:szCs w:val="17"/>
              </w:rPr>
            </w:pPr>
            <w:r w:rsidRPr="00C43D8A">
              <w:rPr>
                <w:szCs w:val="17"/>
              </w:rPr>
              <w:t xml:space="preserve">Irrigation (hand set) (application rate of </w:t>
            </w:r>
            <w:r w:rsidRPr="00F0098B">
              <w:rPr>
                <w:szCs w:val="17"/>
              </w:rPr>
              <w:t xml:space="preserve">301 to </w:t>
            </w:r>
            <w:r w:rsidR="00DF613B" w:rsidRPr="00DF613B">
              <w:rPr>
                <w:szCs w:val="17"/>
              </w:rPr>
              <w:t>≤</w:t>
            </w:r>
            <w:r w:rsidR="00DF613B">
              <w:rPr>
                <w:szCs w:val="17"/>
              </w:rPr>
              <w:t xml:space="preserve"> </w:t>
            </w:r>
            <w:r w:rsidRPr="00C43D8A">
              <w:rPr>
                <w:szCs w:val="17"/>
              </w:rPr>
              <w:t>400 g/ha)</w:t>
            </w:r>
          </w:p>
        </w:tc>
        <w:tc>
          <w:tcPr>
            <w:tcW w:w="1602" w:type="pct"/>
            <w:tcBorders>
              <w:left w:val="nil"/>
              <w:right w:val="nil"/>
            </w:tcBorders>
            <w:vAlign w:val="center"/>
          </w:tcPr>
          <w:p w14:paraId="5920D438" w14:textId="77777777" w:rsidR="00F0098B" w:rsidRPr="00C43D8A" w:rsidRDefault="00F0098B" w:rsidP="00661945">
            <w:pPr>
              <w:pStyle w:val="TableText"/>
              <w:jc w:val="right"/>
              <w:rPr>
                <w:szCs w:val="17"/>
              </w:rPr>
            </w:pPr>
            <w:r w:rsidRPr="00C43D8A">
              <w:rPr>
                <w:szCs w:val="17"/>
              </w:rPr>
              <w:t>3</w:t>
            </w:r>
          </w:p>
        </w:tc>
      </w:tr>
      <w:tr w:rsidR="00F0098B" w:rsidRPr="0034682A" w14:paraId="55DA5479" w14:textId="77777777" w:rsidTr="00C43D8A">
        <w:tc>
          <w:tcPr>
            <w:tcW w:w="3398" w:type="pct"/>
            <w:tcBorders>
              <w:left w:val="nil"/>
              <w:right w:val="nil"/>
            </w:tcBorders>
            <w:vAlign w:val="center"/>
          </w:tcPr>
          <w:p w14:paraId="00298A22" w14:textId="23C39729" w:rsidR="00F0098B" w:rsidRPr="00C43D8A" w:rsidRDefault="00F0098B" w:rsidP="00B16CCF">
            <w:pPr>
              <w:pStyle w:val="TableText"/>
              <w:rPr>
                <w:szCs w:val="17"/>
              </w:rPr>
            </w:pPr>
            <w:r w:rsidRPr="00C43D8A">
              <w:rPr>
                <w:szCs w:val="17"/>
              </w:rPr>
              <w:t xml:space="preserve">Irrigation (hand set) (application rate of </w:t>
            </w:r>
            <w:r w:rsidRPr="00F0098B">
              <w:rPr>
                <w:szCs w:val="17"/>
              </w:rPr>
              <w:t xml:space="preserve">401 to </w:t>
            </w:r>
            <w:r w:rsidR="00DF613B" w:rsidRPr="00DF613B">
              <w:rPr>
                <w:szCs w:val="17"/>
              </w:rPr>
              <w:t>≤</w:t>
            </w:r>
            <w:r w:rsidR="00DF613B">
              <w:rPr>
                <w:szCs w:val="17"/>
              </w:rPr>
              <w:t xml:space="preserve"> </w:t>
            </w:r>
            <w:r w:rsidRPr="00C43D8A">
              <w:rPr>
                <w:szCs w:val="17"/>
              </w:rPr>
              <w:t>600 g/ha)</w:t>
            </w:r>
          </w:p>
        </w:tc>
        <w:tc>
          <w:tcPr>
            <w:tcW w:w="1602" w:type="pct"/>
            <w:tcBorders>
              <w:left w:val="nil"/>
              <w:right w:val="nil"/>
            </w:tcBorders>
            <w:vAlign w:val="center"/>
          </w:tcPr>
          <w:p w14:paraId="54A4EB0E" w14:textId="77777777" w:rsidR="00F0098B" w:rsidRPr="00C43D8A" w:rsidRDefault="00F0098B" w:rsidP="00661945">
            <w:pPr>
              <w:pStyle w:val="TableText"/>
              <w:jc w:val="right"/>
              <w:rPr>
                <w:szCs w:val="17"/>
              </w:rPr>
            </w:pPr>
            <w:r w:rsidRPr="00C43D8A">
              <w:rPr>
                <w:szCs w:val="17"/>
              </w:rPr>
              <w:t>7</w:t>
            </w:r>
          </w:p>
        </w:tc>
      </w:tr>
      <w:tr w:rsidR="00F0098B" w:rsidRPr="0034682A" w14:paraId="5ABB0F21" w14:textId="77777777" w:rsidTr="00C43D8A">
        <w:tc>
          <w:tcPr>
            <w:tcW w:w="3398" w:type="pct"/>
            <w:tcBorders>
              <w:left w:val="nil"/>
              <w:right w:val="nil"/>
            </w:tcBorders>
            <w:vAlign w:val="center"/>
          </w:tcPr>
          <w:p w14:paraId="33E78CC2" w14:textId="2D5AA992" w:rsidR="00F0098B" w:rsidRPr="00C43D8A" w:rsidRDefault="00F0098B" w:rsidP="00B16CCF">
            <w:pPr>
              <w:pStyle w:val="TableText"/>
              <w:rPr>
                <w:szCs w:val="17"/>
              </w:rPr>
            </w:pPr>
            <w:r w:rsidRPr="00C43D8A">
              <w:rPr>
                <w:szCs w:val="17"/>
              </w:rPr>
              <w:t>Irrigation (hand set) (application rate of</w:t>
            </w:r>
            <w:r w:rsidRPr="00F0098B">
              <w:rPr>
                <w:szCs w:val="17"/>
              </w:rPr>
              <w:t xml:space="preserve"> 601 to</w:t>
            </w:r>
            <w:r w:rsidRPr="00C43D8A">
              <w:rPr>
                <w:szCs w:val="17"/>
              </w:rPr>
              <w:t xml:space="preserve"> </w:t>
            </w:r>
            <w:r w:rsidR="00DF613B" w:rsidRPr="00DF613B">
              <w:rPr>
                <w:szCs w:val="17"/>
              </w:rPr>
              <w:t>≤</w:t>
            </w:r>
            <w:r w:rsidR="00DF613B">
              <w:rPr>
                <w:szCs w:val="17"/>
              </w:rPr>
              <w:t xml:space="preserve"> </w:t>
            </w:r>
            <w:r w:rsidRPr="00C43D8A">
              <w:rPr>
                <w:szCs w:val="17"/>
              </w:rPr>
              <w:t>800 g/ha)</w:t>
            </w:r>
          </w:p>
        </w:tc>
        <w:tc>
          <w:tcPr>
            <w:tcW w:w="1602" w:type="pct"/>
            <w:tcBorders>
              <w:left w:val="nil"/>
              <w:right w:val="nil"/>
            </w:tcBorders>
            <w:vAlign w:val="center"/>
          </w:tcPr>
          <w:p w14:paraId="550FD068" w14:textId="77777777" w:rsidR="00F0098B" w:rsidRPr="00C43D8A" w:rsidRDefault="00F0098B" w:rsidP="00661945">
            <w:pPr>
              <w:pStyle w:val="TableText"/>
              <w:jc w:val="right"/>
              <w:rPr>
                <w:szCs w:val="17"/>
              </w:rPr>
            </w:pPr>
            <w:r w:rsidRPr="00C43D8A">
              <w:rPr>
                <w:szCs w:val="17"/>
              </w:rPr>
              <w:t>9</w:t>
            </w:r>
          </w:p>
        </w:tc>
      </w:tr>
      <w:tr w:rsidR="00571923" w:rsidRPr="0034682A" w14:paraId="66D94C97" w14:textId="77777777" w:rsidTr="00F0098B">
        <w:tc>
          <w:tcPr>
            <w:tcW w:w="3398" w:type="pct"/>
            <w:tcBorders>
              <w:left w:val="nil"/>
              <w:right w:val="nil"/>
            </w:tcBorders>
            <w:vAlign w:val="center"/>
          </w:tcPr>
          <w:p w14:paraId="04E530BC" w14:textId="35FFD4F5" w:rsidR="00571923" w:rsidRPr="00571923" w:rsidRDefault="00571923" w:rsidP="00571923">
            <w:pPr>
              <w:pStyle w:val="TableText"/>
              <w:rPr>
                <w:szCs w:val="17"/>
              </w:rPr>
            </w:pPr>
            <w:r w:rsidRPr="00F0098B">
              <w:rPr>
                <w:szCs w:val="17"/>
              </w:rPr>
              <w:t>Mechanical c</w:t>
            </w:r>
            <w:r w:rsidRPr="00B16CCF">
              <w:rPr>
                <w:szCs w:val="17"/>
              </w:rPr>
              <w:t xml:space="preserve">otton harvesting </w:t>
            </w:r>
            <w:r w:rsidRPr="00F0098B">
              <w:rPr>
                <w:szCs w:val="17"/>
              </w:rPr>
              <w:t>(round modules</w:t>
            </w:r>
            <w:r w:rsidRPr="00B16CCF">
              <w:rPr>
                <w:szCs w:val="17"/>
              </w:rPr>
              <w:t xml:space="preserve">) application rate </w:t>
            </w:r>
            <w:r>
              <w:rPr>
                <w:szCs w:val="17"/>
              </w:rPr>
              <w:t xml:space="preserve">of </w:t>
            </w:r>
            <w:r w:rsidRPr="00B16CCF">
              <w:rPr>
                <w:szCs w:val="17"/>
              </w:rPr>
              <w:t>140 g/ha</w:t>
            </w:r>
          </w:p>
        </w:tc>
        <w:tc>
          <w:tcPr>
            <w:tcW w:w="1602" w:type="pct"/>
            <w:tcBorders>
              <w:left w:val="nil"/>
              <w:right w:val="nil"/>
            </w:tcBorders>
            <w:vAlign w:val="center"/>
          </w:tcPr>
          <w:p w14:paraId="678B5218" w14:textId="32E1000E" w:rsidR="00571923" w:rsidRPr="00571923" w:rsidRDefault="00571923" w:rsidP="00661945">
            <w:pPr>
              <w:pStyle w:val="TableText"/>
              <w:jc w:val="right"/>
              <w:rPr>
                <w:szCs w:val="17"/>
              </w:rPr>
            </w:pPr>
            <w:r w:rsidRPr="00F0098B">
              <w:rPr>
                <w:szCs w:val="17"/>
              </w:rPr>
              <w:t>0</w:t>
            </w:r>
          </w:p>
        </w:tc>
      </w:tr>
      <w:tr w:rsidR="00571923" w:rsidRPr="0034682A" w14:paraId="6F632DC8" w14:textId="77777777" w:rsidTr="00F0098B">
        <w:tc>
          <w:tcPr>
            <w:tcW w:w="3398" w:type="pct"/>
            <w:tcBorders>
              <w:left w:val="nil"/>
              <w:right w:val="nil"/>
            </w:tcBorders>
            <w:vAlign w:val="center"/>
          </w:tcPr>
          <w:p w14:paraId="395C2FF2" w14:textId="0245D5D3" w:rsidR="00571923" w:rsidRPr="00571923" w:rsidRDefault="00571923" w:rsidP="00571923">
            <w:pPr>
              <w:pStyle w:val="TableText"/>
              <w:rPr>
                <w:szCs w:val="17"/>
              </w:rPr>
            </w:pPr>
            <w:r w:rsidRPr="00F0098B">
              <w:rPr>
                <w:szCs w:val="17"/>
              </w:rPr>
              <w:t>Mechanical c</w:t>
            </w:r>
            <w:r w:rsidRPr="00B16CCF">
              <w:rPr>
                <w:szCs w:val="17"/>
              </w:rPr>
              <w:t xml:space="preserve">otton harvesting </w:t>
            </w:r>
            <w:r w:rsidRPr="00F0098B">
              <w:rPr>
                <w:szCs w:val="17"/>
              </w:rPr>
              <w:t>(round modules</w:t>
            </w:r>
            <w:r w:rsidRPr="00B16CCF">
              <w:rPr>
                <w:szCs w:val="17"/>
              </w:rPr>
              <w:t xml:space="preserve">) application rate of </w:t>
            </w:r>
            <w:r>
              <w:rPr>
                <w:szCs w:val="17"/>
              </w:rPr>
              <w:t xml:space="preserve">141 to </w:t>
            </w:r>
            <w:r w:rsidRPr="00DF613B">
              <w:rPr>
                <w:szCs w:val="17"/>
              </w:rPr>
              <w:t>≤</w:t>
            </w:r>
            <w:r>
              <w:rPr>
                <w:szCs w:val="17"/>
              </w:rPr>
              <w:t xml:space="preserve"> </w:t>
            </w:r>
            <w:r w:rsidRPr="00F0098B">
              <w:rPr>
                <w:szCs w:val="17"/>
              </w:rPr>
              <w:t>40</w:t>
            </w:r>
            <w:r w:rsidRPr="00B16CCF">
              <w:rPr>
                <w:szCs w:val="17"/>
              </w:rPr>
              <w:t>0 g/ha</w:t>
            </w:r>
          </w:p>
        </w:tc>
        <w:tc>
          <w:tcPr>
            <w:tcW w:w="1602" w:type="pct"/>
            <w:tcBorders>
              <w:left w:val="nil"/>
              <w:right w:val="nil"/>
            </w:tcBorders>
            <w:vAlign w:val="center"/>
          </w:tcPr>
          <w:p w14:paraId="20A830C1" w14:textId="36BA8534" w:rsidR="00571923" w:rsidRPr="00571923" w:rsidRDefault="00571923" w:rsidP="00661945">
            <w:pPr>
              <w:pStyle w:val="TableText"/>
              <w:jc w:val="right"/>
              <w:rPr>
                <w:szCs w:val="17"/>
              </w:rPr>
            </w:pPr>
            <w:r w:rsidRPr="00F0098B">
              <w:rPr>
                <w:szCs w:val="17"/>
              </w:rPr>
              <w:t>7</w:t>
            </w:r>
          </w:p>
        </w:tc>
      </w:tr>
      <w:tr w:rsidR="00E05B6E" w:rsidRPr="0034682A" w14:paraId="15062FE4" w14:textId="77777777" w:rsidTr="00F0098B">
        <w:tc>
          <w:tcPr>
            <w:tcW w:w="3398" w:type="pct"/>
            <w:tcBorders>
              <w:left w:val="nil"/>
              <w:right w:val="nil"/>
            </w:tcBorders>
            <w:vAlign w:val="center"/>
          </w:tcPr>
          <w:p w14:paraId="12FB8FB0" w14:textId="5981EE0C" w:rsidR="00E05B6E" w:rsidRPr="00F0098B" w:rsidRDefault="00E05B6E" w:rsidP="00E05B6E">
            <w:pPr>
              <w:pStyle w:val="TableText"/>
              <w:rPr>
                <w:szCs w:val="17"/>
              </w:rPr>
            </w:pPr>
            <w:r w:rsidRPr="00F0098B">
              <w:rPr>
                <w:szCs w:val="17"/>
              </w:rPr>
              <w:t>Mechanical cotton</w:t>
            </w:r>
            <w:r w:rsidRPr="00B16CCF">
              <w:rPr>
                <w:szCs w:val="17"/>
              </w:rPr>
              <w:t xml:space="preserve"> harvesting </w:t>
            </w:r>
            <w:r w:rsidRPr="00F0098B">
              <w:rPr>
                <w:szCs w:val="17"/>
              </w:rPr>
              <w:t xml:space="preserve">(round modules) </w:t>
            </w:r>
            <w:r w:rsidRPr="00B16CCF">
              <w:rPr>
                <w:szCs w:val="17"/>
              </w:rPr>
              <w:t xml:space="preserve">application rate of </w:t>
            </w:r>
            <w:r>
              <w:rPr>
                <w:szCs w:val="17"/>
              </w:rPr>
              <w:t xml:space="preserve">401 to </w:t>
            </w:r>
            <w:r>
              <w:rPr>
                <w:rFonts w:cstheme="minorHAnsi"/>
              </w:rPr>
              <w:t xml:space="preserve">≤ </w:t>
            </w:r>
            <w:r>
              <w:rPr>
                <w:szCs w:val="17"/>
              </w:rPr>
              <w:t>5</w:t>
            </w:r>
            <w:r w:rsidRPr="00B16CCF">
              <w:rPr>
                <w:szCs w:val="17"/>
              </w:rPr>
              <w:t>00 g/ha</w:t>
            </w:r>
          </w:p>
        </w:tc>
        <w:tc>
          <w:tcPr>
            <w:tcW w:w="1602" w:type="pct"/>
            <w:tcBorders>
              <w:left w:val="nil"/>
              <w:right w:val="nil"/>
            </w:tcBorders>
            <w:vAlign w:val="center"/>
          </w:tcPr>
          <w:p w14:paraId="57C3FE78" w14:textId="221AE9A4" w:rsidR="00E05B6E" w:rsidRPr="00F0098B" w:rsidRDefault="00E05B6E" w:rsidP="00661945">
            <w:pPr>
              <w:pStyle w:val="TableText"/>
              <w:jc w:val="right"/>
              <w:rPr>
                <w:szCs w:val="17"/>
              </w:rPr>
            </w:pPr>
            <w:r>
              <w:rPr>
                <w:szCs w:val="17"/>
              </w:rPr>
              <w:t>9</w:t>
            </w:r>
          </w:p>
        </w:tc>
      </w:tr>
      <w:tr w:rsidR="00571923" w:rsidRPr="0034682A" w14:paraId="05E4A324" w14:textId="77777777" w:rsidTr="00F0098B">
        <w:tc>
          <w:tcPr>
            <w:tcW w:w="3398" w:type="pct"/>
            <w:tcBorders>
              <w:left w:val="nil"/>
              <w:right w:val="nil"/>
            </w:tcBorders>
            <w:vAlign w:val="center"/>
          </w:tcPr>
          <w:p w14:paraId="4AE05169" w14:textId="22F69ADF" w:rsidR="00571923" w:rsidRPr="00571923" w:rsidRDefault="00571923" w:rsidP="00571923">
            <w:pPr>
              <w:pStyle w:val="TableText"/>
              <w:rPr>
                <w:szCs w:val="17"/>
              </w:rPr>
            </w:pPr>
            <w:r w:rsidRPr="00F0098B">
              <w:rPr>
                <w:szCs w:val="17"/>
              </w:rPr>
              <w:t>Mechanical cotton</w:t>
            </w:r>
            <w:r w:rsidRPr="00B16CCF">
              <w:rPr>
                <w:szCs w:val="17"/>
              </w:rPr>
              <w:t xml:space="preserve"> harvesting </w:t>
            </w:r>
            <w:r w:rsidRPr="00F0098B">
              <w:rPr>
                <w:szCs w:val="17"/>
              </w:rPr>
              <w:t xml:space="preserve">(round modules) </w:t>
            </w:r>
            <w:r w:rsidRPr="00B16CCF">
              <w:rPr>
                <w:szCs w:val="17"/>
              </w:rPr>
              <w:t xml:space="preserve">application rate of </w:t>
            </w:r>
            <w:r w:rsidR="004865BB" w:rsidRPr="000742AA">
              <w:rPr>
                <w:szCs w:val="17"/>
              </w:rPr>
              <w:t>5</w:t>
            </w:r>
            <w:r w:rsidRPr="001E1B56">
              <w:rPr>
                <w:szCs w:val="17"/>
              </w:rPr>
              <w:t>01</w:t>
            </w:r>
            <w:r>
              <w:rPr>
                <w:szCs w:val="17"/>
              </w:rPr>
              <w:t xml:space="preserve"> to </w:t>
            </w:r>
            <w:r>
              <w:rPr>
                <w:rFonts w:cstheme="minorHAnsi"/>
              </w:rPr>
              <w:t xml:space="preserve">≤ </w:t>
            </w:r>
            <w:r w:rsidRPr="00B16CCF">
              <w:rPr>
                <w:szCs w:val="17"/>
              </w:rPr>
              <w:t>600 g/ha</w:t>
            </w:r>
          </w:p>
        </w:tc>
        <w:tc>
          <w:tcPr>
            <w:tcW w:w="1602" w:type="pct"/>
            <w:tcBorders>
              <w:left w:val="nil"/>
              <w:right w:val="nil"/>
            </w:tcBorders>
            <w:vAlign w:val="center"/>
          </w:tcPr>
          <w:p w14:paraId="1A9FF772" w14:textId="66C3F9B6" w:rsidR="00571923" w:rsidRPr="00571923" w:rsidRDefault="00571923" w:rsidP="00661945">
            <w:pPr>
              <w:pStyle w:val="TableText"/>
              <w:jc w:val="right"/>
              <w:rPr>
                <w:szCs w:val="17"/>
              </w:rPr>
            </w:pPr>
            <w:r w:rsidRPr="00F0098B">
              <w:rPr>
                <w:szCs w:val="17"/>
              </w:rPr>
              <w:t>11</w:t>
            </w:r>
          </w:p>
        </w:tc>
      </w:tr>
      <w:tr w:rsidR="00571923" w:rsidRPr="0034682A" w14:paraId="3EE8939B" w14:textId="77777777" w:rsidTr="00F0098B">
        <w:tc>
          <w:tcPr>
            <w:tcW w:w="3398" w:type="pct"/>
            <w:tcBorders>
              <w:left w:val="nil"/>
              <w:right w:val="nil"/>
            </w:tcBorders>
            <w:vAlign w:val="center"/>
          </w:tcPr>
          <w:p w14:paraId="2F533D93" w14:textId="309CD090" w:rsidR="00571923" w:rsidRPr="00571923" w:rsidRDefault="00571923" w:rsidP="00571923">
            <w:pPr>
              <w:pStyle w:val="TableText"/>
              <w:rPr>
                <w:szCs w:val="17"/>
              </w:rPr>
            </w:pPr>
            <w:r w:rsidRPr="00F0098B">
              <w:rPr>
                <w:szCs w:val="17"/>
              </w:rPr>
              <w:lastRenderedPageBreak/>
              <w:t>Mechanical c</w:t>
            </w:r>
            <w:r w:rsidRPr="00B16CCF">
              <w:rPr>
                <w:szCs w:val="17"/>
              </w:rPr>
              <w:t xml:space="preserve">otton harvesting </w:t>
            </w:r>
            <w:r w:rsidRPr="00F0098B">
              <w:rPr>
                <w:szCs w:val="17"/>
              </w:rPr>
              <w:t>(square modules</w:t>
            </w:r>
            <w:r w:rsidRPr="00B16CCF">
              <w:rPr>
                <w:szCs w:val="17"/>
              </w:rPr>
              <w:t xml:space="preserve">) application rate </w:t>
            </w:r>
            <w:r>
              <w:rPr>
                <w:szCs w:val="17"/>
              </w:rPr>
              <w:t xml:space="preserve">of </w:t>
            </w:r>
            <w:r w:rsidRPr="00B16CCF">
              <w:rPr>
                <w:szCs w:val="17"/>
              </w:rPr>
              <w:t>140 g/ha</w:t>
            </w:r>
          </w:p>
        </w:tc>
        <w:tc>
          <w:tcPr>
            <w:tcW w:w="1602" w:type="pct"/>
            <w:tcBorders>
              <w:left w:val="nil"/>
              <w:right w:val="nil"/>
            </w:tcBorders>
            <w:vAlign w:val="center"/>
          </w:tcPr>
          <w:p w14:paraId="276DEB4C" w14:textId="15E0EC59" w:rsidR="00571923" w:rsidRPr="00571923" w:rsidRDefault="00571923" w:rsidP="00661945">
            <w:pPr>
              <w:pStyle w:val="TableText"/>
              <w:jc w:val="right"/>
              <w:rPr>
                <w:szCs w:val="17"/>
              </w:rPr>
            </w:pPr>
            <w:r w:rsidRPr="00B16CCF">
              <w:rPr>
                <w:szCs w:val="17"/>
              </w:rPr>
              <w:t>4</w:t>
            </w:r>
          </w:p>
        </w:tc>
      </w:tr>
      <w:tr w:rsidR="00571923" w:rsidRPr="0034682A" w14:paraId="1C8E29FF" w14:textId="77777777" w:rsidTr="00F0098B">
        <w:tc>
          <w:tcPr>
            <w:tcW w:w="3398" w:type="pct"/>
            <w:tcBorders>
              <w:left w:val="nil"/>
              <w:right w:val="nil"/>
            </w:tcBorders>
            <w:vAlign w:val="center"/>
          </w:tcPr>
          <w:p w14:paraId="7B7388B5" w14:textId="46604E24" w:rsidR="00571923" w:rsidRPr="00571923" w:rsidRDefault="00571923" w:rsidP="00571923">
            <w:pPr>
              <w:pStyle w:val="TableText"/>
              <w:rPr>
                <w:szCs w:val="17"/>
              </w:rPr>
            </w:pPr>
            <w:r w:rsidRPr="00F0098B">
              <w:rPr>
                <w:szCs w:val="17"/>
              </w:rPr>
              <w:t>Mechanical c</w:t>
            </w:r>
            <w:r w:rsidRPr="00B16CCF">
              <w:rPr>
                <w:szCs w:val="17"/>
              </w:rPr>
              <w:t xml:space="preserve">otton harvesting </w:t>
            </w:r>
            <w:r w:rsidRPr="00F0098B">
              <w:rPr>
                <w:szCs w:val="17"/>
              </w:rPr>
              <w:t>(square modules</w:t>
            </w:r>
            <w:r w:rsidRPr="00B16CCF">
              <w:rPr>
                <w:szCs w:val="17"/>
              </w:rPr>
              <w:t xml:space="preserve">) application rate of </w:t>
            </w:r>
            <w:r>
              <w:rPr>
                <w:szCs w:val="17"/>
              </w:rPr>
              <w:t xml:space="preserve">141 to </w:t>
            </w:r>
            <w:r w:rsidRPr="00DF613B">
              <w:rPr>
                <w:szCs w:val="17"/>
              </w:rPr>
              <w:t>≤</w:t>
            </w:r>
            <w:r>
              <w:rPr>
                <w:szCs w:val="17"/>
              </w:rPr>
              <w:t xml:space="preserve"> </w:t>
            </w:r>
            <w:r w:rsidRPr="00F0098B">
              <w:rPr>
                <w:szCs w:val="17"/>
              </w:rPr>
              <w:t>40</w:t>
            </w:r>
            <w:r w:rsidRPr="00B16CCF">
              <w:rPr>
                <w:szCs w:val="17"/>
              </w:rPr>
              <w:t>0 g/ha</w:t>
            </w:r>
          </w:p>
        </w:tc>
        <w:tc>
          <w:tcPr>
            <w:tcW w:w="1602" w:type="pct"/>
            <w:tcBorders>
              <w:left w:val="nil"/>
              <w:right w:val="nil"/>
            </w:tcBorders>
            <w:vAlign w:val="center"/>
          </w:tcPr>
          <w:p w14:paraId="1A507B12" w14:textId="218FDF14" w:rsidR="00571923" w:rsidRPr="00571923" w:rsidRDefault="00571923" w:rsidP="00661945">
            <w:pPr>
              <w:pStyle w:val="TableText"/>
              <w:jc w:val="right"/>
              <w:rPr>
                <w:szCs w:val="17"/>
              </w:rPr>
            </w:pPr>
            <w:r w:rsidRPr="00F0098B">
              <w:rPr>
                <w:szCs w:val="17"/>
              </w:rPr>
              <w:t>14</w:t>
            </w:r>
          </w:p>
        </w:tc>
      </w:tr>
      <w:tr w:rsidR="00E05B6E" w:rsidRPr="0034682A" w14:paraId="19355EFB" w14:textId="77777777" w:rsidTr="00F0098B">
        <w:tc>
          <w:tcPr>
            <w:tcW w:w="3398" w:type="pct"/>
            <w:tcBorders>
              <w:left w:val="nil"/>
              <w:right w:val="nil"/>
            </w:tcBorders>
            <w:vAlign w:val="center"/>
          </w:tcPr>
          <w:p w14:paraId="6AB38214" w14:textId="7D643F92" w:rsidR="00E05B6E" w:rsidRPr="00F0098B" w:rsidRDefault="00E05B6E" w:rsidP="00E05B6E">
            <w:pPr>
              <w:pStyle w:val="TableText"/>
              <w:rPr>
                <w:szCs w:val="17"/>
              </w:rPr>
            </w:pPr>
            <w:r w:rsidRPr="00F0098B">
              <w:rPr>
                <w:szCs w:val="17"/>
              </w:rPr>
              <w:t>Mechanical c</w:t>
            </w:r>
            <w:r w:rsidRPr="00B16CCF">
              <w:rPr>
                <w:szCs w:val="17"/>
              </w:rPr>
              <w:t xml:space="preserve">otton harvesting </w:t>
            </w:r>
            <w:r w:rsidRPr="00F0098B">
              <w:rPr>
                <w:szCs w:val="17"/>
              </w:rPr>
              <w:t>(square modules</w:t>
            </w:r>
            <w:r w:rsidRPr="00B16CCF">
              <w:rPr>
                <w:szCs w:val="17"/>
              </w:rPr>
              <w:t xml:space="preserve">) application rate of </w:t>
            </w:r>
            <w:r>
              <w:rPr>
                <w:szCs w:val="17"/>
              </w:rPr>
              <w:t xml:space="preserve">401 to </w:t>
            </w:r>
            <w:r w:rsidRPr="00DF613B">
              <w:rPr>
                <w:szCs w:val="17"/>
              </w:rPr>
              <w:t>≤</w:t>
            </w:r>
            <w:r>
              <w:rPr>
                <w:szCs w:val="17"/>
              </w:rPr>
              <w:t xml:space="preserve"> 5</w:t>
            </w:r>
            <w:r w:rsidRPr="00F0098B">
              <w:rPr>
                <w:szCs w:val="17"/>
              </w:rPr>
              <w:t>0</w:t>
            </w:r>
            <w:r w:rsidRPr="00B16CCF">
              <w:rPr>
                <w:szCs w:val="17"/>
              </w:rPr>
              <w:t>0 g/ha</w:t>
            </w:r>
          </w:p>
        </w:tc>
        <w:tc>
          <w:tcPr>
            <w:tcW w:w="1602" w:type="pct"/>
            <w:tcBorders>
              <w:left w:val="nil"/>
              <w:right w:val="nil"/>
            </w:tcBorders>
            <w:vAlign w:val="center"/>
          </w:tcPr>
          <w:p w14:paraId="039228D6" w14:textId="272890E2" w:rsidR="00E05B6E" w:rsidRPr="00F0098B" w:rsidRDefault="00E05B6E" w:rsidP="00661945">
            <w:pPr>
              <w:pStyle w:val="TableText"/>
              <w:jc w:val="right"/>
              <w:rPr>
                <w:szCs w:val="17"/>
              </w:rPr>
            </w:pPr>
            <w:r>
              <w:rPr>
                <w:szCs w:val="17"/>
              </w:rPr>
              <w:t>16</w:t>
            </w:r>
          </w:p>
        </w:tc>
      </w:tr>
      <w:tr w:rsidR="00571923" w:rsidRPr="0034682A" w14:paraId="03227D75" w14:textId="77777777" w:rsidTr="00F0098B">
        <w:tc>
          <w:tcPr>
            <w:tcW w:w="3398" w:type="pct"/>
            <w:tcBorders>
              <w:left w:val="nil"/>
              <w:right w:val="nil"/>
            </w:tcBorders>
            <w:vAlign w:val="center"/>
          </w:tcPr>
          <w:p w14:paraId="14EDE7EB" w14:textId="4A0E2277" w:rsidR="00571923" w:rsidRPr="00571923" w:rsidRDefault="00571923" w:rsidP="00571923">
            <w:pPr>
              <w:pStyle w:val="TableText"/>
              <w:rPr>
                <w:szCs w:val="17"/>
              </w:rPr>
            </w:pPr>
            <w:r w:rsidRPr="00F0098B">
              <w:rPr>
                <w:szCs w:val="17"/>
              </w:rPr>
              <w:t>Mechanical cotton</w:t>
            </w:r>
            <w:r w:rsidRPr="00B16CCF">
              <w:rPr>
                <w:szCs w:val="17"/>
              </w:rPr>
              <w:t xml:space="preserve"> harvesting </w:t>
            </w:r>
            <w:r w:rsidRPr="00F0098B">
              <w:rPr>
                <w:szCs w:val="17"/>
              </w:rPr>
              <w:t xml:space="preserve">(square modules) </w:t>
            </w:r>
            <w:r w:rsidRPr="00B16CCF">
              <w:rPr>
                <w:szCs w:val="17"/>
              </w:rPr>
              <w:t xml:space="preserve">application rate of </w:t>
            </w:r>
            <w:r w:rsidR="004865BB">
              <w:rPr>
                <w:szCs w:val="17"/>
              </w:rPr>
              <w:t>5</w:t>
            </w:r>
            <w:r>
              <w:rPr>
                <w:szCs w:val="17"/>
              </w:rPr>
              <w:t xml:space="preserve">01 to </w:t>
            </w:r>
            <w:r>
              <w:rPr>
                <w:rFonts w:cstheme="minorHAnsi"/>
              </w:rPr>
              <w:t xml:space="preserve">≤ </w:t>
            </w:r>
            <w:r w:rsidRPr="00B16CCF">
              <w:rPr>
                <w:szCs w:val="17"/>
              </w:rPr>
              <w:t>600 g/ha</w:t>
            </w:r>
          </w:p>
        </w:tc>
        <w:tc>
          <w:tcPr>
            <w:tcW w:w="1602" w:type="pct"/>
            <w:tcBorders>
              <w:left w:val="nil"/>
              <w:right w:val="nil"/>
            </w:tcBorders>
            <w:vAlign w:val="center"/>
          </w:tcPr>
          <w:p w14:paraId="05E6D267" w14:textId="3AD5DE2C" w:rsidR="00571923" w:rsidRPr="00571923" w:rsidRDefault="00571923" w:rsidP="00661945">
            <w:pPr>
              <w:pStyle w:val="TableText"/>
              <w:jc w:val="right"/>
              <w:rPr>
                <w:szCs w:val="17"/>
              </w:rPr>
            </w:pPr>
            <w:r w:rsidRPr="00B16CCF">
              <w:rPr>
                <w:szCs w:val="17"/>
              </w:rPr>
              <w:t>18</w:t>
            </w:r>
          </w:p>
        </w:tc>
      </w:tr>
    </w:tbl>
    <w:p w14:paraId="7E504EB0" w14:textId="1F27DD0D" w:rsidR="00294F49" w:rsidRPr="00C2587C" w:rsidRDefault="00294F49" w:rsidP="00661945">
      <w:pPr>
        <w:pStyle w:val="SourceTableNote"/>
      </w:pPr>
      <w:r w:rsidRPr="00C43D8A">
        <w:rPr>
          <w:vertAlign w:val="superscript"/>
        </w:rPr>
        <w:t>1</w:t>
      </w:r>
      <w:r w:rsidRPr="00C43D8A">
        <w:t>Day of spraying is Day 0.</w:t>
      </w:r>
    </w:p>
    <w:p w14:paraId="7C2797AC" w14:textId="77777777" w:rsidR="00306EBA" w:rsidRPr="00661945" w:rsidRDefault="00306EBA" w:rsidP="00661945">
      <w:pPr>
        <w:pStyle w:val="Heading2"/>
      </w:pPr>
      <w:bookmarkStart w:id="111" w:name="_Toc233038953"/>
      <w:r w:rsidRPr="00661945">
        <w:t>Recommended label changes</w:t>
      </w:r>
      <w:bookmarkEnd w:id="111"/>
    </w:p>
    <w:p w14:paraId="15F2AF40" w14:textId="77777777" w:rsidR="00306EBA" w:rsidRPr="00661945" w:rsidRDefault="00306EBA" w:rsidP="00661945">
      <w:pPr>
        <w:pStyle w:val="Heading3"/>
      </w:pPr>
      <w:bookmarkStart w:id="112" w:name="_Toc233038954"/>
      <w:r w:rsidRPr="00661945">
        <w:t>Signal headings</w:t>
      </w:r>
      <w:bookmarkEnd w:id="112"/>
    </w:p>
    <w:p w14:paraId="4EA4228E" w14:textId="04E4008C" w:rsidR="004D5EC8" w:rsidRPr="00A01B38" w:rsidRDefault="004D5EC8" w:rsidP="004D5EC8">
      <w:pPr>
        <w:pStyle w:val="NormalText"/>
      </w:pPr>
      <w:bookmarkStart w:id="113" w:name="_Hlk165558444"/>
      <w:r>
        <w:t>Di</w:t>
      </w:r>
      <w:r w:rsidRPr="00A01B38">
        <w:t>quat is currently included in Schedule 7 of the Standard for the Uniform Scheduling of Medicines and Poisons (SUSMP)</w:t>
      </w:r>
      <w:r>
        <w:t xml:space="preserve"> except when included in Schedule 6. Diquat is included in Schedule 6 in preparations containing 20% or less of diquat.</w:t>
      </w:r>
    </w:p>
    <w:bookmarkEnd w:id="113"/>
    <w:p w14:paraId="09CE72BD" w14:textId="15C4A1E4" w:rsidR="004D5EC8" w:rsidRPr="00A01B38" w:rsidRDefault="004D5EC8" w:rsidP="004D5EC8">
      <w:pPr>
        <w:pStyle w:val="NormalText"/>
      </w:pPr>
      <w:r w:rsidRPr="00A01B38">
        <w:t xml:space="preserve">No change to the current </w:t>
      </w:r>
      <w:r>
        <w:t xml:space="preserve">signal heading </w:t>
      </w:r>
      <w:r w:rsidRPr="00A01B38">
        <w:t>is required.</w:t>
      </w:r>
    </w:p>
    <w:p w14:paraId="33ED6D85" w14:textId="3500A204" w:rsidR="00306EBA" w:rsidRDefault="00306EBA" w:rsidP="00306EBA">
      <w:pPr>
        <w:pStyle w:val="Heading3"/>
        <w:rPr>
          <w:lang w:eastAsia="en-AU"/>
        </w:rPr>
      </w:pPr>
      <w:bookmarkStart w:id="114" w:name="_Toc233038955"/>
      <w:r w:rsidRPr="00C23C9B">
        <w:rPr>
          <w:lang w:eastAsia="en-AU"/>
        </w:rPr>
        <w:t>Restraints</w:t>
      </w:r>
      <w:bookmarkEnd w:id="114"/>
    </w:p>
    <w:p w14:paraId="7A6C0385" w14:textId="5B064E67" w:rsidR="00447FFA" w:rsidRPr="00661945" w:rsidRDefault="00447FFA" w:rsidP="00661945">
      <w:pPr>
        <w:pStyle w:val="Heading4"/>
      </w:pPr>
      <w:r w:rsidRPr="00661945">
        <w:t xml:space="preserve">General </w:t>
      </w:r>
      <w:r w:rsidR="00186B5F" w:rsidRPr="00661945">
        <w:t>r</w:t>
      </w:r>
      <w:r w:rsidRPr="00661945">
        <w:t>estraints</w:t>
      </w:r>
    </w:p>
    <w:p w14:paraId="368F59AA" w14:textId="77777777" w:rsidR="00306EBA" w:rsidRDefault="00306EBA" w:rsidP="00186B5F">
      <w:pPr>
        <w:pStyle w:val="Bullet1"/>
        <w:rPr>
          <w:lang w:eastAsia="en-AU"/>
        </w:rPr>
      </w:pPr>
      <w:r>
        <w:rPr>
          <w:lang w:eastAsia="en-AU"/>
        </w:rPr>
        <w:tab/>
        <w:t>DO NOT remove contents except for immediate use.</w:t>
      </w:r>
    </w:p>
    <w:p w14:paraId="346F9A23" w14:textId="77777777" w:rsidR="00306EBA" w:rsidRDefault="00306EBA" w:rsidP="00186B5F">
      <w:pPr>
        <w:pStyle w:val="Bullet1"/>
        <w:rPr>
          <w:lang w:eastAsia="en-AU"/>
        </w:rPr>
      </w:pPr>
      <w:r>
        <w:rPr>
          <w:lang w:eastAsia="en-AU"/>
        </w:rPr>
        <w:tab/>
        <w:t>DO NOT apply by spraying equipment carried on the back of the users.</w:t>
      </w:r>
    </w:p>
    <w:p w14:paraId="2B9997AE" w14:textId="68440C37" w:rsidR="00802A2E" w:rsidRDefault="00306EBA" w:rsidP="00F62F09">
      <w:pPr>
        <w:pStyle w:val="Bullet1"/>
        <w:rPr>
          <w:lang w:eastAsia="en-AU"/>
        </w:rPr>
      </w:pPr>
      <w:r>
        <w:rPr>
          <w:lang w:eastAsia="en-AU"/>
        </w:rPr>
        <w:tab/>
        <w:t>DO NOT use open mixing/loading equipment. Closed mixing and loading must be used.</w:t>
      </w:r>
    </w:p>
    <w:p w14:paraId="3DA59774" w14:textId="77777777" w:rsidR="00306EBA" w:rsidRDefault="00306EBA" w:rsidP="00186B5F">
      <w:pPr>
        <w:pStyle w:val="Bullet1"/>
        <w:rPr>
          <w:lang w:eastAsia="en-AU"/>
        </w:rPr>
      </w:pPr>
      <w:r>
        <w:rPr>
          <w:lang w:eastAsia="en-AU"/>
        </w:rPr>
        <w:tab/>
        <w:t>DO NOT continue to use if eye irritation or bleeding from the nose occurs.</w:t>
      </w:r>
    </w:p>
    <w:p w14:paraId="61FD313D" w14:textId="77777777" w:rsidR="00447FFA" w:rsidRPr="003B6F82" w:rsidRDefault="00447FFA" w:rsidP="00186B5F">
      <w:pPr>
        <w:pStyle w:val="Heading4"/>
        <w:rPr>
          <w:lang w:eastAsia="en-AU"/>
        </w:rPr>
      </w:pPr>
      <w:r>
        <w:rPr>
          <w:lang w:eastAsia="en-AU"/>
        </w:rPr>
        <w:t>Restraints for specific uses</w:t>
      </w:r>
    </w:p>
    <w:p w14:paraId="4956D6B0" w14:textId="77777777" w:rsidR="00447FFA" w:rsidRDefault="00447FFA" w:rsidP="00447FFA">
      <w:pPr>
        <w:pStyle w:val="NormalText"/>
        <w:rPr>
          <w:lang w:eastAsia="en-AU"/>
        </w:rPr>
      </w:pPr>
      <w:r>
        <w:rPr>
          <w:lang w:eastAsia="en-AU"/>
        </w:rPr>
        <w:t>For broadacre boom spray applications:</w:t>
      </w:r>
    </w:p>
    <w:p w14:paraId="2376FC80" w14:textId="77777777" w:rsidR="00447FFA" w:rsidRDefault="00447FFA" w:rsidP="00186B5F">
      <w:pPr>
        <w:pStyle w:val="Bullet1"/>
        <w:rPr>
          <w:lang w:eastAsia="en-AU"/>
        </w:rPr>
      </w:pPr>
      <w:r>
        <w:rPr>
          <w:lang w:eastAsia="en-AU"/>
        </w:rPr>
        <w:t>DO NOT</w:t>
      </w:r>
      <w:r w:rsidRPr="009B31C0">
        <w:rPr>
          <w:lang w:eastAsia="en-AU"/>
        </w:rPr>
        <w:t xml:space="preserve"> apply using open cab equipment. Enclosed cab application MUST be used.</w:t>
      </w:r>
    </w:p>
    <w:p w14:paraId="26C176D2" w14:textId="1D07499E" w:rsidR="00447FFA" w:rsidRDefault="00447FFA" w:rsidP="00447FFA">
      <w:pPr>
        <w:pStyle w:val="NormalText"/>
        <w:rPr>
          <w:lang w:eastAsia="en-AU"/>
        </w:rPr>
      </w:pPr>
      <w:r>
        <w:rPr>
          <w:lang w:eastAsia="en-AU"/>
        </w:rPr>
        <w:t xml:space="preserve">For small scale agriculture </w:t>
      </w:r>
      <w:r w:rsidR="003B0D6B">
        <w:rPr>
          <w:lang w:eastAsia="en-AU"/>
        </w:rPr>
        <w:t xml:space="preserve">boom spray application </w:t>
      </w:r>
      <w:r>
        <w:rPr>
          <w:lang w:eastAsia="en-AU"/>
        </w:rPr>
        <w:t>(up to 6 ha per day)</w:t>
      </w:r>
      <w:r w:rsidR="00186B5F">
        <w:rPr>
          <w:lang w:eastAsia="en-AU"/>
        </w:rPr>
        <w:t>:</w:t>
      </w:r>
    </w:p>
    <w:p w14:paraId="66F8123B" w14:textId="0F646DC7" w:rsidR="00447FFA" w:rsidRDefault="00447FFA" w:rsidP="00186B5F">
      <w:pPr>
        <w:pStyle w:val="Bullet1"/>
        <w:rPr>
          <w:lang w:eastAsia="en-AU"/>
        </w:rPr>
      </w:pPr>
      <w:r>
        <w:rPr>
          <w:lang w:eastAsia="en-AU"/>
        </w:rPr>
        <w:t>DO NOT apply using open cab equipment unless using a PF10 respirator</w:t>
      </w:r>
      <w:r w:rsidR="00186B5F">
        <w:rPr>
          <w:lang w:eastAsia="en-AU"/>
        </w:rPr>
        <w:t>.</w:t>
      </w:r>
    </w:p>
    <w:p w14:paraId="55E04743" w14:textId="3BA00199" w:rsidR="00447FFA" w:rsidRDefault="00447FFA" w:rsidP="00447FFA">
      <w:pPr>
        <w:pStyle w:val="NormalText"/>
        <w:rPr>
          <w:lang w:eastAsia="en-AU"/>
        </w:rPr>
      </w:pPr>
      <w:r>
        <w:rPr>
          <w:lang w:eastAsia="en-AU"/>
        </w:rPr>
        <w:t>For hand spray applications</w:t>
      </w:r>
      <w:r w:rsidR="00186B5F">
        <w:rPr>
          <w:lang w:eastAsia="en-AU"/>
        </w:rPr>
        <w:t>:</w:t>
      </w:r>
    </w:p>
    <w:p w14:paraId="181AA96A" w14:textId="07548CD0" w:rsidR="00447FFA" w:rsidRDefault="00447FFA" w:rsidP="00186B5F">
      <w:pPr>
        <w:pStyle w:val="Bullet1"/>
        <w:rPr>
          <w:lang w:eastAsia="en-AU"/>
        </w:rPr>
      </w:pPr>
      <w:r w:rsidRPr="003B6F82">
        <w:rPr>
          <w:lang w:eastAsia="en-AU"/>
        </w:rPr>
        <w:t>DO NOT use hand wand sprays by spraying out of the window of a vehicle.</w:t>
      </w:r>
    </w:p>
    <w:p w14:paraId="3C8EF161" w14:textId="046A2433" w:rsidR="00306EBA" w:rsidRPr="00C23C9B" w:rsidRDefault="00306EBA" w:rsidP="00306EBA">
      <w:pPr>
        <w:pStyle w:val="Heading3"/>
        <w:rPr>
          <w:lang w:eastAsia="en-AU"/>
        </w:rPr>
      </w:pPr>
      <w:bookmarkStart w:id="115" w:name="_Hlk165645637"/>
      <w:bookmarkStart w:id="116" w:name="_Toc233038956"/>
      <w:r w:rsidRPr="00C23C9B">
        <w:rPr>
          <w:lang w:eastAsia="en-AU"/>
        </w:rPr>
        <w:lastRenderedPageBreak/>
        <w:t>First aid statements (all products)</w:t>
      </w:r>
      <w:bookmarkEnd w:id="116"/>
    </w:p>
    <w:p w14:paraId="52CEDACC" w14:textId="76FB754B" w:rsidR="00306EBA" w:rsidRPr="002E1ACD" w:rsidRDefault="00306EBA" w:rsidP="0087735C">
      <w:pPr>
        <w:pStyle w:val="NormalText"/>
      </w:pPr>
      <w:r w:rsidRPr="002E1ACD">
        <w:t>If poisoning</w:t>
      </w:r>
      <w:r w:rsidRPr="00C74E18">
        <w:t xml:space="preserve"> occurs, get to a doctor or hospital quickly. If sprayed on skin, wash tho</w:t>
      </w:r>
      <w:r w:rsidRPr="002E1ACD">
        <w:t>roughly. If sprayed in mouth, rinse mouth with water. If in eyes, hold eyes open, flood with water for at least 15 minutes and see a doctor.</w:t>
      </w:r>
    </w:p>
    <w:p w14:paraId="0FEF6E3C" w14:textId="3F46B881" w:rsidR="00306EBA" w:rsidRPr="00306EBA" w:rsidRDefault="00306EBA" w:rsidP="00306EBA">
      <w:pPr>
        <w:pStyle w:val="Heading3"/>
      </w:pPr>
      <w:bookmarkStart w:id="117" w:name="_Toc233038957"/>
      <w:r w:rsidRPr="00306EBA">
        <w:t xml:space="preserve">Safety </w:t>
      </w:r>
      <w:r w:rsidR="00186B5F">
        <w:t>d</w:t>
      </w:r>
      <w:r w:rsidRPr="00306EBA">
        <w:t>irections (all products)</w:t>
      </w:r>
      <w:bookmarkEnd w:id="117"/>
    </w:p>
    <w:p w14:paraId="6F64AE17" w14:textId="4778CF3B" w:rsidR="00306EBA" w:rsidRPr="00186B5F" w:rsidRDefault="00306EBA" w:rsidP="0087735C">
      <w:pPr>
        <w:pStyle w:val="NormalText"/>
      </w:pPr>
      <w:r w:rsidRPr="00186B5F">
        <w:t xml:space="preserve">Very dangerous, particularly the concentrate. </w:t>
      </w:r>
      <w:r w:rsidR="00EC2645" w:rsidRPr="00186B5F">
        <w:t>DO NOT</w:t>
      </w:r>
      <w:r w:rsidRPr="00186B5F">
        <w:t xml:space="preserve"> swallow. The product, particularly the concentrate, can kill if swallowed, absorbed through the eyes or absorbed by skin contact. The liquid can cause burns particularly to the eyes. Will irritate the nose, throat and skin. When handling, </w:t>
      </w:r>
      <w:r w:rsidR="00EC2645" w:rsidRPr="00186B5F">
        <w:t>DO NOT</w:t>
      </w:r>
      <w:r w:rsidRPr="00186B5F">
        <w:t xml:space="preserve"> touch or rub eyes, nose or mouth with hand. Avoid contact with eyes and skin, open wounds and clothing. Protect eyes while using. If clothing becomes contaminated with product or with wet spray remove clothing immediately. </w:t>
      </w:r>
      <w:r w:rsidR="00EC2645" w:rsidRPr="00186B5F">
        <w:t>DO NOT</w:t>
      </w:r>
      <w:r w:rsidRPr="00186B5F">
        <w:t xml:space="preserve"> inhale spray mist. </w:t>
      </w:r>
      <w:r w:rsidR="00EC2645" w:rsidRPr="00186B5F">
        <w:t>DO NOT</w:t>
      </w:r>
      <w:r w:rsidRPr="00186B5F">
        <w:t xml:space="preserve"> allow children to play with containers or any equipment that is used. When connecting, disconnecting and cleaning equipment wear cotton overalls buttoned to the neck and wrist (or equivalent clothing) and a washable hat, impervious footwear, elbow-length chemical resistant gloves and a full face respirator with canister specified for paraquat/diquat OR half face-piece respirator with canister specified for paraquat/diquat and face shield or goggles. When applying by low</w:t>
      </w:r>
      <w:r w:rsidR="00735C60">
        <w:t xml:space="preserve"> pressure</w:t>
      </w:r>
      <w:r w:rsidRPr="00186B5F">
        <w:t xml:space="preserve"> (manual</w:t>
      </w:r>
      <w:r w:rsidR="00735C60">
        <w:t>ly</w:t>
      </w:r>
      <w:r w:rsidRPr="00186B5F">
        <w:t xml:space="preserve"> pressurised) or high</w:t>
      </w:r>
      <w:r w:rsidR="00735C60">
        <w:t xml:space="preserve"> pressure</w:t>
      </w:r>
      <w:r w:rsidRPr="00186B5F">
        <w:t xml:space="preserve"> (mechanically pressurised) hand wand wear cotton overalls, over normal clothing, buttoned to the neck and wrist and a washable hat, impervious footwear</w:t>
      </w:r>
      <w:r w:rsidR="00735C60">
        <w:t xml:space="preserve">, </w:t>
      </w:r>
      <w:r w:rsidR="00735C60" w:rsidRPr="00186B5F">
        <w:t>elbow-length chemical resistant gloves</w:t>
      </w:r>
      <w:r w:rsidRPr="00186B5F">
        <w:t xml:space="preserve"> and a full face piece respirator with a canister specified for paraquat/diquat. After use and before eating, drinking or smoking, wash hands, arms and face thoroughly with soap and water. After each days use wash gloves, face shield or goggles, respirator (and if rubber wash with detergent and warm water)</w:t>
      </w:r>
      <w:r w:rsidR="00447FFA" w:rsidRPr="00186B5F">
        <w:t>, clothing</w:t>
      </w:r>
      <w:r w:rsidRPr="00186B5F">
        <w:t xml:space="preserve"> and footwear</w:t>
      </w:r>
      <w:r w:rsidR="00186B5F">
        <w:t>.</w:t>
      </w:r>
    </w:p>
    <w:p w14:paraId="799C34F5" w14:textId="478F8C43" w:rsidR="00306EBA" w:rsidRPr="0087735C" w:rsidRDefault="00306EBA" w:rsidP="0087735C">
      <w:pPr>
        <w:pStyle w:val="Heading3"/>
      </w:pPr>
      <w:bookmarkStart w:id="118" w:name="_Toc233038958"/>
      <w:bookmarkEnd w:id="115"/>
      <w:r w:rsidRPr="0087735C">
        <w:t>Re-entry statements</w:t>
      </w:r>
      <w:r w:rsidR="00BF7966" w:rsidRPr="0087735C">
        <w:t xml:space="preserve"> for diquat products</w:t>
      </w:r>
      <w:bookmarkEnd w:id="118"/>
    </w:p>
    <w:p w14:paraId="3A0632F8" w14:textId="77777777" w:rsidR="0087735C" w:rsidRDefault="00096184" w:rsidP="0087735C">
      <w:pPr>
        <w:pStyle w:val="NormalText"/>
        <w:rPr>
          <w:rFonts w:eastAsia="Arial Unicode MS"/>
        </w:rPr>
        <w:sectPr w:rsidR="0087735C" w:rsidSect="009A2AA4">
          <w:headerReference w:type="even" r:id="rId39"/>
          <w:pgSz w:w="11906" w:h="16838" w:code="9"/>
          <w:pgMar w:top="2835" w:right="1134" w:bottom="1134" w:left="1134" w:header="1701" w:footer="680" w:gutter="0"/>
          <w:cols w:space="708"/>
          <w:docGrid w:linePitch="360"/>
        </w:sectPr>
      </w:pPr>
      <w:bookmarkStart w:id="119" w:name="_Hlk221539113"/>
      <w:bookmarkStart w:id="120" w:name="_Hlk165636253"/>
      <w:r w:rsidRPr="00096184">
        <w:t>DO NOT allow entry to treated areas until the spray has dried</w:t>
      </w:r>
      <w:r w:rsidR="00E54E02">
        <w:t xml:space="preserve"> unless using an</w:t>
      </w:r>
      <w:r w:rsidRPr="00096184">
        <w:t xml:space="preserve"> enclosed cab or wear</w:t>
      </w:r>
      <w:r w:rsidR="00E54E02">
        <w:t>ing</w:t>
      </w:r>
      <w:r w:rsidRPr="00096184">
        <w:t xml:space="preserve"> cotton overalls and gloves. Workers performing scoutin</w:t>
      </w:r>
      <w:r>
        <w:t>g,</w:t>
      </w:r>
      <w:r w:rsidRPr="00096184">
        <w:t xml:space="preserve"> irrigation</w:t>
      </w:r>
      <w:r>
        <w:t xml:space="preserve"> and</w:t>
      </w:r>
      <w:r w:rsidRPr="00096184">
        <w:t xml:space="preserve"> cotton harvesting activities </w:t>
      </w:r>
      <w:r w:rsidR="00E54E02">
        <w:t>must</w:t>
      </w:r>
      <w:r w:rsidRPr="00096184">
        <w:t xml:space="preserve"> comply with the re-entry periods specified in</w:t>
      </w:r>
      <w:r>
        <w:t xml:space="preserve"> </w:t>
      </w:r>
      <w:bookmarkEnd w:id="119"/>
      <w:r w:rsidR="00F0098B">
        <w:rPr>
          <w:rFonts w:eastAsia="Arial Unicode MS"/>
        </w:rPr>
        <w:fldChar w:fldCharType="begin" w:fldLock="1"/>
      </w:r>
      <w:r w:rsidR="00F0098B">
        <w:rPr>
          <w:rFonts w:eastAsia="Arial Unicode MS"/>
        </w:rPr>
        <w:instrText xml:space="preserve"> REF _Ref221535347 \h </w:instrText>
      </w:r>
      <w:r w:rsidR="0087735C">
        <w:rPr>
          <w:rFonts w:eastAsia="Arial Unicode MS"/>
        </w:rPr>
        <w:instrText xml:space="preserve"> \* MERGEFORMAT </w:instrText>
      </w:r>
      <w:r w:rsidR="00F0098B">
        <w:rPr>
          <w:rFonts w:eastAsia="Arial Unicode MS"/>
        </w:rPr>
      </w:r>
      <w:r w:rsidR="00F0098B">
        <w:rPr>
          <w:rFonts w:eastAsia="Arial Unicode MS"/>
        </w:rPr>
        <w:fldChar w:fldCharType="separate"/>
      </w:r>
      <w:r w:rsidR="0033298E" w:rsidRPr="00D63217">
        <w:t xml:space="preserve">Table </w:t>
      </w:r>
      <w:r w:rsidR="0033298E">
        <w:rPr>
          <w:noProof/>
        </w:rPr>
        <w:t>11</w:t>
      </w:r>
      <w:r w:rsidR="00F0098B">
        <w:rPr>
          <w:rFonts w:eastAsia="Arial Unicode MS"/>
        </w:rPr>
        <w:fldChar w:fldCharType="end"/>
      </w:r>
      <w:r w:rsidR="00E05B6E">
        <w:rPr>
          <w:rFonts w:eastAsia="Arial Unicode MS"/>
        </w:rPr>
        <w:t>.</w:t>
      </w:r>
    </w:p>
    <w:p w14:paraId="4CD87CCF" w14:textId="25848A39" w:rsidR="005D3B2B" w:rsidRDefault="005D3B2B" w:rsidP="004F075B">
      <w:pPr>
        <w:pStyle w:val="Heading1"/>
      </w:pPr>
      <w:bookmarkStart w:id="121" w:name="_Toc531181099"/>
      <w:bookmarkStart w:id="122" w:name="_Toc7561273"/>
      <w:bookmarkStart w:id="123" w:name="_Toc102555112"/>
      <w:bookmarkStart w:id="124" w:name="_Toc156980621"/>
      <w:bookmarkStart w:id="125" w:name="_Toc233038959"/>
      <w:bookmarkEnd w:id="120"/>
      <w:r>
        <w:lastRenderedPageBreak/>
        <w:t xml:space="preserve">Residues and </w:t>
      </w:r>
      <w:r w:rsidR="00186B5F">
        <w:t>t</w:t>
      </w:r>
      <w:r>
        <w:t>rade</w:t>
      </w:r>
      <w:bookmarkEnd w:id="125"/>
    </w:p>
    <w:p w14:paraId="551ADDB9" w14:textId="1027589F" w:rsidR="00D95DDA" w:rsidRDefault="00D95DDA" w:rsidP="00D95DDA">
      <w:pPr>
        <w:pStyle w:val="NormalText"/>
      </w:pPr>
      <w:r>
        <w:t>This residues and trade assessment</w:t>
      </w:r>
      <w:r w:rsidR="00447FFA">
        <w:t xml:space="preserve"> is completed as part of the diquat </w:t>
      </w:r>
      <w:r>
        <w:t xml:space="preserve">reconsideration to determine if the current registered uses of </w:t>
      </w:r>
      <w:r>
        <w:rPr>
          <w:lang w:val="en-US"/>
        </w:rPr>
        <w:t xml:space="preserve">diquat </w:t>
      </w:r>
      <w:r>
        <w:t>are supported by residues data and</w:t>
      </w:r>
      <w:r w:rsidR="00447FFA">
        <w:t xml:space="preserve"> continue to meet the statutory safety and trade criteria</w:t>
      </w:r>
      <w:r>
        <w:t>.</w:t>
      </w:r>
    </w:p>
    <w:p w14:paraId="6F79EB02" w14:textId="77777777" w:rsidR="002026D4" w:rsidRPr="002026D4" w:rsidRDefault="002026D4" w:rsidP="002026D4">
      <w:pPr>
        <w:pStyle w:val="Heading2"/>
      </w:pPr>
      <w:bookmarkStart w:id="126" w:name="_Toc501347734"/>
      <w:bookmarkStart w:id="127" w:name="_Toc64425216"/>
      <w:bookmarkStart w:id="128" w:name="_Toc89488085"/>
      <w:bookmarkStart w:id="129" w:name="_Toc89501494"/>
      <w:bookmarkStart w:id="130" w:name="_Toc89676029"/>
      <w:bookmarkStart w:id="131" w:name="_Toc89684501"/>
      <w:bookmarkStart w:id="132" w:name="_Toc89829959"/>
      <w:bookmarkStart w:id="133" w:name="_Toc98575814"/>
      <w:bookmarkStart w:id="134" w:name="_Toc102811222"/>
      <w:bookmarkStart w:id="135" w:name="_Toc102811543"/>
      <w:bookmarkStart w:id="136" w:name="_Toc251681929"/>
      <w:bookmarkStart w:id="137" w:name="_Toc158208438"/>
      <w:bookmarkStart w:id="138" w:name="_Toc233038960"/>
      <w:r w:rsidRPr="002026D4">
        <w:t>Metabolism</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3339A603" w14:textId="68B780D9" w:rsidR="002026D4" w:rsidRPr="002026D4" w:rsidRDefault="002026D4" w:rsidP="002026D4">
      <w:pPr>
        <w:pStyle w:val="NormalText"/>
      </w:pPr>
      <w:r w:rsidRPr="002026D4">
        <w:t xml:space="preserve">Metabolism studies conducted on plants, laboratory animals and food animals were </w:t>
      </w:r>
      <w:r w:rsidR="00447FFA">
        <w:t>considered</w:t>
      </w:r>
      <w:r w:rsidRPr="002026D4">
        <w:t>.</w:t>
      </w:r>
    </w:p>
    <w:p w14:paraId="06E29362" w14:textId="28E580B6" w:rsidR="002026D4" w:rsidRPr="002026D4" w:rsidRDefault="002026D4" w:rsidP="002026D4">
      <w:pPr>
        <w:pStyle w:val="NormalText"/>
      </w:pPr>
      <w:r w:rsidRPr="002026D4">
        <w:t>Metabolism studies in tomatoes and maize</w:t>
      </w:r>
      <w:r w:rsidR="00C4563A">
        <w:t xml:space="preserve"> (</w:t>
      </w:r>
      <w:r w:rsidR="00C4563A" w:rsidRPr="00C4563A">
        <w:t>Slade</w:t>
      </w:r>
      <w:r w:rsidR="00380B1B">
        <w:t>,</w:t>
      </w:r>
      <w:r w:rsidR="00C4563A">
        <w:t xml:space="preserve"> </w:t>
      </w:r>
      <w:r w:rsidR="00C4563A" w:rsidRPr="00C4563A">
        <w:t>1966)</w:t>
      </w:r>
      <w:r w:rsidRPr="002026D4">
        <w:t>, cereals</w:t>
      </w:r>
      <w:r w:rsidR="00C4563A">
        <w:t xml:space="preserve"> </w:t>
      </w:r>
      <w:r w:rsidR="00670D4A">
        <w:t>(</w:t>
      </w:r>
      <w:r w:rsidR="00C4563A" w:rsidRPr="00C4563A">
        <w:t xml:space="preserve">Leahey </w:t>
      </w:r>
      <w:r w:rsidR="00C4563A">
        <w:t>et al</w:t>
      </w:r>
      <w:r w:rsidR="00380B1B">
        <w:t>,</w:t>
      </w:r>
      <w:r w:rsidR="00C4563A">
        <w:t xml:space="preserve"> </w:t>
      </w:r>
      <w:r w:rsidR="00C4563A" w:rsidRPr="00C4563A">
        <w:t>1973</w:t>
      </w:r>
      <w:r w:rsidR="00C4563A">
        <w:t xml:space="preserve">; </w:t>
      </w:r>
      <w:r w:rsidR="00670D4A" w:rsidRPr="00670D4A">
        <w:t>Cavell</w:t>
      </w:r>
      <w:r w:rsidR="00380B1B">
        <w:t>,</w:t>
      </w:r>
      <w:r w:rsidR="00670D4A" w:rsidRPr="00670D4A">
        <w:t xml:space="preserve"> 1987</w:t>
      </w:r>
      <w:r w:rsidR="00670D4A">
        <w:t xml:space="preserve">; </w:t>
      </w:r>
      <w:r w:rsidR="00C4563A">
        <w:t>Heath and Leahey</w:t>
      </w:r>
      <w:r w:rsidR="00380B1B">
        <w:t>,</w:t>
      </w:r>
      <w:r w:rsidR="00C4563A">
        <w:t xml:space="preserve"> 1989)</w:t>
      </w:r>
      <w:r w:rsidR="00B3411D">
        <w:t>,</w:t>
      </w:r>
      <w:r w:rsidRPr="002026D4">
        <w:t xml:space="preserve"> potatoes</w:t>
      </w:r>
      <w:r w:rsidR="00C4563A" w:rsidRPr="00C4563A">
        <w:t xml:space="preserve"> </w:t>
      </w:r>
      <w:r w:rsidR="00C4563A">
        <w:t>(</w:t>
      </w:r>
      <w:r w:rsidR="00C4563A" w:rsidRPr="00C4563A">
        <w:t>Smith</w:t>
      </w:r>
      <w:r w:rsidR="00380B1B">
        <w:t>,</w:t>
      </w:r>
      <w:r w:rsidR="00C4563A">
        <w:t xml:space="preserve"> 1</w:t>
      </w:r>
      <w:r w:rsidR="00C4563A" w:rsidRPr="00C4563A">
        <w:t>967</w:t>
      </w:r>
      <w:r w:rsidR="00C4563A">
        <w:t>)</w:t>
      </w:r>
      <w:r w:rsidRPr="002026D4">
        <w:t xml:space="preserve"> and oil seed rape</w:t>
      </w:r>
      <w:r w:rsidR="00634BFC" w:rsidRPr="00634BFC">
        <w:t xml:space="preserve"> </w:t>
      </w:r>
      <w:r w:rsidR="00634BFC">
        <w:t>(Leahey and Allard</w:t>
      </w:r>
      <w:r w:rsidR="00380B1B">
        <w:t>,</w:t>
      </w:r>
      <w:r w:rsidR="00634BFC">
        <w:t xml:space="preserve"> 1971)</w:t>
      </w:r>
      <w:r w:rsidRPr="002026D4">
        <w:t>, as well as an irradiation study in aqueous solutions of glucose</w:t>
      </w:r>
      <w:r w:rsidR="00634BFC">
        <w:t xml:space="preserve"> (Heath</w:t>
      </w:r>
      <w:r w:rsidR="00380B1B">
        <w:t>,</w:t>
      </w:r>
      <w:r w:rsidR="00634BFC">
        <w:t xml:space="preserve"> 1992)</w:t>
      </w:r>
      <w:r w:rsidRPr="002026D4">
        <w:t>, demonstrate that diquat undergoes photodegradation on the plant surface rather than extensive metabolism in the plant. In the studies with tomatoes and maize, when the treated plants were maintained in darkness, no breakdown of diquat occurred</w:t>
      </w:r>
      <w:r w:rsidR="00186B5F">
        <w:t>;</w:t>
      </w:r>
      <w:r w:rsidRPr="002026D4">
        <w:t xml:space="preserve"> however</w:t>
      </w:r>
      <w:r w:rsidR="00186B5F">
        <w:t>,</w:t>
      </w:r>
      <w:r w:rsidRPr="002026D4">
        <w:t xml:space="preserve"> when they were exposed to sunlight there was very rapid loss of diquat and degradation continued when the plants were dead.</w:t>
      </w:r>
    </w:p>
    <w:p w14:paraId="5FB3F7DA" w14:textId="16DE77BA" w:rsidR="002026D4" w:rsidRPr="002026D4" w:rsidRDefault="002026D4" w:rsidP="002026D4">
      <w:pPr>
        <w:pStyle w:val="NormalText"/>
      </w:pPr>
      <w:r w:rsidRPr="002026D4">
        <w:t>Diquat was the major component and the compound 1,2,3,4-tetrahydro-1-oxopyrido[1,2-a]-5-pyrazinium chloride (TOPPS) the most important single identified photoproduct. The compounds diquat monopyridone and diquat dipyridone were also formed in low levels (≤7.5% TRR). The major proportion of the residue on the treated crops parts consists of a complex mixture of unidentified photodegradation products bound to the natural plant constituents. This was likely to be the result of the photo-initiated generation of diquat free radicals which then react with the natural constituents. The degradation of diquat was dependent on light intensity and there is no evidence of translocation of the photoproducts and only limited translocation of diquat.</w:t>
      </w:r>
    </w:p>
    <w:p w14:paraId="0764E64A" w14:textId="5884D1A9" w:rsidR="002026D4" w:rsidRPr="002026D4" w:rsidRDefault="002026D4" w:rsidP="002026D4">
      <w:pPr>
        <w:pStyle w:val="NormalText"/>
      </w:pPr>
      <w:r w:rsidRPr="002026D4">
        <w:t>Studies conducted on the rat</w:t>
      </w:r>
      <w:r w:rsidR="00634BFC">
        <w:t xml:space="preserve"> (Leahey</w:t>
      </w:r>
      <w:r w:rsidR="002A7A06">
        <w:t>,</w:t>
      </w:r>
      <w:r w:rsidR="00634BFC">
        <w:t xml:space="preserve"> 1974)</w:t>
      </w:r>
      <w:r w:rsidRPr="002026D4">
        <w:t>, goat</w:t>
      </w:r>
      <w:r w:rsidR="00634BFC">
        <w:t xml:space="preserve"> (Hemingway et al</w:t>
      </w:r>
      <w:r w:rsidR="002A7A06">
        <w:t>,</w:t>
      </w:r>
      <w:r w:rsidR="00634BFC">
        <w:t xml:space="preserve"> 1973),</w:t>
      </w:r>
      <w:r w:rsidRPr="002026D4">
        <w:t xml:space="preserve"> lactating cow</w:t>
      </w:r>
      <w:r w:rsidR="00634BFC">
        <w:t xml:space="preserve"> (Leahey et al</w:t>
      </w:r>
      <w:r w:rsidR="002A7A06">
        <w:t>,</w:t>
      </w:r>
      <w:r w:rsidR="00634BFC">
        <w:t xml:space="preserve"> 1976; Hemingway et al</w:t>
      </w:r>
      <w:r w:rsidR="002A7A06">
        <w:t>,</w:t>
      </w:r>
      <w:r w:rsidR="00634BFC">
        <w:t xml:space="preserve"> 1974)</w:t>
      </w:r>
      <w:r w:rsidRPr="002026D4">
        <w:t xml:space="preserve"> and laying hen</w:t>
      </w:r>
      <w:r w:rsidR="00634BFC">
        <w:t xml:space="preserve"> (Leahey and Hemingway</w:t>
      </w:r>
      <w:r w:rsidR="002A7A06">
        <w:t>,</w:t>
      </w:r>
      <w:r w:rsidR="00634BFC">
        <w:t xml:space="preserve"> 1973;</w:t>
      </w:r>
      <w:r w:rsidR="00670D4A">
        <w:t xml:space="preserve"> Hughes and Leahey</w:t>
      </w:r>
      <w:r w:rsidR="002A7A06">
        <w:t>,</w:t>
      </w:r>
      <w:r w:rsidR="00670D4A">
        <w:t xml:space="preserve"> 1975; French and Leahey</w:t>
      </w:r>
      <w:r w:rsidR="002A7A06">
        <w:t>,</w:t>
      </w:r>
      <w:r w:rsidR="00670D4A">
        <w:t xml:space="preserve"> 1988</w:t>
      </w:r>
      <w:r w:rsidR="00634BFC">
        <w:t>)</w:t>
      </w:r>
      <w:r w:rsidRPr="002026D4">
        <w:t xml:space="preserve"> indicate that diquat is poorly absorbed after oral administration and is excreted largely unchanged, mostly in the faeces, with TOPPS and diquat monopyridone present in low amounts (≤10.5% TOPPS and &lt;4%</w:t>
      </w:r>
      <w:r w:rsidR="00186B5F">
        <w:t> </w:t>
      </w:r>
      <w:r w:rsidRPr="002026D4">
        <w:t xml:space="preserve">diquat monpyridone in goat faeces). </w:t>
      </w:r>
      <w:r w:rsidR="00E07A4D">
        <w:t>High</w:t>
      </w:r>
      <w:r w:rsidR="002E2C30">
        <w:t>est</w:t>
      </w:r>
      <w:r w:rsidR="00E07A4D">
        <w:t xml:space="preserve"> residue</w:t>
      </w:r>
      <w:r w:rsidRPr="002026D4">
        <w:t>s occurred in the liver and kidneys and consisted of low levels of diquat and diquat monopyridone. Traces of degradation products were present in milk and eggs at low levels (0.005 mg/kg), with the majority shown to be incorporated into natural constituents such as protein, fat and lactose.</w:t>
      </w:r>
    </w:p>
    <w:p w14:paraId="6173CB13" w14:textId="0D4DA471" w:rsidR="002026D4" w:rsidRPr="002026D4" w:rsidRDefault="002026D4" w:rsidP="002026D4">
      <w:pPr>
        <w:pStyle w:val="Heading2"/>
      </w:pPr>
      <w:bookmarkStart w:id="139" w:name="_Toc64425217"/>
      <w:bookmarkStart w:id="140" w:name="_Toc89488086"/>
      <w:bookmarkStart w:id="141" w:name="_Toc89501495"/>
      <w:bookmarkStart w:id="142" w:name="_Toc89676030"/>
      <w:bookmarkStart w:id="143" w:name="_Toc89684502"/>
      <w:bookmarkStart w:id="144" w:name="_Toc89829960"/>
      <w:bookmarkStart w:id="145" w:name="_Toc98575815"/>
      <w:bookmarkStart w:id="146" w:name="_Toc102811223"/>
      <w:bookmarkStart w:id="147" w:name="_Toc102811544"/>
      <w:bookmarkStart w:id="148" w:name="_Toc251681930"/>
      <w:bookmarkStart w:id="149" w:name="_Toc158208439"/>
      <w:bookmarkStart w:id="150" w:name="_Toc233038961"/>
      <w:r w:rsidRPr="002026D4">
        <w:t>Analytical methods</w:t>
      </w:r>
      <w:bookmarkEnd w:id="139"/>
      <w:bookmarkEnd w:id="140"/>
      <w:bookmarkEnd w:id="141"/>
      <w:bookmarkEnd w:id="142"/>
      <w:bookmarkEnd w:id="143"/>
      <w:bookmarkEnd w:id="144"/>
      <w:bookmarkEnd w:id="145"/>
      <w:bookmarkEnd w:id="146"/>
      <w:bookmarkEnd w:id="147"/>
      <w:r w:rsidRPr="002026D4">
        <w:t xml:space="preserve"> and </w:t>
      </w:r>
      <w:r w:rsidR="00C43A9B">
        <w:t>s</w:t>
      </w:r>
      <w:r w:rsidRPr="002026D4">
        <w:t xml:space="preserve">torage </w:t>
      </w:r>
      <w:r w:rsidR="00C43A9B">
        <w:t>s</w:t>
      </w:r>
      <w:r w:rsidRPr="002026D4">
        <w:t>tability</w:t>
      </w:r>
      <w:bookmarkEnd w:id="148"/>
      <w:bookmarkEnd w:id="149"/>
      <w:bookmarkEnd w:id="150"/>
    </w:p>
    <w:p w14:paraId="32427E55" w14:textId="77777777" w:rsidR="002026D4" w:rsidRPr="0087735C" w:rsidRDefault="002026D4" w:rsidP="0087735C">
      <w:pPr>
        <w:pStyle w:val="Heading3"/>
      </w:pPr>
      <w:bookmarkStart w:id="151" w:name="_Toc89676031"/>
      <w:bookmarkStart w:id="152" w:name="_Toc158208440"/>
      <w:bookmarkStart w:id="153" w:name="_Toc233038962"/>
      <w:bookmarkEnd w:id="151"/>
      <w:r w:rsidRPr="0087735C">
        <w:t>Analytical methods</w:t>
      </w:r>
      <w:bookmarkEnd w:id="152"/>
      <w:bookmarkEnd w:id="153"/>
    </w:p>
    <w:p w14:paraId="3BF541F8" w14:textId="55BCF3E3" w:rsidR="002026D4" w:rsidRPr="002026D4" w:rsidRDefault="002026D4" w:rsidP="002026D4">
      <w:pPr>
        <w:pStyle w:val="NormalText"/>
      </w:pPr>
      <w:r w:rsidRPr="002026D4">
        <w:t>Twenty-seven reports of analytical method and validation studies were submitted. The analytical methods related to plants materials</w:t>
      </w:r>
      <w:r w:rsidR="00146F51">
        <w:t xml:space="preserve"> (</w:t>
      </w:r>
      <w:r w:rsidR="00146F51" w:rsidRPr="00557050">
        <w:t>Fujie</w:t>
      </w:r>
      <w:r w:rsidR="000D7E6F" w:rsidRPr="00557050">
        <w:t>,</w:t>
      </w:r>
      <w:r w:rsidR="00146F51" w:rsidRPr="00557050">
        <w:t xml:space="preserve"> 1987</w:t>
      </w:r>
      <w:r w:rsidR="005A44C3" w:rsidRPr="00557050">
        <w:t>(a)</w:t>
      </w:r>
      <w:r w:rsidR="00146F51" w:rsidRPr="00557050">
        <w:t>; Earl and Boseley</w:t>
      </w:r>
      <w:r w:rsidR="000D7E6F" w:rsidRPr="00557050">
        <w:t>,</w:t>
      </w:r>
      <w:r w:rsidR="00146F51" w:rsidRPr="00557050">
        <w:t xml:space="preserve"> 1989; </w:t>
      </w:r>
      <w:r w:rsidR="0034316B" w:rsidRPr="00557050">
        <w:t>Hogbin and Thorndycraft</w:t>
      </w:r>
      <w:r w:rsidR="000D7E6F" w:rsidRPr="00557050">
        <w:t>,</w:t>
      </w:r>
      <w:r w:rsidR="0034316B" w:rsidRPr="00557050">
        <w:t xml:space="preserve"> 1992; </w:t>
      </w:r>
      <w:r w:rsidR="00146F51" w:rsidRPr="00557050">
        <w:t>Anderson</w:t>
      </w:r>
      <w:r w:rsidR="000D7E6F" w:rsidRPr="00557050">
        <w:t>,</w:t>
      </w:r>
      <w:r w:rsidR="00146F51" w:rsidRPr="00557050">
        <w:t xml:space="preserve"> 1994</w:t>
      </w:r>
      <w:r w:rsidR="000D7E6F" w:rsidRPr="00557050">
        <w:t>(a,b)</w:t>
      </w:r>
      <w:r w:rsidR="00146F51" w:rsidRPr="00557050">
        <w:t>; Reichert</w:t>
      </w:r>
      <w:r w:rsidR="000D7E6F" w:rsidRPr="00557050">
        <w:t>,</w:t>
      </w:r>
      <w:r w:rsidR="00146F51" w:rsidRPr="00557050">
        <w:t xml:space="preserve"> 1996)</w:t>
      </w:r>
      <w:r w:rsidRPr="002026D4">
        <w:t>, animal tissues</w:t>
      </w:r>
      <w:r w:rsidR="00146F51" w:rsidRPr="00557050">
        <w:t xml:space="preserve"> (</w:t>
      </w:r>
      <w:r w:rsidR="0034316B" w:rsidRPr="00557050">
        <w:t>Kennedy</w:t>
      </w:r>
      <w:r w:rsidR="000D7E6F" w:rsidRPr="00557050">
        <w:t xml:space="preserve">, </w:t>
      </w:r>
      <w:r w:rsidR="0034316B" w:rsidRPr="00557050">
        <w:t>1986</w:t>
      </w:r>
      <w:r w:rsidR="007B0EC4" w:rsidRPr="00557050">
        <w:t>(a)</w:t>
      </w:r>
      <w:r w:rsidR="0034316B" w:rsidRPr="00557050">
        <w:t>; Fujie</w:t>
      </w:r>
      <w:r w:rsidR="000D7E6F" w:rsidRPr="00557050">
        <w:t>,</w:t>
      </w:r>
      <w:r w:rsidR="0034316B" w:rsidRPr="00557050">
        <w:t xml:space="preserve"> 1987</w:t>
      </w:r>
      <w:r w:rsidR="005A44C3" w:rsidRPr="00557050">
        <w:t>(b)</w:t>
      </w:r>
      <w:r w:rsidR="0034316B" w:rsidRPr="00557050">
        <w:t xml:space="preserve">; </w:t>
      </w:r>
      <w:r w:rsidR="00146F51" w:rsidRPr="00557050">
        <w:t>Earl</w:t>
      </w:r>
      <w:r w:rsidR="000D7E6F" w:rsidRPr="00557050">
        <w:t>,</w:t>
      </w:r>
      <w:r w:rsidR="00146F51" w:rsidRPr="00557050">
        <w:t xml:space="preserve"> 1992</w:t>
      </w:r>
      <w:r w:rsidR="000D7E6F" w:rsidRPr="00557050">
        <w:t>(</w:t>
      </w:r>
      <w:r w:rsidR="00146F51" w:rsidRPr="00557050">
        <w:t>a</w:t>
      </w:r>
      <w:r w:rsidR="000D7E6F" w:rsidRPr="00557050">
        <w:t>)</w:t>
      </w:r>
      <w:r w:rsidR="00146F51" w:rsidRPr="00557050">
        <w:t xml:space="preserve">; </w:t>
      </w:r>
      <w:r w:rsidR="009E1C3B" w:rsidRPr="00557050">
        <w:t xml:space="preserve">Earl, 1993(a); </w:t>
      </w:r>
      <w:r w:rsidR="00146F51" w:rsidRPr="00557050">
        <w:t>Anderson</w:t>
      </w:r>
      <w:r w:rsidR="000D7E6F" w:rsidRPr="00557050">
        <w:t>,</w:t>
      </w:r>
      <w:r w:rsidR="00146F51" w:rsidRPr="00557050">
        <w:t xml:space="preserve"> 1996</w:t>
      </w:r>
      <w:r w:rsidR="003143AC" w:rsidRPr="00557050">
        <w:t>(a)</w:t>
      </w:r>
      <w:r w:rsidR="00146F51" w:rsidRPr="00557050">
        <w:t>; Bolton</w:t>
      </w:r>
      <w:r w:rsidR="000D7E6F" w:rsidRPr="00557050">
        <w:t>,</w:t>
      </w:r>
      <w:r w:rsidR="00146F51" w:rsidRPr="00557050">
        <w:t xml:space="preserve"> 1996)</w:t>
      </w:r>
      <w:r w:rsidRPr="002026D4">
        <w:t>, milk</w:t>
      </w:r>
      <w:r w:rsidR="00146F51">
        <w:t xml:space="preserve"> (</w:t>
      </w:r>
      <w:r w:rsidR="00146F51" w:rsidRPr="00557050">
        <w:t>Earl</w:t>
      </w:r>
      <w:r w:rsidR="000D7E6F" w:rsidRPr="00557050">
        <w:t>,</w:t>
      </w:r>
      <w:r w:rsidR="00146F51" w:rsidRPr="00557050">
        <w:t xml:space="preserve"> 1992</w:t>
      </w:r>
      <w:r w:rsidR="000D7E6F" w:rsidRPr="00557050">
        <w:t>(</w:t>
      </w:r>
      <w:r w:rsidR="00146F51" w:rsidRPr="00557050">
        <w:t>b)</w:t>
      </w:r>
      <w:r w:rsidRPr="002026D4">
        <w:t>, water</w:t>
      </w:r>
      <w:r w:rsidR="00146F51">
        <w:t xml:space="preserve"> (</w:t>
      </w:r>
      <w:r w:rsidR="00146F51" w:rsidRPr="00557050">
        <w:t>Anderson</w:t>
      </w:r>
      <w:r w:rsidR="000D7E6F" w:rsidRPr="00557050">
        <w:t>,</w:t>
      </w:r>
      <w:r w:rsidR="00146F51" w:rsidRPr="00557050">
        <w:t xml:space="preserve"> 1994</w:t>
      </w:r>
      <w:r w:rsidR="003143AC" w:rsidRPr="00557050">
        <w:t>(a)</w:t>
      </w:r>
      <w:r w:rsidR="00146F51" w:rsidRPr="00557050">
        <w:t>)</w:t>
      </w:r>
      <w:r w:rsidRPr="002026D4">
        <w:t>, oils</w:t>
      </w:r>
      <w:r w:rsidR="0034316B">
        <w:t xml:space="preserve"> (</w:t>
      </w:r>
      <w:r w:rsidR="0034316B" w:rsidRPr="00557050">
        <w:t>Anderson</w:t>
      </w:r>
      <w:r w:rsidR="000D7E6F" w:rsidRPr="00557050">
        <w:t>,</w:t>
      </w:r>
      <w:r w:rsidR="0034316B" w:rsidRPr="00557050">
        <w:t xml:space="preserve"> 1995)</w:t>
      </w:r>
      <w:r w:rsidRPr="002026D4">
        <w:t>, soils</w:t>
      </w:r>
      <w:r w:rsidR="00146F51">
        <w:t xml:space="preserve"> (</w:t>
      </w:r>
      <w:r w:rsidR="00146F51" w:rsidRPr="00557050">
        <w:t xml:space="preserve">Coombe, 1994; </w:t>
      </w:r>
      <w:r w:rsidR="0034316B" w:rsidRPr="00557050">
        <w:t>Anderson and Boseley</w:t>
      </w:r>
      <w:r w:rsidR="000D7E6F" w:rsidRPr="00557050">
        <w:t>,</w:t>
      </w:r>
      <w:r w:rsidR="0034316B" w:rsidRPr="00557050">
        <w:t xml:space="preserve"> 1995; </w:t>
      </w:r>
      <w:r w:rsidR="00146F51" w:rsidRPr="00557050">
        <w:t>Weber, 1995; James</w:t>
      </w:r>
      <w:r w:rsidR="000D7E6F" w:rsidRPr="00557050">
        <w:t>,</w:t>
      </w:r>
      <w:r w:rsidR="00146F51" w:rsidRPr="00557050">
        <w:t xml:space="preserve"> 1996; </w:t>
      </w:r>
      <w:r w:rsidR="00146F51" w:rsidRPr="00146F51">
        <w:t>Anderson and Boseley</w:t>
      </w:r>
      <w:r w:rsidR="000D7E6F">
        <w:t>,</w:t>
      </w:r>
      <w:r w:rsidR="00146F51">
        <w:t xml:space="preserve"> </w:t>
      </w:r>
      <w:r w:rsidR="00146F51" w:rsidRPr="00146F51">
        <w:t>1997)</w:t>
      </w:r>
      <w:r w:rsidRPr="002026D4">
        <w:t xml:space="preserve"> and </w:t>
      </w:r>
      <w:r w:rsidRPr="0053667C">
        <w:t>human plasma, serum and urine</w:t>
      </w:r>
      <w:r w:rsidR="0053667C" w:rsidRPr="0053667C">
        <w:t xml:space="preserve"> (</w:t>
      </w:r>
      <w:r w:rsidR="004D01A1" w:rsidRPr="00BB1BD5">
        <w:t>Thomas</w:t>
      </w:r>
      <w:r w:rsidR="000D7E6F">
        <w:t xml:space="preserve"> and</w:t>
      </w:r>
      <w:r w:rsidR="004D01A1" w:rsidRPr="00BB1BD5">
        <w:t xml:space="preserve"> Woollen</w:t>
      </w:r>
      <w:r w:rsidR="000D7E6F">
        <w:t>,</w:t>
      </w:r>
      <w:r w:rsidR="004D01A1">
        <w:t xml:space="preserve"> </w:t>
      </w:r>
      <w:r w:rsidR="004D01A1" w:rsidRPr="00BB1BD5">
        <w:t>1994</w:t>
      </w:r>
      <w:r w:rsidR="004D01A1">
        <w:t xml:space="preserve">; </w:t>
      </w:r>
      <w:r w:rsidR="0053667C" w:rsidRPr="0053667C">
        <w:t>Thomas 1995</w:t>
      </w:r>
      <w:r w:rsidR="000D7E6F">
        <w:t>(</w:t>
      </w:r>
      <w:r w:rsidR="004D01A1">
        <w:t>a,</w:t>
      </w:r>
      <w:r w:rsidR="000D7E6F">
        <w:t>b)</w:t>
      </w:r>
      <w:r w:rsidR="0053667C" w:rsidRPr="0053667C">
        <w:t>)</w:t>
      </w:r>
      <w:r w:rsidRPr="0053667C">
        <w:t>.</w:t>
      </w:r>
    </w:p>
    <w:p w14:paraId="2366EF82" w14:textId="4CE53F61" w:rsidR="002026D4" w:rsidRDefault="002026D4" w:rsidP="002026D4">
      <w:pPr>
        <w:pStyle w:val="NormalText"/>
      </w:pPr>
      <w:r w:rsidRPr="002026D4">
        <w:lastRenderedPageBreak/>
        <w:t>The studies submitted included colorimetric, gas chromatographic and liquid chromatographic methods. One residues study of diquat in rice includes the method for measurement of TOPPS in rice grain and straw, otherwise all other methods submitted determine the parent compound only.</w:t>
      </w:r>
    </w:p>
    <w:p w14:paraId="24A3F2CF" w14:textId="2EFC7FBD" w:rsidR="002026D4" w:rsidRPr="002026D4" w:rsidRDefault="002026D4" w:rsidP="002026D4">
      <w:pPr>
        <w:pStyle w:val="NormalText"/>
      </w:pPr>
      <w:r w:rsidRPr="002026D4">
        <w:t xml:space="preserve">The limits of quantification </w:t>
      </w:r>
      <w:r>
        <w:t>(</w:t>
      </w:r>
      <w:r w:rsidRPr="002026D4">
        <w:t>LOQs</w:t>
      </w:r>
      <w:r>
        <w:t>)</w:t>
      </w:r>
      <w:r w:rsidRPr="002026D4">
        <w:t xml:space="preserve"> of these methods ranged from 0.01 to 0.05 mg/kg for plant commodities, except for sunflower seed and rape seed for which the LOQ was up to 0.1 mg/kg and for rape seed cake, for which the LOQ was 0.5 mg/kg. For animal commodities, the LOQs ranged from 0.01 to 0.05 mg/kg for milk and 0.05</w:t>
      </w:r>
      <w:r w:rsidR="00186B5F">
        <w:t> </w:t>
      </w:r>
      <w:r w:rsidRPr="002026D4">
        <w:t>mg/kg for all other commodities.</w:t>
      </w:r>
    </w:p>
    <w:p w14:paraId="560E9DBF" w14:textId="77777777" w:rsidR="002026D4" w:rsidRPr="002026D4" w:rsidRDefault="002026D4" w:rsidP="002026D4">
      <w:pPr>
        <w:pStyle w:val="Heading3"/>
      </w:pPr>
      <w:bookmarkStart w:id="154" w:name="_Toc158208441"/>
      <w:bookmarkStart w:id="155" w:name="_Toc233038963"/>
      <w:r w:rsidRPr="002026D4">
        <w:t>Stability of residues in stored analytical samples</w:t>
      </w:r>
      <w:bookmarkEnd w:id="154"/>
      <w:bookmarkEnd w:id="155"/>
    </w:p>
    <w:p w14:paraId="09C69F14" w14:textId="27BD3460" w:rsidR="002026D4" w:rsidRPr="002A7A06" w:rsidRDefault="002026D4" w:rsidP="002A7A06">
      <w:pPr>
        <w:pStyle w:val="NormalText"/>
      </w:pPr>
      <w:r w:rsidRPr="002026D4">
        <w:t xml:space="preserve">Data were </w:t>
      </w:r>
      <w:r w:rsidRPr="002A7A06">
        <w:t>presented of studies conducted on the stability of diquat residues during frozen storage in a wide range of commodities.</w:t>
      </w:r>
    </w:p>
    <w:p w14:paraId="3400DE52" w14:textId="08AA970E" w:rsidR="002026D4" w:rsidRPr="002A7A06" w:rsidRDefault="002026D4" w:rsidP="002A7A06">
      <w:pPr>
        <w:pStyle w:val="NormalText"/>
      </w:pPr>
      <w:r w:rsidRPr="002A7A06">
        <w:t xml:space="preserve">One study measured diquat residues in samples of wheat and barley grain stored at both ambient temperature and frozen at </w:t>
      </w:r>
      <w:r w:rsidR="00186B5F">
        <w:t>–</w:t>
      </w:r>
      <w:r w:rsidRPr="002A7A06">
        <w:t>18ºC for a period of 6</w:t>
      </w:r>
      <w:r w:rsidR="00186B5F">
        <w:t>–</w:t>
      </w:r>
      <w:r w:rsidRPr="002A7A06">
        <w:t>8 months</w:t>
      </w:r>
      <w:r w:rsidR="00D60300" w:rsidRPr="002A7A06">
        <w:t xml:space="preserve"> (Bullock</w:t>
      </w:r>
      <w:r w:rsidR="002A7A06" w:rsidRPr="002A7A06">
        <w:t>,</w:t>
      </w:r>
      <w:r w:rsidR="00D60300" w:rsidRPr="002A7A06">
        <w:t xml:space="preserve"> 1980)</w:t>
      </w:r>
      <w:r w:rsidRPr="002A7A06">
        <w:t xml:space="preserve">. In another study diquat residues were measured periodically in coffee beans and bananas frozen at </w:t>
      </w:r>
      <w:r w:rsidR="00186B5F">
        <w:t>–</w:t>
      </w:r>
      <w:r w:rsidRPr="002A7A06">
        <w:t>18ºC for up to 12 months</w:t>
      </w:r>
      <w:r w:rsidR="00D60300" w:rsidRPr="002A7A06">
        <w:t xml:space="preserve"> (Coombe</w:t>
      </w:r>
      <w:r w:rsidR="002A7A06" w:rsidRPr="002A7A06">
        <w:t>,</w:t>
      </w:r>
      <w:r w:rsidR="00D60300" w:rsidRPr="002A7A06">
        <w:t xml:space="preserve"> 1995</w:t>
      </w:r>
      <w:r w:rsidR="006209C4">
        <w:t>(a,b)</w:t>
      </w:r>
      <w:r w:rsidR="00D60300" w:rsidRPr="002A7A06">
        <w:t>)</w:t>
      </w:r>
      <w:r w:rsidRPr="002A7A06">
        <w:t>. There was no significant decay measured over the test periods in both studies.</w:t>
      </w:r>
    </w:p>
    <w:p w14:paraId="45EDDB1D" w14:textId="25203D00" w:rsidR="002026D4" w:rsidRPr="002A7A06" w:rsidRDefault="002026D4" w:rsidP="002A7A06">
      <w:pPr>
        <w:pStyle w:val="NormalText"/>
      </w:pPr>
      <w:r w:rsidRPr="002A7A06">
        <w:t>In a longer-term study</w:t>
      </w:r>
      <w:r w:rsidR="002A7A06" w:rsidRPr="002A7A06">
        <w:t>,</w:t>
      </w:r>
      <w:r w:rsidRPr="002A7A06">
        <w:t xml:space="preserve"> samples of carrot, cabbage and wheat grain were fortified with diquat then frozen</w:t>
      </w:r>
      <w:r w:rsidR="00D60300" w:rsidRPr="002A7A06">
        <w:t xml:space="preserve"> (Fujie</w:t>
      </w:r>
      <w:r w:rsidR="002A7A06" w:rsidRPr="002A7A06">
        <w:t>,</w:t>
      </w:r>
      <w:r w:rsidR="00D60300" w:rsidRPr="002A7A06">
        <w:t xml:space="preserve"> 1988</w:t>
      </w:r>
      <w:r w:rsidR="00E95273">
        <w:t>(a)</w:t>
      </w:r>
      <w:r w:rsidR="00D60300" w:rsidRPr="002A7A06">
        <w:t>; Anderson</w:t>
      </w:r>
      <w:r w:rsidR="002A7A06" w:rsidRPr="002A7A06">
        <w:t>,</w:t>
      </w:r>
      <w:r w:rsidR="00D60300" w:rsidRPr="002A7A06">
        <w:t xml:space="preserve"> 1996</w:t>
      </w:r>
      <w:r w:rsidR="003143AC">
        <w:t>(b)</w:t>
      </w:r>
      <w:r w:rsidR="00D60300" w:rsidRPr="002A7A06">
        <w:t>)</w:t>
      </w:r>
      <w:r w:rsidRPr="002A7A06">
        <w:t>. Carrot and cabbage samples were analysed in triplicate at intervals over a period of 46</w:t>
      </w:r>
      <w:r w:rsidR="00186B5F">
        <w:t> </w:t>
      </w:r>
      <w:r w:rsidRPr="002A7A06">
        <w:t xml:space="preserve">months and samples of wheat grain were analysed in triplicate at intervals over a period of 18 months. Diquat residues in all </w:t>
      </w:r>
      <w:r w:rsidR="00186B5F">
        <w:t>3</w:t>
      </w:r>
      <w:r w:rsidRPr="002A7A06">
        <w:t xml:space="preserve"> crops were found to be stable under these conditions.</w:t>
      </w:r>
    </w:p>
    <w:p w14:paraId="645BDB60" w14:textId="3A3670DF" w:rsidR="002026D4" w:rsidRPr="002026D4" w:rsidRDefault="002026D4" w:rsidP="002A7A06">
      <w:pPr>
        <w:pStyle w:val="NormalText"/>
      </w:pPr>
      <w:r w:rsidRPr="002A7A06">
        <w:t xml:space="preserve">A further study conducted to assess the stability of diquat in samples of clover seed and hay, sorghum grain, soybeans, carrots, lettuce, potatoes, wheat grain and straw, and rice grain and straw which were stored for </w:t>
      </w:r>
      <w:r w:rsidR="00186B5F">
        <w:t>6 </w:t>
      </w:r>
      <w:r w:rsidRPr="002A7A06">
        <w:t xml:space="preserve">months at </w:t>
      </w:r>
      <w:r w:rsidR="00186B5F">
        <w:t>–</w:t>
      </w:r>
      <w:r w:rsidRPr="002A7A06">
        <w:t>20ºC</w:t>
      </w:r>
      <w:r w:rsidR="00D60300" w:rsidRPr="002A7A06">
        <w:t xml:space="preserve"> (Earl and Muir</w:t>
      </w:r>
      <w:r w:rsidR="002A7A06">
        <w:t>,</w:t>
      </w:r>
      <w:r w:rsidR="00D60300" w:rsidRPr="002A7A06">
        <w:t xml:space="preserve"> 1988; Langridge</w:t>
      </w:r>
      <w:r w:rsidR="002A7A06">
        <w:t>,</w:t>
      </w:r>
      <w:r w:rsidR="00D60300" w:rsidRPr="002A7A06">
        <w:t xml:space="preserve"> 2013)</w:t>
      </w:r>
      <w:r w:rsidRPr="002A7A06">
        <w:t>. For clover, sorghum and soybeans, field-incurred residues were present</w:t>
      </w:r>
      <w:r w:rsidR="00186B5F">
        <w:t>,</w:t>
      </w:r>
      <w:r w:rsidRPr="002A7A06">
        <w:t xml:space="preserve"> and the stability was measured by re-analysis of replicate samples from the treated crops. For carrots, lettuce, wheat, rice and potatoes, untreated control samples were fortifie</w:t>
      </w:r>
      <w:r w:rsidRPr="002026D4">
        <w:t xml:space="preserve">d. Diquat residues were found to be stable in the macerated crop matrices for a minimum of </w:t>
      </w:r>
      <w:r w:rsidR="00186B5F">
        <w:t>6</w:t>
      </w:r>
      <w:r w:rsidRPr="002026D4">
        <w:t xml:space="preserve"> months.</w:t>
      </w:r>
    </w:p>
    <w:p w14:paraId="01A33312" w14:textId="1371A88A" w:rsidR="002026D4" w:rsidRPr="002026D4" w:rsidRDefault="002026D4" w:rsidP="002026D4">
      <w:pPr>
        <w:pStyle w:val="NormalText"/>
      </w:pPr>
      <w:r w:rsidRPr="002026D4">
        <w:t>In another study, chaff from wheat harvested 7 days after treatment with C14-diquat and stored frozen for 5</w:t>
      </w:r>
      <w:r w:rsidR="00186B5F">
        <w:t>–</w:t>
      </w:r>
      <w:r w:rsidRPr="002026D4">
        <w:t>6</w:t>
      </w:r>
      <w:r w:rsidR="00186B5F">
        <w:t> </w:t>
      </w:r>
      <w:r w:rsidRPr="002026D4">
        <w:t>years was milled to a homogenous sample. On combustion, the total radioactive residue was measured as 157</w:t>
      </w:r>
      <w:r w:rsidR="00186B5F">
        <w:t> </w:t>
      </w:r>
      <w:r w:rsidRPr="002026D4">
        <w:t>mg/kg. This was compared to 168 mg/kg at the time of initial analysis</w:t>
      </w:r>
      <w:r w:rsidR="00D60300">
        <w:t xml:space="preserve"> (</w:t>
      </w:r>
      <w:bookmarkStart w:id="156" w:name="_Hlk167459188"/>
      <w:r w:rsidR="00D60300" w:rsidRPr="00C74265">
        <w:rPr>
          <w:sz w:val="20"/>
          <w:szCs w:val="20"/>
        </w:rPr>
        <w:t>Bullock</w:t>
      </w:r>
      <w:bookmarkEnd w:id="156"/>
      <w:r w:rsidR="00D60300" w:rsidRPr="00C74265">
        <w:rPr>
          <w:sz w:val="20"/>
          <w:szCs w:val="20"/>
        </w:rPr>
        <w:t>, 1980)</w:t>
      </w:r>
      <w:r w:rsidRPr="002026D4">
        <w:t>.</w:t>
      </w:r>
    </w:p>
    <w:p w14:paraId="09549DFF" w14:textId="77777777" w:rsidR="002026D4" w:rsidRPr="002026D4" w:rsidRDefault="002026D4" w:rsidP="002026D4">
      <w:pPr>
        <w:pStyle w:val="Heading2"/>
      </w:pPr>
      <w:bookmarkStart w:id="157" w:name="_Toc501347735"/>
      <w:bookmarkStart w:id="158" w:name="_Toc64425218"/>
      <w:bookmarkStart w:id="159" w:name="_Toc89488087"/>
      <w:bookmarkStart w:id="160" w:name="_Toc89501497"/>
      <w:bookmarkStart w:id="161" w:name="_Toc89676033"/>
      <w:bookmarkStart w:id="162" w:name="_Toc89684503"/>
      <w:bookmarkStart w:id="163" w:name="_Toc89829961"/>
      <w:bookmarkStart w:id="164" w:name="_Toc98575818"/>
      <w:bookmarkStart w:id="165" w:name="_Toc102811224"/>
      <w:bookmarkStart w:id="166" w:name="_Toc102811547"/>
      <w:bookmarkStart w:id="167" w:name="_Toc251681931"/>
      <w:bookmarkStart w:id="168" w:name="_Toc158208442"/>
      <w:bookmarkStart w:id="169" w:name="_Toc233038964"/>
      <w:r w:rsidRPr="002026D4">
        <w:t>Residue definition</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0E3DEA6D" w14:textId="61F21B35" w:rsidR="002026D4" w:rsidRDefault="002026D4" w:rsidP="002026D4">
      <w:pPr>
        <w:pStyle w:val="NormalText"/>
      </w:pPr>
      <w:r w:rsidRPr="00CB6C13">
        <w:t xml:space="preserve">Due to little metabolism of </w:t>
      </w:r>
      <w:r>
        <w:t>di</w:t>
      </w:r>
      <w:r w:rsidRPr="00CB6C13">
        <w:t xml:space="preserve">quat in plants and animals, </w:t>
      </w:r>
      <w:r>
        <w:t>diquat cation</w:t>
      </w:r>
      <w:r w:rsidRPr="00CB6C13">
        <w:t xml:space="preserve"> can be considered as the most appropriate residue definition for enforcement and risk assessment. This is consistent with the residue definition established overseas </w:t>
      </w:r>
      <w:r w:rsidR="00D60300">
        <w:t>(see</w:t>
      </w:r>
      <w:r w:rsidR="00186B5F">
        <w:t xml:space="preserve"> </w:t>
      </w:r>
      <w:hyperlink w:anchor="_Residue_related_aspects" w:history="1">
        <w:r w:rsidR="00186B5F" w:rsidRPr="00186B5F">
          <w:rPr>
            <w:rStyle w:val="Hyperlink"/>
          </w:rPr>
          <w:t>Residue related aspects of trade</w:t>
        </w:r>
      </w:hyperlink>
      <w:r w:rsidR="00D60300" w:rsidRPr="00D60300">
        <w:t>)</w:t>
      </w:r>
      <w:r w:rsidRPr="00D60300">
        <w:t>.</w:t>
      </w:r>
    </w:p>
    <w:p w14:paraId="3CAFDC54" w14:textId="77777777" w:rsidR="002026D4" w:rsidRDefault="002026D4" w:rsidP="002026D4">
      <w:pPr>
        <w:pStyle w:val="Heading2"/>
      </w:pPr>
      <w:bookmarkStart w:id="170" w:name="_Toc501347736"/>
      <w:bookmarkStart w:id="171" w:name="_Toc64425219"/>
      <w:bookmarkStart w:id="172" w:name="_Toc89488088"/>
      <w:bookmarkStart w:id="173" w:name="_Toc89501498"/>
      <w:bookmarkStart w:id="174" w:name="_Toc89676034"/>
      <w:bookmarkStart w:id="175" w:name="_Toc89684504"/>
      <w:bookmarkStart w:id="176" w:name="_Toc89829962"/>
      <w:bookmarkStart w:id="177" w:name="_Toc98575819"/>
      <w:bookmarkStart w:id="178" w:name="_Toc102811225"/>
      <w:bookmarkStart w:id="179" w:name="_Toc102811548"/>
      <w:bookmarkStart w:id="180" w:name="_Toc251681932"/>
      <w:bookmarkStart w:id="181" w:name="_Ref389667307"/>
      <w:bookmarkStart w:id="182" w:name="_Ref389667314"/>
      <w:bookmarkStart w:id="183" w:name="_Toc158208443"/>
      <w:bookmarkStart w:id="184" w:name="_Toc233038965"/>
      <w:r>
        <w:lastRenderedPageBreak/>
        <w:t xml:space="preserve">Residues </w:t>
      </w:r>
      <w:bookmarkEnd w:id="170"/>
      <w:r>
        <w:t>in foods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1A44BB9" w14:textId="37FD7F1B" w:rsidR="002026D4" w:rsidRDefault="002026D4" w:rsidP="002026D4">
      <w:pPr>
        <w:pStyle w:val="NormalText"/>
      </w:pPr>
      <w:r>
        <w:t xml:space="preserve">The diquat </w:t>
      </w:r>
      <w:r w:rsidR="00FA11E7">
        <w:t xml:space="preserve">product </w:t>
      </w:r>
      <w:r>
        <w:t xml:space="preserve">labels have broad crop groupings on the labels such as row crops, vegetables, market gardens and orchards. Diquat, by virtue of its </w:t>
      </w:r>
      <w:r w:rsidR="00833FA0">
        <w:t>use</w:t>
      </w:r>
      <w:r>
        <w:t xml:space="preserve"> pattern</w:t>
      </w:r>
      <w:r w:rsidR="00FA11E7">
        <w:t xml:space="preserve"> groupings</w:t>
      </w:r>
      <w:r>
        <w:t xml:space="preserve"> has</w:t>
      </w:r>
      <w:r w:rsidR="004A338F">
        <w:t xml:space="preserve"> historically</w:t>
      </w:r>
      <w:r>
        <w:t xml:space="preserve"> lent itself to general commodity groupings in the MRL standard such as fruits and vegetables.</w:t>
      </w:r>
    </w:p>
    <w:p w14:paraId="2C830846" w14:textId="3B1A8EF4" w:rsidR="002A5926" w:rsidRDefault="002026D4" w:rsidP="00F945C3">
      <w:pPr>
        <w:pStyle w:val="NormalText"/>
      </w:pPr>
      <w:r>
        <w:t xml:space="preserve">The current </w:t>
      </w:r>
      <w:r w:rsidR="00FA11E7">
        <w:t xml:space="preserve">best </w:t>
      </w:r>
      <w:r>
        <w:t xml:space="preserve">practice is to </w:t>
      </w:r>
      <w:r w:rsidR="00833FA0">
        <w:t xml:space="preserve">approve </w:t>
      </w:r>
      <w:r>
        <w:t xml:space="preserve">label claims and establish MRLs based on </w:t>
      </w:r>
      <w:r w:rsidR="00833FA0">
        <w:t>the APVMA crop group guidance</w:t>
      </w:r>
      <w:r w:rsidR="00E61669">
        <w:rPr>
          <w:rFonts w:ascii="ZWAdobeF" w:hAnsi="ZWAdobeF" w:cs="ZWAdobeF"/>
          <w:sz w:val="2"/>
          <w:szCs w:val="2"/>
        </w:rPr>
        <w:t>4F</w:t>
      </w:r>
      <w:r w:rsidR="00602535">
        <w:rPr>
          <w:rFonts w:ascii="ZWAdobeF" w:hAnsi="ZWAdobeF" w:cs="ZWAdobeF"/>
          <w:sz w:val="2"/>
          <w:szCs w:val="2"/>
        </w:rPr>
        <w:t>5F</w:t>
      </w:r>
      <w:r w:rsidR="00833FA0">
        <w:rPr>
          <w:rStyle w:val="FootnoteReference"/>
        </w:rPr>
        <w:footnoteReference w:id="7"/>
      </w:r>
      <w:r w:rsidR="00833FA0">
        <w:t xml:space="preserve"> and </w:t>
      </w:r>
      <w:r>
        <w:t xml:space="preserve">Codex </w:t>
      </w:r>
      <w:r w:rsidR="00943557">
        <w:t xml:space="preserve">Alimentarius (Codex) </w:t>
      </w:r>
      <w:r>
        <w:t>commodity groups</w:t>
      </w:r>
      <w:r w:rsidR="00833FA0">
        <w:t>. Therefore,</w:t>
      </w:r>
      <w:r>
        <w:t xml:space="preserve"> </w:t>
      </w:r>
      <w:r w:rsidR="00833FA0">
        <w:t xml:space="preserve">it is appropriate that </w:t>
      </w:r>
      <w:r>
        <w:t xml:space="preserve">the current MRLs for fruits and vegetables and </w:t>
      </w:r>
      <w:r w:rsidR="00833FA0">
        <w:t xml:space="preserve">use patterns </w:t>
      </w:r>
      <w:r>
        <w:t xml:space="preserve">on labels </w:t>
      </w:r>
      <w:r w:rsidR="002A5926">
        <w:t>reflect the</w:t>
      </w:r>
      <w:r w:rsidR="00833FA0">
        <w:t xml:space="preserve"> appropriate crop groups and </w:t>
      </w:r>
      <w:r w:rsidR="002A5926">
        <w:t xml:space="preserve">be </w:t>
      </w:r>
      <w:r>
        <w:t xml:space="preserve">reconsidered </w:t>
      </w:r>
      <w:r w:rsidR="002A5926">
        <w:t xml:space="preserve">separately </w:t>
      </w:r>
      <w:r>
        <w:t xml:space="preserve">as part of this review. </w:t>
      </w:r>
    </w:p>
    <w:p w14:paraId="7E1A89A0" w14:textId="4FFB9B03" w:rsidR="002A5926" w:rsidRDefault="002A5926" w:rsidP="0026666F">
      <w:pPr>
        <w:pStyle w:val="Heading3"/>
      </w:pPr>
      <w:bookmarkStart w:id="185" w:name="_Toc233038966"/>
      <w:r>
        <w:t xml:space="preserve">Cropping </w:t>
      </w:r>
      <w:r w:rsidR="00186B5F">
        <w:t>s</w:t>
      </w:r>
      <w:r>
        <w:t>ituations</w:t>
      </w:r>
      <w:bookmarkEnd w:id="185"/>
    </w:p>
    <w:p w14:paraId="12F2B2B8" w14:textId="7C45DD26" w:rsidR="00F945C3" w:rsidRDefault="00F945C3" w:rsidP="00F945C3">
      <w:pPr>
        <w:pStyle w:val="NormalText"/>
      </w:pPr>
      <w:r>
        <w:t xml:space="preserve">There are </w:t>
      </w:r>
      <w:r w:rsidR="00186B5F">
        <w:t xml:space="preserve">4 </w:t>
      </w:r>
      <w:r>
        <w:t>distinct diquat use patterns</w:t>
      </w:r>
      <w:r w:rsidR="00CE63AC">
        <w:t xml:space="preserve"> in cropping situations</w:t>
      </w:r>
      <w:r>
        <w:t>:</w:t>
      </w:r>
    </w:p>
    <w:p w14:paraId="3080DF55" w14:textId="1F41EA3A" w:rsidR="00F945C3" w:rsidRDefault="00F945C3" w:rsidP="0087735C">
      <w:pPr>
        <w:pStyle w:val="Heading4"/>
      </w:pPr>
      <w:r w:rsidRPr="00F945C3">
        <w:t>Crop establishment or pre-emergence weed control</w:t>
      </w:r>
    </w:p>
    <w:p w14:paraId="525DA5B2" w14:textId="54F7CD7C" w:rsidR="00F945C3" w:rsidRDefault="00621D3B" w:rsidP="00F945C3">
      <w:pPr>
        <w:pStyle w:val="NormalText"/>
      </w:pPr>
      <w:r>
        <w:rPr>
          <w:rStyle w:val="NormalTextChar"/>
        </w:rPr>
        <w:t>A</w:t>
      </w:r>
      <w:r w:rsidR="00F945C3" w:rsidRPr="00F945C3">
        <w:rPr>
          <w:rStyle w:val="NormalTextChar"/>
        </w:rPr>
        <w:t xml:space="preserve">pplications can be made pre-sowing or post-sowing pre-emergence. The maximum pre-sowing crop and pasture establishment use rate is 0.368 kg </w:t>
      </w:r>
      <w:r w:rsidR="00572A0C">
        <w:rPr>
          <w:rStyle w:val="NormalTextChar"/>
        </w:rPr>
        <w:t>ac/ha</w:t>
      </w:r>
      <w:r w:rsidR="00F945C3" w:rsidRPr="00F945C3">
        <w:rPr>
          <w:rStyle w:val="NormalTextChar"/>
        </w:rPr>
        <w:t xml:space="preserve">. The maximum post-sowing pre-emergence use rate is 0.8 kg </w:t>
      </w:r>
      <w:r w:rsidR="00572A0C">
        <w:rPr>
          <w:rStyle w:val="NormalTextChar"/>
        </w:rPr>
        <w:t>ac/ha</w:t>
      </w:r>
      <w:r w:rsidR="00F945C3" w:rsidRPr="00F945C3">
        <w:rPr>
          <w:rStyle w:val="NormalTextChar"/>
        </w:rPr>
        <w:t xml:space="preserve"> and includes the broad categories of row crops, vegetables and market gardens, in addition to the specific crops asparagus and rice. The submitted residues data on a wide range of crops demonstrated pre-emergence applications generally do not produce detectable residues in the harvested commodity.</w:t>
      </w:r>
    </w:p>
    <w:p w14:paraId="352F4DEA" w14:textId="3EC36A71" w:rsidR="00F945C3" w:rsidRDefault="00F945C3" w:rsidP="00F945C3">
      <w:pPr>
        <w:pStyle w:val="Heading4"/>
      </w:pPr>
      <w:r w:rsidRPr="00BF2403">
        <w:t>Crop post-emergence directed or shielded weed control</w:t>
      </w:r>
    </w:p>
    <w:p w14:paraId="43497869" w14:textId="48833B31" w:rsidR="00F945C3" w:rsidRDefault="00621D3B" w:rsidP="00F945C3">
      <w:pPr>
        <w:pStyle w:val="NormalText"/>
      </w:pPr>
      <w:r>
        <w:rPr>
          <w:rStyle w:val="NormalTextChar"/>
        </w:rPr>
        <w:t>A</w:t>
      </w:r>
      <w:r w:rsidR="00F945C3" w:rsidRPr="00F945C3">
        <w:rPr>
          <w:rStyle w:val="NormalTextChar"/>
        </w:rPr>
        <w:t xml:space="preserve">pplications can be made as inter-row shielded sprays to emerged row crops and vines or as a directed spray around the base of tree crops. The applications can occur at any stage of the crop growth cycle although they generally occur before the crop canopy closes over. The maximum rates are 0.8 kg </w:t>
      </w:r>
      <w:r w:rsidR="00572A0C">
        <w:rPr>
          <w:rStyle w:val="NormalTextChar"/>
        </w:rPr>
        <w:t>ac/ha</w:t>
      </w:r>
      <w:r w:rsidR="00F945C3" w:rsidRPr="00F945C3">
        <w:rPr>
          <w:rStyle w:val="NormalTextChar"/>
        </w:rPr>
        <w:t xml:space="preserve"> for row crops, vegetables and market gardens, 0.28 kg </w:t>
      </w:r>
      <w:r w:rsidR="00572A0C">
        <w:rPr>
          <w:rStyle w:val="NormalTextChar"/>
        </w:rPr>
        <w:t>ac/ha</w:t>
      </w:r>
      <w:r w:rsidR="00F945C3" w:rsidRPr="00F945C3">
        <w:rPr>
          <w:rStyle w:val="NormalTextChar"/>
        </w:rPr>
        <w:t xml:space="preserve"> for hops, and 0.368 kg </w:t>
      </w:r>
      <w:r w:rsidR="00572A0C">
        <w:rPr>
          <w:rStyle w:val="NormalTextChar"/>
        </w:rPr>
        <w:t>ac/ha</w:t>
      </w:r>
      <w:r w:rsidR="00F945C3" w:rsidRPr="00F945C3">
        <w:rPr>
          <w:rStyle w:val="NormalTextChar"/>
        </w:rPr>
        <w:t xml:space="preserve"> for potatoes. The maximum rate for applications around the base of tree crops or between vines is 0.368 kg </w:t>
      </w:r>
      <w:r w:rsidR="00572A0C">
        <w:rPr>
          <w:rStyle w:val="NormalTextChar"/>
        </w:rPr>
        <w:t>ac/ha</w:t>
      </w:r>
      <w:r w:rsidR="00F945C3" w:rsidRPr="00F945C3">
        <w:rPr>
          <w:rStyle w:val="NormalTextChar"/>
        </w:rPr>
        <w:t>.</w:t>
      </w:r>
    </w:p>
    <w:p w14:paraId="749D2763" w14:textId="532ACC5A" w:rsidR="00F945C3" w:rsidRDefault="00F945C3" w:rsidP="00F945C3">
      <w:pPr>
        <w:pStyle w:val="NormalText"/>
      </w:pPr>
      <w:r>
        <w:t xml:space="preserve">The submitted residues data demonstrated that shielded sprays at early crop post-emergence and directed sprays around the base of trees crops generally do not result in detectable residues. Where detectable residues did occur in fruit from tree crops, the sampled fruit had either fallen and was directly sprayed or was deliberately dropped onto the sprayed ground. For some vegetable crop groups, the available residue data does demonstrate a potential for low but finite levels of diquat residues following directed post </w:t>
      </w:r>
      <w:r w:rsidRPr="002116A4">
        <w:t>emergent use (see</w:t>
      </w:r>
      <w:r w:rsidR="00186B5F">
        <w:t xml:space="preserve"> </w:t>
      </w:r>
      <w:hyperlink w:anchor="_Vegetable_crops" w:history="1">
        <w:r w:rsidR="00186B5F" w:rsidRPr="00186B5F">
          <w:rPr>
            <w:rStyle w:val="Hyperlink"/>
          </w:rPr>
          <w:t>Vegetable crops</w:t>
        </w:r>
      </w:hyperlink>
      <w:r w:rsidRPr="002116A4">
        <w:t>).</w:t>
      </w:r>
    </w:p>
    <w:p w14:paraId="43004D81" w14:textId="6350B868" w:rsidR="00F945C3" w:rsidRDefault="00F945C3" w:rsidP="00F945C3">
      <w:pPr>
        <w:pStyle w:val="Heading4"/>
      </w:pPr>
      <w:r w:rsidRPr="00BF2403">
        <w:lastRenderedPageBreak/>
        <w:t>Crop or pasture post-emergence over the top weed control applications</w:t>
      </w:r>
    </w:p>
    <w:p w14:paraId="7DAA2F6B" w14:textId="7ED4A656" w:rsidR="00F945C3" w:rsidRPr="00F945C3" w:rsidRDefault="00621D3B" w:rsidP="00F945C3">
      <w:pPr>
        <w:pStyle w:val="NormalText"/>
      </w:pPr>
      <w:r>
        <w:t>A</w:t>
      </w:r>
      <w:r w:rsidR="00F945C3" w:rsidRPr="00F945C3">
        <w:t xml:space="preserve">pplications can </w:t>
      </w:r>
      <w:r>
        <w:t>be made</w:t>
      </w:r>
      <w:r w:rsidR="00F945C3" w:rsidRPr="00F945C3">
        <w:t xml:space="preserve"> over the top of plant and ratoon sugarcane and mature potato and cereal crops, the later </w:t>
      </w:r>
      <w:r w:rsidR="00186B5F">
        <w:t>2</w:t>
      </w:r>
      <w:r w:rsidR="00EF5D36">
        <w:t> </w:t>
      </w:r>
      <w:r w:rsidR="00F945C3" w:rsidRPr="00F945C3">
        <w:t xml:space="preserve">crops to assist digging and harvest. The maximum use rate is 0.23 kg </w:t>
      </w:r>
      <w:r w:rsidR="00572A0C">
        <w:t>ac/ha</w:t>
      </w:r>
      <w:r w:rsidR="00F945C3" w:rsidRPr="00F945C3">
        <w:t xml:space="preserve"> for sugarcane, 0.368</w:t>
      </w:r>
      <w:r w:rsidR="00EF5D36">
        <w:t> </w:t>
      </w:r>
      <w:r w:rsidR="00F945C3" w:rsidRPr="00F945C3">
        <w:t xml:space="preserve">kg </w:t>
      </w:r>
      <w:r w:rsidR="00572A0C">
        <w:t>ac/ha</w:t>
      </w:r>
      <w:r w:rsidR="00F945C3" w:rsidRPr="00F945C3">
        <w:t xml:space="preserve"> for potatoes and 0.6 kg </w:t>
      </w:r>
      <w:r w:rsidR="00572A0C">
        <w:t>ac/ha</w:t>
      </w:r>
      <w:r w:rsidR="00F945C3" w:rsidRPr="00F945C3">
        <w:t xml:space="preserve"> for cereal crops. The</w:t>
      </w:r>
      <w:r>
        <w:t>se</w:t>
      </w:r>
      <w:r w:rsidR="00F945C3" w:rsidRPr="00F945C3">
        <w:t xml:space="preserve"> applications to cereal crops </w:t>
      </w:r>
      <w:r w:rsidRPr="00F945C3">
        <w:t>are expected to result in detectable residues</w:t>
      </w:r>
      <w:r>
        <w:t xml:space="preserve"> </w:t>
      </w:r>
      <w:r w:rsidR="00F945C3" w:rsidRPr="00F945C3">
        <w:t>as the cereal head is exposed to the spray</w:t>
      </w:r>
      <w:r>
        <w:t>.</w:t>
      </w:r>
    </w:p>
    <w:p w14:paraId="04EA08BF" w14:textId="05CA8E7E" w:rsidR="00F945C3" w:rsidRPr="00F945C3" w:rsidRDefault="00F945C3" w:rsidP="00F945C3">
      <w:pPr>
        <w:pStyle w:val="NormalText"/>
      </w:pPr>
      <w:r w:rsidRPr="00F945C3">
        <w:t>Diquat is also applied directly at rates of 0.276</w:t>
      </w:r>
      <w:r w:rsidR="00EF5D36">
        <w:t>–</w:t>
      </w:r>
      <w:r w:rsidRPr="00F945C3">
        <w:t xml:space="preserve">0.368 kg </w:t>
      </w:r>
      <w:r w:rsidR="00572A0C">
        <w:t>ac/ha</w:t>
      </w:r>
      <w:r w:rsidRPr="00F945C3">
        <w:t xml:space="preserve"> to lucerne, mixed pasture and grass pastures to assist in weed control for establishment and renovation, or to suppress kikuyu and paspalum pastures for over-sowing of winter feed. These applications are expected to result in detectable residues in the plant material</w:t>
      </w:r>
      <w:r w:rsidR="00EF5D36">
        <w:t>,</w:t>
      </w:r>
      <w:r w:rsidRPr="00F945C3">
        <w:t xml:space="preserve"> which is routinely grazed, noting the grazing </w:t>
      </w:r>
      <w:r w:rsidR="0060520D">
        <w:t>Withholding Period (</w:t>
      </w:r>
      <w:r w:rsidRPr="00F945C3">
        <w:t>WHP</w:t>
      </w:r>
      <w:r w:rsidR="0060520D">
        <w:t>)</w:t>
      </w:r>
      <w:r w:rsidRPr="00F945C3">
        <w:t xml:space="preserve"> is </w:t>
      </w:r>
      <w:r w:rsidR="00EF5D36">
        <w:t>one</w:t>
      </w:r>
      <w:r w:rsidRPr="00F945C3">
        <w:t xml:space="preserve"> day.</w:t>
      </w:r>
    </w:p>
    <w:p w14:paraId="3697C6DF" w14:textId="0B60F7CB" w:rsidR="00F945C3" w:rsidRDefault="00F945C3" w:rsidP="00F945C3">
      <w:pPr>
        <w:pStyle w:val="Heading4"/>
      </w:pPr>
      <w:r w:rsidRPr="00BF2403">
        <w:t>Pre-harvest desiccation applications</w:t>
      </w:r>
    </w:p>
    <w:p w14:paraId="77B5358C" w14:textId="4C9387DB" w:rsidR="00F945C3" w:rsidRPr="00F945C3" w:rsidRDefault="00F945C3" w:rsidP="00F945C3">
      <w:pPr>
        <w:pStyle w:val="NormalText"/>
      </w:pPr>
      <w:r w:rsidRPr="00F945C3">
        <w:t xml:space="preserve">Applications to assist plant desiccation as well as weed control prior to harvest are expected to result in significant residues in the crop grains and remaining dried plant material that is cut or grazed for feed. The Australian use rate for cereal, oilseed, pulse and sugar cane crops is 0.6 kg </w:t>
      </w:r>
      <w:r w:rsidR="00572A0C">
        <w:t>ac/ha</w:t>
      </w:r>
      <w:r w:rsidRPr="00F945C3">
        <w:t xml:space="preserve"> while for poppies, potatoes and sweet potatoes the rate is 0.8 kg </w:t>
      </w:r>
      <w:r w:rsidR="00572A0C">
        <w:t>ac/ha</w:t>
      </w:r>
      <w:r w:rsidRPr="00F945C3">
        <w:t>.</w:t>
      </w:r>
    </w:p>
    <w:p w14:paraId="4743BC8F" w14:textId="77777777" w:rsidR="00F945C3" w:rsidRDefault="00F945C3" w:rsidP="00F945C3">
      <w:pPr>
        <w:pStyle w:val="Heading3"/>
      </w:pPr>
      <w:bookmarkStart w:id="186" w:name="_Toc233038967"/>
      <w:r>
        <w:t xml:space="preserve">Summary of diquat residues in </w:t>
      </w:r>
      <w:r w:rsidRPr="00EF5D36">
        <w:t>submitted</w:t>
      </w:r>
      <w:r>
        <w:t xml:space="preserve"> studies</w:t>
      </w:r>
      <w:bookmarkEnd w:id="186"/>
    </w:p>
    <w:p w14:paraId="0CA59A29" w14:textId="596DB380" w:rsidR="00F945C3" w:rsidRDefault="00F945C3" w:rsidP="00F945C3">
      <w:pPr>
        <w:pStyle w:val="NormalText"/>
      </w:pPr>
      <w:r>
        <w:t>The submitted studies are categorised below according to their crop grouping and the related use pattern on the diquat labels. The submitted residues data was comprehensive for some crops and crop groups such as peas, beans, oilseeds, potatoes, and cereals</w:t>
      </w:r>
      <w:r w:rsidR="00EF5D36">
        <w:t>;</w:t>
      </w:r>
      <w:r>
        <w:t xml:space="preserve"> however</w:t>
      </w:r>
      <w:r w:rsidR="00EF5D36">
        <w:t>,</w:t>
      </w:r>
      <w:r>
        <w:t xml:space="preserve"> for other crop groups, there was less available data, or no available data.</w:t>
      </w:r>
    </w:p>
    <w:p w14:paraId="37C8943A" w14:textId="71164ECC" w:rsidR="002116A4" w:rsidRPr="000179FF" w:rsidRDefault="002116A4" w:rsidP="000179FF">
      <w:pPr>
        <w:pStyle w:val="Caption"/>
      </w:pPr>
      <w:bookmarkStart w:id="187" w:name="_Toc232589607"/>
      <w:r w:rsidRPr="000179FF">
        <w:t xml:space="preserve">Table </w:t>
      </w:r>
      <w:fldSimple w:instr=" SEQ Table \* ARABIC ">
        <w:r w:rsidR="000179FF">
          <w:rPr>
            <w:noProof/>
          </w:rPr>
          <w:t>12</w:t>
        </w:r>
      </w:fldSimple>
      <w:r w:rsidRPr="000179FF">
        <w:t>: Summary of use patterns, crop groups and residue studies submitted for assessment</w:t>
      </w:r>
      <w:bookmarkEnd w:id="187"/>
    </w:p>
    <w:tbl>
      <w:tblPr>
        <w:tblStyle w:val="TableGrid"/>
        <w:tblW w:w="9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8"/>
        <w:gridCol w:w="3098"/>
      </w:tblGrid>
      <w:tr w:rsidR="00F945C3" w:rsidRPr="009E7020" w14:paraId="32C10C00" w14:textId="77777777" w:rsidTr="00EF5D36">
        <w:trPr>
          <w:trHeight w:val="240"/>
          <w:tblHeader/>
        </w:trPr>
        <w:tc>
          <w:tcPr>
            <w:tcW w:w="3097" w:type="dxa"/>
            <w:tcBorders>
              <w:top w:val="single" w:sz="4" w:space="0" w:color="auto"/>
              <w:bottom w:val="single" w:sz="4" w:space="0" w:color="auto"/>
            </w:tcBorders>
            <w:shd w:val="clear" w:color="auto" w:fill="5C2946"/>
          </w:tcPr>
          <w:p w14:paraId="0A4D2B9B" w14:textId="0DB83410" w:rsidR="00F945C3" w:rsidRPr="00EF5D36" w:rsidRDefault="00F945C3" w:rsidP="00EF5D36">
            <w:pPr>
              <w:pStyle w:val="TableHead"/>
            </w:pPr>
            <w:r w:rsidRPr="00EF5D36">
              <w:t>Use pattern</w:t>
            </w:r>
          </w:p>
        </w:tc>
        <w:tc>
          <w:tcPr>
            <w:tcW w:w="3098" w:type="dxa"/>
            <w:tcBorders>
              <w:top w:val="single" w:sz="4" w:space="0" w:color="auto"/>
              <w:bottom w:val="single" w:sz="4" w:space="0" w:color="auto"/>
            </w:tcBorders>
            <w:shd w:val="clear" w:color="auto" w:fill="5C2946"/>
          </w:tcPr>
          <w:p w14:paraId="4D8E8717" w14:textId="54B3E208" w:rsidR="00F945C3" w:rsidRPr="00EF5D36" w:rsidRDefault="00F945C3" w:rsidP="00EF5D36">
            <w:pPr>
              <w:pStyle w:val="TableHead"/>
            </w:pPr>
            <w:r w:rsidRPr="00EF5D36">
              <w:t xml:space="preserve">Crop </w:t>
            </w:r>
            <w:r w:rsidR="00EF5D36">
              <w:t>g</w:t>
            </w:r>
            <w:r w:rsidRPr="00EF5D36">
              <w:t>roup</w:t>
            </w:r>
          </w:p>
        </w:tc>
        <w:tc>
          <w:tcPr>
            <w:tcW w:w="3098" w:type="dxa"/>
            <w:tcBorders>
              <w:top w:val="single" w:sz="4" w:space="0" w:color="auto"/>
              <w:bottom w:val="single" w:sz="4" w:space="0" w:color="auto"/>
            </w:tcBorders>
            <w:shd w:val="clear" w:color="auto" w:fill="5C2946"/>
          </w:tcPr>
          <w:p w14:paraId="6FE15684" w14:textId="77777777" w:rsidR="00F945C3" w:rsidRPr="00EF5D36" w:rsidRDefault="00F945C3" w:rsidP="00EF5D36">
            <w:pPr>
              <w:pStyle w:val="TableHead"/>
            </w:pPr>
            <w:r w:rsidRPr="00EF5D36">
              <w:t>Submitted studies</w:t>
            </w:r>
          </w:p>
        </w:tc>
      </w:tr>
      <w:tr w:rsidR="00F945C3" w:rsidRPr="00B515C3" w14:paraId="2858112B" w14:textId="77777777" w:rsidTr="00EF5D36">
        <w:tc>
          <w:tcPr>
            <w:tcW w:w="3097" w:type="dxa"/>
            <w:vMerge w:val="restart"/>
            <w:tcBorders>
              <w:top w:val="single" w:sz="4" w:space="0" w:color="auto"/>
              <w:bottom w:val="single" w:sz="4" w:space="0" w:color="auto"/>
            </w:tcBorders>
          </w:tcPr>
          <w:p w14:paraId="32F63431" w14:textId="1460E6DD" w:rsidR="00F945C3" w:rsidRPr="00EF5D36" w:rsidRDefault="00F945C3" w:rsidP="00EF5D36">
            <w:pPr>
              <w:pStyle w:val="TableText"/>
            </w:pPr>
            <w:r w:rsidRPr="00EF5D36">
              <w:t xml:space="preserve">Orchards </w:t>
            </w:r>
            <w:r w:rsidR="00EF5D36" w:rsidRPr="00EF5D36">
              <w:t>and</w:t>
            </w:r>
            <w:r w:rsidRPr="00EF5D36">
              <w:t xml:space="preserve"> vineyards (including bananas)</w:t>
            </w:r>
          </w:p>
          <w:p w14:paraId="03407418" w14:textId="6A309F19" w:rsidR="00F945C3" w:rsidRPr="00EF5D36" w:rsidRDefault="00F945C3" w:rsidP="00EF5D36">
            <w:pPr>
              <w:pStyle w:val="TableText"/>
            </w:pPr>
            <w:r w:rsidRPr="00EF5D36">
              <w:t>Avocado</w:t>
            </w:r>
            <w:r w:rsidR="00EF5D36" w:rsidRPr="00EF5D36">
              <w:t>, custard apple, lychee, mango</w:t>
            </w:r>
          </w:p>
          <w:p w14:paraId="078D421D" w14:textId="6490EB4A" w:rsidR="00F945C3" w:rsidRPr="00EF5D36" w:rsidRDefault="00F945C3" w:rsidP="00EF5D36">
            <w:pPr>
              <w:pStyle w:val="TableText"/>
            </w:pPr>
            <w:r w:rsidRPr="00EF5D36">
              <w:t>* Note: Berries other than grapes and pineapples will be considered against the row crop label claim</w:t>
            </w:r>
          </w:p>
        </w:tc>
        <w:tc>
          <w:tcPr>
            <w:tcW w:w="3098" w:type="dxa"/>
            <w:tcBorders>
              <w:top w:val="single" w:sz="4" w:space="0" w:color="auto"/>
              <w:bottom w:val="single" w:sz="4" w:space="0" w:color="auto"/>
            </w:tcBorders>
          </w:tcPr>
          <w:p w14:paraId="512E081C" w14:textId="77777777" w:rsidR="00F945C3" w:rsidRPr="00EF5D36" w:rsidRDefault="00F945C3" w:rsidP="00EF5D36">
            <w:pPr>
              <w:pStyle w:val="TableText"/>
            </w:pPr>
            <w:r w:rsidRPr="00EF5D36">
              <w:t>Pome</w:t>
            </w:r>
          </w:p>
        </w:tc>
        <w:tc>
          <w:tcPr>
            <w:tcW w:w="3098" w:type="dxa"/>
            <w:tcBorders>
              <w:top w:val="single" w:sz="4" w:space="0" w:color="auto"/>
              <w:bottom w:val="single" w:sz="4" w:space="0" w:color="auto"/>
            </w:tcBorders>
          </w:tcPr>
          <w:p w14:paraId="6DF9EF23" w14:textId="77777777" w:rsidR="00F945C3" w:rsidRPr="00EF5D36" w:rsidRDefault="00F945C3" w:rsidP="00EF5D36">
            <w:pPr>
              <w:pStyle w:val="TableText"/>
            </w:pPr>
            <w:r w:rsidRPr="00EF5D36">
              <w:t>Apples</w:t>
            </w:r>
          </w:p>
        </w:tc>
      </w:tr>
      <w:tr w:rsidR="00F945C3" w:rsidRPr="00B515C3" w14:paraId="7B546310" w14:textId="77777777" w:rsidTr="00EF5D36">
        <w:tc>
          <w:tcPr>
            <w:tcW w:w="3097" w:type="dxa"/>
            <w:vMerge/>
            <w:tcBorders>
              <w:bottom w:val="single" w:sz="4" w:space="0" w:color="auto"/>
            </w:tcBorders>
          </w:tcPr>
          <w:p w14:paraId="55977769"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2ECCDA5A" w14:textId="77777777" w:rsidR="00F945C3" w:rsidRPr="00EF5D36" w:rsidRDefault="00F945C3" w:rsidP="00EF5D36">
            <w:pPr>
              <w:pStyle w:val="TableText"/>
            </w:pPr>
            <w:r w:rsidRPr="00EF5D36">
              <w:t>Stone</w:t>
            </w:r>
          </w:p>
        </w:tc>
        <w:tc>
          <w:tcPr>
            <w:tcW w:w="3098" w:type="dxa"/>
            <w:tcBorders>
              <w:top w:val="single" w:sz="4" w:space="0" w:color="auto"/>
              <w:bottom w:val="single" w:sz="4" w:space="0" w:color="auto"/>
            </w:tcBorders>
          </w:tcPr>
          <w:p w14:paraId="03E1750F" w14:textId="77777777" w:rsidR="00F945C3" w:rsidRPr="00EF5D36" w:rsidRDefault="00F945C3" w:rsidP="00EF5D36">
            <w:pPr>
              <w:pStyle w:val="TableText"/>
            </w:pPr>
            <w:r w:rsidRPr="00EF5D36">
              <w:t>Peaches</w:t>
            </w:r>
          </w:p>
        </w:tc>
      </w:tr>
      <w:tr w:rsidR="00F945C3" w:rsidRPr="00B515C3" w14:paraId="11F74DED" w14:textId="77777777" w:rsidTr="00EF5D36">
        <w:tc>
          <w:tcPr>
            <w:tcW w:w="3097" w:type="dxa"/>
            <w:vMerge/>
            <w:tcBorders>
              <w:bottom w:val="single" w:sz="4" w:space="0" w:color="auto"/>
            </w:tcBorders>
          </w:tcPr>
          <w:p w14:paraId="6F6959DE"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37A979A2" w14:textId="77777777" w:rsidR="00F945C3" w:rsidRPr="00EF5D36" w:rsidRDefault="00F945C3" w:rsidP="00EF5D36">
            <w:pPr>
              <w:pStyle w:val="TableText"/>
            </w:pPr>
            <w:r w:rsidRPr="00EF5D36">
              <w:t>Berries *</w:t>
            </w:r>
          </w:p>
        </w:tc>
        <w:tc>
          <w:tcPr>
            <w:tcW w:w="3098" w:type="dxa"/>
            <w:tcBorders>
              <w:top w:val="single" w:sz="4" w:space="0" w:color="auto"/>
              <w:bottom w:val="single" w:sz="4" w:space="0" w:color="auto"/>
            </w:tcBorders>
          </w:tcPr>
          <w:p w14:paraId="7BAC098D" w14:textId="025F4543" w:rsidR="00F945C3" w:rsidRPr="00EF5D36" w:rsidRDefault="00F945C3" w:rsidP="00EF5D36">
            <w:pPr>
              <w:pStyle w:val="TableText"/>
            </w:pPr>
            <w:r w:rsidRPr="00EF5D36">
              <w:t xml:space="preserve">Grapes, </w:t>
            </w:r>
            <w:r w:rsidR="00EF5D36" w:rsidRPr="00EF5D36">
              <w:t>strawberries, blueberries</w:t>
            </w:r>
          </w:p>
        </w:tc>
      </w:tr>
      <w:tr w:rsidR="00F945C3" w:rsidRPr="00B515C3" w14:paraId="1A31AF07" w14:textId="77777777" w:rsidTr="00EF5D36">
        <w:tc>
          <w:tcPr>
            <w:tcW w:w="3097" w:type="dxa"/>
            <w:vMerge/>
            <w:tcBorders>
              <w:bottom w:val="single" w:sz="4" w:space="0" w:color="auto"/>
            </w:tcBorders>
          </w:tcPr>
          <w:p w14:paraId="57753F8F"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8142F35" w14:textId="4C0156F0" w:rsidR="00F945C3" w:rsidRPr="00EF5D36" w:rsidRDefault="00F945C3" w:rsidP="00EF5D36">
            <w:pPr>
              <w:pStyle w:val="TableText"/>
            </w:pPr>
            <w:r w:rsidRPr="00EF5D36">
              <w:t xml:space="preserve">Assorted trop. </w:t>
            </w:r>
            <w:r w:rsidR="00EF5D36" w:rsidRPr="00EF5D36">
              <w:t>and</w:t>
            </w:r>
            <w:r w:rsidRPr="00EF5D36">
              <w:t xml:space="preserve"> sub-trop. (edible peel)</w:t>
            </w:r>
          </w:p>
        </w:tc>
        <w:tc>
          <w:tcPr>
            <w:tcW w:w="3098" w:type="dxa"/>
            <w:tcBorders>
              <w:top w:val="single" w:sz="4" w:space="0" w:color="auto"/>
              <w:bottom w:val="single" w:sz="4" w:space="0" w:color="auto"/>
            </w:tcBorders>
          </w:tcPr>
          <w:p w14:paraId="4963F16D" w14:textId="77777777" w:rsidR="00F945C3" w:rsidRPr="00EF5D36" w:rsidRDefault="00F945C3" w:rsidP="00EF5D36">
            <w:pPr>
              <w:pStyle w:val="TableText"/>
            </w:pPr>
            <w:r w:rsidRPr="00EF5D36">
              <w:t>Olives</w:t>
            </w:r>
          </w:p>
        </w:tc>
      </w:tr>
      <w:tr w:rsidR="00F945C3" w:rsidRPr="00B515C3" w14:paraId="294F5ED4" w14:textId="77777777" w:rsidTr="00EF5D36">
        <w:tc>
          <w:tcPr>
            <w:tcW w:w="3097" w:type="dxa"/>
            <w:vMerge/>
            <w:tcBorders>
              <w:bottom w:val="single" w:sz="4" w:space="0" w:color="auto"/>
            </w:tcBorders>
          </w:tcPr>
          <w:p w14:paraId="7F145D81"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B542662" w14:textId="4DBD7FD9" w:rsidR="00F945C3" w:rsidRPr="00EF5D36" w:rsidRDefault="00F945C3" w:rsidP="00EF5D36">
            <w:pPr>
              <w:pStyle w:val="TableText"/>
            </w:pPr>
            <w:r w:rsidRPr="00EF5D36">
              <w:t xml:space="preserve">Assorted trop. </w:t>
            </w:r>
            <w:r w:rsidR="00EF5D36" w:rsidRPr="00EF5D36">
              <w:t>and</w:t>
            </w:r>
            <w:r w:rsidRPr="00EF5D36">
              <w:t xml:space="preserve"> sub-trop. (inedible peel)</w:t>
            </w:r>
          </w:p>
        </w:tc>
        <w:tc>
          <w:tcPr>
            <w:tcW w:w="3098" w:type="dxa"/>
            <w:tcBorders>
              <w:top w:val="single" w:sz="4" w:space="0" w:color="auto"/>
              <w:bottom w:val="single" w:sz="4" w:space="0" w:color="auto"/>
            </w:tcBorders>
          </w:tcPr>
          <w:p w14:paraId="765155A4" w14:textId="77777777" w:rsidR="00F945C3" w:rsidRPr="00EF5D36" w:rsidRDefault="00F945C3" w:rsidP="00EF5D36">
            <w:pPr>
              <w:pStyle w:val="TableText"/>
            </w:pPr>
            <w:r w:rsidRPr="00EF5D36">
              <w:t>Bananas</w:t>
            </w:r>
          </w:p>
        </w:tc>
      </w:tr>
      <w:tr w:rsidR="00F945C3" w:rsidRPr="00B515C3" w14:paraId="7FB13F44" w14:textId="77777777" w:rsidTr="00EF5D36">
        <w:tc>
          <w:tcPr>
            <w:tcW w:w="3097" w:type="dxa"/>
            <w:vMerge/>
            <w:tcBorders>
              <w:bottom w:val="single" w:sz="4" w:space="0" w:color="auto"/>
            </w:tcBorders>
          </w:tcPr>
          <w:p w14:paraId="64F5B45E"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11573AF" w14:textId="77777777" w:rsidR="00F945C3" w:rsidRPr="00EF5D36" w:rsidRDefault="00F945C3" w:rsidP="00EF5D36">
            <w:pPr>
              <w:pStyle w:val="TableText"/>
            </w:pPr>
            <w:r w:rsidRPr="00EF5D36">
              <w:t>Citrus</w:t>
            </w:r>
          </w:p>
        </w:tc>
        <w:tc>
          <w:tcPr>
            <w:tcW w:w="3098" w:type="dxa"/>
            <w:tcBorders>
              <w:top w:val="single" w:sz="4" w:space="0" w:color="auto"/>
              <w:bottom w:val="single" w:sz="4" w:space="0" w:color="auto"/>
            </w:tcBorders>
          </w:tcPr>
          <w:p w14:paraId="6F03CBE0" w14:textId="77777777" w:rsidR="00F945C3" w:rsidRPr="00EF5D36" w:rsidRDefault="00F945C3" w:rsidP="00EF5D36">
            <w:pPr>
              <w:pStyle w:val="TableText"/>
            </w:pPr>
            <w:r w:rsidRPr="00EF5D36">
              <w:t>None</w:t>
            </w:r>
          </w:p>
        </w:tc>
      </w:tr>
      <w:tr w:rsidR="00F945C3" w:rsidRPr="00B515C3" w14:paraId="6726B72D" w14:textId="77777777" w:rsidTr="00EF5D36">
        <w:tc>
          <w:tcPr>
            <w:tcW w:w="3097" w:type="dxa"/>
            <w:vMerge/>
            <w:tcBorders>
              <w:bottom w:val="single" w:sz="4" w:space="0" w:color="auto"/>
            </w:tcBorders>
          </w:tcPr>
          <w:p w14:paraId="4DD50D50"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016C886A" w14:textId="77777777" w:rsidR="00F945C3" w:rsidRPr="00EF5D36" w:rsidRDefault="00F945C3" w:rsidP="00EF5D36">
            <w:pPr>
              <w:pStyle w:val="TableText"/>
            </w:pPr>
            <w:r w:rsidRPr="00EF5D36">
              <w:t>Tree nuts</w:t>
            </w:r>
          </w:p>
        </w:tc>
        <w:tc>
          <w:tcPr>
            <w:tcW w:w="3098" w:type="dxa"/>
            <w:tcBorders>
              <w:top w:val="single" w:sz="4" w:space="0" w:color="auto"/>
              <w:bottom w:val="single" w:sz="4" w:space="0" w:color="auto"/>
            </w:tcBorders>
          </w:tcPr>
          <w:p w14:paraId="3BB9EF86" w14:textId="77777777" w:rsidR="00F945C3" w:rsidRPr="00EF5D36" w:rsidRDefault="00F945C3" w:rsidP="00EF5D36">
            <w:pPr>
              <w:pStyle w:val="TableText"/>
            </w:pPr>
            <w:r w:rsidRPr="00EF5D36">
              <w:t>None</w:t>
            </w:r>
          </w:p>
        </w:tc>
      </w:tr>
      <w:tr w:rsidR="00F945C3" w:rsidRPr="00B515C3" w14:paraId="3FDCA575" w14:textId="77777777" w:rsidTr="00EF5D36">
        <w:tc>
          <w:tcPr>
            <w:tcW w:w="3097" w:type="dxa"/>
            <w:vMerge w:val="restart"/>
            <w:tcBorders>
              <w:top w:val="single" w:sz="4" w:space="0" w:color="auto"/>
              <w:bottom w:val="single" w:sz="4" w:space="0" w:color="auto"/>
            </w:tcBorders>
          </w:tcPr>
          <w:p w14:paraId="534E3A4C" w14:textId="77777777" w:rsidR="00F945C3" w:rsidRPr="00F945C3" w:rsidRDefault="00F945C3" w:rsidP="00F945C3">
            <w:pPr>
              <w:pStyle w:val="TableText"/>
            </w:pPr>
            <w:r w:rsidRPr="00F945C3">
              <w:t>Row crops, vegetables and market gardens</w:t>
            </w:r>
          </w:p>
        </w:tc>
        <w:tc>
          <w:tcPr>
            <w:tcW w:w="3098" w:type="dxa"/>
            <w:tcBorders>
              <w:top w:val="single" w:sz="4" w:space="0" w:color="auto"/>
              <w:bottom w:val="single" w:sz="4" w:space="0" w:color="auto"/>
            </w:tcBorders>
          </w:tcPr>
          <w:p w14:paraId="7B1F6699" w14:textId="77777777" w:rsidR="00F945C3" w:rsidRPr="00F945C3" w:rsidRDefault="00F945C3" w:rsidP="00F945C3">
            <w:pPr>
              <w:pStyle w:val="TableText"/>
            </w:pPr>
            <w:r w:rsidRPr="00F945C3">
              <w:t>Bulb vegetables</w:t>
            </w:r>
          </w:p>
        </w:tc>
        <w:tc>
          <w:tcPr>
            <w:tcW w:w="3098" w:type="dxa"/>
            <w:tcBorders>
              <w:top w:val="single" w:sz="4" w:space="0" w:color="auto"/>
              <w:bottom w:val="single" w:sz="4" w:space="0" w:color="auto"/>
            </w:tcBorders>
          </w:tcPr>
          <w:p w14:paraId="7EAFF87C" w14:textId="77777777" w:rsidR="00F945C3" w:rsidRPr="00F945C3" w:rsidRDefault="00F945C3" w:rsidP="00F945C3">
            <w:pPr>
              <w:pStyle w:val="TableText"/>
            </w:pPr>
            <w:r w:rsidRPr="00F945C3">
              <w:t>Onions</w:t>
            </w:r>
          </w:p>
        </w:tc>
      </w:tr>
      <w:tr w:rsidR="00F945C3" w:rsidRPr="00B515C3" w14:paraId="272751C7" w14:textId="77777777" w:rsidTr="00EF5D36">
        <w:tc>
          <w:tcPr>
            <w:tcW w:w="3097" w:type="dxa"/>
            <w:vMerge/>
            <w:tcBorders>
              <w:bottom w:val="single" w:sz="4" w:space="0" w:color="auto"/>
            </w:tcBorders>
          </w:tcPr>
          <w:p w14:paraId="0EC44F73"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1C28AF5E" w14:textId="77777777" w:rsidR="00F945C3" w:rsidRPr="00F945C3" w:rsidRDefault="00F945C3" w:rsidP="00F945C3">
            <w:pPr>
              <w:pStyle w:val="TableText"/>
            </w:pPr>
            <w:r w:rsidRPr="00F945C3">
              <w:t>Brassica vegetables</w:t>
            </w:r>
          </w:p>
        </w:tc>
        <w:tc>
          <w:tcPr>
            <w:tcW w:w="3098" w:type="dxa"/>
            <w:tcBorders>
              <w:top w:val="single" w:sz="4" w:space="0" w:color="auto"/>
              <w:bottom w:val="single" w:sz="4" w:space="0" w:color="auto"/>
            </w:tcBorders>
          </w:tcPr>
          <w:p w14:paraId="5FDC72A7" w14:textId="6F0A1AAC" w:rsidR="00F945C3" w:rsidRPr="00F945C3" w:rsidRDefault="00F945C3" w:rsidP="00F945C3">
            <w:pPr>
              <w:pStyle w:val="TableText"/>
            </w:pPr>
            <w:r w:rsidRPr="00F945C3">
              <w:t xml:space="preserve">Broccoli, </w:t>
            </w:r>
            <w:r w:rsidR="00EF5D36">
              <w:t>c</w:t>
            </w:r>
            <w:r w:rsidRPr="00F945C3">
              <w:t>abbage, Chinese cabbage, Brussels sprouts</w:t>
            </w:r>
          </w:p>
        </w:tc>
      </w:tr>
      <w:tr w:rsidR="00F945C3" w:rsidRPr="00B515C3" w14:paraId="2A940BB3" w14:textId="77777777" w:rsidTr="00EF5D36">
        <w:tc>
          <w:tcPr>
            <w:tcW w:w="3097" w:type="dxa"/>
            <w:vMerge/>
            <w:tcBorders>
              <w:bottom w:val="single" w:sz="4" w:space="0" w:color="auto"/>
            </w:tcBorders>
          </w:tcPr>
          <w:p w14:paraId="2A79025B"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F5C2656" w14:textId="77777777" w:rsidR="00F945C3" w:rsidRPr="00F945C3" w:rsidRDefault="00F945C3" w:rsidP="00F945C3">
            <w:pPr>
              <w:pStyle w:val="TableText"/>
            </w:pPr>
            <w:r w:rsidRPr="00F945C3">
              <w:t>Cucurbits</w:t>
            </w:r>
          </w:p>
        </w:tc>
        <w:tc>
          <w:tcPr>
            <w:tcW w:w="3098" w:type="dxa"/>
            <w:tcBorders>
              <w:top w:val="single" w:sz="4" w:space="0" w:color="auto"/>
              <w:bottom w:val="single" w:sz="4" w:space="0" w:color="auto"/>
            </w:tcBorders>
          </w:tcPr>
          <w:p w14:paraId="0D37A3D0" w14:textId="2014042A" w:rsidR="00F945C3" w:rsidRPr="00F945C3" w:rsidRDefault="00446FEA" w:rsidP="00F945C3">
            <w:pPr>
              <w:pStyle w:val="TableText"/>
            </w:pPr>
            <w:r>
              <w:t>Cucumber</w:t>
            </w:r>
          </w:p>
        </w:tc>
      </w:tr>
      <w:tr w:rsidR="00F945C3" w:rsidRPr="00B515C3" w14:paraId="1BA439F1" w14:textId="77777777" w:rsidTr="00EF5D36">
        <w:tc>
          <w:tcPr>
            <w:tcW w:w="3097" w:type="dxa"/>
            <w:vMerge/>
            <w:tcBorders>
              <w:bottom w:val="single" w:sz="4" w:space="0" w:color="auto"/>
            </w:tcBorders>
          </w:tcPr>
          <w:p w14:paraId="0C91A128"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49E027D0" w14:textId="77777777" w:rsidR="00F945C3" w:rsidRPr="00F945C3" w:rsidRDefault="00F945C3" w:rsidP="00F945C3">
            <w:pPr>
              <w:pStyle w:val="TableText"/>
            </w:pPr>
            <w:r w:rsidRPr="00F945C3">
              <w:t>Fruiting vegetables, other than cucurbits</w:t>
            </w:r>
          </w:p>
        </w:tc>
        <w:tc>
          <w:tcPr>
            <w:tcW w:w="3098" w:type="dxa"/>
            <w:tcBorders>
              <w:top w:val="single" w:sz="4" w:space="0" w:color="auto"/>
              <w:bottom w:val="single" w:sz="4" w:space="0" w:color="auto"/>
            </w:tcBorders>
          </w:tcPr>
          <w:p w14:paraId="37643DD1" w14:textId="43AD6A84" w:rsidR="00F945C3" w:rsidRPr="00F945C3" w:rsidRDefault="00F945C3" w:rsidP="00F945C3">
            <w:pPr>
              <w:pStyle w:val="TableText"/>
            </w:pPr>
            <w:r w:rsidRPr="00F945C3">
              <w:t xml:space="preserve">Tomatoes, </w:t>
            </w:r>
            <w:r w:rsidR="00EF5D36">
              <w:t>c</w:t>
            </w:r>
            <w:r w:rsidRPr="00F945C3">
              <w:t>apsicums</w:t>
            </w:r>
          </w:p>
        </w:tc>
      </w:tr>
      <w:tr w:rsidR="00F945C3" w:rsidRPr="00B515C3" w14:paraId="652B309C" w14:textId="77777777" w:rsidTr="00EF5D36">
        <w:tc>
          <w:tcPr>
            <w:tcW w:w="3097" w:type="dxa"/>
            <w:vMerge/>
            <w:tcBorders>
              <w:bottom w:val="single" w:sz="4" w:space="0" w:color="auto"/>
            </w:tcBorders>
          </w:tcPr>
          <w:p w14:paraId="064FA32D"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3833B9E8" w14:textId="77777777" w:rsidR="00F945C3" w:rsidRPr="00F945C3" w:rsidRDefault="00F945C3" w:rsidP="00F945C3">
            <w:pPr>
              <w:pStyle w:val="TableText"/>
            </w:pPr>
            <w:r w:rsidRPr="00F945C3">
              <w:t>Herbs and spices</w:t>
            </w:r>
          </w:p>
        </w:tc>
        <w:tc>
          <w:tcPr>
            <w:tcW w:w="3098" w:type="dxa"/>
            <w:tcBorders>
              <w:top w:val="single" w:sz="4" w:space="0" w:color="auto"/>
              <w:bottom w:val="single" w:sz="4" w:space="0" w:color="auto"/>
            </w:tcBorders>
          </w:tcPr>
          <w:p w14:paraId="336FDAD7" w14:textId="77777777" w:rsidR="00F945C3" w:rsidRPr="00F945C3" w:rsidRDefault="00F945C3" w:rsidP="00F945C3">
            <w:pPr>
              <w:pStyle w:val="TableText"/>
            </w:pPr>
            <w:r w:rsidRPr="00F945C3">
              <w:t>None</w:t>
            </w:r>
          </w:p>
        </w:tc>
      </w:tr>
      <w:tr w:rsidR="00F945C3" w:rsidRPr="00B515C3" w14:paraId="1A241838" w14:textId="77777777" w:rsidTr="00EF5D36">
        <w:tc>
          <w:tcPr>
            <w:tcW w:w="3097" w:type="dxa"/>
            <w:vMerge/>
            <w:tcBorders>
              <w:bottom w:val="single" w:sz="4" w:space="0" w:color="auto"/>
            </w:tcBorders>
          </w:tcPr>
          <w:p w14:paraId="44F4CDF4"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E8DD816" w14:textId="77777777" w:rsidR="00F945C3" w:rsidRPr="00F945C3" w:rsidRDefault="00F945C3" w:rsidP="00F945C3">
            <w:pPr>
              <w:pStyle w:val="TableText"/>
            </w:pPr>
            <w:r w:rsidRPr="00F945C3">
              <w:t>Leafy vegetables</w:t>
            </w:r>
          </w:p>
        </w:tc>
        <w:tc>
          <w:tcPr>
            <w:tcW w:w="3098" w:type="dxa"/>
            <w:tcBorders>
              <w:top w:val="single" w:sz="4" w:space="0" w:color="auto"/>
              <w:bottom w:val="single" w:sz="4" w:space="0" w:color="auto"/>
            </w:tcBorders>
          </w:tcPr>
          <w:p w14:paraId="22A7CB04" w14:textId="77777777" w:rsidR="00F945C3" w:rsidRPr="00F945C3" w:rsidRDefault="00F945C3" w:rsidP="00F945C3">
            <w:pPr>
              <w:pStyle w:val="TableText"/>
            </w:pPr>
            <w:r w:rsidRPr="00F945C3">
              <w:t>Lettuce</w:t>
            </w:r>
          </w:p>
        </w:tc>
      </w:tr>
      <w:tr w:rsidR="00F945C3" w:rsidRPr="00B515C3" w14:paraId="7C5BA663" w14:textId="77777777" w:rsidTr="00EF5D36">
        <w:tc>
          <w:tcPr>
            <w:tcW w:w="3097" w:type="dxa"/>
            <w:vMerge/>
            <w:tcBorders>
              <w:bottom w:val="single" w:sz="4" w:space="0" w:color="auto"/>
            </w:tcBorders>
          </w:tcPr>
          <w:p w14:paraId="75C1E5EC"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2A9E76D0" w14:textId="77777777" w:rsidR="00F945C3" w:rsidRPr="00F945C3" w:rsidRDefault="00F945C3" w:rsidP="00F945C3">
            <w:pPr>
              <w:pStyle w:val="TableText"/>
            </w:pPr>
            <w:r w:rsidRPr="00F945C3">
              <w:t>Legume vegetables</w:t>
            </w:r>
          </w:p>
        </w:tc>
        <w:tc>
          <w:tcPr>
            <w:tcW w:w="3098" w:type="dxa"/>
            <w:tcBorders>
              <w:top w:val="single" w:sz="4" w:space="0" w:color="auto"/>
              <w:bottom w:val="single" w:sz="4" w:space="0" w:color="auto"/>
            </w:tcBorders>
          </w:tcPr>
          <w:p w14:paraId="1C40C894" w14:textId="4D6DEB8A" w:rsidR="00F945C3" w:rsidRPr="00F945C3" w:rsidRDefault="00F945C3" w:rsidP="00F945C3">
            <w:pPr>
              <w:pStyle w:val="TableText"/>
            </w:pPr>
            <w:r w:rsidRPr="00F945C3">
              <w:t xml:space="preserve">Peas </w:t>
            </w:r>
            <w:r w:rsidR="00EF5D36">
              <w:t>and</w:t>
            </w:r>
            <w:r w:rsidRPr="00F945C3">
              <w:t xml:space="preserve"> beans</w:t>
            </w:r>
          </w:p>
        </w:tc>
      </w:tr>
      <w:tr w:rsidR="00F945C3" w:rsidRPr="00B515C3" w14:paraId="43B78636" w14:textId="77777777" w:rsidTr="00EF5D36">
        <w:tc>
          <w:tcPr>
            <w:tcW w:w="3097" w:type="dxa"/>
            <w:vMerge w:val="restart"/>
            <w:tcBorders>
              <w:top w:val="single" w:sz="4" w:space="0" w:color="auto"/>
              <w:bottom w:val="single" w:sz="4" w:space="0" w:color="auto"/>
            </w:tcBorders>
          </w:tcPr>
          <w:p w14:paraId="630B0EE3" w14:textId="77777777" w:rsidR="00F945C3" w:rsidRPr="00F945C3" w:rsidRDefault="00F945C3" w:rsidP="00F945C3">
            <w:pPr>
              <w:pStyle w:val="TableText"/>
            </w:pPr>
            <w:r w:rsidRPr="00F945C3">
              <w:t>Sweet potato</w:t>
            </w:r>
          </w:p>
          <w:p w14:paraId="3A46FC19" w14:textId="77777777" w:rsidR="00F945C3" w:rsidRPr="00F945C3" w:rsidRDefault="00F945C3" w:rsidP="00F945C3">
            <w:pPr>
              <w:pStyle w:val="TableText"/>
            </w:pPr>
            <w:r w:rsidRPr="00F945C3">
              <w:t>Asparagus</w:t>
            </w:r>
          </w:p>
        </w:tc>
        <w:tc>
          <w:tcPr>
            <w:tcW w:w="3098" w:type="dxa"/>
            <w:tcBorders>
              <w:top w:val="single" w:sz="4" w:space="0" w:color="auto"/>
              <w:bottom w:val="single" w:sz="4" w:space="0" w:color="auto"/>
            </w:tcBorders>
          </w:tcPr>
          <w:p w14:paraId="5042188F" w14:textId="26421E06" w:rsidR="00F945C3" w:rsidRPr="00F945C3" w:rsidRDefault="00F945C3" w:rsidP="00F945C3">
            <w:pPr>
              <w:pStyle w:val="TableText"/>
            </w:pPr>
            <w:r w:rsidRPr="00F945C3">
              <w:t xml:space="preserve">Root </w:t>
            </w:r>
            <w:r w:rsidR="00EF5D36">
              <w:t>and</w:t>
            </w:r>
            <w:r w:rsidRPr="00F945C3">
              <w:t xml:space="preserve"> tuber vegetables</w:t>
            </w:r>
          </w:p>
        </w:tc>
        <w:tc>
          <w:tcPr>
            <w:tcW w:w="3098" w:type="dxa"/>
            <w:tcBorders>
              <w:top w:val="single" w:sz="4" w:space="0" w:color="auto"/>
              <w:bottom w:val="single" w:sz="4" w:space="0" w:color="auto"/>
            </w:tcBorders>
          </w:tcPr>
          <w:p w14:paraId="12B4F8C0" w14:textId="44560BC3" w:rsidR="00F945C3" w:rsidRPr="00F945C3" w:rsidRDefault="00F945C3" w:rsidP="00F945C3">
            <w:pPr>
              <w:pStyle w:val="TableText"/>
            </w:pPr>
            <w:r w:rsidRPr="00F945C3">
              <w:t xml:space="preserve">Potato, </w:t>
            </w:r>
            <w:r w:rsidR="00EF5D36" w:rsidRPr="00F945C3">
              <w:t>radish, turnip, sugar beet</w:t>
            </w:r>
            <w:r w:rsidR="00EF5D36">
              <w:t xml:space="preserve"> </w:t>
            </w:r>
            <w:r w:rsidR="00EF5D36" w:rsidRPr="00F945C3">
              <w:t>carrot</w:t>
            </w:r>
          </w:p>
        </w:tc>
      </w:tr>
      <w:tr w:rsidR="00F945C3" w:rsidRPr="00B515C3" w14:paraId="2A8A498D" w14:textId="77777777" w:rsidTr="00EF5D36">
        <w:tc>
          <w:tcPr>
            <w:tcW w:w="3097" w:type="dxa"/>
            <w:vMerge/>
            <w:tcBorders>
              <w:bottom w:val="single" w:sz="4" w:space="0" w:color="auto"/>
            </w:tcBorders>
          </w:tcPr>
          <w:p w14:paraId="72A4A2C0"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3104977D" w14:textId="686DA945" w:rsidR="00F945C3" w:rsidRPr="00F945C3" w:rsidRDefault="00F945C3" w:rsidP="00F945C3">
            <w:pPr>
              <w:pStyle w:val="TableText"/>
            </w:pPr>
            <w:r w:rsidRPr="00F945C3">
              <w:t xml:space="preserve">Stem </w:t>
            </w:r>
            <w:r w:rsidR="00EF5D36">
              <w:t>and</w:t>
            </w:r>
            <w:r w:rsidRPr="00F945C3">
              <w:t xml:space="preserve"> stalk vegetables</w:t>
            </w:r>
          </w:p>
        </w:tc>
        <w:tc>
          <w:tcPr>
            <w:tcW w:w="3098" w:type="dxa"/>
            <w:tcBorders>
              <w:top w:val="single" w:sz="4" w:space="0" w:color="auto"/>
              <w:bottom w:val="single" w:sz="4" w:space="0" w:color="auto"/>
            </w:tcBorders>
          </w:tcPr>
          <w:p w14:paraId="18345414" w14:textId="055B4C47" w:rsidR="00F945C3" w:rsidRPr="00F945C3" w:rsidRDefault="00F945C3" w:rsidP="00F945C3">
            <w:pPr>
              <w:pStyle w:val="TableText"/>
            </w:pPr>
            <w:r w:rsidRPr="00F945C3">
              <w:t>Celery</w:t>
            </w:r>
            <w:r w:rsidR="00446FEA">
              <w:t>, asparagus</w:t>
            </w:r>
          </w:p>
        </w:tc>
      </w:tr>
      <w:tr w:rsidR="00F945C3" w:rsidRPr="00B515C3" w14:paraId="7DA49B81" w14:textId="77777777" w:rsidTr="00EF5D36">
        <w:tc>
          <w:tcPr>
            <w:tcW w:w="3097" w:type="dxa"/>
            <w:tcBorders>
              <w:top w:val="single" w:sz="4" w:space="0" w:color="auto"/>
              <w:bottom w:val="single" w:sz="4" w:space="0" w:color="auto"/>
            </w:tcBorders>
          </w:tcPr>
          <w:p w14:paraId="1634683D" w14:textId="3ABEE978" w:rsidR="00F945C3" w:rsidRPr="00F945C3" w:rsidRDefault="00F945C3" w:rsidP="00F945C3">
            <w:pPr>
              <w:pStyle w:val="TableText"/>
            </w:pPr>
            <w:r w:rsidRPr="00F945C3">
              <w:t>Dry peas, dry beans,</w:t>
            </w:r>
            <w:r w:rsidR="00EF5D36">
              <w:t xml:space="preserve"> </w:t>
            </w:r>
            <w:r w:rsidRPr="00F945C3">
              <w:t xml:space="preserve">lentils, chickpeas, </w:t>
            </w:r>
            <w:r w:rsidR="00EF5D36" w:rsidRPr="00F945C3">
              <w:t>faba beans</w:t>
            </w:r>
            <w:r w:rsidRPr="00F945C3">
              <w:t>, lupins, mung beans, pigeon peas, soybean</w:t>
            </w:r>
          </w:p>
        </w:tc>
        <w:tc>
          <w:tcPr>
            <w:tcW w:w="3098" w:type="dxa"/>
            <w:tcBorders>
              <w:top w:val="single" w:sz="4" w:space="0" w:color="auto"/>
              <w:bottom w:val="single" w:sz="4" w:space="0" w:color="auto"/>
            </w:tcBorders>
          </w:tcPr>
          <w:p w14:paraId="738FA09B" w14:textId="77777777" w:rsidR="00F945C3" w:rsidRPr="00F945C3" w:rsidRDefault="00F945C3" w:rsidP="00F945C3">
            <w:pPr>
              <w:pStyle w:val="TableText"/>
            </w:pPr>
            <w:r w:rsidRPr="00F945C3">
              <w:t>Pulses</w:t>
            </w:r>
          </w:p>
        </w:tc>
        <w:tc>
          <w:tcPr>
            <w:tcW w:w="3098" w:type="dxa"/>
            <w:tcBorders>
              <w:top w:val="single" w:sz="4" w:space="0" w:color="auto"/>
              <w:bottom w:val="single" w:sz="4" w:space="0" w:color="auto"/>
            </w:tcBorders>
          </w:tcPr>
          <w:p w14:paraId="68116034" w14:textId="71040F90" w:rsidR="00F945C3" w:rsidRPr="00F945C3" w:rsidRDefault="00F945C3" w:rsidP="00F945C3">
            <w:pPr>
              <w:pStyle w:val="TableText"/>
            </w:pPr>
            <w:r w:rsidRPr="00F945C3">
              <w:t xml:space="preserve">Peas, </w:t>
            </w:r>
            <w:r w:rsidR="00EF5D36" w:rsidRPr="00F945C3">
              <w:t>beans, lentils, field peas, soybeans</w:t>
            </w:r>
          </w:p>
        </w:tc>
      </w:tr>
      <w:tr w:rsidR="00F945C3" w:rsidRPr="00B515C3" w14:paraId="1D787C53" w14:textId="77777777" w:rsidTr="00EF5D36">
        <w:tc>
          <w:tcPr>
            <w:tcW w:w="3097" w:type="dxa"/>
            <w:tcBorders>
              <w:top w:val="single" w:sz="4" w:space="0" w:color="auto"/>
              <w:bottom w:val="single" w:sz="4" w:space="0" w:color="auto"/>
            </w:tcBorders>
          </w:tcPr>
          <w:p w14:paraId="2EEEA44B" w14:textId="77777777" w:rsidR="00F945C3" w:rsidRPr="00F945C3" w:rsidRDefault="00F945C3" w:rsidP="00F945C3">
            <w:pPr>
              <w:pStyle w:val="TableText"/>
            </w:pPr>
            <w:r w:rsidRPr="00F945C3">
              <w:t>Winter cereals</w:t>
            </w:r>
          </w:p>
        </w:tc>
        <w:tc>
          <w:tcPr>
            <w:tcW w:w="3098" w:type="dxa"/>
            <w:vMerge w:val="restart"/>
            <w:tcBorders>
              <w:top w:val="single" w:sz="4" w:space="0" w:color="auto"/>
              <w:bottom w:val="single" w:sz="4" w:space="0" w:color="auto"/>
            </w:tcBorders>
          </w:tcPr>
          <w:p w14:paraId="1421919D" w14:textId="77777777" w:rsidR="00F945C3" w:rsidRPr="00F945C3" w:rsidRDefault="00F945C3" w:rsidP="00F945C3">
            <w:pPr>
              <w:pStyle w:val="TableText"/>
            </w:pPr>
            <w:r w:rsidRPr="00F945C3">
              <w:t>Cereal grains</w:t>
            </w:r>
          </w:p>
        </w:tc>
        <w:tc>
          <w:tcPr>
            <w:tcW w:w="3098" w:type="dxa"/>
            <w:tcBorders>
              <w:top w:val="single" w:sz="4" w:space="0" w:color="auto"/>
              <w:bottom w:val="single" w:sz="4" w:space="0" w:color="auto"/>
            </w:tcBorders>
          </w:tcPr>
          <w:p w14:paraId="66DBE8A2" w14:textId="048F28D8" w:rsidR="00F945C3" w:rsidRPr="00F945C3" w:rsidRDefault="00F945C3" w:rsidP="00F945C3">
            <w:pPr>
              <w:pStyle w:val="TableText"/>
            </w:pPr>
            <w:r w:rsidRPr="00F945C3">
              <w:t xml:space="preserve">Wheat, </w:t>
            </w:r>
            <w:r w:rsidR="00EF5D36" w:rsidRPr="00F945C3">
              <w:t>barley, oats</w:t>
            </w:r>
          </w:p>
        </w:tc>
      </w:tr>
      <w:tr w:rsidR="00F945C3" w:rsidRPr="00B515C3" w14:paraId="70FD68E0" w14:textId="77777777" w:rsidTr="00EF5D36">
        <w:tc>
          <w:tcPr>
            <w:tcW w:w="3097" w:type="dxa"/>
            <w:tcBorders>
              <w:top w:val="single" w:sz="4" w:space="0" w:color="auto"/>
              <w:bottom w:val="single" w:sz="4" w:space="0" w:color="auto"/>
            </w:tcBorders>
          </w:tcPr>
          <w:p w14:paraId="32463E17" w14:textId="77777777" w:rsidR="00F945C3" w:rsidRPr="00F945C3" w:rsidRDefault="00F945C3" w:rsidP="00F945C3">
            <w:pPr>
              <w:pStyle w:val="TableText"/>
            </w:pPr>
            <w:r w:rsidRPr="00F945C3">
              <w:t>Maize</w:t>
            </w:r>
          </w:p>
        </w:tc>
        <w:tc>
          <w:tcPr>
            <w:tcW w:w="3098" w:type="dxa"/>
            <w:vMerge/>
            <w:tcBorders>
              <w:bottom w:val="single" w:sz="4" w:space="0" w:color="auto"/>
            </w:tcBorders>
          </w:tcPr>
          <w:p w14:paraId="4BC8CC33"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14EA42E" w14:textId="77777777" w:rsidR="00F945C3" w:rsidRPr="00F945C3" w:rsidRDefault="00F945C3" w:rsidP="00F945C3">
            <w:pPr>
              <w:pStyle w:val="TableText"/>
            </w:pPr>
            <w:r w:rsidRPr="00F945C3">
              <w:t>Maize</w:t>
            </w:r>
          </w:p>
        </w:tc>
      </w:tr>
      <w:tr w:rsidR="00F945C3" w:rsidRPr="00B515C3" w14:paraId="4448DCDE" w14:textId="77777777" w:rsidTr="00EF5D36">
        <w:tc>
          <w:tcPr>
            <w:tcW w:w="3097" w:type="dxa"/>
            <w:tcBorders>
              <w:top w:val="single" w:sz="4" w:space="0" w:color="auto"/>
              <w:bottom w:val="single" w:sz="4" w:space="0" w:color="auto"/>
            </w:tcBorders>
          </w:tcPr>
          <w:p w14:paraId="44AD566E" w14:textId="77777777" w:rsidR="00F945C3" w:rsidRPr="00F945C3" w:rsidRDefault="00F945C3" w:rsidP="00F945C3">
            <w:pPr>
              <w:pStyle w:val="TableText"/>
            </w:pPr>
            <w:r w:rsidRPr="00F945C3">
              <w:t>Sorghum</w:t>
            </w:r>
          </w:p>
        </w:tc>
        <w:tc>
          <w:tcPr>
            <w:tcW w:w="3098" w:type="dxa"/>
            <w:vMerge/>
            <w:tcBorders>
              <w:bottom w:val="single" w:sz="4" w:space="0" w:color="auto"/>
            </w:tcBorders>
          </w:tcPr>
          <w:p w14:paraId="48D999F2"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5EF3A68A" w14:textId="77777777" w:rsidR="00F945C3" w:rsidRPr="00F945C3" w:rsidRDefault="00F945C3" w:rsidP="00F945C3">
            <w:pPr>
              <w:pStyle w:val="TableText"/>
            </w:pPr>
            <w:r w:rsidRPr="00F945C3">
              <w:t>Sorghum</w:t>
            </w:r>
          </w:p>
        </w:tc>
      </w:tr>
      <w:tr w:rsidR="00F945C3" w:rsidRPr="00B515C3" w14:paraId="234F93EF" w14:textId="77777777" w:rsidTr="00EF5D36">
        <w:tc>
          <w:tcPr>
            <w:tcW w:w="3097" w:type="dxa"/>
            <w:tcBorders>
              <w:top w:val="single" w:sz="4" w:space="0" w:color="auto"/>
              <w:bottom w:val="single" w:sz="4" w:space="0" w:color="auto"/>
            </w:tcBorders>
          </w:tcPr>
          <w:p w14:paraId="3A4DF73B" w14:textId="77777777" w:rsidR="00F945C3" w:rsidRPr="00F945C3" w:rsidRDefault="00F945C3" w:rsidP="00F945C3">
            <w:pPr>
              <w:pStyle w:val="TableText"/>
            </w:pPr>
            <w:r w:rsidRPr="00F945C3">
              <w:t>Rice</w:t>
            </w:r>
          </w:p>
        </w:tc>
        <w:tc>
          <w:tcPr>
            <w:tcW w:w="3098" w:type="dxa"/>
            <w:vMerge/>
            <w:tcBorders>
              <w:bottom w:val="single" w:sz="4" w:space="0" w:color="auto"/>
            </w:tcBorders>
          </w:tcPr>
          <w:p w14:paraId="5C127051"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4A6BC41E" w14:textId="77777777" w:rsidR="00F945C3" w:rsidRPr="00F945C3" w:rsidRDefault="00F945C3" w:rsidP="00F945C3">
            <w:pPr>
              <w:pStyle w:val="TableText"/>
            </w:pPr>
            <w:r w:rsidRPr="00F945C3">
              <w:t>Rice</w:t>
            </w:r>
          </w:p>
        </w:tc>
      </w:tr>
      <w:tr w:rsidR="00F945C3" w:rsidRPr="00B515C3" w14:paraId="2057036D" w14:textId="77777777" w:rsidTr="00EF5D36">
        <w:tc>
          <w:tcPr>
            <w:tcW w:w="3097" w:type="dxa"/>
            <w:tcBorders>
              <w:top w:val="single" w:sz="4" w:space="0" w:color="auto"/>
              <w:bottom w:val="single" w:sz="4" w:space="0" w:color="auto"/>
            </w:tcBorders>
          </w:tcPr>
          <w:p w14:paraId="3EEAF3EB" w14:textId="77777777" w:rsidR="00F945C3" w:rsidRPr="00F945C3" w:rsidRDefault="00F945C3" w:rsidP="00F945C3">
            <w:pPr>
              <w:pStyle w:val="TableText"/>
            </w:pPr>
            <w:r w:rsidRPr="00F945C3">
              <w:t>Sugarcane</w:t>
            </w:r>
          </w:p>
        </w:tc>
        <w:tc>
          <w:tcPr>
            <w:tcW w:w="3098" w:type="dxa"/>
            <w:tcBorders>
              <w:top w:val="single" w:sz="4" w:space="0" w:color="auto"/>
              <w:bottom w:val="single" w:sz="4" w:space="0" w:color="auto"/>
            </w:tcBorders>
          </w:tcPr>
          <w:p w14:paraId="569C4BC5" w14:textId="77777777" w:rsidR="00F945C3" w:rsidRPr="00F945C3" w:rsidRDefault="00F945C3" w:rsidP="00F945C3">
            <w:pPr>
              <w:pStyle w:val="TableText"/>
            </w:pPr>
            <w:r w:rsidRPr="00F945C3">
              <w:t>Sugarcane</w:t>
            </w:r>
          </w:p>
        </w:tc>
        <w:tc>
          <w:tcPr>
            <w:tcW w:w="3098" w:type="dxa"/>
            <w:tcBorders>
              <w:top w:val="single" w:sz="4" w:space="0" w:color="auto"/>
              <w:bottom w:val="single" w:sz="4" w:space="0" w:color="auto"/>
            </w:tcBorders>
          </w:tcPr>
          <w:p w14:paraId="4513B6C2" w14:textId="77777777" w:rsidR="00F945C3" w:rsidRPr="00F945C3" w:rsidRDefault="00F945C3" w:rsidP="00F945C3">
            <w:pPr>
              <w:pStyle w:val="TableText"/>
            </w:pPr>
            <w:r w:rsidRPr="00F945C3">
              <w:t>Sugarcane juice</w:t>
            </w:r>
          </w:p>
        </w:tc>
      </w:tr>
      <w:tr w:rsidR="00F945C3" w:rsidRPr="00B515C3" w14:paraId="355CEBE1" w14:textId="77777777" w:rsidTr="00EF5D36">
        <w:tc>
          <w:tcPr>
            <w:tcW w:w="3097" w:type="dxa"/>
            <w:tcBorders>
              <w:top w:val="single" w:sz="4" w:space="0" w:color="auto"/>
              <w:bottom w:val="single" w:sz="4" w:space="0" w:color="auto"/>
            </w:tcBorders>
          </w:tcPr>
          <w:p w14:paraId="60C7F1DC" w14:textId="77777777" w:rsidR="00EF5D36" w:rsidRDefault="00F945C3" w:rsidP="00F945C3">
            <w:pPr>
              <w:pStyle w:val="TableText"/>
            </w:pPr>
            <w:r w:rsidRPr="00F945C3">
              <w:t>Linseed</w:t>
            </w:r>
          </w:p>
          <w:p w14:paraId="3460A65C" w14:textId="77777777" w:rsidR="00EF5D36" w:rsidRDefault="00F945C3" w:rsidP="00F945C3">
            <w:pPr>
              <w:pStyle w:val="TableText"/>
            </w:pPr>
            <w:r w:rsidRPr="00F945C3">
              <w:t>Poppies</w:t>
            </w:r>
          </w:p>
          <w:p w14:paraId="3E4DE4D0" w14:textId="77777777" w:rsidR="00EF5D36" w:rsidRDefault="00F945C3" w:rsidP="00F945C3">
            <w:pPr>
              <w:pStyle w:val="TableText"/>
            </w:pPr>
            <w:r w:rsidRPr="00F945C3">
              <w:t>Canola</w:t>
            </w:r>
          </w:p>
          <w:p w14:paraId="452B22FF" w14:textId="39CE66E3" w:rsidR="00F945C3" w:rsidRPr="00F945C3" w:rsidRDefault="00F945C3" w:rsidP="00F945C3">
            <w:pPr>
              <w:pStyle w:val="TableText"/>
            </w:pPr>
            <w:r w:rsidRPr="00F945C3">
              <w:t>Sunflower</w:t>
            </w:r>
          </w:p>
        </w:tc>
        <w:tc>
          <w:tcPr>
            <w:tcW w:w="3098" w:type="dxa"/>
            <w:tcBorders>
              <w:top w:val="single" w:sz="4" w:space="0" w:color="auto"/>
              <w:bottom w:val="single" w:sz="4" w:space="0" w:color="auto"/>
            </w:tcBorders>
          </w:tcPr>
          <w:p w14:paraId="22EA6588" w14:textId="77777777" w:rsidR="00F945C3" w:rsidRPr="00F945C3" w:rsidRDefault="00F945C3" w:rsidP="00F945C3">
            <w:pPr>
              <w:pStyle w:val="TableText"/>
            </w:pPr>
            <w:r w:rsidRPr="00F945C3">
              <w:t>Oilseeds</w:t>
            </w:r>
          </w:p>
        </w:tc>
        <w:tc>
          <w:tcPr>
            <w:tcW w:w="3098" w:type="dxa"/>
            <w:tcBorders>
              <w:top w:val="single" w:sz="4" w:space="0" w:color="auto"/>
              <w:bottom w:val="single" w:sz="4" w:space="0" w:color="auto"/>
            </w:tcBorders>
          </w:tcPr>
          <w:p w14:paraId="1545E488" w14:textId="681ADE92" w:rsidR="00F945C3" w:rsidRPr="00F945C3" w:rsidRDefault="00F945C3" w:rsidP="00F945C3">
            <w:pPr>
              <w:pStyle w:val="TableText"/>
            </w:pPr>
            <w:r w:rsidRPr="00F945C3">
              <w:t xml:space="preserve">Cotton, </w:t>
            </w:r>
            <w:r w:rsidR="00EF5D36" w:rsidRPr="00F945C3">
              <w:t>linseed, peanuts, sesame,</w:t>
            </w:r>
            <w:r w:rsidR="00EF5D36">
              <w:t xml:space="preserve"> </w:t>
            </w:r>
            <w:r w:rsidR="00EF5D36" w:rsidRPr="00F945C3">
              <w:t>sunflower, rapeseed, poppies</w:t>
            </w:r>
          </w:p>
        </w:tc>
      </w:tr>
      <w:tr w:rsidR="00F945C3" w:rsidRPr="00B515C3" w14:paraId="594303F7" w14:textId="77777777" w:rsidTr="00EF5D36">
        <w:tc>
          <w:tcPr>
            <w:tcW w:w="3097" w:type="dxa"/>
            <w:tcBorders>
              <w:top w:val="single" w:sz="4" w:space="0" w:color="auto"/>
              <w:bottom w:val="single" w:sz="4" w:space="0" w:color="auto"/>
            </w:tcBorders>
          </w:tcPr>
          <w:p w14:paraId="48D1F29A" w14:textId="77777777" w:rsidR="00F945C3" w:rsidRPr="00F945C3" w:rsidRDefault="00F945C3" w:rsidP="00F945C3">
            <w:pPr>
              <w:pStyle w:val="TableText"/>
            </w:pPr>
            <w:r w:rsidRPr="00F945C3">
              <w:t>Hops</w:t>
            </w:r>
          </w:p>
        </w:tc>
        <w:tc>
          <w:tcPr>
            <w:tcW w:w="3098" w:type="dxa"/>
            <w:tcBorders>
              <w:top w:val="single" w:sz="4" w:space="0" w:color="auto"/>
              <w:bottom w:val="single" w:sz="4" w:space="0" w:color="auto"/>
            </w:tcBorders>
          </w:tcPr>
          <w:p w14:paraId="3954CBF2" w14:textId="77777777" w:rsidR="00F945C3" w:rsidRPr="00F945C3" w:rsidRDefault="00F945C3" w:rsidP="00F945C3">
            <w:pPr>
              <w:pStyle w:val="TableText"/>
            </w:pPr>
            <w:r w:rsidRPr="00F945C3">
              <w:t>Hops</w:t>
            </w:r>
          </w:p>
        </w:tc>
        <w:tc>
          <w:tcPr>
            <w:tcW w:w="3098" w:type="dxa"/>
            <w:tcBorders>
              <w:top w:val="single" w:sz="4" w:space="0" w:color="auto"/>
              <w:bottom w:val="single" w:sz="4" w:space="0" w:color="auto"/>
            </w:tcBorders>
          </w:tcPr>
          <w:p w14:paraId="0520E021" w14:textId="77777777" w:rsidR="00F945C3" w:rsidRPr="00F945C3" w:rsidRDefault="00F945C3" w:rsidP="00F945C3">
            <w:pPr>
              <w:pStyle w:val="TableText"/>
            </w:pPr>
            <w:r w:rsidRPr="00F945C3">
              <w:t>Hops</w:t>
            </w:r>
          </w:p>
        </w:tc>
      </w:tr>
      <w:tr w:rsidR="00F945C3" w:rsidRPr="00B515C3" w14:paraId="6C9697EF" w14:textId="77777777" w:rsidTr="00EF5D36">
        <w:tc>
          <w:tcPr>
            <w:tcW w:w="3097" w:type="dxa"/>
            <w:tcBorders>
              <w:top w:val="single" w:sz="4" w:space="0" w:color="auto"/>
              <w:bottom w:val="single" w:sz="4" w:space="0" w:color="auto"/>
            </w:tcBorders>
          </w:tcPr>
          <w:p w14:paraId="7AFBFA7C" w14:textId="77777777" w:rsidR="00F945C3" w:rsidRPr="00F945C3" w:rsidRDefault="00F945C3" w:rsidP="00F945C3">
            <w:pPr>
              <w:pStyle w:val="TableText"/>
            </w:pPr>
            <w:r w:rsidRPr="00F945C3">
              <w:t>Crop establishment</w:t>
            </w:r>
          </w:p>
        </w:tc>
        <w:tc>
          <w:tcPr>
            <w:tcW w:w="3098" w:type="dxa"/>
            <w:tcBorders>
              <w:top w:val="single" w:sz="4" w:space="0" w:color="auto"/>
              <w:bottom w:val="single" w:sz="4" w:space="0" w:color="auto"/>
            </w:tcBorders>
          </w:tcPr>
          <w:p w14:paraId="71426DB2" w14:textId="77777777" w:rsidR="00EF5D36" w:rsidRDefault="00F945C3" w:rsidP="00F945C3">
            <w:pPr>
              <w:pStyle w:val="TableText"/>
            </w:pPr>
            <w:r w:rsidRPr="00F945C3">
              <w:t>Pulses</w:t>
            </w:r>
          </w:p>
          <w:p w14:paraId="0637E0A4" w14:textId="77777777" w:rsidR="00EF5D36" w:rsidRDefault="00F945C3" w:rsidP="00F945C3">
            <w:pPr>
              <w:pStyle w:val="TableText"/>
            </w:pPr>
            <w:r w:rsidRPr="00F945C3">
              <w:t>Cereal grains</w:t>
            </w:r>
          </w:p>
          <w:p w14:paraId="2FC56C7F" w14:textId="22287C5E" w:rsidR="00F945C3" w:rsidRPr="00F945C3" w:rsidRDefault="00F945C3" w:rsidP="00F945C3">
            <w:pPr>
              <w:pStyle w:val="TableText"/>
            </w:pPr>
            <w:r w:rsidRPr="00F945C3">
              <w:t>Oilseeds</w:t>
            </w:r>
          </w:p>
          <w:p w14:paraId="43E00AF2" w14:textId="77777777" w:rsidR="00F945C3" w:rsidRPr="00F945C3" w:rsidRDefault="00F945C3" w:rsidP="00F945C3">
            <w:pPr>
              <w:pStyle w:val="TableText"/>
            </w:pPr>
            <w:r w:rsidRPr="00F945C3">
              <w:t>Pasture</w:t>
            </w:r>
          </w:p>
        </w:tc>
        <w:tc>
          <w:tcPr>
            <w:tcW w:w="3098" w:type="dxa"/>
            <w:tcBorders>
              <w:top w:val="single" w:sz="4" w:space="0" w:color="auto"/>
              <w:bottom w:val="single" w:sz="4" w:space="0" w:color="auto"/>
            </w:tcBorders>
          </w:tcPr>
          <w:p w14:paraId="0510B258" w14:textId="77777777" w:rsidR="00F945C3" w:rsidRPr="00F945C3" w:rsidRDefault="00F945C3" w:rsidP="00F945C3">
            <w:pPr>
              <w:pStyle w:val="TableText"/>
            </w:pPr>
            <w:r w:rsidRPr="00F945C3">
              <w:t>See above</w:t>
            </w:r>
          </w:p>
        </w:tc>
      </w:tr>
      <w:tr w:rsidR="00F945C3" w:rsidRPr="00B515C3" w14:paraId="6DE94235" w14:textId="77777777" w:rsidTr="00EF5D36">
        <w:tc>
          <w:tcPr>
            <w:tcW w:w="3097" w:type="dxa"/>
            <w:tcBorders>
              <w:top w:val="single" w:sz="4" w:space="0" w:color="auto"/>
              <w:bottom w:val="single" w:sz="4" w:space="0" w:color="auto"/>
            </w:tcBorders>
          </w:tcPr>
          <w:p w14:paraId="03A57C3A" w14:textId="77777777" w:rsidR="00EF5D36" w:rsidRDefault="00F945C3" w:rsidP="00F945C3">
            <w:pPr>
              <w:pStyle w:val="TableText"/>
            </w:pPr>
            <w:r w:rsidRPr="00F945C3">
              <w:t>Lucerne</w:t>
            </w:r>
          </w:p>
          <w:p w14:paraId="71EE4818" w14:textId="2CA0B6FA" w:rsidR="00EF5D36" w:rsidRDefault="00F945C3" w:rsidP="00F945C3">
            <w:pPr>
              <w:pStyle w:val="TableText"/>
            </w:pPr>
            <w:r w:rsidRPr="00F945C3">
              <w:t xml:space="preserve">Pasture (grass </w:t>
            </w:r>
            <w:r w:rsidR="00EF5D36">
              <w:t>and</w:t>
            </w:r>
            <w:r w:rsidRPr="00F945C3">
              <w:t xml:space="preserve"> mixed)</w:t>
            </w:r>
          </w:p>
          <w:p w14:paraId="684F8DFA" w14:textId="296DBCBC" w:rsidR="00F945C3" w:rsidRPr="00F945C3" w:rsidRDefault="00F945C3" w:rsidP="00F945C3">
            <w:pPr>
              <w:pStyle w:val="TableText"/>
            </w:pPr>
            <w:r w:rsidRPr="00F945C3">
              <w:t>Legume seed crops</w:t>
            </w:r>
          </w:p>
        </w:tc>
        <w:tc>
          <w:tcPr>
            <w:tcW w:w="3098" w:type="dxa"/>
            <w:tcBorders>
              <w:top w:val="single" w:sz="4" w:space="0" w:color="auto"/>
              <w:bottom w:val="single" w:sz="4" w:space="0" w:color="auto"/>
            </w:tcBorders>
          </w:tcPr>
          <w:p w14:paraId="4F06AE39" w14:textId="77777777" w:rsidR="00F945C3" w:rsidRPr="00F945C3" w:rsidRDefault="00F945C3" w:rsidP="00F945C3">
            <w:pPr>
              <w:pStyle w:val="TableText"/>
            </w:pPr>
            <w:r w:rsidRPr="00F945C3">
              <w:t>Pasture</w:t>
            </w:r>
          </w:p>
        </w:tc>
        <w:tc>
          <w:tcPr>
            <w:tcW w:w="3098" w:type="dxa"/>
            <w:tcBorders>
              <w:top w:val="single" w:sz="4" w:space="0" w:color="auto"/>
              <w:bottom w:val="single" w:sz="4" w:space="0" w:color="auto"/>
            </w:tcBorders>
          </w:tcPr>
          <w:p w14:paraId="4E56AAF4" w14:textId="3A4F2F34" w:rsidR="00F945C3" w:rsidRPr="00F945C3" w:rsidRDefault="00F945C3" w:rsidP="00F945C3">
            <w:pPr>
              <w:pStyle w:val="TableText"/>
            </w:pPr>
            <w:r w:rsidRPr="00F945C3">
              <w:t xml:space="preserve">Lucerne, </w:t>
            </w:r>
            <w:r w:rsidR="00EF5D36" w:rsidRPr="00F945C3">
              <w:t>clover, grass</w:t>
            </w:r>
            <w:r w:rsidR="00EF5D36">
              <w:t xml:space="preserve">, </w:t>
            </w:r>
            <w:r w:rsidR="00EF5D36" w:rsidRPr="00F945C3">
              <w:t xml:space="preserve">forage </w:t>
            </w:r>
            <w:r w:rsidR="00EF5D36">
              <w:t>and</w:t>
            </w:r>
            <w:r w:rsidR="00EF5D36" w:rsidRPr="00F945C3">
              <w:t xml:space="preserve"> fodder of peas, beans, pulses and soybeans</w:t>
            </w:r>
            <w:r w:rsidR="00EF5D36">
              <w:t xml:space="preserve">, </w:t>
            </w:r>
            <w:r w:rsidR="00EF5D36" w:rsidRPr="00F945C3">
              <w:t xml:space="preserve">fodder </w:t>
            </w:r>
            <w:r w:rsidR="00EF5D36">
              <w:t>and</w:t>
            </w:r>
            <w:r w:rsidR="00EF5D36" w:rsidRPr="00F945C3">
              <w:t xml:space="preserve"> forage of cereals</w:t>
            </w:r>
          </w:p>
        </w:tc>
      </w:tr>
    </w:tbl>
    <w:p w14:paraId="283A8D5B" w14:textId="77777777" w:rsidR="00F945C3" w:rsidRPr="00D433AA" w:rsidRDefault="00F945C3" w:rsidP="0026666F">
      <w:pPr>
        <w:pStyle w:val="Heading3"/>
      </w:pPr>
      <w:bookmarkStart w:id="188" w:name="_Toc158208444"/>
      <w:bookmarkStart w:id="189" w:name="_Toc233038968"/>
      <w:r>
        <w:lastRenderedPageBreak/>
        <w:t>Fruit crops</w:t>
      </w:r>
      <w:bookmarkEnd w:id="188"/>
      <w:bookmarkEnd w:id="189"/>
    </w:p>
    <w:p w14:paraId="2B7D2622" w14:textId="6A365AB1" w:rsidR="00C43A9B" w:rsidRDefault="00C43A9B" w:rsidP="00BF6587">
      <w:pPr>
        <w:pStyle w:val="NormalText"/>
      </w:pPr>
      <w:r>
        <w:t xml:space="preserve">The current MRL for fruit crops, listed as ‘Fruits’ </w:t>
      </w:r>
      <w:r w:rsidRPr="006B433C">
        <w:t>is</w:t>
      </w:r>
      <w:r>
        <w:t xml:space="preserve"> LOQ (</w:t>
      </w:r>
      <w:r w:rsidRPr="006B433C">
        <w:t>*0.05 mg/kg</w:t>
      </w:r>
      <w:r>
        <w:t>) includes all fruits on the labels from orchards (including bananas and vineyards), market gardens and row crops, and tropical fruits (avocado, custard apple, litchi and mango). In this assessment, separate MRLs for each of the codex groupings of fruits are proposed.</w:t>
      </w:r>
    </w:p>
    <w:p w14:paraId="01A39CB6" w14:textId="3BEEE7D7" w:rsidR="00F945C3" w:rsidRPr="00BF6587" w:rsidRDefault="00F945C3" w:rsidP="00BF6587">
      <w:pPr>
        <w:pStyle w:val="NormalText"/>
      </w:pPr>
      <w:r w:rsidRPr="00BF6587">
        <w:t xml:space="preserve">The following crops will be considered against the </w:t>
      </w:r>
      <w:r w:rsidR="00621D3B">
        <w:t xml:space="preserve">current label use pattern for </w:t>
      </w:r>
      <w:r w:rsidRPr="00BF6587">
        <w:t xml:space="preserve">orchards </w:t>
      </w:r>
      <w:r w:rsidR="00EF5D36">
        <w:t>and</w:t>
      </w:r>
      <w:r w:rsidRPr="00BF6587">
        <w:t xml:space="preserve"> vineyards (including bananas) claims:</w:t>
      </w:r>
      <w:r w:rsidR="00C43A9B">
        <w:t xml:space="preserve"> </w:t>
      </w:r>
      <w:r w:rsidR="00C43A9B" w:rsidRPr="00BF6587">
        <w:t>grapes, citrus, pome fruit, stone fruit, tree nuts, tropical fruit (edible peel), tropical fruit (inedible peel, except pineapple)</w:t>
      </w:r>
      <w:r w:rsidR="00C43A9B">
        <w:t xml:space="preserve">. </w:t>
      </w:r>
      <w:r w:rsidRPr="00BF6587">
        <w:t>Berries (other than grapes) and pineapples will be considered against the current label claim for row crops.</w:t>
      </w:r>
    </w:p>
    <w:p w14:paraId="5C49AC08" w14:textId="77777777" w:rsidR="00F945C3" w:rsidRPr="00B37290" w:rsidRDefault="00F945C3" w:rsidP="0026666F">
      <w:pPr>
        <w:pStyle w:val="Heading4"/>
      </w:pPr>
      <w:r>
        <w:t>Pome fruit</w:t>
      </w:r>
    </w:p>
    <w:p w14:paraId="53E8418A" w14:textId="75905A16" w:rsidR="00F945C3" w:rsidRDefault="00F945C3" w:rsidP="00F945C3">
      <w:pPr>
        <w:pStyle w:val="NormalText"/>
      </w:pPr>
      <w:bookmarkStart w:id="190" w:name="_Hlk156677546"/>
      <w:r>
        <w:t>The available diquat residue trials on pome fruit (apples) are summarised below.</w:t>
      </w:r>
      <w:bookmarkEnd w:id="190"/>
      <w:r w:rsidR="00BF6587">
        <w:t xml:space="preserve"> </w:t>
      </w:r>
      <w:r>
        <w:t xml:space="preserve">The maximum Australian use </w:t>
      </w:r>
      <w:r w:rsidR="00D605AA">
        <w:t xml:space="preserve">rate </w:t>
      </w:r>
      <w:r>
        <w:t xml:space="preserve">involves application around the base of trees at a rate of 0.368 kg </w:t>
      </w:r>
      <w:r w:rsidR="00572A0C">
        <w:t>ac/ha</w:t>
      </w:r>
      <w:r>
        <w:t>. Overseas trials were carried out using rates of 1.0</w:t>
      </w:r>
      <w:r w:rsidR="00EF5D36">
        <w:t>–</w:t>
      </w:r>
      <w:r>
        <w:t xml:space="preserve">11.2 kg </w:t>
      </w:r>
      <w:r w:rsidR="00572A0C">
        <w:t>ac/ha</w:t>
      </w:r>
      <w:r>
        <w:t>, including one trial with 4.48 kg diquat dichloride/ha</w:t>
      </w:r>
      <w:r w:rsidR="00A17E54">
        <w:t xml:space="preserve"> (Calderbank and Yuan</w:t>
      </w:r>
      <w:r w:rsidR="00E774B5">
        <w:t>,</w:t>
      </w:r>
      <w:r w:rsidR="00A17E54">
        <w:t xml:space="preserve"> 1963; Anon</w:t>
      </w:r>
      <w:r w:rsidR="00E774B5">
        <w:t>,</w:t>
      </w:r>
      <w:r w:rsidR="00A17E54">
        <w:t xml:space="preserve"> 1987)</w:t>
      </w:r>
      <w:r>
        <w:t xml:space="preserve">. Single applications were made as sprays around the base of the tree, and in one trial applications were made directly to the bark of the tree in contravention of the current label instructions. Apples were harvested between 72 and 112 days after the application. In only one trial, at the rate of 6.7 kg </w:t>
      </w:r>
      <w:r w:rsidR="00572A0C">
        <w:t>ac/ha</w:t>
      </w:r>
      <w:r>
        <w:t>, were low finite residues (0.015</w:t>
      </w:r>
      <w:r w:rsidR="00EF5D36">
        <w:t> </w:t>
      </w:r>
      <w:r>
        <w:t>mg/kg) were detected in apples. In all other trials, residues were &lt;LOQ. The LOQ was 0.01 mg/kg in all apple trials except for one which had a LOQ of 0.05 mg/kg. This data demonstrates that residues above the LOQ of 0.01</w:t>
      </w:r>
      <w:r w:rsidR="00EF5D36">
        <w:t> </w:t>
      </w:r>
      <w:r>
        <w:t xml:space="preserve">mg/kg should not occur in apples as a result of the current label use (0.368 kg </w:t>
      </w:r>
      <w:r w:rsidR="00572A0C">
        <w:t>ac/ha</w:t>
      </w:r>
      <w:r>
        <w:t>).</w:t>
      </w:r>
    </w:p>
    <w:p w14:paraId="48691A23" w14:textId="0440F533" w:rsidR="00F945C3" w:rsidRDefault="00F945C3" w:rsidP="00F945C3">
      <w:pPr>
        <w:pStyle w:val="NormalText"/>
      </w:pPr>
      <w:r>
        <w:t>The available diquat residues data supports continued use in pome fruit orchards. The recommended entry into the MRL Standard for pome fruit is:</w:t>
      </w:r>
    </w:p>
    <w:p w14:paraId="031C96C5" w14:textId="37BDE7A5" w:rsidR="00F945C3" w:rsidRPr="00D605AA" w:rsidRDefault="00F945C3" w:rsidP="00892B40">
      <w:pPr>
        <w:pStyle w:val="Bullet1"/>
      </w:pPr>
      <w:r w:rsidRPr="00D605AA">
        <w:tab/>
        <w:t>FP 0009</w:t>
      </w:r>
      <w:r w:rsidR="00892B40">
        <w:tab/>
      </w:r>
      <w:r w:rsidRPr="00D605AA">
        <w:t>Pome fruits</w:t>
      </w:r>
      <w:r w:rsidRPr="00D605AA">
        <w:tab/>
      </w:r>
      <w:r w:rsidRPr="00D605AA">
        <w:tab/>
      </w:r>
      <w:r w:rsidR="00C43A9B">
        <w:tab/>
      </w:r>
      <w:r w:rsidR="00C43A9B">
        <w:tab/>
      </w:r>
      <w:r w:rsidR="00C43A9B">
        <w:tab/>
      </w:r>
      <w:r w:rsidR="00C43A9B">
        <w:tab/>
      </w:r>
      <w:r w:rsidR="00C43A9B">
        <w:tab/>
      </w:r>
      <w:r w:rsidR="00C43A9B">
        <w:tab/>
      </w:r>
      <w:r w:rsidRPr="00D605AA">
        <w:t>*0.01 mg/kg</w:t>
      </w:r>
    </w:p>
    <w:p w14:paraId="364F988C" w14:textId="77777777" w:rsidR="00F945C3" w:rsidRPr="00D605AA" w:rsidRDefault="00F945C3" w:rsidP="00D605AA">
      <w:pPr>
        <w:pStyle w:val="NormalText"/>
      </w:pPr>
      <w:r w:rsidRPr="00D605AA">
        <w:t>As the use is directed to weeds and not the trees, a harvest withholding period statement of ‘Not Required when used as directed’ is supported for pome fruit.</w:t>
      </w:r>
    </w:p>
    <w:p w14:paraId="737287F5" w14:textId="77777777" w:rsidR="00F945C3" w:rsidRPr="00FD56EC" w:rsidRDefault="00F945C3" w:rsidP="0026666F">
      <w:pPr>
        <w:pStyle w:val="Heading4"/>
      </w:pPr>
      <w:r>
        <w:t>Stone fruit</w:t>
      </w:r>
    </w:p>
    <w:p w14:paraId="23D16431" w14:textId="2DFB2A40" w:rsidR="00F945C3" w:rsidRDefault="00F945C3" w:rsidP="00F945C3">
      <w:pPr>
        <w:pStyle w:val="NormalText"/>
      </w:pPr>
      <w:r>
        <w:t>The available diquat residue trials on stone fruit (peaches) are summarised below.</w:t>
      </w:r>
      <w:r w:rsidR="00D605AA">
        <w:t xml:space="preserve"> </w:t>
      </w:r>
      <w:r>
        <w:t xml:space="preserve">The maximum Australian use </w:t>
      </w:r>
      <w:r w:rsidR="00D605AA">
        <w:t xml:space="preserve">rate </w:t>
      </w:r>
      <w:r>
        <w:t xml:space="preserve">involves application around the base of trees at a rate of 0.368 kg </w:t>
      </w:r>
      <w:r w:rsidR="00572A0C">
        <w:t>ac/ha</w:t>
      </w:r>
      <w:r>
        <w:t xml:space="preserve">. No detectable residues were found in peach flesh harvested 28 or 52 days after </w:t>
      </w:r>
      <w:r w:rsidR="00892B40">
        <w:t>5</w:t>
      </w:r>
      <w:r>
        <w:t xml:space="preserve"> applications at rates of 0.39 to 0.9 kg </w:t>
      </w:r>
      <w:r w:rsidR="00572A0C">
        <w:t>ac/ha</w:t>
      </w:r>
      <w:r>
        <w:t xml:space="preserve"> in </w:t>
      </w:r>
      <w:r w:rsidR="00892B40">
        <w:t>2</w:t>
      </w:r>
      <w:r>
        <w:t xml:space="preserve"> overseas trials</w:t>
      </w:r>
      <w:r w:rsidR="00A17E54">
        <w:t xml:space="preserve"> (Swaine</w:t>
      </w:r>
      <w:r w:rsidR="00E774B5">
        <w:t>,</w:t>
      </w:r>
      <w:r w:rsidR="00A17E54">
        <w:t xml:space="preserve"> 1981</w:t>
      </w:r>
      <w:r w:rsidR="008247E7">
        <w:t>(a)</w:t>
      </w:r>
      <w:r w:rsidR="00A17E54">
        <w:t>)</w:t>
      </w:r>
      <w:r>
        <w:t>. The LOQ was 0.01 mg/kg. This data demonstrates that residues above the LOQ (0.01</w:t>
      </w:r>
      <w:r w:rsidR="00892B40">
        <w:t> </w:t>
      </w:r>
      <w:r>
        <w:t xml:space="preserve">mg/kg) should not occur in peaches as a result of current rate (0.368 g </w:t>
      </w:r>
      <w:r w:rsidR="00572A0C">
        <w:t>ac/ha</w:t>
      </w:r>
      <w:r>
        <w:t xml:space="preserve">). While it is noted that only </w:t>
      </w:r>
      <w:r w:rsidR="00892B40">
        <w:t>2</w:t>
      </w:r>
      <w:r>
        <w:t xml:space="preserve"> peach trials are available for the stone fruit crop group, diquat residues data</w:t>
      </w:r>
      <w:r w:rsidR="00892B40">
        <w:t>,</w:t>
      </w:r>
      <w:r>
        <w:t xml:space="preserve"> which demonstrates that residues above the LOQ should not occur in other tree fruit crops</w:t>
      </w:r>
      <w:r w:rsidR="00892B40">
        <w:t>,</w:t>
      </w:r>
      <w:r>
        <w:t xml:space="preserve"> is supportive of this use in stone fruit.</w:t>
      </w:r>
    </w:p>
    <w:p w14:paraId="32FD7F59" w14:textId="77777777" w:rsidR="00F945C3" w:rsidRDefault="00F945C3" w:rsidP="00F945C3">
      <w:pPr>
        <w:pStyle w:val="NormalText"/>
      </w:pPr>
      <w:r>
        <w:t>The available diquat residues data supports continued use in stone fruit orchards. The recommended entry into the MRL Standard for stone fruit is:</w:t>
      </w:r>
    </w:p>
    <w:p w14:paraId="44CDCFD3" w14:textId="4938E0AC" w:rsidR="00F945C3" w:rsidRDefault="00F945C3" w:rsidP="00892B40">
      <w:pPr>
        <w:pStyle w:val="Bullet1"/>
      </w:pPr>
      <w:r>
        <w:tab/>
        <w:t>FP 0012</w:t>
      </w:r>
      <w:r w:rsidR="00892B40">
        <w:tab/>
      </w:r>
      <w:r>
        <w:t>Stone fruits</w:t>
      </w:r>
      <w:r>
        <w:tab/>
      </w:r>
      <w:r>
        <w:tab/>
      </w:r>
      <w:r w:rsidR="00C43A9B">
        <w:tab/>
      </w:r>
      <w:r w:rsidR="00C43A9B">
        <w:tab/>
      </w:r>
      <w:r w:rsidR="00C43A9B">
        <w:tab/>
      </w:r>
      <w:r w:rsidR="00C43A9B">
        <w:tab/>
      </w:r>
      <w:r w:rsidR="00C43A9B">
        <w:tab/>
      </w:r>
      <w:r w:rsidR="00C43A9B">
        <w:tab/>
      </w:r>
      <w:r>
        <w:t>*0.01 mg/kg</w:t>
      </w:r>
    </w:p>
    <w:p w14:paraId="7BCCBA97" w14:textId="77777777" w:rsidR="00F945C3" w:rsidRDefault="00F945C3" w:rsidP="00F945C3">
      <w:pPr>
        <w:pStyle w:val="NormalText"/>
      </w:pPr>
      <w:r>
        <w:lastRenderedPageBreak/>
        <w:t>As the use is directed to weeds and not the trees, a harvest withholding period statement of ‘Not Required when used as directed’ is supported for stone fruit.</w:t>
      </w:r>
    </w:p>
    <w:p w14:paraId="5E8F486F" w14:textId="77777777" w:rsidR="00F945C3" w:rsidRPr="00FD56EC" w:rsidRDefault="00F945C3" w:rsidP="0026666F">
      <w:pPr>
        <w:pStyle w:val="Heading4"/>
      </w:pPr>
      <w:r w:rsidRPr="00FD56EC">
        <w:t>Berries and other small fruit</w:t>
      </w:r>
    </w:p>
    <w:p w14:paraId="490DE81E" w14:textId="50836A9C" w:rsidR="00F945C3" w:rsidRDefault="00F945C3" w:rsidP="00F945C3">
      <w:pPr>
        <w:pStyle w:val="NormalText"/>
      </w:pPr>
      <w:r>
        <w:t>The available diquat residue trials on berries and other small fruit (grapes, strawberries, blueberries) are summarised below.</w:t>
      </w:r>
      <w:r w:rsidR="00D605AA">
        <w:t xml:space="preserve"> </w:t>
      </w:r>
      <w:r>
        <w:t>The maximum Australian use</w:t>
      </w:r>
      <w:r w:rsidR="00D605AA">
        <w:t xml:space="preserve"> rate</w:t>
      </w:r>
      <w:r>
        <w:t xml:space="preserve"> to grapes involves application between the vines at 0.368</w:t>
      </w:r>
      <w:r w:rsidR="00892B40">
        <w:t> </w:t>
      </w:r>
      <w:r>
        <w:t xml:space="preserve">kg </w:t>
      </w:r>
      <w:r w:rsidR="00572A0C">
        <w:t>ac/ha</w:t>
      </w:r>
      <w:r>
        <w:t>. Seventeen overseas trials were conducted on grapes</w:t>
      </w:r>
      <w:r w:rsidR="000038C8">
        <w:t xml:space="preserve"> (C</w:t>
      </w:r>
      <w:r w:rsidR="000038C8" w:rsidRPr="000038C8">
        <w:t>alderbank and Yuan</w:t>
      </w:r>
      <w:r w:rsidR="00E774B5">
        <w:t>,</w:t>
      </w:r>
      <w:r w:rsidR="000038C8" w:rsidRPr="000038C8">
        <w:t xml:space="preserve"> 1963</w:t>
      </w:r>
      <w:r w:rsidR="000038C8">
        <w:t xml:space="preserve">; </w:t>
      </w:r>
      <w:r w:rsidR="000038C8" w:rsidRPr="000038C8">
        <w:t>Calderbank and McKenna</w:t>
      </w:r>
      <w:r w:rsidR="00E774B5">
        <w:t>,</w:t>
      </w:r>
      <w:r w:rsidR="000038C8">
        <w:t xml:space="preserve"> </w:t>
      </w:r>
      <w:r w:rsidR="000038C8" w:rsidRPr="000038C8">
        <w:t>1964</w:t>
      </w:r>
      <w:r w:rsidR="000038C8">
        <w:t>; Kennedy</w:t>
      </w:r>
      <w:r w:rsidR="00E774B5">
        <w:t>,</w:t>
      </w:r>
      <w:r w:rsidR="000038C8">
        <w:t xml:space="preserve"> 1988</w:t>
      </w:r>
      <w:r w:rsidR="00423536">
        <w:t>(a)</w:t>
      </w:r>
      <w:r w:rsidR="000038C8">
        <w:t xml:space="preserve">; </w:t>
      </w:r>
      <w:r w:rsidR="000038C8" w:rsidRPr="000038C8">
        <w:t>Anderson</w:t>
      </w:r>
      <w:r w:rsidR="000038C8">
        <w:t xml:space="preserve"> et al.</w:t>
      </w:r>
      <w:r w:rsidR="00E774B5">
        <w:t>,</w:t>
      </w:r>
      <w:r w:rsidR="000038C8">
        <w:t xml:space="preserve"> </w:t>
      </w:r>
      <w:r w:rsidR="000038C8" w:rsidRPr="000038C8">
        <w:t>1994</w:t>
      </w:r>
      <w:r w:rsidR="003143AC">
        <w:t>(</w:t>
      </w:r>
      <w:r w:rsidR="00DC4A35">
        <w:t>a</w:t>
      </w:r>
      <w:r w:rsidR="003143AC">
        <w:t>)</w:t>
      </w:r>
      <w:r w:rsidR="000038C8">
        <w:t>; Dick et al.</w:t>
      </w:r>
      <w:r w:rsidR="00E774B5">
        <w:t>,</w:t>
      </w:r>
      <w:r w:rsidR="000038C8">
        <w:t xml:space="preserve"> 1995</w:t>
      </w:r>
      <w:r w:rsidR="007A56DD">
        <w:t>(a)</w:t>
      </w:r>
      <w:r w:rsidR="000038C8" w:rsidRPr="000038C8">
        <w:t>)</w:t>
      </w:r>
      <w:r>
        <w:t xml:space="preserve">, with detectable residues occurring in </w:t>
      </w:r>
      <w:r w:rsidR="00892B40">
        <w:t>2</w:t>
      </w:r>
      <w:r>
        <w:t xml:space="preserve"> trials where sampling occurred 2 days after application of 0.8 kg </w:t>
      </w:r>
      <w:r w:rsidR="00572A0C">
        <w:t>ac/ha</w:t>
      </w:r>
      <w:r>
        <w:t xml:space="preserve"> (0.02, 0.016 mg/kg) and in the </w:t>
      </w:r>
      <w:r w:rsidR="00892B40">
        <w:t>4</w:t>
      </w:r>
      <w:r>
        <w:t xml:space="preserve"> trials where </w:t>
      </w:r>
      <w:r w:rsidR="00892B40">
        <w:t>3</w:t>
      </w:r>
      <w:r>
        <w:t xml:space="preserve"> applications of 1 kg </w:t>
      </w:r>
      <w:r w:rsidR="00572A0C">
        <w:t>ac/ha</w:t>
      </w:r>
      <w:r>
        <w:t xml:space="preserve"> were made, and samples of dropped f</w:t>
      </w:r>
      <w:r w:rsidRPr="00814E0F">
        <w:t>ruit</w:t>
      </w:r>
      <w:r>
        <w:t xml:space="preserve"> (dropped 3</w:t>
      </w:r>
      <w:r w:rsidR="00892B40">
        <w:t>–</w:t>
      </w:r>
      <w:r>
        <w:t>12 hours after the last application) were taken 14 days after the last application (0.03, 0.05, 0.06, 0.03 mg/kg). These rates are higher than the current Australian maximum use rate and the collection of fallen grapes is not normal practice. LOQs ranged from 0.01 to 0.05 mg/kg.</w:t>
      </w:r>
    </w:p>
    <w:p w14:paraId="756BB19B" w14:textId="195F2D76" w:rsidR="00D605AA" w:rsidRDefault="00F945C3" w:rsidP="00F945C3">
      <w:pPr>
        <w:pStyle w:val="NormalText"/>
      </w:pPr>
      <w:r>
        <w:t xml:space="preserve">The maximum Australian label rate is up to 0.8 kg </w:t>
      </w:r>
      <w:r w:rsidR="00572A0C">
        <w:t>ac/ha</w:t>
      </w:r>
      <w:r>
        <w:t xml:space="preserve"> for row crops and market gardens</w:t>
      </w:r>
      <w:r w:rsidR="00892B40">
        <w:t>,</w:t>
      </w:r>
      <w:r>
        <w:t xml:space="preserve"> which may include berries and other small fruit, except for grapes (covered by the vineyard use). The use is pre-emergence or by shielded spray post emergence. No detectable residues of diquat were found in strawberry trials in and a blueberry trial with application rates of 0.4 to 1.4 kg </w:t>
      </w:r>
      <w:r w:rsidR="00572A0C">
        <w:t>ac/ha</w:t>
      </w:r>
      <w:r>
        <w:t>. LOQs were 0.01 to 0.05 mg/kg</w:t>
      </w:r>
      <w:r w:rsidR="000038C8">
        <w:t xml:space="preserve"> </w:t>
      </w:r>
      <w:r w:rsidR="000038C8" w:rsidRPr="000038C8">
        <w:t>(Calderbank and McKenna 1964; Anon. 1981)</w:t>
      </w:r>
      <w:r w:rsidRPr="000038C8">
        <w:t>. In 3 additional strawberry trials summarised by the 2013</w:t>
      </w:r>
      <w:r w:rsidR="004B79F5">
        <w:t xml:space="preserve"> </w:t>
      </w:r>
      <w:r w:rsidR="004B79F5" w:rsidRPr="004B79F5">
        <w:t>Joint FAO/WHO Meeting on Pesticide Residues (JMPR)</w:t>
      </w:r>
      <w:r w:rsidRPr="000038C8">
        <w:t xml:space="preserve"> res</w:t>
      </w:r>
      <w:r>
        <w:t>idues were &lt;0.05 mg/kg at 47</w:t>
      </w:r>
      <w:r w:rsidR="00892B40">
        <w:t>–</w:t>
      </w:r>
      <w:r>
        <w:t>50 days after an inter-row directed spray at 0.85</w:t>
      </w:r>
      <w:r w:rsidR="00892B40">
        <w:t>–</w:t>
      </w:r>
      <w:r>
        <w:t>0.92</w:t>
      </w:r>
      <w:r w:rsidR="00892B40">
        <w:t> </w:t>
      </w:r>
      <w:r>
        <w:t xml:space="preserve">kg </w:t>
      </w:r>
      <w:r w:rsidR="00572A0C">
        <w:t>ac/ha</w:t>
      </w:r>
      <w:r>
        <w:t>.</w:t>
      </w:r>
    </w:p>
    <w:p w14:paraId="09CD6E22" w14:textId="3D6BD091" w:rsidR="00F945C3" w:rsidRDefault="00F945C3" w:rsidP="00F945C3">
      <w:pPr>
        <w:pStyle w:val="NormalText"/>
      </w:pPr>
      <w:r w:rsidRPr="00CC2240">
        <w:t xml:space="preserve">The available </w:t>
      </w:r>
      <w:r>
        <w:t>diquat</w:t>
      </w:r>
      <w:r w:rsidRPr="00CC2240">
        <w:t xml:space="preserve"> residues data supports continued use in </w:t>
      </w:r>
      <w:r>
        <w:t>grapes (vineyards) and other members of the berries and other small fruit crop group</w:t>
      </w:r>
      <w:r w:rsidRPr="00CC2240">
        <w:t xml:space="preserve">. </w:t>
      </w:r>
      <w:r>
        <w:t>The recommended entry into the MRL Standard for berries and small fruits, including grapes, is as follows noting the LOQ is many of the grape and strawberry trials was 0.05</w:t>
      </w:r>
      <w:r w:rsidR="00892B40">
        <w:t> </w:t>
      </w:r>
      <w:r>
        <w:t>mg/kg:</w:t>
      </w:r>
    </w:p>
    <w:p w14:paraId="04D081F9" w14:textId="2EC1662E" w:rsidR="00F945C3" w:rsidRDefault="00F945C3" w:rsidP="00892B40">
      <w:pPr>
        <w:pStyle w:val="Bullet1"/>
      </w:pPr>
      <w:r>
        <w:tab/>
        <w:t>FB 0018</w:t>
      </w:r>
      <w:r w:rsidR="00892B40">
        <w:tab/>
      </w:r>
      <w:r>
        <w:t>Berries and other small fruits</w:t>
      </w:r>
      <w:r>
        <w:tab/>
      </w:r>
      <w:r>
        <w:tab/>
      </w:r>
      <w:r w:rsidR="00C43A9B">
        <w:tab/>
      </w:r>
      <w:r w:rsidR="00C43A9B">
        <w:tab/>
      </w:r>
      <w:r w:rsidR="00C43A9B">
        <w:tab/>
      </w:r>
      <w:r w:rsidR="00C43A9B">
        <w:tab/>
      </w:r>
      <w:r>
        <w:t>*0.05 mg/kg</w:t>
      </w:r>
    </w:p>
    <w:p w14:paraId="604F9085" w14:textId="77777777" w:rsidR="00F945C3" w:rsidRDefault="00F945C3" w:rsidP="00F945C3">
      <w:pPr>
        <w:pStyle w:val="NormalText"/>
      </w:pPr>
      <w:r>
        <w:t>As the use is targeting inter-row weeds and not the crop, a harvest withholding period statement of ‘Not Required when used as directed’ is supported for berries and other small fruit.</w:t>
      </w:r>
    </w:p>
    <w:p w14:paraId="2C370B1C" w14:textId="77777777" w:rsidR="00F945C3" w:rsidRPr="00FD56EC" w:rsidRDefault="00F945C3" w:rsidP="0026666F">
      <w:pPr>
        <w:pStyle w:val="Heading4"/>
      </w:pPr>
      <w:r>
        <w:t>Tropical and sub-tropical fruit with edible peel</w:t>
      </w:r>
    </w:p>
    <w:p w14:paraId="0740850F" w14:textId="52EAA131" w:rsidR="00F945C3" w:rsidRDefault="00F945C3" w:rsidP="00F945C3">
      <w:pPr>
        <w:pStyle w:val="NormalText"/>
      </w:pPr>
      <w:r>
        <w:t xml:space="preserve">The available diquat residue trials on </w:t>
      </w:r>
      <w:r w:rsidR="00C164F7">
        <w:t>t</w:t>
      </w:r>
      <w:r>
        <w:t>ropical and sub-tropical fruit with edible peel (olives) are summarised below.</w:t>
      </w:r>
      <w:r w:rsidR="00D605AA">
        <w:t xml:space="preserve"> </w:t>
      </w:r>
      <w:r>
        <w:t>The maximum Australian use</w:t>
      </w:r>
      <w:r w:rsidR="00D605AA">
        <w:t xml:space="preserve"> rate</w:t>
      </w:r>
      <w:r>
        <w:t xml:space="preserve"> involves application around the base of trees at a rate of 0.368</w:t>
      </w:r>
      <w:r w:rsidR="00892B40">
        <w:t> </w:t>
      </w:r>
      <w:r>
        <w:t>kg</w:t>
      </w:r>
      <w:r w:rsidR="00892B40">
        <w:t> </w:t>
      </w:r>
      <w:r w:rsidR="00572A0C">
        <w:t>ac/ha</w:t>
      </w:r>
      <w:r>
        <w:t xml:space="preserve">. In </w:t>
      </w:r>
      <w:r w:rsidR="00892B40">
        <w:t>4</w:t>
      </w:r>
      <w:r>
        <w:t xml:space="preserve"> overseas olive trials single applications of rates from 0.24 to 0.78 kg </w:t>
      </w:r>
      <w:r w:rsidR="00572A0C">
        <w:t>ac/ha</w:t>
      </w:r>
      <w:r>
        <w:t xml:space="preserve"> were made 6</w:t>
      </w:r>
      <w:r w:rsidR="00892B40">
        <w:t>–</w:t>
      </w:r>
      <w:r>
        <w:t>17 days prior to sampling at either the ripening stage or maturity</w:t>
      </w:r>
      <w:r w:rsidR="00437A80">
        <w:t xml:space="preserve"> (Kennedy</w:t>
      </w:r>
      <w:r w:rsidR="00E774B5">
        <w:t>,</w:t>
      </w:r>
      <w:r w:rsidR="00437A80">
        <w:t xml:space="preserve"> 1987</w:t>
      </w:r>
      <w:r w:rsidR="00423536">
        <w:t>(a)</w:t>
      </w:r>
      <w:r w:rsidR="00437A80">
        <w:t>;</w:t>
      </w:r>
      <w:r w:rsidR="00437A80" w:rsidRPr="00437A80">
        <w:t xml:space="preserve"> </w:t>
      </w:r>
      <w:r w:rsidR="00437A80">
        <w:t>Massey</w:t>
      </w:r>
      <w:r w:rsidR="00E774B5">
        <w:t>,</w:t>
      </w:r>
      <w:r w:rsidR="00437A80" w:rsidRPr="00437A80">
        <w:t xml:space="preserve"> </w:t>
      </w:r>
      <w:r w:rsidR="00437A80">
        <w:t>1987</w:t>
      </w:r>
      <w:r w:rsidR="00423536">
        <w:t>(a)</w:t>
      </w:r>
      <w:r w:rsidR="00437A80">
        <w:t>;</w:t>
      </w:r>
      <w:r w:rsidR="00437A80" w:rsidRPr="00437A80">
        <w:t xml:space="preserve"> </w:t>
      </w:r>
      <w:r w:rsidR="00437A80">
        <w:t>Dick et al.</w:t>
      </w:r>
      <w:r w:rsidR="00E774B5">
        <w:t>,</w:t>
      </w:r>
      <w:r w:rsidR="00437A80">
        <w:t>1995</w:t>
      </w:r>
      <w:r w:rsidR="007A56DD">
        <w:t>(b)</w:t>
      </w:r>
      <w:r w:rsidR="00437A80">
        <w:t>)</w:t>
      </w:r>
      <w:r>
        <w:t xml:space="preserve">. In </w:t>
      </w:r>
      <w:r w:rsidR="00892B40">
        <w:t>2 </w:t>
      </w:r>
      <w:r>
        <w:t xml:space="preserve">trials, ripening olives were sampled directly from the canopy and the whole fruit and extracted oil contained no detectable residues of diquat (LOQ 0.1 mg/kg for fruit, 0.05 mg/kg for oil). In the remaining </w:t>
      </w:r>
      <w:r w:rsidR="00892B40">
        <w:t>2</w:t>
      </w:r>
      <w:r>
        <w:t xml:space="preserve"> trials mature fruit lying on the ground at the time of treatment of 0.4 kg </w:t>
      </w:r>
      <w:r w:rsidR="00572A0C">
        <w:t>ac/ha</w:t>
      </w:r>
      <w:r>
        <w:t>, and collected 6</w:t>
      </w:r>
      <w:r w:rsidR="00892B40">
        <w:t>–</w:t>
      </w:r>
      <w:r>
        <w:t xml:space="preserve">7 days later, contained diquat residues of 0.31 and 1.5 mg/kg. Collection of sprayed fruit would not be considered good agricultural practice. This data demonstrates that residues above the LOQ (0.1 mg/kg) should not occur in olives as a result of current rate (0.368 kg </w:t>
      </w:r>
      <w:r w:rsidR="00572A0C">
        <w:t>ac/ha</w:t>
      </w:r>
      <w:r>
        <w:t xml:space="preserve">). </w:t>
      </w:r>
      <w:bookmarkStart w:id="191" w:name="_Hlk157505441"/>
      <w:r w:rsidRPr="000E17A3">
        <w:t xml:space="preserve">While it is noted that only </w:t>
      </w:r>
      <w:r w:rsidR="00892B40">
        <w:t>4</w:t>
      </w:r>
      <w:r>
        <w:t xml:space="preserve"> olive</w:t>
      </w:r>
      <w:r w:rsidRPr="000E17A3">
        <w:t xml:space="preserve"> trials are available for the </w:t>
      </w:r>
      <w:r>
        <w:t>tropical fruit with edible peel</w:t>
      </w:r>
      <w:r w:rsidRPr="000E17A3">
        <w:t xml:space="preserve"> crop group, diquat residues data which demonstrates that residues above the LOQ should not occur in other tree fruit crops is supportive of this use in </w:t>
      </w:r>
      <w:r>
        <w:t>tropical fruit with edible peel</w:t>
      </w:r>
      <w:r w:rsidRPr="000E17A3">
        <w:t>.</w:t>
      </w:r>
    </w:p>
    <w:bookmarkEnd w:id="191"/>
    <w:p w14:paraId="513D4652" w14:textId="77777777" w:rsidR="00F945C3" w:rsidRDefault="00F945C3" w:rsidP="00F945C3">
      <w:pPr>
        <w:pStyle w:val="NormalText"/>
      </w:pPr>
      <w:r>
        <w:lastRenderedPageBreak/>
        <w:t>The available diquat residues data supports continued use in assorted tropical and sub-tropical fruits – edible peel. The recommended entries into the MRL Standard for are as follows noting that olives for oil production (SO 0305) will not be covered by the tropical fruit with edible peel group MRL:</w:t>
      </w:r>
    </w:p>
    <w:p w14:paraId="71B51774" w14:textId="7752694A" w:rsidR="00F945C3" w:rsidRDefault="00F945C3" w:rsidP="00892B40">
      <w:pPr>
        <w:pStyle w:val="Bullet1"/>
      </w:pPr>
      <w:r>
        <w:tab/>
        <w:t>FP 0026</w:t>
      </w:r>
      <w:r w:rsidR="00892B40">
        <w:tab/>
      </w:r>
      <w:r>
        <w:t>Assorted tropical and sub-tropical fruits – edible peel</w:t>
      </w:r>
      <w:r>
        <w:tab/>
      </w:r>
      <w:r w:rsidR="00C43A9B">
        <w:tab/>
      </w:r>
      <w:r>
        <w:t>*0.1 mg/kg</w:t>
      </w:r>
    </w:p>
    <w:p w14:paraId="4B51BDB8" w14:textId="5E88CAC4" w:rsidR="00F945C3" w:rsidRDefault="00F945C3" w:rsidP="00892B40">
      <w:pPr>
        <w:pStyle w:val="Bullet1"/>
      </w:pPr>
      <w:r>
        <w:tab/>
        <w:t>S0 0305</w:t>
      </w:r>
      <w:r w:rsidR="00892B40">
        <w:tab/>
      </w:r>
      <w:r>
        <w:t>Olives for oil production</w:t>
      </w:r>
      <w:r>
        <w:tab/>
      </w:r>
      <w:r>
        <w:tab/>
      </w:r>
      <w:r>
        <w:tab/>
      </w:r>
      <w:r>
        <w:tab/>
      </w:r>
      <w:r>
        <w:tab/>
      </w:r>
      <w:r w:rsidR="00C43A9B">
        <w:tab/>
      </w:r>
      <w:r>
        <w:t>*0.1 mg/kg</w:t>
      </w:r>
    </w:p>
    <w:p w14:paraId="75D4406B" w14:textId="77777777" w:rsidR="00F945C3" w:rsidRDefault="00F945C3" w:rsidP="00F945C3">
      <w:pPr>
        <w:pStyle w:val="NormalText"/>
      </w:pPr>
      <w:r>
        <w:t xml:space="preserve">As the use is directed to weeds and not the trees, a harvest withholding period statement of ‘Not Required when used as directed’ is supported for </w:t>
      </w:r>
      <w:r w:rsidRPr="00235FFF">
        <w:t>assorted tropical and sub-tropical fruits – edible peel</w:t>
      </w:r>
      <w:r>
        <w:t>.</w:t>
      </w:r>
    </w:p>
    <w:p w14:paraId="39628076" w14:textId="77777777" w:rsidR="00F945C3" w:rsidRPr="00FD56EC" w:rsidRDefault="00F945C3" w:rsidP="0026666F">
      <w:pPr>
        <w:pStyle w:val="Heading4"/>
      </w:pPr>
      <w:r>
        <w:t>Tropical and sub-tropical fruit with inedible peel</w:t>
      </w:r>
    </w:p>
    <w:p w14:paraId="450C3081" w14:textId="24E0DF4A" w:rsidR="00F945C3" w:rsidRDefault="00F945C3" w:rsidP="00F945C3">
      <w:pPr>
        <w:pStyle w:val="NormalText"/>
      </w:pPr>
      <w:r>
        <w:t xml:space="preserve">The available diquat residue trials on </w:t>
      </w:r>
      <w:r w:rsidR="00892B40">
        <w:t>t</w:t>
      </w:r>
      <w:r>
        <w:t>ropical and sub-tropical fruit with inedible peel (bananas) are summarised below.</w:t>
      </w:r>
      <w:r w:rsidR="00D605AA">
        <w:t xml:space="preserve"> T</w:t>
      </w:r>
      <w:r>
        <w:t>he maximum Australian use</w:t>
      </w:r>
      <w:r w:rsidR="00D605AA">
        <w:t xml:space="preserve"> rate</w:t>
      </w:r>
      <w:r>
        <w:t xml:space="preserve"> </w:t>
      </w:r>
      <w:r w:rsidR="00D605AA">
        <w:t>in</w:t>
      </w:r>
      <w:r>
        <w:t xml:space="preserve"> orchards (which covers all tropical fruit with inedible peel, except pineapples) involves application around the base of trees at a rate of 0.368 kg </w:t>
      </w:r>
      <w:r w:rsidR="00572A0C">
        <w:t>ac/ha</w:t>
      </w:r>
      <w:r>
        <w:t xml:space="preserve"> for the general use in orchards. There is a specific use on avocado, custard apple, lychee and mango at 27.6 g ai/100 L a</w:t>
      </w:r>
      <w:r w:rsidRPr="009B3A9C">
        <w:t>ppl</w:t>
      </w:r>
      <w:r>
        <w:t>ied</w:t>
      </w:r>
      <w:r w:rsidRPr="009B3A9C">
        <w:t xml:space="preserve"> to ground cover beneath the trees. A second spray 14 days later may be required.</w:t>
      </w:r>
    </w:p>
    <w:p w14:paraId="7FAD8E70" w14:textId="7CC1046E" w:rsidR="00F945C3" w:rsidRDefault="00F945C3" w:rsidP="00F945C3">
      <w:pPr>
        <w:pStyle w:val="NormalText"/>
      </w:pPr>
      <w:r>
        <w:t xml:space="preserve">In </w:t>
      </w:r>
      <w:r w:rsidR="00892B40">
        <w:t>8</w:t>
      </w:r>
      <w:r>
        <w:t xml:space="preserve"> overseas trials on bananas </w:t>
      </w:r>
      <w:r w:rsidR="00C164F7">
        <w:t>3</w:t>
      </w:r>
      <w:r>
        <w:t xml:space="preserve"> applications 28</w:t>
      </w:r>
      <w:r w:rsidR="00892B40">
        <w:t>–</w:t>
      </w:r>
      <w:r>
        <w:t xml:space="preserve">33 days apart were made around the base of mature banana plants at rates of 0.15 to 0.6 kg </w:t>
      </w:r>
      <w:r w:rsidR="00572A0C">
        <w:t>ac/ha</w:t>
      </w:r>
      <w:r w:rsidR="00437A80">
        <w:t xml:space="preserve"> (Earl</w:t>
      </w:r>
      <w:r w:rsidR="00E774B5">
        <w:t>,</w:t>
      </w:r>
      <w:r w:rsidR="00437A80">
        <w:t xml:space="preserve"> 1993</w:t>
      </w:r>
      <w:r w:rsidR="009E1C3B">
        <w:t>(b)</w:t>
      </w:r>
      <w:r w:rsidR="00E774B5">
        <w:t>;</w:t>
      </w:r>
      <w:r w:rsidR="00437A80">
        <w:t xml:space="preserve"> Earl</w:t>
      </w:r>
      <w:r w:rsidR="00E774B5">
        <w:t>,</w:t>
      </w:r>
      <w:r w:rsidR="00437A80">
        <w:t xml:space="preserve"> 1994)</w:t>
      </w:r>
      <w:r>
        <w:t xml:space="preserve">. Residues of diquat were not detected in bananas sampled immediately after the last application (LOQ 0.02 mg/kg). This data demonstrates that residues above the LOQ should not occur in banana as a result of current rate (0.368 kg </w:t>
      </w:r>
      <w:r w:rsidR="00572A0C">
        <w:t>ac/ha</w:t>
      </w:r>
      <w:r>
        <w:t xml:space="preserve"> or 27.6 g ai/100</w:t>
      </w:r>
      <w:r w:rsidR="00892B40">
        <w:t> </w:t>
      </w:r>
      <w:r>
        <w:t xml:space="preserve">L). </w:t>
      </w:r>
      <w:r w:rsidRPr="000E17A3">
        <w:t xml:space="preserve">While it is noted that only </w:t>
      </w:r>
      <w:r>
        <w:t>banana</w:t>
      </w:r>
      <w:r w:rsidRPr="000E17A3">
        <w:t xml:space="preserve"> trials are available for the tropical fruit with </w:t>
      </w:r>
      <w:r>
        <w:t>in</w:t>
      </w:r>
      <w:r w:rsidRPr="000E17A3">
        <w:t>edible peel crop group, diquat residues data</w:t>
      </w:r>
      <w:r w:rsidR="00892B40">
        <w:t>,</w:t>
      </w:r>
      <w:r w:rsidRPr="000E17A3">
        <w:t xml:space="preserve"> which demonstrates that residues above the LOQ should not occur in other tree fruit crops</w:t>
      </w:r>
      <w:r w:rsidR="00892B40">
        <w:t>,</w:t>
      </w:r>
      <w:r w:rsidRPr="000E17A3">
        <w:t xml:space="preserve"> is supportive of this use in tropical fruit with </w:t>
      </w:r>
      <w:r>
        <w:t>in</w:t>
      </w:r>
      <w:r w:rsidRPr="000E17A3">
        <w:t>edible peel</w:t>
      </w:r>
      <w:r>
        <w:t>, except for pineapple</w:t>
      </w:r>
      <w:r w:rsidRPr="000E17A3">
        <w:t>.</w:t>
      </w:r>
    </w:p>
    <w:p w14:paraId="403E6D20" w14:textId="6E3A65BA" w:rsidR="00F945C3" w:rsidRDefault="00F945C3" w:rsidP="00F945C3">
      <w:pPr>
        <w:pStyle w:val="NormalText"/>
      </w:pPr>
      <w:r w:rsidRPr="000E17A3">
        <w:t xml:space="preserve">Residue data for diquat on </w:t>
      </w:r>
      <w:r>
        <w:t>pineapples</w:t>
      </w:r>
      <w:r w:rsidRPr="000E17A3">
        <w:t xml:space="preserve"> have not been provided for the review and are not available in the JMPR evaluations. The maximum Australian label rate is up to 0.8 kg </w:t>
      </w:r>
      <w:r w:rsidR="00572A0C">
        <w:t>ac/ha</w:t>
      </w:r>
      <w:r w:rsidRPr="000E17A3">
        <w:t xml:space="preserve"> for row crops which may include </w:t>
      </w:r>
      <w:r>
        <w:t>pineapples</w:t>
      </w:r>
      <w:r w:rsidRPr="000E17A3">
        <w:t>. The use is pre-emergence or by shielded spray post emergence.</w:t>
      </w:r>
      <w:r>
        <w:t xml:space="preserve"> The available banana data (0.15 to 0.</w:t>
      </w:r>
      <w:r w:rsidRPr="00892B40">
        <w:t>6</w:t>
      </w:r>
      <w:r w:rsidR="00892B40">
        <w:t> </w:t>
      </w:r>
      <w:r w:rsidRPr="00892B40">
        <w:t>kg</w:t>
      </w:r>
      <w:r w:rsidR="00892B40">
        <w:t> </w:t>
      </w:r>
      <w:r w:rsidR="00572A0C">
        <w:t>ac/ha</w:t>
      </w:r>
      <w:r>
        <w:t>) did not address the application rate of 0.8 kg ai/ka and it is noted that crop physiology and agronomy for pineapple differs to bananas and other members of the tropical fruit with inedible peel crop group. As discussed in the risk assessment for</w:t>
      </w:r>
      <w:r w:rsidR="003507F7">
        <w:t xml:space="preserve"> </w:t>
      </w:r>
      <w:hyperlink w:anchor="_Vegetable_crops" w:history="1">
        <w:r w:rsidR="003507F7" w:rsidRPr="003507F7">
          <w:rPr>
            <w:rStyle w:val="Hyperlink"/>
          </w:rPr>
          <w:t>Vegetable crops</w:t>
        </w:r>
      </w:hyperlink>
      <w:r>
        <w:t xml:space="preserve">, there is a potential for residues to occur in crops following the current label use for row crops. It is therefore </w:t>
      </w:r>
      <w:r w:rsidRPr="000E17A3">
        <w:t xml:space="preserve">not appropriate to support the continued use of diquat on </w:t>
      </w:r>
      <w:r>
        <w:t xml:space="preserve">pineapples </w:t>
      </w:r>
      <w:r w:rsidRPr="000E17A3">
        <w:t xml:space="preserve">without specific residue data as </w:t>
      </w:r>
      <w:r>
        <w:t>a robust assessment of the potential for residues in pineapples cannot be performed.</w:t>
      </w:r>
    </w:p>
    <w:p w14:paraId="35ED4A01" w14:textId="56AB0DE8" w:rsidR="00F945C3" w:rsidRDefault="00F945C3" w:rsidP="00F945C3">
      <w:pPr>
        <w:pStyle w:val="NormalText"/>
      </w:pPr>
      <w:r w:rsidRPr="000E17A3">
        <w:t xml:space="preserve">The available </w:t>
      </w:r>
      <w:r>
        <w:t xml:space="preserve">diquat </w:t>
      </w:r>
      <w:r w:rsidRPr="000E17A3">
        <w:t>residues data supports continued use in tropical fruit with inedible peel</w:t>
      </w:r>
      <w:r w:rsidR="00892B40">
        <w:t>,</w:t>
      </w:r>
      <w:r w:rsidRPr="000E17A3">
        <w:t xml:space="preserve"> which was covered by the label claim for orchards and the specific use for avocados, custard apples, litchis and mangoes (2</w:t>
      </w:r>
      <w:r w:rsidR="00892B40">
        <w:t> </w:t>
      </w:r>
      <w:r w:rsidRPr="000E17A3">
        <w:t xml:space="preserve">application, 14 days apart at </w:t>
      </w:r>
      <w:r>
        <w:t>27.6</w:t>
      </w:r>
      <w:r w:rsidRPr="000E17A3">
        <w:t xml:space="preserve"> ai/100L).</w:t>
      </w:r>
      <w:r>
        <w:t xml:space="preserve"> Continued use in pineapples, which was covered by the row crop label claim is not supported due to a lack or residues data. The recommended entry into the MRL Standard for is:</w:t>
      </w:r>
    </w:p>
    <w:p w14:paraId="185D2679" w14:textId="07E51482" w:rsidR="00F945C3" w:rsidRDefault="00F945C3" w:rsidP="00892B40">
      <w:pPr>
        <w:pStyle w:val="Bullet1"/>
      </w:pPr>
      <w:r>
        <w:tab/>
        <w:t>FP 0030</w:t>
      </w:r>
      <w:r w:rsidR="00892B40">
        <w:tab/>
      </w:r>
      <w:r>
        <w:t>Assorted tropical and sub-tropical fruits – inedible peel {except Pineapple}</w:t>
      </w:r>
      <w:r>
        <w:tab/>
        <w:t>*0.02 mg/kg</w:t>
      </w:r>
    </w:p>
    <w:p w14:paraId="4A4A9D8C" w14:textId="77777777" w:rsidR="00F945C3" w:rsidRDefault="00F945C3" w:rsidP="00F945C3">
      <w:pPr>
        <w:pStyle w:val="NormalText"/>
      </w:pPr>
      <w:r>
        <w:t xml:space="preserve">As the use on tropical fruit with inedible peel (except pineapples) is directed to weeds and not the trees, a harvest withholding period statement of ‘Not Required when used as directed’ is supported for </w:t>
      </w:r>
      <w:r w:rsidRPr="00235FFF">
        <w:t>assorted tropical and sub-tropical fruits – edible peel</w:t>
      </w:r>
      <w:r>
        <w:t>.</w:t>
      </w:r>
    </w:p>
    <w:p w14:paraId="0859B9DC" w14:textId="77777777" w:rsidR="00F945C3" w:rsidRDefault="00F945C3" w:rsidP="0026666F">
      <w:pPr>
        <w:pStyle w:val="Heading4"/>
      </w:pPr>
      <w:r>
        <w:lastRenderedPageBreak/>
        <w:t>Citrus</w:t>
      </w:r>
    </w:p>
    <w:p w14:paraId="753BE3B1" w14:textId="7B2BF4E7" w:rsidR="00F945C3" w:rsidRDefault="00F945C3" w:rsidP="00F945C3">
      <w:pPr>
        <w:pStyle w:val="NormalText"/>
      </w:pPr>
      <w:r>
        <w:t>The general use on orchards may include citrus. The maximum Australian use</w:t>
      </w:r>
      <w:r w:rsidR="00D605AA">
        <w:t xml:space="preserve"> rate</w:t>
      </w:r>
      <w:r>
        <w:t xml:space="preserve"> involves application around the base of trees at a rate of 0.368 kg </w:t>
      </w:r>
      <w:r w:rsidR="00572A0C">
        <w:t>ac/ha</w:t>
      </w:r>
      <w:r>
        <w:t>. No residues data for citrus has been submitted but owing to the nature of the use pattern (around the base of trees) and given the weight of evidence for other tree crops, diquat residues in citrus fruit at commercial maturity above the LOQ are not expected.</w:t>
      </w:r>
    </w:p>
    <w:p w14:paraId="159AF50A" w14:textId="77777777" w:rsidR="00F945C3" w:rsidRDefault="00F945C3" w:rsidP="00F945C3">
      <w:pPr>
        <w:pStyle w:val="NormalText"/>
      </w:pPr>
      <w:r>
        <w:t>The available diquat residues data for other tree crops supports continued use in citrus orchards. The recommended entry into the MRL Standard for citrus fruit is:</w:t>
      </w:r>
    </w:p>
    <w:p w14:paraId="34DDD642" w14:textId="0A859216" w:rsidR="00F945C3" w:rsidRDefault="00F945C3" w:rsidP="007B6B97">
      <w:pPr>
        <w:pStyle w:val="Bullet1"/>
      </w:pPr>
      <w:r>
        <w:tab/>
        <w:t>FP 0001</w:t>
      </w:r>
      <w:r w:rsidR="007B6B97">
        <w:tab/>
      </w:r>
      <w:r>
        <w:t>Citrus fruits</w:t>
      </w:r>
      <w:r>
        <w:tab/>
      </w:r>
      <w:r>
        <w:tab/>
      </w:r>
      <w:r w:rsidR="00C43A9B">
        <w:tab/>
      </w:r>
      <w:r w:rsidR="00C43A9B">
        <w:tab/>
      </w:r>
      <w:r w:rsidR="00C43A9B">
        <w:tab/>
      </w:r>
      <w:r w:rsidR="00C43A9B">
        <w:tab/>
      </w:r>
      <w:r w:rsidR="00C43A9B">
        <w:tab/>
      </w:r>
      <w:r w:rsidR="00C43A9B">
        <w:tab/>
      </w:r>
      <w:r>
        <w:t>*0.05 mg/kg</w:t>
      </w:r>
    </w:p>
    <w:p w14:paraId="421B7B77" w14:textId="77777777" w:rsidR="00F945C3" w:rsidRDefault="00F945C3" w:rsidP="00F945C3">
      <w:pPr>
        <w:pStyle w:val="NormalText"/>
      </w:pPr>
      <w:r>
        <w:t>As the use is directed to weeds and not the trees, a harvest withholding period statement of ‘Not Required when used as directed’ is supported for citrus fruit.</w:t>
      </w:r>
    </w:p>
    <w:p w14:paraId="792FEE9B" w14:textId="77777777" w:rsidR="00F945C3" w:rsidRDefault="00F945C3" w:rsidP="0026666F">
      <w:pPr>
        <w:pStyle w:val="Heading4"/>
      </w:pPr>
      <w:bookmarkStart w:id="192" w:name="_Toc158208445"/>
      <w:r>
        <w:t>Tree nuts</w:t>
      </w:r>
      <w:bookmarkEnd w:id="192"/>
    </w:p>
    <w:p w14:paraId="3EE1A2B9" w14:textId="21ADB1B9" w:rsidR="00F945C3" w:rsidRDefault="00F945C3" w:rsidP="00F945C3">
      <w:pPr>
        <w:pStyle w:val="NormalText"/>
      </w:pPr>
      <w:r>
        <w:t xml:space="preserve">Some diquat product labels contain specific uses in </w:t>
      </w:r>
      <w:r w:rsidRPr="001C28C0">
        <w:t>hazelnuts, pistachios and walnuts</w:t>
      </w:r>
      <w:r>
        <w:t xml:space="preserve"> and general use on orchards may also include tree nuts. The maximum Australian use</w:t>
      </w:r>
      <w:r w:rsidR="00D605AA">
        <w:t xml:space="preserve"> rate</w:t>
      </w:r>
      <w:r>
        <w:t xml:space="preserve"> involves application around the base of trees at a rate of 0.368 kg </w:t>
      </w:r>
      <w:r w:rsidR="00572A0C">
        <w:t>ac/ha</w:t>
      </w:r>
      <w:r>
        <w:t>. No residues data for tree nuts has been submitted but owing to the nature of the use pattern (to the base of tre</w:t>
      </w:r>
      <w:r w:rsidR="005D47C8">
        <w:t>e</w:t>
      </w:r>
      <w:r>
        <w:t>s) and given the weight of evidence for other tree crops, diquat residues in tree nuts at commercial maturity above the LOQ is not expected. For this reason the MRL of *0.05 mg/kg for diquat on tree nuts will remain in place.</w:t>
      </w:r>
    </w:p>
    <w:p w14:paraId="712C7B21" w14:textId="77777777" w:rsidR="00F945C3" w:rsidRDefault="00F945C3" w:rsidP="00F945C3">
      <w:pPr>
        <w:pStyle w:val="NormalText"/>
      </w:pPr>
      <w:r>
        <w:t>As the use is directed to weeds and not the trees, a harvest withholding period statement of ‘Not Required when used as directed’ is supported for tree nuts.</w:t>
      </w:r>
    </w:p>
    <w:p w14:paraId="1E3162B3" w14:textId="77777777" w:rsidR="00F945C3" w:rsidRDefault="00F945C3" w:rsidP="0026666F">
      <w:pPr>
        <w:pStyle w:val="Heading3"/>
      </w:pPr>
      <w:bookmarkStart w:id="193" w:name="_Vegetable_crops"/>
      <w:bookmarkStart w:id="194" w:name="_Toc158208446"/>
      <w:bookmarkStart w:id="195" w:name="_Ref160787360"/>
      <w:bookmarkStart w:id="196" w:name="_Ref166755515"/>
      <w:bookmarkStart w:id="197" w:name="_Toc233038969"/>
      <w:bookmarkEnd w:id="193"/>
      <w:r>
        <w:t>Vegetable crops</w:t>
      </w:r>
      <w:bookmarkEnd w:id="194"/>
      <w:bookmarkEnd w:id="195"/>
      <w:bookmarkEnd w:id="196"/>
      <w:bookmarkEnd w:id="197"/>
    </w:p>
    <w:p w14:paraId="7838D95C" w14:textId="20D86C8F" w:rsidR="0016566A" w:rsidRDefault="0016566A" w:rsidP="0016566A">
      <w:pPr>
        <w:pStyle w:val="NormalText"/>
      </w:pPr>
      <w:r>
        <w:t>The current MRL for vegetables [except potato and pulses] is *0.05 mg/kg. The general vegetable MRL will be broken down to separate MRLs for the various codex classifications of vegetables.</w:t>
      </w:r>
    </w:p>
    <w:p w14:paraId="1F6B7BEF" w14:textId="70073644" w:rsidR="00F945C3" w:rsidRPr="000600D6" w:rsidRDefault="00F945C3" w:rsidP="00F945C3">
      <w:pPr>
        <w:pStyle w:val="NormalText"/>
      </w:pPr>
      <w:r>
        <w:t xml:space="preserve">The following crop groups will be considered against the </w:t>
      </w:r>
      <w:r w:rsidR="00843596">
        <w:t xml:space="preserve">current </w:t>
      </w:r>
      <w:r>
        <w:t xml:space="preserve">row crop, vegetables and market garden </w:t>
      </w:r>
      <w:r w:rsidR="00843596">
        <w:t xml:space="preserve">label </w:t>
      </w:r>
      <w:r>
        <w:t>claims:</w:t>
      </w:r>
      <w:r w:rsidR="00843596">
        <w:t xml:space="preserve"> </w:t>
      </w:r>
      <w:r w:rsidR="00B21B57" w:rsidRPr="000600D6">
        <w:t>brassica vegetables, bulb vegetables, fruiting vegetables (cucurbits), fruiting vegetables (other than cucurbits), leafy vegetables, legume vegetables, root an</w:t>
      </w:r>
      <w:r w:rsidR="00B21B57">
        <w:t xml:space="preserve">d tuber vegetables, </w:t>
      </w:r>
      <w:r w:rsidR="00B21B57" w:rsidRPr="000600D6">
        <w:t>stalk and stem vegetables</w:t>
      </w:r>
      <w:r w:rsidR="00B21B57">
        <w:t xml:space="preserve"> and herbs and spices.</w:t>
      </w:r>
    </w:p>
    <w:p w14:paraId="7A8B56BE" w14:textId="77777777" w:rsidR="00F945C3" w:rsidRPr="00AB7F9A" w:rsidRDefault="00F945C3" w:rsidP="0026666F">
      <w:pPr>
        <w:pStyle w:val="Heading4"/>
      </w:pPr>
      <w:r w:rsidRPr="00AB7F9A">
        <w:t>Bulb vegetables</w:t>
      </w:r>
    </w:p>
    <w:p w14:paraId="61A1F693" w14:textId="16152361" w:rsidR="00F945C3" w:rsidRDefault="00F945C3" w:rsidP="00F945C3">
      <w:pPr>
        <w:pStyle w:val="NormalText"/>
      </w:pPr>
      <w:r>
        <w:t xml:space="preserve">The available diquat residue trials on </w:t>
      </w:r>
      <w:r w:rsidR="00B21B57">
        <w:t>b</w:t>
      </w:r>
      <w:r>
        <w:t>ulb vegetables (bulb onions) are summarised below.</w:t>
      </w:r>
      <w:r w:rsidR="00384433">
        <w:t xml:space="preserve"> </w:t>
      </w:r>
      <w:r>
        <w:t xml:space="preserve">The maximum Australian label rate is up to 0.8 kg </w:t>
      </w:r>
      <w:r w:rsidR="00572A0C">
        <w:t>ac/ha</w:t>
      </w:r>
      <w:r>
        <w:t xml:space="preserve"> for row crops and market gardens which may include bulb vegetables. The use is pre-emergence or by shielded spray post emergence. Detectable residues of diquat were measured in </w:t>
      </w:r>
      <w:r w:rsidR="00B21B57">
        <w:t>6 </w:t>
      </w:r>
      <w:r>
        <w:t>suitable overseas trials in bulb onions</w:t>
      </w:r>
      <w:r w:rsidR="00437A80">
        <w:t xml:space="preserve"> </w:t>
      </w:r>
      <w:r w:rsidR="00437A80" w:rsidRPr="00A923F6">
        <w:t>(Calderbank and McKenna</w:t>
      </w:r>
      <w:r w:rsidR="00E774B5">
        <w:t>,</w:t>
      </w:r>
      <w:r w:rsidR="00A923F6">
        <w:t xml:space="preserve"> </w:t>
      </w:r>
      <w:r w:rsidR="00437A80" w:rsidRPr="00A923F6">
        <w:t>1964</w:t>
      </w:r>
      <w:r w:rsidR="00A923F6">
        <w:t>;</w:t>
      </w:r>
      <w:r w:rsidR="00437A80" w:rsidRPr="00A923F6">
        <w:t xml:space="preserve"> Anon</w:t>
      </w:r>
      <w:r w:rsidR="00A923F6">
        <w:t>.</w:t>
      </w:r>
      <w:r w:rsidR="00E774B5">
        <w:t>,</w:t>
      </w:r>
      <w:r w:rsidR="00A923F6">
        <w:t xml:space="preserve"> </w:t>
      </w:r>
      <w:r w:rsidR="00437A80" w:rsidRPr="00A923F6">
        <w:t>1972</w:t>
      </w:r>
      <w:r w:rsidR="00A923F6">
        <w:t xml:space="preserve">; </w:t>
      </w:r>
      <w:r w:rsidR="00437A80" w:rsidRPr="00A923F6">
        <w:t>Edwards</w:t>
      </w:r>
      <w:r w:rsidR="00E774B5">
        <w:t>,</w:t>
      </w:r>
      <w:r w:rsidR="00A923F6">
        <w:t xml:space="preserve"> </w:t>
      </w:r>
      <w:r w:rsidR="00437A80" w:rsidRPr="00A923F6">
        <w:t>1977</w:t>
      </w:r>
      <w:r w:rsidR="00A923F6">
        <w:t xml:space="preserve">; </w:t>
      </w:r>
      <w:r w:rsidR="00437A80" w:rsidRPr="00A923F6">
        <w:t>Kennedy</w:t>
      </w:r>
      <w:r w:rsidR="00E774B5">
        <w:t>,</w:t>
      </w:r>
      <w:r w:rsidR="00A923F6">
        <w:t xml:space="preserve"> </w:t>
      </w:r>
      <w:r w:rsidR="00437A80" w:rsidRPr="00A923F6">
        <w:t>1984</w:t>
      </w:r>
      <w:r w:rsidR="00702C81">
        <w:t>(a)</w:t>
      </w:r>
      <w:r w:rsidR="00A923F6">
        <w:t xml:space="preserve">; </w:t>
      </w:r>
      <w:r w:rsidR="00437A80" w:rsidRPr="00A923F6">
        <w:t>Massey</w:t>
      </w:r>
      <w:r w:rsidR="00E774B5">
        <w:t>,</w:t>
      </w:r>
      <w:r w:rsidR="00A923F6">
        <w:t xml:space="preserve"> </w:t>
      </w:r>
      <w:r w:rsidR="00437A80" w:rsidRPr="00A923F6">
        <w:t>1987</w:t>
      </w:r>
      <w:r w:rsidR="00423536">
        <w:t>(b)</w:t>
      </w:r>
      <w:r w:rsidR="00A923F6">
        <w:t>;</w:t>
      </w:r>
      <w:r w:rsidR="00437A80" w:rsidRPr="00A923F6">
        <w:t xml:space="preserve"> Anderson and Lant</w:t>
      </w:r>
      <w:r w:rsidR="00E774B5">
        <w:t>,</w:t>
      </w:r>
      <w:r w:rsidR="00A923F6">
        <w:t xml:space="preserve"> </w:t>
      </w:r>
      <w:r w:rsidR="00437A80" w:rsidRPr="00A923F6">
        <w:t>1994</w:t>
      </w:r>
      <w:r w:rsidR="00DC4A35">
        <w:t>(a)</w:t>
      </w:r>
      <w:r w:rsidR="00A923F6">
        <w:t>;</w:t>
      </w:r>
      <w:r w:rsidR="00437A80" w:rsidRPr="00A923F6">
        <w:t xml:space="preserve"> Anon.</w:t>
      </w:r>
      <w:r w:rsidR="00E774B5">
        <w:t>,</w:t>
      </w:r>
      <w:r w:rsidR="00437A80" w:rsidRPr="00A923F6">
        <w:t xml:space="preserve"> </w:t>
      </w:r>
      <w:r w:rsidR="00317566">
        <w:t>no date(a)</w:t>
      </w:r>
      <w:r w:rsidR="00A923F6">
        <w:t>)</w:t>
      </w:r>
      <w:r w:rsidR="00702C81">
        <w:t>.</w:t>
      </w:r>
      <w:r w:rsidRPr="00A923F6">
        <w:t xml:space="preserve"> </w:t>
      </w:r>
      <w:r>
        <w:t>In one trial residues of 0.10 and 0.03</w:t>
      </w:r>
      <w:r w:rsidR="00B21B57">
        <w:t> </w:t>
      </w:r>
      <w:r>
        <w:t>mg/kg were measured in samples taken 6</w:t>
      </w:r>
      <w:r w:rsidR="00B21B57">
        <w:t>–</w:t>
      </w:r>
      <w:r>
        <w:t xml:space="preserve">7 days after the last of </w:t>
      </w:r>
      <w:r w:rsidR="00B21B57">
        <w:t>3</w:t>
      </w:r>
      <w:r>
        <w:t xml:space="preserve"> applications of 0.8 kg </w:t>
      </w:r>
      <w:r w:rsidR="00572A0C">
        <w:t>ac/ha</w:t>
      </w:r>
      <w:r>
        <w:t>. In another trial residues were found of 0.05, 0.04, 0.03 and 0.02 mg/kg in samples taken 15 days after single applications of 0.56</w:t>
      </w:r>
      <w:r w:rsidR="00B21B57">
        <w:t>–</w:t>
      </w:r>
      <w:r>
        <w:t xml:space="preserve">1.12 kg </w:t>
      </w:r>
      <w:r w:rsidR="00572A0C">
        <w:t>ac/ha</w:t>
      </w:r>
      <w:r>
        <w:t xml:space="preserve">. One trial had residues of 0.08 and 0.14 mg/kg 11 days after applications of 1.2 and </w:t>
      </w:r>
      <w:r>
        <w:lastRenderedPageBreak/>
        <w:t>2.4</w:t>
      </w:r>
      <w:r w:rsidR="00B21B57">
        <w:t> </w:t>
      </w:r>
      <w:r>
        <w:t>kg</w:t>
      </w:r>
      <w:r w:rsidR="00B21B57">
        <w:t> </w:t>
      </w:r>
      <w:r w:rsidR="00572A0C">
        <w:t>ac/ha</w:t>
      </w:r>
      <w:r>
        <w:t xml:space="preserve">, respectively. Another had residues of 0.06 mg/kg in the unbrushed onion when sampled immediately after an application of 0.3 kg </w:t>
      </w:r>
      <w:r w:rsidR="00572A0C">
        <w:t>ac/ha</w:t>
      </w:r>
      <w:r>
        <w:t xml:space="preserve">. Detectable residues of diquat were measured in </w:t>
      </w:r>
      <w:r w:rsidR="00B21B57">
        <w:t>2</w:t>
      </w:r>
      <w:r>
        <w:t xml:space="preserve"> additional trials with residue up to 0.02 mg/kg in samples taken from </w:t>
      </w:r>
      <w:r w:rsidR="00B21B57">
        <w:t>zero</w:t>
      </w:r>
      <w:r>
        <w:t xml:space="preserve"> to 14 days after an application of 0.9 kg </w:t>
      </w:r>
      <w:r w:rsidR="00572A0C">
        <w:t>ac/ha</w:t>
      </w:r>
      <w:r>
        <w:t xml:space="preserve"> and residues up to 0.04</w:t>
      </w:r>
      <w:r w:rsidR="00B21B57">
        <w:t> </w:t>
      </w:r>
      <w:r>
        <w:t xml:space="preserve">mg/kg in samples taken from </w:t>
      </w:r>
      <w:r w:rsidR="00B21B57">
        <w:t>zero</w:t>
      </w:r>
      <w:r>
        <w:t xml:space="preserve"> to 21 days after the last of </w:t>
      </w:r>
      <w:r w:rsidR="00B21B57">
        <w:t>3</w:t>
      </w:r>
      <w:r>
        <w:t xml:space="preserve"> applications of 0.75 kg </w:t>
      </w:r>
      <w:r w:rsidR="00572A0C">
        <w:t>ac/ha</w:t>
      </w:r>
      <w:r>
        <w:t>.</w:t>
      </w:r>
    </w:p>
    <w:p w14:paraId="1D7D452A" w14:textId="04EB0953" w:rsidR="00F945C3" w:rsidRDefault="00F945C3" w:rsidP="00F945C3">
      <w:pPr>
        <w:pStyle w:val="NormalText"/>
      </w:pPr>
      <w:r>
        <w:t xml:space="preserve">The </w:t>
      </w:r>
      <w:r w:rsidR="00E07A4D">
        <w:t>high</w:t>
      </w:r>
      <w:r w:rsidR="002E2C30">
        <w:t>est</w:t>
      </w:r>
      <w:r w:rsidR="00E07A4D">
        <w:t xml:space="preserve"> residue</w:t>
      </w:r>
      <w:r>
        <w:t>s reported in bulb onions</w:t>
      </w:r>
      <w:r w:rsidR="00B21B57">
        <w:t>,</w:t>
      </w:r>
      <w:r>
        <w:t xml:space="preserve"> which was relevant to the Australian use rate of 0.</w:t>
      </w:r>
      <w:r w:rsidRPr="00B21B57">
        <w:t>8</w:t>
      </w:r>
      <w:r w:rsidR="00B21B57">
        <w:t> </w:t>
      </w:r>
      <w:r w:rsidRPr="00B21B57">
        <w:t>kg</w:t>
      </w:r>
      <w:r w:rsidR="00B21B57">
        <w:t> </w:t>
      </w:r>
      <w:r w:rsidR="00572A0C">
        <w:t>ac/ha</w:t>
      </w:r>
      <w:r w:rsidR="00B21B57">
        <w:t>,</w:t>
      </w:r>
      <w:r>
        <w:t xml:space="preserve"> was </w:t>
      </w:r>
      <w:r w:rsidRPr="00B30C78">
        <w:t xml:space="preserve">0.10 mg/kg after 3 applications of 0.8 kg </w:t>
      </w:r>
      <w:r w:rsidR="00572A0C">
        <w:t>ac/ha</w:t>
      </w:r>
      <w:r>
        <w:t xml:space="preserve"> and an MRL at 0.2 mg/kg is considered appropriate for bulb onions. It is noted that the available onion trials addressed the bulb only, and residues data for green onions (or the leaves of onions) is not available. The representative crops for the bulb vegetable crop group are bulb onions (from the bulb onion subgroup) and spring onion (from the green onion subgroup)</w:t>
      </w:r>
      <w:r w:rsidR="00E61669">
        <w:rPr>
          <w:rFonts w:ascii="ZWAdobeF" w:hAnsi="ZWAdobeF" w:cs="ZWAdobeF"/>
          <w:sz w:val="2"/>
          <w:szCs w:val="2"/>
        </w:rPr>
        <w:t>5F</w:t>
      </w:r>
      <w:r w:rsidR="00602535">
        <w:rPr>
          <w:rFonts w:ascii="ZWAdobeF" w:hAnsi="ZWAdobeF" w:cs="ZWAdobeF"/>
          <w:sz w:val="2"/>
          <w:szCs w:val="2"/>
        </w:rPr>
        <w:t>6F</w:t>
      </w:r>
      <w:r>
        <w:rPr>
          <w:rStyle w:val="FootnoteReference"/>
        </w:rPr>
        <w:footnoteReference w:id="8"/>
      </w:r>
      <w:r>
        <w:t>. The residue potential from the post emergent shielded spray use may be higher for green onions than bulb onions as the edible commodity for green onions is above ground.</w:t>
      </w:r>
    </w:p>
    <w:p w14:paraId="69D314FA" w14:textId="77777777" w:rsidR="00F945C3" w:rsidRDefault="00F945C3" w:rsidP="00F945C3">
      <w:pPr>
        <w:pStyle w:val="NormalText"/>
      </w:pPr>
      <w:r w:rsidRPr="009B18B7">
        <w:t>The available diquat residues data supports continued use i</w:t>
      </w:r>
      <w:r>
        <w:t>n the bulb onion subgroup, which includes bulb onions, shallots and garlic (among others). In the absence of residues data for spring onion or other members of the green onion subgroup, continued use in members of the green onion subgroup is not supported noting that finite residues may be expected and a robust assessment of the potential for residues in green onions cannot be performed without specific residues data.</w:t>
      </w:r>
    </w:p>
    <w:p w14:paraId="61D8A7EA" w14:textId="77777777" w:rsidR="00F945C3" w:rsidRDefault="00F945C3" w:rsidP="00F945C3">
      <w:pPr>
        <w:pStyle w:val="NormalText"/>
      </w:pPr>
      <w:r>
        <w:t>The recommended entry into the MRL Standard for bulb onions is:</w:t>
      </w:r>
    </w:p>
    <w:p w14:paraId="7A695876" w14:textId="2B94D65E" w:rsidR="00F945C3" w:rsidRDefault="00F945C3" w:rsidP="00B21B57">
      <w:pPr>
        <w:pStyle w:val="Bullet1"/>
      </w:pPr>
      <w:r>
        <w:tab/>
        <w:t>VA 2031 Bulb onions</w:t>
      </w:r>
      <w:r>
        <w:tab/>
      </w:r>
      <w:r>
        <w:tab/>
      </w:r>
      <w:r w:rsidR="0016566A">
        <w:tab/>
      </w:r>
      <w:r w:rsidR="0016566A">
        <w:tab/>
      </w:r>
      <w:r w:rsidR="0016566A">
        <w:tab/>
      </w:r>
      <w:r w:rsidR="0016566A">
        <w:tab/>
      </w:r>
      <w:r w:rsidR="0016566A">
        <w:tab/>
      </w:r>
      <w:r w:rsidR="0016566A">
        <w:tab/>
      </w:r>
      <w:r>
        <w:t>0.2 mg/kg</w:t>
      </w:r>
    </w:p>
    <w:p w14:paraId="65540AF8" w14:textId="4998E605" w:rsidR="00AB7F9A" w:rsidRDefault="00F945C3" w:rsidP="00AB7F9A">
      <w:pPr>
        <w:pStyle w:val="NormalText"/>
      </w:pPr>
      <w:r>
        <w:t xml:space="preserve">Although the </w:t>
      </w:r>
      <w:r w:rsidR="00E07A4D">
        <w:t>high residue</w:t>
      </w:r>
      <w:r w:rsidR="009E3126">
        <w:t xml:space="preserve"> (HR)</w:t>
      </w:r>
      <w:r>
        <w:t xml:space="preserve"> was observed at 6</w:t>
      </w:r>
      <w:r w:rsidR="00B21B57">
        <w:t>–</w:t>
      </w:r>
      <w:r>
        <w:t xml:space="preserve">7 days after application at 0.8 kg </w:t>
      </w:r>
      <w:r w:rsidR="00572A0C">
        <w:t>ac/ha</w:t>
      </w:r>
      <w:r>
        <w:t xml:space="preserve"> (1×), a </w:t>
      </w:r>
      <w:r w:rsidR="00B21B57">
        <w:t>‘</w:t>
      </w:r>
      <w:r>
        <w:t>Not required when used as directed</w:t>
      </w:r>
      <w:r w:rsidR="00B21B57">
        <w:t>’</w:t>
      </w:r>
      <w:r>
        <w:t xml:space="preserve"> withholding period is considered suitable for shielded spray application post emergence, noting also that lower residues were observed immediately after application and that an MRL has been recommended to cover the observed </w:t>
      </w:r>
      <w:r w:rsidR="009E3126">
        <w:t>HR</w:t>
      </w:r>
      <w:r>
        <w:t>.</w:t>
      </w:r>
    </w:p>
    <w:p w14:paraId="7A1D6FB5" w14:textId="30F9418A" w:rsidR="00F945C3" w:rsidRPr="00FD56EC" w:rsidRDefault="00F945C3" w:rsidP="0026666F">
      <w:pPr>
        <w:pStyle w:val="Heading4"/>
      </w:pPr>
      <w:r w:rsidRPr="00FD56EC">
        <w:t>Brassica vegetables</w:t>
      </w:r>
    </w:p>
    <w:p w14:paraId="5834CC5B" w14:textId="6BE9A2F9" w:rsidR="00F945C3" w:rsidRDefault="00F945C3" w:rsidP="00F945C3">
      <w:pPr>
        <w:pStyle w:val="NormalText"/>
      </w:pPr>
      <w:r>
        <w:t xml:space="preserve">The available diquat residue trials on </w:t>
      </w:r>
      <w:r w:rsidR="00B21B57">
        <w:t>b</w:t>
      </w:r>
      <w:r>
        <w:t>rassica vegetables (broccoli, cabbage, Chinese cabbage, cauliflower and Brussels sprouts) are summarised below.</w:t>
      </w:r>
      <w:r w:rsidR="00E774B5">
        <w:t xml:space="preserve"> </w:t>
      </w:r>
      <w:r>
        <w:t xml:space="preserve">The maximum Australian label rate is up to 0.8 kg </w:t>
      </w:r>
      <w:r w:rsidR="00572A0C">
        <w:t>ac/ha</w:t>
      </w:r>
      <w:r>
        <w:t xml:space="preserve"> for row crops and market gardens which may include brassica vegetables. The use is pre-emergence or by shielded spray post emergence.</w:t>
      </w:r>
    </w:p>
    <w:p w14:paraId="6517483C" w14:textId="46630294" w:rsidR="0087735C" w:rsidRDefault="00F945C3" w:rsidP="00F945C3">
      <w:pPr>
        <w:pStyle w:val="NormalText"/>
      </w:pPr>
      <w:r w:rsidRPr="00D8157A">
        <w:t xml:space="preserve">Overseas trials </w:t>
      </w:r>
      <w:r>
        <w:t xml:space="preserve">were </w:t>
      </w:r>
      <w:r w:rsidRPr="00D8157A">
        <w:t>conducted on broccoli</w:t>
      </w:r>
      <w:r>
        <w:t xml:space="preserve"> and</w:t>
      </w:r>
      <w:r w:rsidRPr="00D8157A">
        <w:t xml:space="preserve"> cauliflower</w:t>
      </w:r>
      <w:r>
        <w:t>, which are members of the flowerhead brassica subgroup as well as cabbage and Chinese cabbage which are members of the head brassica subgroup.</w:t>
      </w:r>
    </w:p>
    <w:p w14:paraId="7C90A9C1" w14:textId="47D17118" w:rsidR="00F945C3" w:rsidRDefault="00F945C3" w:rsidP="00F945C3">
      <w:pPr>
        <w:pStyle w:val="NormalText"/>
      </w:pPr>
      <w:r>
        <w:lastRenderedPageBreak/>
        <w:t>A single trial on Brussels sprouts was provided however that trial was considered to be unreliable. The representative crops for brassica vegetable crop group</w:t>
      </w:r>
      <w:r w:rsidR="00E61669">
        <w:rPr>
          <w:rFonts w:ascii="ZWAdobeF" w:hAnsi="ZWAdobeF" w:cs="ZWAdobeF"/>
          <w:sz w:val="2"/>
          <w:szCs w:val="2"/>
        </w:rPr>
        <w:t>6F</w:t>
      </w:r>
      <w:r w:rsidR="00602535">
        <w:rPr>
          <w:rFonts w:ascii="ZWAdobeF" w:hAnsi="ZWAdobeF" w:cs="ZWAdobeF"/>
          <w:sz w:val="2"/>
          <w:szCs w:val="2"/>
        </w:rPr>
        <w:t>7F</w:t>
      </w:r>
      <w:r>
        <w:rPr>
          <w:rStyle w:val="FootnoteReference"/>
        </w:rPr>
        <w:footnoteReference w:id="9"/>
      </w:r>
      <w:r>
        <w:t xml:space="preserve"> are broccoli or cauliflower, head cabbage and Brussels sprouts.</w:t>
      </w:r>
    </w:p>
    <w:p w14:paraId="54CD4421" w14:textId="65BA2CD6" w:rsidR="00F945C3" w:rsidRDefault="00F945C3" w:rsidP="00F945C3">
      <w:pPr>
        <w:pStyle w:val="NormalText"/>
      </w:pPr>
      <w:r>
        <w:t xml:space="preserve">In the trials conducted on broccoli, cauliflower, cabbage and Chinese cabbage, one to </w:t>
      </w:r>
      <w:r w:rsidR="00B21B57">
        <w:t>3</w:t>
      </w:r>
      <w:r>
        <w:t xml:space="preserve"> applications were made at rates of 0.5 to 2.2 kg </w:t>
      </w:r>
      <w:r w:rsidR="00572A0C">
        <w:t>ac/ha</w:t>
      </w:r>
      <w:r>
        <w:t>. Samples were collected 7</w:t>
      </w:r>
      <w:r w:rsidR="00B21B57">
        <w:t>–</w:t>
      </w:r>
      <w:r>
        <w:t>50 days after the last application. Residues of diquat were not detected in any of these trials (LOQ 0.01 to 0.02 mg/kg</w:t>
      </w:r>
      <w:r w:rsidRPr="00A923F6">
        <w:t>)</w:t>
      </w:r>
      <w:r w:rsidR="00A923F6" w:rsidRPr="00A923F6">
        <w:t>(McKenna</w:t>
      </w:r>
      <w:r w:rsidR="00E774B5">
        <w:t>,</w:t>
      </w:r>
      <w:r w:rsidR="00A923F6" w:rsidRPr="00A923F6">
        <w:t xml:space="preserve"> 1966; Edwards</w:t>
      </w:r>
      <w:r w:rsidR="00E774B5">
        <w:t>,</w:t>
      </w:r>
      <w:r w:rsidR="00A923F6" w:rsidRPr="00A923F6">
        <w:t xml:space="preserve"> 1977)</w:t>
      </w:r>
      <w:r w:rsidRPr="00A923F6">
        <w:t>.</w:t>
      </w:r>
    </w:p>
    <w:p w14:paraId="61BB78EF" w14:textId="77777777" w:rsidR="00F945C3" w:rsidRDefault="00F945C3" w:rsidP="00F945C3">
      <w:pPr>
        <w:pStyle w:val="NormalText"/>
      </w:pPr>
      <w:r w:rsidRPr="00D8157A">
        <w:t xml:space="preserve">The available diquat residues data supports continued use in </w:t>
      </w:r>
      <w:r>
        <w:t>the specific brassica vegetables for which there is suitable residues data, namely broccoli, cauliflower, cabbage and Chinese cabbage</w:t>
      </w:r>
      <w:r w:rsidRPr="00D8157A">
        <w:t xml:space="preserve">. In the absence of residues data for </w:t>
      </w:r>
      <w:r>
        <w:t>Brussels sprouts, which is a representative crop, use in Brussels sprouts or the entire brassica vegetable crop group is not supported due to a lack of relevant residues data (for Brussels sprouts). The recommended entries into the MRL Standard for Brassica vegetables are:</w:t>
      </w:r>
    </w:p>
    <w:p w14:paraId="61496062" w14:textId="5992A031" w:rsidR="00F945C3" w:rsidRPr="001C28C0" w:rsidRDefault="00F945C3" w:rsidP="00B21B57">
      <w:pPr>
        <w:pStyle w:val="Bullet1"/>
      </w:pPr>
      <w:bookmarkStart w:id="198" w:name="_Hlk157584742"/>
      <w:r w:rsidRPr="001C28C0">
        <w:t xml:space="preserve">VB 0400 </w:t>
      </w:r>
      <w:r w:rsidRPr="001C28C0">
        <w:tab/>
        <w:t xml:space="preserve">Broccoli </w:t>
      </w:r>
      <w:r w:rsidRPr="001C28C0">
        <w:tab/>
      </w:r>
      <w:r w:rsidRPr="001C28C0">
        <w:tab/>
      </w:r>
      <w:r w:rsidRPr="001C28C0">
        <w:tab/>
      </w:r>
      <w:r w:rsidRPr="001C28C0">
        <w:tab/>
      </w:r>
      <w:r w:rsidRPr="001C28C0">
        <w:tab/>
      </w:r>
      <w:r w:rsidR="0016566A">
        <w:tab/>
      </w:r>
      <w:r w:rsidR="0016566A">
        <w:tab/>
      </w:r>
      <w:r w:rsidR="0016566A">
        <w:tab/>
      </w:r>
      <w:r w:rsidRPr="001C28C0">
        <w:t>*0.02 mg/kg</w:t>
      </w:r>
    </w:p>
    <w:p w14:paraId="57038829" w14:textId="48F05809" w:rsidR="00F945C3" w:rsidRPr="00D8157A" w:rsidRDefault="00F945C3" w:rsidP="00B21B57">
      <w:pPr>
        <w:pStyle w:val="Bullet1"/>
      </w:pPr>
      <w:r w:rsidRPr="00D8157A">
        <w:t>VB 0</w:t>
      </w:r>
      <w:r>
        <w:t>0</w:t>
      </w:r>
      <w:r w:rsidRPr="00D8157A">
        <w:t xml:space="preserve">41 </w:t>
      </w:r>
      <w:r w:rsidRPr="00D8157A">
        <w:tab/>
        <w:t xml:space="preserve">Cabbages, </w:t>
      </w:r>
      <w:r>
        <w:t>h</w:t>
      </w:r>
      <w:r w:rsidRPr="00D8157A">
        <w:t>ead</w:t>
      </w:r>
      <w:r w:rsidRPr="00D8157A">
        <w:tab/>
      </w:r>
      <w:r>
        <w:tab/>
      </w:r>
      <w:r>
        <w:tab/>
      </w:r>
      <w:r>
        <w:tab/>
      </w:r>
      <w:r w:rsidR="0016566A">
        <w:tab/>
      </w:r>
      <w:r w:rsidR="0016566A">
        <w:tab/>
      </w:r>
      <w:r w:rsidR="0016566A">
        <w:tab/>
      </w:r>
      <w:r w:rsidRPr="00D8157A">
        <w:t>*0.02 mg/kg</w:t>
      </w:r>
    </w:p>
    <w:p w14:paraId="3D8B70B3" w14:textId="476E3094" w:rsidR="00F945C3" w:rsidRPr="00D8157A" w:rsidRDefault="00F945C3" w:rsidP="00B21B57">
      <w:pPr>
        <w:pStyle w:val="Bullet1"/>
      </w:pPr>
      <w:r w:rsidRPr="00D8157A">
        <w:t xml:space="preserve">VB 0404 </w:t>
      </w:r>
      <w:r w:rsidRPr="00D8157A">
        <w:tab/>
        <w:t>Cauliflower</w:t>
      </w:r>
      <w:r w:rsidRPr="00D8157A">
        <w:tab/>
      </w:r>
      <w:r w:rsidRPr="00D8157A">
        <w:tab/>
        <w:t xml:space="preserve"> </w:t>
      </w:r>
      <w:r w:rsidRPr="00D8157A">
        <w:tab/>
      </w:r>
      <w:r>
        <w:tab/>
      </w:r>
      <w:r>
        <w:tab/>
      </w:r>
      <w:r w:rsidR="0016566A">
        <w:tab/>
      </w:r>
      <w:r w:rsidR="0016566A">
        <w:tab/>
      </w:r>
      <w:r w:rsidR="0016566A">
        <w:tab/>
      </w:r>
      <w:r w:rsidRPr="00D8157A">
        <w:t>*0.02 mg/kg</w:t>
      </w:r>
    </w:p>
    <w:p w14:paraId="296F5AC5" w14:textId="694A7967" w:rsidR="00F945C3" w:rsidRPr="00D8157A" w:rsidRDefault="00F945C3" w:rsidP="00B21B57">
      <w:pPr>
        <w:pStyle w:val="Bullet1"/>
      </w:pPr>
      <w:r w:rsidRPr="00D8157A">
        <w:t xml:space="preserve">VB 0467 </w:t>
      </w:r>
      <w:r w:rsidRPr="00D8157A">
        <w:tab/>
        <w:t>Chinese cabbage (type</w:t>
      </w:r>
      <w:r>
        <w:t xml:space="preserve"> Pe-tsai)</w:t>
      </w:r>
      <w:r w:rsidRPr="00D8157A">
        <w:tab/>
      </w:r>
      <w:r w:rsidRPr="00D8157A">
        <w:tab/>
      </w:r>
      <w:r w:rsidR="0016566A">
        <w:tab/>
      </w:r>
      <w:r w:rsidR="0016566A">
        <w:tab/>
      </w:r>
      <w:r w:rsidR="0016566A">
        <w:tab/>
      </w:r>
      <w:r w:rsidRPr="00D8157A">
        <w:t>*0.02 mg/kg</w:t>
      </w:r>
    </w:p>
    <w:bookmarkEnd w:id="198"/>
    <w:p w14:paraId="25C2C83E" w14:textId="264D4944" w:rsidR="00F945C3" w:rsidRDefault="00F945C3" w:rsidP="00F945C3">
      <w:pPr>
        <w:pStyle w:val="NormalText"/>
      </w:pPr>
      <w:r>
        <w:t>As the use is pre-emergence or by shielded spray, a harvest withholding period statement of ‘Not Required when used as directed’ is supported for broccoli, cauliflower, cabbage and Chinese cabbage.</w:t>
      </w:r>
    </w:p>
    <w:p w14:paraId="63C4E39B" w14:textId="264D4944" w:rsidR="00F945C3" w:rsidRPr="000D678E" w:rsidRDefault="00F945C3" w:rsidP="0026666F">
      <w:pPr>
        <w:pStyle w:val="Heading4"/>
      </w:pPr>
      <w:r w:rsidRPr="000D678E">
        <w:t>F</w:t>
      </w:r>
      <w:r w:rsidRPr="0026666F">
        <w:rPr>
          <w:rStyle w:val="Heading4Char"/>
        </w:rPr>
        <w:t>ruiting vegetables (other than cucurbits)</w:t>
      </w:r>
    </w:p>
    <w:p w14:paraId="64387599" w14:textId="294BB32F" w:rsidR="00F945C3" w:rsidRDefault="00F945C3" w:rsidP="00F945C3">
      <w:pPr>
        <w:pStyle w:val="NormalText"/>
      </w:pPr>
      <w:r>
        <w:t xml:space="preserve">The available diquat residue trials on </w:t>
      </w:r>
      <w:r w:rsidR="00B21B57">
        <w:t>f</w:t>
      </w:r>
      <w:r>
        <w:t>ruiting vegetables, other than cucurbits (tomatoes, capsicums) are summarised below.</w:t>
      </w:r>
      <w:r w:rsidR="00384433">
        <w:t xml:space="preserve"> </w:t>
      </w:r>
      <w:r>
        <w:t xml:space="preserve">The maximum Australian label rate is up to 0.8 kg </w:t>
      </w:r>
      <w:r w:rsidR="00572A0C">
        <w:t>ac/ha</w:t>
      </w:r>
      <w:r>
        <w:t xml:space="preserve"> for row crops and market gardens</w:t>
      </w:r>
      <w:r w:rsidR="003955FB">
        <w:t>,</w:t>
      </w:r>
      <w:r>
        <w:t xml:space="preserve"> which may include fruiting vegetables. The use is pre-emergence or by shielded spray post emergence. In the single overseas capsicum (sweet pepper) trial residues of diquat were not detected in the whole fruit when applied once at 2.2 kg </w:t>
      </w:r>
      <w:r w:rsidR="00572A0C">
        <w:t>ac/ha</w:t>
      </w:r>
      <w:r>
        <w:t xml:space="preserve"> and sampled 22 days later (LOQ 0.05 mg/kg</w:t>
      </w:r>
      <w:r w:rsidR="00A923F6">
        <w:t xml:space="preserve">; </w:t>
      </w:r>
      <w:r w:rsidR="00A923F6" w:rsidRPr="00A923F6">
        <w:t>McKenna</w:t>
      </w:r>
      <w:r w:rsidR="007834E0">
        <w:t>,</w:t>
      </w:r>
      <w:r w:rsidR="00A923F6" w:rsidRPr="00A923F6">
        <w:t xml:space="preserve"> 1966)</w:t>
      </w:r>
      <w:r w:rsidRPr="00A923F6">
        <w:t>. In</w:t>
      </w:r>
      <w:r>
        <w:t xml:space="preserve"> </w:t>
      </w:r>
      <w:r w:rsidR="003955FB">
        <w:t>2</w:t>
      </w:r>
      <w:r>
        <w:t xml:space="preserve"> overseas tomato trials, residues were not detected in whole fruit of tomatoes when applied one or </w:t>
      </w:r>
      <w:r w:rsidR="003955FB">
        <w:t>3</w:t>
      </w:r>
      <w:r>
        <w:t xml:space="preserve"> times at 0.6 kg </w:t>
      </w:r>
      <w:r w:rsidR="00572A0C">
        <w:t>ac/ha</w:t>
      </w:r>
      <w:r>
        <w:t xml:space="preserve"> and sampled 6</w:t>
      </w:r>
      <w:r w:rsidR="003955FB">
        <w:t>–</w:t>
      </w:r>
      <w:r>
        <w:t>7 days later, nor were residues detected when diquat was applied in overhead irrigation water at 0.1</w:t>
      </w:r>
      <w:r w:rsidR="003955FB">
        <w:t> </w:t>
      </w:r>
      <w:r>
        <w:t>ppm (LOQ 0.01 mg/kg</w:t>
      </w:r>
      <w:r w:rsidR="00A923F6">
        <w:t xml:space="preserve">; </w:t>
      </w:r>
      <w:r w:rsidR="00A923F6" w:rsidRPr="00A923F6">
        <w:t>McKenna 1966</w:t>
      </w:r>
      <w:r>
        <w:t>). The 2013 JMPR considered additional residue data for tomatoes involving inter-row directed sprays for weed control (</w:t>
      </w:r>
      <w:r w:rsidR="00C036EF">
        <w:t>preharvest interval (</w:t>
      </w:r>
      <w:r>
        <w:t>PHI</w:t>
      </w:r>
      <w:r w:rsidR="00C036EF">
        <w:t>)</w:t>
      </w:r>
      <w:r>
        <w:t xml:space="preserve"> 15 days) and concluded there is no expectation of residues above the LOQ (0.01 mg/kg</w:t>
      </w:r>
      <w:r w:rsidR="00A923F6" w:rsidRPr="00A923F6">
        <w:t>; Edwards MJ</w:t>
      </w:r>
      <w:r w:rsidR="007834E0">
        <w:t>,</w:t>
      </w:r>
      <w:r w:rsidR="00A923F6" w:rsidRPr="00A923F6">
        <w:t xml:space="preserve"> (1977</w:t>
      </w:r>
      <w:r w:rsidRPr="00A923F6">
        <w:t>).</w:t>
      </w:r>
    </w:p>
    <w:p w14:paraId="27C83341" w14:textId="77777777" w:rsidR="0087735C" w:rsidRDefault="00F945C3" w:rsidP="00F945C3">
      <w:pPr>
        <w:pStyle w:val="NormalText"/>
      </w:pPr>
      <w:r w:rsidRPr="00D8157A">
        <w:t xml:space="preserve">The available diquat residues data supports continued use in </w:t>
      </w:r>
      <w:r>
        <w:t xml:space="preserve">fruiting vegetables (other than cucurbits) noting that residues data is available for the </w:t>
      </w:r>
      <w:r w:rsidR="003955FB">
        <w:t>2</w:t>
      </w:r>
      <w:r>
        <w:t xml:space="preserve"> representative crops of tomatoes and peppers</w:t>
      </w:r>
      <w:r w:rsidRPr="00D8157A">
        <w:t>.</w:t>
      </w:r>
    </w:p>
    <w:p w14:paraId="650463C5" w14:textId="793CAD10" w:rsidR="00F945C3" w:rsidRDefault="00F945C3" w:rsidP="00F945C3">
      <w:pPr>
        <w:pStyle w:val="NormalText"/>
      </w:pPr>
      <w:r>
        <w:lastRenderedPageBreak/>
        <w:t>The recommended entry into the MRL Standard for Fruiting vegetables, other than cucurbits is as follows noting that the predominant LOQ in the available trials was 0.01 mg/kg:</w:t>
      </w:r>
    </w:p>
    <w:p w14:paraId="2EA21FC4" w14:textId="464ED808" w:rsidR="00F945C3" w:rsidRDefault="00F945C3" w:rsidP="003955FB">
      <w:pPr>
        <w:pStyle w:val="Bullet1"/>
      </w:pPr>
      <w:r>
        <w:t>VO 0050</w:t>
      </w:r>
      <w:r w:rsidR="003955FB">
        <w:tab/>
      </w:r>
      <w:r w:rsidR="003955FB">
        <w:tab/>
      </w:r>
      <w:r>
        <w:t>Fruiting vegetables, other than cucurbits</w:t>
      </w:r>
      <w:r>
        <w:tab/>
      </w:r>
      <w:r w:rsidR="0016566A">
        <w:tab/>
      </w:r>
      <w:r w:rsidR="0016566A">
        <w:tab/>
      </w:r>
      <w:r>
        <w:tab/>
        <w:t>*0.01 mg/kg</w:t>
      </w:r>
    </w:p>
    <w:p w14:paraId="28CFB44C" w14:textId="13F5E162" w:rsidR="00F945C3" w:rsidRDefault="00F945C3" w:rsidP="00F945C3">
      <w:pPr>
        <w:pStyle w:val="NormalText"/>
      </w:pPr>
      <w:r>
        <w:t xml:space="preserve">As the use is pre-emergence or by shielded spray, a harvest withholding period statement of ‘Not Required when used as directed’ is supported for </w:t>
      </w:r>
      <w:r w:rsidR="003955FB">
        <w:t>f</w:t>
      </w:r>
      <w:r>
        <w:t>ruiting vegetables, other than cucurbits.</w:t>
      </w:r>
    </w:p>
    <w:p w14:paraId="37607393" w14:textId="77777777" w:rsidR="00F945C3" w:rsidRPr="00FD56EC" w:rsidRDefault="00F945C3" w:rsidP="0026666F">
      <w:pPr>
        <w:pStyle w:val="Heading4"/>
      </w:pPr>
      <w:r>
        <w:t>Leafy vegetables</w:t>
      </w:r>
    </w:p>
    <w:p w14:paraId="21A39A5E" w14:textId="5F66C9EC" w:rsidR="00F945C3" w:rsidRDefault="00F945C3" w:rsidP="00F945C3">
      <w:pPr>
        <w:pStyle w:val="NormalText"/>
      </w:pPr>
      <w:r>
        <w:t>The available diquat residue trials on lettuce are summarised below. Relevant data for radish leaves are also summarised below.</w:t>
      </w:r>
      <w:r w:rsidR="00384433">
        <w:t xml:space="preserve"> </w:t>
      </w:r>
      <w:r>
        <w:t xml:space="preserve">The maximum Australian label rate is up to 0.8 kg </w:t>
      </w:r>
      <w:r w:rsidR="00572A0C">
        <w:t>ac/ha</w:t>
      </w:r>
      <w:r>
        <w:t xml:space="preserve"> for row crops and market gardens which may include leafy vegetables. The use is pre-emergence or by shielded spray post emergence.</w:t>
      </w:r>
    </w:p>
    <w:p w14:paraId="1C65DB3F" w14:textId="7227CBD5" w:rsidR="00F945C3" w:rsidRDefault="00F945C3" w:rsidP="00F945C3">
      <w:pPr>
        <w:pStyle w:val="NormalText"/>
      </w:pPr>
      <w:r>
        <w:t>A number of overseas trials conducted on head lettuce or leaf lettuce were provided</w:t>
      </w:r>
      <w:r w:rsidR="008464CF">
        <w:t xml:space="preserve"> </w:t>
      </w:r>
      <w:r w:rsidR="008464CF" w:rsidRPr="008464CF">
        <w:t>(McKenna</w:t>
      </w:r>
      <w:r w:rsidR="007834E0">
        <w:t>,</w:t>
      </w:r>
      <w:r w:rsidR="008464CF">
        <w:t xml:space="preserve"> </w:t>
      </w:r>
      <w:r w:rsidR="008464CF" w:rsidRPr="008464CF">
        <w:t>1966</w:t>
      </w:r>
      <w:r w:rsidR="008464CF">
        <w:t xml:space="preserve">; </w:t>
      </w:r>
      <w:r w:rsidR="008464CF" w:rsidRPr="008464CF">
        <w:t>Edwards</w:t>
      </w:r>
      <w:r w:rsidR="007834E0">
        <w:t>,</w:t>
      </w:r>
      <w:r w:rsidR="008464CF">
        <w:t xml:space="preserve"> 19</w:t>
      </w:r>
      <w:r w:rsidR="008464CF" w:rsidRPr="008464CF">
        <w:t>77</w:t>
      </w:r>
      <w:r w:rsidR="008464CF">
        <w:t>;</w:t>
      </w:r>
      <w:r w:rsidR="008464CF" w:rsidRPr="008464CF">
        <w:t xml:space="preserve"> Kennedy</w:t>
      </w:r>
      <w:r w:rsidR="007834E0">
        <w:t>,</w:t>
      </w:r>
      <w:r w:rsidR="008464CF">
        <w:t xml:space="preserve"> </w:t>
      </w:r>
      <w:r w:rsidR="008464CF" w:rsidRPr="008464CF">
        <w:t>1984</w:t>
      </w:r>
      <w:r w:rsidR="00702C81">
        <w:t>(a)</w:t>
      </w:r>
      <w:r w:rsidR="008464CF">
        <w:t xml:space="preserve">; </w:t>
      </w:r>
      <w:r w:rsidR="008464CF" w:rsidRPr="008464CF">
        <w:t>Massey</w:t>
      </w:r>
      <w:r w:rsidR="007834E0">
        <w:t>,</w:t>
      </w:r>
      <w:r w:rsidR="008464CF">
        <w:t xml:space="preserve"> </w:t>
      </w:r>
      <w:r w:rsidR="008464CF" w:rsidRPr="008464CF">
        <w:t>1987</w:t>
      </w:r>
      <w:r w:rsidR="00423536">
        <w:t>(c)</w:t>
      </w:r>
      <w:r w:rsidR="008464CF">
        <w:t>;</w:t>
      </w:r>
      <w:r w:rsidR="008464CF" w:rsidRPr="008464CF">
        <w:t xml:space="preserve"> Anderson and Lant</w:t>
      </w:r>
      <w:r w:rsidR="007834E0">
        <w:t>,</w:t>
      </w:r>
      <w:r w:rsidR="008464CF">
        <w:t xml:space="preserve"> </w:t>
      </w:r>
      <w:r w:rsidR="008464CF" w:rsidRPr="008464CF">
        <w:t>1994</w:t>
      </w:r>
      <w:r w:rsidR="00DC4A35">
        <w:t>(a)</w:t>
      </w:r>
      <w:r w:rsidR="008464CF" w:rsidRPr="008464CF">
        <w:t>)</w:t>
      </w:r>
      <w:r>
        <w:t xml:space="preserve">. In trials that involved one to </w:t>
      </w:r>
      <w:r w:rsidR="00F2438F">
        <w:t>2 </w:t>
      </w:r>
      <w:r>
        <w:t xml:space="preserve">applications at rates approximate to the Australian rate (0.7–1 kg </w:t>
      </w:r>
      <w:r w:rsidR="00572A0C">
        <w:t>ac/ha</w:t>
      </w:r>
      <w:r>
        <w:t xml:space="preserve">), residues were 0.01 (2), &lt;0.02, 0.07, 0.13, 0.23 and 0.91 mg/kg at a </w:t>
      </w:r>
      <w:r w:rsidR="00F2438F">
        <w:t>zero</w:t>
      </w:r>
      <w:r>
        <w:t xml:space="preserve"> day PHI. In the same trials, residues were &lt;0.01, 0.01, &lt;0.02 (2), 0.03, 0.05 and 0.07 mg/kg at a 7</w:t>
      </w:r>
      <w:r w:rsidR="00F2438F">
        <w:t>–</w:t>
      </w:r>
      <w:r>
        <w:t>10 day PHI.</w:t>
      </w:r>
      <w:r w:rsidRPr="001C28C0">
        <w:t xml:space="preserve"> It is noted that the post-emergence treatments in the trials did not involve shielded sprayer and therefore represent a worst case.</w:t>
      </w:r>
    </w:p>
    <w:p w14:paraId="0A98C43A" w14:textId="2AC56A2F" w:rsidR="00F945C3" w:rsidRDefault="00F945C3" w:rsidP="00F945C3">
      <w:pPr>
        <w:pStyle w:val="NormalText"/>
      </w:pPr>
      <w:r>
        <w:t xml:space="preserve">Residues in radish leaves at </w:t>
      </w:r>
      <w:r w:rsidR="00F2438F">
        <w:t>zero</w:t>
      </w:r>
      <w:r>
        <w:t xml:space="preserve"> days after the last of 4 applications at 0.6 kg </w:t>
      </w:r>
      <w:r w:rsidR="00572A0C">
        <w:t>ac/ha</w:t>
      </w:r>
      <w:r>
        <w:t xml:space="preserve"> were 0.03 mg/kg, and &lt;0.01</w:t>
      </w:r>
      <w:r w:rsidR="00F2438F">
        <w:t> </w:t>
      </w:r>
      <w:r>
        <w:t>mg/kg at 8 days after the last of 3 applications at the sam</w:t>
      </w:r>
      <w:r w:rsidRPr="00930726">
        <w:t>e rate</w:t>
      </w:r>
      <w:r w:rsidR="00930726" w:rsidRPr="00930726">
        <w:t xml:space="preserve"> (Calderbank and Yuan 1963)</w:t>
      </w:r>
      <w:r w:rsidRPr="00930726">
        <w:t>.</w:t>
      </w:r>
    </w:p>
    <w:p w14:paraId="21AC8B5C" w14:textId="48EC8B8C" w:rsidR="00F945C3" w:rsidRPr="001255BA" w:rsidRDefault="00F945C3" w:rsidP="00F945C3">
      <w:pPr>
        <w:pStyle w:val="NormalText"/>
      </w:pPr>
      <w:r>
        <w:t xml:space="preserve">While a </w:t>
      </w:r>
      <w:r w:rsidR="009E3126">
        <w:t>HR</w:t>
      </w:r>
      <w:r w:rsidR="004B79F5">
        <w:t xml:space="preserve"> </w:t>
      </w:r>
      <w:r>
        <w:t xml:space="preserve">of 0.91 mg/kg was observed in lettuce at a </w:t>
      </w:r>
      <w:r w:rsidR="00F2438F">
        <w:t>zero</w:t>
      </w:r>
      <w:r>
        <w:t xml:space="preserve"> day PHI, that sampling time is not relevant to pre-emergent </w:t>
      </w:r>
      <w:r w:rsidR="00F2438F">
        <w:t>application,</w:t>
      </w:r>
      <w:r>
        <w:t xml:space="preserve"> and it is considered that post-emergent shielded spray applications would not be made close to harvest and crops should not be directly contacted with diquat spray under normal agronomic practice. The samples lettuce and radish leaf samples collected 7</w:t>
      </w:r>
      <w:r w:rsidR="00F2438F">
        <w:t>–</w:t>
      </w:r>
      <w:r>
        <w:t xml:space="preserve">10 days after application are considered to represent the realistic worse case residue potential. The OECD MRL calculator recommends </w:t>
      </w:r>
      <w:r w:rsidRPr="001C28C0">
        <w:t xml:space="preserve">an MRL of 0.15 mg/kg based on </w:t>
      </w:r>
      <w:r w:rsidR="00384433">
        <w:t>t</w:t>
      </w:r>
      <w:r w:rsidRPr="001C28C0">
        <w:t>he 7</w:t>
      </w:r>
      <w:r w:rsidR="00F2438F">
        <w:t>–</w:t>
      </w:r>
      <w:r w:rsidRPr="001C28C0">
        <w:t>10 day data</w:t>
      </w:r>
      <w:r>
        <w:t xml:space="preserve">. A MRL at 0.2 mg/kg is considered to be appropriate leafy vegetables noting that one relevant trial is from radish leaves (from the </w:t>
      </w:r>
      <w:r w:rsidR="00F2438F">
        <w:t>b</w:t>
      </w:r>
      <w:r>
        <w:t>rassica leafy vegetable subgroup</w:t>
      </w:r>
      <w:r w:rsidR="00E61669">
        <w:rPr>
          <w:rFonts w:ascii="ZWAdobeF" w:hAnsi="ZWAdobeF" w:cs="ZWAdobeF"/>
          <w:sz w:val="2"/>
          <w:szCs w:val="2"/>
        </w:rPr>
        <w:t>7F</w:t>
      </w:r>
      <w:r w:rsidR="00602535">
        <w:rPr>
          <w:rFonts w:ascii="ZWAdobeF" w:hAnsi="ZWAdobeF" w:cs="ZWAdobeF"/>
          <w:sz w:val="2"/>
          <w:szCs w:val="2"/>
        </w:rPr>
        <w:t>8F</w:t>
      </w:r>
      <w:r>
        <w:rPr>
          <w:rStyle w:val="FootnoteReference"/>
        </w:rPr>
        <w:footnoteReference w:id="10"/>
      </w:r>
      <w:r>
        <w:t>).</w:t>
      </w:r>
    </w:p>
    <w:p w14:paraId="736B1B4A" w14:textId="1F271170" w:rsidR="00F945C3" w:rsidRDefault="00F945C3" w:rsidP="00F945C3">
      <w:pPr>
        <w:pStyle w:val="NormalText"/>
      </w:pPr>
      <w:r w:rsidRPr="00D8157A">
        <w:t xml:space="preserve">The available diquat residues data supports continued use in </w:t>
      </w:r>
      <w:r>
        <w:t xml:space="preserve">leafy vegetables. The recommended entry into the MRL Standard for </w:t>
      </w:r>
      <w:r w:rsidR="00F2438F">
        <w:t>l</w:t>
      </w:r>
      <w:r>
        <w:t>eafy vegetables is:</w:t>
      </w:r>
    </w:p>
    <w:p w14:paraId="5CA672B9" w14:textId="0560970C" w:rsidR="00F945C3" w:rsidRDefault="00F945C3" w:rsidP="00F2438F">
      <w:pPr>
        <w:pStyle w:val="Bullet1"/>
      </w:pPr>
      <w:r>
        <w:t>VL 0053</w:t>
      </w:r>
      <w:r w:rsidR="00F2438F">
        <w:tab/>
      </w:r>
      <w:r>
        <w:t>Leafy vegetables</w:t>
      </w:r>
      <w:r>
        <w:tab/>
      </w:r>
      <w:r>
        <w:tab/>
      </w:r>
      <w:r w:rsidR="0016566A">
        <w:tab/>
      </w:r>
      <w:r w:rsidR="0016566A">
        <w:tab/>
      </w:r>
      <w:r w:rsidR="0016566A">
        <w:tab/>
      </w:r>
      <w:r w:rsidR="0016566A">
        <w:tab/>
      </w:r>
      <w:r w:rsidR="0016566A">
        <w:tab/>
      </w:r>
      <w:r>
        <w:t>0.2 mg/kg</w:t>
      </w:r>
    </w:p>
    <w:p w14:paraId="2D4F48D8" w14:textId="318DE85C" w:rsidR="00F945C3" w:rsidRDefault="00F945C3" w:rsidP="00F945C3">
      <w:pPr>
        <w:pStyle w:val="NormalText"/>
      </w:pPr>
      <w:r>
        <w:t xml:space="preserve">As the use is </w:t>
      </w:r>
      <w:r w:rsidR="00384433">
        <w:t>p</w:t>
      </w:r>
      <w:r>
        <w:t>re-emergence or by shielded spray, a harvest withholding period statement of ‘Not Required when used as directed’ is supported for leafy vegetables.</w:t>
      </w:r>
    </w:p>
    <w:p w14:paraId="4821F254" w14:textId="1B9442B2" w:rsidR="00F945C3" w:rsidRDefault="00F945C3" w:rsidP="0026666F">
      <w:pPr>
        <w:pStyle w:val="Heading4"/>
      </w:pPr>
      <w:r>
        <w:lastRenderedPageBreak/>
        <w:t>Legume vegetables</w:t>
      </w:r>
    </w:p>
    <w:p w14:paraId="7B3207B7" w14:textId="328C37A3" w:rsidR="00F945C3" w:rsidRPr="00FD56EC" w:rsidRDefault="00F945C3" w:rsidP="00F945C3">
      <w:pPr>
        <w:pStyle w:val="NormalText"/>
        <w:rPr>
          <w:u w:val="single"/>
        </w:rPr>
      </w:pPr>
      <w:r>
        <w:t>The available diquat residue trials on legume vegetables (peas and beans) are summarised below.</w:t>
      </w:r>
      <w:r w:rsidR="00384433">
        <w:t xml:space="preserve"> </w:t>
      </w:r>
      <w:r>
        <w:t xml:space="preserve">The maximum Australian label rate is up to 0.8 kg </w:t>
      </w:r>
      <w:r w:rsidR="00572A0C">
        <w:t>ac/ha</w:t>
      </w:r>
      <w:r>
        <w:t xml:space="preserve"> for row crops and market gardens</w:t>
      </w:r>
      <w:r w:rsidR="00F2438F">
        <w:t>,</w:t>
      </w:r>
      <w:r>
        <w:t xml:space="preserve"> which may include legume vegetables. The use is pre-emergence or by shielded spray post emergence. Overseas trials for peas and beans have been provided</w:t>
      </w:r>
      <w:r w:rsidR="00AB7F9A">
        <w:t xml:space="preserve"> </w:t>
      </w:r>
      <w:r w:rsidR="00AB7F9A" w:rsidRPr="00AB7F9A">
        <w:t>(</w:t>
      </w:r>
      <w:r w:rsidR="00870AF9" w:rsidRPr="00AB7F9A">
        <w:t>Anon.</w:t>
      </w:r>
      <w:r w:rsidR="007834E0">
        <w:t>,</w:t>
      </w:r>
      <w:r w:rsidR="00870AF9" w:rsidRPr="00AB7F9A">
        <w:t xml:space="preserve"> </w:t>
      </w:r>
      <w:r w:rsidR="00317566">
        <w:t>no date</w:t>
      </w:r>
      <w:r w:rsidR="00443CC8">
        <w:t>(b)</w:t>
      </w:r>
      <w:r w:rsidR="00870AF9">
        <w:t>;</w:t>
      </w:r>
      <w:r w:rsidR="00870AF9" w:rsidRPr="00AB7F9A">
        <w:t xml:space="preserve"> </w:t>
      </w:r>
      <w:r w:rsidR="00AB7F9A" w:rsidRPr="00AB7F9A">
        <w:t>Calderbank and Yuan</w:t>
      </w:r>
      <w:r w:rsidR="007834E0">
        <w:t>,</w:t>
      </w:r>
      <w:r w:rsidR="00AB7F9A">
        <w:t xml:space="preserve"> </w:t>
      </w:r>
      <w:r w:rsidR="00AB7F9A" w:rsidRPr="00AB7F9A">
        <w:t>1963</w:t>
      </w:r>
      <w:r w:rsidR="00AB7F9A">
        <w:t>;</w:t>
      </w:r>
      <w:r w:rsidR="00AB7F9A" w:rsidRPr="00AB7F9A">
        <w:t xml:space="preserve"> Calderbank and McKenna</w:t>
      </w:r>
      <w:r w:rsidR="007834E0">
        <w:t>,</w:t>
      </w:r>
      <w:r w:rsidR="00AB7F9A">
        <w:t xml:space="preserve"> </w:t>
      </w:r>
      <w:r w:rsidR="00AB7F9A" w:rsidRPr="00AB7F9A">
        <w:t>1964</w:t>
      </w:r>
      <w:r w:rsidR="00AB7F9A">
        <w:t>;</w:t>
      </w:r>
      <w:r w:rsidR="00AB7F9A" w:rsidRPr="00AB7F9A">
        <w:t xml:space="preserve"> McKenna</w:t>
      </w:r>
      <w:r w:rsidR="007834E0">
        <w:t>,</w:t>
      </w:r>
      <w:r w:rsidR="00AB7F9A">
        <w:t xml:space="preserve"> </w:t>
      </w:r>
      <w:r w:rsidR="00AB7F9A" w:rsidRPr="00AB7F9A">
        <w:t>1966</w:t>
      </w:r>
      <w:r w:rsidR="00AB7F9A">
        <w:t>;</w:t>
      </w:r>
      <w:r w:rsidR="00AB7F9A" w:rsidRPr="00AB7F9A">
        <w:t xml:space="preserve"> </w:t>
      </w:r>
      <w:r w:rsidR="00A932B7" w:rsidRPr="00AB7F9A">
        <w:t>Anon</w:t>
      </w:r>
      <w:r w:rsidR="00A932B7">
        <w:t>.,</w:t>
      </w:r>
      <w:r w:rsidR="00A932B7" w:rsidRPr="00AB7F9A">
        <w:t xml:space="preserve"> 19</w:t>
      </w:r>
      <w:r w:rsidR="00A932B7">
        <w:t xml:space="preserve">72; </w:t>
      </w:r>
      <w:r w:rsidR="00AB7F9A" w:rsidRPr="00AB7F9A">
        <w:t>Edwards</w:t>
      </w:r>
      <w:r w:rsidR="007834E0">
        <w:t>,</w:t>
      </w:r>
      <w:r w:rsidR="00AB7F9A">
        <w:t xml:space="preserve"> </w:t>
      </w:r>
      <w:r w:rsidR="00AB7F9A" w:rsidRPr="00AB7F9A">
        <w:t>1977</w:t>
      </w:r>
      <w:r w:rsidR="00AB7F9A">
        <w:t>;</w:t>
      </w:r>
      <w:r w:rsidR="00AB7F9A" w:rsidRPr="00AB7F9A">
        <w:t xml:space="preserve"> </w:t>
      </w:r>
      <w:bookmarkStart w:id="199" w:name="_Hlk167717714"/>
      <w:r w:rsidR="00870AF9" w:rsidRPr="00AB7F9A">
        <w:t>Anon</w:t>
      </w:r>
      <w:r w:rsidR="00870AF9">
        <w:t>.</w:t>
      </w:r>
      <w:r w:rsidR="007834E0">
        <w:t>,</w:t>
      </w:r>
      <w:r w:rsidR="00870AF9" w:rsidRPr="00AB7F9A">
        <w:t xml:space="preserve"> 1980</w:t>
      </w:r>
      <w:bookmarkEnd w:id="199"/>
      <w:r w:rsidR="006209C4">
        <w:t>(a)</w:t>
      </w:r>
      <w:r w:rsidR="00870AF9">
        <w:t xml:space="preserve">; </w:t>
      </w:r>
      <w:r w:rsidR="00AB7F9A" w:rsidRPr="00AB7F9A">
        <w:t>Culoto</w:t>
      </w:r>
      <w:r w:rsidR="00AB7F9A">
        <w:t xml:space="preserve"> </w:t>
      </w:r>
      <w:r w:rsidR="00AB7F9A" w:rsidRPr="00AB7F9A">
        <w:t>and de Mallmann</w:t>
      </w:r>
      <w:r w:rsidR="007834E0">
        <w:t>,</w:t>
      </w:r>
      <w:r w:rsidR="00AB7F9A">
        <w:t xml:space="preserve"> 1</w:t>
      </w:r>
      <w:r w:rsidR="00AB7F9A" w:rsidRPr="00AB7F9A">
        <w:t>982</w:t>
      </w:r>
      <w:r w:rsidR="00AB7F9A">
        <w:t>; S</w:t>
      </w:r>
      <w:r w:rsidR="00AB7F9A" w:rsidRPr="00AB7F9A">
        <w:t>waine</w:t>
      </w:r>
      <w:r w:rsidR="007834E0">
        <w:t>,</w:t>
      </w:r>
      <w:r w:rsidR="00AB7F9A">
        <w:t xml:space="preserve"> </w:t>
      </w:r>
      <w:r w:rsidR="00AB7F9A" w:rsidRPr="00AB7F9A">
        <w:t>1983</w:t>
      </w:r>
      <w:r w:rsidR="008247E7">
        <w:t>(a)</w:t>
      </w:r>
      <w:r w:rsidR="00AB7F9A">
        <w:t xml:space="preserve">; </w:t>
      </w:r>
      <w:r w:rsidR="00A932B7" w:rsidRPr="00A932B7">
        <w:t>Culoto, 1985</w:t>
      </w:r>
      <w:r w:rsidR="0011740A">
        <w:t>(a)</w:t>
      </w:r>
      <w:r w:rsidR="00A932B7">
        <w:t>;</w:t>
      </w:r>
      <w:r w:rsidR="00A932B7" w:rsidRPr="00A932B7">
        <w:t xml:space="preserve"> </w:t>
      </w:r>
      <w:r w:rsidR="00AB7F9A" w:rsidRPr="00AB7F9A">
        <w:t>Kennedy</w:t>
      </w:r>
      <w:r w:rsidR="007834E0">
        <w:t>,</w:t>
      </w:r>
      <w:r w:rsidR="00AB7F9A">
        <w:t xml:space="preserve"> </w:t>
      </w:r>
      <w:r w:rsidR="00AB7F9A" w:rsidRPr="00AB7F9A">
        <w:t>1985</w:t>
      </w:r>
      <w:r w:rsidR="00702C81">
        <w:t>(a)</w:t>
      </w:r>
      <w:r w:rsidR="00AB7F9A">
        <w:t>;</w:t>
      </w:r>
      <w:r w:rsidR="00AB7F9A" w:rsidRPr="00AB7F9A">
        <w:t xml:space="preserve"> </w:t>
      </w:r>
      <w:r w:rsidR="00A932B7" w:rsidRPr="00A932B7">
        <w:t>Kennedy, 1986</w:t>
      </w:r>
      <w:r w:rsidR="007B0EC4">
        <w:t>(b)</w:t>
      </w:r>
      <w:r w:rsidR="00A932B7">
        <w:t xml:space="preserve">; </w:t>
      </w:r>
      <w:r w:rsidR="00AB7F9A" w:rsidRPr="00AB7F9A">
        <w:t>Massey</w:t>
      </w:r>
      <w:r w:rsidR="007834E0">
        <w:t>,</w:t>
      </w:r>
      <w:r w:rsidR="00AB7F9A">
        <w:t xml:space="preserve"> </w:t>
      </w:r>
      <w:r w:rsidR="00AB7F9A" w:rsidRPr="00AB7F9A">
        <w:t>1987</w:t>
      </w:r>
      <w:r w:rsidR="00423536">
        <w:t>(d)</w:t>
      </w:r>
      <w:r w:rsidR="00AB7F9A">
        <w:t>;</w:t>
      </w:r>
      <w:r w:rsidR="00A932B7">
        <w:t xml:space="preserve"> Anon., 1987;</w:t>
      </w:r>
      <w:r w:rsidR="00AB7F9A" w:rsidRPr="00AB7F9A">
        <w:t xml:space="preserve"> Earl</w:t>
      </w:r>
      <w:r w:rsidR="007834E0">
        <w:t>,</w:t>
      </w:r>
      <w:r w:rsidR="00AB7F9A">
        <w:t xml:space="preserve"> </w:t>
      </w:r>
      <w:r w:rsidR="00AB7F9A" w:rsidRPr="00AB7F9A">
        <w:t>1991</w:t>
      </w:r>
      <w:r w:rsidR="009E1C3B">
        <w:t>(a)</w:t>
      </w:r>
      <w:r w:rsidR="00AB7F9A">
        <w:t>;</w:t>
      </w:r>
      <w:r w:rsidR="00AB7F9A" w:rsidRPr="00AB7F9A">
        <w:t xml:space="preserve"> Ear</w:t>
      </w:r>
      <w:r w:rsidR="00AB7F9A">
        <w:t>l</w:t>
      </w:r>
      <w:r w:rsidR="00AB7F9A" w:rsidRPr="00AB7F9A">
        <w:t xml:space="preserve"> and Hall</w:t>
      </w:r>
      <w:r w:rsidR="007834E0">
        <w:t>,</w:t>
      </w:r>
      <w:r w:rsidR="00AB7F9A">
        <w:t xml:space="preserve"> </w:t>
      </w:r>
      <w:r w:rsidR="00AB7F9A" w:rsidRPr="00AB7F9A">
        <w:t>1994</w:t>
      </w:r>
      <w:r w:rsidR="00AB7F9A">
        <w:t>;</w:t>
      </w:r>
      <w:r w:rsidR="00AB7F9A" w:rsidRPr="00AB7F9A">
        <w:t xml:space="preserve"> Roper</w:t>
      </w:r>
      <w:r w:rsidR="007834E0">
        <w:t xml:space="preserve">, </w:t>
      </w:r>
      <w:r w:rsidR="00AB7F9A" w:rsidRPr="00AB7F9A">
        <w:t>1995</w:t>
      </w:r>
      <w:r w:rsidR="00A932B7">
        <w:t>(a,b)</w:t>
      </w:r>
      <w:r w:rsidR="00870AF9">
        <w:t>;</w:t>
      </w:r>
      <w:r w:rsidR="00AB7F9A" w:rsidRPr="00AB7F9A">
        <w:t xml:space="preserve"> Roper</w:t>
      </w:r>
      <w:r w:rsidR="007834E0">
        <w:t xml:space="preserve">, </w:t>
      </w:r>
      <w:r w:rsidR="00AB7F9A" w:rsidRPr="00AB7F9A">
        <w:t>1996).</w:t>
      </w:r>
      <w:r w:rsidRPr="00AB7F9A">
        <w:t xml:space="preserve"> It </w:t>
      </w:r>
      <w:r>
        <w:t xml:space="preserve">was not always clear from the submitted trial information whether the peas and beans were harvested when succulent (legume vegetables), or dried (pulses) but given that the use on legume vegetables </w:t>
      </w:r>
      <w:r w:rsidRPr="00D8157A">
        <w:t>pre-emergence or by shielded spray post emergence</w:t>
      </w:r>
      <w:r>
        <w:t>, the pre-emergent trials on peas and beans are considered relevant.</w:t>
      </w:r>
    </w:p>
    <w:p w14:paraId="495EFAAE" w14:textId="46208801" w:rsidR="00F945C3" w:rsidRDefault="00F945C3" w:rsidP="00F945C3">
      <w:pPr>
        <w:pStyle w:val="NormalText"/>
      </w:pPr>
      <w:r>
        <w:t xml:space="preserve">For </w:t>
      </w:r>
      <w:r w:rsidR="00F2438F">
        <w:t>8</w:t>
      </w:r>
      <w:r>
        <w:t xml:space="preserve"> overseas trials where a pre-emergence or post-emergence application was made to peas, no detectable residues of diquat were found in the pea seed, pods or stalks/vines (LOQ 0.05–0.1 mg/kg). Rates in these trials ranged from 0.14 to 1.12 kg </w:t>
      </w:r>
      <w:r w:rsidR="00572A0C">
        <w:t>ac/ha</w:t>
      </w:r>
      <w:r>
        <w:t xml:space="preserve">. In one trial with a pre-emergence application of 1.7 kg </w:t>
      </w:r>
      <w:r w:rsidR="00572A0C">
        <w:t>ac/ha</w:t>
      </w:r>
      <w:r>
        <w:t xml:space="preserve"> residues of 0.06</w:t>
      </w:r>
      <w:r w:rsidR="00F2438F">
        <w:t> </w:t>
      </w:r>
      <w:r>
        <w:t>mg/kg were measured but that residue would scale to below the LOQ of 0.05 mg/kg when corrected for the Australian application rate (0.8 kg</w:t>
      </w:r>
      <w:r w:rsidR="00AD5D0A">
        <w:t xml:space="preserve"> ac</w:t>
      </w:r>
      <w:r w:rsidR="00F262F0">
        <w:t>/ha</w:t>
      </w:r>
      <w:r>
        <w:t xml:space="preserve">). In one trial on snap beans residues of diquat were not detected after an application of 2.24 kg </w:t>
      </w:r>
      <w:r w:rsidR="00572A0C">
        <w:t>ac/ha</w:t>
      </w:r>
      <w:r>
        <w:t xml:space="preserve"> (LOQ 0.05 mg/kg). Samples were taken 22 days after application and although not stated, snap beans are routinely harvested green, therefore this trial represents the Australian use pattern of weed control for legume vegetables (when corrected for rate). Based on this data, the</w:t>
      </w:r>
      <w:r w:rsidRPr="00823E68">
        <w:t xml:space="preserve"> pre-emergence and post-emergence</w:t>
      </w:r>
      <w:r>
        <w:t xml:space="preserve"> (shielded sprayer)</w:t>
      </w:r>
      <w:r w:rsidRPr="00823E68">
        <w:t xml:space="preserve"> use pattern </w:t>
      </w:r>
      <w:r>
        <w:t xml:space="preserve">where the maximum Australian rate is 0.8 kg </w:t>
      </w:r>
      <w:r w:rsidR="00572A0C">
        <w:t>ac/ha</w:t>
      </w:r>
      <w:r>
        <w:t xml:space="preserve"> </w:t>
      </w:r>
      <w:r w:rsidRPr="00823E68">
        <w:t>is not likely to result in detectable residues</w:t>
      </w:r>
      <w:r>
        <w:t xml:space="preserve"> in peas and beans at commercial maturity.</w:t>
      </w:r>
    </w:p>
    <w:p w14:paraId="7FD5A3C5" w14:textId="77777777" w:rsidR="00F945C3" w:rsidRDefault="00F945C3" w:rsidP="00F945C3">
      <w:pPr>
        <w:pStyle w:val="NormalText"/>
      </w:pPr>
      <w:bookmarkStart w:id="200" w:name="_Hlk157686813"/>
      <w:r>
        <w:t>The available diquat residues data supports continued use in legume vegetables</w:t>
      </w:r>
      <w:bookmarkEnd w:id="200"/>
      <w:r>
        <w:t>. The recommended entry into the MRL Standard for legume vegetables is:</w:t>
      </w:r>
    </w:p>
    <w:p w14:paraId="7E51E49A" w14:textId="1118F44B" w:rsidR="00F945C3" w:rsidRDefault="00F945C3" w:rsidP="00F2438F">
      <w:pPr>
        <w:pStyle w:val="Bullet1"/>
      </w:pPr>
      <w:r>
        <w:t>VP 0060</w:t>
      </w:r>
      <w:r w:rsidR="00F2438F">
        <w:tab/>
      </w:r>
      <w:r w:rsidR="00F2438F">
        <w:tab/>
      </w:r>
      <w:r>
        <w:t>Legume vegetables</w:t>
      </w:r>
      <w:r>
        <w:tab/>
      </w:r>
      <w:r>
        <w:tab/>
      </w:r>
      <w:r w:rsidR="0016566A">
        <w:tab/>
      </w:r>
      <w:r w:rsidR="0016566A">
        <w:tab/>
      </w:r>
      <w:r w:rsidR="0016566A">
        <w:tab/>
      </w:r>
      <w:r w:rsidR="0016566A">
        <w:tab/>
      </w:r>
      <w:r w:rsidR="0016566A">
        <w:tab/>
      </w:r>
      <w:r>
        <w:t>*0.05 mg/kg</w:t>
      </w:r>
    </w:p>
    <w:p w14:paraId="705CF50F" w14:textId="658F6ADE" w:rsidR="00384433" w:rsidRDefault="00F945C3" w:rsidP="00384433">
      <w:pPr>
        <w:pStyle w:val="NormalText"/>
      </w:pPr>
      <w:r>
        <w:t>As the use is pre-emergence or by shielded spray, a harvest withholding period statement of ‘Not Required when used as directed’ is supported for legume vegetables.</w:t>
      </w:r>
    </w:p>
    <w:p w14:paraId="20CB9DB1" w14:textId="33F421E6" w:rsidR="00F945C3" w:rsidRPr="00FD56EC" w:rsidRDefault="00F945C3" w:rsidP="0026666F">
      <w:pPr>
        <w:pStyle w:val="Heading4"/>
      </w:pPr>
      <w:r w:rsidRPr="00FD56EC">
        <w:t>Root and tuber vegetables</w:t>
      </w:r>
    </w:p>
    <w:p w14:paraId="0190737E" w14:textId="2D2A4812" w:rsidR="00F945C3" w:rsidRDefault="00F945C3" w:rsidP="00F945C3">
      <w:pPr>
        <w:pStyle w:val="NormalText"/>
      </w:pPr>
      <w:r>
        <w:t>The available diquat residue trials on root and tuber vegetables (po</w:t>
      </w:r>
      <w:r w:rsidRPr="00C169CD">
        <w:t>tato, radish, turnip, sugar beet and car</w:t>
      </w:r>
      <w:r>
        <w:t>rot) are summarised below.</w:t>
      </w:r>
      <w:r w:rsidR="00384433">
        <w:t xml:space="preserve"> </w:t>
      </w:r>
      <w:r w:rsidRPr="00D37B1F">
        <w:t xml:space="preserve">The maximum Australian </w:t>
      </w:r>
      <w:r w:rsidR="00384433">
        <w:t>label rate</w:t>
      </w:r>
      <w:r w:rsidRPr="00D37B1F">
        <w:t xml:space="preserve"> </w:t>
      </w:r>
      <w:r>
        <w:t xml:space="preserve">for potatoes </w:t>
      </w:r>
      <w:r w:rsidRPr="00D37B1F">
        <w:t xml:space="preserve">is </w:t>
      </w:r>
      <w:r>
        <w:t xml:space="preserve">0.368 kg </w:t>
      </w:r>
      <w:r w:rsidR="00572A0C">
        <w:t>ac/ha</w:t>
      </w:r>
      <w:r>
        <w:t xml:space="preserve"> for post-emergence and pre-harvest weed control and </w:t>
      </w:r>
      <w:r w:rsidRPr="00D37B1F">
        <w:t>0.</w:t>
      </w:r>
      <w:r>
        <w:t>8</w:t>
      </w:r>
      <w:r w:rsidRPr="00D37B1F">
        <w:t xml:space="preserve"> kg </w:t>
      </w:r>
      <w:r w:rsidR="00572A0C">
        <w:t>ac/ha</w:t>
      </w:r>
      <w:r w:rsidRPr="00D37B1F">
        <w:t xml:space="preserve"> </w:t>
      </w:r>
      <w:r>
        <w:t>for</w:t>
      </w:r>
      <w:r w:rsidRPr="00D37B1F">
        <w:t xml:space="preserve"> pre-harvest desiccation</w:t>
      </w:r>
      <w:r>
        <w:t xml:space="preserve">. The withholding period is 7 days for the pre-harvest desiccation application. Another use allows application to potatoes at 368 g </w:t>
      </w:r>
      <w:r w:rsidR="00572A0C">
        <w:t>ac/ha</w:t>
      </w:r>
      <w:r>
        <w:t xml:space="preserve"> at 3</w:t>
      </w:r>
      <w:r w:rsidR="00F2438F">
        <w:t>–</w:t>
      </w:r>
      <w:r>
        <w:t>7 days before digging, while there is a pre-harvest desiccation use on sweet potatoes which allows application at 800</w:t>
      </w:r>
      <w:r w:rsidR="00F2438F">
        <w:t> </w:t>
      </w:r>
      <w:r>
        <w:t>g</w:t>
      </w:r>
      <w:r w:rsidR="00F2438F">
        <w:t> </w:t>
      </w:r>
      <w:r w:rsidR="00572A0C">
        <w:t>ac/ha</w:t>
      </w:r>
      <w:r>
        <w:t xml:space="preserve"> with a 14 day withholding period. Other root and tuber vegetables are covered by the general row crop and market garden pre-emergent or post emergent shielded spray application use at 0.8 kg </w:t>
      </w:r>
      <w:r w:rsidR="00572A0C">
        <w:t>ac/ha</w:t>
      </w:r>
      <w:r>
        <w:t>.</w:t>
      </w:r>
    </w:p>
    <w:p w14:paraId="1DAB6744" w14:textId="36542479" w:rsidR="00F945C3" w:rsidRDefault="00F945C3" w:rsidP="00F945C3">
      <w:pPr>
        <w:pStyle w:val="NormalText"/>
      </w:pPr>
      <w:r w:rsidRPr="00BA565F">
        <w:t>Twelve reports were submitted containing results of residues trials from Australia and overseas on potatoes</w:t>
      </w:r>
      <w:r w:rsidR="00557AB1" w:rsidRPr="00BA565F">
        <w:t xml:space="preserve"> </w:t>
      </w:r>
      <w:bookmarkStart w:id="201" w:name="_Hlk160788929"/>
      <w:bookmarkStart w:id="202" w:name="_Hlk160784554"/>
      <w:r w:rsidR="00623952" w:rsidRPr="00BA565F">
        <w:t>(</w:t>
      </w:r>
      <w:r w:rsidR="00557AB1" w:rsidRPr="00BA565F">
        <w:t>Calderbank and Yuan</w:t>
      </w:r>
      <w:r w:rsidR="0012318E">
        <w:t>,</w:t>
      </w:r>
      <w:r w:rsidR="00557AB1" w:rsidRPr="00BA565F">
        <w:t xml:space="preserve"> 1963</w:t>
      </w:r>
      <w:bookmarkEnd w:id="201"/>
      <w:r w:rsidR="00623952" w:rsidRPr="00BA565F">
        <w:t>;</w:t>
      </w:r>
      <w:bookmarkEnd w:id="202"/>
      <w:r w:rsidR="00557AB1" w:rsidRPr="00BA565F">
        <w:t xml:space="preserve"> C</w:t>
      </w:r>
      <w:bookmarkStart w:id="203" w:name="_Hlk160784653"/>
      <w:r w:rsidR="00557AB1" w:rsidRPr="00BA565F">
        <w:t>alderbank and McKenna</w:t>
      </w:r>
      <w:r w:rsidR="0012318E">
        <w:t>,</w:t>
      </w:r>
      <w:r w:rsidR="00623952" w:rsidRPr="00BA565F">
        <w:t xml:space="preserve"> </w:t>
      </w:r>
      <w:r w:rsidR="00557AB1" w:rsidRPr="00BA565F">
        <w:t>1964</w:t>
      </w:r>
      <w:r w:rsidR="00623952" w:rsidRPr="00BA565F">
        <w:t>;</w:t>
      </w:r>
      <w:bookmarkStart w:id="204" w:name="_Hlk160788089"/>
      <w:bookmarkEnd w:id="203"/>
      <w:r w:rsidR="00557AB1" w:rsidRPr="00BA565F">
        <w:t xml:space="preserve"> McKenna</w:t>
      </w:r>
      <w:r w:rsidR="0012318E">
        <w:t>,</w:t>
      </w:r>
      <w:r w:rsidR="00557AB1" w:rsidRPr="00BA565F">
        <w:t xml:space="preserve"> 1966</w:t>
      </w:r>
      <w:r w:rsidR="00623952" w:rsidRPr="00BA565F">
        <w:t>;</w:t>
      </w:r>
      <w:bookmarkEnd w:id="204"/>
      <w:r w:rsidR="00557AB1" w:rsidRPr="00BA565F">
        <w:t xml:space="preserve"> Swaine</w:t>
      </w:r>
      <w:r w:rsidR="0012318E">
        <w:t>,</w:t>
      </w:r>
      <w:r w:rsidR="00557AB1" w:rsidRPr="00BA565F">
        <w:t xml:space="preserve"> 1982</w:t>
      </w:r>
      <w:r w:rsidR="008247E7">
        <w:t>(a)</w:t>
      </w:r>
      <w:r w:rsidR="00623952" w:rsidRPr="00BA565F">
        <w:t>;</w:t>
      </w:r>
      <w:r w:rsidR="00557AB1" w:rsidRPr="00BA565F">
        <w:t xml:space="preserve"> Kennedy</w:t>
      </w:r>
      <w:r w:rsidR="0012318E">
        <w:t>,</w:t>
      </w:r>
      <w:r w:rsidR="00557AB1" w:rsidRPr="00BA565F">
        <w:t xml:space="preserve"> </w:t>
      </w:r>
      <w:r w:rsidR="0012318E">
        <w:t>1984</w:t>
      </w:r>
      <w:r w:rsidR="00702C81">
        <w:t>(a)</w:t>
      </w:r>
      <w:r w:rsidR="0012318E">
        <w:t xml:space="preserve">; Kennedy, </w:t>
      </w:r>
      <w:r w:rsidR="00557AB1" w:rsidRPr="00BA565F">
        <w:t>1987</w:t>
      </w:r>
      <w:r w:rsidR="00423536">
        <w:t>(b)</w:t>
      </w:r>
      <w:r w:rsidR="00623952" w:rsidRPr="00BA565F">
        <w:t>;</w:t>
      </w:r>
      <w:r w:rsidR="0012318E">
        <w:t xml:space="preserve"> </w:t>
      </w:r>
      <w:r w:rsidR="00557AB1" w:rsidRPr="00BA565F">
        <w:t>Earl and Anderson</w:t>
      </w:r>
      <w:r w:rsidR="0012318E">
        <w:t>,</w:t>
      </w:r>
      <w:r w:rsidR="00623952" w:rsidRPr="00BA565F">
        <w:t xml:space="preserve"> </w:t>
      </w:r>
      <w:r w:rsidR="00557AB1" w:rsidRPr="00BA565F">
        <w:t>1989</w:t>
      </w:r>
      <w:r w:rsidR="005A44C3">
        <w:t>(a)</w:t>
      </w:r>
      <w:r w:rsidR="00623952" w:rsidRPr="00BA565F">
        <w:t>;</w:t>
      </w:r>
      <w:r w:rsidR="00557AB1" w:rsidRPr="00BA565F">
        <w:t xml:space="preserve"> Earl</w:t>
      </w:r>
      <w:r w:rsidR="0012318E">
        <w:t>,</w:t>
      </w:r>
      <w:r w:rsidR="00557AB1" w:rsidRPr="00BA565F">
        <w:t xml:space="preserve"> 1991</w:t>
      </w:r>
      <w:r w:rsidR="0012318E">
        <w:t>(b</w:t>
      </w:r>
      <w:r w:rsidR="009E1C3B">
        <w:t>,c</w:t>
      </w:r>
      <w:r w:rsidR="0012318E">
        <w:t>)</w:t>
      </w:r>
      <w:r w:rsidR="00623952" w:rsidRPr="00BA565F">
        <w:t>;</w:t>
      </w:r>
      <w:r w:rsidR="00557AB1" w:rsidRPr="00BA565F">
        <w:t xml:space="preserve"> Anderson and Earl</w:t>
      </w:r>
      <w:r w:rsidR="0012318E">
        <w:t>,</w:t>
      </w:r>
      <w:r w:rsidR="00557AB1" w:rsidRPr="00BA565F">
        <w:t xml:space="preserve"> </w:t>
      </w:r>
      <w:r w:rsidR="00623952" w:rsidRPr="00BA565F">
        <w:t>1</w:t>
      </w:r>
      <w:r w:rsidR="00557AB1" w:rsidRPr="00BA565F">
        <w:t>993</w:t>
      </w:r>
      <w:r w:rsidR="00623952" w:rsidRPr="00BA565F">
        <w:t>;</w:t>
      </w:r>
      <w:r w:rsidR="00557AB1" w:rsidRPr="00BA565F">
        <w:t xml:space="preserve"> Earl </w:t>
      </w:r>
      <w:r w:rsidR="00623952" w:rsidRPr="00BA565F">
        <w:t>et al.</w:t>
      </w:r>
      <w:r w:rsidR="0012318E">
        <w:t>,</w:t>
      </w:r>
      <w:r w:rsidR="00557AB1" w:rsidRPr="00BA565F">
        <w:t>1993</w:t>
      </w:r>
      <w:r w:rsidR="00623952" w:rsidRPr="00BA565F">
        <w:t>; Roper</w:t>
      </w:r>
      <w:r w:rsidR="00EB3CB0">
        <w:t>,</w:t>
      </w:r>
      <w:r w:rsidR="00623952" w:rsidRPr="00BA565F">
        <w:t xml:space="preserve"> 1995</w:t>
      </w:r>
      <w:r w:rsidR="00EB3CB0">
        <w:t>(c)</w:t>
      </w:r>
      <w:r w:rsidR="00623952" w:rsidRPr="00BA565F">
        <w:t>)</w:t>
      </w:r>
      <w:r w:rsidRPr="00BA565F">
        <w:t>. T</w:t>
      </w:r>
      <w:r w:rsidRPr="00DA630D">
        <w:t xml:space="preserve">he majority of the trials were pre-harvest desiccation applications, although several pre- and post-emergence weed control application trials were also submitted. Residues in the pre-harvest </w:t>
      </w:r>
      <w:r w:rsidRPr="00DA630D">
        <w:lastRenderedPageBreak/>
        <w:t>desiccation trials were mainly below 0.02 mg/kg, although in one</w:t>
      </w:r>
      <w:r>
        <w:t xml:space="preserve"> study</w:t>
      </w:r>
      <w:r w:rsidRPr="00DA630D">
        <w:t xml:space="preserve"> mean residues of 0.06, 0.17 and 0.26</w:t>
      </w:r>
      <w:r w:rsidR="00F2438F">
        <w:t> </w:t>
      </w:r>
      <w:r w:rsidRPr="00DA630D">
        <w:t xml:space="preserve">mg/kg occurred in tubers after an application of 0.84, 1.1 and 2.2 kg </w:t>
      </w:r>
      <w:r w:rsidR="00572A0C">
        <w:t>ac/ha</w:t>
      </w:r>
      <w:r w:rsidRPr="00DA630D">
        <w:t xml:space="preserve">, respectively. </w:t>
      </w:r>
      <w:r>
        <w:t xml:space="preserve">When scaled for the application rate of 0.8 kg </w:t>
      </w:r>
      <w:r w:rsidR="00572A0C">
        <w:t>ac/ha</w:t>
      </w:r>
      <w:r>
        <w:t xml:space="preserve">, the </w:t>
      </w:r>
      <w:r w:rsidR="009E3126">
        <w:t>HR</w:t>
      </w:r>
      <w:r w:rsidR="00843596">
        <w:t xml:space="preserve"> </w:t>
      </w:r>
      <w:r>
        <w:t xml:space="preserve">is 0.12 mg/kg. </w:t>
      </w:r>
      <w:r w:rsidRPr="00DA630D">
        <w:t xml:space="preserve">Residues of diquat in more recent reports were in the range &lt;0.01 to 0.07 mg/kg in tubers sampled 4–44 days after 1–3 applications of 0.2 to 1.0 kg </w:t>
      </w:r>
      <w:r w:rsidR="00572A0C">
        <w:t>ac/ha</w:t>
      </w:r>
      <w:r w:rsidRPr="00DA630D">
        <w:t>, with most below the LOQ</w:t>
      </w:r>
      <w:r>
        <w:t xml:space="preserve"> (0.01, 0.02 or 0.05 mg/kg).</w:t>
      </w:r>
    </w:p>
    <w:p w14:paraId="53A561E9" w14:textId="25719F6B" w:rsidR="00F945C3" w:rsidRDefault="00F945C3" w:rsidP="00F945C3">
      <w:pPr>
        <w:pStyle w:val="NormalText"/>
      </w:pPr>
      <w:r>
        <w:t>The 2013 JMPR considered additional 16 European trials for a pre-harvest use on potatoes (residues ranging from &lt;0.01–0.02 mg/kg, 0</w:t>
      </w:r>
      <w:r w:rsidR="00F2438F">
        <w:t>–</w:t>
      </w:r>
      <w:r>
        <w:t xml:space="preserve">15 days after treatment at approx. 1 kg </w:t>
      </w:r>
      <w:r w:rsidR="00572A0C">
        <w:t>ac/ha</w:t>
      </w:r>
      <w:r>
        <w:t>) along with data from the USA (that have been submitted for this review). The JMPR recommended an MRL of 0.1 mg/kg for diquat on potatoes for a</w:t>
      </w:r>
      <w:r w:rsidR="00522C9A">
        <w:t>n approved</w:t>
      </w:r>
      <w:r>
        <w:t xml:space="preserve"> </w:t>
      </w:r>
      <w:r w:rsidR="00522C9A">
        <w:t xml:space="preserve">use </w:t>
      </w:r>
      <w:r w:rsidR="000A7311">
        <w:t>(</w:t>
      </w:r>
      <w:r w:rsidR="00522C9A">
        <w:t xml:space="preserve">good agricultural practice </w:t>
      </w:r>
      <w:r w:rsidR="000A7311">
        <w:t xml:space="preserve">or </w:t>
      </w:r>
      <w:r>
        <w:t>GA</w:t>
      </w:r>
      <w:r w:rsidR="00522C9A">
        <w:t>P</w:t>
      </w:r>
      <w:r w:rsidR="000A7311">
        <w:t>)</w:t>
      </w:r>
      <w:r>
        <w:t xml:space="preserve"> similar to that registered in Australia (GAP from the USA: 0.56 kg </w:t>
      </w:r>
      <w:r w:rsidR="00572A0C">
        <w:t>ac/ha</w:t>
      </w:r>
      <w:r>
        <w:t>, PHI 7 days).</w:t>
      </w:r>
    </w:p>
    <w:p w14:paraId="0AAA148E" w14:textId="35B24DEE" w:rsidR="00F945C3" w:rsidRDefault="00F945C3" w:rsidP="00F945C3">
      <w:pPr>
        <w:pStyle w:val="NormalText"/>
      </w:pPr>
      <w:r>
        <w:t>While no residues data is available for sweet potato, sweet potato and potato are both members of the same subgroup (</w:t>
      </w:r>
      <w:r w:rsidRPr="001C28C0">
        <w:t>Subgroup 016B, Tuberous and corm vegetables</w:t>
      </w:r>
      <w:r w:rsidR="00E61669">
        <w:rPr>
          <w:rFonts w:ascii="ZWAdobeF" w:hAnsi="ZWAdobeF" w:cs="ZWAdobeF"/>
          <w:sz w:val="2"/>
          <w:szCs w:val="2"/>
        </w:rPr>
        <w:t>8F</w:t>
      </w:r>
      <w:r w:rsidR="00602535">
        <w:rPr>
          <w:rFonts w:ascii="ZWAdobeF" w:hAnsi="ZWAdobeF" w:cs="ZWAdobeF"/>
          <w:sz w:val="2"/>
          <w:szCs w:val="2"/>
        </w:rPr>
        <w:t>9F</w:t>
      </w:r>
      <w:r>
        <w:rPr>
          <w:rStyle w:val="FootnoteReference"/>
        </w:rPr>
        <w:footnoteReference w:id="11"/>
      </w:r>
      <w:r>
        <w:t>) and therefore extrapolation from potato data to sweet potato is possible.</w:t>
      </w:r>
    </w:p>
    <w:p w14:paraId="39E352C5" w14:textId="2B14C151" w:rsidR="00F945C3" w:rsidRDefault="00F945C3" w:rsidP="00F945C3">
      <w:pPr>
        <w:pStyle w:val="NormalText"/>
      </w:pPr>
      <w:r>
        <w:t xml:space="preserve">An MRL of 0.2 mg/kg is recommended for diquat on VR 0508 Sweet potatoes at the same level as the current MRL for VR 0589 Potatoes, which also remains appropriate, to cover the pre-harvest desiccation uses on these crops with 14 and 7 day withholding periods respectively. It is noted that a recommendation of the paraquat review for products containing paraquat and diquat for use on potatoes </w:t>
      </w:r>
      <w:r w:rsidR="00F2438F">
        <w:t>‘</w:t>
      </w:r>
      <w:r>
        <w:t>3 to 7 days before digging and after tops have died down</w:t>
      </w:r>
      <w:r w:rsidR="00F2438F">
        <w:t>’</w:t>
      </w:r>
      <w:r>
        <w:t xml:space="preserve"> was that application should occur </w:t>
      </w:r>
      <w:r w:rsidR="00F2438F">
        <w:t>‘</w:t>
      </w:r>
      <w:r>
        <w:t>4</w:t>
      </w:r>
      <w:r w:rsidR="00F2438F">
        <w:t>–</w:t>
      </w:r>
      <w:r>
        <w:t>5 weeks before digging</w:t>
      </w:r>
      <w:r w:rsidR="00F2438F">
        <w:t>’</w:t>
      </w:r>
      <w:r>
        <w:t xml:space="preserve">. However, there are standalone diquat products that can be used on potatoes at up to 0.8 kg </w:t>
      </w:r>
      <w:r w:rsidR="00572A0C">
        <w:t>ac/ha</w:t>
      </w:r>
      <w:r>
        <w:t xml:space="preserve"> 7 days before harvest.</w:t>
      </w:r>
    </w:p>
    <w:p w14:paraId="6BA9CA48" w14:textId="0A9F5087" w:rsidR="00C169CD" w:rsidRDefault="00C169CD" w:rsidP="00C169CD">
      <w:pPr>
        <w:pStyle w:val="NormalText"/>
      </w:pPr>
      <w:r>
        <w:t>Three reports were submitted that contain summary information of trials conducted on radish, turnip and sugar beet in Canada, Japan, Italy and the UK during the period 1962</w:t>
      </w:r>
      <w:r w:rsidR="00F2438F">
        <w:t>–</w:t>
      </w:r>
      <w:r>
        <w:t xml:space="preserve">75 </w:t>
      </w:r>
      <w:r w:rsidRPr="00C169CD">
        <w:t>(Calderbank and Yuan</w:t>
      </w:r>
      <w:r w:rsidR="0012318E">
        <w:t>,</w:t>
      </w:r>
      <w:r w:rsidRPr="00C169CD">
        <w:t xml:space="preserve"> 1963; McKenna</w:t>
      </w:r>
      <w:r w:rsidR="0012318E">
        <w:t>,</w:t>
      </w:r>
      <w:r w:rsidRPr="00C169CD">
        <w:t xml:space="preserve"> 1966; Edwards</w:t>
      </w:r>
      <w:r w:rsidR="0012318E">
        <w:t>,</w:t>
      </w:r>
      <w:r w:rsidRPr="00C169CD">
        <w:t xml:space="preserve"> 1977). Two trials on radish in Japan were pre-emergenc</w:t>
      </w:r>
      <w:r>
        <w:t>e weed control applications, the sugar beet trials were pre-harvest desiccation applications and the trials on radish and turnip in Canada were probably also pre-harvest desiccation applications, based on the PHI, however the use pattern was not stated in the report. No Australian trials were submitted.</w:t>
      </w:r>
    </w:p>
    <w:p w14:paraId="086454D1" w14:textId="731B52FA" w:rsidR="00C169CD" w:rsidRDefault="00C169CD" w:rsidP="00C169CD">
      <w:pPr>
        <w:pStyle w:val="NormalText"/>
      </w:pPr>
      <w:r>
        <w:t xml:space="preserve">No detectable residues of diquat occurred in tubers sampled </w:t>
      </w:r>
      <w:r w:rsidR="00F2438F">
        <w:t>zero to</w:t>
      </w:r>
      <w:r>
        <w:t xml:space="preserve"> 96 days after </w:t>
      </w:r>
      <w:r w:rsidR="00F2438F">
        <w:t xml:space="preserve">one to </w:t>
      </w:r>
      <w:r>
        <w:t xml:space="preserve">4 applications of rate from 0.4 to 4.4 kg </w:t>
      </w:r>
      <w:r w:rsidR="00572A0C">
        <w:t>ac/ha</w:t>
      </w:r>
      <w:r>
        <w:t>.</w:t>
      </w:r>
    </w:p>
    <w:p w14:paraId="3F47E223" w14:textId="77777777" w:rsidR="0087735C" w:rsidRDefault="00F945C3" w:rsidP="00F945C3">
      <w:pPr>
        <w:pStyle w:val="NormalText"/>
      </w:pPr>
      <w:r w:rsidRPr="00DA630D">
        <w:t xml:space="preserve">There were </w:t>
      </w:r>
      <w:r>
        <w:t>13 overseas carrot</w:t>
      </w:r>
      <w:r w:rsidRPr="00DA630D">
        <w:t xml:space="preserve"> trials conducted as pre-emergence and post-emergence weed contro</w:t>
      </w:r>
      <w:r w:rsidRPr="00BA565F">
        <w:t>l</w:t>
      </w:r>
      <w:r w:rsidR="00BA565F" w:rsidRPr="00BA565F">
        <w:t xml:space="preserve"> </w:t>
      </w:r>
      <w:bookmarkStart w:id="205" w:name="_Hlk160788199"/>
      <w:r w:rsidR="00BA565F" w:rsidRPr="00BA565F">
        <w:t>(Anon.</w:t>
      </w:r>
      <w:r w:rsidR="0012318E">
        <w:t>,</w:t>
      </w:r>
      <w:r w:rsidR="00BA565F" w:rsidRPr="00BA565F">
        <w:t xml:space="preserve"> </w:t>
      </w:r>
      <w:r w:rsidR="00317566">
        <w:t>no date</w:t>
      </w:r>
      <w:r w:rsidR="00443CC8">
        <w:t>(a)</w:t>
      </w:r>
      <w:r w:rsidR="00BA565F" w:rsidRPr="00BA565F">
        <w:t>; McKenna</w:t>
      </w:r>
      <w:r w:rsidR="0012318E">
        <w:t>,</w:t>
      </w:r>
      <w:r w:rsidR="00BA565F" w:rsidRPr="00BA565F">
        <w:t xml:space="preserve"> 1966; Edwards</w:t>
      </w:r>
      <w:r w:rsidR="0012318E">
        <w:t>,</w:t>
      </w:r>
      <w:r w:rsidR="00BA565F" w:rsidRPr="00BA565F">
        <w:t xml:space="preserve"> 1977;</w:t>
      </w:r>
      <w:bookmarkEnd w:id="205"/>
      <w:r w:rsidR="00BA565F" w:rsidRPr="00BA565F">
        <w:t xml:space="preserve"> Kennedy</w:t>
      </w:r>
      <w:r w:rsidR="0012318E">
        <w:t>,</w:t>
      </w:r>
      <w:r w:rsidR="00BA565F" w:rsidRPr="00BA565F">
        <w:t xml:space="preserve"> 1984</w:t>
      </w:r>
      <w:r w:rsidR="00702C81">
        <w:t>(a)</w:t>
      </w:r>
      <w:r w:rsidR="00BA565F" w:rsidRPr="00BA565F">
        <w:t>;</w:t>
      </w:r>
      <w:bookmarkStart w:id="206" w:name="_Hlk160790566"/>
      <w:r w:rsidR="00BA565F" w:rsidRPr="00BA565F">
        <w:t xml:space="preserve"> </w:t>
      </w:r>
      <w:bookmarkEnd w:id="206"/>
      <w:r w:rsidR="00BA565F" w:rsidRPr="00BA565F">
        <w:t>Anderson and Lant</w:t>
      </w:r>
      <w:r w:rsidR="0012318E">
        <w:t>,</w:t>
      </w:r>
      <w:r w:rsidR="00BA565F" w:rsidRPr="00BA565F">
        <w:t>1994</w:t>
      </w:r>
      <w:r w:rsidR="00DC4A35">
        <w:t>(a)</w:t>
      </w:r>
      <w:r w:rsidR="00423536">
        <w:t>:</w:t>
      </w:r>
      <w:r w:rsidR="00423536" w:rsidRPr="00423536">
        <w:t xml:space="preserve"> </w:t>
      </w:r>
      <w:r w:rsidR="00423536" w:rsidRPr="00BA565F">
        <w:t>Massey</w:t>
      </w:r>
      <w:r w:rsidR="00423536">
        <w:t>,</w:t>
      </w:r>
      <w:r w:rsidR="00423536" w:rsidRPr="00BA565F">
        <w:t xml:space="preserve"> 1987</w:t>
      </w:r>
      <w:r w:rsidR="00423536">
        <w:t>(e)</w:t>
      </w:r>
      <w:r w:rsidR="00BA565F" w:rsidRPr="00BA565F">
        <w:t>)</w:t>
      </w:r>
      <w:r w:rsidR="0012318E">
        <w:t>.</w:t>
      </w:r>
      <w:r w:rsidR="00423536">
        <w:t xml:space="preserve"> </w:t>
      </w:r>
      <w:r w:rsidRPr="00DA630D">
        <w:t>Residues of diquat in these trials w</w:t>
      </w:r>
      <w:r>
        <w:t>ere</w:t>
      </w:r>
      <w:r w:rsidRPr="00DA630D">
        <w:t xml:space="preserve"> generally &lt;0.02 mg/kg, with a maximum of 0.07 mg/kg recorded in samples taken 14 days after an application of 1.0 kg </w:t>
      </w:r>
      <w:r w:rsidR="00572A0C">
        <w:t>ac/ha</w:t>
      </w:r>
      <w:r>
        <w:t xml:space="preserve"> (1.25× the maximum label rate)</w:t>
      </w:r>
      <w:r w:rsidRPr="00DA630D">
        <w:t xml:space="preserve">. The maximum residue recorded after application </w:t>
      </w:r>
      <w:r>
        <w:t>at</w:t>
      </w:r>
      <w:r w:rsidRPr="00DA630D">
        <w:t xml:space="preserve"> 0.8 kg </w:t>
      </w:r>
      <w:r w:rsidR="00572A0C">
        <w:t>ac/ha</w:t>
      </w:r>
      <w:r w:rsidRPr="00DA630D">
        <w:t xml:space="preserve"> </w:t>
      </w:r>
      <w:r>
        <w:t xml:space="preserve">(1× the maximum label rate) </w:t>
      </w:r>
      <w:r w:rsidRPr="00DA630D">
        <w:t>was 0.04 mg/kg in the same trial (14 day PHI).</w:t>
      </w:r>
    </w:p>
    <w:p w14:paraId="13511148" w14:textId="649EE86F" w:rsidR="00384433" w:rsidRDefault="00F945C3" w:rsidP="00F945C3">
      <w:pPr>
        <w:pStyle w:val="NormalText"/>
      </w:pPr>
      <w:r w:rsidRPr="00DA630D">
        <w:lastRenderedPageBreak/>
        <w:t xml:space="preserve">In </w:t>
      </w:r>
      <w:r>
        <w:t>another</w:t>
      </w:r>
      <w:r w:rsidRPr="00DA630D">
        <w:t xml:space="preserve"> trial, residues were all &lt;0.02 mg/kg in samples taken </w:t>
      </w:r>
      <w:r w:rsidR="00F2438F">
        <w:t>one</w:t>
      </w:r>
      <w:r w:rsidRPr="00DA630D">
        <w:t xml:space="preserve">, 7, 13 and 20 days after an inter-row weed control application of 0.8 kg a.i/ha. The PHI in all these trials ranged from </w:t>
      </w:r>
      <w:r w:rsidR="00F2438F">
        <w:t xml:space="preserve">one to </w:t>
      </w:r>
      <w:r w:rsidRPr="00DA630D">
        <w:t xml:space="preserve">123 days and the shorter intervals would not reflect </w:t>
      </w:r>
      <w:r>
        <w:t>typical agronomic practice</w:t>
      </w:r>
      <w:r w:rsidRPr="00DA630D">
        <w:t xml:space="preserve"> where application as a </w:t>
      </w:r>
      <w:r>
        <w:t>pre</w:t>
      </w:r>
      <w:r w:rsidRPr="00DA630D">
        <w:t>-emergence weed control is earlier in the crop growth cycle</w:t>
      </w:r>
      <w:r>
        <w:t>, or via shielded sprayer later in the growing cycle</w:t>
      </w:r>
      <w:r w:rsidRPr="00DA630D">
        <w:t>.</w:t>
      </w:r>
    </w:p>
    <w:p w14:paraId="3616A9AF" w14:textId="55081869" w:rsidR="00F945C3" w:rsidRDefault="00F945C3" w:rsidP="00F945C3">
      <w:pPr>
        <w:pStyle w:val="NormalText"/>
      </w:pPr>
      <w:r>
        <w:t xml:space="preserve">Diquat residues in other root and tuber vegetables after pre-emergent or post emergent shielded spray application will be covered by an MRL recommended at 0.1 mg/kg in conjunction with a </w:t>
      </w:r>
      <w:r w:rsidR="00F2438F">
        <w:t>‘</w:t>
      </w:r>
      <w:r>
        <w:t>Not required when used as directed</w:t>
      </w:r>
      <w:r w:rsidR="00F2438F">
        <w:t>’</w:t>
      </w:r>
      <w:r>
        <w:t xml:space="preserve"> harvest withholding period (the sugar beet MRL at 0.1 mg/kg will be deleted). This group MRL will cover the </w:t>
      </w:r>
      <w:r w:rsidR="009E3126">
        <w:t>HR</w:t>
      </w:r>
      <w:r w:rsidR="00843596">
        <w:t xml:space="preserve"> </w:t>
      </w:r>
      <w:r>
        <w:t>of 0.07 mg/kg observed in carrots after a pre-emergence application.</w:t>
      </w:r>
    </w:p>
    <w:p w14:paraId="1E785C3E" w14:textId="1D348471" w:rsidR="00F945C3" w:rsidRDefault="00F945C3" w:rsidP="00F945C3">
      <w:pPr>
        <w:pStyle w:val="NormalText"/>
      </w:pPr>
      <w:r>
        <w:t>The supported/</w:t>
      </w:r>
      <w:r w:rsidR="00F2438F">
        <w:t>r</w:t>
      </w:r>
      <w:r>
        <w:t>ecommended MRLs are</w:t>
      </w:r>
      <w:r w:rsidR="00F2438F">
        <w:t>:</w:t>
      </w:r>
    </w:p>
    <w:p w14:paraId="0A777CCF" w14:textId="4F72135E" w:rsidR="00F945C3" w:rsidRDefault="00F945C3" w:rsidP="00F2438F">
      <w:pPr>
        <w:pStyle w:val="Bullet1"/>
      </w:pPr>
      <w:r>
        <w:t>VR 0589 Potato</w:t>
      </w:r>
      <w:r>
        <w:tab/>
      </w:r>
      <w:r>
        <w:tab/>
      </w:r>
      <w:r>
        <w:tab/>
      </w:r>
      <w:r>
        <w:tab/>
      </w:r>
      <w:r>
        <w:tab/>
      </w:r>
      <w:r>
        <w:tab/>
      </w:r>
      <w:r>
        <w:tab/>
      </w:r>
      <w:r w:rsidR="00384433">
        <w:tab/>
      </w:r>
      <w:r>
        <w:tab/>
        <w:t>0.2 mg/kg</w:t>
      </w:r>
    </w:p>
    <w:p w14:paraId="24FBD337" w14:textId="665DE153" w:rsidR="00F945C3" w:rsidRDefault="00F945C3" w:rsidP="00F2438F">
      <w:pPr>
        <w:pStyle w:val="Bullet1"/>
      </w:pPr>
      <w:r>
        <w:t>VR 0075 Root and tuber vegetables {except Potato; Sweet potato}</w:t>
      </w:r>
      <w:r>
        <w:tab/>
      </w:r>
      <w:r>
        <w:tab/>
        <w:t>0.1 mg/kg</w:t>
      </w:r>
    </w:p>
    <w:p w14:paraId="6BE2996E" w14:textId="46F3376E" w:rsidR="00F945C3" w:rsidRDefault="00F945C3" w:rsidP="00F2438F">
      <w:pPr>
        <w:pStyle w:val="Bullet1"/>
      </w:pPr>
      <w:r>
        <w:t>VR 0508 Sweet potato</w:t>
      </w:r>
      <w:r>
        <w:tab/>
      </w:r>
      <w:r>
        <w:tab/>
      </w:r>
      <w:r>
        <w:tab/>
      </w:r>
      <w:r>
        <w:tab/>
      </w:r>
      <w:r>
        <w:tab/>
      </w:r>
      <w:r>
        <w:tab/>
      </w:r>
      <w:r w:rsidR="00384433">
        <w:tab/>
      </w:r>
      <w:r>
        <w:tab/>
      </w:r>
      <w:r w:rsidR="00F2438F">
        <w:tab/>
      </w:r>
      <w:r>
        <w:t>0.2 mg/kg</w:t>
      </w:r>
    </w:p>
    <w:p w14:paraId="653E12D9" w14:textId="117CFB19" w:rsidR="00F945C3" w:rsidRPr="00FD56EC" w:rsidRDefault="00F945C3" w:rsidP="0026666F">
      <w:pPr>
        <w:pStyle w:val="Heading4"/>
      </w:pPr>
      <w:r w:rsidRPr="00FD56EC">
        <w:t>St</w:t>
      </w:r>
      <w:r w:rsidR="00F50341">
        <w:t>alk</w:t>
      </w:r>
      <w:r w:rsidRPr="00FD56EC">
        <w:t xml:space="preserve"> and st</w:t>
      </w:r>
      <w:r w:rsidR="00F50341">
        <w:t>em</w:t>
      </w:r>
      <w:r w:rsidRPr="00FD56EC">
        <w:t xml:space="preserve"> vegetables</w:t>
      </w:r>
    </w:p>
    <w:p w14:paraId="79DD4F23" w14:textId="4873ECA0" w:rsidR="00F945C3" w:rsidRDefault="00F945C3" w:rsidP="00F945C3">
      <w:pPr>
        <w:pStyle w:val="NormalText"/>
      </w:pPr>
      <w:r>
        <w:t>The available diquat residue trials on stalk and stem vegetables (celery</w:t>
      </w:r>
      <w:r w:rsidR="00F50341">
        <w:t xml:space="preserve"> and asparagus</w:t>
      </w:r>
      <w:r>
        <w:t>) are summarised below.</w:t>
      </w:r>
      <w:r w:rsidR="00384433">
        <w:t xml:space="preserve"> </w:t>
      </w:r>
      <w:r>
        <w:t xml:space="preserve">The maximum Australian label rate is up to 0.8 kg </w:t>
      </w:r>
      <w:r w:rsidR="00572A0C">
        <w:t>ac/ha</w:t>
      </w:r>
      <w:r>
        <w:t xml:space="preserve"> for row crops and market gardens</w:t>
      </w:r>
      <w:r w:rsidR="00F2438F">
        <w:t>,</w:t>
      </w:r>
      <w:r>
        <w:t xml:space="preserve"> which may include stalk and stem vegetables. The use is pre-emergence or by shielded spray post emergence. There is also a specific use on asparagus prior to spear emergence at 0.28 kg </w:t>
      </w:r>
      <w:r w:rsidR="00572A0C">
        <w:t>ac/ha</w:t>
      </w:r>
      <w:r>
        <w:t>.</w:t>
      </w:r>
    </w:p>
    <w:p w14:paraId="2AAFE3CF" w14:textId="7C5C081D" w:rsidR="00F945C3" w:rsidRDefault="00F945C3" w:rsidP="00F945C3">
      <w:pPr>
        <w:pStyle w:val="NormalText"/>
      </w:pPr>
      <w:r>
        <w:t xml:space="preserve">A single trial on celery was submitted </w:t>
      </w:r>
      <w:r w:rsidR="005859E5">
        <w:t xml:space="preserve">initially </w:t>
      </w:r>
      <w:r>
        <w:t>and no relevant data was available in the JMPR evaluations</w:t>
      </w:r>
      <w:r w:rsidR="0045515D">
        <w:t xml:space="preserve"> </w:t>
      </w:r>
      <w:r w:rsidR="0045515D" w:rsidRPr="0045515D">
        <w:t>(McKenna RH</w:t>
      </w:r>
      <w:r w:rsidR="00673862">
        <w:t>,</w:t>
      </w:r>
      <w:r w:rsidR="0045515D" w:rsidRPr="0045515D">
        <w:t xml:space="preserve"> 1966)</w:t>
      </w:r>
      <w:r w:rsidRPr="0045515D">
        <w:t>. No detectable residues occurred in celery stalks sampled 36 days after a single application</w:t>
      </w:r>
      <w:r>
        <w:t xml:space="preserve"> of 2.22</w:t>
      </w:r>
      <w:r w:rsidR="00F2438F">
        <w:t> </w:t>
      </w:r>
      <w:r>
        <w:t>kg</w:t>
      </w:r>
      <w:r w:rsidR="00F2438F">
        <w:t> </w:t>
      </w:r>
      <w:r w:rsidR="00572A0C">
        <w:t>ac/ha</w:t>
      </w:r>
      <w:r>
        <w:t>. However, the LOQ for the method was not reported and the trial is not considered to be reliable.</w:t>
      </w:r>
    </w:p>
    <w:p w14:paraId="43878F62" w14:textId="146475A9" w:rsidR="0058187D" w:rsidRDefault="005859E5" w:rsidP="00F945C3">
      <w:pPr>
        <w:pStyle w:val="NormalText"/>
      </w:pPr>
      <w:r w:rsidRPr="005859E5">
        <w:t>In response to the initial consultation, Syngenta submitted 2 European GLP residue studies on asparagus. In the first study, diquat was applied to the soil for control of weeds at 800 g a</w:t>
      </w:r>
      <w:r w:rsidR="006436C4">
        <w:t>c</w:t>
      </w:r>
      <w:r w:rsidR="005436A5">
        <w:t>/</w:t>
      </w:r>
      <w:r w:rsidRPr="005859E5">
        <w:t>ha with residues &lt;0.05 mg/kg (n = 2) in the spears at 3 – 4 days after treatment. In the second study, diquat was applied prior to spear emergence at 747 – 760 g a</w:t>
      </w:r>
      <w:r w:rsidR="006436C4">
        <w:t>c</w:t>
      </w:r>
      <w:r w:rsidRPr="005859E5">
        <w:t>/ha with residues in the spears &lt;0.01 mg/kg (n = 2) at 11 – 20 days after treatment. Asparagus is only one representative crop for stalk and stem vegetables, with the other being celery and globe artichoke.</w:t>
      </w:r>
      <w:r w:rsidR="00F50341" w:rsidRPr="00F50341">
        <w:rPr>
          <w:rStyle w:val="FootnoteReference"/>
        </w:rPr>
        <w:t xml:space="preserve"> </w:t>
      </w:r>
      <w:r w:rsidR="00E61669">
        <w:rPr>
          <w:rFonts w:ascii="ZWAdobeF" w:hAnsi="ZWAdobeF" w:cs="ZWAdobeF"/>
          <w:sz w:val="2"/>
          <w:szCs w:val="2"/>
        </w:rPr>
        <w:t>9F</w:t>
      </w:r>
      <w:r w:rsidR="00602535">
        <w:rPr>
          <w:rFonts w:ascii="ZWAdobeF" w:hAnsi="ZWAdobeF" w:cs="ZWAdobeF"/>
          <w:sz w:val="2"/>
          <w:szCs w:val="2"/>
        </w:rPr>
        <w:t>10F</w:t>
      </w:r>
      <w:r w:rsidR="00F50341">
        <w:rPr>
          <w:rStyle w:val="FootnoteReference"/>
        </w:rPr>
        <w:footnoteReference w:id="12"/>
      </w:r>
      <w:r w:rsidRPr="005859E5">
        <w:t xml:space="preserve"> The single trial provided previously for celery was considered not to be reliable. There is insufficient data to support the general use on the whole stalk and stem vegetable crop group. The general use is supported for asparagus only, along with the specific asparagus use prior to spear emergence.</w:t>
      </w:r>
    </w:p>
    <w:p w14:paraId="27E20B3D" w14:textId="1431549C" w:rsidR="005859E5" w:rsidRDefault="005859E5" w:rsidP="0087735C">
      <w:pPr>
        <w:pStyle w:val="Bullet1"/>
      </w:pPr>
      <w:r w:rsidRPr="005859E5">
        <w:t>An MRL of *0.05 mg/kg is recommended for VS 0621 Asparagus in conjunction with a harvest withholding period of “Not required when used as directed”.</w:t>
      </w:r>
    </w:p>
    <w:p w14:paraId="37DFB9C8" w14:textId="77777777" w:rsidR="00F945C3" w:rsidRDefault="00F945C3" w:rsidP="0026666F">
      <w:pPr>
        <w:pStyle w:val="Heading4"/>
      </w:pPr>
      <w:r>
        <w:lastRenderedPageBreak/>
        <w:t>Cucurbits</w:t>
      </w:r>
    </w:p>
    <w:p w14:paraId="644E595F" w14:textId="68FF6C44" w:rsidR="00F945C3" w:rsidRDefault="00F945C3" w:rsidP="00F945C3">
      <w:pPr>
        <w:pStyle w:val="NormalText"/>
      </w:pPr>
      <w:r>
        <w:t xml:space="preserve">Residue data for diquat on cucurbits </w:t>
      </w:r>
      <w:r w:rsidR="008B7287">
        <w:t>were</w:t>
      </w:r>
      <w:r>
        <w:t xml:space="preserve"> not provided for the </w:t>
      </w:r>
      <w:r w:rsidR="00874E6A">
        <w:t xml:space="preserve">initial </w:t>
      </w:r>
      <w:r>
        <w:t xml:space="preserve">review and </w:t>
      </w:r>
      <w:r w:rsidR="00716DE2">
        <w:t>we</w:t>
      </w:r>
      <w:r>
        <w:t xml:space="preserve">re not available in the JMPR evaluations. The maximum Australian label rate is up to 0.8 kg </w:t>
      </w:r>
      <w:r w:rsidR="00572A0C">
        <w:t>ac/ha</w:t>
      </w:r>
      <w:r>
        <w:t xml:space="preserve"> for row crops and market gardens</w:t>
      </w:r>
      <w:r w:rsidR="00F2438F">
        <w:t>,</w:t>
      </w:r>
      <w:r>
        <w:t xml:space="preserve"> which may include cucurbits. The use is pre-emergence or by shielded spray post emergence. </w:t>
      </w:r>
    </w:p>
    <w:p w14:paraId="7259B74D" w14:textId="2A1782A9" w:rsidR="0058187D" w:rsidRDefault="00874E6A" w:rsidP="00F945C3">
      <w:pPr>
        <w:pStyle w:val="NormalText"/>
      </w:pPr>
      <w:r w:rsidRPr="00874E6A">
        <w:t>In response to the initial consultation, Syngenta submitted 5 European GLP residue studies conducted on field (5 trials) and protected (6 trials) cucumbers. In 11 trials involving inter-row application at 953 – 1232 g a</w:t>
      </w:r>
      <w:r w:rsidR="006436C4">
        <w:t>c</w:t>
      </w:r>
      <w:r w:rsidRPr="00874E6A">
        <w:t xml:space="preserve">/ha (1.2× - 1.5×) highest residues at 0 – 8 days after treatment were &lt;0.01 (7), 0.02 (2), &lt;0.05 and 0.05 mg/kg. Residues were detected both in the field and in protected situations. The OECD MRL Calculator recommends an MRL of 0.09 mg/kg (n = 11, STMR = &lt;0.01 mg/kg). Cucumber is a representative crop for cucurbits, but data for cantaloupe and summer squash are also required to support use on the whole crop group. Given that detectable residues were found in cucumber, the use is supported for cucumber only, not the cucurbit crop group. </w:t>
      </w:r>
    </w:p>
    <w:p w14:paraId="1872401F" w14:textId="405D447A" w:rsidR="00874E6A" w:rsidRPr="00A95850" w:rsidRDefault="00874E6A" w:rsidP="0087735C">
      <w:pPr>
        <w:pStyle w:val="Bullet1"/>
      </w:pPr>
      <w:r w:rsidRPr="00874E6A">
        <w:t xml:space="preserve">An MRL of 0.1 mg/kg is </w:t>
      </w:r>
      <w:r w:rsidR="0058187D">
        <w:t>recommended</w:t>
      </w:r>
      <w:r w:rsidRPr="00874E6A">
        <w:t xml:space="preserve"> for VC 0424 Cucumber in conjunction with a harvest withholding period of “Not required when used as directed”.</w:t>
      </w:r>
    </w:p>
    <w:p w14:paraId="2CC76DFA" w14:textId="77777777" w:rsidR="00F945C3" w:rsidRPr="007167F6" w:rsidRDefault="00F945C3" w:rsidP="0026666F">
      <w:pPr>
        <w:pStyle w:val="Heading4"/>
        <w:rPr>
          <w:u w:val="single"/>
        </w:rPr>
      </w:pPr>
      <w:bookmarkStart w:id="207" w:name="_Toc158208447"/>
      <w:r>
        <w:t>Herbs and spices</w:t>
      </w:r>
      <w:bookmarkEnd w:id="207"/>
    </w:p>
    <w:p w14:paraId="79D2C8D6" w14:textId="7D81F578" w:rsidR="00F945C3" w:rsidRDefault="00F945C3" w:rsidP="00F945C3">
      <w:pPr>
        <w:pStyle w:val="NormalText"/>
      </w:pPr>
      <w:r>
        <w:t xml:space="preserve">Residue data for diquat on herbs and spices have not been provided for the review and are not available in the JMPR evaluations. The maximum Australian label rate is up to 0.8 kg </w:t>
      </w:r>
      <w:r w:rsidR="00572A0C">
        <w:t>ac/ha</w:t>
      </w:r>
      <w:r>
        <w:t xml:space="preserve"> for row crops and market gardens</w:t>
      </w:r>
      <w:r w:rsidR="00F2438F">
        <w:t>,</w:t>
      </w:r>
      <w:r>
        <w:t xml:space="preserve"> which may include herbs and spices. The use is pre-emergence or by shielded spray post emergence. However, it is not appropriate to support the continued use of diquat on herbs and spices without specific residue data as residue data for other crops including leafy vegetables have indicated a potential for finite residues from the current us</w:t>
      </w:r>
      <w:r w:rsidRPr="0011452A">
        <w:t>e in row crops and market gardens for some crop groups. Without residues data for herb and spice crops, a robust assessment of the potential for residues in the herb and spice crop groups cannot be performed and these uses are not supported.</w:t>
      </w:r>
    </w:p>
    <w:p w14:paraId="288D9B75" w14:textId="77777777" w:rsidR="00F945C3" w:rsidRPr="00BB4C0D" w:rsidRDefault="00F945C3" w:rsidP="0026666F">
      <w:pPr>
        <w:pStyle w:val="Heading4"/>
      </w:pPr>
      <w:bookmarkStart w:id="208" w:name="_Toc158208448"/>
      <w:r w:rsidRPr="00BB4C0D">
        <w:t>Pulses</w:t>
      </w:r>
      <w:bookmarkEnd w:id="208"/>
    </w:p>
    <w:p w14:paraId="5B919B16" w14:textId="0D1A5DF3" w:rsidR="00F945C3" w:rsidRDefault="00F945C3" w:rsidP="00F945C3">
      <w:pPr>
        <w:pStyle w:val="NormalText"/>
      </w:pPr>
      <w:r>
        <w:t xml:space="preserve">The available diquat residue trials on pulses (lentils, field peas, soybean) are summarised below. Additional data for peas and beans, including dried, are </w:t>
      </w:r>
      <w:r w:rsidR="00384433">
        <w:t>also</w:t>
      </w:r>
      <w:r>
        <w:t xml:space="preserve"> summarised below.</w:t>
      </w:r>
    </w:p>
    <w:p w14:paraId="7BF7950C" w14:textId="731F5C51" w:rsidR="00F945C3" w:rsidRDefault="00F945C3" w:rsidP="00F945C3">
      <w:pPr>
        <w:pStyle w:val="NormalText"/>
      </w:pPr>
      <w:r>
        <w:t xml:space="preserve">The maximum Australian </w:t>
      </w:r>
      <w:r w:rsidR="00384433">
        <w:t xml:space="preserve">label </w:t>
      </w:r>
      <w:r>
        <w:t xml:space="preserve">rate for pre-harvest desiccation of a range of pulse crops is 0.6 kg </w:t>
      </w:r>
      <w:r w:rsidR="00572A0C">
        <w:t>ac/ha</w:t>
      </w:r>
      <w:r>
        <w:t>. The specified pulse crops for the pre-harvest desiccation use are dry beans, dry peas, lentils, chickpeas, faba beans, lupins, mung beans, pigeon peas and soya beans. The current Australian MRL for Pulses is 1 mg/kg and the label withholding period range from nil (0 days) to 4 days, depending on the pulse crop.</w:t>
      </w:r>
    </w:p>
    <w:p w14:paraId="641DE970" w14:textId="181C1DE7" w:rsidR="00F945C3" w:rsidRDefault="00F945C3" w:rsidP="00F945C3">
      <w:pPr>
        <w:pStyle w:val="NormalText"/>
      </w:pPr>
      <w:r>
        <w:t>Detectable residues generally occurred in the seeds, pods, or stalks/vines (haulm) from trials where the application of diquat occurred as a pre-harvest desiccant. Application rates in these trials ranged from 0.265 to 1.54</w:t>
      </w:r>
      <w:r w:rsidR="00F2438F">
        <w:t> </w:t>
      </w:r>
      <w:r>
        <w:t>kg</w:t>
      </w:r>
      <w:r w:rsidR="00F2438F">
        <w:t> </w:t>
      </w:r>
      <w:r w:rsidR="00572A0C">
        <w:t>ac/ha</w:t>
      </w:r>
      <w:r w:rsidR="005B1586">
        <w:t xml:space="preserve"> </w:t>
      </w:r>
      <w:r w:rsidR="006C4FF7">
        <w:t>(</w:t>
      </w:r>
      <w:r w:rsidR="005B1586" w:rsidRPr="005B1586">
        <w:t>McKenna</w:t>
      </w:r>
      <w:r w:rsidR="006C4FF7">
        <w:t>,</w:t>
      </w:r>
      <w:r w:rsidR="005B1586" w:rsidRPr="005B1586">
        <w:t xml:space="preserve"> 1966</w:t>
      </w:r>
      <w:r w:rsidR="006C4FF7">
        <w:t xml:space="preserve">; </w:t>
      </w:r>
      <w:r w:rsidR="005B1586" w:rsidRPr="005B1586">
        <w:t>Anon</w:t>
      </w:r>
      <w:r w:rsidR="000E77BF">
        <w:t>.</w:t>
      </w:r>
      <w:r w:rsidR="006C4FF7">
        <w:t xml:space="preserve">, </w:t>
      </w:r>
      <w:r w:rsidR="005B1586" w:rsidRPr="005B1586">
        <w:t>1972</w:t>
      </w:r>
      <w:r w:rsidR="006C4FF7">
        <w:t>;</w:t>
      </w:r>
      <w:r w:rsidR="005B1586" w:rsidRPr="005B1586">
        <w:t xml:space="preserve"> </w:t>
      </w:r>
      <w:r w:rsidR="006C4FF7">
        <w:t xml:space="preserve">Anderson, 1990; </w:t>
      </w:r>
      <w:r w:rsidR="005B1586" w:rsidRPr="005B1586">
        <w:t>Dodsworth</w:t>
      </w:r>
      <w:r w:rsidR="006C4FF7">
        <w:t xml:space="preserve">, </w:t>
      </w:r>
      <w:r w:rsidR="005B1586" w:rsidRPr="005B1586">
        <w:t>1990</w:t>
      </w:r>
      <w:r w:rsidR="006C4FF7">
        <w:t>; Dick et al., 1995(</w:t>
      </w:r>
      <w:r w:rsidR="007A56DD">
        <w:t>c</w:t>
      </w:r>
      <w:r w:rsidR="006C4FF7">
        <w:t>,</w:t>
      </w:r>
      <w:r w:rsidR="007A56DD">
        <w:t>d</w:t>
      </w:r>
      <w:r w:rsidR="006C4FF7">
        <w:t xml:space="preserve">); </w:t>
      </w:r>
      <w:r w:rsidR="006C4FF7" w:rsidRPr="005B1586">
        <w:t>Roper, 1995</w:t>
      </w:r>
      <w:r w:rsidR="00E16D4F">
        <w:t>(</w:t>
      </w:r>
      <w:r w:rsidR="00EB3CB0">
        <w:t>d</w:t>
      </w:r>
      <w:r w:rsidR="00E16D4F">
        <w:t>)</w:t>
      </w:r>
      <w:r w:rsidR="006C4FF7">
        <w:t>;</w:t>
      </w:r>
      <w:r w:rsidR="006C4FF7" w:rsidRPr="005B1586">
        <w:t xml:space="preserve"> Roper, 1996)</w:t>
      </w:r>
      <w:r w:rsidR="005B1586" w:rsidRPr="005B1586">
        <w:t>.</w:t>
      </w:r>
      <w:r>
        <w:t xml:space="preserve"> However, in </w:t>
      </w:r>
      <w:r w:rsidR="00F2438F">
        <w:t>5</w:t>
      </w:r>
      <w:r>
        <w:t xml:space="preserve"> trials conducted no detectable residues occurred in pea seed sampled 5–17 days after one or </w:t>
      </w:r>
      <w:r w:rsidR="00F2438F">
        <w:t>2</w:t>
      </w:r>
      <w:r>
        <w:t xml:space="preserve"> applications of 0.6 kg </w:t>
      </w:r>
      <w:r w:rsidR="00572A0C">
        <w:t>ac/ha</w:t>
      </w:r>
      <w:r w:rsidR="005B1586">
        <w:t xml:space="preserve"> (</w:t>
      </w:r>
      <w:r w:rsidR="005B1586" w:rsidRPr="005B1586">
        <w:t>Dick</w:t>
      </w:r>
      <w:r w:rsidR="005B1586">
        <w:t xml:space="preserve"> et al., </w:t>
      </w:r>
      <w:r w:rsidR="005B1586" w:rsidRPr="005B1586">
        <w:t>1995</w:t>
      </w:r>
      <w:r w:rsidR="005B1586">
        <w:t>(</w:t>
      </w:r>
      <w:r w:rsidR="007A56DD">
        <w:t>c</w:t>
      </w:r>
      <w:r w:rsidR="005B1586">
        <w:t>)</w:t>
      </w:r>
      <w:r w:rsidR="005B1586" w:rsidRPr="005B1586">
        <w:t>)</w:t>
      </w:r>
      <w:r>
        <w:t xml:space="preserve">. Similarly, in another </w:t>
      </w:r>
      <w:r w:rsidR="00F2438F">
        <w:t>3</w:t>
      </w:r>
      <w:r>
        <w:t xml:space="preserve"> trials no detectable residues occurred in pea seed sampled 4 days after one application of 0.265 or 0.530 kg </w:t>
      </w:r>
      <w:r w:rsidR="00572A0C">
        <w:t>ac/ha</w:t>
      </w:r>
      <w:r>
        <w:t>.</w:t>
      </w:r>
    </w:p>
    <w:p w14:paraId="6A916618" w14:textId="329D67E9" w:rsidR="00F945C3" w:rsidRDefault="00F945C3" w:rsidP="00F945C3">
      <w:pPr>
        <w:pStyle w:val="NormalText"/>
      </w:pPr>
      <w:r>
        <w:t xml:space="preserve">In another </w:t>
      </w:r>
      <w:r w:rsidR="00F2438F">
        <w:t>6</w:t>
      </w:r>
      <w:r>
        <w:t xml:space="preserve"> trials dry peas sampled 4 days after one application of 0.42 kg </w:t>
      </w:r>
      <w:r w:rsidR="00572A0C">
        <w:t>ac/ha</w:t>
      </w:r>
      <w:r>
        <w:t xml:space="preserve"> (0.7× the current rate), residues of 0.05, 0.05, 0.09, 0.11, 0.40 and 0.56 mg/kg were observed</w:t>
      </w:r>
      <w:r w:rsidR="005B1586">
        <w:t xml:space="preserve"> (</w:t>
      </w:r>
      <w:r w:rsidR="005B1586" w:rsidRPr="005B1586">
        <w:t>Roper, 1995</w:t>
      </w:r>
      <w:r w:rsidR="00E16D4F">
        <w:t>(c)</w:t>
      </w:r>
      <w:r w:rsidR="005B1586">
        <w:t>;</w:t>
      </w:r>
      <w:r w:rsidR="005B1586" w:rsidRPr="005B1586">
        <w:t xml:space="preserve"> Roper, 1996)</w:t>
      </w:r>
      <w:r>
        <w:t xml:space="preserve">. This last result was </w:t>
      </w:r>
      <w:r>
        <w:lastRenderedPageBreak/>
        <w:t xml:space="preserve">the </w:t>
      </w:r>
      <w:r w:rsidR="009E3126">
        <w:t>HR</w:t>
      </w:r>
      <w:r>
        <w:t xml:space="preserve"> obtained in pea seed from all the trials submitted and is calculated to be 0.8 mg/kg when scaled for the Australian application rate (0.6 kg </w:t>
      </w:r>
      <w:r w:rsidR="00572A0C">
        <w:t>ac/ha</w:t>
      </w:r>
      <w:r>
        <w:t xml:space="preserve">). In trials where the application was at the Australian maximum </w:t>
      </w:r>
      <w:r w:rsidR="00384433">
        <w:t>label rate</w:t>
      </w:r>
      <w:r>
        <w:t xml:space="preserve"> for pre-harvest desiccation treatments of 0.6 kg </w:t>
      </w:r>
      <w:r w:rsidR="00572A0C">
        <w:t>ac/ha</w:t>
      </w:r>
      <w:r>
        <w:t xml:space="preserve">, diquat residues ranged from &lt;0.02 to 0.10 mg/kg. The shortest PHI in these trials was </w:t>
      </w:r>
      <w:r w:rsidR="00F2438F">
        <w:t>zero</w:t>
      </w:r>
      <w:r>
        <w:t xml:space="preserve"> days, where sampling occurred immediately after application</w:t>
      </w:r>
      <w:r w:rsidR="005B1586">
        <w:t xml:space="preserve"> (</w:t>
      </w:r>
      <w:r w:rsidR="005B1586" w:rsidRPr="005B1586">
        <w:t>Anderson</w:t>
      </w:r>
      <w:r w:rsidR="005B1586">
        <w:t xml:space="preserve">, </w:t>
      </w:r>
      <w:r w:rsidR="005B1586" w:rsidRPr="005B1586">
        <w:t>1990)</w:t>
      </w:r>
      <w:r>
        <w:t>.</w:t>
      </w:r>
    </w:p>
    <w:p w14:paraId="6706A2F3" w14:textId="7A68B906" w:rsidR="00F945C3" w:rsidRPr="00FC06B2" w:rsidRDefault="00F945C3" w:rsidP="00F945C3">
      <w:pPr>
        <w:pStyle w:val="NormalText"/>
        <w:rPr>
          <w:i/>
        </w:rPr>
      </w:pPr>
      <w:r>
        <w:t>In dried beans, residues of diquat were not detected (LOQ of 0.02–0.05 mg/kg) in 75 determinations made in samples of seed taken 3–12 days (pre-harvest desiccation) or 55</w:t>
      </w:r>
      <w:r w:rsidR="00F2438F">
        <w:t>–</w:t>
      </w:r>
      <w:r>
        <w:t xml:space="preserve">123 days (pre- and post-emergence) after a single application in the range of 0.14 to 1.12 kg </w:t>
      </w:r>
      <w:r w:rsidR="00572A0C">
        <w:t>ac/ha</w:t>
      </w:r>
      <w:r>
        <w:t xml:space="preserve">. In other samples, finite residues were however observed in dried beans with concentrations ranging from 0.03 to 0.66 mg/kg (32 determinations) after an application in the range of 0.3 to 1.0 kg </w:t>
      </w:r>
      <w:r w:rsidR="00572A0C">
        <w:t>ac/ha</w:t>
      </w:r>
      <w:r>
        <w:t>.</w:t>
      </w:r>
    </w:p>
    <w:p w14:paraId="04A62444" w14:textId="55499959" w:rsidR="00F945C3" w:rsidRDefault="00F945C3" w:rsidP="00F945C3">
      <w:pPr>
        <w:pStyle w:val="NormalText"/>
      </w:pPr>
      <w:r>
        <w:t>No Australian trials for other pulses were submitted</w:t>
      </w:r>
      <w:r w:rsidR="00F2438F">
        <w:t>;</w:t>
      </w:r>
      <w:r>
        <w:t xml:space="preserve"> however</w:t>
      </w:r>
      <w:r w:rsidR="00F2438F">
        <w:t>,</w:t>
      </w:r>
      <w:r>
        <w:t xml:space="preserve"> overseas trials were available for lentil</w:t>
      </w:r>
      <w:r w:rsidRPr="00A84E0C">
        <w:t>s and soya beans. In all the trials, single applications of diquat were made as a pre-harvest desiccation treatment</w:t>
      </w:r>
      <w:r>
        <w:t xml:space="preserve">. In trials on lentils at rates approximating the Australian maximum use rate of 0.6 kg </w:t>
      </w:r>
      <w:r w:rsidR="00572A0C">
        <w:t>ac/ha</w:t>
      </w:r>
      <w:r>
        <w:t xml:space="preserve">, </w:t>
      </w:r>
      <w:r w:rsidR="00202033">
        <w:t>8</w:t>
      </w:r>
      <w:r>
        <w:t xml:space="preserve"> sites had applications of 0.55</w:t>
      </w:r>
      <w:r w:rsidR="00202033">
        <w:t> </w:t>
      </w:r>
      <w:r>
        <w:t>kg</w:t>
      </w:r>
      <w:r w:rsidR="00202033">
        <w:t> </w:t>
      </w:r>
      <w:r w:rsidR="00572A0C">
        <w:t>ac/ha</w:t>
      </w:r>
      <w:r>
        <w:t xml:space="preserve"> from </w:t>
      </w:r>
      <w:r w:rsidR="00202033">
        <w:t xml:space="preserve">zero to </w:t>
      </w:r>
      <w:r>
        <w:t xml:space="preserve">7 days prior to harvest. No detectable residues (LOQ of 0.05 mg/kg) were found in seed at </w:t>
      </w:r>
      <w:r w:rsidR="00202033">
        <w:t>4</w:t>
      </w:r>
      <w:r>
        <w:t xml:space="preserve"> sites, and at the remaining sites residues of 0.07, 0.36 and 1.1 mg/kg were found in seed sampled immediately after application (</w:t>
      </w:r>
      <w:r w:rsidR="00202033">
        <w:t>zero</w:t>
      </w:r>
      <w:r>
        <w:t xml:space="preserve"> day PHI) and residues of 0.04, 0.07 and 0.28 mg/kg were found in seed sampled </w:t>
      </w:r>
      <w:r w:rsidR="00202033">
        <w:t>7</w:t>
      </w:r>
      <w:r>
        <w:t xml:space="preserve"> days after application</w:t>
      </w:r>
      <w:r w:rsidR="006C4FF7">
        <w:t xml:space="preserve"> (</w:t>
      </w:r>
      <w:r w:rsidR="006C4FF7" w:rsidRPr="006C4FF7">
        <w:t>Dodsworth</w:t>
      </w:r>
      <w:r w:rsidR="006C4FF7">
        <w:t>,</w:t>
      </w:r>
      <w:r w:rsidR="006C4FF7" w:rsidRPr="006C4FF7">
        <w:t xml:space="preserve"> 1990)</w:t>
      </w:r>
      <w:r>
        <w:t>. In soya bean trials t</w:t>
      </w:r>
      <w:r w:rsidRPr="00DA630D">
        <w:t xml:space="preserve">he </w:t>
      </w:r>
      <w:r>
        <w:t>r</w:t>
      </w:r>
      <w:r w:rsidRPr="00DA630D">
        <w:t xml:space="preserve">ange </w:t>
      </w:r>
      <w:r>
        <w:t xml:space="preserve">of residues </w:t>
      </w:r>
      <w:r w:rsidRPr="00DA630D">
        <w:t xml:space="preserve">from applications made approximating the Australian maximum rate of 0.6 kg </w:t>
      </w:r>
      <w:r w:rsidR="00572A0C">
        <w:t>ac/ha</w:t>
      </w:r>
      <w:r w:rsidR="007B5F6B">
        <w:t>, e</w:t>
      </w:r>
      <w:r w:rsidRPr="00DA630D">
        <w:t xml:space="preserve">xcluding the </w:t>
      </w:r>
      <w:r w:rsidR="007B5F6B">
        <w:t>d</w:t>
      </w:r>
      <w:r w:rsidRPr="00DA630D">
        <w:t xml:space="preserve">ays </w:t>
      </w:r>
      <w:r w:rsidR="00202033">
        <w:t xml:space="preserve">zero to </w:t>
      </w:r>
      <w:r w:rsidRPr="00DA630D">
        <w:t xml:space="preserve">2 samples, was &lt;0.01–0.16 mg/kg (rates of 0.56 to 0.8 kg </w:t>
      </w:r>
      <w:r w:rsidR="00572A0C">
        <w:t>ac/ha</w:t>
      </w:r>
      <w:r w:rsidRPr="00DA630D">
        <w:t xml:space="preserve"> and PHI of 5–10 days). </w:t>
      </w:r>
      <w:r>
        <w:t xml:space="preserve">At </w:t>
      </w:r>
      <w:r w:rsidR="00202033">
        <w:t>zero</w:t>
      </w:r>
      <w:r>
        <w:t xml:space="preserve"> days residues in seed were 0.62–0.63</w:t>
      </w:r>
      <w:r w:rsidR="00202033">
        <w:t> </w:t>
      </w:r>
      <w:r>
        <w:t xml:space="preserve">mg/kg after application at 0.6 kg </w:t>
      </w:r>
      <w:r w:rsidR="00572A0C">
        <w:t>ac/ha</w:t>
      </w:r>
      <w:r>
        <w:t xml:space="preserve"> or up to 0.91 mg/kg in the same trials after application at 0.8</w:t>
      </w:r>
      <w:r w:rsidR="00202033">
        <w:t> </w:t>
      </w:r>
      <w:r>
        <w:t>kg</w:t>
      </w:r>
      <w:r w:rsidR="00202033">
        <w:t> </w:t>
      </w:r>
      <w:r w:rsidR="00572A0C">
        <w:t>ac/ha</w:t>
      </w:r>
      <w:r w:rsidR="007B5F6B">
        <w:t xml:space="preserve"> (</w:t>
      </w:r>
      <w:r w:rsidR="007B5F6B" w:rsidRPr="007B5F6B">
        <w:t>Calderbank and McKenna,</w:t>
      </w:r>
      <w:r w:rsidR="007B5F6B">
        <w:t xml:space="preserve"> </w:t>
      </w:r>
      <w:r w:rsidR="007B5F6B" w:rsidRPr="007B5F6B">
        <w:t>1964</w:t>
      </w:r>
      <w:r w:rsidR="007B5F6B">
        <w:t xml:space="preserve">; </w:t>
      </w:r>
      <w:r w:rsidR="007B5F6B" w:rsidRPr="007B5F6B">
        <w:t>Anon</w:t>
      </w:r>
      <w:r w:rsidR="007B5F6B">
        <w:t xml:space="preserve">., </w:t>
      </w:r>
      <w:r w:rsidR="007B5F6B" w:rsidRPr="007B5F6B">
        <w:t>1972</w:t>
      </w:r>
      <w:r w:rsidR="007B5F6B">
        <w:t>;</w:t>
      </w:r>
      <w:r w:rsidR="007B5F6B" w:rsidRPr="007B5F6B">
        <w:t xml:space="preserve"> Swaine</w:t>
      </w:r>
      <w:r w:rsidR="007B5F6B">
        <w:t xml:space="preserve">, </w:t>
      </w:r>
      <w:r w:rsidR="007B5F6B" w:rsidRPr="007B5F6B">
        <w:t>1982</w:t>
      </w:r>
      <w:r w:rsidR="008247E7">
        <w:t>(b)</w:t>
      </w:r>
      <w:r w:rsidR="007B5F6B">
        <w:t xml:space="preserve">; </w:t>
      </w:r>
      <w:r w:rsidR="007B5F6B" w:rsidRPr="007B5F6B">
        <w:t>Massenot and Culoto</w:t>
      </w:r>
      <w:r w:rsidR="007B5F6B">
        <w:t xml:space="preserve">, </w:t>
      </w:r>
      <w:r w:rsidR="007B5F6B" w:rsidRPr="007B5F6B">
        <w:t>1985</w:t>
      </w:r>
      <w:r w:rsidR="007B5F6B">
        <w:t>;</w:t>
      </w:r>
      <w:r w:rsidR="007B5F6B" w:rsidRPr="007B5F6B">
        <w:t xml:space="preserve"> Kennedy, 1986</w:t>
      </w:r>
      <w:r w:rsidR="007B0EC4">
        <w:t>(c)</w:t>
      </w:r>
      <w:r w:rsidR="007B5F6B">
        <w:t>;</w:t>
      </w:r>
      <w:r w:rsidR="007B5F6B" w:rsidRPr="007B5F6B">
        <w:t xml:space="preserve"> Fujie</w:t>
      </w:r>
      <w:r w:rsidR="007B5F6B">
        <w:t xml:space="preserve">, </w:t>
      </w:r>
      <w:r w:rsidR="007B5F6B" w:rsidRPr="007B5F6B">
        <w:t>1988</w:t>
      </w:r>
      <w:r w:rsidR="00E95273">
        <w:t>(b)</w:t>
      </w:r>
      <w:r w:rsidR="007B5F6B">
        <w:t xml:space="preserve">; </w:t>
      </w:r>
      <w:r w:rsidR="007B5F6B" w:rsidRPr="007B5F6B">
        <w:t>Anderson and Barnaud</w:t>
      </w:r>
      <w:r w:rsidR="007B5F6B">
        <w:t>,</w:t>
      </w:r>
      <w:r w:rsidR="007B5F6B" w:rsidRPr="007B5F6B">
        <w:t xml:space="preserve"> 1995)</w:t>
      </w:r>
      <w:r>
        <w:t>.</w:t>
      </w:r>
    </w:p>
    <w:p w14:paraId="74C9EBF6" w14:textId="17ABA602" w:rsidR="00F945C3" w:rsidRDefault="00F945C3" w:rsidP="00F945C3">
      <w:pPr>
        <w:pStyle w:val="NormalText"/>
      </w:pPr>
      <w:r>
        <w:t xml:space="preserve">Additional Canadian studies on pulses were considered </w:t>
      </w:r>
      <w:r w:rsidR="00A84E0C">
        <w:t xml:space="preserve">in 2018 </w:t>
      </w:r>
      <w:r>
        <w:t xml:space="preserve">by the </w:t>
      </w:r>
      <w:r w:rsidR="00A84E0C">
        <w:t>Joint FAO/WHO Meeting on Pesticide Residues</w:t>
      </w:r>
      <w:r>
        <w:t xml:space="preserve"> </w:t>
      </w:r>
      <w:r w:rsidR="00A84E0C">
        <w:t xml:space="preserve">(JMPR, 2018) </w:t>
      </w:r>
      <w:r>
        <w:t xml:space="preserve">and have been provided in full for this review. Residues in beans dry after treatment at the Canadian GAP (0.55 kg </w:t>
      </w:r>
      <w:r w:rsidR="00572A0C">
        <w:t>ac/ha</w:t>
      </w:r>
      <w:r>
        <w:t xml:space="preserve"> for pre-harvest desiccation, sampling 4</w:t>
      </w:r>
      <w:r w:rsidR="00202033">
        <w:t>–</w:t>
      </w:r>
      <w:r>
        <w:t>5 day PHI) were 0.01, 0.012, 0.019, 0.040, 0.044, 0.15, 0.18 (2) and 0.35 mg/kg. Residues in chickpeas after treatment at the Canadian GAP (0.41</w:t>
      </w:r>
      <w:r w:rsidR="00202033">
        <w:t> </w:t>
      </w:r>
      <w:r>
        <w:t>kg</w:t>
      </w:r>
      <w:r w:rsidR="00202033">
        <w:t> </w:t>
      </w:r>
      <w:r w:rsidR="00572A0C">
        <w:t>ac/ha</w:t>
      </w:r>
      <w:r>
        <w:t xml:space="preserve"> for pre-harvest desiccation, 4</w:t>
      </w:r>
      <w:r w:rsidR="00202033">
        <w:t>–</w:t>
      </w:r>
      <w:r>
        <w:t>5 day PHI) were 0.070, 0.10, 0.16, 0.18, 0.24, 0.26, 0.32, 0.38 and 0.58</w:t>
      </w:r>
      <w:r w:rsidR="00202033">
        <w:t> </w:t>
      </w:r>
      <w:r>
        <w:t xml:space="preserve">mg/kg. Residues in lentils after treatment at the Canadian GAP (0.55 kg </w:t>
      </w:r>
      <w:r w:rsidR="00572A0C">
        <w:t>ac/ha</w:t>
      </w:r>
      <w:r>
        <w:t xml:space="preserve"> for pre-harvest desiccation, 4</w:t>
      </w:r>
      <w:r w:rsidR="00202033">
        <w:t>–</w:t>
      </w:r>
      <w:r>
        <w:t xml:space="preserve">5 day PHI) were 0.052, 0.070, 0.10, 0.16, 0.18, 0.21, 0.33 and 0.57 mg/kg. Residues in dry peas after treatment at the Canadian GAP (0.55 kg </w:t>
      </w:r>
      <w:r w:rsidR="00572A0C">
        <w:t>ac/ha</w:t>
      </w:r>
      <w:r>
        <w:t xml:space="preserve"> for pre-harvest desiccation, 4</w:t>
      </w:r>
      <w:r w:rsidR="00202033">
        <w:t>–</w:t>
      </w:r>
      <w:r>
        <w:t>5 day PHI) were 0.014, 0.020, 0.038, 0.054, 0.061 and 0.13</w:t>
      </w:r>
      <w:r w:rsidR="00202033">
        <w:t> </w:t>
      </w:r>
      <w:r>
        <w:t>mg/kg.</w:t>
      </w:r>
    </w:p>
    <w:p w14:paraId="0EB1607C" w14:textId="4AAB286D" w:rsidR="006B7AA6" w:rsidRDefault="006B7AA6" w:rsidP="006B7AA6">
      <w:pPr>
        <w:pStyle w:val="NormalText"/>
      </w:pPr>
      <w:r>
        <w:t>In response to the initial consultation, Syngenta submitted additional data for pulses, to provide further support for these uses including in relation to trade.</w:t>
      </w:r>
    </w:p>
    <w:p w14:paraId="45CF2F91" w14:textId="162C0E0F" w:rsidR="006B7AA6" w:rsidRDefault="006B7AA6" w:rsidP="006B7AA6">
      <w:pPr>
        <w:pStyle w:val="NormalText"/>
      </w:pPr>
      <w:r>
        <w:t>In 12 North American GLP on dry bean trials, residues at 3 – 4 days after application at 530 – 583 g a</w:t>
      </w:r>
      <w:r w:rsidR="006436C4">
        <w:t>c</w:t>
      </w:r>
      <w:r>
        <w:t>/ha were &lt;0.01 (6), 0.012, 0.016, 0.035, 0.036, 0.187 and 0.248 mg/kg.</w:t>
      </w:r>
    </w:p>
    <w:p w14:paraId="3860A232" w14:textId="7B500471" w:rsidR="006B7AA6" w:rsidRDefault="006B7AA6" w:rsidP="006B7AA6">
      <w:pPr>
        <w:pStyle w:val="NormalText"/>
      </w:pPr>
      <w:r>
        <w:t>In 8 European GLP dry bean trials, residues at 3-5 days after application at 600 g a</w:t>
      </w:r>
      <w:r w:rsidR="006436C4">
        <w:t>c</w:t>
      </w:r>
      <w:r>
        <w:t>/ha were &lt;0.01, 0.01, 0.02, 0.03, 0.04, 0.08, 0.09 and 0.10 mg/kg.</w:t>
      </w:r>
    </w:p>
    <w:p w14:paraId="6E3B2DCE" w14:textId="7CD546CF" w:rsidR="006B7AA6" w:rsidRDefault="006B7AA6" w:rsidP="006B7AA6">
      <w:pPr>
        <w:pStyle w:val="NormalText"/>
      </w:pPr>
      <w:r>
        <w:t>In 4 Brazilian GLP dry bean trials involving a pre-planting application at 400 g a</w:t>
      </w:r>
      <w:r w:rsidR="006436C4">
        <w:t>c</w:t>
      </w:r>
      <w:r>
        <w:t>/ha and a pre-harvest application also at 400 g ai/ha (7 days before harvest) residues were &lt;0.05 (3) and 0.12 mg/kg.</w:t>
      </w:r>
    </w:p>
    <w:p w14:paraId="6F592946" w14:textId="309E64BF" w:rsidR="006B7AA6" w:rsidRDefault="006B7AA6" w:rsidP="006B7AA6">
      <w:pPr>
        <w:pStyle w:val="NormalText"/>
      </w:pPr>
      <w:r>
        <w:lastRenderedPageBreak/>
        <w:t>In 3 non-GLP trials on lupins from the UK, residues at 9 – 13 days after a desiccation application of diquat at 600 – 1000 g a</w:t>
      </w:r>
      <w:r w:rsidR="006436C4">
        <w:t>c</w:t>
      </w:r>
      <w:r>
        <w:t>/ha were 0.17, 0.40 and 0.42 mg/kg.</w:t>
      </w:r>
    </w:p>
    <w:p w14:paraId="4113386F" w14:textId="70FD3C88" w:rsidR="006B7AA6" w:rsidRDefault="006B7AA6" w:rsidP="006B7AA6">
      <w:pPr>
        <w:pStyle w:val="NormalText"/>
      </w:pPr>
      <w:r>
        <w:t>In 8 North American trials on dry peas, residues at 4 – 5 days after application at 549 – 566 g a</w:t>
      </w:r>
      <w:r w:rsidR="006436C4">
        <w:t>c</w:t>
      </w:r>
      <w:r>
        <w:t>/ha were &lt;0.01 (2), 0.012, 0.016, 0.018, 0.023, 0.026 and 0.027 mg/kg.</w:t>
      </w:r>
    </w:p>
    <w:p w14:paraId="7E1EF2E2" w14:textId="5D4527C2" w:rsidR="00F945C3" w:rsidRDefault="00F945C3" w:rsidP="00F945C3">
      <w:pPr>
        <w:pStyle w:val="NormalText"/>
      </w:pPr>
      <w:r w:rsidRPr="00EA721D">
        <w:t xml:space="preserve">The available diquat residues data supports continued use in </w:t>
      </w:r>
      <w:r>
        <w:t xml:space="preserve">pulses. There is a plethora of diquat residues data available relevant to the currently registered uses on pulses and the </w:t>
      </w:r>
      <w:r w:rsidR="009E3126">
        <w:t>HR</w:t>
      </w:r>
      <w:r w:rsidR="00843596">
        <w:t xml:space="preserve"> </w:t>
      </w:r>
      <w:r>
        <w:t>associated with the desiccation use (with a 4 day PHI) was 0.8 mg/kg in dried peas (scaled for the Australian rate). The supported MRL is:</w:t>
      </w:r>
    </w:p>
    <w:p w14:paraId="0458D353" w14:textId="188A8B07" w:rsidR="00F945C3" w:rsidRDefault="00F945C3" w:rsidP="00202033">
      <w:pPr>
        <w:pStyle w:val="Bullet1"/>
      </w:pPr>
      <w:r>
        <w:t>VD 0070</w:t>
      </w:r>
      <w:r w:rsidR="00202033">
        <w:tab/>
      </w:r>
      <w:r w:rsidR="00202033">
        <w:tab/>
      </w:r>
      <w:r>
        <w:t>Pulses</w:t>
      </w:r>
      <w:r>
        <w:tab/>
      </w:r>
      <w:r w:rsidR="0016566A">
        <w:tab/>
      </w:r>
      <w:r w:rsidR="0016566A">
        <w:tab/>
      </w:r>
      <w:r w:rsidR="0016566A">
        <w:tab/>
      </w:r>
      <w:r w:rsidR="0016566A">
        <w:tab/>
      </w:r>
      <w:r w:rsidR="0016566A">
        <w:tab/>
      </w:r>
      <w:r w:rsidR="0016566A">
        <w:tab/>
      </w:r>
      <w:r w:rsidR="0016566A">
        <w:tab/>
      </w:r>
      <w:r>
        <w:t>1 mg/kg</w:t>
      </w:r>
    </w:p>
    <w:p w14:paraId="17C6E221" w14:textId="4B74345D" w:rsidR="00F945C3" w:rsidRDefault="00F945C3" w:rsidP="00F945C3">
      <w:pPr>
        <w:pStyle w:val="NormalText"/>
      </w:pPr>
      <w:r>
        <w:t xml:space="preserve">A </w:t>
      </w:r>
      <w:r w:rsidR="00202033">
        <w:t>‘</w:t>
      </w:r>
      <w:r>
        <w:t>Not required when used as directed</w:t>
      </w:r>
      <w:r w:rsidR="00202033">
        <w:t>’</w:t>
      </w:r>
      <w:r>
        <w:t xml:space="preserve"> withholding period would be suitable for the shielded spray under the general vegetable use. The supported harvest withholding period for pre-harvest desiccation of all pulse crops with this use is 4 days to reflect the time required for effective desiccation or weed control and the sampling period in the more recent pulse trials.</w:t>
      </w:r>
    </w:p>
    <w:p w14:paraId="306B22D9" w14:textId="4409A60E" w:rsidR="00F945C3" w:rsidRPr="00FD56EC" w:rsidRDefault="00F945C3" w:rsidP="0026666F">
      <w:pPr>
        <w:pStyle w:val="Heading3"/>
      </w:pPr>
      <w:bookmarkStart w:id="209" w:name="_Toc158208449"/>
      <w:bookmarkStart w:id="210" w:name="_Toc233038970"/>
      <w:r w:rsidRPr="00FD56EC">
        <w:t>Cereals</w:t>
      </w:r>
      <w:bookmarkEnd w:id="209"/>
      <w:bookmarkEnd w:id="210"/>
    </w:p>
    <w:p w14:paraId="46333676" w14:textId="77777777" w:rsidR="00384433" w:rsidRPr="00AB7F9A" w:rsidRDefault="00F945C3" w:rsidP="0026666F">
      <w:pPr>
        <w:pStyle w:val="Heading4"/>
      </w:pPr>
      <w:r w:rsidRPr="00AB7F9A">
        <w:t>Winter cereals</w:t>
      </w:r>
    </w:p>
    <w:p w14:paraId="2E328E29" w14:textId="2581D4CE" w:rsidR="00F945C3" w:rsidRDefault="00F945C3" w:rsidP="00F945C3">
      <w:pPr>
        <w:pStyle w:val="NormalText"/>
      </w:pPr>
      <w:r>
        <w:t xml:space="preserve">The Australian winter cereal maximum use rate is 0.6 kg </w:t>
      </w:r>
      <w:r w:rsidR="00572A0C">
        <w:t>ac/ha</w:t>
      </w:r>
      <w:r>
        <w:t xml:space="preserve"> for pre-harvest weed control. The withholding period is </w:t>
      </w:r>
      <w:r w:rsidR="00202033">
        <w:t>‘</w:t>
      </w:r>
      <w:r>
        <w:t>Not required when used as directed</w:t>
      </w:r>
      <w:r w:rsidR="00202033">
        <w:t>’</w:t>
      </w:r>
      <w:r>
        <w:t>. Current labels do not specify individual winter cereals for this use pattern. The current Australian MRLs are Wheat, Rye and Triticale at 2 mg/kg, and Barley and Oats at 5 mg/kg</w:t>
      </w:r>
      <w:r w:rsidR="00202033">
        <w:t>,</w:t>
      </w:r>
      <w:r>
        <w:t xml:space="preserve"> which are the crops which will be considered here as MRLs were not previously established for other cereal crops which may be considered as a ‘winter cereal’. The 2018 JMPR considered pre-harvest cereal use patterns with withholding periods of </w:t>
      </w:r>
      <w:r w:rsidR="00202033">
        <w:t>‘</w:t>
      </w:r>
      <w:r>
        <w:t>Not required when used as directed</w:t>
      </w:r>
      <w:r w:rsidR="00202033">
        <w:t>’</w:t>
      </w:r>
      <w:r>
        <w:t xml:space="preserve"> and concluded that at least 4 days after treatment would be required for effective weed control and crop dry down.</w:t>
      </w:r>
    </w:p>
    <w:p w14:paraId="64849149" w14:textId="53B50445" w:rsidR="00F945C3" w:rsidRDefault="00F945C3" w:rsidP="00F945C3">
      <w:pPr>
        <w:pStyle w:val="NormalText"/>
        <w:rPr>
          <w:u w:val="single"/>
        </w:rPr>
      </w:pPr>
      <w:r>
        <w:t>The submitted residues data for winter cereals was described mostly as pre-harvest desiccation applications</w:t>
      </w:r>
      <w:r w:rsidR="009136C8">
        <w:t xml:space="preserve"> </w:t>
      </w:r>
      <w:r w:rsidR="009136C8" w:rsidRPr="0011452A">
        <w:t>(Barrett e</w:t>
      </w:r>
      <w:r w:rsidR="009136C8" w:rsidRPr="00000D7A">
        <w:t>t al.</w:t>
      </w:r>
      <w:r w:rsidR="00AF5435">
        <w:t>,</w:t>
      </w:r>
      <w:r w:rsidR="009136C8" w:rsidRPr="00000D7A">
        <w:t xml:space="preserve"> </w:t>
      </w:r>
      <w:r w:rsidR="00317566">
        <w:t>no date</w:t>
      </w:r>
      <w:r w:rsidR="009136C8" w:rsidRPr="00000D7A">
        <w:t>; Calderbank A and Yuan</w:t>
      </w:r>
      <w:r w:rsidR="0011452A">
        <w:t>,</w:t>
      </w:r>
      <w:r w:rsidR="009136C8" w:rsidRPr="00000D7A">
        <w:t xml:space="preserve"> 1963</w:t>
      </w:r>
      <w:r w:rsidR="0011452A">
        <w:t>;</w:t>
      </w:r>
      <w:r w:rsidR="009136C8" w:rsidRPr="00000D7A">
        <w:t xml:space="preserve"> Calderbank and McKenn</w:t>
      </w:r>
      <w:r w:rsidR="00AF5435">
        <w:t>a</w:t>
      </w:r>
      <w:r w:rsidR="0011452A">
        <w:t>,</w:t>
      </w:r>
      <w:r w:rsidR="009136C8" w:rsidRPr="00000D7A">
        <w:t xml:space="preserve"> 1964</w:t>
      </w:r>
      <w:r w:rsidR="0011452A">
        <w:t>;</w:t>
      </w:r>
      <w:bookmarkStart w:id="211" w:name="_Hlk160791100"/>
      <w:r w:rsidR="009136C8" w:rsidRPr="00000D7A">
        <w:t xml:space="preserve"> McKenna</w:t>
      </w:r>
      <w:r w:rsidR="0011452A">
        <w:t>,</w:t>
      </w:r>
      <w:r w:rsidR="009136C8" w:rsidRPr="00000D7A">
        <w:t xml:space="preserve"> 1966</w:t>
      </w:r>
      <w:r w:rsidR="0011452A">
        <w:t>;</w:t>
      </w:r>
      <w:bookmarkEnd w:id="211"/>
      <w:r w:rsidR="009136C8" w:rsidRPr="00000D7A">
        <w:t xml:space="preserve"> Anon.</w:t>
      </w:r>
      <w:r w:rsidR="0011452A">
        <w:t>,</w:t>
      </w:r>
      <w:r w:rsidR="009136C8" w:rsidRPr="00000D7A">
        <w:t xml:space="preserve"> 1969; </w:t>
      </w:r>
      <w:r w:rsidR="00F06B29" w:rsidRPr="00000D7A">
        <w:t>Anon.</w:t>
      </w:r>
      <w:r w:rsidR="0011452A">
        <w:t>,</w:t>
      </w:r>
      <w:r w:rsidR="00F06B29" w:rsidRPr="00000D7A">
        <w:t xml:space="preserve"> 1970</w:t>
      </w:r>
      <w:r w:rsidR="005F7D54">
        <w:t>(a)</w:t>
      </w:r>
      <w:r w:rsidR="00F06B29" w:rsidRPr="00000D7A">
        <w:t xml:space="preserve">; </w:t>
      </w:r>
      <w:r w:rsidR="009136C8" w:rsidRPr="00000D7A">
        <w:t>Anon.</w:t>
      </w:r>
      <w:r w:rsidR="0011452A">
        <w:t>,</w:t>
      </w:r>
      <w:r w:rsidR="009136C8" w:rsidRPr="00000D7A">
        <w:t xml:space="preserve"> 1972; </w:t>
      </w:r>
      <w:r w:rsidR="00984ABA" w:rsidRPr="00000D7A">
        <w:t>Ward</w:t>
      </w:r>
      <w:r w:rsidR="00984ABA">
        <w:t>,</w:t>
      </w:r>
      <w:r w:rsidR="00984ABA" w:rsidRPr="00000D7A">
        <w:t xml:space="preserve"> 1978</w:t>
      </w:r>
      <w:r w:rsidR="00984ABA">
        <w:t xml:space="preserve">; </w:t>
      </w:r>
      <w:r w:rsidR="009136C8" w:rsidRPr="00000D7A">
        <w:t>Anon.</w:t>
      </w:r>
      <w:r w:rsidR="0011452A">
        <w:t>,</w:t>
      </w:r>
      <w:r w:rsidR="009136C8" w:rsidRPr="00000D7A">
        <w:t xml:space="preserve"> 1980</w:t>
      </w:r>
      <w:r w:rsidR="006209C4">
        <w:t>(b)</w:t>
      </w:r>
      <w:r w:rsidR="009136C8" w:rsidRPr="00000D7A">
        <w:t>; Swaine</w:t>
      </w:r>
      <w:r w:rsidR="0011452A">
        <w:t>,</w:t>
      </w:r>
      <w:r w:rsidR="009136C8" w:rsidRPr="00000D7A">
        <w:t xml:space="preserve"> 1982</w:t>
      </w:r>
      <w:r w:rsidR="00AF5435">
        <w:t>(</w:t>
      </w:r>
      <w:r w:rsidR="008247E7">
        <w:t>d,e</w:t>
      </w:r>
      <w:r w:rsidR="00AF5435">
        <w:t>);</w:t>
      </w:r>
      <w:r w:rsidR="009136C8" w:rsidRPr="00000D7A">
        <w:t xml:space="preserve"> Swaine</w:t>
      </w:r>
      <w:r w:rsidR="0011452A">
        <w:t>,</w:t>
      </w:r>
      <w:r w:rsidR="009136C8" w:rsidRPr="00000D7A">
        <w:t xml:space="preserve"> 1983</w:t>
      </w:r>
      <w:r w:rsidR="008247E7">
        <w:t>(b)</w:t>
      </w:r>
      <w:r w:rsidR="0011452A">
        <w:t>;</w:t>
      </w:r>
      <w:r w:rsidR="009136C8" w:rsidRPr="00000D7A">
        <w:t xml:space="preserve"> Kennedy</w:t>
      </w:r>
      <w:r w:rsidR="0011452A">
        <w:t>,</w:t>
      </w:r>
      <w:r w:rsidR="009136C8" w:rsidRPr="00000D7A">
        <w:t xml:space="preserve"> 1984</w:t>
      </w:r>
      <w:r w:rsidR="00702C81">
        <w:t>(b)</w:t>
      </w:r>
      <w:r w:rsidR="0011452A">
        <w:t xml:space="preserve">; </w:t>
      </w:r>
      <w:r w:rsidR="009136C8" w:rsidRPr="00000D7A">
        <w:t>Kennedy</w:t>
      </w:r>
      <w:r w:rsidR="0011452A">
        <w:t>,</w:t>
      </w:r>
      <w:r w:rsidR="009136C8" w:rsidRPr="00000D7A">
        <w:t xml:space="preserve"> 1986</w:t>
      </w:r>
      <w:r w:rsidR="007B0EC4">
        <w:t>(d)</w:t>
      </w:r>
      <w:r w:rsidR="0011452A">
        <w:t>;</w:t>
      </w:r>
      <w:r w:rsidR="009136C8" w:rsidRPr="00000D7A">
        <w:t xml:space="preserve"> </w:t>
      </w:r>
      <w:r w:rsidR="00984ABA" w:rsidRPr="00000D7A">
        <w:t>Laws</w:t>
      </w:r>
      <w:r w:rsidR="00984ABA">
        <w:t xml:space="preserve"> et al,</w:t>
      </w:r>
      <w:r w:rsidR="00984ABA" w:rsidRPr="00000D7A">
        <w:t xml:space="preserve"> 1987</w:t>
      </w:r>
      <w:r w:rsidR="00984ABA">
        <w:t>;</w:t>
      </w:r>
      <w:r w:rsidR="00984ABA" w:rsidRPr="00000D7A">
        <w:t xml:space="preserve"> Fujie</w:t>
      </w:r>
      <w:r w:rsidR="00984ABA">
        <w:t>,</w:t>
      </w:r>
      <w:r w:rsidR="00984ABA" w:rsidRPr="00000D7A">
        <w:t xml:space="preserve"> 1988</w:t>
      </w:r>
      <w:r w:rsidR="00984ABA">
        <w:t>(c);</w:t>
      </w:r>
      <w:r w:rsidR="00984ABA" w:rsidRPr="00000D7A">
        <w:t xml:space="preserve"> Culoto</w:t>
      </w:r>
      <w:r w:rsidR="00984ABA">
        <w:t>,</w:t>
      </w:r>
      <w:r w:rsidR="00984ABA" w:rsidRPr="00000D7A">
        <w:t xml:space="preserve"> 1977</w:t>
      </w:r>
      <w:r w:rsidR="00984ABA">
        <w:t>;</w:t>
      </w:r>
      <w:r w:rsidR="00984ABA" w:rsidRPr="00000D7A">
        <w:t xml:space="preserve"> Benet and Massenot</w:t>
      </w:r>
      <w:r w:rsidR="00984ABA">
        <w:t xml:space="preserve">, </w:t>
      </w:r>
      <w:r w:rsidR="00984ABA" w:rsidRPr="00000D7A">
        <w:t>1993</w:t>
      </w:r>
      <w:r w:rsidR="00984ABA">
        <w:t>;</w:t>
      </w:r>
      <w:r w:rsidR="00984ABA" w:rsidRPr="00984ABA">
        <w:t xml:space="preserve"> </w:t>
      </w:r>
      <w:r w:rsidR="00984ABA" w:rsidRPr="00000D7A">
        <w:t>Anderson</w:t>
      </w:r>
      <w:r w:rsidR="00984ABA">
        <w:t xml:space="preserve"> et al,</w:t>
      </w:r>
      <w:r w:rsidR="00984ABA" w:rsidRPr="00000D7A">
        <w:t xml:space="preserve"> 1994</w:t>
      </w:r>
      <w:r w:rsidR="00984ABA">
        <w:t>(b);</w:t>
      </w:r>
      <w:r w:rsidR="00984ABA" w:rsidRPr="00000D7A">
        <w:t xml:space="preserve"> Anderson and Dack</w:t>
      </w:r>
      <w:r w:rsidR="00984ABA">
        <w:t>,</w:t>
      </w:r>
      <w:r w:rsidR="00984ABA" w:rsidRPr="00000D7A">
        <w:t xml:space="preserve"> 1994</w:t>
      </w:r>
      <w:r w:rsidR="00984ABA">
        <w:t xml:space="preserve">; </w:t>
      </w:r>
      <w:r w:rsidR="009136C8" w:rsidRPr="00000D7A">
        <w:t>Anderson and Lant</w:t>
      </w:r>
      <w:r w:rsidR="0011452A">
        <w:t>,</w:t>
      </w:r>
      <w:r w:rsidR="009136C8" w:rsidRPr="00000D7A">
        <w:t xml:space="preserve"> 1994</w:t>
      </w:r>
      <w:r w:rsidR="00DC4A35">
        <w:t>(b)</w:t>
      </w:r>
      <w:r w:rsidR="0011452A">
        <w:t>;</w:t>
      </w:r>
      <w:r w:rsidR="009136C8" w:rsidRPr="00000D7A">
        <w:t xml:space="preserve"> </w:t>
      </w:r>
      <w:r w:rsidR="00F06B29" w:rsidRPr="00000D7A">
        <w:t>Anderson and Bonfanti</w:t>
      </w:r>
      <w:r w:rsidR="0011452A">
        <w:t>,</w:t>
      </w:r>
      <w:r w:rsidR="00F06B29" w:rsidRPr="00000D7A">
        <w:t xml:space="preserve"> 1995</w:t>
      </w:r>
      <w:r w:rsidR="00984ABA">
        <w:t>;</w:t>
      </w:r>
      <w:r w:rsidR="00984ABA" w:rsidRPr="00984ABA">
        <w:t xml:space="preserve"> </w:t>
      </w:r>
      <w:r w:rsidR="00984ABA" w:rsidRPr="00000D7A">
        <w:t>Anderson</w:t>
      </w:r>
      <w:r w:rsidR="00984ABA">
        <w:t xml:space="preserve"> et al,</w:t>
      </w:r>
      <w:r w:rsidR="00984ABA" w:rsidRPr="00000D7A">
        <w:t xml:space="preserve"> 1995</w:t>
      </w:r>
      <w:r w:rsidR="00984ABA">
        <w:t>(a);</w:t>
      </w:r>
      <w:r w:rsidR="00F06B29" w:rsidRPr="00000D7A">
        <w:t xml:space="preserve"> </w:t>
      </w:r>
      <w:r w:rsidR="009136C8" w:rsidRPr="00000D7A">
        <w:t>Anon.</w:t>
      </w:r>
      <w:r w:rsidR="0011452A">
        <w:t>,</w:t>
      </w:r>
      <w:r w:rsidR="009136C8" w:rsidRPr="00000D7A">
        <w:t xml:space="preserve"> 1996</w:t>
      </w:r>
      <w:r w:rsidR="00AF5435">
        <w:t xml:space="preserve">). </w:t>
      </w:r>
      <w:r>
        <w:t xml:space="preserve">The Australian winter cereal use pattern is a weed control application of diquat when the plants are fully mature. These </w:t>
      </w:r>
      <w:r w:rsidR="00202033">
        <w:t>2</w:t>
      </w:r>
      <w:r>
        <w:t xml:space="preserve"> use patterns differ very little in timing and from a residues perspective are indistinguishable.</w:t>
      </w:r>
    </w:p>
    <w:p w14:paraId="4CC687EB" w14:textId="43F7ED77" w:rsidR="00F945C3" w:rsidRDefault="00F945C3" w:rsidP="00F945C3">
      <w:pPr>
        <w:pStyle w:val="NormalText"/>
      </w:pPr>
      <w:r>
        <w:t xml:space="preserve">Residues in wheat grain at levels greater than the current Australian MRL of 2 mg/kg (up to 2.3 mg/kg) occurred in </w:t>
      </w:r>
      <w:r w:rsidR="00202033">
        <w:t>2 </w:t>
      </w:r>
      <w:r>
        <w:t>trials 3</w:t>
      </w:r>
      <w:r w:rsidR="00202033">
        <w:t>–</w:t>
      </w:r>
      <w:r>
        <w:t xml:space="preserve">4 days after applications of 0.8 and 0.84 kg </w:t>
      </w:r>
      <w:r w:rsidR="00572A0C">
        <w:t>ac/ha</w:t>
      </w:r>
      <w:r>
        <w:t xml:space="preserve"> (1.3–1.4× the maximum rate) and </w:t>
      </w:r>
      <w:r w:rsidR="00202033">
        <w:t>4</w:t>
      </w:r>
      <w:r>
        <w:t xml:space="preserve"> times in trials after an application of 0.6 kg </w:t>
      </w:r>
      <w:r w:rsidR="00572A0C">
        <w:t>ac/ha</w:t>
      </w:r>
      <w:r>
        <w:t xml:space="preserve"> (up to 2.67 mg/kg at </w:t>
      </w:r>
      <w:r w:rsidR="00202033">
        <w:t>zero</w:t>
      </w:r>
      <w:r>
        <w:t xml:space="preserve"> day PHI). The </w:t>
      </w:r>
      <w:r w:rsidR="00202033">
        <w:t>zero</w:t>
      </w:r>
      <w:r>
        <w:t xml:space="preserve"> day PHI samples, however, were harvested immediately after application, which is not considered to be typical agronomic practice. At the next sampling point in those trials addressing the rate of 0.6 kg </w:t>
      </w:r>
      <w:r w:rsidR="00572A0C">
        <w:t>ac/ha</w:t>
      </w:r>
      <w:r>
        <w:t xml:space="preserve"> of 4 days after application, residues had declined to between 0.17 and 0.56 mg/kg. In other trials diquat residues were in the range of &lt;0.05 to 0.40 mg/kg in samples of grain harvested 8 days after an application of 0.6 kg </w:t>
      </w:r>
      <w:r w:rsidR="00572A0C">
        <w:t>ac/ha</w:t>
      </w:r>
      <w:r>
        <w:t>.</w:t>
      </w:r>
    </w:p>
    <w:p w14:paraId="77591982" w14:textId="554EE2FE" w:rsidR="00F945C3" w:rsidRDefault="00F945C3" w:rsidP="00F945C3">
      <w:pPr>
        <w:pStyle w:val="NormalText"/>
      </w:pPr>
      <w:r>
        <w:lastRenderedPageBreak/>
        <w:t>Additional Australian trials on wheat were considered by the 2018 JMPR and have been provided in full for this review. Residues of diquat in wheat grain at 2</w:t>
      </w:r>
      <w:r w:rsidR="00202033">
        <w:t>–</w:t>
      </w:r>
      <w:r>
        <w:t xml:space="preserve">4 days after application at approximately 0.6 kg </w:t>
      </w:r>
      <w:r w:rsidR="00572A0C">
        <w:t>ac/ha</w:t>
      </w:r>
      <w:r>
        <w:t xml:space="preserve"> were 0.20, 0.28, 0.41, 0.45, 0.56, 0.57, 0.63 and 0.78 mg/kg. The OECD MRL Calculator recommends an MRL of 1.5</w:t>
      </w:r>
      <w:r w:rsidR="00202033">
        <w:t> </w:t>
      </w:r>
      <w:r>
        <w:t>mg/kg (STMR = 0.51 mg/kg, n = 8) based on this dataset.</w:t>
      </w:r>
    </w:p>
    <w:p w14:paraId="303499F2" w14:textId="6D0291D5" w:rsidR="00F945C3" w:rsidRDefault="00F945C3" w:rsidP="00F945C3">
      <w:pPr>
        <w:pStyle w:val="NormalText"/>
      </w:pPr>
      <w:r>
        <w:t>The current MRL of 2 mg/kg for diquat on wheat remains appropriate. Similarly</w:t>
      </w:r>
      <w:r w:rsidR="00384433">
        <w:t>,</w:t>
      </w:r>
      <w:r>
        <w:t xml:space="preserve"> the MRLs for diquat on rye and triticale (which are in the same crop </w:t>
      </w:r>
      <w:r w:rsidR="0011452A">
        <w:t>subgroup</w:t>
      </w:r>
      <w:r>
        <w:t xml:space="preserve"> as wheat in the APVMA crop group guidelines</w:t>
      </w:r>
      <w:r w:rsidR="00E61669">
        <w:rPr>
          <w:rFonts w:ascii="ZWAdobeF" w:hAnsi="ZWAdobeF" w:cs="ZWAdobeF"/>
          <w:sz w:val="2"/>
          <w:szCs w:val="2"/>
        </w:rPr>
        <w:t>10F</w:t>
      </w:r>
      <w:r w:rsidR="00602535">
        <w:rPr>
          <w:rFonts w:ascii="ZWAdobeF" w:hAnsi="ZWAdobeF" w:cs="ZWAdobeF"/>
          <w:sz w:val="2"/>
          <w:szCs w:val="2"/>
        </w:rPr>
        <w:t>11F</w:t>
      </w:r>
      <w:r>
        <w:rPr>
          <w:rStyle w:val="FootnoteReference"/>
        </w:rPr>
        <w:footnoteReference w:id="13"/>
      </w:r>
      <w:r>
        <w:t>) should also remain at 2 mg/kg.</w:t>
      </w:r>
    </w:p>
    <w:p w14:paraId="1AC17119" w14:textId="0C1311D1" w:rsidR="00F945C3" w:rsidRDefault="00F945C3" w:rsidP="00F945C3">
      <w:pPr>
        <w:pStyle w:val="NormalText"/>
      </w:pPr>
      <w:r>
        <w:t xml:space="preserve">Diquat residues in barley grain tended to be higher than those in wheat. In a trial conducted at the Australian maximum use rate (0.6 kg </w:t>
      </w:r>
      <w:r w:rsidR="00572A0C">
        <w:t>ac/ha</w:t>
      </w:r>
      <w:r>
        <w:t xml:space="preserve">) had </w:t>
      </w:r>
      <w:r w:rsidR="00202033">
        <w:t>3</w:t>
      </w:r>
      <w:r>
        <w:t xml:space="preserve"> Day </w:t>
      </w:r>
      <w:r w:rsidR="00202033">
        <w:t>zero</w:t>
      </w:r>
      <w:r>
        <w:t xml:space="preserve"> results of 5.1, 5.12 and 5.7 mg/kg</w:t>
      </w:r>
      <w:r w:rsidR="00202033">
        <w:t>;</w:t>
      </w:r>
      <w:r>
        <w:t xml:space="preserve"> however</w:t>
      </w:r>
      <w:r w:rsidR="00202033">
        <w:t>,</w:t>
      </w:r>
      <w:r>
        <w:t xml:space="preserve"> by the next sampling at Day 4 residues had all declined to 1.5 mg/kg or less. In trials carried out more recently, one application of 0.8–0.944 kg </w:t>
      </w:r>
      <w:r w:rsidR="00572A0C">
        <w:t>ac/ha</w:t>
      </w:r>
      <w:r>
        <w:t xml:space="preserve"> was applied and grain sampled </w:t>
      </w:r>
      <w:r w:rsidR="00202033">
        <w:t>one</w:t>
      </w:r>
      <w:r>
        <w:t>, 3 and 4 days later. Diquat residues ranged from 0.98 to 3.6</w:t>
      </w:r>
      <w:r w:rsidR="00202033">
        <w:t> </w:t>
      </w:r>
      <w:r>
        <w:t>mg/kg. At 4 days residues in these more recent trials were 0.98, 1.1, 1.5 and 1.8 mg/kg.</w:t>
      </w:r>
    </w:p>
    <w:p w14:paraId="0A1C9B6F" w14:textId="71862932" w:rsidR="00F945C3" w:rsidRDefault="00F945C3" w:rsidP="00F945C3">
      <w:pPr>
        <w:pStyle w:val="NormalText"/>
      </w:pPr>
      <w:r>
        <w:t>Additional Australian trials on barley were considered by the 2018 JMPR and have been provided in full for this review. Residues of diquat in barley grain at 2</w:t>
      </w:r>
      <w:r w:rsidR="00202033">
        <w:t>–</w:t>
      </w:r>
      <w:r>
        <w:t xml:space="preserve">4 days after application at approximately 0.6 kg </w:t>
      </w:r>
      <w:r w:rsidR="00572A0C">
        <w:t>ac/ha</w:t>
      </w:r>
      <w:r>
        <w:t xml:space="preserve"> were 0.15, 0.49, 0.53, 1.1, 2.0, 2.0 and 2.1 mg/kg.</w:t>
      </w:r>
    </w:p>
    <w:p w14:paraId="0683B284" w14:textId="538143E8" w:rsidR="00F945C3" w:rsidRDefault="00F945C3" w:rsidP="00F945C3">
      <w:pPr>
        <w:pStyle w:val="NormalText"/>
      </w:pPr>
      <w:r>
        <w:t>The combined dataset based on the more recent trials and those evaluated by the 2018 JMPR is 0.15, 0.49, 0.53, 0.98, 1.1, 1.1, 1.5, 1.8, 2.0, 2.0 and 2.1 mg/kg. The OECD MRL Calculator recommends an MRL of 4</w:t>
      </w:r>
      <w:r w:rsidR="00202033">
        <w:t> </w:t>
      </w:r>
      <w:r>
        <w:t>mg/kg (STMR = 1.1 mg/kg, n = 11). The current MRL of 5 mg/kg for diquat on barley remains appropriate noting it is equal to the Codex MRL</w:t>
      </w:r>
      <w:r w:rsidR="00202033">
        <w:t>,</w:t>
      </w:r>
      <w:r>
        <w:t xml:space="preserve"> which was supported by JMPR in 2019.</w:t>
      </w:r>
    </w:p>
    <w:p w14:paraId="6E24FCD2" w14:textId="255BD8A4" w:rsidR="00F945C3" w:rsidRDefault="00F945C3" w:rsidP="00F945C3">
      <w:pPr>
        <w:pStyle w:val="NormalText"/>
      </w:pPr>
      <w:r>
        <w:t xml:space="preserve">In </w:t>
      </w:r>
      <w:r w:rsidR="00202033">
        <w:t>2</w:t>
      </w:r>
      <w:r>
        <w:t xml:space="preserve"> of the more recent oat trials where one application was made at 0.8 kg </w:t>
      </w:r>
      <w:r w:rsidR="00572A0C">
        <w:t>ac/ha</w:t>
      </w:r>
      <w:r>
        <w:t xml:space="preserve"> and grain sampled </w:t>
      </w:r>
      <w:r w:rsidR="00202033">
        <w:t>one</w:t>
      </w:r>
      <w:r>
        <w:t>, 3 and 4</w:t>
      </w:r>
      <w:r w:rsidR="00202033">
        <w:t> </w:t>
      </w:r>
      <w:r>
        <w:t>days later, diquat residues ranged from 0.75 to 2.1 mg/kg. At 4 days residues were 0.75 and 0.90 mg/kg in these trials. Additional Australian data for diquat on oats were considered by the 2018 JMPR and have been provided for this review. Residues of diquat in oat grain at 2</w:t>
      </w:r>
      <w:r w:rsidR="00202033">
        <w:t>–</w:t>
      </w:r>
      <w:r>
        <w:t xml:space="preserve">4 days after application at approximately 0.6 kg </w:t>
      </w:r>
      <w:r w:rsidR="00572A0C">
        <w:t>ac/ha</w:t>
      </w:r>
      <w:r>
        <w:t xml:space="preserve"> were 0.26, 0.41, 0.41 and 0.46 mg/kg.</w:t>
      </w:r>
    </w:p>
    <w:p w14:paraId="1C03F0B6" w14:textId="17233CD0" w:rsidR="00F945C3" w:rsidRDefault="00F945C3" w:rsidP="00F945C3">
      <w:pPr>
        <w:pStyle w:val="NormalText"/>
      </w:pPr>
      <w:r>
        <w:t>The combined dataset for oats based on the more recent trials and those evaluated by the 2018 JMPR is 0.26, 0.41, 0.41, 0.46, 0.75 and 0.90 mg/kg. The OECD MRL Calculator recommends an MRL of 2 mg/kg (STMR = 0.44</w:t>
      </w:r>
      <w:r w:rsidR="00202033">
        <w:t> </w:t>
      </w:r>
      <w:r>
        <w:t>mg/kg, n = 6). The current MRL for diquat on oats at 5 mg/kg should be replaced with an MRL at 2</w:t>
      </w:r>
      <w:r w:rsidR="00202033">
        <w:t> </w:t>
      </w:r>
      <w:r>
        <w:t>mg/kg.</w:t>
      </w:r>
    </w:p>
    <w:p w14:paraId="5E3649A9" w14:textId="77777777" w:rsidR="00F945C3" w:rsidRDefault="00F945C3" w:rsidP="00F945C3">
      <w:pPr>
        <w:pStyle w:val="NormalText"/>
      </w:pPr>
      <w:r>
        <w:t>The supported MRLs are:</w:t>
      </w:r>
    </w:p>
    <w:p w14:paraId="63B4C68A" w14:textId="22B70E00" w:rsidR="00F945C3" w:rsidRDefault="00F945C3" w:rsidP="00202033">
      <w:pPr>
        <w:pStyle w:val="Bullet1"/>
      </w:pPr>
      <w:r>
        <w:t>GC 0640</w:t>
      </w:r>
      <w:r w:rsidR="00202033">
        <w:tab/>
      </w:r>
      <w:r w:rsidR="00202033">
        <w:tab/>
      </w:r>
      <w:r>
        <w:t>Barley</w:t>
      </w:r>
      <w:r>
        <w:tab/>
      </w:r>
      <w:r>
        <w:tab/>
      </w:r>
      <w:r w:rsidR="0016566A">
        <w:tab/>
      </w:r>
      <w:r w:rsidR="0016566A">
        <w:tab/>
      </w:r>
      <w:r w:rsidR="0016566A">
        <w:tab/>
      </w:r>
      <w:r w:rsidR="0016566A">
        <w:tab/>
      </w:r>
      <w:r w:rsidR="0016566A">
        <w:tab/>
      </w:r>
      <w:r w:rsidR="0016566A">
        <w:tab/>
      </w:r>
      <w:r w:rsidR="0016566A">
        <w:tab/>
      </w:r>
      <w:r>
        <w:t>5 mg/kg</w:t>
      </w:r>
    </w:p>
    <w:p w14:paraId="2931766C" w14:textId="26953729" w:rsidR="00F945C3" w:rsidRDefault="00F945C3" w:rsidP="00202033">
      <w:pPr>
        <w:pStyle w:val="Bullet1"/>
      </w:pPr>
      <w:r>
        <w:t>GC 0647</w:t>
      </w:r>
      <w:r w:rsidR="00202033">
        <w:tab/>
      </w:r>
      <w:r w:rsidR="00202033">
        <w:tab/>
      </w:r>
      <w:r>
        <w:t>Oats</w:t>
      </w:r>
      <w:r>
        <w:tab/>
      </w:r>
      <w:r>
        <w:tab/>
      </w:r>
      <w:r>
        <w:tab/>
      </w:r>
      <w:r w:rsidR="0016566A">
        <w:tab/>
      </w:r>
      <w:r w:rsidR="0016566A">
        <w:tab/>
      </w:r>
      <w:r w:rsidR="0016566A">
        <w:tab/>
      </w:r>
      <w:r w:rsidR="0016566A">
        <w:tab/>
      </w:r>
      <w:r w:rsidR="0016566A">
        <w:tab/>
      </w:r>
      <w:r w:rsidR="0016566A">
        <w:tab/>
      </w:r>
      <w:r>
        <w:t>2 mg/kg</w:t>
      </w:r>
    </w:p>
    <w:p w14:paraId="6998E25A" w14:textId="7F8AFDD8" w:rsidR="00F945C3" w:rsidRDefault="00F945C3" w:rsidP="00202033">
      <w:pPr>
        <w:pStyle w:val="Bullet1"/>
      </w:pPr>
      <w:r>
        <w:lastRenderedPageBreak/>
        <w:t>GC 0650</w:t>
      </w:r>
      <w:r w:rsidR="00202033">
        <w:tab/>
      </w:r>
      <w:r w:rsidR="00202033">
        <w:tab/>
      </w:r>
      <w:r>
        <w:t>Rye</w:t>
      </w:r>
      <w:r>
        <w:tab/>
      </w:r>
      <w:r>
        <w:tab/>
      </w:r>
      <w:r>
        <w:tab/>
      </w:r>
      <w:r w:rsidR="0016566A">
        <w:tab/>
      </w:r>
      <w:r w:rsidR="0016566A">
        <w:tab/>
      </w:r>
      <w:r w:rsidR="0016566A">
        <w:tab/>
      </w:r>
      <w:r w:rsidR="0016566A">
        <w:tab/>
      </w:r>
      <w:r w:rsidR="0016566A">
        <w:tab/>
      </w:r>
      <w:r w:rsidR="0016566A">
        <w:tab/>
      </w:r>
      <w:r>
        <w:t>2 mg/kg</w:t>
      </w:r>
    </w:p>
    <w:p w14:paraId="29307DB9" w14:textId="30FC78C1" w:rsidR="00F945C3" w:rsidRDefault="00F945C3" w:rsidP="00202033">
      <w:pPr>
        <w:pStyle w:val="Bullet1"/>
      </w:pPr>
      <w:r>
        <w:t>GC 0653</w:t>
      </w:r>
      <w:r w:rsidR="00202033">
        <w:tab/>
      </w:r>
      <w:r w:rsidR="00202033">
        <w:tab/>
      </w:r>
      <w:r>
        <w:t>Triticale</w:t>
      </w:r>
      <w:r>
        <w:tab/>
      </w:r>
      <w:r>
        <w:tab/>
      </w:r>
      <w:r w:rsidR="00384433">
        <w:tab/>
      </w:r>
      <w:r w:rsidR="0016566A">
        <w:tab/>
      </w:r>
      <w:r w:rsidR="0016566A">
        <w:tab/>
      </w:r>
      <w:r w:rsidR="0016566A">
        <w:tab/>
      </w:r>
      <w:r w:rsidR="0016566A">
        <w:tab/>
      </w:r>
      <w:r w:rsidR="0016566A">
        <w:tab/>
      </w:r>
      <w:r>
        <w:t>2 mg/kg</w:t>
      </w:r>
    </w:p>
    <w:p w14:paraId="4453F2AE" w14:textId="3061BF81" w:rsidR="00F945C3" w:rsidRDefault="00F945C3" w:rsidP="00202033">
      <w:pPr>
        <w:pStyle w:val="Bullet1"/>
      </w:pPr>
      <w:r>
        <w:t>GC 0654</w:t>
      </w:r>
      <w:r w:rsidR="00202033">
        <w:tab/>
      </w:r>
      <w:r w:rsidR="00202033">
        <w:tab/>
      </w:r>
      <w:r>
        <w:t>Wheat</w:t>
      </w:r>
      <w:r>
        <w:tab/>
      </w:r>
      <w:r>
        <w:tab/>
      </w:r>
      <w:r w:rsidR="00384433">
        <w:tab/>
      </w:r>
      <w:r w:rsidR="0016566A">
        <w:tab/>
      </w:r>
      <w:r w:rsidR="0016566A">
        <w:tab/>
      </w:r>
      <w:r w:rsidR="0016566A">
        <w:tab/>
      </w:r>
      <w:r w:rsidR="0016566A">
        <w:tab/>
      </w:r>
      <w:r w:rsidR="0016566A">
        <w:tab/>
      </w:r>
      <w:r w:rsidR="0016566A">
        <w:tab/>
      </w:r>
      <w:r>
        <w:t>2 mg/kg</w:t>
      </w:r>
    </w:p>
    <w:p w14:paraId="6335226C" w14:textId="5A086098" w:rsidR="0045515D" w:rsidRDefault="00F945C3" w:rsidP="0045515D">
      <w:pPr>
        <w:pStyle w:val="NormalText"/>
      </w:pPr>
      <w:r>
        <w:t>The current withholding period for winter cereals is nil. This should be replaced with a withholding period of 4</w:t>
      </w:r>
      <w:r w:rsidR="00202033">
        <w:t> </w:t>
      </w:r>
      <w:r>
        <w:t>days to account for the period required for effective weed and crop dry down and the above MRL recommendations which were based on a 4 day PHI. Labels with the winter cereal use pattern should specify the crops as barley, oats, rye, triticale and wheat. The broad term of winter cereals should be removed from product labels as it does not align with the APVMA crop group guidance and replaced with specific claims for barley, oats, rye, triticale and wheat.</w:t>
      </w:r>
    </w:p>
    <w:p w14:paraId="1E44BF73" w14:textId="61F7318F" w:rsidR="00F945C3" w:rsidRPr="008162F1" w:rsidRDefault="00F945C3" w:rsidP="0026666F">
      <w:pPr>
        <w:pStyle w:val="Heading4"/>
      </w:pPr>
      <w:r>
        <w:t>Alternative use pattern for wheat and oats</w:t>
      </w:r>
    </w:p>
    <w:p w14:paraId="4E7150C1" w14:textId="03804AB0" w:rsidR="00F945C3" w:rsidRDefault="00F945C3" w:rsidP="00F945C3">
      <w:pPr>
        <w:pStyle w:val="NormalText"/>
      </w:pPr>
      <w:r>
        <w:t xml:space="preserve">For wheat and oats there is an alternative use pattern that allows application at 140 g </w:t>
      </w:r>
      <w:r w:rsidR="00572A0C">
        <w:t>ac/ha</w:t>
      </w:r>
      <w:r>
        <w:t xml:space="preserve"> between the 4</w:t>
      </w:r>
      <w:r w:rsidR="00202033">
        <w:t> </w:t>
      </w:r>
      <w:r>
        <w:t>leaf stage (for wheat) or 3 leaf stage (for oats) up to early tillering. In Australian wheat trials considered by the JMPR</w:t>
      </w:r>
      <w:r w:rsidR="00AF5435">
        <w:t xml:space="preserve"> (2018)</w:t>
      </w:r>
      <w:r>
        <w:t xml:space="preserve"> and provided in full for this review, residues in wheat grain after 2 applications at approximately 140</w:t>
      </w:r>
      <w:r w:rsidR="00A23B05">
        <w:t> </w:t>
      </w:r>
      <w:r>
        <w:t>g</w:t>
      </w:r>
      <w:r w:rsidR="00A23B05">
        <w:t> </w:t>
      </w:r>
      <w:r w:rsidR="00572A0C">
        <w:t>ac/ha</w:t>
      </w:r>
      <w:r>
        <w:t xml:space="preserve"> with the first at BBCH 24</w:t>
      </w:r>
      <w:r w:rsidR="00A23B05">
        <w:t>–</w:t>
      </w:r>
      <w:r>
        <w:t>29 and the second at BBCH 24</w:t>
      </w:r>
      <w:r w:rsidR="00A23B05">
        <w:t>–</w:t>
      </w:r>
      <w:r>
        <w:t>52 were 0.04, 0.14, 0.22, 0.26, 0.28, 0.29, 0.30 and 0.34 mg/kg. Similarly for oat grain with the first application at BBCH 24 and the second at BBCH 24</w:t>
      </w:r>
      <w:r w:rsidR="00A23B05">
        <w:t>–</w:t>
      </w:r>
      <w:r>
        <w:t xml:space="preserve">45 residues were 0.13, 0.13, 0.19 and 0.21 mg/kg. (end of tillering = BBCH 29; for wheat the </w:t>
      </w:r>
      <w:r w:rsidR="009E3126">
        <w:t>HR</w:t>
      </w:r>
      <w:r w:rsidR="00843596">
        <w:t xml:space="preserve"> </w:t>
      </w:r>
      <w:r>
        <w:t xml:space="preserve">was observed when the last application was at BBCH 26, for oats the </w:t>
      </w:r>
      <w:r w:rsidR="009E3126">
        <w:t>HR</w:t>
      </w:r>
      <w:r w:rsidR="00843596">
        <w:t xml:space="preserve"> </w:t>
      </w:r>
      <w:r>
        <w:t>was observed when the last application was at BBCH 25). The MRLs recommended above for wheat and oats for the pre-harvest use will cover the residues expected for this alternative over the top use. The MRLs should also be sufficient to cover crops treated for pre-harvest weed control as well as by this alternative use pattern.</w:t>
      </w:r>
    </w:p>
    <w:p w14:paraId="6C33DBDF" w14:textId="77777777" w:rsidR="00F945C3" w:rsidRDefault="00F945C3" w:rsidP="00F945C3">
      <w:pPr>
        <w:pStyle w:val="NormalText"/>
      </w:pPr>
      <w:r>
        <w:t>The MRLs recommended above will also cover crop establishment uses for wheat, barley, oats, rye and triticale.</w:t>
      </w:r>
    </w:p>
    <w:p w14:paraId="7191ABBF" w14:textId="3F1BC320" w:rsidR="009C316A" w:rsidRDefault="009C316A" w:rsidP="009C316A">
      <w:pPr>
        <w:pStyle w:val="NormalText"/>
      </w:pPr>
      <w:r>
        <w:t>In response to the initial consultation, Syngenta submitted additional overseas data for wheat and oats, to provide further support for these uses including in relation to trade.</w:t>
      </w:r>
    </w:p>
    <w:p w14:paraId="7C76AF00" w14:textId="4B3FB0EC" w:rsidR="009C316A" w:rsidRDefault="009C316A" w:rsidP="009C316A">
      <w:pPr>
        <w:pStyle w:val="NormalText"/>
      </w:pPr>
      <w:r>
        <w:t>In 6 GLP trials conducted on wheat in Brazil, a pre-planting application to wheat at 700 g a</w:t>
      </w:r>
      <w:r w:rsidR="006436C4">
        <w:t>c</w:t>
      </w:r>
      <w:r>
        <w:t>/ha resulted in residues &lt;0.01 mg/kg (n = 6) in grain at harvest.</w:t>
      </w:r>
    </w:p>
    <w:p w14:paraId="70249380" w14:textId="251DBE94" w:rsidR="009C316A" w:rsidRDefault="009C316A" w:rsidP="009C316A">
      <w:pPr>
        <w:pStyle w:val="NormalText"/>
      </w:pPr>
      <w:r>
        <w:t>In a GLP trial conducted on wheat in the UK, application at 800 g a</w:t>
      </w:r>
      <w:r w:rsidR="006436C4">
        <w:t>c</w:t>
      </w:r>
      <w:r>
        <w:t>/ha at 4 days prior to harvest resulted in residues in grain of 0.3 mg/kg.</w:t>
      </w:r>
    </w:p>
    <w:p w14:paraId="72F2645D" w14:textId="79E8484C" w:rsidR="009C316A" w:rsidRDefault="009C316A" w:rsidP="009C316A">
      <w:pPr>
        <w:pStyle w:val="NormalText"/>
      </w:pPr>
      <w:r>
        <w:t>In two GLP trials conducted on oats in the UK, application at 800 g a</w:t>
      </w:r>
      <w:r w:rsidR="006436C4">
        <w:t>c</w:t>
      </w:r>
      <w:r>
        <w:t>/ha at 4 days prior to harvest resulted in residues in grain of 0.56 and 1.0 mg/kg.</w:t>
      </w:r>
    </w:p>
    <w:p w14:paraId="5171AA95" w14:textId="1E46009D" w:rsidR="009C316A" w:rsidRDefault="009C316A" w:rsidP="009C316A">
      <w:pPr>
        <w:pStyle w:val="NormalText"/>
      </w:pPr>
      <w:r w:rsidRPr="009C316A">
        <w:t>The new wheat and oat data are all within previously recommended MRLs which remain appropriate in conjunction with a 4 day harvest withholding period for the desiccation uses, and a harvest withholding period of “Not required when used as directed” for the other uses.</w:t>
      </w:r>
    </w:p>
    <w:p w14:paraId="7C435AE3" w14:textId="72C802D5" w:rsidR="00F945C3" w:rsidRDefault="00F945C3" w:rsidP="0087735C">
      <w:pPr>
        <w:pStyle w:val="Heading4"/>
      </w:pPr>
      <w:r>
        <w:lastRenderedPageBreak/>
        <w:t>Sorghum and millet</w:t>
      </w:r>
    </w:p>
    <w:p w14:paraId="3F02A941" w14:textId="1FE18BFF" w:rsidR="00F945C3" w:rsidRDefault="00F945C3" w:rsidP="00F945C3">
      <w:pPr>
        <w:pStyle w:val="NormalText"/>
      </w:pPr>
      <w:r>
        <w:t xml:space="preserve">The Australian maximum </w:t>
      </w:r>
      <w:r w:rsidR="008523CD">
        <w:t>label</w:t>
      </w:r>
      <w:r>
        <w:t xml:space="preserve"> rate </w:t>
      </w:r>
      <w:r w:rsidR="008523CD">
        <w:t xml:space="preserve">for use </w:t>
      </w:r>
      <w:r>
        <w:t xml:space="preserve">on sorghum is 0.6 kg </w:t>
      </w:r>
      <w:r w:rsidR="00572A0C">
        <w:t>ac/ha</w:t>
      </w:r>
      <w:r>
        <w:t xml:space="preserve"> for pre-harvest desiccation. There is also a use at crop establishment at 368 g </w:t>
      </w:r>
      <w:r w:rsidR="00572A0C">
        <w:t>ac/ha</w:t>
      </w:r>
      <w:r>
        <w:t xml:space="preserve"> for sorghum and millet. The current Australian MRL for Sorghum is 2</w:t>
      </w:r>
      <w:r w:rsidR="00A23B05">
        <w:t> </w:t>
      </w:r>
      <w:r>
        <w:t>mg/kg, there is no MRL currently established that would cover millet.</w:t>
      </w:r>
    </w:p>
    <w:p w14:paraId="642406F1" w14:textId="097855DD" w:rsidR="00F945C3" w:rsidRPr="00DA630D" w:rsidRDefault="00F945C3" w:rsidP="00F945C3">
      <w:pPr>
        <w:pStyle w:val="NormalText"/>
      </w:pPr>
      <w:r>
        <w:t>P</w:t>
      </w:r>
      <w:r w:rsidRPr="00DA630D">
        <w:t>re-harvest desiccation trials on sorghum were submitt</w:t>
      </w:r>
      <w:r w:rsidRPr="00AF5435">
        <w:t>ed</w:t>
      </w:r>
      <w:r w:rsidR="00AF5435" w:rsidRPr="00AF5435">
        <w:t xml:space="preserve"> (Anon., 1969; 1970</w:t>
      </w:r>
      <w:r w:rsidR="0075413D">
        <w:t xml:space="preserve">; </w:t>
      </w:r>
      <w:r w:rsidR="00ED772D">
        <w:t xml:space="preserve">Fujie, </w:t>
      </w:r>
      <w:r w:rsidR="0075413D">
        <w:t>1988</w:t>
      </w:r>
      <w:r w:rsidR="00AF5435" w:rsidRPr="00AF5435">
        <w:t>)</w:t>
      </w:r>
      <w:r w:rsidRPr="00AF5435">
        <w:t>. No A</w:t>
      </w:r>
      <w:r>
        <w:t>ustralian trials were submitted.</w:t>
      </w:r>
    </w:p>
    <w:p w14:paraId="552B2DB5" w14:textId="1004731C" w:rsidR="00F945C3" w:rsidRDefault="00F945C3" w:rsidP="00F945C3">
      <w:pPr>
        <w:pStyle w:val="NormalText"/>
      </w:pPr>
      <w:r w:rsidRPr="00DA630D">
        <w:t xml:space="preserve">Diquat residues in sorghum grain were &lt;0.05 to 16.1 mg/kg after </w:t>
      </w:r>
      <w:r>
        <w:t xml:space="preserve">pre-harvest </w:t>
      </w:r>
      <w:r w:rsidRPr="00DA630D">
        <w:t xml:space="preserve">applications </w:t>
      </w:r>
      <w:r>
        <w:t xml:space="preserve">(PHI </w:t>
      </w:r>
      <w:r w:rsidR="00A23B05">
        <w:t xml:space="preserve">zero to </w:t>
      </w:r>
      <w:r>
        <w:t xml:space="preserve">30 days) </w:t>
      </w:r>
      <w:r w:rsidRPr="00DA630D">
        <w:t xml:space="preserve">in the range 0.2 to 1.2 kg </w:t>
      </w:r>
      <w:r w:rsidR="00572A0C">
        <w:t>ac/ha</w:t>
      </w:r>
      <w:r w:rsidRPr="00DA630D">
        <w:t>, although only 6 of the 146 results recorded were greater than 2 mg/kg</w:t>
      </w:r>
      <w:r>
        <w:t xml:space="preserve">. The </w:t>
      </w:r>
      <w:r w:rsidR="009E3126">
        <w:t>HR</w:t>
      </w:r>
      <w:r w:rsidR="00843596">
        <w:t xml:space="preserve"> </w:t>
      </w:r>
      <w:r>
        <w:t>was at a 15 day PHI</w:t>
      </w:r>
      <w:r w:rsidRPr="00DA630D">
        <w:t xml:space="preserve">. The lack of </w:t>
      </w:r>
      <w:r>
        <w:t xml:space="preserve">reported </w:t>
      </w:r>
      <w:r w:rsidRPr="00DA630D">
        <w:t xml:space="preserve">trial information in these </w:t>
      </w:r>
      <w:r>
        <w:t>sorghum studies</w:t>
      </w:r>
      <w:r w:rsidRPr="00DA630D">
        <w:t xml:space="preserve"> presents difficulties in obtaining field related explanations for the high results</w:t>
      </w:r>
      <w:r>
        <w:t>, or to have confidence in the results</w:t>
      </w:r>
      <w:r w:rsidRPr="00DA630D">
        <w:t>.</w:t>
      </w:r>
    </w:p>
    <w:p w14:paraId="43E3CE6B" w14:textId="5948A7D9" w:rsidR="009C316A" w:rsidRDefault="009C316A" w:rsidP="00F945C3">
      <w:pPr>
        <w:pStyle w:val="NormalText"/>
      </w:pPr>
      <w:r w:rsidRPr="009C316A">
        <w:t>In response to the initial consultation, Syngenta re-submitted overseas sorghum residue studies that were already considered in the initial APVMA review.</w:t>
      </w:r>
      <w:r>
        <w:t xml:space="preserve"> </w:t>
      </w:r>
      <w:r w:rsidRPr="009C316A">
        <w:t xml:space="preserve">While the resubmitted sorghum residue study was </w:t>
      </w:r>
      <w:r w:rsidR="0075413D">
        <w:t>conducted</w:t>
      </w:r>
      <w:r w:rsidRPr="009C316A">
        <w:t xml:space="preserve"> under GLP and resulted in residues below the current MRL of 2 mg/kg at 7-10 DAT, it was conducted overseas in 1987 and involved only 3 trial sites. APVMA residue guidelines indicate that 6 residue trials (if deemed acceptable) are normally required to support a permanent MRL for sorghum. In addition, no Australian trials are available with the other previously considered overseas sorghum studies conducted prior to 1970.</w:t>
      </w:r>
    </w:p>
    <w:p w14:paraId="748550A4" w14:textId="4E3CA1C3" w:rsidR="00F945C3" w:rsidRDefault="00F945C3" w:rsidP="00F945C3">
      <w:pPr>
        <w:pStyle w:val="NormalText"/>
      </w:pPr>
      <w:r>
        <w:t>The available data for sorghum suggests that the current MRL of 2 mg/kg may not be appropriate. Is not possible to recommend a suitable MRL for diquat on sorghum at this time, given the lack of details for the trials with residues above the MRL. The pre-harvest desiccation use of diquat on sorghum is no</w:t>
      </w:r>
      <w:r w:rsidR="008523CD">
        <w:t>t</w:t>
      </w:r>
      <w:r>
        <w:t xml:space="preserve"> </w:t>
      </w:r>
      <w:r w:rsidR="00A23B05">
        <w:t>supported</w:t>
      </w:r>
      <w:r>
        <w:t>.</w:t>
      </w:r>
    </w:p>
    <w:p w14:paraId="3973A641" w14:textId="595FBA63" w:rsidR="00F945C3" w:rsidRDefault="00F945C3" w:rsidP="00F945C3">
      <w:pPr>
        <w:pStyle w:val="NormalText"/>
      </w:pPr>
      <w:r>
        <w:t>At the end of the phase out period, the sorghum MRL should be replaced with an MRL at *0.05 mg/kg to cover use at crop establishment, noting the results of the pre-emergent trials on rice and maize where residues were &lt;0.05</w:t>
      </w:r>
      <w:r w:rsidR="00A23B05">
        <w:t> </w:t>
      </w:r>
      <w:r>
        <w:t xml:space="preserve">mg/kg. Similarly, an MRL of *0.05 mg/kg is also supported for GC 0646 Millet for the crop establishment use. The supported withholding period for this use is </w:t>
      </w:r>
      <w:r w:rsidR="00A23B05">
        <w:t>‘</w:t>
      </w:r>
      <w:r>
        <w:t>Not required when used as directed</w:t>
      </w:r>
      <w:r w:rsidR="00A23B05">
        <w:t>’</w:t>
      </w:r>
      <w:r>
        <w:t>.</w:t>
      </w:r>
    </w:p>
    <w:p w14:paraId="22D6734D" w14:textId="77777777" w:rsidR="00F945C3" w:rsidRPr="0087735C" w:rsidRDefault="00F945C3" w:rsidP="0087735C">
      <w:pPr>
        <w:pStyle w:val="Heading4"/>
      </w:pPr>
      <w:r w:rsidRPr="0087735C">
        <w:t>Maize</w:t>
      </w:r>
    </w:p>
    <w:p w14:paraId="4278DD57" w14:textId="3D7E41F7" w:rsidR="008523CD" w:rsidRDefault="00F945C3" w:rsidP="00F945C3">
      <w:pPr>
        <w:pStyle w:val="NormalText"/>
      </w:pPr>
      <w:r>
        <w:t xml:space="preserve">The Australian maximum use rate on maize 0.368 kg </w:t>
      </w:r>
      <w:r w:rsidR="00572A0C">
        <w:t>ac/ha</w:t>
      </w:r>
      <w:r>
        <w:t xml:space="preserve"> for pre-emergence weed control. The current Australian MRL for </w:t>
      </w:r>
      <w:r w:rsidR="00A23B05">
        <w:t>m</w:t>
      </w:r>
      <w:r>
        <w:t>aize is 0.1 mg/kg.</w:t>
      </w:r>
    </w:p>
    <w:p w14:paraId="065E4029" w14:textId="77D35407" w:rsidR="00F945C3" w:rsidRPr="00DA630D" w:rsidRDefault="00F945C3" w:rsidP="00F945C3">
      <w:pPr>
        <w:pStyle w:val="NormalText"/>
      </w:pPr>
      <w:r w:rsidRPr="00DA630D">
        <w:t>Pre- and post-emergence weed control and pre-harvest desiccation trials on maize were submitted</w:t>
      </w:r>
      <w:r w:rsidR="00D909CC">
        <w:t xml:space="preserve"> (Kennedy, 1986</w:t>
      </w:r>
      <w:r w:rsidR="00984ABA">
        <w:t>(d)</w:t>
      </w:r>
      <w:r w:rsidR="00D909CC">
        <w:t xml:space="preserve">; </w:t>
      </w:r>
      <w:bookmarkStart w:id="212" w:name="_Hlk160792723"/>
      <w:r w:rsidR="00D909CC" w:rsidRPr="00D909CC">
        <w:t>Anderson and Bonfanti</w:t>
      </w:r>
      <w:r w:rsidR="00B8692F">
        <w:t>,</w:t>
      </w:r>
      <w:r w:rsidR="00D909CC" w:rsidRPr="00D909CC">
        <w:t xml:space="preserve"> 1995</w:t>
      </w:r>
      <w:r w:rsidR="00B8692F">
        <w:t xml:space="preserve">; Anderson and Lant, </w:t>
      </w:r>
      <w:r w:rsidR="00B8692F" w:rsidRPr="00D909CC">
        <w:t>1994</w:t>
      </w:r>
      <w:r w:rsidR="00B8692F">
        <w:t>(b)</w:t>
      </w:r>
      <w:r w:rsidR="00D909CC" w:rsidRPr="00D909CC">
        <w:t>)</w:t>
      </w:r>
      <w:bookmarkEnd w:id="212"/>
      <w:r w:rsidRPr="00DA630D">
        <w:t xml:space="preserve">. </w:t>
      </w:r>
      <w:r>
        <w:t>No Australian trials were submitted.</w:t>
      </w:r>
    </w:p>
    <w:p w14:paraId="68D01512" w14:textId="654AAF8A" w:rsidR="00F945C3" w:rsidRDefault="00F945C3" w:rsidP="00F945C3">
      <w:pPr>
        <w:pStyle w:val="NormalText"/>
      </w:pPr>
      <w:r>
        <w:t xml:space="preserve">Four overseas trials involved application at 0.28–1.12 kg </w:t>
      </w:r>
      <w:r w:rsidR="00572A0C">
        <w:t>ac/ha</w:t>
      </w:r>
      <w:r>
        <w:t xml:space="preserve"> with samples collected at 68</w:t>
      </w:r>
      <w:r w:rsidR="00A23B05">
        <w:t>–</w:t>
      </w:r>
      <w:r>
        <w:t>149 days after application. Diquat residues in maize were &lt;LOQ (0.05 mg/kg) in these trials when applications were made as pre-emergence and post-emergence weed control applications. The current MRL for diquat on maize at 0.1</w:t>
      </w:r>
      <w:r w:rsidR="00A23B05">
        <w:t> </w:t>
      </w:r>
      <w:r>
        <w:t>mg/kg will be replaced with an MRL at *0.05 mg/kg.</w:t>
      </w:r>
    </w:p>
    <w:p w14:paraId="11C54BE1" w14:textId="77777777" w:rsidR="00F945C3" w:rsidRDefault="00F945C3" w:rsidP="00F945C3">
      <w:pPr>
        <w:pStyle w:val="NormalText"/>
      </w:pPr>
      <w:r>
        <w:t>The recommended MRL is:</w:t>
      </w:r>
    </w:p>
    <w:p w14:paraId="58FC9F46" w14:textId="65AFA639" w:rsidR="00F945C3" w:rsidRDefault="00F945C3" w:rsidP="00A23B05">
      <w:pPr>
        <w:pStyle w:val="Bullet1"/>
      </w:pPr>
      <w:r>
        <w:t>GC 0645</w:t>
      </w:r>
      <w:r w:rsidR="00A23B05">
        <w:tab/>
      </w:r>
      <w:r w:rsidR="00A23B05">
        <w:tab/>
      </w:r>
      <w:r>
        <w:t>Maize</w:t>
      </w:r>
      <w:r>
        <w:tab/>
      </w:r>
      <w:r w:rsidR="0016566A">
        <w:tab/>
      </w:r>
      <w:r w:rsidR="0016566A">
        <w:tab/>
      </w:r>
      <w:r w:rsidR="0016566A">
        <w:tab/>
      </w:r>
      <w:r w:rsidR="0016566A">
        <w:tab/>
      </w:r>
      <w:r w:rsidR="0016566A">
        <w:tab/>
      </w:r>
      <w:r w:rsidR="0016566A">
        <w:tab/>
      </w:r>
      <w:r w:rsidR="0016566A">
        <w:tab/>
      </w:r>
      <w:r w:rsidR="0016566A">
        <w:tab/>
      </w:r>
      <w:r>
        <w:t>*0.05 mg/kg</w:t>
      </w:r>
    </w:p>
    <w:p w14:paraId="47FBEB1F" w14:textId="37919E9A" w:rsidR="00A23B05" w:rsidRDefault="00F945C3" w:rsidP="00A23B05">
      <w:pPr>
        <w:pStyle w:val="NormalText"/>
      </w:pPr>
      <w:r>
        <w:lastRenderedPageBreak/>
        <w:t xml:space="preserve">The recommended withholding period for this crop establishment use is </w:t>
      </w:r>
      <w:r w:rsidR="00A23B05">
        <w:t>‘</w:t>
      </w:r>
      <w:r>
        <w:t>Not required when used as directed</w:t>
      </w:r>
      <w:r w:rsidR="00A23B05">
        <w:t>’</w:t>
      </w:r>
      <w:r>
        <w:t>.</w:t>
      </w:r>
    </w:p>
    <w:p w14:paraId="0DAA2539" w14:textId="6563FD5E" w:rsidR="008523CD" w:rsidRPr="0087735C" w:rsidRDefault="00F945C3" w:rsidP="0087735C">
      <w:pPr>
        <w:pStyle w:val="Heading4"/>
      </w:pPr>
      <w:r w:rsidRPr="0087735C">
        <w:t>Rice</w:t>
      </w:r>
    </w:p>
    <w:p w14:paraId="75E6C924" w14:textId="4CB14401" w:rsidR="00F945C3" w:rsidRPr="008523CD" w:rsidRDefault="00F945C3" w:rsidP="008523CD">
      <w:pPr>
        <w:pStyle w:val="NormalText"/>
      </w:pPr>
      <w:r w:rsidRPr="008523CD">
        <w:t xml:space="preserve">The Australian maximum use rate on rice is 368 g </w:t>
      </w:r>
      <w:r w:rsidR="00572A0C">
        <w:t>ac/ha</w:t>
      </w:r>
      <w:r w:rsidRPr="008523CD">
        <w:t xml:space="preserve"> pre-emergence or 600 g </w:t>
      </w:r>
      <w:r w:rsidR="00572A0C">
        <w:t>ac/ha</w:t>
      </w:r>
      <w:r w:rsidRPr="008523CD">
        <w:t xml:space="preserve"> for preharvest desiccation. The current Australian MRLs are </w:t>
      </w:r>
      <w:r w:rsidR="00A23B05">
        <w:t>r</w:t>
      </w:r>
      <w:r w:rsidRPr="008523CD">
        <w:t xml:space="preserve">ice at 5 mg/kg and </w:t>
      </w:r>
      <w:r w:rsidR="00A23B05">
        <w:t>r</w:t>
      </w:r>
      <w:r w:rsidRPr="008523CD">
        <w:t>ice polished at 1 mg/kg.</w:t>
      </w:r>
    </w:p>
    <w:p w14:paraId="31BF72AC" w14:textId="478AC7AF" w:rsidR="00F945C3" w:rsidRDefault="00F945C3" w:rsidP="00F945C3">
      <w:pPr>
        <w:pStyle w:val="NormalText"/>
      </w:pPr>
      <w:r w:rsidRPr="004C5E29">
        <w:t>Two trials were conducted in Australia</w:t>
      </w:r>
      <w:r w:rsidR="007F66BA">
        <w:t xml:space="preserve">, with additional trials conducted in Brazil, Japan and Italy </w:t>
      </w:r>
      <w:bookmarkStart w:id="213" w:name="_Hlk160792297"/>
      <w:r w:rsidR="007F66BA">
        <w:t>(</w:t>
      </w:r>
      <w:r w:rsidR="007F66BA" w:rsidRPr="007F66BA">
        <w:t>Kennedy, 1986</w:t>
      </w:r>
      <w:r w:rsidR="00984ABA">
        <w:t>(e)</w:t>
      </w:r>
      <w:r w:rsidR="007F66BA">
        <w:t xml:space="preserve">; </w:t>
      </w:r>
      <w:r w:rsidR="007F66BA" w:rsidRPr="007F66BA">
        <w:t>Laws</w:t>
      </w:r>
      <w:r w:rsidR="007F66BA">
        <w:t xml:space="preserve"> et al, </w:t>
      </w:r>
      <w:r w:rsidR="007F66BA" w:rsidRPr="007F66BA">
        <w:t>1987</w:t>
      </w:r>
      <w:r w:rsidR="007F66BA">
        <w:t>;</w:t>
      </w:r>
      <w:bookmarkEnd w:id="213"/>
      <w:r w:rsidR="007F66BA">
        <w:t xml:space="preserve"> </w:t>
      </w:r>
      <w:r w:rsidR="007F66BA" w:rsidRPr="007F66BA">
        <w:t>Anderson</w:t>
      </w:r>
      <w:r w:rsidR="007F66BA">
        <w:t xml:space="preserve"> et al, </w:t>
      </w:r>
      <w:r w:rsidR="007F66BA" w:rsidRPr="007F66BA">
        <w:t>1995</w:t>
      </w:r>
      <w:r w:rsidR="00317566">
        <w:t>(b)</w:t>
      </w:r>
      <w:r w:rsidR="007F66BA" w:rsidRPr="007F66BA">
        <w:t>)</w:t>
      </w:r>
      <w:r w:rsidRPr="004C5E29">
        <w:t xml:space="preserve">. The treatments in the </w:t>
      </w:r>
      <w:r>
        <w:t xml:space="preserve">submitted </w:t>
      </w:r>
      <w:r w:rsidRPr="004C5E29">
        <w:t xml:space="preserve">trials on rice were as pre- and post-emergence weed control and pre-harvest desiccation applications. </w:t>
      </w:r>
      <w:r>
        <w:t>Only the pre-emergence weed control trial (where residues were &lt;0.05 mg/kg) and the pre-harvest desiccation trials are consistent with Australian GAP.</w:t>
      </w:r>
    </w:p>
    <w:p w14:paraId="189F0F6C" w14:textId="1338BD3A" w:rsidR="00F945C3" w:rsidRDefault="00F945C3" w:rsidP="00F945C3">
      <w:pPr>
        <w:pStyle w:val="NormalText"/>
      </w:pPr>
      <w:r w:rsidRPr="004C5E29">
        <w:t xml:space="preserve">For the pre-harvest desiccation trials residues in whole grain were in the range &lt;0.05 to 13 mg/kg after applications of 0.22 to 1.5 kg </w:t>
      </w:r>
      <w:r w:rsidR="00572A0C">
        <w:t>ac/ha</w:t>
      </w:r>
      <w:r w:rsidRPr="004C5E29">
        <w:t xml:space="preserve"> and a PHI of 5–37 days. In pre-harvest desiccation trials where application rates were at the Australian maximum rate of 0.6 kg </w:t>
      </w:r>
      <w:r w:rsidR="00572A0C">
        <w:t>ac/ha</w:t>
      </w:r>
      <w:r w:rsidRPr="004C5E29">
        <w:t>, residues (mg/kg) were 0.90</w:t>
      </w:r>
      <w:r w:rsidRPr="00560BE6">
        <w:t>,</w:t>
      </w:r>
      <w:r w:rsidRPr="004C5E29">
        <w:t xml:space="preserve"> </w:t>
      </w:r>
      <w:r>
        <w:t xml:space="preserve">5.2, </w:t>
      </w:r>
      <w:r w:rsidRPr="004C5E29">
        <w:t xml:space="preserve">0.88 – 3.0, </w:t>
      </w:r>
      <w:r w:rsidR="00E61669">
        <w:rPr>
          <w:rFonts w:ascii="ZWAdobeF" w:hAnsi="ZWAdobeF" w:cs="ZWAdobeF"/>
          <w:sz w:val="2"/>
          <w:szCs w:val="2"/>
        </w:rPr>
        <w:t>A</w:t>
      </w:r>
      <w:r w:rsidR="00602535">
        <w:rPr>
          <w:rFonts w:ascii="ZWAdobeF" w:hAnsi="ZWAdobeF" w:cs="ZWAdobeF"/>
          <w:sz w:val="2"/>
          <w:szCs w:val="2"/>
        </w:rPr>
        <w:t>A</w:t>
      </w:r>
      <w:r w:rsidRPr="004C5E29">
        <w:fldChar w:fldCharType="begin"/>
      </w:r>
      <w:r w:rsidRPr="004C5E29">
        <w:instrText xml:space="preserve">  EQ \O(x,ˉ</w:instrText>
      </w:r>
      <w:r w:rsidR="00E61669">
        <w:rPr>
          <w:rFonts w:ascii="ZWAdobeF" w:hAnsi="ZWAdobeF" w:cs="ZWAdobeF"/>
          <w:sz w:val="2"/>
          <w:szCs w:val="2"/>
        </w:rPr>
        <w:instrText>E</w:instrText>
      </w:r>
      <w:r w:rsidR="00602535">
        <w:rPr>
          <w:rFonts w:ascii="ZWAdobeF" w:hAnsi="ZWAdobeF" w:cs="ZWAdobeF"/>
          <w:sz w:val="2"/>
          <w:szCs w:val="2"/>
        </w:rPr>
        <w:instrText>E</w:instrText>
      </w:r>
      <w:r w:rsidRPr="004C5E29">
        <w:instrText>)</w:instrText>
      </w:r>
      <w:r w:rsidRPr="004C5E29">
        <w:fldChar w:fldCharType="end"/>
      </w:r>
      <w:r w:rsidR="00602535">
        <w:rPr>
          <w:rFonts w:ascii="ZWAdobeF" w:hAnsi="ZWAdobeF" w:cs="ZWAdobeF"/>
          <w:sz w:val="2"/>
          <w:szCs w:val="2"/>
        </w:rPr>
        <w:t>A</w:t>
      </w:r>
      <w:r w:rsidR="00E61669">
        <w:rPr>
          <w:rFonts w:ascii="ZWAdobeF" w:hAnsi="ZWAdobeF" w:cs="ZWAdobeF"/>
          <w:sz w:val="2"/>
          <w:szCs w:val="2"/>
        </w:rPr>
        <w:t>A</w:t>
      </w:r>
      <w:r w:rsidRPr="004C5E29">
        <w:t xml:space="preserve"> = 2.1 (n=5), 1.3, and 1.3–3.6, </w:t>
      </w:r>
      <w:r w:rsidR="00E61669">
        <w:rPr>
          <w:rFonts w:ascii="ZWAdobeF" w:hAnsi="ZWAdobeF" w:cs="ZWAdobeF"/>
          <w:sz w:val="2"/>
          <w:szCs w:val="2"/>
        </w:rPr>
        <w:t>A</w:t>
      </w:r>
      <w:r w:rsidR="00602535">
        <w:rPr>
          <w:rFonts w:ascii="ZWAdobeF" w:hAnsi="ZWAdobeF" w:cs="ZWAdobeF"/>
          <w:sz w:val="2"/>
          <w:szCs w:val="2"/>
        </w:rPr>
        <w:t>A</w:t>
      </w:r>
      <w:r w:rsidRPr="004C5E29">
        <w:fldChar w:fldCharType="begin"/>
      </w:r>
      <w:r w:rsidRPr="004C5E29">
        <w:instrText xml:space="preserve">  EQ \O(x,ˉ</w:instrText>
      </w:r>
      <w:r w:rsidR="00E61669">
        <w:rPr>
          <w:rFonts w:ascii="ZWAdobeF" w:hAnsi="ZWAdobeF" w:cs="ZWAdobeF"/>
          <w:sz w:val="2"/>
          <w:szCs w:val="2"/>
        </w:rPr>
        <w:instrText>E</w:instrText>
      </w:r>
      <w:r w:rsidR="00602535">
        <w:rPr>
          <w:rFonts w:ascii="ZWAdobeF" w:hAnsi="ZWAdobeF" w:cs="ZWAdobeF"/>
          <w:sz w:val="2"/>
          <w:szCs w:val="2"/>
        </w:rPr>
        <w:instrText>E</w:instrText>
      </w:r>
      <w:r w:rsidRPr="004C5E29">
        <w:instrText>)</w:instrText>
      </w:r>
      <w:r w:rsidRPr="004C5E29">
        <w:fldChar w:fldCharType="end"/>
      </w:r>
      <w:r w:rsidR="00602535">
        <w:rPr>
          <w:rFonts w:ascii="ZWAdobeF" w:hAnsi="ZWAdobeF" w:cs="ZWAdobeF"/>
          <w:sz w:val="2"/>
          <w:szCs w:val="2"/>
        </w:rPr>
        <w:t>A</w:t>
      </w:r>
      <w:r w:rsidR="00E61669">
        <w:rPr>
          <w:rFonts w:ascii="ZWAdobeF" w:hAnsi="ZWAdobeF" w:cs="ZWAdobeF"/>
          <w:sz w:val="2"/>
          <w:szCs w:val="2"/>
        </w:rPr>
        <w:t>A</w:t>
      </w:r>
      <w:r w:rsidRPr="004C5E29">
        <w:t xml:space="preserve"> = 2.1 (n=4). Residues in husked grain from pre-harvest desiccation applications were in the range &lt;0.05 to 1.5 mg/kg after applications in the range of 0.28 to 1.0 kg </w:t>
      </w:r>
      <w:r w:rsidR="00572A0C">
        <w:t>ac/ha</w:t>
      </w:r>
      <w:r w:rsidRPr="004C5E29">
        <w:t xml:space="preserve">, although the </w:t>
      </w:r>
      <w:r w:rsidR="009E3126">
        <w:t>HR</w:t>
      </w:r>
      <w:r w:rsidRPr="004C5E29">
        <w:t xml:space="preserve"> of 1.5</w:t>
      </w:r>
      <w:r w:rsidR="00A23B05">
        <w:t> </w:t>
      </w:r>
      <w:r w:rsidRPr="004C5E29">
        <w:t xml:space="preserve">mg/kg was present after a lower application rate of 0.3 kg </w:t>
      </w:r>
      <w:r w:rsidR="00572A0C">
        <w:t>ac/ha</w:t>
      </w:r>
      <w:r w:rsidRPr="004C5E29">
        <w:t>.</w:t>
      </w:r>
    </w:p>
    <w:p w14:paraId="291F5B08" w14:textId="48274F3E" w:rsidR="00F945C3" w:rsidRDefault="00F945C3" w:rsidP="00F945C3">
      <w:pPr>
        <w:pStyle w:val="NormalText"/>
      </w:pPr>
      <w:r>
        <w:t xml:space="preserve">The available data for rice suggests that the current MRLs of 5 mg/kg for rice and 1 mg/kg for polished rice may not be appropriate for the pre-harvest desiccation use. Is not possible to recommend a suitable MRL for diquat on rice for the pre-harvest desiccation use at this time, given the lack of details for the trials with residues above the MRL. It is noted </w:t>
      </w:r>
      <w:r w:rsidRPr="008C51E6">
        <w:t>that finite MRLs for rice have not been established overseas except for a brown rice MRL in Japan at 0.03 mg/kg</w:t>
      </w:r>
      <w:r>
        <w:t xml:space="preserve">. The pre-harvest desiccation use of diquat on rice is no longer </w:t>
      </w:r>
      <w:r w:rsidR="00A23B05">
        <w:t>supported</w:t>
      </w:r>
      <w:r>
        <w:t>.</w:t>
      </w:r>
    </w:p>
    <w:p w14:paraId="32F40F9C" w14:textId="38AA8EA5" w:rsidR="00F945C3" w:rsidRDefault="00F945C3" w:rsidP="00F945C3">
      <w:pPr>
        <w:pStyle w:val="NormalText"/>
      </w:pPr>
      <w:r>
        <w:t xml:space="preserve">In </w:t>
      </w:r>
      <w:r w:rsidR="00A23B05">
        <w:t>2</w:t>
      </w:r>
      <w:r>
        <w:t xml:space="preserve"> pre-emergent trials, residues in rice at harvest were &lt;0.05 mg/kg after an application at 0.464 kg </w:t>
      </w:r>
      <w:r w:rsidR="00572A0C">
        <w:t>ac/ha</w:t>
      </w:r>
      <w:r>
        <w:t xml:space="preserve"> at 5</w:t>
      </w:r>
      <w:r w:rsidR="00A23B05">
        <w:t> </w:t>
      </w:r>
      <w:r>
        <w:t>days prior to sowing. This pre-emergent use pattern for rice therefore can be supported from a residues perspective.</w:t>
      </w:r>
    </w:p>
    <w:p w14:paraId="58079502" w14:textId="63FB8B01" w:rsidR="00F945C3" w:rsidRDefault="00F945C3" w:rsidP="00F945C3">
      <w:pPr>
        <w:pStyle w:val="NormalText"/>
      </w:pPr>
      <w:r>
        <w:t>At the end of the phase out period the rice and polished rice MRLs should be replaced with an MRL at *0.05</w:t>
      </w:r>
      <w:r w:rsidR="00A23B05">
        <w:t> </w:t>
      </w:r>
      <w:r>
        <w:t>mg/kg for rice to cover the pre-emergent use pattern.</w:t>
      </w:r>
    </w:p>
    <w:p w14:paraId="46C13D7B" w14:textId="77777777" w:rsidR="00F945C3" w:rsidRPr="00FD56EC" w:rsidRDefault="00F945C3" w:rsidP="0026666F">
      <w:pPr>
        <w:pStyle w:val="Heading3"/>
      </w:pPr>
      <w:bookmarkStart w:id="214" w:name="_Toc158208450"/>
      <w:bookmarkStart w:id="215" w:name="_Toc233038971"/>
      <w:r w:rsidRPr="00FD56EC">
        <w:t>Oilseeds</w:t>
      </w:r>
      <w:bookmarkEnd w:id="214"/>
      <w:bookmarkEnd w:id="215"/>
    </w:p>
    <w:p w14:paraId="57D591FC" w14:textId="7C02A6DD" w:rsidR="00F945C3" w:rsidRDefault="00F945C3" w:rsidP="00F945C3">
      <w:pPr>
        <w:pStyle w:val="NormalText"/>
      </w:pPr>
      <w:r>
        <w:t>The available diquat residue trials on oilseeds (cotton, rapeseed, sunflower, linseed and poppies) are summarised below.</w:t>
      </w:r>
    </w:p>
    <w:p w14:paraId="05C027DD" w14:textId="77777777" w:rsidR="008523CD" w:rsidRDefault="00F945C3" w:rsidP="0026666F">
      <w:pPr>
        <w:pStyle w:val="Heading4"/>
      </w:pPr>
      <w:r>
        <w:t>Cotton</w:t>
      </w:r>
    </w:p>
    <w:p w14:paraId="531AF788" w14:textId="663ED0CB" w:rsidR="00F945C3" w:rsidRPr="008523CD" w:rsidRDefault="00F945C3" w:rsidP="008523CD">
      <w:pPr>
        <w:pStyle w:val="NormalText"/>
      </w:pPr>
      <w:r w:rsidRPr="008523CD">
        <w:t xml:space="preserve">The maximum Australian use rate on cotton is for a pre-harvest application at 0.6 kg </w:t>
      </w:r>
      <w:r w:rsidR="00572A0C">
        <w:t>ac/ha</w:t>
      </w:r>
      <w:r w:rsidRPr="008523CD">
        <w:t xml:space="preserve"> when 85% of the bolls are open with a withholding period of </w:t>
      </w:r>
      <w:r w:rsidR="00A23B05">
        <w:t>‘</w:t>
      </w:r>
      <w:r w:rsidRPr="008523CD">
        <w:t>Not required when used as directed</w:t>
      </w:r>
      <w:r w:rsidR="00A23B05">
        <w:t>’</w:t>
      </w:r>
      <w:r w:rsidRPr="008523CD">
        <w:t xml:space="preserve">. There is also a use at crop establishment at 368 g </w:t>
      </w:r>
      <w:r w:rsidR="00572A0C">
        <w:t>ac/ha</w:t>
      </w:r>
      <w:r w:rsidRPr="008523CD">
        <w:t>.</w:t>
      </w:r>
    </w:p>
    <w:p w14:paraId="4C96F44C" w14:textId="400E085E" w:rsidR="00F945C3" w:rsidRDefault="00F945C3" w:rsidP="00F945C3">
      <w:pPr>
        <w:pStyle w:val="NormalText"/>
      </w:pPr>
      <w:r>
        <w:t>A summary of a single trial on cotton was submitted</w:t>
      </w:r>
      <w:r w:rsidR="007F66BA">
        <w:t xml:space="preserve"> (</w:t>
      </w:r>
      <w:r w:rsidR="007F66BA" w:rsidRPr="007F66BA">
        <w:t>Calderbank and Yuan</w:t>
      </w:r>
      <w:r w:rsidR="007F66BA">
        <w:t xml:space="preserve">, </w:t>
      </w:r>
      <w:r w:rsidR="007F66BA" w:rsidRPr="007F66BA">
        <w:t>1963)</w:t>
      </w:r>
      <w:r>
        <w:t xml:space="preserve">. The PHI was not stated but the applications were as pre-harvest desiccation treatments. Residues were &lt;LOQ (not stated) after a single application of 0.64 kg </w:t>
      </w:r>
      <w:r w:rsidR="00572A0C">
        <w:t>ac/ha</w:t>
      </w:r>
      <w:r>
        <w:t xml:space="preserve">, similar to the Australian maximum use rate. Detectable residues occurred at higher rates (0.84–1.68 kg </w:t>
      </w:r>
      <w:r w:rsidR="00572A0C">
        <w:t>ac/ha</w:t>
      </w:r>
      <w:r>
        <w:t xml:space="preserve">). The current Australian MRL is Oilseeds at 5 mg/kg. A single residue trial lacking details </w:t>
      </w:r>
      <w:r>
        <w:lastRenderedPageBreak/>
        <w:t xml:space="preserve">on methods and PHI is not sufficient for a robust assessment of the residues potential and does not support a use on a major export commodity such as cotton given also the late application timing. It is noted that the </w:t>
      </w:r>
      <w:r w:rsidRPr="009F21C6">
        <w:t>1994</w:t>
      </w:r>
      <w:r w:rsidR="00A23B05">
        <w:t> </w:t>
      </w:r>
      <w:r w:rsidRPr="009F21C6">
        <w:t xml:space="preserve">JMPR indicated no new residue data for cotton were available and data submitted to the 1972 JMPR were not re-submitted. </w:t>
      </w:r>
      <w:r>
        <w:t xml:space="preserve">The 1994 JMPR </w:t>
      </w:r>
      <w:r w:rsidRPr="009F21C6">
        <w:t xml:space="preserve">withdrew </w:t>
      </w:r>
      <w:r>
        <w:t xml:space="preserve">the previous MRL </w:t>
      </w:r>
      <w:r w:rsidRPr="009F21C6">
        <w:t>recommendation for cotton</w:t>
      </w:r>
      <w:r>
        <w:t xml:space="preserve"> seed.</w:t>
      </w:r>
      <w:r w:rsidR="00F42C28">
        <w:t xml:space="preserve"> </w:t>
      </w:r>
      <w:r w:rsidR="00F42C28" w:rsidRPr="00F42C28">
        <w:t xml:space="preserve">The continued pre-harvest use of diquat on cotton </w:t>
      </w:r>
      <w:r w:rsidR="00F42C28">
        <w:t>was initially</w:t>
      </w:r>
      <w:r w:rsidR="00F42C28" w:rsidRPr="00F42C28">
        <w:t xml:space="preserve"> not supported due to a lack of relevant residues data for cotton seed.</w:t>
      </w:r>
    </w:p>
    <w:p w14:paraId="4FB9A87C" w14:textId="62BFD7BE" w:rsidR="00F42C28" w:rsidRDefault="00F42C28" w:rsidP="00F42C28">
      <w:pPr>
        <w:pStyle w:val="NormalText"/>
      </w:pPr>
      <w:r>
        <w:t>In response to the initial consultation, Syngenta submitted a non-GLP Australia residue study on cotton along with a GLP study conducted in Brazil.</w:t>
      </w:r>
    </w:p>
    <w:p w14:paraId="208180C7" w14:textId="5FC55261" w:rsidR="00F42C28" w:rsidRDefault="00F42C28" w:rsidP="00F42C28">
      <w:pPr>
        <w:pStyle w:val="NormalText"/>
      </w:pPr>
      <w:r>
        <w:t>The Australian study (2 trials) involved application of diquat at 184 g a</w:t>
      </w:r>
      <w:r w:rsidR="006436C4">
        <w:t>c</w:t>
      </w:r>
      <w:r>
        <w:t>/ha at 7 days before harvest. Residues in seed at harvest were &lt;0.10 mg/kg (n = 2). It is not possible to scale up residues below the LOQ to the required application rate. It is also noted that only 2 cotton residue trials are available involving application close to harvest when APVMA residue guidelines suggest that up to 8 trials are normally required for cotton.</w:t>
      </w:r>
    </w:p>
    <w:p w14:paraId="23362311" w14:textId="680F9501" w:rsidR="00F42C28" w:rsidRDefault="00F42C28" w:rsidP="00F42C28">
      <w:pPr>
        <w:pStyle w:val="NormalText"/>
      </w:pPr>
      <w:r>
        <w:t>The Brazilian study (4 trials) involved application at 700 g a</w:t>
      </w:r>
      <w:r w:rsidR="006436C4">
        <w:t>c</w:t>
      </w:r>
      <w:r>
        <w:t>/ha at 2 days before planting. Residues in seed at harvest were &lt;0.01 mg/kg (n = 4).</w:t>
      </w:r>
    </w:p>
    <w:p w14:paraId="07B2A15E" w14:textId="66F36893" w:rsidR="00F42C28" w:rsidRDefault="00F42C28" w:rsidP="00F42C28">
      <w:pPr>
        <w:pStyle w:val="NormalText"/>
      </w:pPr>
      <w:r>
        <w:t>The pre-harvest desiccation use of diquat on cotton is still not supported due to a lack of relevant residues data for cotton seed. Syngenta have also proposed that residue data from other oilseed crops could be used in support of the pre-harvest use on cotton. However, cotton is in its own subgroup in the APVMA crop group guidelines and would require specific data for this use close to harvest. At the end of the phase out period an MRL of *0.05 mg/kg will be established for SO 0691 Cotton seed to support the alternative use at crop establishment as new data for cotton and previously submitted data for other crops (rice, maize and peanuts) has indicated residues are not expected at harvest for this use.</w:t>
      </w:r>
    </w:p>
    <w:p w14:paraId="5626E3EC" w14:textId="40DDBBA5" w:rsidR="00F945C3" w:rsidRDefault="00F945C3" w:rsidP="00F945C3">
      <w:pPr>
        <w:pStyle w:val="NormalText"/>
      </w:pPr>
      <w:r>
        <w:t xml:space="preserve">The appropriate withholding period for this supported crop establishment use in cotton is </w:t>
      </w:r>
      <w:r w:rsidR="00A23B05">
        <w:t>‘</w:t>
      </w:r>
      <w:r>
        <w:t>Not required when used as directed</w:t>
      </w:r>
      <w:r w:rsidR="00A23B05">
        <w:t>’</w:t>
      </w:r>
      <w:r>
        <w:t>.</w:t>
      </w:r>
    </w:p>
    <w:p w14:paraId="08F003E7" w14:textId="67261512" w:rsidR="0016566A" w:rsidRDefault="0016566A" w:rsidP="0016566A">
      <w:pPr>
        <w:pStyle w:val="NormalText"/>
      </w:pPr>
      <w:r>
        <w:t>The recommended MRL for diquat use at cotton crop establishment is:</w:t>
      </w:r>
    </w:p>
    <w:p w14:paraId="2D02A62F" w14:textId="1089128B" w:rsidR="00F945C3" w:rsidRDefault="0016566A" w:rsidP="00F945C3">
      <w:pPr>
        <w:pStyle w:val="Bullet1"/>
      </w:pPr>
      <w:r>
        <w:t>SO 0691</w:t>
      </w:r>
      <w:r w:rsidR="00A23B05">
        <w:tab/>
      </w:r>
      <w:r w:rsidR="00A23B05">
        <w:tab/>
      </w:r>
      <w:r>
        <w:t>Cotton seed</w:t>
      </w:r>
      <w:r>
        <w:tab/>
      </w:r>
      <w:r>
        <w:tab/>
      </w:r>
      <w:r>
        <w:tab/>
      </w:r>
      <w:r>
        <w:tab/>
      </w:r>
      <w:r>
        <w:tab/>
      </w:r>
      <w:r>
        <w:tab/>
      </w:r>
      <w:r>
        <w:tab/>
      </w:r>
      <w:r>
        <w:tab/>
        <w:t>*0.05 mg/kg</w:t>
      </w:r>
    </w:p>
    <w:p w14:paraId="59AE1D8F" w14:textId="77777777" w:rsidR="00F945C3" w:rsidRDefault="00F945C3" w:rsidP="0026666F">
      <w:pPr>
        <w:pStyle w:val="Heading4"/>
      </w:pPr>
      <w:r>
        <w:t>Peanuts</w:t>
      </w:r>
    </w:p>
    <w:p w14:paraId="457156A2" w14:textId="724E6D2F" w:rsidR="00D0691A" w:rsidRDefault="00F945C3" w:rsidP="00F945C3">
      <w:pPr>
        <w:pStyle w:val="NormalText"/>
      </w:pPr>
      <w:r>
        <w:t xml:space="preserve">The use on peanuts is at crop establishment at 368 g </w:t>
      </w:r>
      <w:r w:rsidR="00572A0C">
        <w:t>ac/ha</w:t>
      </w:r>
      <w:r>
        <w:t xml:space="preserve"> with a harvest withholding period of </w:t>
      </w:r>
      <w:r w:rsidR="00A23B05">
        <w:t>‘</w:t>
      </w:r>
      <w:r>
        <w:t>Not required when used as directed</w:t>
      </w:r>
      <w:r w:rsidR="00A23B05">
        <w:t>’</w:t>
      </w:r>
      <w:r>
        <w:t>.</w:t>
      </w:r>
    </w:p>
    <w:p w14:paraId="256365C3" w14:textId="58DDCC2C" w:rsidR="00F945C3" w:rsidRDefault="00F945C3" w:rsidP="00F945C3">
      <w:pPr>
        <w:pStyle w:val="NormalText"/>
      </w:pPr>
      <w:r>
        <w:t>One trial summary on peanuts was submitted</w:t>
      </w:r>
      <w:r w:rsidR="007F66BA">
        <w:t xml:space="preserve"> (</w:t>
      </w:r>
      <w:r w:rsidR="007F66BA" w:rsidRPr="007F66BA">
        <w:t>Williams, 1989)</w:t>
      </w:r>
      <w:r>
        <w:t>. Although not stated it was probably a post-emergence weed control application. No detectable residues (&lt;0.01 mg/kg) were found in the kernels or the nut in the shell 109 days after an application of 0.09 or 0.112 kg a.i/ha.</w:t>
      </w:r>
    </w:p>
    <w:p w14:paraId="7143C061" w14:textId="01FEC615" w:rsidR="00F945C3" w:rsidRDefault="00F945C3" w:rsidP="00F945C3">
      <w:pPr>
        <w:pStyle w:val="NormalText"/>
      </w:pPr>
      <w:r>
        <w:t xml:space="preserve">Although the available data for peanuts is weak, data for other crops (rice and maize) also suggest that residues are not expected at harvest. An MRL of *0.05 mg/kg is recommended for SO 0697 Peanut to cover this use. The supported harvest withholding period is </w:t>
      </w:r>
      <w:r w:rsidR="00A23B05">
        <w:t>‘</w:t>
      </w:r>
      <w:r>
        <w:t>Not required when used as directed</w:t>
      </w:r>
      <w:r w:rsidR="00A23B05">
        <w:t>’</w:t>
      </w:r>
      <w:r>
        <w:t>.</w:t>
      </w:r>
    </w:p>
    <w:p w14:paraId="1FBB5712" w14:textId="77777777" w:rsidR="0016566A" w:rsidRDefault="0016566A" w:rsidP="00F945C3">
      <w:pPr>
        <w:pStyle w:val="NormalText"/>
      </w:pPr>
      <w:r>
        <w:t>The recommended MRL for diquat use on peanuts at crop establishment is:</w:t>
      </w:r>
    </w:p>
    <w:p w14:paraId="3A74FA09" w14:textId="0728ADEB" w:rsidR="0016566A" w:rsidRDefault="0016566A" w:rsidP="00A23B05">
      <w:pPr>
        <w:pStyle w:val="Bullet1"/>
      </w:pPr>
      <w:r>
        <w:lastRenderedPageBreak/>
        <w:t>SO 0697</w:t>
      </w:r>
      <w:r w:rsidR="00A23B05">
        <w:tab/>
      </w:r>
      <w:r w:rsidR="00A23B05">
        <w:tab/>
      </w:r>
      <w:r>
        <w:t xml:space="preserve">Peanut </w:t>
      </w:r>
      <w:r>
        <w:tab/>
      </w:r>
      <w:r>
        <w:tab/>
      </w:r>
      <w:r>
        <w:tab/>
      </w:r>
      <w:r>
        <w:tab/>
      </w:r>
      <w:r>
        <w:tab/>
      </w:r>
      <w:r>
        <w:tab/>
      </w:r>
      <w:r>
        <w:tab/>
      </w:r>
      <w:r>
        <w:tab/>
        <w:t>*0.05 mg/kg</w:t>
      </w:r>
    </w:p>
    <w:p w14:paraId="3C387374" w14:textId="77777777" w:rsidR="00F945C3" w:rsidRDefault="00F945C3" w:rsidP="0026666F">
      <w:pPr>
        <w:pStyle w:val="Heading4"/>
      </w:pPr>
      <w:r>
        <w:t>Safflower</w:t>
      </w:r>
    </w:p>
    <w:p w14:paraId="5CB1F4D1" w14:textId="01502B99" w:rsidR="00F945C3" w:rsidRDefault="00F945C3" w:rsidP="00F945C3">
      <w:pPr>
        <w:pStyle w:val="NormalText"/>
      </w:pPr>
      <w:r>
        <w:t xml:space="preserve">The use on safflower is at crop establishment at 368 g </w:t>
      </w:r>
      <w:r w:rsidR="00572A0C">
        <w:t>ac/ha</w:t>
      </w:r>
      <w:r>
        <w:t xml:space="preserve"> with a harvest withholding period of </w:t>
      </w:r>
      <w:r w:rsidR="00A23B05">
        <w:t>‘</w:t>
      </w:r>
      <w:r>
        <w:t>Not required when used as directed</w:t>
      </w:r>
      <w:r w:rsidR="00A23B05">
        <w:t>’</w:t>
      </w:r>
      <w:r>
        <w:t>.</w:t>
      </w:r>
    </w:p>
    <w:p w14:paraId="3209E14D" w14:textId="4B2D74AE" w:rsidR="00F945C3" w:rsidRDefault="00F945C3" w:rsidP="00F945C3">
      <w:pPr>
        <w:pStyle w:val="NormalText"/>
      </w:pPr>
      <w:r>
        <w:t>Although data for safflower is not available, data for other crops (peanuts, rice and maize) suggest that residues are not expected at harvest following a pre-emergent use. An MRL of *0.05 mg/kg is recommended for SO</w:t>
      </w:r>
      <w:r w:rsidR="00A23B05">
        <w:t> </w:t>
      </w:r>
      <w:r>
        <w:t xml:space="preserve">0699 Safflower seed to cover this use. The supported harvest withholding period is </w:t>
      </w:r>
      <w:r w:rsidR="00A23B05">
        <w:t>‘</w:t>
      </w:r>
      <w:r>
        <w:t>Not required when used as directed</w:t>
      </w:r>
      <w:r w:rsidR="00A23B05">
        <w:t>’</w:t>
      </w:r>
      <w:r>
        <w:t>.</w:t>
      </w:r>
    </w:p>
    <w:p w14:paraId="2B18B645" w14:textId="75EAE8C0" w:rsidR="0016566A" w:rsidRDefault="0016566A" w:rsidP="00F945C3">
      <w:pPr>
        <w:pStyle w:val="NormalText"/>
      </w:pPr>
      <w:r>
        <w:t>The recommended MRL for diquat use on safflower at crop establishment is:</w:t>
      </w:r>
    </w:p>
    <w:p w14:paraId="5C57CC11" w14:textId="1BB3913F" w:rsidR="0016566A" w:rsidRDefault="0016566A" w:rsidP="00A23B05">
      <w:pPr>
        <w:pStyle w:val="Bullet1"/>
      </w:pPr>
      <w:r>
        <w:t>SO 0699</w:t>
      </w:r>
      <w:r w:rsidR="00A23B05">
        <w:tab/>
      </w:r>
      <w:r w:rsidR="00A23B05">
        <w:tab/>
      </w:r>
      <w:r>
        <w:t>Safflower seed</w:t>
      </w:r>
      <w:r>
        <w:tab/>
      </w:r>
      <w:r>
        <w:tab/>
      </w:r>
      <w:r>
        <w:tab/>
      </w:r>
      <w:r>
        <w:tab/>
      </w:r>
      <w:r>
        <w:tab/>
      </w:r>
      <w:r>
        <w:tab/>
      </w:r>
      <w:r>
        <w:tab/>
        <w:t>*0.05 mg/kg</w:t>
      </w:r>
    </w:p>
    <w:p w14:paraId="01852C2F" w14:textId="3127D11E" w:rsidR="00F945C3" w:rsidRDefault="00F945C3" w:rsidP="0026666F">
      <w:pPr>
        <w:pStyle w:val="Heading4"/>
      </w:pPr>
      <w:r>
        <w:t>Sunflower</w:t>
      </w:r>
    </w:p>
    <w:p w14:paraId="6CFCB9E0" w14:textId="40C63D92" w:rsidR="00F945C3" w:rsidRDefault="00F945C3" w:rsidP="00F945C3">
      <w:pPr>
        <w:pStyle w:val="NormalText"/>
      </w:pPr>
      <w:r>
        <w:t xml:space="preserve">The </w:t>
      </w:r>
      <w:r w:rsidR="00D0691A">
        <w:t xml:space="preserve">maximum Australian label rate for use </w:t>
      </w:r>
      <w:r>
        <w:t xml:space="preserve">on sunflower is for application at up to 0.6 kg </w:t>
      </w:r>
      <w:r w:rsidR="00572A0C">
        <w:t>ac/ha</w:t>
      </w:r>
      <w:r>
        <w:t xml:space="preserve"> at 7</w:t>
      </w:r>
      <w:r w:rsidR="00A23B05">
        <w:t>–</w:t>
      </w:r>
      <w:r>
        <w:t>14 days before harvest, noting the harvest withholding period is 4 days.</w:t>
      </w:r>
    </w:p>
    <w:p w14:paraId="3673A60F" w14:textId="3FF2BECB" w:rsidR="00F945C3" w:rsidRDefault="00F945C3" w:rsidP="00F945C3">
      <w:pPr>
        <w:pStyle w:val="NormalText"/>
      </w:pPr>
      <w:r>
        <w:t>Eight reports were submitted which contained results of eighteen trials conducted on sunflowers</w:t>
      </w:r>
      <w:r w:rsidR="00B2333C">
        <w:t xml:space="preserve"> (</w:t>
      </w:r>
      <w:r w:rsidR="00B2333C" w:rsidRPr="00B2333C">
        <w:t>Anon</w:t>
      </w:r>
      <w:r w:rsidR="00B2333C">
        <w:t xml:space="preserve">., </w:t>
      </w:r>
      <w:r w:rsidR="00317566">
        <w:t>no date</w:t>
      </w:r>
      <w:r w:rsidR="00443CC8">
        <w:t>(c)</w:t>
      </w:r>
      <w:r w:rsidR="00B2333C">
        <w:t xml:space="preserve">; </w:t>
      </w:r>
      <w:r w:rsidR="00B2333C" w:rsidRPr="00B2333C">
        <w:t>Calderbank and Yuan, 1963</w:t>
      </w:r>
      <w:r w:rsidR="00B2333C">
        <w:t>;</w:t>
      </w:r>
      <w:r w:rsidR="00B2333C" w:rsidRPr="00B2333C">
        <w:t xml:space="preserve"> Calderbank and McKenna</w:t>
      </w:r>
      <w:r w:rsidR="00B2333C">
        <w:t xml:space="preserve">, </w:t>
      </w:r>
      <w:r w:rsidR="00B2333C" w:rsidRPr="00B2333C">
        <w:t>1964</w:t>
      </w:r>
      <w:r w:rsidR="00B2333C">
        <w:t>;</w:t>
      </w:r>
      <w:r w:rsidR="00B2333C" w:rsidRPr="00B2333C">
        <w:t xml:space="preserve"> McKenna, 1966</w:t>
      </w:r>
      <w:r w:rsidR="00B2333C">
        <w:t>;</w:t>
      </w:r>
      <w:r w:rsidR="00B2333C" w:rsidRPr="00B2333C">
        <w:t xml:space="preserve"> Anon</w:t>
      </w:r>
      <w:r w:rsidR="00B2333C">
        <w:t>.,</w:t>
      </w:r>
      <w:r w:rsidR="00B2333C" w:rsidRPr="00B2333C">
        <w:t xml:space="preserve"> 1970</w:t>
      </w:r>
      <w:r w:rsidR="005F7D54">
        <w:t>(b)</w:t>
      </w:r>
      <w:r w:rsidR="00B2333C">
        <w:t>;</w:t>
      </w:r>
      <w:r w:rsidR="00B2333C" w:rsidRPr="00B2333C">
        <w:t xml:space="preserve"> Anon</w:t>
      </w:r>
      <w:r w:rsidR="00B2333C">
        <w:t>.,</w:t>
      </w:r>
      <w:r w:rsidR="00B2333C" w:rsidRPr="00B2333C">
        <w:t xml:space="preserve"> 1972</w:t>
      </w:r>
      <w:r w:rsidR="00B2333C">
        <w:t xml:space="preserve">; </w:t>
      </w:r>
      <w:r w:rsidR="00B2333C" w:rsidRPr="00B2333C">
        <w:t>Anderson</w:t>
      </w:r>
      <w:r w:rsidR="00B2333C">
        <w:t xml:space="preserve"> et al, </w:t>
      </w:r>
      <w:r w:rsidR="00B2333C" w:rsidRPr="00B2333C">
        <w:t>1995</w:t>
      </w:r>
      <w:r w:rsidR="00317566">
        <w:t>(c)</w:t>
      </w:r>
      <w:r w:rsidR="00B2333C">
        <w:t>;</w:t>
      </w:r>
      <w:r w:rsidR="00B2333C" w:rsidRPr="00B2333C">
        <w:t xml:space="preserve"> Anderson and Renard</w:t>
      </w:r>
      <w:r w:rsidR="00317566">
        <w:t>,</w:t>
      </w:r>
      <w:r w:rsidR="00B2333C">
        <w:t xml:space="preserve"> </w:t>
      </w:r>
      <w:r w:rsidR="00B2333C" w:rsidRPr="00B2333C">
        <w:t>1995</w:t>
      </w:r>
      <w:r w:rsidR="00317566">
        <w:t>(b)</w:t>
      </w:r>
      <w:r w:rsidR="00B2333C" w:rsidRPr="00B2333C">
        <w:t>)</w:t>
      </w:r>
      <w:r>
        <w:t xml:space="preserve">. One trial was conducted in Australia. The sunflower trials were all conducted at pre-harvest desiccation treatments. Residues of diquat in sunflower seed were in the range &lt;0.05 to 1 mg/kg, after applications of 0.28 to 1.68 kg </w:t>
      </w:r>
      <w:r w:rsidR="00572A0C">
        <w:t>ac/ha</w:t>
      </w:r>
      <w:r>
        <w:t xml:space="preserve">. Eight trials had a single application of 0.6 kg </w:t>
      </w:r>
      <w:r w:rsidR="00572A0C">
        <w:t>ac/ha</w:t>
      </w:r>
      <w:r>
        <w:t xml:space="preserve"> applied. Residues in the whole seed, which were calculated from the measured residues in oil and cake, were in the range 0.08 to 0.54 mg/kg with a PHI of 5–7 days. It is noted that the 2013 JMPR considered some of these studies submitted for review along with additional European sunflower studies and recommended an MRL of 0.9 mg/kg based on a GAP of 0.6 kg </w:t>
      </w:r>
      <w:r w:rsidR="00572A0C">
        <w:t>ac/ha</w:t>
      </w:r>
      <w:r>
        <w:t>, PHI 6 days (in the additional 5 JMPR trials matching this GAP residues in seed were &lt;0.05–0.10 mg/kg). The combined data set for sunflower seed at 5</w:t>
      </w:r>
      <w:r w:rsidR="00A23B05">
        <w:t>–</w:t>
      </w:r>
      <w:r>
        <w:t xml:space="preserve">7 days after application at approximately 0.6 kg </w:t>
      </w:r>
      <w:r w:rsidR="00572A0C">
        <w:t>ac/ha</w:t>
      </w:r>
      <w:r>
        <w:t xml:space="preserve"> is &lt;0.05, 0.06, 0.06, 0.07, 0.08, 0.09, 0.10, 0.11, 0.11, 0.15, 0.19, 0.41, 0.46 and 0.54 mg/kg. The OECD MRL calculator recommends an MRL of 0.9 mg/kg (n = 14, STMR = 0.11</w:t>
      </w:r>
      <w:r w:rsidR="00A23B05">
        <w:t> </w:t>
      </w:r>
      <w:r>
        <w:t>mg/kg). The current Australian MRL is Oilseeds at 5 mg/kg. A diquat sunflower MRL of 1 mg/kg is appropriate based on this data in conjunction with a 7 day withholding period instead of the currently registered withholding period of 4</w:t>
      </w:r>
      <w:r w:rsidR="00A23B05">
        <w:t> </w:t>
      </w:r>
      <w:r>
        <w:t>days.</w:t>
      </w:r>
    </w:p>
    <w:p w14:paraId="0DB6712F" w14:textId="77777777" w:rsidR="00F945C3" w:rsidRDefault="00F945C3" w:rsidP="00F945C3">
      <w:pPr>
        <w:pStyle w:val="NormalText"/>
      </w:pPr>
      <w:r>
        <w:t>The available diquat residues data supports continued use sunflowers with a 7 day harvest withholding period. The recommended MRL is:</w:t>
      </w:r>
    </w:p>
    <w:p w14:paraId="2B20C27C" w14:textId="39F3960A" w:rsidR="00F945C3" w:rsidRDefault="00F945C3" w:rsidP="00A23B05">
      <w:pPr>
        <w:pStyle w:val="Bullet1"/>
      </w:pPr>
      <w:r>
        <w:t>SO 0702</w:t>
      </w:r>
      <w:r w:rsidR="00A23B05">
        <w:tab/>
      </w:r>
      <w:r w:rsidR="00A23B05">
        <w:tab/>
      </w:r>
      <w:r>
        <w:t>Sunflower seed</w:t>
      </w:r>
      <w:r>
        <w:tab/>
      </w:r>
      <w:r>
        <w:tab/>
      </w:r>
      <w:r w:rsidR="00943557">
        <w:tab/>
      </w:r>
      <w:r w:rsidR="00943557">
        <w:tab/>
      </w:r>
      <w:r w:rsidR="00943557">
        <w:tab/>
      </w:r>
      <w:r w:rsidR="00943557">
        <w:tab/>
      </w:r>
      <w:r w:rsidR="00943557">
        <w:tab/>
      </w:r>
      <w:r>
        <w:t>1 mg/kg</w:t>
      </w:r>
    </w:p>
    <w:p w14:paraId="19BDA887" w14:textId="77777777" w:rsidR="00D0691A" w:rsidRDefault="00F945C3" w:rsidP="0026666F">
      <w:pPr>
        <w:pStyle w:val="Heading4"/>
      </w:pPr>
      <w:r>
        <w:t>Linseed</w:t>
      </w:r>
    </w:p>
    <w:p w14:paraId="68C66ACF" w14:textId="4D87B14A" w:rsidR="00F945C3" w:rsidRPr="00A23B05" w:rsidRDefault="00F945C3" w:rsidP="00D0691A">
      <w:pPr>
        <w:pStyle w:val="NormalText"/>
      </w:pPr>
      <w:r w:rsidRPr="00D0691A">
        <w:rPr>
          <w:rStyle w:val="NormalTextChar"/>
        </w:rPr>
        <w:t xml:space="preserve">The </w:t>
      </w:r>
      <w:r w:rsidR="00D0691A" w:rsidRPr="00D0691A">
        <w:rPr>
          <w:rStyle w:val="NormalTextChar"/>
        </w:rPr>
        <w:t xml:space="preserve">maximum Australian label rate for use </w:t>
      </w:r>
      <w:r w:rsidRPr="00D0691A">
        <w:rPr>
          <w:rStyle w:val="NormalTextChar"/>
        </w:rPr>
        <w:t>of diquat on linseed is for a pre-harvest desiccation application at up to 0.6</w:t>
      </w:r>
      <w:r w:rsidR="00A23B05">
        <w:rPr>
          <w:rStyle w:val="NormalTextChar"/>
        </w:rPr>
        <w:t> </w:t>
      </w:r>
      <w:r w:rsidRPr="00D0691A">
        <w:rPr>
          <w:rStyle w:val="NormalTextChar"/>
        </w:rPr>
        <w:t xml:space="preserve">kg </w:t>
      </w:r>
      <w:r w:rsidR="00572A0C">
        <w:rPr>
          <w:rStyle w:val="NormalTextChar"/>
        </w:rPr>
        <w:t>ac/ha</w:t>
      </w:r>
      <w:r w:rsidRPr="00D0691A">
        <w:rPr>
          <w:rStyle w:val="NormalTextChar"/>
        </w:rPr>
        <w:t xml:space="preserve"> when the majority of seed head are mature. A harvest withholding period is not specified.</w:t>
      </w:r>
    </w:p>
    <w:p w14:paraId="1EFC74D2" w14:textId="59180E78" w:rsidR="00F945C3" w:rsidRDefault="00F945C3" w:rsidP="00D0691A">
      <w:pPr>
        <w:pStyle w:val="NormalText"/>
      </w:pPr>
      <w:r>
        <w:lastRenderedPageBreak/>
        <w:t>Nine reports were submitted</w:t>
      </w:r>
      <w:r w:rsidR="00A23B05">
        <w:t>,</w:t>
      </w:r>
      <w:r>
        <w:t xml:space="preserve"> which contained results of </w:t>
      </w:r>
      <w:r w:rsidR="00A23B05">
        <w:t>18</w:t>
      </w:r>
      <w:r>
        <w:t xml:space="preserve"> trials conducted on linseed</w:t>
      </w:r>
      <w:r w:rsidR="00A23B05">
        <w:t>;</w:t>
      </w:r>
      <w:r w:rsidR="004C25AF">
        <w:t xml:space="preserve"> however</w:t>
      </w:r>
      <w:r w:rsidR="00A23B05">
        <w:t>,</w:t>
      </w:r>
      <w:r w:rsidR="004C25AF">
        <w:t xml:space="preserve"> one report</w:t>
      </w:r>
      <w:r w:rsidR="00A23B05">
        <w:t>,</w:t>
      </w:r>
      <w:r w:rsidR="004C25AF">
        <w:t xml:space="preserve"> which measured residues in cake and oil only</w:t>
      </w:r>
      <w:r w:rsidR="00A23B05">
        <w:t>,</w:t>
      </w:r>
      <w:r w:rsidR="004C25AF">
        <w:t xml:space="preserve"> was not considered further </w:t>
      </w:r>
      <w:r w:rsidR="004C25AF" w:rsidRPr="004C25AF">
        <w:rPr>
          <w:rStyle w:val="NormalTextChar"/>
        </w:rPr>
        <w:t>(</w:t>
      </w:r>
      <w:bookmarkStart w:id="216" w:name="_Hlk167787875"/>
      <w:r w:rsidR="004C25AF" w:rsidRPr="004C25AF">
        <w:rPr>
          <w:rStyle w:val="NormalTextChar"/>
        </w:rPr>
        <w:t>Calderbank and Yuan</w:t>
      </w:r>
      <w:r w:rsidR="004C25AF">
        <w:rPr>
          <w:rStyle w:val="NormalTextChar"/>
        </w:rPr>
        <w:t xml:space="preserve">, </w:t>
      </w:r>
      <w:r w:rsidR="004C25AF" w:rsidRPr="004C25AF">
        <w:rPr>
          <w:rStyle w:val="NormalTextChar"/>
        </w:rPr>
        <w:t>1963</w:t>
      </w:r>
      <w:bookmarkEnd w:id="216"/>
      <w:r w:rsidR="004C25AF">
        <w:rPr>
          <w:rStyle w:val="NormalTextChar"/>
        </w:rPr>
        <w:t>;</w:t>
      </w:r>
      <w:bookmarkStart w:id="217" w:name="_Hlk167787883"/>
      <w:r w:rsidR="004C25AF">
        <w:rPr>
          <w:rStyle w:val="NormalTextChar"/>
        </w:rPr>
        <w:t xml:space="preserve"> </w:t>
      </w:r>
      <w:r w:rsidR="004C25AF" w:rsidRPr="004C25AF">
        <w:rPr>
          <w:rStyle w:val="NormalTextChar"/>
        </w:rPr>
        <w:t>Calderban</w:t>
      </w:r>
      <w:r w:rsidR="004C25AF">
        <w:rPr>
          <w:rStyle w:val="NormalTextChar"/>
        </w:rPr>
        <w:t>k</w:t>
      </w:r>
      <w:r w:rsidR="004C25AF" w:rsidRPr="004C25AF">
        <w:rPr>
          <w:rStyle w:val="NormalTextChar"/>
        </w:rPr>
        <w:t xml:space="preserve"> and McKenna, 1964</w:t>
      </w:r>
      <w:r w:rsidR="004C25AF">
        <w:rPr>
          <w:rStyle w:val="NormalTextChar"/>
        </w:rPr>
        <w:t>;</w:t>
      </w:r>
      <w:bookmarkEnd w:id="217"/>
      <w:r w:rsidR="004C25AF" w:rsidRPr="004C25AF">
        <w:rPr>
          <w:rStyle w:val="NormalTextChar"/>
        </w:rPr>
        <w:t xml:space="preserve"> </w:t>
      </w:r>
      <w:bookmarkStart w:id="218" w:name="_Hlk167787895"/>
      <w:r w:rsidR="004C25AF" w:rsidRPr="004C25AF">
        <w:rPr>
          <w:rStyle w:val="NormalTextChar"/>
        </w:rPr>
        <w:t>McKenna, 1966</w:t>
      </w:r>
      <w:r w:rsidR="004C25AF">
        <w:rPr>
          <w:rStyle w:val="NormalTextChar"/>
        </w:rPr>
        <w:t>;</w:t>
      </w:r>
      <w:bookmarkStart w:id="219" w:name="_Hlk167787945"/>
      <w:bookmarkEnd w:id="218"/>
      <w:r w:rsidR="004C25AF" w:rsidRPr="004C25AF">
        <w:rPr>
          <w:rStyle w:val="NormalTextChar"/>
        </w:rPr>
        <w:t xml:space="preserve"> Anon</w:t>
      </w:r>
      <w:r w:rsidR="004C25AF">
        <w:rPr>
          <w:rStyle w:val="NormalTextChar"/>
        </w:rPr>
        <w:t xml:space="preserve">., </w:t>
      </w:r>
      <w:r w:rsidR="004C25AF" w:rsidRPr="004C25AF">
        <w:rPr>
          <w:rStyle w:val="NormalTextChar"/>
        </w:rPr>
        <w:t>1972</w:t>
      </w:r>
      <w:bookmarkEnd w:id="219"/>
      <w:r w:rsidR="004C25AF">
        <w:rPr>
          <w:rStyle w:val="NormalTextChar"/>
        </w:rPr>
        <w:t>;</w:t>
      </w:r>
      <w:r w:rsidR="004C25AF" w:rsidRPr="004C25AF">
        <w:rPr>
          <w:rStyle w:val="NormalTextChar"/>
        </w:rPr>
        <w:t xml:space="preserve"> Earl and Anderson, 1989</w:t>
      </w:r>
      <w:r w:rsidR="005A44C3">
        <w:rPr>
          <w:rStyle w:val="NormalTextChar"/>
        </w:rPr>
        <w:t>(b)</w:t>
      </w:r>
      <w:r w:rsidR="004C25AF">
        <w:rPr>
          <w:rStyle w:val="NormalTextChar"/>
        </w:rPr>
        <w:t xml:space="preserve">; </w:t>
      </w:r>
      <w:r w:rsidR="004C25AF" w:rsidRPr="004C25AF">
        <w:rPr>
          <w:rStyle w:val="NormalTextChar"/>
        </w:rPr>
        <w:t>Anderson and Elsworth</w:t>
      </w:r>
      <w:r w:rsidR="004C25AF">
        <w:rPr>
          <w:rStyle w:val="NormalTextChar"/>
        </w:rPr>
        <w:t xml:space="preserve">, </w:t>
      </w:r>
      <w:r w:rsidR="004C25AF" w:rsidRPr="004C25AF">
        <w:rPr>
          <w:rStyle w:val="NormalTextChar"/>
        </w:rPr>
        <w:t>1994</w:t>
      </w:r>
      <w:r w:rsidR="004C25AF">
        <w:rPr>
          <w:rStyle w:val="NormalTextChar"/>
        </w:rPr>
        <w:t>;</w:t>
      </w:r>
      <w:r w:rsidR="004C25AF" w:rsidRPr="004C25AF">
        <w:rPr>
          <w:rStyle w:val="NormalTextChar"/>
        </w:rPr>
        <w:t xml:space="preserve"> Anderson and Moons</w:t>
      </w:r>
      <w:r w:rsidR="004C25AF">
        <w:rPr>
          <w:rStyle w:val="NormalTextChar"/>
        </w:rPr>
        <w:t xml:space="preserve">, </w:t>
      </w:r>
      <w:r w:rsidR="004C25AF" w:rsidRPr="004C25AF">
        <w:rPr>
          <w:rStyle w:val="NormalTextChar"/>
        </w:rPr>
        <w:t>1995</w:t>
      </w:r>
      <w:r w:rsidR="004C25AF">
        <w:rPr>
          <w:rStyle w:val="NormalTextChar"/>
        </w:rPr>
        <w:t>;</w:t>
      </w:r>
      <w:r w:rsidR="004C25AF" w:rsidRPr="004C25AF">
        <w:rPr>
          <w:rStyle w:val="NormalTextChar"/>
        </w:rPr>
        <w:t xml:space="preserve"> Anderson and Renard</w:t>
      </w:r>
      <w:r w:rsidR="004C25AF">
        <w:rPr>
          <w:rStyle w:val="NormalTextChar"/>
        </w:rPr>
        <w:t>,</w:t>
      </w:r>
      <w:r w:rsidR="004C25AF" w:rsidRPr="004C25AF">
        <w:rPr>
          <w:rStyle w:val="NormalTextChar"/>
        </w:rPr>
        <w:t xml:space="preserve"> 1995</w:t>
      </w:r>
      <w:r w:rsidR="00317566">
        <w:rPr>
          <w:rStyle w:val="NormalTextChar"/>
        </w:rPr>
        <w:t>(a)</w:t>
      </w:r>
      <w:r w:rsidR="009E1C3B">
        <w:rPr>
          <w:rStyle w:val="NormalTextChar"/>
        </w:rPr>
        <w:t>, Dick et al., 1995(f)</w:t>
      </w:r>
      <w:r w:rsidR="004C25AF" w:rsidRPr="004C25AF">
        <w:rPr>
          <w:rStyle w:val="NormalTextChar"/>
        </w:rPr>
        <w:t>).</w:t>
      </w:r>
      <w:r w:rsidRPr="004C25AF">
        <w:rPr>
          <w:rStyle w:val="NormalTextChar"/>
        </w:rPr>
        <w:t xml:space="preserve"> </w:t>
      </w:r>
      <w:r>
        <w:t xml:space="preserve">No Australian trials were submitted. Two trials were conducted as post-emergence weed control treatments (no detectable residues occurred), and the remainder were pre-harvest desiccation treatments, which is Australian GAP. For the pre-harvest desiccation trials, the range of diquat residues in the seed was &lt;0.05 to 5.5 mg/kg 7–16 days after an application of 0.07 to 2.24 kg </w:t>
      </w:r>
      <w:r w:rsidR="00572A0C">
        <w:t>ac/ha</w:t>
      </w:r>
      <w:r>
        <w:t xml:space="preserve"> (scaled</w:t>
      </w:r>
      <w:r w:rsidR="009E3126">
        <w:t xml:space="preserve"> HR</w:t>
      </w:r>
      <w:r w:rsidR="00843596">
        <w:t xml:space="preserve"> </w:t>
      </w:r>
      <w:r>
        <w:t xml:space="preserve">2.75 mg/kg). After applications approximating the Australian maximum rate of 0.6 kg </w:t>
      </w:r>
      <w:r w:rsidR="00572A0C">
        <w:t>ac/ha</w:t>
      </w:r>
      <w:r>
        <w:t>, residues were &lt;0.05 to 3.9 mg/kg. The available linseed trials did not address a sampling time less than 7 days. The current Australian MRL is Linseed at *0.01 mg/kg should be increased to 5</w:t>
      </w:r>
      <w:r w:rsidR="00A23B05">
        <w:t> </w:t>
      </w:r>
      <w:r>
        <w:t>mg/kg.</w:t>
      </w:r>
    </w:p>
    <w:p w14:paraId="561A6C29" w14:textId="77777777" w:rsidR="00F945C3" w:rsidRDefault="00F945C3" w:rsidP="00F945C3">
      <w:pPr>
        <w:pStyle w:val="NormalText"/>
      </w:pPr>
      <w:r>
        <w:t>The available diquat residues data supports continued use in linseed. The recommended MRL is:</w:t>
      </w:r>
    </w:p>
    <w:p w14:paraId="4EB452DC" w14:textId="15BABD54" w:rsidR="00F945C3" w:rsidRDefault="00F945C3" w:rsidP="00A23B05">
      <w:pPr>
        <w:pStyle w:val="Bullet1"/>
      </w:pPr>
      <w:r>
        <w:t>SO 0693</w:t>
      </w:r>
      <w:r w:rsidR="00A23B05">
        <w:tab/>
      </w:r>
      <w:r w:rsidR="00A23B05">
        <w:tab/>
      </w:r>
      <w:r>
        <w:t>Linseed</w:t>
      </w:r>
      <w:r>
        <w:tab/>
      </w:r>
      <w:r>
        <w:tab/>
      </w:r>
      <w:r w:rsidR="00943557">
        <w:tab/>
      </w:r>
      <w:r w:rsidR="00943557">
        <w:tab/>
      </w:r>
      <w:r w:rsidR="00943557">
        <w:tab/>
      </w:r>
      <w:r w:rsidR="00943557">
        <w:tab/>
      </w:r>
      <w:r w:rsidR="00D46E11">
        <w:tab/>
      </w:r>
      <w:r w:rsidR="00943557">
        <w:tab/>
      </w:r>
      <w:r>
        <w:t>5 mg/kg</w:t>
      </w:r>
    </w:p>
    <w:p w14:paraId="76DBA653" w14:textId="2FA6F780" w:rsidR="00F945C3" w:rsidRDefault="00F945C3" w:rsidP="00F945C3">
      <w:pPr>
        <w:pStyle w:val="NormalText"/>
      </w:pPr>
      <w:r>
        <w:t xml:space="preserve">Current labels do not specify a harvest withholding period for linseed. A </w:t>
      </w:r>
      <w:r w:rsidR="00A23B05">
        <w:t>7</w:t>
      </w:r>
      <w:r>
        <w:t xml:space="preserve"> day harvest withholding period is recommended for linseed in line with the sampling times from the available residue trials.</w:t>
      </w:r>
    </w:p>
    <w:p w14:paraId="580A3C1F" w14:textId="2DA7BA8E" w:rsidR="00D0691A" w:rsidRDefault="00F945C3" w:rsidP="0026666F">
      <w:pPr>
        <w:pStyle w:val="Heading4"/>
      </w:pPr>
      <w:r>
        <w:t>Canola (</w:t>
      </w:r>
      <w:r w:rsidR="00A23B05">
        <w:t>r</w:t>
      </w:r>
      <w:r>
        <w:t>apeseed)</w:t>
      </w:r>
    </w:p>
    <w:p w14:paraId="0C8622A4" w14:textId="4BB2F69C" w:rsidR="00F945C3" w:rsidRDefault="00F945C3" w:rsidP="00D0691A">
      <w:pPr>
        <w:pStyle w:val="NormalText"/>
        <w:rPr>
          <w:lang w:val="en-US"/>
        </w:rPr>
      </w:pPr>
      <w:r w:rsidRPr="00D0691A">
        <w:rPr>
          <w:rStyle w:val="NormalTextChar"/>
        </w:rPr>
        <w:t xml:space="preserve">The </w:t>
      </w:r>
      <w:r w:rsidR="00D0691A">
        <w:t xml:space="preserve">maximum Australian label rate for use on </w:t>
      </w:r>
      <w:r w:rsidRPr="00D0691A">
        <w:rPr>
          <w:rStyle w:val="NormalTextChar"/>
        </w:rPr>
        <w:t>canola is for a pre-harvest desiccation application at 0.6</w:t>
      </w:r>
      <w:r w:rsidR="00A23B05">
        <w:rPr>
          <w:rStyle w:val="NormalTextChar"/>
        </w:rPr>
        <w:t> </w:t>
      </w:r>
      <w:r w:rsidRPr="00D0691A">
        <w:rPr>
          <w:rStyle w:val="NormalTextChar"/>
        </w:rPr>
        <w:t>kg</w:t>
      </w:r>
      <w:r w:rsidR="00A23B05">
        <w:rPr>
          <w:rStyle w:val="NormalTextChar"/>
        </w:rPr>
        <w:t> </w:t>
      </w:r>
      <w:r w:rsidR="00572A0C">
        <w:rPr>
          <w:rStyle w:val="NormalTextChar"/>
        </w:rPr>
        <w:t>ac/ha</w:t>
      </w:r>
      <w:r w:rsidRPr="00D0691A">
        <w:rPr>
          <w:rStyle w:val="NormalTextChar"/>
        </w:rPr>
        <w:t xml:space="preserve"> in conjunction with a 4 day harvest withholding period.</w:t>
      </w:r>
    </w:p>
    <w:p w14:paraId="10EBAADF" w14:textId="2193B846" w:rsidR="00F945C3" w:rsidRDefault="00F945C3" w:rsidP="00F945C3">
      <w:pPr>
        <w:pStyle w:val="NormalText"/>
        <w:rPr>
          <w:lang w:val="en-US"/>
        </w:rPr>
      </w:pPr>
      <w:r>
        <w:rPr>
          <w:lang w:val="en-US"/>
        </w:rPr>
        <w:t>Seven reports of rapeseed residues trials were submitted</w:t>
      </w:r>
      <w:r w:rsidR="009C1DDC">
        <w:rPr>
          <w:lang w:val="en-US"/>
        </w:rPr>
        <w:t xml:space="preserve"> (</w:t>
      </w:r>
      <w:r w:rsidR="009C1DDC" w:rsidRPr="009C1DDC">
        <w:rPr>
          <w:lang w:val="en-US"/>
        </w:rPr>
        <w:t>McKenna, 1966</w:t>
      </w:r>
      <w:r w:rsidR="009C1DDC">
        <w:rPr>
          <w:lang w:val="en-US"/>
        </w:rPr>
        <w:t>;</w:t>
      </w:r>
      <w:bookmarkStart w:id="220" w:name="_Hlk167787906"/>
      <w:r w:rsidR="009C1DDC" w:rsidRPr="009C1DDC">
        <w:rPr>
          <w:lang w:val="en-US"/>
        </w:rPr>
        <w:t xml:space="preserve"> Anon</w:t>
      </w:r>
      <w:r w:rsidR="009C1DDC">
        <w:rPr>
          <w:lang w:val="en-US"/>
        </w:rPr>
        <w:t>.,</w:t>
      </w:r>
      <w:r w:rsidR="009C1DDC" w:rsidRPr="009C1DDC">
        <w:rPr>
          <w:lang w:val="en-US"/>
        </w:rPr>
        <w:t xml:space="preserve"> no date</w:t>
      </w:r>
      <w:r w:rsidR="00443CC8">
        <w:rPr>
          <w:lang w:val="en-US"/>
        </w:rPr>
        <w:t>(c)</w:t>
      </w:r>
      <w:r w:rsidR="009C1DDC">
        <w:rPr>
          <w:lang w:val="en-US"/>
        </w:rPr>
        <w:t>;</w:t>
      </w:r>
      <w:bookmarkStart w:id="221" w:name="_Hlk160790268"/>
      <w:bookmarkEnd w:id="220"/>
      <w:r w:rsidR="009C1DDC" w:rsidRPr="009C1DDC">
        <w:rPr>
          <w:lang w:val="en-US"/>
        </w:rPr>
        <w:t xml:space="preserve"> Anon.</w:t>
      </w:r>
      <w:r w:rsidR="009C1DDC">
        <w:rPr>
          <w:lang w:val="en-US"/>
        </w:rPr>
        <w:t>,</w:t>
      </w:r>
      <w:r w:rsidR="009C1DDC" w:rsidRPr="009C1DDC">
        <w:rPr>
          <w:lang w:val="en-US"/>
        </w:rPr>
        <w:t xml:space="preserve"> 1972</w:t>
      </w:r>
      <w:bookmarkEnd w:id="221"/>
      <w:r w:rsidR="009C1DDC">
        <w:rPr>
          <w:lang w:val="en-US"/>
        </w:rPr>
        <w:t>;</w:t>
      </w:r>
      <w:r w:rsidR="009C1DDC" w:rsidRPr="009C1DDC">
        <w:rPr>
          <w:lang w:val="en-US"/>
        </w:rPr>
        <w:t xml:space="preserve"> Anon.</w:t>
      </w:r>
      <w:r w:rsidR="009C1DDC">
        <w:rPr>
          <w:lang w:val="en-US"/>
        </w:rPr>
        <w:t>,</w:t>
      </w:r>
      <w:r w:rsidR="009C1DDC" w:rsidRPr="009C1DDC">
        <w:rPr>
          <w:lang w:val="en-US"/>
        </w:rPr>
        <w:t xml:space="preserve"> 1980</w:t>
      </w:r>
      <w:r w:rsidR="006209C4">
        <w:rPr>
          <w:lang w:val="en-US"/>
        </w:rPr>
        <w:t>(a)</w:t>
      </w:r>
      <w:r w:rsidR="009C1DDC">
        <w:rPr>
          <w:lang w:val="en-US"/>
        </w:rPr>
        <w:t>;</w:t>
      </w:r>
      <w:r w:rsidR="009C1DDC" w:rsidRPr="009C1DDC">
        <w:rPr>
          <w:lang w:val="en-US"/>
        </w:rPr>
        <w:t xml:space="preserve"> Swaine</w:t>
      </w:r>
      <w:r w:rsidR="009C1DDC">
        <w:rPr>
          <w:lang w:val="en-US"/>
        </w:rPr>
        <w:t xml:space="preserve">, </w:t>
      </w:r>
      <w:r w:rsidR="009C1DDC" w:rsidRPr="009C1DDC">
        <w:rPr>
          <w:lang w:val="en-US"/>
        </w:rPr>
        <w:t>1981</w:t>
      </w:r>
      <w:r w:rsidR="008247E7">
        <w:rPr>
          <w:lang w:val="en-US"/>
        </w:rPr>
        <w:t>(b)</w:t>
      </w:r>
      <w:r w:rsidR="009C1DDC">
        <w:rPr>
          <w:lang w:val="en-US"/>
        </w:rPr>
        <w:t>;</w:t>
      </w:r>
      <w:r w:rsidR="009C1DDC" w:rsidRPr="009C1DDC">
        <w:rPr>
          <w:lang w:val="en-US"/>
        </w:rPr>
        <w:t xml:space="preserve"> Kennedy</w:t>
      </w:r>
      <w:r w:rsidR="009C1DDC">
        <w:rPr>
          <w:lang w:val="en-US"/>
        </w:rPr>
        <w:t xml:space="preserve">, </w:t>
      </w:r>
      <w:r w:rsidR="009C1DDC" w:rsidRPr="009C1DDC">
        <w:rPr>
          <w:lang w:val="en-US"/>
        </w:rPr>
        <w:t>1984</w:t>
      </w:r>
      <w:r w:rsidR="00702C81">
        <w:rPr>
          <w:lang w:val="en-US"/>
        </w:rPr>
        <w:t>(c)</w:t>
      </w:r>
      <w:r w:rsidR="009C1DDC">
        <w:rPr>
          <w:lang w:val="en-US"/>
        </w:rPr>
        <w:t>;</w:t>
      </w:r>
      <w:r w:rsidR="009C1DDC" w:rsidRPr="009C1DDC">
        <w:rPr>
          <w:lang w:val="en-US"/>
        </w:rPr>
        <w:t xml:space="preserve"> </w:t>
      </w:r>
      <w:r w:rsidR="009C1DDC">
        <w:t>Kennedy, 1988</w:t>
      </w:r>
      <w:r w:rsidR="00423536">
        <w:t>(b)</w:t>
      </w:r>
      <w:r w:rsidR="009C1DDC">
        <w:t>)</w:t>
      </w:r>
      <w:r>
        <w:rPr>
          <w:lang w:val="en-US"/>
        </w:rPr>
        <w:t xml:space="preserve">. No Australian trials were submitted. Applications in all the trials were made as pre-harvest desiccation treatments. Diquat residues in rapeseed were in the range &lt;0.05 to 1.5 mg/kg, from applications of 0.28 to 3.8 kg </w:t>
      </w:r>
      <w:r w:rsidR="00572A0C">
        <w:rPr>
          <w:lang w:val="en-US"/>
        </w:rPr>
        <w:t>ac/ha</w:t>
      </w:r>
      <w:r>
        <w:rPr>
          <w:lang w:val="en-US"/>
        </w:rPr>
        <w:t xml:space="preserve">, although most results were less than 1 mg/kg. In trials where applications of 0.6 kg </w:t>
      </w:r>
      <w:r w:rsidR="00572A0C">
        <w:rPr>
          <w:lang w:val="en-US"/>
        </w:rPr>
        <w:t>ac/ha</w:t>
      </w:r>
      <w:r>
        <w:rPr>
          <w:lang w:val="en-US"/>
        </w:rPr>
        <w:t xml:space="preserve"> were applied 5–20 days prior to harvest all residues were &lt;0.05 to 0.48</w:t>
      </w:r>
      <w:r w:rsidR="00A23B05">
        <w:rPr>
          <w:lang w:val="en-US"/>
        </w:rPr>
        <w:t> </w:t>
      </w:r>
      <w:r>
        <w:rPr>
          <w:lang w:val="en-US"/>
        </w:rPr>
        <w:t>mg/kg.</w:t>
      </w:r>
    </w:p>
    <w:p w14:paraId="3C06F6D1" w14:textId="48B856B4" w:rsidR="00F945C3" w:rsidRDefault="00F945C3" w:rsidP="00F945C3">
      <w:pPr>
        <w:pStyle w:val="NormalText"/>
        <w:rPr>
          <w:lang w:val="en-US"/>
        </w:rPr>
      </w:pPr>
      <w:r>
        <w:rPr>
          <w:lang w:val="en-US"/>
        </w:rPr>
        <w:t xml:space="preserve">Additional data for diquat on rape seed is available from the 2013 JMPR. </w:t>
      </w:r>
      <w:r w:rsidRPr="00AA2BDD">
        <w:rPr>
          <w:lang w:val="en-US"/>
        </w:rPr>
        <w:t>Residues in rape seeds from trials conducted in Europ</w:t>
      </w:r>
      <w:r>
        <w:rPr>
          <w:lang w:val="en-US"/>
        </w:rPr>
        <w:t xml:space="preserve">e approximating German GAP (0.6 kg </w:t>
      </w:r>
      <w:r w:rsidR="00572A0C">
        <w:rPr>
          <w:lang w:val="en-US"/>
        </w:rPr>
        <w:t>ac/ha</w:t>
      </w:r>
      <w:r>
        <w:rPr>
          <w:lang w:val="en-US"/>
        </w:rPr>
        <w:t>, PHI 5 days) were (n=16</w:t>
      </w:r>
      <w:r w:rsidRPr="00AA2BDD">
        <w:rPr>
          <w:lang w:val="en-US"/>
        </w:rPr>
        <w:t>): 0.02, 0.03, 0.03, 0.05, 0.06, 0.07, 0.08, 0.10, 0.12, 0.22, 0.27, 0.33, 0.38, 0.42, 0.44,</w:t>
      </w:r>
      <w:r>
        <w:rPr>
          <w:lang w:val="en-US"/>
        </w:rPr>
        <w:t xml:space="preserve"> </w:t>
      </w:r>
      <w:r w:rsidRPr="00AA2BDD">
        <w:rPr>
          <w:lang w:val="en-US"/>
        </w:rPr>
        <w:t>0.45 mg/kg.</w:t>
      </w:r>
      <w:r>
        <w:rPr>
          <w:lang w:val="en-US"/>
        </w:rPr>
        <w:t xml:space="preserve"> </w:t>
      </w:r>
      <w:r w:rsidRPr="00AA2BDD">
        <w:rPr>
          <w:lang w:val="en-US"/>
        </w:rPr>
        <w:t>In trials approximating GAP in the USA</w:t>
      </w:r>
      <w:r>
        <w:rPr>
          <w:lang w:val="en-US"/>
        </w:rPr>
        <w:t xml:space="preserve"> (0.56 kg </w:t>
      </w:r>
      <w:r w:rsidR="00572A0C">
        <w:rPr>
          <w:lang w:val="en-US"/>
        </w:rPr>
        <w:t>ac/ha</w:t>
      </w:r>
      <w:r>
        <w:rPr>
          <w:lang w:val="en-US"/>
        </w:rPr>
        <w:t>, PHI 7 days)</w:t>
      </w:r>
      <w:r w:rsidRPr="00AA2BDD">
        <w:rPr>
          <w:lang w:val="en-US"/>
        </w:rPr>
        <w:t xml:space="preserve"> total residues in rape seeds were (n=9): 0.06, 0.24,</w:t>
      </w:r>
      <w:r>
        <w:rPr>
          <w:lang w:val="en-US"/>
        </w:rPr>
        <w:t xml:space="preserve"> </w:t>
      </w:r>
      <w:r w:rsidRPr="00AA2BDD">
        <w:rPr>
          <w:lang w:val="en-US"/>
        </w:rPr>
        <w:t>0.30, 0.30, 0.46, 0.48, 0.52, 0.72, 0.82 mg/kg.</w:t>
      </w:r>
      <w:r>
        <w:rPr>
          <w:lang w:val="en-US"/>
        </w:rPr>
        <w:t xml:space="preserve"> Based on the combined dataset considered by the 2013 JMPR the OECD MRL calculator recommends an MRL of 1.5 mg/kg (n = 25, STMR = 0.27 mg/kg).</w:t>
      </w:r>
    </w:p>
    <w:p w14:paraId="57315B6F" w14:textId="3B112C92" w:rsidR="00F945C3" w:rsidRDefault="00F945C3" w:rsidP="00F945C3">
      <w:pPr>
        <w:pStyle w:val="NormalText"/>
      </w:pPr>
      <w:r>
        <w:t xml:space="preserve">The available diquat residues data supports continued use in canola. </w:t>
      </w:r>
      <w:r w:rsidRPr="00475985">
        <w:t>Based on the overseas rape seed data an MRL of 2 mg/kg is supported for diquat on SO 0495 Rape seed [canola] in conjunction with a 7 day harvest withholding period. This MRL would be in closer alignment to those established by Codex, Japan and Korea</w:t>
      </w:r>
      <w:r>
        <w:t xml:space="preserve"> (compared to the current MRL for oilseeds at 5 mg/kg)</w:t>
      </w:r>
      <w:r w:rsidRPr="00475985">
        <w:t xml:space="preserve">, reducing the </w:t>
      </w:r>
      <w:r>
        <w:t xml:space="preserve">potential </w:t>
      </w:r>
      <w:r w:rsidRPr="00475985">
        <w:t>risk to trade</w:t>
      </w:r>
      <w:r>
        <w:t>.</w:t>
      </w:r>
    </w:p>
    <w:p w14:paraId="0EAC118B" w14:textId="408E5115" w:rsidR="009C316A" w:rsidRDefault="009C316A" w:rsidP="009C316A">
      <w:pPr>
        <w:pStyle w:val="NormalText"/>
      </w:pPr>
      <w:r>
        <w:t>In response to the initial consultation Syngenta submitted additional overseas residue data for canola, to provide further support for these uses including in relation to trade.</w:t>
      </w:r>
    </w:p>
    <w:p w14:paraId="7A29C467" w14:textId="65637C85" w:rsidR="009C316A" w:rsidRDefault="009C316A" w:rsidP="009C316A">
      <w:pPr>
        <w:pStyle w:val="NormalText"/>
      </w:pPr>
      <w:r>
        <w:lastRenderedPageBreak/>
        <w:t>Two GLP trials conducted in Europe involved pre-emergent application with residues &lt;0.01 mg/kg after application at 971 – 1004 g a</w:t>
      </w:r>
      <w:r w:rsidR="006436C4">
        <w:t>c</w:t>
      </w:r>
      <w:r>
        <w:t>/ha.</w:t>
      </w:r>
    </w:p>
    <w:p w14:paraId="00873B64" w14:textId="6B4263D6" w:rsidR="009C316A" w:rsidRDefault="009C316A" w:rsidP="009C316A">
      <w:pPr>
        <w:pStyle w:val="NormalText"/>
      </w:pPr>
      <w:r>
        <w:t>In North American trials involving application at 552 – 579 g a</w:t>
      </w:r>
      <w:r w:rsidR="006436C4">
        <w:t>c</w:t>
      </w:r>
      <w:r>
        <w:t>/ha targeted at 7 days before harvest, residues were 0.020, 0.031, 0.051, 0.13, 0.18, 0.19, 0.27, 0.34, 0.38, 0.46, 0.46 and 0.77 mg/kg. The OECD MRL calculator recommends an MRL of 1.5 mg/kg (n = 12, STMR = 0.23 mg/kg) for this new dataset, which is the same as recommended previously.</w:t>
      </w:r>
    </w:p>
    <w:p w14:paraId="1B8DA28B" w14:textId="77777777" w:rsidR="00F945C3" w:rsidRDefault="00F945C3" w:rsidP="00F945C3">
      <w:pPr>
        <w:pStyle w:val="NormalText"/>
      </w:pPr>
      <w:r>
        <w:t>The recommended MRL is:</w:t>
      </w:r>
    </w:p>
    <w:p w14:paraId="23A17395" w14:textId="6A92D9E9" w:rsidR="00F945C3" w:rsidRDefault="00F945C3" w:rsidP="00A23B05">
      <w:pPr>
        <w:pStyle w:val="Bullet1"/>
      </w:pPr>
      <w:r>
        <w:t>SO 0495</w:t>
      </w:r>
      <w:r w:rsidR="00A23B05">
        <w:tab/>
      </w:r>
      <w:r w:rsidR="00A23B05">
        <w:tab/>
      </w:r>
      <w:r>
        <w:t>Rape seed [canola]</w:t>
      </w:r>
      <w:r>
        <w:tab/>
      </w:r>
      <w:r>
        <w:tab/>
      </w:r>
      <w:r w:rsidR="00943557">
        <w:tab/>
      </w:r>
      <w:r w:rsidR="00943557">
        <w:tab/>
      </w:r>
      <w:r w:rsidR="00943557">
        <w:tab/>
      </w:r>
      <w:r w:rsidR="00943557">
        <w:tab/>
      </w:r>
      <w:r w:rsidR="00D46E11">
        <w:tab/>
      </w:r>
      <w:r>
        <w:t>2 mg/kg</w:t>
      </w:r>
    </w:p>
    <w:p w14:paraId="254982AF" w14:textId="54A291D0" w:rsidR="00F945C3" w:rsidRDefault="00F945C3" w:rsidP="00F945C3">
      <w:pPr>
        <w:pStyle w:val="NormalText"/>
        <w:rPr>
          <w:lang w:val="en-US"/>
        </w:rPr>
      </w:pPr>
      <w:r>
        <w:t>The supported harvest withholding period for canola is 7 days.</w:t>
      </w:r>
    </w:p>
    <w:p w14:paraId="23D3EF8A" w14:textId="283A4581" w:rsidR="00F945C3" w:rsidRDefault="00F945C3" w:rsidP="0026666F">
      <w:pPr>
        <w:pStyle w:val="Heading4"/>
      </w:pPr>
      <w:r>
        <w:t>Poppies</w:t>
      </w:r>
    </w:p>
    <w:p w14:paraId="14994DDD" w14:textId="359E96A6" w:rsidR="00F945C3" w:rsidRDefault="00F945C3" w:rsidP="00F945C3">
      <w:pPr>
        <w:pStyle w:val="NormalText"/>
      </w:pPr>
      <w:r>
        <w:t xml:space="preserve">The </w:t>
      </w:r>
      <w:r w:rsidR="00D0691A">
        <w:t xml:space="preserve">maximum Australian label rate for use on </w:t>
      </w:r>
      <w:r>
        <w:t xml:space="preserve">poppies is for a pre-harvest desiccation application at 0.8 kg </w:t>
      </w:r>
      <w:r w:rsidR="00572A0C">
        <w:t>ac/ha</w:t>
      </w:r>
      <w:r>
        <w:t xml:space="preserve"> in conjunction with a 2 day withholding period.</w:t>
      </w:r>
    </w:p>
    <w:p w14:paraId="584CCAC2" w14:textId="37DB1A3D" w:rsidR="00F945C3" w:rsidRPr="00B36EE0" w:rsidRDefault="00F945C3" w:rsidP="00A23B05">
      <w:pPr>
        <w:pStyle w:val="NormalText"/>
      </w:pPr>
      <w:r w:rsidRPr="00E75B17">
        <w:t>Two overseas trials were submitted but were not considered to be reliable</w:t>
      </w:r>
      <w:r w:rsidR="009274A3" w:rsidRPr="00E75B17">
        <w:t xml:space="preserve"> (Kennedy, 1985</w:t>
      </w:r>
      <w:r w:rsidR="00702C81">
        <w:t>(b)</w:t>
      </w:r>
      <w:r w:rsidR="009274A3" w:rsidRPr="00E75B17">
        <w:t>; Massey, 1987</w:t>
      </w:r>
      <w:r w:rsidR="00423536">
        <w:t>(f)</w:t>
      </w:r>
      <w:r w:rsidR="009274A3" w:rsidRPr="00E75B17">
        <w:t>)</w:t>
      </w:r>
      <w:r w:rsidRPr="00E75B17">
        <w:t xml:space="preserve">. </w:t>
      </w:r>
      <w:r w:rsidR="00537C0B" w:rsidRPr="00E75B17">
        <w:t xml:space="preserve">Two </w:t>
      </w:r>
      <w:r w:rsidRPr="00E75B17">
        <w:t xml:space="preserve">Australian </w:t>
      </w:r>
      <w:r w:rsidR="00537C0B" w:rsidRPr="00E75B17">
        <w:t xml:space="preserve">studies </w:t>
      </w:r>
      <w:r w:rsidR="00E75B17" w:rsidRPr="00E75B17">
        <w:t xml:space="preserve">detailing 6 trials </w:t>
      </w:r>
      <w:r w:rsidR="00537C0B" w:rsidRPr="00E75B17">
        <w:t>were considered (Haller and Winner</w:t>
      </w:r>
      <w:r w:rsidR="00E75B17" w:rsidRPr="00E75B17">
        <w:t>, 2013; Udy, 2011</w:t>
      </w:r>
      <w:r w:rsidR="00E75B17">
        <w:t>)</w:t>
      </w:r>
      <w:r w:rsidRPr="00E75B17">
        <w:t xml:space="preserve">. No diquat residues ≥ LOQ (0.01 mg/kg) were found in any poppy seed sample from the </w:t>
      </w:r>
      <w:r w:rsidR="00A23B05">
        <w:t xml:space="preserve">4 </w:t>
      </w:r>
      <w:r w:rsidRPr="00E75B17">
        <w:t>Tasmanian trials at any sampling period (</w:t>
      </w:r>
      <w:r w:rsidR="00A23B05">
        <w:t>zero</w:t>
      </w:r>
      <w:r w:rsidRPr="00E75B17">
        <w:t xml:space="preserve">, 2, 7 or 10 days after application at 0.8 kg </w:t>
      </w:r>
      <w:r w:rsidR="00572A0C" w:rsidRPr="00E75B17">
        <w:t>ac/ha</w:t>
      </w:r>
      <w:r w:rsidRPr="00E75B17">
        <w:t>). No diquat residues ≥ LOQ (0.02 mg/kg) were found in any poppy seed sample from either Tasmanian trial at any sampling period (</w:t>
      </w:r>
      <w:r w:rsidR="00F722F0">
        <w:t>zero</w:t>
      </w:r>
      <w:r w:rsidRPr="00E75B17">
        <w:t xml:space="preserve">, 5, 10 and 15 days after application at 0.8 kg </w:t>
      </w:r>
      <w:r w:rsidR="00572A0C" w:rsidRPr="00B36EE0">
        <w:t>ac/ha</w:t>
      </w:r>
      <w:r w:rsidRPr="00B36EE0">
        <w:t>).</w:t>
      </w:r>
    </w:p>
    <w:p w14:paraId="724EB6FA" w14:textId="6B8A5F0E" w:rsidR="00F945C3" w:rsidRPr="00B36EE0" w:rsidRDefault="00F945C3" w:rsidP="00F945C3">
      <w:pPr>
        <w:pStyle w:val="NormalText"/>
      </w:pPr>
      <w:r w:rsidRPr="00B36EE0">
        <w:t>The current MRL of *0.01 mg/kg for diquat on poppy seed remains appropriate.</w:t>
      </w:r>
    </w:p>
    <w:p w14:paraId="50CE8968" w14:textId="77777777" w:rsidR="00F945C3" w:rsidRPr="00B36EE0" w:rsidRDefault="00F945C3" w:rsidP="00F945C3">
      <w:pPr>
        <w:pStyle w:val="NormalText"/>
      </w:pPr>
      <w:r w:rsidRPr="00B36EE0">
        <w:t>The available diquat residues data supports continued use in poppies. The supported MRL is:</w:t>
      </w:r>
    </w:p>
    <w:p w14:paraId="1E7A4CE6" w14:textId="561CEE3B" w:rsidR="00F945C3" w:rsidRPr="00B36EE0" w:rsidRDefault="00F945C3" w:rsidP="00F722F0">
      <w:pPr>
        <w:pStyle w:val="Bullet1"/>
      </w:pPr>
      <w:r w:rsidRPr="00B36EE0">
        <w:t>SO 0698</w:t>
      </w:r>
      <w:r w:rsidR="00F722F0">
        <w:tab/>
      </w:r>
      <w:r w:rsidR="00F722F0">
        <w:tab/>
      </w:r>
      <w:r w:rsidRPr="00B36EE0">
        <w:t>Poppy seed</w:t>
      </w:r>
      <w:r w:rsidRPr="00B36EE0">
        <w:tab/>
      </w:r>
      <w:r w:rsidR="00943557">
        <w:tab/>
      </w:r>
      <w:r w:rsidR="00943557">
        <w:tab/>
      </w:r>
      <w:r w:rsidR="00943557">
        <w:tab/>
      </w:r>
      <w:r w:rsidR="00943557">
        <w:tab/>
      </w:r>
      <w:r w:rsidR="00D46E11">
        <w:tab/>
      </w:r>
      <w:r w:rsidR="00F722F0">
        <w:tab/>
      </w:r>
      <w:r w:rsidRPr="00B36EE0">
        <w:tab/>
        <w:t>*0.01 mg/kg</w:t>
      </w:r>
    </w:p>
    <w:p w14:paraId="54E4DF88" w14:textId="77777777" w:rsidR="00F945C3" w:rsidRPr="00B36EE0" w:rsidRDefault="00F945C3" w:rsidP="00F945C3">
      <w:pPr>
        <w:pStyle w:val="NormalText"/>
      </w:pPr>
      <w:r w:rsidRPr="00B36EE0">
        <w:t>The 2 day harvest withholding period for poppies is supported.</w:t>
      </w:r>
    </w:p>
    <w:p w14:paraId="674EFC66" w14:textId="77777777" w:rsidR="00F945C3" w:rsidRPr="00FD56EC" w:rsidRDefault="00F945C3" w:rsidP="0026666F">
      <w:pPr>
        <w:pStyle w:val="Heading3"/>
      </w:pPr>
      <w:bookmarkStart w:id="222" w:name="_Toc158208451"/>
      <w:bookmarkStart w:id="223" w:name="_Toc233038972"/>
      <w:r w:rsidRPr="00B36EE0">
        <w:t>Sugarcane</w:t>
      </w:r>
      <w:bookmarkEnd w:id="222"/>
      <w:bookmarkEnd w:id="223"/>
    </w:p>
    <w:p w14:paraId="5C35D10F" w14:textId="6BF248CA" w:rsidR="00F945C3" w:rsidRDefault="00F945C3" w:rsidP="00F945C3">
      <w:pPr>
        <w:pStyle w:val="NormalText"/>
      </w:pPr>
      <w:r>
        <w:t>The available diquat residue trial on sugarcane is summarised below</w:t>
      </w:r>
      <w:r w:rsidR="00B36EE0">
        <w:t xml:space="preserve"> (</w:t>
      </w:r>
      <w:r w:rsidR="00B36EE0" w:rsidRPr="00B36EE0">
        <w:t>McKenna, 1966)</w:t>
      </w:r>
      <w:r>
        <w:t>.</w:t>
      </w:r>
    </w:p>
    <w:p w14:paraId="17A21DE5" w14:textId="2DEE23DC" w:rsidR="00F945C3" w:rsidRDefault="00F945C3" w:rsidP="00F945C3">
      <w:pPr>
        <w:pStyle w:val="NormalText"/>
      </w:pPr>
      <w:r>
        <w:t xml:space="preserve">Diquat may be used over the top of plant or ratoon cane at up to 0.23 kg </w:t>
      </w:r>
      <w:r w:rsidR="00572A0C">
        <w:t>ac/ha</w:t>
      </w:r>
      <w:r>
        <w:t xml:space="preserve"> with no withholding period specified. There is a pre-harvest desiccation use at up to 0.6 kg </w:t>
      </w:r>
      <w:r w:rsidR="00572A0C">
        <w:t>ac/ha</w:t>
      </w:r>
      <w:r>
        <w:t xml:space="preserve"> in conjunction with a 4 day withholding period. There is also a use as an aid in establishing sugarcane or in a fallow prior to sugarcane at up to 0.368</w:t>
      </w:r>
      <w:r w:rsidR="00F722F0">
        <w:t> </w:t>
      </w:r>
      <w:r>
        <w:t>kg</w:t>
      </w:r>
      <w:r w:rsidR="00F722F0">
        <w:t> </w:t>
      </w:r>
      <w:r w:rsidR="00572A0C">
        <w:t>ac/ha</w:t>
      </w:r>
      <w:r>
        <w:t>.</w:t>
      </w:r>
      <w:r w:rsidRPr="0003450F">
        <w:t xml:space="preserve"> </w:t>
      </w:r>
      <w:r>
        <w:t>The current Australian MRL is Sugarcane at *0.05 mg/kg.</w:t>
      </w:r>
    </w:p>
    <w:p w14:paraId="41618DD1" w14:textId="5590DFBD" w:rsidR="00F945C3" w:rsidRDefault="00F945C3" w:rsidP="00F945C3">
      <w:pPr>
        <w:pStyle w:val="NormalText"/>
      </w:pPr>
      <w:r>
        <w:t xml:space="preserve">A single summary of a trial conducted on sugarcane was submitted. No detectable residues (LOQ 0.01 mg/kg) occurred in juice from sugarcane sampled 6 months after application of 1.12–2.24 kg </w:t>
      </w:r>
      <w:r w:rsidR="00572A0C">
        <w:t>ac/ha</w:t>
      </w:r>
      <w:r>
        <w:t xml:space="preserve"> diquat</w:t>
      </w:r>
      <w:r w:rsidR="00F722F0">
        <w:t>,</w:t>
      </w:r>
      <w:r>
        <w:t xml:space="preserve"> which was applied to act as a desiccant preventing flowering. </w:t>
      </w:r>
      <w:r w:rsidRPr="00FB057D">
        <w:t xml:space="preserve">The submitted information does not reflect </w:t>
      </w:r>
      <w:r>
        <w:t>any</w:t>
      </w:r>
      <w:r w:rsidRPr="00FB057D">
        <w:t xml:space="preserve"> current Australian GAP</w:t>
      </w:r>
      <w:r>
        <w:t xml:space="preserve"> or address the raw agricultural commodity (sugarcane billets).</w:t>
      </w:r>
    </w:p>
    <w:p w14:paraId="1725DAEB" w14:textId="05E3B9C9" w:rsidR="00F945C3" w:rsidRDefault="00F945C3" w:rsidP="00F945C3">
      <w:pPr>
        <w:pStyle w:val="NormalText"/>
      </w:pPr>
      <w:r>
        <w:lastRenderedPageBreak/>
        <w:t>As residue data are not available to support the over the top use or pre-harvest desiccation of sugarcane these uses are no longer supported .</w:t>
      </w:r>
    </w:p>
    <w:p w14:paraId="224C3859" w14:textId="1F0AB09E" w:rsidR="00F945C3" w:rsidRDefault="00F945C3" w:rsidP="00F945C3">
      <w:pPr>
        <w:pStyle w:val="NormalText"/>
      </w:pPr>
      <w:r>
        <w:t xml:space="preserve">Noting the results of the pre-emergent trials on rice and maize where residues were &lt;0.05 mg/kg, the sugarcane MRL at *0.05 mg/kg can remain in place to support the use of diquat as an aid in establishing sugarcane or controlling weeds in a fallow prior to sugarcane. The supported withholding period for the supported pre-emergent use on sugarcane is </w:t>
      </w:r>
      <w:r w:rsidR="00F722F0">
        <w:t>‘</w:t>
      </w:r>
      <w:r>
        <w:t>Not required when used as directed</w:t>
      </w:r>
      <w:r w:rsidR="00F722F0">
        <w:t>’</w:t>
      </w:r>
      <w:r>
        <w:t>.</w:t>
      </w:r>
    </w:p>
    <w:p w14:paraId="4EBC3620" w14:textId="77777777" w:rsidR="00F945C3" w:rsidRPr="00F16B08" w:rsidRDefault="00F945C3" w:rsidP="0026666F">
      <w:pPr>
        <w:pStyle w:val="Heading3"/>
      </w:pPr>
      <w:bookmarkStart w:id="224" w:name="_Toc158208452"/>
      <w:bookmarkStart w:id="225" w:name="_Toc233038973"/>
      <w:r w:rsidRPr="00F16B08">
        <w:t>Hops</w:t>
      </w:r>
      <w:bookmarkEnd w:id="224"/>
      <w:bookmarkEnd w:id="225"/>
    </w:p>
    <w:p w14:paraId="2047EB48" w14:textId="78266D6B" w:rsidR="00F945C3" w:rsidRDefault="00F945C3" w:rsidP="00F945C3">
      <w:pPr>
        <w:pStyle w:val="NormalText"/>
      </w:pPr>
      <w:r>
        <w:t>The available diquat residue trials on hops are detailed are summarised below</w:t>
      </w:r>
      <w:r w:rsidR="00B36EE0" w:rsidRPr="00B36EE0">
        <w:t xml:space="preserve"> </w:t>
      </w:r>
      <w:r w:rsidR="00B36EE0">
        <w:t>(</w:t>
      </w:r>
      <w:r w:rsidR="00B36EE0" w:rsidRPr="00B36EE0">
        <w:t>Simon, 1978)</w:t>
      </w:r>
      <w:r>
        <w:t>.</w:t>
      </w:r>
      <w:r w:rsidR="00A12804">
        <w:t xml:space="preserve"> </w:t>
      </w:r>
      <w:r>
        <w:t xml:space="preserve">The maximum label use rate is 0.28 kg </w:t>
      </w:r>
      <w:r w:rsidR="00572A0C">
        <w:t>ac/ha</w:t>
      </w:r>
      <w:r>
        <w:t xml:space="preserve"> as a directed inter-row spray prior to crop emergence from winter dormancy. The current Australian MRL is Hops, dry at 0.2 mg/kg.</w:t>
      </w:r>
    </w:p>
    <w:p w14:paraId="0219F091" w14:textId="79D046EB" w:rsidR="00F945C3" w:rsidRDefault="00F945C3" w:rsidP="00F945C3">
      <w:pPr>
        <w:pStyle w:val="NormalText"/>
      </w:pPr>
      <w:r>
        <w:t>Residue data for diquat on hops were provided for permit 13260 (which includes paraquat). Residues of diquat in hops were &lt;0.05 mg/kg (n = 2) at 12-14 days after the last of 2</w:t>
      </w:r>
      <w:r w:rsidR="00F722F0">
        <w:t>–</w:t>
      </w:r>
      <w:r>
        <w:t xml:space="preserve">3 applications at 368 g </w:t>
      </w:r>
      <w:r w:rsidR="00572A0C">
        <w:t>ac/ha</w:t>
      </w:r>
      <w:r>
        <w:t xml:space="preserve"> by inter row boom spray.</w:t>
      </w:r>
    </w:p>
    <w:p w14:paraId="382EA220" w14:textId="77777777" w:rsidR="00F945C3" w:rsidRDefault="00F945C3" w:rsidP="00F945C3">
      <w:pPr>
        <w:pStyle w:val="NormalText"/>
      </w:pPr>
      <w:r w:rsidRPr="00ED7306">
        <w:t xml:space="preserve">The available diquat residues data supports continued use in </w:t>
      </w:r>
      <w:r>
        <w:t>hops</w:t>
      </w:r>
      <w:r w:rsidRPr="00ED7306">
        <w:t xml:space="preserve">. </w:t>
      </w:r>
      <w:r>
        <w:t>The recommended MRL is:</w:t>
      </w:r>
    </w:p>
    <w:p w14:paraId="700E68FC" w14:textId="7F8C1E8C" w:rsidR="00F945C3" w:rsidRDefault="00F945C3" w:rsidP="00F722F0">
      <w:pPr>
        <w:pStyle w:val="Bullet1"/>
      </w:pPr>
      <w:r>
        <w:t>DH 1100</w:t>
      </w:r>
      <w:r w:rsidR="00F722F0">
        <w:tab/>
      </w:r>
      <w:r w:rsidR="00F722F0">
        <w:tab/>
      </w:r>
      <w:r>
        <w:t>Hops, dry</w:t>
      </w:r>
      <w:r>
        <w:tab/>
      </w:r>
      <w:r>
        <w:tab/>
      </w:r>
      <w:r w:rsidR="00D46E11">
        <w:tab/>
      </w:r>
      <w:r w:rsidR="00D46E11">
        <w:tab/>
      </w:r>
      <w:r w:rsidR="00D46E11">
        <w:tab/>
      </w:r>
      <w:r w:rsidR="00D46E11">
        <w:tab/>
      </w:r>
      <w:r w:rsidR="00D46E11">
        <w:tab/>
      </w:r>
      <w:r w:rsidR="00D46E11">
        <w:tab/>
      </w:r>
      <w:r>
        <w:t>*0.05 mg/kg</w:t>
      </w:r>
    </w:p>
    <w:p w14:paraId="3B08DD7B" w14:textId="22735DB6" w:rsidR="00F945C3" w:rsidRDefault="00F945C3" w:rsidP="00F945C3">
      <w:pPr>
        <w:pStyle w:val="NormalText"/>
      </w:pPr>
      <w:r>
        <w:t xml:space="preserve">The recommended harvest withholding period is </w:t>
      </w:r>
      <w:r w:rsidR="00F722F0">
        <w:t>‘</w:t>
      </w:r>
      <w:r>
        <w:t>Not required when used as directed</w:t>
      </w:r>
      <w:r w:rsidR="00F722F0">
        <w:t>’</w:t>
      </w:r>
      <w:r>
        <w:t xml:space="preserve"> for this use as a directed inter row spray prior to crop emerging from winter dormancy.</w:t>
      </w:r>
    </w:p>
    <w:p w14:paraId="61B572EF" w14:textId="77777777" w:rsidR="004B39D4" w:rsidRPr="00626AB9" w:rsidRDefault="004B39D4" w:rsidP="0026666F">
      <w:pPr>
        <w:pStyle w:val="Heading3"/>
      </w:pPr>
      <w:bookmarkStart w:id="226" w:name="_Toc158208455"/>
      <w:bookmarkStart w:id="227" w:name="_Toc158208453"/>
      <w:bookmarkStart w:id="228" w:name="_Toc233038974"/>
      <w:r w:rsidRPr="00626AB9">
        <w:t>Processed commodities</w:t>
      </w:r>
      <w:bookmarkEnd w:id="226"/>
      <w:bookmarkEnd w:id="228"/>
    </w:p>
    <w:p w14:paraId="090737A9" w14:textId="0AF005F6" w:rsidR="004B39D4" w:rsidRDefault="004B39D4" w:rsidP="004B39D4">
      <w:pPr>
        <w:pStyle w:val="NormalText"/>
      </w:pPr>
      <w:r>
        <w:t>Studies were submitted that determined the residues of diquat in products from the processing of wheat, barley, sorghum and oilseed crops. Diquat residues in wheat, barley and sorghum grain were concentrated in the bran</w:t>
      </w:r>
      <w:r w:rsidR="009F756D" w:rsidRPr="009F756D">
        <w:t xml:space="preserve"> </w:t>
      </w:r>
      <w:r w:rsidR="009F756D">
        <w:t>(</w:t>
      </w:r>
      <w:r w:rsidR="009F756D" w:rsidRPr="009F756D">
        <w:t>Calderbank and Springett, 1971</w:t>
      </w:r>
      <w:r w:rsidR="009F756D">
        <w:t>;</w:t>
      </w:r>
      <w:r w:rsidR="009F756D" w:rsidRPr="009F756D">
        <w:t xml:space="preserve"> Fujie</w:t>
      </w:r>
      <w:r w:rsidR="009F756D">
        <w:t xml:space="preserve">, </w:t>
      </w:r>
      <w:r w:rsidR="009F756D" w:rsidRPr="009F756D">
        <w:t>1988</w:t>
      </w:r>
      <w:r w:rsidR="00E95273">
        <w:t>(c)</w:t>
      </w:r>
      <w:r w:rsidR="009F756D" w:rsidRPr="009F756D">
        <w:t>)</w:t>
      </w:r>
      <w:r>
        <w:t xml:space="preserve">. In wheat, residues were found to concentrate generally 2-fold and in sorghum were found to concentrate on average four-fold from a dry milling process. The residue levels found in wholemeal flour and bread were similar to the levels found in the grain. It is noted that use on sorghum has not been supported. For wheat, processing factors for bran were 1.3× and 2.4×. Applying these processing factors to the </w:t>
      </w:r>
      <w:r w:rsidR="009E3126">
        <w:t>HR</w:t>
      </w:r>
      <w:r w:rsidR="00170B8D">
        <w:t xml:space="preserve"> </w:t>
      </w:r>
      <w:r>
        <w:t>in wheat grain of 0.78 mg/kg from the desiccation use gives residues of 1.0 and 1.9 mg/kg, both below the supported wheat MRL of 2 mg/kg. A separate MRL for wheat bran is not required, noting also that wheat will be bulked and blended at processing.</w:t>
      </w:r>
    </w:p>
    <w:p w14:paraId="74EEF308" w14:textId="47F0B5D6" w:rsidR="004B39D4" w:rsidRDefault="004B39D4" w:rsidP="004B39D4">
      <w:pPr>
        <w:pStyle w:val="NormalText"/>
      </w:pPr>
      <w:r>
        <w:t>The levels of residues in beer were found to be 2–3% of those found in the barley whole grain from which it was prepared.</w:t>
      </w:r>
    </w:p>
    <w:p w14:paraId="0DEE734B" w14:textId="4440A658" w:rsidR="004B39D4" w:rsidRDefault="004B39D4" w:rsidP="004B39D4">
      <w:pPr>
        <w:pStyle w:val="NormalText"/>
      </w:pPr>
      <w:r>
        <w:t>In studies of oilseeds such as rapeseed</w:t>
      </w:r>
      <w:r w:rsidR="009F756D">
        <w:t xml:space="preserve"> </w:t>
      </w:r>
      <w:r w:rsidR="009F756D" w:rsidRPr="009F756D">
        <w:t>(McKenna, 1966; Anon., no date</w:t>
      </w:r>
      <w:r w:rsidR="00443CC8">
        <w:t>(c)</w:t>
      </w:r>
      <w:r w:rsidR="009F756D" w:rsidRPr="009F756D">
        <w:t>; Anon., 1972; Anon., 1980</w:t>
      </w:r>
      <w:r w:rsidR="006209C4">
        <w:t>(a)</w:t>
      </w:r>
      <w:r w:rsidR="009F756D" w:rsidRPr="009F756D">
        <w:t>; Swaine, 1981</w:t>
      </w:r>
      <w:r w:rsidR="0011740A">
        <w:t>(b)</w:t>
      </w:r>
      <w:r w:rsidR="009F756D" w:rsidRPr="009F756D">
        <w:t>; Kennedy, 1984</w:t>
      </w:r>
      <w:r w:rsidR="00702C81">
        <w:t>(c)</w:t>
      </w:r>
      <w:r w:rsidR="009F756D" w:rsidRPr="009F756D">
        <w:t>; Kennedy, 1988</w:t>
      </w:r>
      <w:r w:rsidR="00423536">
        <w:t>(b)</w:t>
      </w:r>
      <w:r w:rsidR="009F756D" w:rsidRPr="009F756D">
        <w:t>)</w:t>
      </w:r>
      <w:r>
        <w:t>, sunflower</w:t>
      </w:r>
      <w:r w:rsidR="009F756D">
        <w:t xml:space="preserve"> </w:t>
      </w:r>
      <w:r w:rsidR="001E389E">
        <w:t>(</w:t>
      </w:r>
      <w:r w:rsidR="001E389E" w:rsidRPr="00B2333C">
        <w:t>Anon</w:t>
      </w:r>
      <w:r w:rsidR="001E389E">
        <w:t xml:space="preserve">., </w:t>
      </w:r>
      <w:r w:rsidR="00317566">
        <w:t>no date</w:t>
      </w:r>
      <w:r w:rsidR="00443CC8">
        <w:t>(c)</w:t>
      </w:r>
      <w:r w:rsidR="001E389E">
        <w:t xml:space="preserve">; </w:t>
      </w:r>
      <w:r w:rsidR="001E389E" w:rsidRPr="00B2333C">
        <w:t>Calderbank and Yuan, 1963</w:t>
      </w:r>
      <w:r w:rsidR="001E389E">
        <w:t>;</w:t>
      </w:r>
      <w:r w:rsidR="001E389E" w:rsidRPr="00B2333C">
        <w:t xml:space="preserve"> Calderbank and McKenna</w:t>
      </w:r>
      <w:r w:rsidR="001E389E">
        <w:t xml:space="preserve">, </w:t>
      </w:r>
      <w:r w:rsidR="001E389E" w:rsidRPr="00B2333C">
        <w:t>1964</w:t>
      </w:r>
      <w:r w:rsidR="001E389E">
        <w:t>;</w:t>
      </w:r>
      <w:r w:rsidR="001E389E" w:rsidRPr="00B2333C">
        <w:t xml:space="preserve"> McKenna, 1966</w:t>
      </w:r>
      <w:r w:rsidR="001E389E">
        <w:t>;</w:t>
      </w:r>
      <w:r w:rsidR="001E389E" w:rsidRPr="00B2333C">
        <w:t xml:space="preserve"> Anon</w:t>
      </w:r>
      <w:r w:rsidR="001E389E">
        <w:t>.,</w:t>
      </w:r>
      <w:r w:rsidR="001E389E" w:rsidRPr="00B2333C">
        <w:t xml:space="preserve"> 1970</w:t>
      </w:r>
      <w:r w:rsidR="005F7D54">
        <w:t>(c)</w:t>
      </w:r>
      <w:r w:rsidR="001E389E">
        <w:t>;</w:t>
      </w:r>
      <w:r w:rsidR="001E389E" w:rsidRPr="00B2333C">
        <w:t xml:space="preserve"> Anon</w:t>
      </w:r>
      <w:r w:rsidR="001E389E">
        <w:t>.,</w:t>
      </w:r>
      <w:r w:rsidR="001E389E" w:rsidRPr="00B2333C">
        <w:t xml:space="preserve"> 1972</w:t>
      </w:r>
      <w:r w:rsidR="001E389E">
        <w:t xml:space="preserve">; </w:t>
      </w:r>
      <w:r w:rsidR="001E389E" w:rsidRPr="00B2333C">
        <w:t>Anderson</w:t>
      </w:r>
      <w:r w:rsidR="001E389E">
        <w:t xml:space="preserve"> et al, </w:t>
      </w:r>
      <w:r w:rsidR="001E389E" w:rsidRPr="00B2333C">
        <w:t>1995</w:t>
      </w:r>
      <w:r w:rsidR="0011740A">
        <w:t>(c)</w:t>
      </w:r>
      <w:r w:rsidR="001E389E">
        <w:t>;</w:t>
      </w:r>
      <w:r w:rsidR="001E389E" w:rsidRPr="00B2333C">
        <w:t xml:space="preserve"> Anderson and Renard</w:t>
      </w:r>
      <w:r w:rsidR="001E389E">
        <w:t xml:space="preserve"> </w:t>
      </w:r>
      <w:r w:rsidR="001E389E" w:rsidRPr="00B2333C">
        <w:t>1995</w:t>
      </w:r>
      <w:r w:rsidR="0011740A">
        <w:t>(b</w:t>
      </w:r>
      <w:r w:rsidR="001E389E" w:rsidRPr="00B2333C">
        <w:t>)</w:t>
      </w:r>
      <w:r>
        <w:t xml:space="preserve"> and linseed</w:t>
      </w:r>
      <w:r w:rsidRPr="003C33C4">
        <w:t xml:space="preserve"> </w:t>
      </w:r>
      <w:r w:rsidR="001E389E">
        <w:t>(</w:t>
      </w:r>
      <w:r w:rsidR="001E389E" w:rsidRPr="004C25AF">
        <w:rPr>
          <w:rStyle w:val="NormalTextChar"/>
        </w:rPr>
        <w:t>Calderbank and Yuan</w:t>
      </w:r>
      <w:r w:rsidR="001E389E">
        <w:rPr>
          <w:rStyle w:val="NormalTextChar"/>
        </w:rPr>
        <w:t xml:space="preserve">, </w:t>
      </w:r>
      <w:r w:rsidR="001E389E" w:rsidRPr="004C25AF">
        <w:rPr>
          <w:rStyle w:val="NormalTextChar"/>
        </w:rPr>
        <w:t>1963</w:t>
      </w:r>
      <w:r w:rsidR="001E389E">
        <w:rPr>
          <w:rStyle w:val="NormalTextChar"/>
        </w:rPr>
        <w:t xml:space="preserve">; </w:t>
      </w:r>
      <w:r w:rsidR="001E389E" w:rsidRPr="004C25AF">
        <w:rPr>
          <w:rStyle w:val="NormalTextChar"/>
        </w:rPr>
        <w:t>Calderban</w:t>
      </w:r>
      <w:r w:rsidR="001E389E">
        <w:rPr>
          <w:rStyle w:val="NormalTextChar"/>
        </w:rPr>
        <w:t>k</w:t>
      </w:r>
      <w:r w:rsidR="001E389E" w:rsidRPr="004C25AF">
        <w:rPr>
          <w:rStyle w:val="NormalTextChar"/>
        </w:rPr>
        <w:t xml:space="preserve"> and McKenna, 1964</w:t>
      </w:r>
      <w:r w:rsidR="001E389E">
        <w:rPr>
          <w:rStyle w:val="NormalTextChar"/>
        </w:rPr>
        <w:t>;</w:t>
      </w:r>
      <w:r w:rsidR="001E389E" w:rsidRPr="004C25AF">
        <w:rPr>
          <w:rStyle w:val="NormalTextChar"/>
        </w:rPr>
        <w:t xml:space="preserve"> McKenna, 1966</w:t>
      </w:r>
      <w:r w:rsidR="001E389E">
        <w:rPr>
          <w:rStyle w:val="NormalTextChar"/>
        </w:rPr>
        <w:t>;</w:t>
      </w:r>
      <w:r w:rsidR="001E389E" w:rsidRPr="004C25AF">
        <w:rPr>
          <w:rStyle w:val="NormalTextChar"/>
        </w:rPr>
        <w:t xml:space="preserve"> Anon</w:t>
      </w:r>
      <w:r w:rsidR="001E389E">
        <w:rPr>
          <w:rStyle w:val="NormalTextChar"/>
        </w:rPr>
        <w:t xml:space="preserve">., </w:t>
      </w:r>
      <w:r w:rsidR="001E389E" w:rsidRPr="004C25AF">
        <w:rPr>
          <w:rStyle w:val="NormalTextChar"/>
        </w:rPr>
        <w:t>1972</w:t>
      </w:r>
      <w:r w:rsidR="001E389E">
        <w:rPr>
          <w:rStyle w:val="NormalTextChar"/>
        </w:rPr>
        <w:t>;</w:t>
      </w:r>
      <w:r w:rsidR="001E389E" w:rsidRPr="004C25AF">
        <w:rPr>
          <w:rStyle w:val="NormalTextChar"/>
        </w:rPr>
        <w:t xml:space="preserve"> Earl and Anderson, 1989</w:t>
      </w:r>
      <w:r w:rsidR="005A44C3">
        <w:rPr>
          <w:rStyle w:val="NormalTextChar"/>
        </w:rPr>
        <w:t>(b)</w:t>
      </w:r>
      <w:r w:rsidR="001E389E">
        <w:rPr>
          <w:rStyle w:val="NormalTextChar"/>
        </w:rPr>
        <w:t xml:space="preserve">; </w:t>
      </w:r>
      <w:r w:rsidR="001E389E" w:rsidRPr="004C25AF">
        <w:rPr>
          <w:rStyle w:val="NormalTextChar"/>
        </w:rPr>
        <w:t>Anderson and Elsworth</w:t>
      </w:r>
      <w:r w:rsidR="001E389E">
        <w:rPr>
          <w:rStyle w:val="NormalTextChar"/>
        </w:rPr>
        <w:t xml:space="preserve">, </w:t>
      </w:r>
      <w:r w:rsidR="001E389E" w:rsidRPr="004C25AF">
        <w:rPr>
          <w:rStyle w:val="NormalTextChar"/>
        </w:rPr>
        <w:t>1994</w:t>
      </w:r>
      <w:r w:rsidR="001E389E">
        <w:rPr>
          <w:rStyle w:val="NormalTextChar"/>
        </w:rPr>
        <w:t>;</w:t>
      </w:r>
      <w:r w:rsidR="001E389E" w:rsidRPr="004C25AF">
        <w:rPr>
          <w:rStyle w:val="NormalTextChar"/>
        </w:rPr>
        <w:t xml:space="preserve"> Anderson and Moons</w:t>
      </w:r>
      <w:r w:rsidR="001E389E">
        <w:rPr>
          <w:rStyle w:val="NormalTextChar"/>
        </w:rPr>
        <w:t xml:space="preserve">, </w:t>
      </w:r>
      <w:r w:rsidR="001E389E" w:rsidRPr="004C25AF">
        <w:rPr>
          <w:rStyle w:val="NormalTextChar"/>
        </w:rPr>
        <w:t>1995</w:t>
      </w:r>
      <w:r w:rsidR="001E389E">
        <w:rPr>
          <w:rStyle w:val="NormalTextChar"/>
        </w:rPr>
        <w:t>;</w:t>
      </w:r>
      <w:r w:rsidR="001E389E" w:rsidRPr="004C25AF">
        <w:rPr>
          <w:rStyle w:val="NormalTextChar"/>
        </w:rPr>
        <w:t xml:space="preserve"> Anderson and Renard</w:t>
      </w:r>
      <w:r w:rsidR="001E389E">
        <w:rPr>
          <w:rStyle w:val="NormalTextChar"/>
        </w:rPr>
        <w:t>,</w:t>
      </w:r>
      <w:r w:rsidR="001E389E" w:rsidRPr="004C25AF">
        <w:rPr>
          <w:rStyle w:val="NormalTextChar"/>
        </w:rPr>
        <w:t xml:space="preserve"> 1995</w:t>
      </w:r>
      <w:r w:rsidR="00317566">
        <w:rPr>
          <w:rStyle w:val="NormalTextChar"/>
        </w:rPr>
        <w:t>(a)</w:t>
      </w:r>
      <w:r w:rsidR="001E389E" w:rsidRPr="004C25AF">
        <w:rPr>
          <w:rStyle w:val="NormalTextChar"/>
        </w:rPr>
        <w:t>)</w:t>
      </w:r>
      <w:r w:rsidR="001E389E">
        <w:rPr>
          <w:rStyle w:val="NormalTextChar"/>
        </w:rPr>
        <w:t xml:space="preserve"> </w:t>
      </w:r>
      <w:r>
        <w:t xml:space="preserve">the diquat residue is concentrated in the cake and there are no detectable </w:t>
      </w:r>
      <w:r>
        <w:lastRenderedPageBreak/>
        <w:t>residues in the oil. In an additional European rape seed processing study conducted at 2 sites and evaluated by the JMPR</w:t>
      </w:r>
      <w:r w:rsidR="0069437F">
        <w:t xml:space="preserve"> (2013)</w:t>
      </w:r>
      <w:r>
        <w:t xml:space="preserve"> residues in refined oil were &lt;0.01 mg/kg and processing factors for solvent extracted meal ranged from 0.17–0.76×.</w:t>
      </w:r>
    </w:p>
    <w:p w14:paraId="0FC9C19E" w14:textId="07E5E523" w:rsidR="004B39D4" w:rsidRDefault="004B39D4" w:rsidP="004B39D4">
      <w:pPr>
        <w:pStyle w:val="NormalText"/>
      </w:pPr>
      <w:r>
        <w:t xml:space="preserve">All but one </w:t>
      </w:r>
      <w:r w:rsidR="00766543">
        <w:t xml:space="preserve">of the </w:t>
      </w:r>
      <w:r>
        <w:t>submitted soybean studies, where beans, meal</w:t>
      </w:r>
      <w:r w:rsidR="00766543">
        <w:t>,</w:t>
      </w:r>
      <w:r>
        <w:t xml:space="preserve"> and oil were measured, had no detectable residues of diquat in any of these fractions. In one soybean study residues were 0.07 mg/kg in the cake and not detectable in the oil. In this study the residues in the seed were not measured. The JMPR (199</w:t>
      </w:r>
      <w:r w:rsidR="00FA21D9">
        <w:t>4</w:t>
      </w:r>
      <w:r>
        <w:t>) reviewed a soybean processing study and found there was a 2.6-fold concentration of diquat residues in the hulls of treated plants. There was no concentration in any other fraction and no residues were detectable in the crude or refined oil.</w:t>
      </w:r>
    </w:p>
    <w:p w14:paraId="4A1574CF" w14:textId="660ADE75" w:rsidR="004B39D4" w:rsidRDefault="004B39D4" w:rsidP="004B39D4">
      <w:pPr>
        <w:pStyle w:val="NormalText"/>
      </w:pPr>
      <w:r>
        <w:t>The MRL of 1 mg/kg for diquat on OC 0172 Vegetable oils, crude can be replaced with an MRL of *0.01</w:t>
      </w:r>
      <w:r w:rsidR="00C20C68">
        <w:t> </w:t>
      </w:r>
      <w:r>
        <w:t>mg/kg for OR 0172 Vegetable oil, edible as the processing studies indicate that residues are not expected to occur in oil.</w:t>
      </w:r>
    </w:p>
    <w:p w14:paraId="39CB1F35" w14:textId="6A401330" w:rsidR="0016566A" w:rsidRDefault="0016566A" w:rsidP="004B39D4">
      <w:pPr>
        <w:pStyle w:val="NormalText"/>
      </w:pPr>
      <w:r>
        <w:t>The recommended MRL is:</w:t>
      </w:r>
    </w:p>
    <w:p w14:paraId="233A66FD" w14:textId="4471E030" w:rsidR="0016566A" w:rsidRDefault="0016566A" w:rsidP="00C20C68">
      <w:pPr>
        <w:pStyle w:val="Bullet1"/>
      </w:pPr>
      <w:r>
        <w:t>OR 0172</w:t>
      </w:r>
      <w:r w:rsidR="00C20C68">
        <w:tab/>
      </w:r>
      <w:r w:rsidR="00C20C68">
        <w:tab/>
      </w:r>
      <w:r>
        <w:t>Vegetable oil, edible</w:t>
      </w:r>
      <w:r>
        <w:tab/>
      </w:r>
      <w:r>
        <w:tab/>
      </w:r>
      <w:r>
        <w:tab/>
      </w:r>
      <w:r>
        <w:tab/>
      </w:r>
      <w:r>
        <w:tab/>
      </w:r>
      <w:r>
        <w:tab/>
        <w:t>*0.01 mg/kg</w:t>
      </w:r>
    </w:p>
    <w:p w14:paraId="5E259079" w14:textId="77777777" w:rsidR="00F945C3" w:rsidRPr="009510BC" w:rsidRDefault="00F945C3" w:rsidP="0026666F">
      <w:pPr>
        <w:pStyle w:val="Heading3"/>
      </w:pPr>
      <w:bookmarkStart w:id="229" w:name="_Toc233038975"/>
      <w:r w:rsidRPr="009510BC">
        <w:t>Use in aquatic areas</w:t>
      </w:r>
      <w:bookmarkEnd w:id="227"/>
      <w:bookmarkEnd w:id="229"/>
    </w:p>
    <w:p w14:paraId="62245529" w14:textId="77777777" w:rsidR="00F945C3" w:rsidRPr="00DE50FB" w:rsidRDefault="00F945C3" w:rsidP="00F945C3">
      <w:pPr>
        <w:pStyle w:val="NormalText"/>
      </w:pPr>
      <w:r w:rsidRPr="00DE50FB">
        <w:t>Diquat may be used to control weeds in aquatic area</w:t>
      </w:r>
      <w:r>
        <w:t>s</w:t>
      </w:r>
      <w:r w:rsidRPr="00DE50FB">
        <w:t xml:space="preserve"> with the following restraint:</w:t>
      </w:r>
    </w:p>
    <w:p w14:paraId="26E3F29E" w14:textId="26963CE5" w:rsidR="00F945C3" w:rsidRPr="004D7DAA" w:rsidRDefault="00F945C3" w:rsidP="0087735C">
      <w:pPr>
        <w:pStyle w:val="Quotes"/>
      </w:pPr>
      <w:r w:rsidRPr="00DE50FB">
        <w:t xml:space="preserve">Do not use treated water for human </w:t>
      </w:r>
      <w:r w:rsidRPr="0087735C">
        <w:t>consumption</w:t>
      </w:r>
      <w:r w:rsidRPr="00DE50FB">
        <w:t>, livestock watering or irrigation purposes for 10</w:t>
      </w:r>
      <w:r w:rsidR="00C20C68">
        <w:t> </w:t>
      </w:r>
      <w:r w:rsidRPr="00DE50FB">
        <w:t xml:space="preserve">days after </w:t>
      </w:r>
      <w:r w:rsidRPr="004D7DAA">
        <w:t>application</w:t>
      </w:r>
      <w:r w:rsidR="00C20C68">
        <w:t>.</w:t>
      </w:r>
    </w:p>
    <w:p w14:paraId="41813FEE" w14:textId="1F0A713C" w:rsidR="00F945C3" w:rsidRDefault="00F945C3" w:rsidP="00F945C3">
      <w:pPr>
        <w:pStyle w:val="NormalText"/>
      </w:pPr>
      <w:r w:rsidRPr="004D7DAA">
        <w:t>A WHO evaluation concluded that when diquat is added to surface waters to control aquatic weeds, residues in the water rapidly decline, owing mainly to the absorption of diquat into the aquatic plants, where it is firmly bound until the decaying weeds disintegrate into the bottom mud. The diquat is then irreversibly bound to the soil particles, leaving the water free of diquat residues. Half-lives of diquat in natural waters are generally less than 48</w:t>
      </w:r>
      <w:r w:rsidR="00C20C68">
        <w:t> </w:t>
      </w:r>
      <w:r w:rsidRPr="004D7DAA">
        <w:t>h (</w:t>
      </w:r>
      <w:r w:rsidR="004D7DAA" w:rsidRPr="004D7DAA">
        <w:t>JMPR</w:t>
      </w:r>
      <w:r w:rsidRPr="004D7DAA">
        <w:t>, 199</w:t>
      </w:r>
      <w:r w:rsidR="004D7DAA" w:rsidRPr="004D7DAA">
        <w:t>4</w:t>
      </w:r>
      <w:r w:rsidRPr="004D7DAA">
        <w:t>).</w:t>
      </w:r>
    </w:p>
    <w:p w14:paraId="167E6D5F" w14:textId="77777777" w:rsidR="00F945C3" w:rsidRDefault="00F945C3" w:rsidP="00F945C3">
      <w:pPr>
        <w:pStyle w:val="NormalText"/>
      </w:pPr>
      <w:r>
        <w:t xml:space="preserve">Use of diquat in aquatic areas with the 10 day restraint on using </w:t>
      </w:r>
      <w:r w:rsidRPr="004E2FC9">
        <w:t>water for human consumption, livestock watering or irrigation purposes</w:t>
      </w:r>
      <w:r>
        <w:t xml:space="preserve"> continues to be supported from a residues and trade perspective.</w:t>
      </w:r>
    </w:p>
    <w:p w14:paraId="52F5C887" w14:textId="77777777" w:rsidR="00F945C3" w:rsidRDefault="00F945C3" w:rsidP="006F7C2C">
      <w:pPr>
        <w:pStyle w:val="Heading2"/>
      </w:pPr>
      <w:bookmarkStart w:id="230" w:name="_Toc158208454"/>
      <w:bookmarkStart w:id="231" w:name="_Toc233038976"/>
      <w:r>
        <w:t>Residues in animal feeds</w:t>
      </w:r>
      <w:bookmarkEnd w:id="230"/>
      <w:bookmarkEnd w:id="231"/>
    </w:p>
    <w:p w14:paraId="75F4D3B7" w14:textId="4C6B1747" w:rsidR="00C20C68" w:rsidRDefault="00F945C3" w:rsidP="00F945C3">
      <w:pPr>
        <w:pStyle w:val="NormalText"/>
      </w:pPr>
      <w:r>
        <w:t xml:space="preserve">The only entries for diquat in Table 4 of the </w:t>
      </w:r>
      <w:r w:rsidR="00D46E11">
        <w:t xml:space="preserve">current </w:t>
      </w:r>
      <w:r>
        <w:t xml:space="preserve">MRL Standard </w:t>
      </w:r>
      <w:r w:rsidR="00D46E11">
        <w:t>are</w:t>
      </w:r>
      <w:r>
        <w:t xml:space="preserve"> </w:t>
      </w:r>
      <w:r w:rsidR="00C20C68">
        <w:t>‘</w:t>
      </w:r>
      <w:r>
        <w:t>Legume Animal Feeds</w:t>
      </w:r>
      <w:r w:rsidR="00C20C68">
        <w:t>’</w:t>
      </w:r>
      <w:r>
        <w:t xml:space="preserve"> at 100</w:t>
      </w:r>
      <w:r w:rsidR="00C20C68">
        <w:t> </w:t>
      </w:r>
      <w:r>
        <w:t>mg/kg and ‘</w:t>
      </w:r>
      <w:r w:rsidRPr="00375D5D">
        <w:t>Oilseed forage and fodder</w:t>
      </w:r>
      <w:r>
        <w:t>’ at 30 mg/kg. The Australian use pattern specifies rates of 0.28–0.37</w:t>
      </w:r>
      <w:r w:rsidR="00C20C68">
        <w:t> </w:t>
      </w:r>
      <w:r>
        <w:t>kg</w:t>
      </w:r>
      <w:r w:rsidR="00C20C68">
        <w:t> </w:t>
      </w:r>
      <w:r w:rsidR="00572A0C">
        <w:t>ac/ha</w:t>
      </w:r>
      <w:r>
        <w:t xml:space="preserve"> for grass, clover, medic and lucerne pasture and up to 0.6 kg </w:t>
      </w:r>
      <w:r w:rsidR="00572A0C">
        <w:t>ac/ha</w:t>
      </w:r>
      <w:r>
        <w:t xml:space="preserve"> for clover and lucerne seed crops and legume crops that may be grazed or cut for feed. There is no grazing restraint for cereal crop forage or </w:t>
      </w:r>
      <w:r w:rsidR="00C20C68">
        <w:t>fodder,</w:t>
      </w:r>
      <w:r>
        <w:t xml:space="preserve"> and it considered that these materials can be grazed after applications up to 0.6 kg </w:t>
      </w:r>
      <w:r w:rsidR="00572A0C">
        <w:t>ac/ha</w:t>
      </w:r>
      <w:r>
        <w:t>.</w:t>
      </w:r>
    </w:p>
    <w:p w14:paraId="3A1AC473" w14:textId="4368EC1D" w:rsidR="00F945C3" w:rsidRDefault="00F945C3" w:rsidP="00F945C3">
      <w:pPr>
        <w:pStyle w:val="NormalText"/>
      </w:pPr>
      <w:r>
        <w:t>Studies were submitted that included residues trials with applications to pasture, including grass and mixed pasture, and legume based pasture</w:t>
      </w:r>
      <w:r w:rsidR="002C5C14">
        <w:t>. Trials were also conducted on cereals and legume crops where in almost all cases only the dried plant material at harvest after desiccation was sampled.</w:t>
      </w:r>
      <w:r w:rsidR="004D7DAA">
        <w:t xml:space="preserve"> </w:t>
      </w:r>
      <w:r w:rsidR="00263DCB">
        <w:t xml:space="preserve">(Anon., </w:t>
      </w:r>
      <w:r w:rsidR="00317566">
        <w:t>no date</w:t>
      </w:r>
      <w:r w:rsidR="00263DCB">
        <w:t>(</w:t>
      </w:r>
      <w:r w:rsidR="00443CC8">
        <w:t>b,d,e</w:t>
      </w:r>
      <w:r w:rsidR="00263DCB">
        <w:t xml:space="preserve">); </w:t>
      </w:r>
      <w:r w:rsidR="004D7DAA" w:rsidRPr="00263DCB">
        <w:t xml:space="preserve">Calderbank </w:t>
      </w:r>
      <w:r w:rsidR="004D7DAA" w:rsidRPr="00263DCB">
        <w:lastRenderedPageBreak/>
        <w:t>and Yuan</w:t>
      </w:r>
      <w:r w:rsidR="00263DCB" w:rsidRPr="00263DCB">
        <w:t>,</w:t>
      </w:r>
      <w:r w:rsidR="004D7DAA" w:rsidRPr="00263DCB">
        <w:t xml:space="preserve"> 1963</w:t>
      </w:r>
      <w:r w:rsidR="00263DCB" w:rsidRPr="00263DCB">
        <w:t>;</w:t>
      </w:r>
      <w:r w:rsidR="004D7DAA" w:rsidRPr="00263DCB">
        <w:t xml:space="preserve"> Calderbank and McKenna</w:t>
      </w:r>
      <w:r w:rsidR="00263DCB" w:rsidRPr="00263DCB">
        <w:t>,</w:t>
      </w:r>
      <w:r w:rsidR="004D7DAA" w:rsidRPr="00263DCB">
        <w:t xml:space="preserve"> 1964</w:t>
      </w:r>
      <w:r w:rsidR="00263DCB" w:rsidRPr="00263DCB">
        <w:t>;</w:t>
      </w:r>
      <w:r w:rsidR="004D7DAA" w:rsidRPr="00263DCB">
        <w:t xml:space="preserve"> McKenna</w:t>
      </w:r>
      <w:r w:rsidR="00263DCB" w:rsidRPr="00263DCB">
        <w:t>,</w:t>
      </w:r>
      <w:r w:rsidR="004D7DAA" w:rsidRPr="00263DCB">
        <w:t xml:space="preserve"> 1966</w:t>
      </w:r>
      <w:r w:rsidR="00263DCB" w:rsidRPr="00263DCB">
        <w:t>; Cardinali et al, 1967; Anon., 1972;</w:t>
      </w:r>
      <w:r w:rsidR="004D7DAA" w:rsidRPr="00263DCB">
        <w:t xml:space="preserve"> </w:t>
      </w:r>
      <w:r w:rsidR="00263DCB" w:rsidRPr="00263DCB">
        <w:t xml:space="preserve">Anon., 1973; Swaine and Hayward, 1982; Anon., 1987; </w:t>
      </w:r>
      <w:r w:rsidR="004D7DAA" w:rsidRPr="00263DCB">
        <w:t>Massey, 1987</w:t>
      </w:r>
      <w:r w:rsidR="00E16D4F">
        <w:t>(d)</w:t>
      </w:r>
      <w:r w:rsidR="00263DCB" w:rsidRPr="00263DCB">
        <w:t>;</w:t>
      </w:r>
      <w:r>
        <w:t xml:space="preserve"> </w:t>
      </w:r>
      <w:r w:rsidR="00263DCB" w:rsidRPr="00263DCB">
        <w:t>Dick et al, 1995</w:t>
      </w:r>
      <w:r w:rsidR="00F21B78">
        <w:t>(e)</w:t>
      </w:r>
      <w:r w:rsidR="00263DCB" w:rsidRPr="00263DCB">
        <w:t>)</w:t>
      </w:r>
      <w:r w:rsidR="002C5C14">
        <w:t>.</w:t>
      </w:r>
    </w:p>
    <w:p w14:paraId="0AAB7B48" w14:textId="77777777" w:rsidR="00F945C3" w:rsidRDefault="00F945C3" w:rsidP="006F7C2C">
      <w:pPr>
        <w:pStyle w:val="Heading3"/>
      </w:pPr>
      <w:bookmarkStart w:id="232" w:name="_Toc233038977"/>
      <w:r w:rsidRPr="006B3CA4">
        <w:t>Animal feed derived from grasses</w:t>
      </w:r>
      <w:r>
        <w:t xml:space="preserve"> (including cereals)</w:t>
      </w:r>
      <w:bookmarkEnd w:id="232"/>
    </w:p>
    <w:p w14:paraId="6FA5207E" w14:textId="51BC906A" w:rsidR="00F945C3" w:rsidRDefault="00F945C3" w:rsidP="00F945C3">
      <w:pPr>
        <w:pStyle w:val="NormalText"/>
      </w:pPr>
      <w:r>
        <w:t>The levels of diquat residues in trials conducted on grass resembled those results found in legumes. In trials conducted during 1964</w:t>
      </w:r>
      <w:r w:rsidR="00C20C68">
        <w:t>–</w:t>
      </w:r>
      <w:r>
        <w:t xml:space="preserve">65 in the UK mean diquat residues in grass were 26 and 13 mg/kg, </w:t>
      </w:r>
      <w:r w:rsidR="006E1EA1">
        <w:t>one</w:t>
      </w:r>
      <w:r>
        <w:t xml:space="preserve"> and 2</w:t>
      </w:r>
      <w:r w:rsidR="006E1EA1">
        <w:t> </w:t>
      </w:r>
      <w:r>
        <w:t>days, respectively, after an application of 0.3 kg a</w:t>
      </w:r>
      <w:r w:rsidR="00ED772D">
        <w:t>c</w:t>
      </w:r>
      <w:r>
        <w:t xml:space="preserve">/ha and 43 and 25 mg/kg, </w:t>
      </w:r>
      <w:r w:rsidR="006E1EA1">
        <w:t>one</w:t>
      </w:r>
      <w:r>
        <w:t xml:space="preserve"> and 2 days, respectively, after an application of 0.6 kg </w:t>
      </w:r>
      <w:r w:rsidR="00572A0C">
        <w:t>ac/ha</w:t>
      </w:r>
      <w:r>
        <w:t>. A trial on tall fescue conducted in the UK had residues ranging from 0.52 to 3.6</w:t>
      </w:r>
      <w:r w:rsidR="006E1EA1">
        <w:t> </w:t>
      </w:r>
      <w:r>
        <w:t xml:space="preserve">mg/kg </w:t>
      </w:r>
      <w:r w:rsidR="006E1EA1">
        <w:t xml:space="preserve">one to </w:t>
      </w:r>
      <w:r>
        <w:t xml:space="preserve">2 days after applications of 0.24–0.42 kg </w:t>
      </w:r>
      <w:r w:rsidR="00572A0C">
        <w:t>ac/ha</w:t>
      </w:r>
      <w:r>
        <w:t xml:space="preserve">. In a trial conducted on tall fescue in Australia residues after one day ranged from 0.77 to 27 mg/kg after an application of 0.5 kg </w:t>
      </w:r>
      <w:r w:rsidR="00572A0C">
        <w:t>ac/ha</w:t>
      </w:r>
      <w:r>
        <w:t>.</w:t>
      </w:r>
    </w:p>
    <w:p w14:paraId="2CDC697A" w14:textId="4A4843DA" w:rsidR="00F945C3" w:rsidRPr="00CB12DC" w:rsidRDefault="00F945C3" w:rsidP="00F945C3">
      <w:pPr>
        <w:pStyle w:val="NormalText"/>
      </w:pPr>
      <w:r w:rsidRPr="00CB12DC">
        <w:t xml:space="preserve">Detectable residues of diquat occurred in cereal grain straw. Residues were generally higher in oats and barley and for all winter cereals ranged from 2.5 to 26 mg/kg from pre-harvest desiccation applications at the maximum Australian use rate of 0.6 kg </w:t>
      </w:r>
      <w:r w:rsidR="00572A0C">
        <w:t>ac/ha</w:t>
      </w:r>
      <w:r w:rsidRPr="00CB12DC">
        <w:t>. Residues in maize were much lower and generally not detectable due the application timing</w:t>
      </w:r>
      <w:r>
        <w:t xml:space="preserve"> (pre-sowing or prior to emergence)</w:t>
      </w:r>
      <w:r w:rsidRPr="00CB12DC">
        <w:t xml:space="preserve">, which is consistent with the maize Australian GAP. However, application to sorghum can be as a pre-harvest desiccant and trials on sorghum with residues measured in forage or straw were not submitted. Residues of up to 11 mg/kg occurred in rice straw from pre-harvest desiccation applications of 0.6 kg </w:t>
      </w:r>
      <w:r w:rsidR="00572A0C">
        <w:t>ac/ha</w:t>
      </w:r>
      <w:r w:rsidRPr="00CB12DC">
        <w:t>.</w:t>
      </w:r>
    </w:p>
    <w:p w14:paraId="1EC72FC9" w14:textId="292877A0" w:rsidR="00F945C3" w:rsidRDefault="00F945C3" w:rsidP="00F945C3">
      <w:pPr>
        <w:pStyle w:val="NormalText"/>
      </w:pPr>
      <w:r>
        <w:t>Additional Australian data for barley, oat and wheat straw were considered by the JMPR</w:t>
      </w:r>
      <w:r w:rsidR="00263DCB">
        <w:t xml:space="preserve"> (2018)</w:t>
      </w:r>
      <w:r>
        <w:t xml:space="preserve"> and have been provided to the APVMA separately. Residues of diquat 2</w:t>
      </w:r>
      <w:r w:rsidR="006E1EA1">
        <w:t>–</w:t>
      </w:r>
      <w:r>
        <w:t>4 days after a pre-harvest application at 0.6</w:t>
      </w:r>
      <w:r w:rsidR="006E1EA1">
        <w:t> </w:t>
      </w:r>
      <w:r>
        <w:t>kg</w:t>
      </w:r>
      <w:r w:rsidR="006E1EA1">
        <w:t> </w:t>
      </w:r>
      <w:r w:rsidR="00572A0C">
        <w:t>ac/ha</w:t>
      </w:r>
      <w:r>
        <w:t xml:space="preserve"> were 0.27, 1.2, 1.8, 2.0, 2.4, 2.8 (3), 3.1, 3.3, 4.3, 5.6, 6.1, 6.2, 6.9, 23 and 26 mg/kg (dry weight).</w:t>
      </w:r>
    </w:p>
    <w:p w14:paraId="5A80E9EA" w14:textId="706675FF" w:rsidR="00F945C3" w:rsidRDefault="00D46E11" w:rsidP="00F945C3">
      <w:pPr>
        <w:pStyle w:val="NormalText"/>
      </w:pPr>
      <w:r>
        <w:t>R</w:t>
      </w:r>
      <w:r w:rsidR="00F945C3">
        <w:t>esidues in animal feed derived from grasses are not covered by an existing Australian MRL. It is not clear if all the residue results for grass were reported on a fresh or dry weight basis, with exception of the JMPR cereal trials</w:t>
      </w:r>
      <w:r w:rsidR="006E1EA1">
        <w:t>,</w:t>
      </w:r>
      <w:r w:rsidR="00F945C3">
        <w:t xml:space="preserve"> which were expressed on a dry weight basis. However, samples of cereal straw from the trials involving pre-harvest desiccation applications should have a high dry matter content. The available data for grass and cereal forage and fodder suggests that residues should be below 100 mg/kg, the level at which the current legume animal feed MRL is set noting that the levels of diquat residues in trials conducted on grasses and cereals were similar to those results found in legumes (see below).</w:t>
      </w:r>
    </w:p>
    <w:p w14:paraId="2D72E824" w14:textId="77777777" w:rsidR="00F945C3" w:rsidRDefault="00F945C3" w:rsidP="006F7C2C">
      <w:pPr>
        <w:pStyle w:val="Heading3"/>
      </w:pPr>
      <w:bookmarkStart w:id="233" w:name="_Toc233038978"/>
      <w:r w:rsidRPr="000D532D">
        <w:t>Animal feed derived from legumes</w:t>
      </w:r>
      <w:bookmarkEnd w:id="233"/>
    </w:p>
    <w:p w14:paraId="2C406B0C" w14:textId="4CCF748C" w:rsidR="00F945C3" w:rsidRDefault="00F945C3" w:rsidP="00F945C3">
      <w:pPr>
        <w:pStyle w:val="NormalText"/>
      </w:pPr>
      <w:r>
        <w:t>Studies submitted on lucerne, clover and medic (</w:t>
      </w:r>
      <w:r w:rsidR="006E1EA1">
        <w:t>zero to</w:t>
      </w:r>
      <w:r>
        <w:t xml:space="preserve"> 133 day PHI), including several that addressed a </w:t>
      </w:r>
      <w:r w:rsidR="006E1EA1">
        <w:t>zero</w:t>
      </w:r>
      <w:r>
        <w:t xml:space="preserve"> or </w:t>
      </w:r>
      <w:r w:rsidR="006E1EA1">
        <w:t xml:space="preserve">one </w:t>
      </w:r>
      <w:r>
        <w:t xml:space="preserve">day PHI, generally had diquat residues between 20 and 40 mg/kg in the desiccated plant material, although </w:t>
      </w:r>
      <w:r w:rsidR="006E1EA1">
        <w:t>2 </w:t>
      </w:r>
      <w:r>
        <w:t>results were below 0.1 mg/kg, from applications approximating the Australian maximum use rate of 0.6</w:t>
      </w:r>
      <w:r w:rsidR="006E1EA1">
        <w:t> </w:t>
      </w:r>
      <w:r>
        <w:t>kg</w:t>
      </w:r>
      <w:r w:rsidR="006E1EA1">
        <w:t> </w:t>
      </w:r>
      <w:r w:rsidR="00572A0C">
        <w:t>ac/ha</w:t>
      </w:r>
      <w:r>
        <w:t xml:space="preserve"> and a PHI of 2–4 days. The </w:t>
      </w:r>
      <w:r w:rsidR="009E3126">
        <w:t>HR</w:t>
      </w:r>
      <w:r w:rsidR="00843596">
        <w:t xml:space="preserve"> </w:t>
      </w:r>
      <w:r>
        <w:t xml:space="preserve">at </w:t>
      </w:r>
      <w:r w:rsidR="006E1EA1">
        <w:t>one</w:t>
      </w:r>
      <w:r>
        <w:t xml:space="preserve"> day was 66.7 mg/kg in clover after 0.56 kg </w:t>
      </w:r>
      <w:r w:rsidR="00572A0C">
        <w:t>ac/ha</w:t>
      </w:r>
      <w:r>
        <w:t xml:space="preserve"> (scaling not required). At longer PHIs the </w:t>
      </w:r>
      <w:r w:rsidR="009E3126">
        <w:t>HR</w:t>
      </w:r>
      <w:r w:rsidR="00843596">
        <w:t xml:space="preserve"> </w:t>
      </w:r>
      <w:r>
        <w:t>was 92.5 mg/kg (d</w:t>
      </w:r>
      <w:r w:rsidR="001140CA">
        <w:t>ry weight</w:t>
      </w:r>
      <w:r>
        <w:t xml:space="preserve">) in white clover at 4 days after 1.12 kg </w:t>
      </w:r>
      <w:r w:rsidR="00572A0C">
        <w:t>ac/ha</w:t>
      </w:r>
      <w:r>
        <w:t xml:space="preserve"> (49.6 mg/kg scaled for rate).</w:t>
      </w:r>
    </w:p>
    <w:p w14:paraId="3A1D1B0F" w14:textId="255B4356" w:rsidR="00F945C3" w:rsidRDefault="00F945C3" w:rsidP="00F945C3">
      <w:pPr>
        <w:pStyle w:val="NormalText"/>
      </w:pPr>
      <w:r>
        <w:t>Diquat residues in pea and bean h</w:t>
      </w:r>
      <w:r w:rsidRPr="00AA564E">
        <w:t>aulms</w:t>
      </w:r>
      <w:r>
        <w:t xml:space="preserve"> varied widely with a maximum residue recorded of 53 mg/kg. The trial information indicates all the samples were taken as dried material at harvest, including the samples in trials conducted as post-emergence weed control applications</w:t>
      </w:r>
      <w:r w:rsidR="00263DCB">
        <w:t xml:space="preserve"> </w:t>
      </w:r>
      <w:r w:rsidR="00263DCB" w:rsidRPr="00AB7F9A">
        <w:t>(Anon.</w:t>
      </w:r>
      <w:r w:rsidR="00263DCB">
        <w:t>,</w:t>
      </w:r>
      <w:r w:rsidR="00263DCB" w:rsidRPr="00AB7F9A">
        <w:t xml:space="preserve"> </w:t>
      </w:r>
      <w:r w:rsidR="00317566">
        <w:t>no date</w:t>
      </w:r>
      <w:r w:rsidR="00443CC8">
        <w:t>(f)</w:t>
      </w:r>
      <w:r w:rsidR="00263DCB">
        <w:t>;</w:t>
      </w:r>
      <w:r w:rsidR="00263DCB" w:rsidRPr="00AB7F9A">
        <w:t xml:space="preserve"> Calderbank and Yuan</w:t>
      </w:r>
      <w:r w:rsidR="00263DCB">
        <w:t xml:space="preserve">, </w:t>
      </w:r>
      <w:r w:rsidR="00263DCB" w:rsidRPr="00AB7F9A">
        <w:t>1963</w:t>
      </w:r>
      <w:r w:rsidR="00263DCB">
        <w:t>;</w:t>
      </w:r>
      <w:r w:rsidR="00263DCB" w:rsidRPr="00AB7F9A">
        <w:t xml:space="preserve"> Calderbank and McKenna</w:t>
      </w:r>
      <w:r w:rsidR="00263DCB">
        <w:t xml:space="preserve">, </w:t>
      </w:r>
      <w:r w:rsidR="00263DCB" w:rsidRPr="00AB7F9A">
        <w:t>1964</w:t>
      </w:r>
      <w:r w:rsidR="00263DCB">
        <w:t>;</w:t>
      </w:r>
      <w:r w:rsidR="00263DCB" w:rsidRPr="00AB7F9A">
        <w:t xml:space="preserve"> McKenna</w:t>
      </w:r>
      <w:r w:rsidR="00263DCB">
        <w:t xml:space="preserve">, </w:t>
      </w:r>
      <w:r w:rsidR="00263DCB" w:rsidRPr="00AB7F9A">
        <w:t>1966</w:t>
      </w:r>
      <w:r w:rsidR="00263DCB">
        <w:t>;</w:t>
      </w:r>
      <w:r w:rsidR="00263DCB" w:rsidRPr="00AB7F9A">
        <w:t xml:space="preserve"> Anon</w:t>
      </w:r>
      <w:r w:rsidR="00263DCB">
        <w:t>.,</w:t>
      </w:r>
      <w:r w:rsidR="00263DCB" w:rsidRPr="00AB7F9A">
        <w:t xml:space="preserve"> 19</w:t>
      </w:r>
      <w:r w:rsidR="00263DCB">
        <w:t xml:space="preserve">72; </w:t>
      </w:r>
      <w:r w:rsidR="00263DCB" w:rsidRPr="00AB7F9A">
        <w:t>Edwards</w:t>
      </w:r>
      <w:r w:rsidR="00263DCB">
        <w:t xml:space="preserve">, </w:t>
      </w:r>
      <w:r w:rsidR="00263DCB" w:rsidRPr="00AB7F9A">
        <w:t>1977</w:t>
      </w:r>
      <w:r w:rsidR="00263DCB">
        <w:t>;</w:t>
      </w:r>
      <w:r w:rsidR="00263DCB" w:rsidRPr="00AB7F9A">
        <w:t xml:space="preserve"> Anon</w:t>
      </w:r>
      <w:r w:rsidR="00263DCB">
        <w:t>.,</w:t>
      </w:r>
      <w:r w:rsidR="00263DCB" w:rsidRPr="00AB7F9A">
        <w:t xml:space="preserve"> 1980</w:t>
      </w:r>
      <w:r w:rsidR="006209C4">
        <w:t>(a)</w:t>
      </w:r>
      <w:r w:rsidR="00263DCB">
        <w:t xml:space="preserve">; </w:t>
      </w:r>
      <w:r w:rsidR="00263DCB" w:rsidRPr="00AB7F9A">
        <w:t>Culoto</w:t>
      </w:r>
      <w:r w:rsidR="00263DCB">
        <w:t xml:space="preserve"> </w:t>
      </w:r>
      <w:r w:rsidR="00263DCB" w:rsidRPr="00AB7F9A">
        <w:t>and de Mallmann</w:t>
      </w:r>
      <w:r w:rsidR="00263DCB">
        <w:t>, 1</w:t>
      </w:r>
      <w:r w:rsidR="00263DCB" w:rsidRPr="00AB7F9A">
        <w:t>982</w:t>
      </w:r>
      <w:r w:rsidR="00263DCB">
        <w:t>; S</w:t>
      </w:r>
      <w:r w:rsidR="00263DCB" w:rsidRPr="00AB7F9A">
        <w:t>waine</w:t>
      </w:r>
      <w:r w:rsidR="00263DCB">
        <w:t xml:space="preserve">, </w:t>
      </w:r>
      <w:r w:rsidR="00263DCB" w:rsidRPr="00AB7F9A">
        <w:t>1983</w:t>
      </w:r>
      <w:r w:rsidR="008247E7">
        <w:t>(a)</w:t>
      </w:r>
      <w:r w:rsidR="00263DCB">
        <w:t xml:space="preserve">; </w:t>
      </w:r>
      <w:r w:rsidR="00263DCB" w:rsidRPr="00A932B7">
        <w:t>Culoto, 1985</w:t>
      </w:r>
      <w:r w:rsidR="0011740A">
        <w:t>(a,b)</w:t>
      </w:r>
      <w:r w:rsidR="00263DCB">
        <w:t>;</w:t>
      </w:r>
      <w:r w:rsidR="00263DCB" w:rsidRPr="00A932B7">
        <w:t xml:space="preserve"> </w:t>
      </w:r>
      <w:r w:rsidR="00263DCB" w:rsidRPr="00AB7F9A">
        <w:t>Kennedy</w:t>
      </w:r>
      <w:r w:rsidR="00263DCB">
        <w:t xml:space="preserve">, </w:t>
      </w:r>
      <w:r w:rsidR="00263DCB" w:rsidRPr="00AB7F9A">
        <w:t>1985</w:t>
      </w:r>
      <w:r w:rsidR="00702C81">
        <w:t>(a)</w:t>
      </w:r>
      <w:r w:rsidR="00263DCB">
        <w:t>;</w:t>
      </w:r>
      <w:r w:rsidR="00263DCB" w:rsidRPr="00AB7F9A">
        <w:t xml:space="preserve"> </w:t>
      </w:r>
      <w:r w:rsidR="00263DCB" w:rsidRPr="00A932B7">
        <w:t>Kennedy, 1986</w:t>
      </w:r>
      <w:r w:rsidR="00984ABA">
        <w:t>(b)</w:t>
      </w:r>
      <w:r w:rsidR="00263DCB">
        <w:t xml:space="preserve">; </w:t>
      </w:r>
      <w:r w:rsidR="00263DCB" w:rsidRPr="00AB7F9A">
        <w:t>Massey</w:t>
      </w:r>
      <w:r w:rsidR="00263DCB">
        <w:t xml:space="preserve">, </w:t>
      </w:r>
      <w:r w:rsidR="00263DCB" w:rsidRPr="00AB7F9A">
        <w:t>1987</w:t>
      </w:r>
      <w:r w:rsidR="00E16D4F">
        <w:t>(d)</w:t>
      </w:r>
      <w:r w:rsidR="00263DCB">
        <w:t xml:space="preserve">; </w:t>
      </w:r>
      <w:r w:rsidR="00263DCB">
        <w:lastRenderedPageBreak/>
        <w:t>Anon., 1987;</w:t>
      </w:r>
      <w:r w:rsidR="00752964" w:rsidRPr="00752964">
        <w:t xml:space="preserve"> </w:t>
      </w:r>
      <w:r w:rsidR="00752964">
        <w:t>Anderson, 1990;</w:t>
      </w:r>
      <w:r w:rsidR="00263DCB" w:rsidRPr="00AB7F9A">
        <w:t xml:space="preserve"> </w:t>
      </w:r>
      <w:r w:rsidR="00752964" w:rsidRPr="005B1586">
        <w:t>Dodsworth</w:t>
      </w:r>
      <w:r w:rsidR="00752964">
        <w:t xml:space="preserve">, </w:t>
      </w:r>
      <w:r w:rsidR="00752964" w:rsidRPr="005B1586">
        <w:t>1990</w:t>
      </w:r>
      <w:r w:rsidR="00752964">
        <w:t xml:space="preserve">; </w:t>
      </w:r>
      <w:r w:rsidR="00263DCB" w:rsidRPr="00AB7F9A">
        <w:t>Earl</w:t>
      </w:r>
      <w:r w:rsidR="00263DCB">
        <w:t xml:space="preserve">, </w:t>
      </w:r>
      <w:r w:rsidR="00263DCB" w:rsidRPr="00AB7F9A">
        <w:t>1991</w:t>
      </w:r>
      <w:r w:rsidR="0011740A">
        <w:t>(a)</w:t>
      </w:r>
      <w:r w:rsidR="00263DCB">
        <w:t>;</w:t>
      </w:r>
      <w:r w:rsidR="00263DCB" w:rsidRPr="00AB7F9A">
        <w:t xml:space="preserve"> Ear</w:t>
      </w:r>
      <w:r w:rsidR="00263DCB">
        <w:t>l</w:t>
      </w:r>
      <w:r w:rsidR="00263DCB" w:rsidRPr="00AB7F9A">
        <w:t xml:space="preserve"> and Hall</w:t>
      </w:r>
      <w:r w:rsidR="00263DCB">
        <w:t xml:space="preserve">, </w:t>
      </w:r>
      <w:r w:rsidR="00263DCB" w:rsidRPr="00AB7F9A">
        <w:t>1994</w:t>
      </w:r>
      <w:r w:rsidR="00263DCB">
        <w:t>;</w:t>
      </w:r>
      <w:r w:rsidR="00263DCB" w:rsidRPr="00AB7F9A">
        <w:t xml:space="preserve"> Roper</w:t>
      </w:r>
      <w:r w:rsidR="00263DCB">
        <w:t xml:space="preserve">, </w:t>
      </w:r>
      <w:r w:rsidR="00263DCB" w:rsidRPr="00AB7F9A">
        <w:t>1995</w:t>
      </w:r>
      <w:r w:rsidR="00263DCB">
        <w:t>(a,b);</w:t>
      </w:r>
      <w:r w:rsidR="00263DCB" w:rsidRPr="00AB7F9A">
        <w:t xml:space="preserve"> </w:t>
      </w:r>
      <w:r w:rsidR="00752964">
        <w:t>Dick et al., 1995(</w:t>
      </w:r>
      <w:r w:rsidR="00F21B78">
        <w:t>c</w:t>
      </w:r>
      <w:r w:rsidR="00752964">
        <w:t>,</w:t>
      </w:r>
      <w:r w:rsidR="00F21B78">
        <w:t>d</w:t>
      </w:r>
      <w:r w:rsidR="00752964">
        <w:t>);</w:t>
      </w:r>
      <w:r w:rsidR="00752964" w:rsidRPr="00752964">
        <w:t xml:space="preserve"> </w:t>
      </w:r>
      <w:r w:rsidR="00752964" w:rsidRPr="00AB7F9A">
        <w:t>Roper</w:t>
      </w:r>
      <w:r w:rsidR="00752964">
        <w:t xml:space="preserve">, </w:t>
      </w:r>
      <w:r w:rsidR="00752964" w:rsidRPr="00AB7F9A">
        <w:t>1996</w:t>
      </w:r>
      <w:r w:rsidR="00752964">
        <w:t>)</w:t>
      </w:r>
      <w:r w:rsidR="006E1EA1">
        <w:t>.</w:t>
      </w:r>
    </w:p>
    <w:p w14:paraId="09A3EAC4" w14:textId="25C9A9AE" w:rsidR="00F945C3" w:rsidRDefault="00F945C3" w:rsidP="00F945C3">
      <w:pPr>
        <w:pStyle w:val="NormalText"/>
      </w:pPr>
      <w:r>
        <w:t xml:space="preserve">Residues of diquat in desiccated fodder of lentils and field peas were generally higher than those recorded in peas and beans haulms, with a mean residue of 40 mg/kg, although in all cases residues were &lt;100 mg/kg, particularly at use rates of 0.50–0.55 kg </w:t>
      </w:r>
      <w:r w:rsidR="00572A0C">
        <w:t>ac/ha</w:t>
      </w:r>
      <w:r>
        <w:t xml:space="preserve"> (the </w:t>
      </w:r>
      <w:r w:rsidR="009E3126">
        <w:t xml:space="preserve">HR </w:t>
      </w:r>
      <w:r>
        <w:t xml:space="preserve">was 90 mg/kg after application at 1.1 kg </w:t>
      </w:r>
      <w:r w:rsidR="00572A0C">
        <w:t>ac/ha</w:t>
      </w:r>
      <w:r>
        <w:t>, or 40.1 mg/kg when scaled for application rate).</w:t>
      </w:r>
    </w:p>
    <w:p w14:paraId="70720C49" w14:textId="6B372477" w:rsidR="00F945C3" w:rsidRDefault="00F945C3" w:rsidP="00F945C3">
      <w:pPr>
        <w:pStyle w:val="NormalText"/>
      </w:pPr>
      <w:r>
        <w:t xml:space="preserve">Residues in soybean stalks, stems, straw or fodder were in the range &lt;0.05 to 20 mg/kg at PHIs of 3–119 days after application at 0.28–1.12 kg </w:t>
      </w:r>
      <w:r w:rsidR="00572A0C">
        <w:t>ac/ha</w:t>
      </w:r>
      <w:r>
        <w:t>.</w:t>
      </w:r>
    </w:p>
    <w:p w14:paraId="4BCED5FB" w14:textId="33F8067C" w:rsidR="00537511" w:rsidRDefault="00537511" w:rsidP="00F945C3">
      <w:pPr>
        <w:pStyle w:val="NormalText"/>
      </w:pPr>
      <w:r>
        <w:t>In 8 European GLP dry bean trials provided by Syngenta in response to the initial consultation, residues in straw at 3-5 days after application at 600 g a</w:t>
      </w:r>
      <w:r w:rsidR="006436C4">
        <w:t>c</w:t>
      </w:r>
      <w:r>
        <w:t>/ha were 1.6, 1.7, 3.1, 3.8, 4.7, 6.2, 6.7 and 10.0 mg/kg (as received), all well within the previously supported MRL of 100 mg/kg for Legume animal feeds, noting the straw should have a low moisture content after the desiccation treatment.</w:t>
      </w:r>
    </w:p>
    <w:p w14:paraId="624E375E" w14:textId="699DFD12" w:rsidR="00F945C3" w:rsidRDefault="00F945C3" w:rsidP="00F945C3">
      <w:pPr>
        <w:pStyle w:val="NormalText"/>
      </w:pPr>
      <w:r>
        <w:t>In the submitted trials residues in animal feed derived from legumes were below the current Australian MRL at 100</w:t>
      </w:r>
      <w:r w:rsidR="006E1EA1">
        <w:t> </w:t>
      </w:r>
      <w:r>
        <w:t>mg/kg</w:t>
      </w:r>
      <w:r w:rsidR="006E1EA1">
        <w:t>,</w:t>
      </w:r>
      <w:r>
        <w:t xml:space="preserve"> which remains appropriate.</w:t>
      </w:r>
    </w:p>
    <w:p w14:paraId="6A9C3C07" w14:textId="77777777" w:rsidR="00F945C3" w:rsidRPr="00376706" w:rsidRDefault="00F945C3" w:rsidP="006F7C2C">
      <w:pPr>
        <w:pStyle w:val="Heading3"/>
      </w:pPr>
      <w:bookmarkStart w:id="234" w:name="_Toc233038979"/>
      <w:r w:rsidRPr="00376706">
        <w:t>Animal feeds derived from oilseeds</w:t>
      </w:r>
      <w:bookmarkEnd w:id="234"/>
    </w:p>
    <w:p w14:paraId="06B7CD5C" w14:textId="5DC6C097" w:rsidR="00F945C3" w:rsidRDefault="00F945C3" w:rsidP="00F945C3">
      <w:pPr>
        <w:pStyle w:val="NormalText"/>
      </w:pPr>
      <w:r>
        <w:t xml:space="preserve">Limited data on feeds derived from oilseed plant material were provided to the review. Diquat residues in the stalks of linseed and sesame were &lt;0.05 to 0.68 mg/kg at 12–98 days after application at 0.07–1.12 kg </w:t>
      </w:r>
      <w:r w:rsidR="00572A0C">
        <w:t>ac/ha</w:t>
      </w:r>
      <w:r w:rsidR="004D5F6B">
        <w:t xml:space="preserve"> </w:t>
      </w:r>
      <w:r w:rsidR="004D5F6B" w:rsidRPr="004D5F6B">
        <w:t>(Anon.,</w:t>
      </w:r>
      <w:r w:rsidR="004D5F6B">
        <w:t xml:space="preserve"> </w:t>
      </w:r>
      <w:r w:rsidR="00317566">
        <w:t>no date</w:t>
      </w:r>
      <w:r w:rsidR="005F7D54">
        <w:t>(g)</w:t>
      </w:r>
      <w:r w:rsidR="004D5F6B">
        <w:t xml:space="preserve">; </w:t>
      </w:r>
      <w:r w:rsidR="004D5F6B" w:rsidRPr="004D5F6B">
        <w:t>Calderbank and Yuan, 1963; Calderbank and McKenna, 1964; McKenna, 1966; Anon., 1972; Earl and Anderson, 1989</w:t>
      </w:r>
      <w:r w:rsidR="005A44C3">
        <w:t>(b)</w:t>
      </w:r>
      <w:r w:rsidR="004D5F6B" w:rsidRPr="004D5F6B">
        <w:t>; Anderson and Elsworth, 1994; Anderson and Moons, 1995; Anderson and Renard, 1995</w:t>
      </w:r>
      <w:r w:rsidR="0011740A">
        <w:t>(a,b</w:t>
      </w:r>
      <w:r w:rsidR="004D5F6B" w:rsidRPr="004D5F6B">
        <w:t>)</w:t>
      </w:r>
      <w:r>
        <w:t xml:space="preserve">. The current oilseed forage and fodder MRL at 30 mg/kg was established based on data for rape seed forage from the 2013 JMPR. Diquat residues in rape forage after a single application at a nominal rate of 600 g </w:t>
      </w:r>
      <w:r w:rsidR="00572A0C">
        <w:t>ac/ha</w:t>
      </w:r>
      <w:r>
        <w:t xml:space="preserve"> at </w:t>
      </w:r>
      <w:r w:rsidR="006E1EA1">
        <w:t>one</w:t>
      </w:r>
      <w:r>
        <w:t xml:space="preserve"> day PHI (or later if higher residues were observed), in rank order were: 0.4, 1.7, 3.2, 3.5, 7.5, 8.1, 11 and 17</w:t>
      </w:r>
      <w:r w:rsidR="006E1EA1">
        <w:t> </w:t>
      </w:r>
      <w:r>
        <w:t xml:space="preserve">mg/kg (n=8). (assume DW as this was a pre-harvest desiccation use with application at BBCH 87-89). </w:t>
      </w:r>
      <w:r w:rsidR="00014D65">
        <w:t>T</w:t>
      </w:r>
      <w:r>
        <w:t xml:space="preserve">he Oilseed forage and fodder MRL is expected to remain appropriate for currently registered uses in conjunction with a </w:t>
      </w:r>
      <w:r w:rsidR="006E1EA1">
        <w:t>one</w:t>
      </w:r>
      <w:r>
        <w:t xml:space="preserve"> day grazing withholding period.</w:t>
      </w:r>
    </w:p>
    <w:p w14:paraId="0C65F20A" w14:textId="79BC4391" w:rsidR="00AC0C9D" w:rsidRDefault="00AC0C9D" w:rsidP="00F945C3">
      <w:pPr>
        <w:pStyle w:val="NormalText"/>
      </w:pPr>
      <w:r w:rsidRPr="00AC0C9D">
        <w:t>As noted by Syngenta</w:t>
      </w:r>
      <w:r>
        <w:t xml:space="preserve"> in their response to the initial consultation</w:t>
      </w:r>
      <w:r w:rsidRPr="00AC0C9D">
        <w:t>, cotton trash is not used as an animal feed due to unacceptable residue risks from multiple pesticides currently used in cotton. This is normally managed by a label statement prohibiting the feeding of cotton trash to animals, which is considered cotton industry best practice. The restraint of ‘DO NOT feed cotton fodder, stubble or trash to livestock’ is recommended for the supported cotton use at crop establishment.</w:t>
      </w:r>
    </w:p>
    <w:p w14:paraId="4EE4DE75" w14:textId="77777777" w:rsidR="00F945C3" w:rsidRDefault="00F945C3" w:rsidP="006F7C2C">
      <w:pPr>
        <w:pStyle w:val="Heading3"/>
      </w:pPr>
      <w:bookmarkStart w:id="235" w:name="_Toc233038980"/>
      <w:r>
        <w:t>Other animal feeds</w:t>
      </w:r>
      <w:bookmarkEnd w:id="235"/>
    </w:p>
    <w:p w14:paraId="3D371083" w14:textId="056DCB34" w:rsidR="00F945C3" w:rsidRDefault="00F945C3" w:rsidP="00F945C3">
      <w:pPr>
        <w:pStyle w:val="NormalText"/>
      </w:pPr>
      <w:r>
        <w:t>Residues in minor animal feed commodities form no more than 20% of the diet livestock and will not influence animal MRLs due to the higher residues of diquat in pastures, hay and fodder. Such animal feeds include citrus pulp, grape pomace, apple pomace, tomato pomace and almond hulls and the primary crops may be treated with pre-emergent or directed applications and should not result in residues in the raw commodity or animal feed. MRLs in Table 4 of the MRL standard are not considered necessary as residues above the LOQ are not expected.</w:t>
      </w:r>
    </w:p>
    <w:p w14:paraId="6CD6280C" w14:textId="656415A4" w:rsidR="00F945C3" w:rsidRDefault="00F945C3" w:rsidP="006F7C2C">
      <w:pPr>
        <w:pStyle w:val="Heading3"/>
      </w:pPr>
      <w:bookmarkStart w:id="236" w:name="_Toc233038981"/>
      <w:r>
        <w:lastRenderedPageBreak/>
        <w:t>Conclusion</w:t>
      </w:r>
      <w:r w:rsidR="006F7C2C">
        <w:t xml:space="preserve"> on residues in animal feeds</w:t>
      </w:r>
      <w:bookmarkEnd w:id="236"/>
    </w:p>
    <w:p w14:paraId="6ECB4B6B" w14:textId="77777777" w:rsidR="00F945C3" w:rsidRDefault="00F945C3" w:rsidP="00F945C3">
      <w:pPr>
        <w:pStyle w:val="NormalText"/>
      </w:pPr>
      <w:r>
        <w:t>The use of diquat on crops or situations which produce animal feeds continues to be supported. The one day grazing withholding period on current labels remains appropriate (noting that products formulated with paraquat have a 7 day grazing withholding period for horses).</w:t>
      </w:r>
    </w:p>
    <w:p w14:paraId="081939D7" w14:textId="77777777" w:rsidR="00F945C3" w:rsidRDefault="00F945C3" w:rsidP="00F945C3">
      <w:pPr>
        <w:pStyle w:val="NormalText"/>
      </w:pPr>
      <w:r>
        <w:t>The recommended grazing withholding period statement in relation to diquat is:</w:t>
      </w:r>
    </w:p>
    <w:p w14:paraId="4ACCAB38" w14:textId="183CA418" w:rsidR="00F945C3" w:rsidRDefault="00F945C3" w:rsidP="006E1EA1">
      <w:pPr>
        <w:pStyle w:val="Bullet1"/>
      </w:pPr>
      <w:r>
        <w:t xml:space="preserve">DO NOT graze or cut for stock food for </w:t>
      </w:r>
      <w:r w:rsidR="006E1EA1">
        <w:t>one</w:t>
      </w:r>
      <w:r>
        <w:t xml:space="preserve"> day after application.</w:t>
      </w:r>
    </w:p>
    <w:p w14:paraId="4D64F3B9" w14:textId="39295D17" w:rsidR="006F7C2C" w:rsidRDefault="006F7C2C" w:rsidP="006F7C2C">
      <w:pPr>
        <w:pStyle w:val="NormalText"/>
      </w:pPr>
      <w:r>
        <w:t xml:space="preserve">The recommended MRLs for animal feeds are summarised </w:t>
      </w:r>
      <w:r w:rsidR="006E1EA1">
        <w:t xml:space="preserve">in </w:t>
      </w:r>
      <w:r w:rsidR="006E1EA1">
        <w:fldChar w:fldCharType="begin" w:fldLock="1"/>
      </w:r>
      <w:r w:rsidR="006E1EA1">
        <w:instrText xml:space="preserve"> REF _Ref170199096 \h </w:instrText>
      </w:r>
      <w:r w:rsidR="006E1EA1">
        <w:fldChar w:fldCharType="separate"/>
      </w:r>
      <w:r w:rsidR="0033298E">
        <w:t xml:space="preserve">Table </w:t>
      </w:r>
      <w:r w:rsidR="0033298E">
        <w:rPr>
          <w:noProof/>
        </w:rPr>
        <w:t>13</w:t>
      </w:r>
      <w:r w:rsidR="006E1EA1">
        <w:fldChar w:fldCharType="end"/>
      </w:r>
      <w:r w:rsidR="006E1EA1">
        <w:t>.</w:t>
      </w:r>
    </w:p>
    <w:p w14:paraId="34E6F146" w14:textId="1A1273AF" w:rsidR="006F7C2C" w:rsidRPr="000179FF" w:rsidRDefault="006F7C2C" w:rsidP="000179FF">
      <w:pPr>
        <w:pStyle w:val="Caption"/>
      </w:pPr>
      <w:bookmarkStart w:id="237" w:name="_Ref170199096"/>
      <w:bookmarkStart w:id="238" w:name="_Toc232589608"/>
      <w:r w:rsidRPr="000179FF">
        <w:t xml:space="preserve">Table </w:t>
      </w:r>
      <w:fldSimple w:instr=" SEQ Table \* ARABIC ">
        <w:r w:rsidR="000179FF">
          <w:rPr>
            <w:noProof/>
          </w:rPr>
          <w:t>13</w:t>
        </w:r>
      </w:fldSimple>
      <w:bookmarkEnd w:id="237"/>
      <w:r w:rsidRPr="000179FF">
        <w:t>: Recommended MRLs for animal feeds</w:t>
      </w:r>
      <w:bookmarkEnd w:id="2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962"/>
        <w:gridCol w:w="1419"/>
        <w:gridCol w:w="1947"/>
      </w:tblGrid>
      <w:tr w:rsidR="006F7C2C" w:rsidRPr="005C4425" w14:paraId="4AE7A32B" w14:textId="77777777" w:rsidTr="006E1EA1">
        <w:trPr>
          <w:tblHeader/>
        </w:trPr>
        <w:tc>
          <w:tcPr>
            <w:tcW w:w="774" w:type="pct"/>
            <w:tcBorders>
              <w:top w:val="single" w:sz="4" w:space="0" w:color="auto"/>
              <w:left w:val="nil"/>
              <w:bottom w:val="single" w:sz="4" w:space="0" w:color="auto"/>
              <w:right w:val="nil"/>
            </w:tcBorders>
            <w:shd w:val="clear" w:color="auto" w:fill="5C2946"/>
          </w:tcPr>
          <w:p w14:paraId="4248D667" w14:textId="77777777" w:rsidR="006F7C2C" w:rsidRPr="006E1EA1" w:rsidRDefault="006F7C2C" w:rsidP="006E1EA1">
            <w:pPr>
              <w:pStyle w:val="TableHead"/>
            </w:pPr>
            <w:r w:rsidRPr="006E1EA1">
              <w:t>Code</w:t>
            </w:r>
          </w:p>
        </w:tc>
        <w:tc>
          <w:tcPr>
            <w:tcW w:w="2518" w:type="pct"/>
            <w:tcBorders>
              <w:top w:val="single" w:sz="4" w:space="0" w:color="auto"/>
              <w:left w:val="nil"/>
              <w:bottom w:val="single" w:sz="4" w:space="0" w:color="auto"/>
              <w:right w:val="nil"/>
            </w:tcBorders>
            <w:shd w:val="clear" w:color="auto" w:fill="5C2946"/>
          </w:tcPr>
          <w:p w14:paraId="7F55FCB0" w14:textId="77777777" w:rsidR="006F7C2C" w:rsidRPr="006E1EA1" w:rsidRDefault="006F7C2C" w:rsidP="006E1EA1">
            <w:pPr>
              <w:pStyle w:val="TableHead"/>
            </w:pPr>
            <w:r w:rsidRPr="006E1EA1">
              <w:t>Animal feed commodity</w:t>
            </w:r>
          </w:p>
        </w:tc>
        <w:tc>
          <w:tcPr>
            <w:tcW w:w="720" w:type="pct"/>
            <w:tcBorders>
              <w:top w:val="single" w:sz="4" w:space="0" w:color="auto"/>
              <w:left w:val="nil"/>
              <w:bottom w:val="single" w:sz="4" w:space="0" w:color="auto"/>
              <w:right w:val="nil"/>
            </w:tcBorders>
            <w:shd w:val="clear" w:color="auto" w:fill="5C2946"/>
          </w:tcPr>
          <w:p w14:paraId="20CBF2E3" w14:textId="77777777" w:rsidR="006F7C2C" w:rsidRPr="006E1EA1" w:rsidRDefault="006F7C2C" w:rsidP="006E1EA1">
            <w:pPr>
              <w:pStyle w:val="TableHead"/>
              <w:jc w:val="right"/>
            </w:pPr>
            <w:r w:rsidRPr="006E1EA1">
              <w:t>Current MRL</w:t>
            </w:r>
          </w:p>
        </w:tc>
        <w:tc>
          <w:tcPr>
            <w:tcW w:w="988" w:type="pct"/>
            <w:tcBorders>
              <w:top w:val="single" w:sz="4" w:space="0" w:color="auto"/>
              <w:left w:val="nil"/>
              <w:bottom w:val="single" w:sz="4" w:space="0" w:color="auto"/>
              <w:right w:val="nil"/>
            </w:tcBorders>
            <w:shd w:val="clear" w:color="auto" w:fill="5C2946"/>
          </w:tcPr>
          <w:p w14:paraId="4B31A72F" w14:textId="77777777" w:rsidR="006F7C2C" w:rsidRPr="006E1EA1" w:rsidRDefault="006F7C2C" w:rsidP="006E1EA1">
            <w:pPr>
              <w:pStyle w:val="TableHead"/>
              <w:jc w:val="right"/>
            </w:pPr>
            <w:r w:rsidRPr="006E1EA1">
              <w:t>Recommended MRL</w:t>
            </w:r>
          </w:p>
        </w:tc>
      </w:tr>
      <w:tr w:rsidR="006E1EA1" w:rsidRPr="005C4425" w14:paraId="2D213398" w14:textId="77777777" w:rsidTr="006E1EA1">
        <w:tc>
          <w:tcPr>
            <w:tcW w:w="774" w:type="pct"/>
            <w:vMerge w:val="restart"/>
            <w:tcBorders>
              <w:top w:val="single" w:sz="4" w:space="0" w:color="auto"/>
              <w:left w:val="nil"/>
              <w:right w:val="nil"/>
            </w:tcBorders>
            <w:hideMark/>
          </w:tcPr>
          <w:p w14:paraId="336B9472" w14:textId="77777777" w:rsidR="006E1EA1" w:rsidRPr="005C4425" w:rsidRDefault="006E1EA1" w:rsidP="006E1EA1">
            <w:pPr>
              <w:pStyle w:val="TableText"/>
              <w:rPr>
                <w:lang w:val="en-US"/>
              </w:rPr>
            </w:pPr>
            <w:r w:rsidRPr="005C4425">
              <w:rPr>
                <w:lang w:val="en-US"/>
              </w:rPr>
              <w:t>AL</w:t>
            </w:r>
            <w:r>
              <w:rPr>
                <w:lang w:val="en-US"/>
              </w:rPr>
              <w:t xml:space="preserve"> </w:t>
            </w:r>
            <w:r w:rsidRPr="005C4425">
              <w:rPr>
                <w:lang w:val="en-US"/>
              </w:rPr>
              <w:t>0157</w:t>
            </w:r>
          </w:p>
        </w:tc>
        <w:tc>
          <w:tcPr>
            <w:tcW w:w="2518" w:type="pct"/>
            <w:tcBorders>
              <w:top w:val="single" w:sz="4" w:space="0" w:color="auto"/>
              <w:left w:val="nil"/>
              <w:bottom w:val="single" w:sz="4" w:space="0" w:color="auto"/>
              <w:right w:val="nil"/>
            </w:tcBorders>
            <w:hideMark/>
          </w:tcPr>
          <w:p w14:paraId="412A9B80" w14:textId="77777777" w:rsidR="006E1EA1" w:rsidRPr="005C4425" w:rsidRDefault="006E1EA1" w:rsidP="006E1EA1">
            <w:pPr>
              <w:pStyle w:val="TableText"/>
              <w:rPr>
                <w:lang w:val="en-US"/>
              </w:rPr>
            </w:pPr>
            <w:r w:rsidRPr="005C4425">
              <w:rPr>
                <w:lang w:val="en-US"/>
              </w:rPr>
              <w:t>Legume animal feeds</w:t>
            </w:r>
          </w:p>
        </w:tc>
        <w:tc>
          <w:tcPr>
            <w:tcW w:w="720" w:type="pct"/>
            <w:tcBorders>
              <w:top w:val="single" w:sz="4" w:space="0" w:color="auto"/>
              <w:left w:val="nil"/>
              <w:bottom w:val="single" w:sz="4" w:space="0" w:color="auto"/>
              <w:right w:val="nil"/>
            </w:tcBorders>
            <w:hideMark/>
          </w:tcPr>
          <w:p w14:paraId="1A9C5F49" w14:textId="77777777" w:rsidR="006E1EA1" w:rsidRPr="005C4425" w:rsidRDefault="006E1EA1" w:rsidP="006E1EA1">
            <w:pPr>
              <w:pStyle w:val="TableText"/>
              <w:jc w:val="right"/>
            </w:pPr>
            <w:r w:rsidRPr="005C4425">
              <w:t>100</w:t>
            </w:r>
          </w:p>
        </w:tc>
        <w:tc>
          <w:tcPr>
            <w:tcW w:w="988" w:type="pct"/>
            <w:tcBorders>
              <w:top w:val="single" w:sz="4" w:space="0" w:color="auto"/>
              <w:left w:val="nil"/>
              <w:bottom w:val="single" w:sz="4" w:space="0" w:color="auto"/>
              <w:right w:val="nil"/>
            </w:tcBorders>
          </w:tcPr>
          <w:p w14:paraId="7C002891" w14:textId="77777777" w:rsidR="006E1EA1" w:rsidRPr="005C4425" w:rsidRDefault="006E1EA1" w:rsidP="006E1EA1">
            <w:pPr>
              <w:pStyle w:val="TableText"/>
              <w:jc w:val="right"/>
            </w:pPr>
            <w:r>
              <w:t>100</w:t>
            </w:r>
          </w:p>
        </w:tc>
      </w:tr>
      <w:tr w:rsidR="006E1EA1" w:rsidRPr="005C4425" w14:paraId="59E2758A" w14:textId="77777777" w:rsidTr="006E1EA1">
        <w:tc>
          <w:tcPr>
            <w:tcW w:w="774" w:type="pct"/>
            <w:vMerge/>
            <w:tcBorders>
              <w:left w:val="nil"/>
              <w:bottom w:val="single" w:sz="4" w:space="0" w:color="auto"/>
              <w:right w:val="nil"/>
            </w:tcBorders>
          </w:tcPr>
          <w:p w14:paraId="6DC51DDD" w14:textId="77777777" w:rsidR="006E1EA1" w:rsidRPr="005C4425" w:rsidRDefault="006E1EA1" w:rsidP="006E1EA1">
            <w:pPr>
              <w:pStyle w:val="TableText"/>
              <w:rPr>
                <w:lang w:val="en-US"/>
              </w:rPr>
            </w:pPr>
          </w:p>
        </w:tc>
        <w:tc>
          <w:tcPr>
            <w:tcW w:w="2518" w:type="pct"/>
            <w:tcBorders>
              <w:top w:val="single" w:sz="4" w:space="0" w:color="auto"/>
              <w:left w:val="nil"/>
              <w:bottom w:val="single" w:sz="4" w:space="0" w:color="auto"/>
              <w:right w:val="nil"/>
            </w:tcBorders>
            <w:hideMark/>
          </w:tcPr>
          <w:p w14:paraId="3E17AAB6" w14:textId="77777777" w:rsidR="006E1EA1" w:rsidRPr="005C4425" w:rsidRDefault="006E1EA1" w:rsidP="006E1EA1">
            <w:pPr>
              <w:pStyle w:val="TableText"/>
              <w:rPr>
                <w:lang w:val="en-US"/>
              </w:rPr>
            </w:pPr>
            <w:r w:rsidRPr="005C4425">
              <w:rPr>
                <w:lang w:val="en-US"/>
              </w:rPr>
              <w:t>Oilseed forage and fodder</w:t>
            </w:r>
          </w:p>
        </w:tc>
        <w:tc>
          <w:tcPr>
            <w:tcW w:w="720" w:type="pct"/>
            <w:tcBorders>
              <w:top w:val="single" w:sz="4" w:space="0" w:color="auto"/>
              <w:left w:val="nil"/>
              <w:bottom w:val="single" w:sz="4" w:space="0" w:color="auto"/>
              <w:right w:val="nil"/>
            </w:tcBorders>
            <w:hideMark/>
          </w:tcPr>
          <w:p w14:paraId="2CFCD2AC" w14:textId="77777777" w:rsidR="006E1EA1" w:rsidRPr="005C4425" w:rsidRDefault="006E1EA1" w:rsidP="006E1EA1">
            <w:pPr>
              <w:pStyle w:val="TableText"/>
              <w:jc w:val="right"/>
            </w:pPr>
            <w:r w:rsidRPr="005C4425">
              <w:t>30</w:t>
            </w:r>
          </w:p>
        </w:tc>
        <w:tc>
          <w:tcPr>
            <w:tcW w:w="988" w:type="pct"/>
            <w:tcBorders>
              <w:top w:val="single" w:sz="4" w:space="0" w:color="auto"/>
              <w:left w:val="nil"/>
              <w:bottom w:val="single" w:sz="4" w:space="0" w:color="auto"/>
              <w:right w:val="nil"/>
            </w:tcBorders>
          </w:tcPr>
          <w:p w14:paraId="7A2AE00E" w14:textId="77777777" w:rsidR="006E1EA1" w:rsidRPr="005C4425" w:rsidRDefault="006E1EA1" w:rsidP="006E1EA1">
            <w:pPr>
              <w:pStyle w:val="TableText"/>
              <w:jc w:val="right"/>
            </w:pPr>
            <w:r>
              <w:t>30</w:t>
            </w:r>
          </w:p>
        </w:tc>
      </w:tr>
      <w:tr w:rsidR="006F7C2C" w:rsidRPr="005C4425" w14:paraId="020C7391" w14:textId="77777777" w:rsidTr="006E1EA1">
        <w:tc>
          <w:tcPr>
            <w:tcW w:w="774" w:type="pct"/>
            <w:tcBorders>
              <w:top w:val="single" w:sz="4" w:space="0" w:color="auto"/>
              <w:left w:val="nil"/>
              <w:bottom w:val="single" w:sz="4" w:space="0" w:color="auto"/>
              <w:right w:val="nil"/>
            </w:tcBorders>
          </w:tcPr>
          <w:p w14:paraId="5FC42418" w14:textId="77777777" w:rsidR="006F7C2C" w:rsidRPr="005B7736" w:rsidRDefault="006F7C2C" w:rsidP="006E1EA1">
            <w:pPr>
              <w:pStyle w:val="TableText"/>
              <w:rPr>
                <w:bCs/>
                <w:lang w:val="en-US"/>
              </w:rPr>
            </w:pPr>
            <w:r w:rsidRPr="005B7736">
              <w:rPr>
                <w:bCs/>
                <w:lang w:val="en-US"/>
              </w:rPr>
              <w:t>AF</w:t>
            </w:r>
            <w:r>
              <w:rPr>
                <w:bCs/>
                <w:lang w:val="en-US"/>
              </w:rPr>
              <w:t xml:space="preserve"> </w:t>
            </w:r>
            <w:r w:rsidRPr="005B7736">
              <w:rPr>
                <w:bCs/>
                <w:lang w:val="en-US"/>
              </w:rPr>
              <w:t>016</w:t>
            </w:r>
            <w:r>
              <w:rPr>
                <w:bCs/>
                <w:lang w:val="en-US"/>
              </w:rPr>
              <w:t>1</w:t>
            </w:r>
          </w:p>
        </w:tc>
        <w:tc>
          <w:tcPr>
            <w:tcW w:w="2518" w:type="pct"/>
            <w:tcBorders>
              <w:top w:val="single" w:sz="4" w:space="0" w:color="auto"/>
              <w:left w:val="nil"/>
              <w:bottom w:val="single" w:sz="4" w:space="0" w:color="auto"/>
              <w:right w:val="nil"/>
            </w:tcBorders>
          </w:tcPr>
          <w:p w14:paraId="02A99B51" w14:textId="77777777" w:rsidR="006F7C2C" w:rsidRPr="005B7736" w:rsidRDefault="006F7C2C" w:rsidP="006E1EA1">
            <w:pPr>
              <w:pStyle w:val="TableText"/>
              <w:rPr>
                <w:bCs/>
                <w:lang w:val="en-US"/>
              </w:rPr>
            </w:pPr>
            <w:r w:rsidRPr="005B7736">
              <w:t xml:space="preserve">Forage of </w:t>
            </w:r>
            <w:r>
              <w:t>cereal grains and other grass-like plants</w:t>
            </w:r>
          </w:p>
        </w:tc>
        <w:tc>
          <w:tcPr>
            <w:tcW w:w="720" w:type="pct"/>
            <w:tcBorders>
              <w:top w:val="single" w:sz="4" w:space="0" w:color="auto"/>
              <w:left w:val="nil"/>
              <w:bottom w:val="single" w:sz="4" w:space="0" w:color="auto"/>
              <w:right w:val="nil"/>
            </w:tcBorders>
          </w:tcPr>
          <w:p w14:paraId="3FB829CC" w14:textId="0EB74387" w:rsidR="006F7C2C" w:rsidRPr="005C4425" w:rsidRDefault="006E1EA1" w:rsidP="006E1EA1">
            <w:pPr>
              <w:pStyle w:val="TableText"/>
              <w:jc w:val="right"/>
            </w:pPr>
            <w:r>
              <w:t>–</w:t>
            </w:r>
          </w:p>
        </w:tc>
        <w:tc>
          <w:tcPr>
            <w:tcW w:w="988" w:type="pct"/>
            <w:tcBorders>
              <w:top w:val="single" w:sz="4" w:space="0" w:color="auto"/>
              <w:left w:val="nil"/>
              <w:bottom w:val="single" w:sz="4" w:space="0" w:color="auto"/>
              <w:right w:val="nil"/>
            </w:tcBorders>
          </w:tcPr>
          <w:p w14:paraId="172859DF" w14:textId="77777777" w:rsidR="006F7C2C" w:rsidRPr="005C4425" w:rsidRDefault="006F7C2C" w:rsidP="006E1EA1">
            <w:pPr>
              <w:pStyle w:val="TableText"/>
              <w:jc w:val="right"/>
            </w:pPr>
            <w:r>
              <w:t>100</w:t>
            </w:r>
          </w:p>
        </w:tc>
      </w:tr>
      <w:tr w:rsidR="006F7C2C" w:rsidRPr="005C4425" w14:paraId="2A7FEB12" w14:textId="77777777" w:rsidTr="006E1EA1">
        <w:tc>
          <w:tcPr>
            <w:tcW w:w="774" w:type="pct"/>
            <w:tcBorders>
              <w:top w:val="single" w:sz="4" w:space="0" w:color="auto"/>
              <w:left w:val="nil"/>
              <w:bottom w:val="single" w:sz="4" w:space="0" w:color="auto"/>
              <w:right w:val="nil"/>
            </w:tcBorders>
          </w:tcPr>
          <w:p w14:paraId="32BA33F4" w14:textId="77777777" w:rsidR="006F7C2C" w:rsidRPr="005B7736" w:rsidRDefault="006F7C2C" w:rsidP="006E1EA1">
            <w:pPr>
              <w:pStyle w:val="TableText"/>
              <w:rPr>
                <w:bCs/>
                <w:lang w:val="en-US"/>
              </w:rPr>
            </w:pPr>
            <w:r w:rsidRPr="005B7736">
              <w:rPr>
                <w:bCs/>
                <w:lang w:val="en-US"/>
              </w:rPr>
              <w:t>AS</w:t>
            </w:r>
            <w:r>
              <w:rPr>
                <w:bCs/>
                <w:lang w:val="en-US"/>
              </w:rPr>
              <w:t xml:space="preserve"> </w:t>
            </w:r>
            <w:r w:rsidRPr="005B7736">
              <w:rPr>
                <w:bCs/>
                <w:lang w:val="en-US"/>
              </w:rPr>
              <w:t>016</w:t>
            </w:r>
            <w:r>
              <w:rPr>
                <w:bCs/>
                <w:lang w:val="en-US"/>
              </w:rPr>
              <w:t>1</w:t>
            </w:r>
          </w:p>
        </w:tc>
        <w:tc>
          <w:tcPr>
            <w:tcW w:w="2518" w:type="pct"/>
            <w:tcBorders>
              <w:top w:val="single" w:sz="4" w:space="0" w:color="auto"/>
              <w:left w:val="nil"/>
              <w:bottom w:val="single" w:sz="4" w:space="0" w:color="auto"/>
              <w:right w:val="nil"/>
            </w:tcBorders>
          </w:tcPr>
          <w:p w14:paraId="2C67ECEA" w14:textId="77777777" w:rsidR="006F7C2C" w:rsidRPr="005B7736" w:rsidRDefault="006F7C2C" w:rsidP="006E1EA1">
            <w:pPr>
              <w:pStyle w:val="TableText"/>
              <w:rPr>
                <w:bCs/>
                <w:lang w:val="en-US"/>
              </w:rPr>
            </w:pPr>
            <w:r>
              <w:t>Straw and fodder (dry) and hay of cereal grains and other grass like plants</w:t>
            </w:r>
          </w:p>
        </w:tc>
        <w:tc>
          <w:tcPr>
            <w:tcW w:w="720" w:type="pct"/>
            <w:tcBorders>
              <w:top w:val="single" w:sz="4" w:space="0" w:color="auto"/>
              <w:left w:val="nil"/>
              <w:bottom w:val="single" w:sz="4" w:space="0" w:color="auto"/>
              <w:right w:val="nil"/>
            </w:tcBorders>
          </w:tcPr>
          <w:p w14:paraId="29F88C40" w14:textId="2ECBE7C0" w:rsidR="006F7C2C" w:rsidRPr="005C4425" w:rsidRDefault="006E1EA1" w:rsidP="006E1EA1">
            <w:pPr>
              <w:pStyle w:val="TableText"/>
              <w:jc w:val="right"/>
            </w:pPr>
            <w:r>
              <w:t>–</w:t>
            </w:r>
          </w:p>
        </w:tc>
        <w:tc>
          <w:tcPr>
            <w:tcW w:w="988" w:type="pct"/>
            <w:tcBorders>
              <w:top w:val="single" w:sz="4" w:space="0" w:color="auto"/>
              <w:left w:val="nil"/>
              <w:bottom w:val="single" w:sz="4" w:space="0" w:color="auto"/>
              <w:right w:val="nil"/>
            </w:tcBorders>
          </w:tcPr>
          <w:p w14:paraId="3F29326A" w14:textId="77777777" w:rsidR="006F7C2C" w:rsidRPr="005C4425" w:rsidRDefault="006F7C2C" w:rsidP="006E1EA1">
            <w:pPr>
              <w:pStyle w:val="TableText"/>
              <w:jc w:val="right"/>
            </w:pPr>
            <w:r>
              <w:t>100</w:t>
            </w:r>
          </w:p>
        </w:tc>
      </w:tr>
    </w:tbl>
    <w:p w14:paraId="30AA0D66" w14:textId="77777777" w:rsidR="00A94767" w:rsidRDefault="00A94767" w:rsidP="00A94767">
      <w:pPr>
        <w:pStyle w:val="Heading2"/>
      </w:pPr>
      <w:bookmarkStart w:id="239" w:name="_Toc158208456"/>
      <w:bookmarkStart w:id="240" w:name="_Toc233038982"/>
      <w:r>
        <w:t xml:space="preserve">Animal </w:t>
      </w:r>
      <w:r w:rsidRPr="00964F63">
        <w:t>transfer</w:t>
      </w:r>
      <w:r>
        <w:t xml:space="preserve"> studies and animal commodity MRLs</w:t>
      </w:r>
      <w:bookmarkEnd w:id="239"/>
      <w:bookmarkEnd w:id="240"/>
    </w:p>
    <w:p w14:paraId="113843EA" w14:textId="77777777" w:rsidR="00A94767" w:rsidRDefault="00A94767" w:rsidP="00626AB9">
      <w:pPr>
        <w:pStyle w:val="Heading3"/>
      </w:pPr>
      <w:bookmarkStart w:id="241" w:name="_Toc233038983"/>
      <w:r w:rsidRPr="00C26868">
        <w:t>Poultry</w:t>
      </w:r>
      <w:bookmarkEnd w:id="241"/>
    </w:p>
    <w:p w14:paraId="369230FD" w14:textId="6D2886DE" w:rsidR="00A94767" w:rsidRDefault="00163D32" w:rsidP="00626AB9">
      <w:pPr>
        <w:pStyle w:val="NormalText"/>
      </w:pPr>
      <w:r>
        <w:t xml:space="preserve">Four studies on </w:t>
      </w:r>
      <w:r w:rsidR="00466416">
        <w:t xml:space="preserve">diquat </w:t>
      </w:r>
      <w:r>
        <w:t xml:space="preserve">residues in poultry were submitted and assessed. In </w:t>
      </w:r>
      <w:r w:rsidR="006E1EA1">
        <w:t>2</w:t>
      </w:r>
      <w:r>
        <w:t xml:space="preserve"> related studies</w:t>
      </w:r>
      <w:r w:rsidR="00466416">
        <w:t>,</w:t>
      </w:r>
      <w:r>
        <w:t xml:space="preserve"> </w:t>
      </w:r>
      <w:r w:rsidR="006E1EA1">
        <w:t>3</w:t>
      </w:r>
      <w:r w:rsidR="00A94767">
        <w:t xml:space="preserve"> groups of </w:t>
      </w:r>
      <w:r w:rsidR="006E1EA1">
        <w:t>30 </w:t>
      </w:r>
      <w:r w:rsidR="00A94767">
        <w:t>chickens each were fed nominally 1, 5 or 10 mg/kg diquat in the diet for 28 days</w:t>
      </w:r>
      <w:r>
        <w:t xml:space="preserve"> (</w:t>
      </w:r>
      <w:r w:rsidRPr="00002AB8">
        <w:t>Fletcher, 1977; Lai et al, 1977)</w:t>
      </w:r>
      <w:r w:rsidR="00A94767">
        <w:t xml:space="preserve">. Ten chickens from each group were sacrificed on day 21 and day 28 with the remaining birds kept on a control diet for 7 days prior to sacrifice. Eggs were collected on days </w:t>
      </w:r>
      <w:r w:rsidR="006E1EA1">
        <w:t>one</w:t>
      </w:r>
      <w:r w:rsidR="00A94767">
        <w:t>, 14, 21 and 28 and the final day of the recovery diet. No residues greater than 0.005 mg/kg were detected in the egg, fat, muscle, liver or heart samples. I</w:t>
      </w:r>
      <w:r>
        <w:t>n</w:t>
      </w:r>
      <w:r w:rsidR="00A94767">
        <w:t xml:space="preserve"> skin, only the day 21 sample from the 10 mg/kg dose contained residues greater than 0.005 mg/kg at 0.006</w:t>
      </w:r>
      <w:r w:rsidR="006E1EA1">
        <w:t> </w:t>
      </w:r>
      <w:r w:rsidR="00A94767">
        <w:t>mg/kg. The gizzards contained detectable residues which ranged from 0.006 mg/kg at the lowest feeding level at day 21 to 0.022 mg/kg at the highest level at day 28. Residues in gizzards declined after cessation of feeding.</w:t>
      </w:r>
    </w:p>
    <w:p w14:paraId="216E309B" w14:textId="7289337A" w:rsidR="00A94767" w:rsidRDefault="00163D32" w:rsidP="00626AB9">
      <w:pPr>
        <w:pStyle w:val="NormalText"/>
      </w:pPr>
      <w:r>
        <w:t xml:space="preserve">In </w:t>
      </w:r>
      <w:r w:rsidR="006E1EA1">
        <w:t>2</w:t>
      </w:r>
      <w:r>
        <w:t xml:space="preserve"> further studies, </w:t>
      </w:r>
      <w:r w:rsidR="006E1EA1">
        <w:t>3</w:t>
      </w:r>
      <w:r w:rsidR="00A94767">
        <w:t xml:space="preserve"> groups of 40 hens each were fed nominally 2, 5 or 10 mg/kg diquat in the diet for </w:t>
      </w:r>
      <w:r w:rsidR="006E1EA1">
        <w:t>6 </w:t>
      </w:r>
      <w:r w:rsidR="00A94767">
        <w:t>weeks</w:t>
      </w:r>
      <w:r>
        <w:t xml:space="preserve"> (</w:t>
      </w:r>
      <w:r w:rsidRPr="00002AB8">
        <w:t>Leahey, 1975; Edwards and Smith, 1975)</w:t>
      </w:r>
      <w:r w:rsidR="00A94767">
        <w:t xml:space="preserve">. Samples of eggs were collected throughout the trial and tissue samples taken after </w:t>
      </w:r>
      <w:r w:rsidR="006E1EA1">
        <w:t>6</w:t>
      </w:r>
      <w:r w:rsidR="00A94767">
        <w:t xml:space="preserve"> weeks. No detectable residues of diquat were found in the egg white or yolk, and from hens slaughtered after 16, 28 and 45 days, no detectable residues of diquat were found in the meat, liver or kidneys. The limit of detection in eggs, meat and liver was 0.05 mg/kg and in kidney was 0.2 mg/kg.</w:t>
      </w:r>
    </w:p>
    <w:p w14:paraId="1B4B63DB" w14:textId="1488CBA1" w:rsidR="00A94767" w:rsidRDefault="00A94767" w:rsidP="00626AB9">
      <w:pPr>
        <w:pStyle w:val="NormalText"/>
      </w:pPr>
      <w:r>
        <w:t xml:space="preserve">Current poultry MRLs are *0.01 mg/kg for eggs and *0.05 mg/kg for meat and offal. Data from the animal transfer studies indicate that a dietary intake of 10 mg/kg would not produce detectable residues in the meat, offal or eggs. Although not a typical diet, it is assumed either cereal grain or pulses could make up 100% of the poultry diet. In </w:t>
      </w:r>
      <w:r>
        <w:lastRenderedPageBreak/>
        <w:t>this case, the poultry dietary intake at the current maximum MRLs for cereals and pulses (5 and 1 mg/kg, respectively) would not result in violative residues in the meat, offal or eggs.</w:t>
      </w:r>
    </w:p>
    <w:p w14:paraId="5D278BC9" w14:textId="4BC480B8" w:rsidR="00002AB8" w:rsidRPr="00002AB8" w:rsidRDefault="00002AB8" w:rsidP="00002AB8">
      <w:pPr>
        <w:pStyle w:val="NormalText"/>
      </w:pPr>
      <w:r w:rsidRPr="00002AB8">
        <w:t xml:space="preserve">More refined dietary burden calculations for poultry broilers and layers are presented in </w:t>
      </w:r>
      <w:r w:rsidR="0016566A">
        <w:fldChar w:fldCharType="begin" w:fldLock="1"/>
      </w:r>
      <w:r w:rsidR="0016566A">
        <w:instrText xml:space="preserve"> REF _Ref167093108 \h </w:instrText>
      </w:r>
      <w:r w:rsidR="0016566A">
        <w:fldChar w:fldCharType="separate"/>
      </w:r>
      <w:r w:rsidR="0033298E">
        <w:t xml:space="preserve">Table </w:t>
      </w:r>
      <w:r w:rsidR="0033298E">
        <w:rPr>
          <w:noProof/>
        </w:rPr>
        <w:t>14</w:t>
      </w:r>
      <w:r w:rsidR="0016566A">
        <w:fldChar w:fldCharType="end"/>
      </w:r>
      <w:r w:rsidRPr="00002AB8">
        <w:t xml:space="preserve"> and </w:t>
      </w:r>
      <w:r w:rsidR="0016566A">
        <w:fldChar w:fldCharType="begin" w:fldLock="1"/>
      </w:r>
      <w:r w:rsidR="0016566A">
        <w:instrText xml:space="preserve"> REF _Ref168672301 \h </w:instrText>
      </w:r>
      <w:r w:rsidR="0016566A">
        <w:fldChar w:fldCharType="separate"/>
      </w:r>
      <w:r w:rsidR="0033298E">
        <w:t xml:space="preserve">Table </w:t>
      </w:r>
      <w:r w:rsidR="0033298E">
        <w:rPr>
          <w:noProof/>
        </w:rPr>
        <w:t>15</w:t>
      </w:r>
      <w:r w:rsidR="0016566A">
        <w:fldChar w:fldCharType="end"/>
      </w:r>
      <w:r w:rsidRPr="00002AB8">
        <w:t xml:space="preserve"> using the OECD Feed Calculator and the relevant HR or Supervised Trials Median Residue (STMR)</w:t>
      </w:r>
      <w:r w:rsidR="006E1EA1">
        <w:t>.</w:t>
      </w:r>
    </w:p>
    <w:p w14:paraId="18A6A3AA" w14:textId="17FF5AE7" w:rsidR="00002AB8" w:rsidRPr="000179FF" w:rsidRDefault="00002AB8" w:rsidP="000179FF">
      <w:pPr>
        <w:pStyle w:val="Caption"/>
      </w:pPr>
      <w:bookmarkStart w:id="242" w:name="_Ref167093108"/>
      <w:bookmarkStart w:id="243" w:name="_Toc167305359"/>
      <w:bookmarkStart w:id="244" w:name="_Toc232589609"/>
      <w:r w:rsidRPr="000179FF">
        <w:t xml:space="preserve">Table </w:t>
      </w:r>
      <w:fldSimple w:instr=" SEQ Table \* ARABIC ">
        <w:r w:rsidR="000179FF">
          <w:rPr>
            <w:noProof/>
          </w:rPr>
          <w:t>14</w:t>
        </w:r>
      </w:fldSimple>
      <w:bookmarkEnd w:id="242"/>
      <w:r w:rsidRPr="000179FF">
        <w:t xml:space="preserve">: Calculation of poultry broiler dietary burden of </w:t>
      </w:r>
      <w:bookmarkEnd w:id="243"/>
      <w:r w:rsidRPr="000179FF">
        <w:t>diquat</w:t>
      </w:r>
      <w:bookmarkEnd w:id="2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002AB8" w14:paraId="2421FD31" w14:textId="77777777" w:rsidTr="006E1EA1">
        <w:trPr>
          <w:tblHeader/>
        </w:trPr>
        <w:tc>
          <w:tcPr>
            <w:tcW w:w="9643" w:type="dxa"/>
            <w:gridSpan w:val="8"/>
            <w:tcBorders>
              <w:top w:val="single" w:sz="4" w:space="0" w:color="auto"/>
              <w:bottom w:val="single" w:sz="4" w:space="0" w:color="auto"/>
            </w:tcBorders>
            <w:shd w:val="clear" w:color="auto" w:fill="5C2946"/>
          </w:tcPr>
          <w:p w14:paraId="4BE17A69" w14:textId="136B885B" w:rsidR="00002AB8" w:rsidRDefault="00002AB8" w:rsidP="008A20A1">
            <w:pPr>
              <w:pStyle w:val="TableHead"/>
            </w:pPr>
            <w:bookmarkStart w:id="245" w:name="_Hlk167094258"/>
            <w:r>
              <w:t xml:space="preserve">Poultry </w:t>
            </w:r>
            <w:r w:rsidR="006E1EA1">
              <w:t>b</w:t>
            </w:r>
            <w:r>
              <w:t>roiler – for MRLs</w:t>
            </w:r>
          </w:p>
        </w:tc>
      </w:tr>
      <w:tr w:rsidR="00002AB8" w14:paraId="29394544" w14:textId="77777777" w:rsidTr="006E1EA1">
        <w:trPr>
          <w:tblHeader/>
        </w:trPr>
        <w:tc>
          <w:tcPr>
            <w:tcW w:w="1203" w:type="dxa"/>
            <w:tcBorders>
              <w:top w:val="single" w:sz="4" w:space="0" w:color="auto"/>
              <w:bottom w:val="single" w:sz="4" w:space="0" w:color="auto"/>
            </w:tcBorders>
            <w:shd w:val="clear" w:color="auto" w:fill="5C2946"/>
          </w:tcPr>
          <w:p w14:paraId="46FAFB9F" w14:textId="77777777" w:rsidR="00002AB8" w:rsidRDefault="00002AB8" w:rsidP="008A20A1">
            <w:pPr>
              <w:pStyle w:val="TableHead"/>
            </w:pPr>
            <w:r>
              <w:t>Commodity</w:t>
            </w:r>
          </w:p>
        </w:tc>
        <w:tc>
          <w:tcPr>
            <w:tcW w:w="1209" w:type="dxa"/>
            <w:tcBorders>
              <w:top w:val="single" w:sz="4" w:space="0" w:color="auto"/>
              <w:bottom w:val="single" w:sz="4" w:space="0" w:color="auto"/>
            </w:tcBorders>
            <w:shd w:val="clear" w:color="auto" w:fill="5C2946"/>
          </w:tcPr>
          <w:p w14:paraId="2593CCCB" w14:textId="16A1967C" w:rsidR="00002AB8" w:rsidRDefault="00002AB8" w:rsidP="008A20A1">
            <w:pPr>
              <w:pStyle w:val="TableHead"/>
            </w:pPr>
            <w:r>
              <w:t>Codex Commodity Code</w:t>
            </w:r>
            <w:r w:rsidR="00E61669">
              <w:rPr>
                <w:rFonts w:ascii="ZWAdobeF" w:hAnsi="ZWAdobeF" w:cs="ZWAdobeF"/>
                <w:color w:val="auto"/>
                <w:spacing w:val="0"/>
                <w:sz w:val="2"/>
                <w:szCs w:val="2"/>
              </w:rPr>
              <w:t>11F</w:t>
            </w:r>
            <w:r w:rsidR="00602535">
              <w:rPr>
                <w:rFonts w:ascii="ZWAdobeF" w:hAnsi="ZWAdobeF" w:cs="ZWAdobeF"/>
                <w:color w:val="auto"/>
                <w:spacing w:val="0"/>
                <w:sz w:val="2"/>
                <w:szCs w:val="2"/>
              </w:rPr>
              <w:t>12F</w:t>
            </w:r>
            <w:r>
              <w:rPr>
                <w:rStyle w:val="FootnoteReference"/>
              </w:rPr>
              <w:footnoteReference w:id="14"/>
            </w:r>
          </w:p>
        </w:tc>
        <w:tc>
          <w:tcPr>
            <w:tcW w:w="1199" w:type="dxa"/>
            <w:tcBorders>
              <w:top w:val="single" w:sz="4" w:space="0" w:color="auto"/>
              <w:bottom w:val="single" w:sz="4" w:space="0" w:color="auto"/>
            </w:tcBorders>
            <w:shd w:val="clear" w:color="auto" w:fill="5C2946"/>
          </w:tcPr>
          <w:p w14:paraId="32244CE8" w14:textId="77777777" w:rsidR="00002AB8" w:rsidRDefault="00002AB8" w:rsidP="008A20A1">
            <w:pPr>
              <w:pStyle w:val="TableHead"/>
            </w:pPr>
            <w:r>
              <w:t>Residue (mg/kg)</w:t>
            </w:r>
          </w:p>
        </w:tc>
        <w:tc>
          <w:tcPr>
            <w:tcW w:w="1197" w:type="dxa"/>
            <w:tcBorders>
              <w:top w:val="single" w:sz="4" w:space="0" w:color="auto"/>
              <w:bottom w:val="single" w:sz="4" w:space="0" w:color="auto"/>
            </w:tcBorders>
            <w:shd w:val="clear" w:color="auto" w:fill="5C2946"/>
          </w:tcPr>
          <w:p w14:paraId="35A72CDC" w14:textId="77777777" w:rsidR="00002AB8" w:rsidRDefault="00002AB8" w:rsidP="008A20A1">
            <w:pPr>
              <w:pStyle w:val="TableHead"/>
            </w:pPr>
            <w:r>
              <w:t>Basis</w:t>
            </w:r>
          </w:p>
        </w:tc>
        <w:tc>
          <w:tcPr>
            <w:tcW w:w="1199" w:type="dxa"/>
            <w:tcBorders>
              <w:top w:val="single" w:sz="4" w:space="0" w:color="auto"/>
              <w:bottom w:val="single" w:sz="4" w:space="0" w:color="auto"/>
            </w:tcBorders>
            <w:shd w:val="clear" w:color="auto" w:fill="5C2946"/>
          </w:tcPr>
          <w:p w14:paraId="6970BFD2" w14:textId="77777777" w:rsidR="00002AB8" w:rsidRDefault="00002AB8" w:rsidP="006E1EA1">
            <w:pPr>
              <w:pStyle w:val="TableHead"/>
              <w:jc w:val="right"/>
            </w:pPr>
            <w:r>
              <w:t>Dry matter (%)</w:t>
            </w:r>
          </w:p>
        </w:tc>
        <w:tc>
          <w:tcPr>
            <w:tcW w:w="1200" w:type="dxa"/>
            <w:tcBorders>
              <w:top w:val="single" w:sz="4" w:space="0" w:color="auto"/>
              <w:bottom w:val="single" w:sz="4" w:space="0" w:color="auto"/>
            </w:tcBorders>
            <w:shd w:val="clear" w:color="auto" w:fill="5C2946"/>
          </w:tcPr>
          <w:p w14:paraId="257BDB91" w14:textId="77777777" w:rsidR="00002AB8" w:rsidRDefault="00002AB8" w:rsidP="006E1EA1">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1BA32252" w14:textId="77777777" w:rsidR="00002AB8" w:rsidRDefault="00002AB8" w:rsidP="006E1EA1">
            <w:pPr>
              <w:pStyle w:val="TableHead"/>
              <w:jc w:val="right"/>
            </w:pPr>
            <w:r>
              <w:t>Diet content (%)</w:t>
            </w:r>
          </w:p>
        </w:tc>
        <w:tc>
          <w:tcPr>
            <w:tcW w:w="1236" w:type="dxa"/>
            <w:tcBorders>
              <w:top w:val="single" w:sz="4" w:space="0" w:color="auto"/>
              <w:bottom w:val="single" w:sz="4" w:space="0" w:color="auto"/>
            </w:tcBorders>
            <w:shd w:val="clear" w:color="auto" w:fill="5C2946"/>
          </w:tcPr>
          <w:p w14:paraId="5C6852B1" w14:textId="693E99E4" w:rsidR="00002AB8" w:rsidRDefault="00002AB8" w:rsidP="006E1EA1">
            <w:pPr>
              <w:pStyle w:val="TableHead"/>
              <w:jc w:val="right"/>
            </w:pPr>
            <w:r>
              <w:t xml:space="preserve">Residue </w:t>
            </w:r>
            <w:r w:rsidR="006E1EA1">
              <w:t>c</w:t>
            </w:r>
            <w:r>
              <w:t>ontribution (ppm)</w:t>
            </w:r>
          </w:p>
        </w:tc>
      </w:tr>
      <w:tr w:rsidR="00002AB8" w14:paraId="7434F22A" w14:textId="77777777" w:rsidTr="006E1EA1">
        <w:tc>
          <w:tcPr>
            <w:tcW w:w="1203" w:type="dxa"/>
            <w:tcBorders>
              <w:top w:val="single" w:sz="4" w:space="0" w:color="auto"/>
              <w:bottom w:val="single" w:sz="4" w:space="0" w:color="auto"/>
            </w:tcBorders>
          </w:tcPr>
          <w:p w14:paraId="152309F0" w14:textId="77777777" w:rsidR="00002AB8" w:rsidRDefault="00002AB8" w:rsidP="008A20A1">
            <w:pPr>
              <w:pStyle w:val="TableText"/>
            </w:pPr>
            <w:r>
              <w:t>Alfalfa forage</w:t>
            </w:r>
          </w:p>
        </w:tc>
        <w:tc>
          <w:tcPr>
            <w:tcW w:w="1209" w:type="dxa"/>
            <w:tcBorders>
              <w:top w:val="single" w:sz="4" w:space="0" w:color="auto"/>
              <w:bottom w:val="single" w:sz="4" w:space="0" w:color="auto"/>
            </w:tcBorders>
          </w:tcPr>
          <w:p w14:paraId="7C40F38E" w14:textId="77777777" w:rsidR="00002AB8" w:rsidRDefault="00002AB8" w:rsidP="008A20A1">
            <w:pPr>
              <w:pStyle w:val="TableText"/>
            </w:pPr>
            <w:r>
              <w:t>AL</w:t>
            </w:r>
          </w:p>
        </w:tc>
        <w:tc>
          <w:tcPr>
            <w:tcW w:w="1199" w:type="dxa"/>
            <w:tcBorders>
              <w:top w:val="single" w:sz="4" w:space="0" w:color="auto"/>
              <w:bottom w:val="single" w:sz="4" w:space="0" w:color="auto"/>
            </w:tcBorders>
          </w:tcPr>
          <w:p w14:paraId="62CC97B4" w14:textId="218FE206" w:rsidR="00002AB8" w:rsidRDefault="00002AB8" w:rsidP="008A20A1">
            <w:pPr>
              <w:pStyle w:val="TableText"/>
            </w:pPr>
            <w:r>
              <w:t>1</w:t>
            </w:r>
            <w:r w:rsidR="00680ED5">
              <w:t>00</w:t>
            </w:r>
          </w:p>
        </w:tc>
        <w:tc>
          <w:tcPr>
            <w:tcW w:w="1197" w:type="dxa"/>
            <w:tcBorders>
              <w:top w:val="single" w:sz="4" w:space="0" w:color="auto"/>
              <w:bottom w:val="single" w:sz="4" w:space="0" w:color="auto"/>
            </w:tcBorders>
          </w:tcPr>
          <w:p w14:paraId="5DE4BDD0" w14:textId="77777777" w:rsidR="00002AB8" w:rsidRDefault="00002AB8" w:rsidP="008A20A1">
            <w:pPr>
              <w:pStyle w:val="TableText"/>
            </w:pPr>
            <w:r>
              <w:t>HR</w:t>
            </w:r>
          </w:p>
        </w:tc>
        <w:tc>
          <w:tcPr>
            <w:tcW w:w="1199" w:type="dxa"/>
            <w:tcBorders>
              <w:top w:val="single" w:sz="4" w:space="0" w:color="auto"/>
              <w:bottom w:val="single" w:sz="4" w:space="0" w:color="auto"/>
            </w:tcBorders>
          </w:tcPr>
          <w:p w14:paraId="2B52C435" w14:textId="77777777" w:rsidR="00002AB8" w:rsidRDefault="00002AB8" w:rsidP="006E1EA1">
            <w:pPr>
              <w:pStyle w:val="TableText"/>
              <w:jc w:val="right"/>
            </w:pPr>
            <w:r>
              <w:t>100</w:t>
            </w:r>
          </w:p>
        </w:tc>
        <w:tc>
          <w:tcPr>
            <w:tcW w:w="1200" w:type="dxa"/>
            <w:tcBorders>
              <w:top w:val="single" w:sz="4" w:space="0" w:color="auto"/>
              <w:bottom w:val="single" w:sz="4" w:space="0" w:color="auto"/>
            </w:tcBorders>
          </w:tcPr>
          <w:p w14:paraId="213DF175" w14:textId="074F4A0E" w:rsidR="00002AB8" w:rsidRDefault="00002AB8" w:rsidP="006E1EA1">
            <w:pPr>
              <w:pStyle w:val="TableText"/>
              <w:jc w:val="right"/>
            </w:pPr>
            <w:r>
              <w:t>1</w:t>
            </w:r>
            <w:r w:rsidR="00680ED5">
              <w:t>00.0</w:t>
            </w:r>
          </w:p>
        </w:tc>
        <w:tc>
          <w:tcPr>
            <w:tcW w:w="1200" w:type="dxa"/>
            <w:tcBorders>
              <w:top w:val="single" w:sz="4" w:space="0" w:color="auto"/>
              <w:bottom w:val="single" w:sz="4" w:space="0" w:color="auto"/>
            </w:tcBorders>
          </w:tcPr>
          <w:p w14:paraId="6064E4ED" w14:textId="67251EE7" w:rsidR="00002AB8" w:rsidRDefault="006E1EA1" w:rsidP="006E1EA1">
            <w:pPr>
              <w:pStyle w:val="TableText"/>
              <w:jc w:val="right"/>
            </w:pPr>
            <w:r>
              <w:t>–</w:t>
            </w:r>
          </w:p>
        </w:tc>
        <w:tc>
          <w:tcPr>
            <w:tcW w:w="1236" w:type="dxa"/>
            <w:tcBorders>
              <w:top w:val="single" w:sz="4" w:space="0" w:color="auto"/>
              <w:bottom w:val="single" w:sz="4" w:space="0" w:color="auto"/>
            </w:tcBorders>
          </w:tcPr>
          <w:p w14:paraId="19AF469F" w14:textId="09324574" w:rsidR="00002AB8" w:rsidRDefault="006E1EA1" w:rsidP="006E1EA1">
            <w:pPr>
              <w:pStyle w:val="TableText"/>
              <w:jc w:val="right"/>
            </w:pPr>
            <w:r>
              <w:t>–</w:t>
            </w:r>
          </w:p>
        </w:tc>
      </w:tr>
      <w:tr w:rsidR="00002AB8" w14:paraId="7DF4E520" w14:textId="77777777" w:rsidTr="006E1EA1">
        <w:trPr>
          <w:trHeight w:val="282"/>
        </w:trPr>
        <w:tc>
          <w:tcPr>
            <w:tcW w:w="1203" w:type="dxa"/>
            <w:tcBorders>
              <w:top w:val="single" w:sz="4" w:space="0" w:color="auto"/>
              <w:bottom w:val="single" w:sz="4" w:space="0" w:color="auto"/>
            </w:tcBorders>
          </w:tcPr>
          <w:p w14:paraId="227F4FCB" w14:textId="73A7C8F2" w:rsidR="00002AB8" w:rsidRDefault="00680ED5" w:rsidP="008A20A1">
            <w:pPr>
              <w:pStyle w:val="TableText"/>
            </w:pPr>
            <w:r>
              <w:t>Rice grain</w:t>
            </w:r>
          </w:p>
        </w:tc>
        <w:tc>
          <w:tcPr>
            <w:tcW w:w="1209" w:type="dxa"/>
            <w:tcBorders>
              <w:top w:val="single" w:sz="4" w:space="0" w:color="auto"/>
              <w:bottom w:val="single" w:sz="4" w:space="0" w:color="auto"/>
            </w:tcBorders>
          </w:tcPr>
          <w:p w14:paraId="0924D167" w14:textId="77777777" w:rsidR="00002AB8" w:rsidRDefault="00002AB8" w:rsidP="008A20A1">
            <w:pPr>
              <w:pStyle w:val="TableText"/>
            </w:pPr>
            <w:r>
              <w:t>VD</w:t>
            </w:r>
          </w:p>
        </w:tc>
        <w:tc>
          <w:tcPr>
            <w:tcW w:w="1199" w:type="dxa"/>
            <w:tcBorders>
              <w:top w:val="single" w:sz="4" w:space="0" w:color="auto"/>
              <w:bottom w:val="single" w:sz="4" w:space="0" w:color="auto"/>
            </w:tcBorders>
          </w:tcPr>
          <w:p w14:paraId="648207CD" w14:textId="13F29E4A" w:rsidR="00002AB8" w:rsidRDefault="00680ED5" w:rsidP="008A20A1">
            <w:pPr>
              <w:pStyle w:val="TableText"/>
            </w:pPr>
            <w:r>
              <w:t>2.1</w:t>
            </w:r>
          </w:p>
        </w:tc>
        <w:tc>
          <w:tcPr>
            <w:tcW w:w="1197" w:type="dxa"/>
            <w:tcBorders>
              <w:top w:val="single" w:sz="4" w:space="0" w:color="auto"/>
              <w:bottom w:val="single" w:sz="4" w:space="0" w:color="auto"/>
            </w:tcBorders>
          </w:tcPr>
          <w:p w14:paraId="6B7223D4" w14:textId="77777777" w:rsidR="00002AB8" w:rsidRDefault="00002AB8" w:rsidP="008A20A1">
            <w:pPr>
              <w:pStyle w:val="TableText"/>
            </w:pPr>
            <w:r>
              <w:t>STMR</w:t>
            </w:r>
          </w:p>
        </w:tc>
        <w:tc>
          <w:tcPr>
            <w:tcW w:w="1199" w:type="dxa"/>
            <w:tcBorders>
              <w:top w:val="single" w:sz="4" w:space="0" w:color="auto"/>
              <w:bottom w:val="single" w:sz="4" w:space="0" w:color="auto"/>
            </w:tcBorders>
          </w:tcPr>
          <w:p w14:paraId="14D56C7C" w14:textId="77777777" w:rsidR="00002AB8" w:rsidRDefault="00002AB8" w:rsidP="006E1EA1">
            <w:pPr>
              <w:pStyle w:val="TableText"/>
              <w:jc w:val="right"/>
            </w:pPr>
            <w:r>
              <w:t>88</w:t>
            </w:r>
          </w:p>
        </w:tc>
        <w:tc>
          <w:tcPr>
            <w:tcW w:w="1200" w:type="dxa"/>
            <w:tcBorders>
              <w:top w:val="single" w:sz="4" w:space="0" w:color="auto"/>
              <w:bottom w:val="single" w:sz="4" w:space="0" w:color="auto"/>
            </w:tcBorders>
          </w:tcPr>
          <w:p w14:paraId="5AAF9D3F" w14:textId="27FA693A" w:rsidR="00002AB8" w:rsidRDefault="00680ED5" w:rsidP="006E1EA1">
            <w:pPr>
              <w:pStyle w:val="TableText"/>
              <w:jc w:val="right"/>
            </w:pPr>
            <w:r>
              <w:t>2.4</w:t>
            </w:r>
          </w:p>
        </w:tc>
        <w:tc>
          <w:tcPr>
            <w:tcW w:w="1200" w:type="dxa"/>
            <w:tcBorders>
              <w:top w:val="single" w:sz="4" w:space="0" w:color="auto"/>
              <w:bottom w:val="single" w:sz="4" w:space="0" w:color="auto"/>
            </w:tcBorders>
          </w:tcPr>
          <w:p w14:paraId="1E306FAD" w14:textId="6535F138" w:rsidR="00002AB8" w:rsidRDefault="00680ED5" w:rsidP="006E1EA1">
            <w:pPr>
              <w:pStyle w:val="TableText"/>
              <w:jc w:val="right"/>
            </w:pPr>
            <w:r>
              <w:t>50</w:t>
            </w:r>
          </w:p>
        </w:tc>
        <w:tc>
          <w:tcPr>
            <w:tcW w:w="1236" w:type="dxa"/>
            <w:tcBorders>
              <w:top w:val="single" w:sz="4" w:space="0" w:color="auto"/>
              <w:bottom w:val="single" w:sz="4" w:space="0" w:color="auto"/>
            </w:tcBorders>
          </w:tcPr>
          <w:p w14:paraId="43390801" w14:textId="31C09621" w:rsidR="00002AB8" w:rsidRDefault="00680ED5" w:rsidP="006E1EA1">
            <w:pPr>
              <w:pStyle w:val="TableText"/>
              <w:jc w:val="right"/>
            </w:pPr>
            <w:r>
              <w:t>1.2</w:t>
            </w:r>
          </w:p>
        </w:tc>
      </w:tr>
      <w:tr w:rsidR="00002AB8" w14:paraId="3F6A8A1F" w14:textId="77777777" w:rsidTr="006E1EA1">
        <w:tc>
          <w:tcPr>
            <w:tcW w:w="1203" w:type="dxa"/>
            <w:tcBorders>
              <w:top w:val="single" w:sz="4" w:space="0" w:color="auto"/>
              <w:bottom w:val="single" w:sz="4" w:space="0" w:color="auto"/>
            </w:tcBorders>
          </w:tcPr>
          <w:p w14:paraId="1B636ED0" w14:textId="21A2A7C1" w:rsidR="00002AB8" w:rsidRDefault="00002AB8" w:rsidP="008A20A1">
            <w:pPr>
              <w:pStyle w:val="TableText"/>
            </w:pPr>
            <w:r>
              <w:t>Sorghum, grain</w:t>
            </w:r>
          </w:p>
        </w:tc>
        <w:tc>
          <w:tcPr>
            <w:tcW w:w="1209" w:type="dxa"/>
            <w:tcBorders>
              <w:top w:val="single" w:sz="4" w:space="0" w:color="auto"/>
              <w:bottom w:val="single" w:sz="4" w:space="0" w:color="auto"/>
            </w:tcBorders>
          </w:tcPr>
          <w:p w14:paraId="509EDBB5" w14:textId="77777777" w:rsidR="00002AB8" w:rsidRDefault="00002AB8" w:rsidP="008A20A1">
            <w:pPr>
              <w:pStyle w:val="TableText"/>
            </w:pPr>
            <w:r>
              <w:t>GC</w:t>
            </w:r>
          </w:p>
        </w:tc>
        <w:tc>
          <w:tcPr>
            <w:tcW w:w="1199" w:type="dxa"/>
            <w:tcBorders>
              <w:top w:val="single" w:sz="4" w:space="0" w:color="auto"/>
              <w:bottom w:val="single" w:sz="4" w:space="0" w:color="auto"/>
            </w:tcBorders>
          </w:tcPr>
          <w:p w14:paraId="795F86CB" w14:textId="067766A9" w:rsidR="00002AB8" w:rsidRDefault="00680ED5" w:rsidP="008A20A1">
            <w:pPr>
              <w:pStyle w:val="TableText"/>
            </w:pPr>
            <w:r>
              <w:t>1.1</w:t>
            </w:r>
          </w:p>
        </w:tc>
        <w:tc>
          <w:tcPr>
            <w:tcW w:w="1197" w:type="dxa"/>
            <w:tcBorders>
              <w:top w:val="single" w:sz="4" w:space="0" w:color="auto"/>
              <w:bottom w:val="single" w:sz="4" w:space="0" w:color="auto"/>
            </w:tcBorders>
          </w:tcPr>
          <w:p w14:paraId="60C303FE" w14:textId="575D5144" w:rsidR="00002AB8" w:rsidRDefault="00680ED5" w:rsidP="008A20A1">
            <w:pPr>
              <w:pStyle w:val="TableText"/>
            </w:pPr>
            <w:r w:rsidRPr="006E1275">
              <w:t>STMR</w:t>
            </w:r>
          </w:p>
        </w:tc>
        <w:tc>
          <w:tcPr>
            <w:tcW w:w="1199" w:type="dxa"/>
            <w:tcBorders>
              <w:top w:val="single" w:sz="4" w:space="0" w:color="auto"/>
              <w:bottom w:val="single" w:sz="4" w:space="0" w:color="auto"/>
            </w:tcBorders>
          </w:tcPr>
          <w:p w14:paraId="347D16FE" w14:textId="77777777" w:rsidR="00002AB8" w:rsidRDefault="00002AB8" w:rsidP="006E1EA1">
            <w:pPr>
              <w:pStyle w:val="TableText"/>
              <w:jc w:val="right"/>
            </w:pPr>
            <w:r>
              <w:t>86</w:t>
            </w:r>
          </w:p>
        </w:tc>
        <w:tc>
          <w:tcPr>
            <w:tcW w:w="1200" w:type="dxa"/>
            <w:tcBorders>
              <w:top w:val="single" w:sz="4" w:space="0" w:color="auto"/>
              <w:bottom w:val="single" w:sz="4" w:space="0" w:color="auto"/>
            </w:tcBorders>
          </w:tcPr>
          <w:p w14:paraId="3DE7E172" w14:textId="408A0E99" w:rsidR="00002AB8" w:rsidRDefault="00680ED5" w:rsidP="006E1EA1">
            <w:pPr>
              <w:pStyle w:val="TableText"/>
              <w:jc w:val="right"/>
            </w:pPr>
            <w:r>
              <w:t>4.3</w:t>
            </w:r>
          </w:p>
        </w:tc>
        <w:tc>
          <w:tcPr>
            <w:tcW w:w="1200" w:type="dxa"/>
            <w:tcBorders>
              <w:top w:val="single" w:sz="4" w:space="0" w:color="auto"/>
              <w:bottom w:val="single" w:sz="4" w:space="0" w:color="auto"/>
            </w:tcBorders>
          </w:tcPr>
          <w:p w14:paraId="03C09DB9" w14:textId="1B0C2DC2" w:rsidR="00002AB8" w:rsidRDefault="00680ED5" w:rsidP="006E1EA1">
            <w:pPr>
              <w:pStyle w:val="TableText"/>
              <w:jc w:val="right"/>
            </w:pPr>
            <w:r>
              <w:t>50</w:t>
            </w:r>
          </w:p>
        </w:tc>
        <w:tc>
          <w:tcPr>
            <w:tcW w:w="1236" w:type="dxa"/>
            <w:tcBorders>
              <w:top w:val="single" w:sz="4" w:space="0" w:color="auto"/>
              <w:bottom w:val="single" w:sz="4" w:space="0" w:color="auto"/>
            </w:tcBorders>
          </w:tcPr>
          <w:p w14:paraId="0F6F6461" w14:textId="150CB53E" w:rsidR="00002AB8" w:rsidRDefault="00680ED5" w:rsidP="006E1EA1">
            <w:pPr>
              <w:pStyle w:val="TableText"/>
              <w:jc w:val="right"/>
            </w:pPr>
            <w:r>
              <w:t>0.6</w:t>
            </w:r>
          </w:p>
        </w:tc>
      </w:tr>
      <w:tr w:rsidR="006E1EA1" w14:paraId="5B1D5F41" w14:textId="77777777" w:rsidTr="006E1EA1">
        <w:tc>
          <w:tcPr>
            <w:tcW w:w="1203" w:type="dxa"/>
            <w:tcBorders>
              <w:top w:val="single" w:sz="4" w:space="0" w:color="auto"/>
              <w:bottom w:val="single" w:sz="4" w:space="0" w:color="auto"/>
            </w:tcBorders>
          </w:tcPr>
          <w:p w14:paraId="75419988" w14:textId="52461111" w:rsidR="006E1EA1" w:rsidRDefault="006E1EA1" w:rsidP="006E1EA1">
            <w:pPr>
              <w:pStyle w:val="TableText"/>
            </w:pPr>
            <w:r>
              <w:t>Barley grain</w:t>
            </w:r>
          </w:p>
        </w:tc>
        <w:tc>
          <w:tcPr>
            <w:tcW w:w="1209" w:type="dxa"/>
            <w:tcBorders>
              <w:top w:val="single" w:sz="4" w:space="0" w:color="auto"/>
              <w:bottom w:val="single" w:sz="4" w:space="0" w:color="auto"/>
            </w:tcBorders>
          </w:tcPr>
          <w:p w14:paraId="70ABE12D" w14:textId="448CEED6" w:rsidR="006E1EA1" w:rsidRDefault="006E1EA1" w:rsidP="006E1EA1">
            <w:pPr>
              <w:pStyle w:val="TableText"/>
            </w:pPr>
            <w:r>
              <w:t>GC</w:t>
            </w:r>
          </w:p>
        </w:tc>
        <w:tc>
          <w:tcPr>
            <w:tcW w:w="1199" w:type="dxa"/>
            <w:tcBorders>
              <w:top w:val="single" w:sz="4" w:space="0" w:color="auto"/>
              <w:bottom w:val="single" w:sz="4" w:space="0" w:color="auto"/>
            </w:tcBorders>
          </w:tcPr>
          <w:p w14:paraId="0CEA7569" w14:textId="6A5E1375" w:rsidR="006E1EA1" w:rsidRDefault="006E1EA1" w:rsidP="006E1EA1">
            <w:pPr>
              <w:pStyle w:val="TableText"/>
            </w:pPr>
            <w:r>
              <w:t>1.1</w:t>
            </w:r>
          </w:p>
        </w:tc>
        <w:tc>
          <w:tcPr>
            <w:tcW w:w="1197" w:type="dxa"/>
            <w:tcBorders>
              <w:top w:val="single" w:sz="4" w:space="0" w:color="auto"/>
              <w:bottom w:val="single" w:sz="4" w:space="0" w:color="auto"/>
            </w:tcBorders>
          </w:tcPr>
          <w:p w14:paraId="19A6EC94" w14:textId="3203948A" w:rsidR="006E1EA1" w:rsidRDefault="006E1EA1" w:rsidP="006E1EA1">
            <w:pPr>
              <w:pStyle w:val="TableText"/>
            </w:pPr>
            <w:r w:rsidRPr="006E1275">
              <w:t>STMR</w:t>
            </w:r>
          </w:p>
        </w:tc>
        <w:tc>
          <w:tcPr>
            <w:tcW w:w="1199" w:type="dxa"/>
            <w:tcBorders>
              <w:top w:val="single" w:sz="4" w:space="0" w:color="auto"/>
              <w:bottom w:val="single" w:sz="4" w:space="0" w:color="auto"/>
            </w:tcBorders>
          </w:tcPr>
          <w:p w14:paraId="33CE9C6B" w14:textId="45F61BB2" w:rsidR="006E1EA1" w:rsidRDefault="006E1EA1" w:rsidP="006E1EA1">
            <w:pPr>
              <w:pStyle w:val="TableText"/>
              <w:jc w:val="right"/>
            </w:pPr>
            <w:r>
              <w:t>88</w:t>
            </w:r>
          </w:p>
        </w:tc>
        <w:tc>
          <w:tcPr>
            <w:tcW w:w="1200" w:type="dxa"/>
            <w:tcBorders>
              <w:top w:val="single" w:sz="4" w:space="0" w:color="auto"/>
              <w:bottom w:val="single" w:sz="4" w:space="0" w:color="auto"/>
            </w:tcBorders>
          </w:tcPr>
          <w:p w14:paraId="1853869F" w14:textId="6D17AC43" w:rsidR="006E1EA1" w:rsidRDefault="006E1EA1" w:rsidP="006E1EA1">
            <w:pPr>
              <w:pStyle w:val="TableText"/>
              <w:jc w:val="right"/>
            </w:pPr>
            <w:r>
              <w:t>1.3</w:t>
            </w:r>
          </w:p>
        </w:tc>
        <w:tc>
          <w:tcPr>
            <w:tcW w:w="1200" w:type="dxa"/>
            <w:tcBorders>
              <w:top w:val="single" w:sz="4" w:space="0" w:color="auto"/>
              <w:bottom w:val="single" w:sz="4" w:space="0" w:color="auto"/>
            </w:tcBorders>
          </w:tcPr>
          <w:p w14:paraId="57603BC1" w14:textId="42501BC8" w:rsidR="006E1EA1" w:rsidRDefault="006E1EA1" w:rsidP="006E1EA1">
            <w:pPr>
              <w:pStyle w:val="TableText"/>
              <w:jc w:val="right"/>
            </w:pPr>
            <w:r w:rsidRPr="00EC045D">
              <w:t>–</w:t>
            </w:r>
          </w:p>
        </w:tc>
        <w:tc>
          <w:tcPr>
            <w:tcW w:w="1236" w:type="dxa"/>
            <w:tcBorders>
              <w:top w:val="single" w:sz="4" w:space="0" w:color="auto"/>
              <w:bottom w:val="single" w:sz="4" w:space="0" w:color="auto"/>
            </w:tcBorders>
          </w:tcPr>
          <w:p w14:paraId="21E14B95" w14:textId="30E49D55" w:rsidR="006E1EA1" w:rsidRDefault="006E1EA1" w:rsidP="006E1EA1">
            <w:pPr>
              <w:pStyle w:val="TableText"/>
              <w:jc w:val="right"/>
            </w:pPr>
            <w:r w:rsidRPr="00EC045D">
              <w:t>–</w:t>
            </w:r>
          </w:p>
        </w:tc>
      </w:tr>
      <w:tr w:rsidR="006E1EA1" w14:paraId="2604EF0D" w14:textId="77777777" w:rsidTr="006E1EA1">
        <w:tc>
          <w:tcPr>
            <w:tcW w:w="1203" w:type="dxa"/>
            <w:tcBorders>
              <w:top w:val="single" w:sz="4" w:space="0" w:color="auto"/>
              <w:bottom w:val="single" w:sz="4" w:space="0" w:color="auto"/>
            </w:tcBorders>
          </w:tcPr>
          <w:p w14:paraId="10DC2F6F" w14:textId="009296F0" w:rsidR="006E1EA1" w:rsidRDefault="006E1EA1" w:rsidP="006E1EA1">
            <w:pPr>
              <w:pStyle w:val="TableText"/>
            </w:pPr>
            <w:r>
              <w:t>Corn, field grain</w:t>
            </w:r>
          </w:p>
        </w:tc>
        <w:tc>
          <w:tcPr>
            <w:tcW w:w="1209" w:type="dxa"/>
            <w:tcBorders>
              <w:top w:val="single" w:sz="4" w:space="0" w:color="auto"/>
              <w:bottom w:val="single" w:sz="4" w:space="0" w:color="auto"/>
            </w:tcBorders>
          </w:tcPr>
          <w:p w14:paraId="6A148199" w14:textId="12B536FA" w:rsidR="006E1EA1" w:rsidRDefault="006E1EA1" w:rsidP="006E1EA1">
            <w:pPr>
              <w:pStyle w:val="TableText"/>
            </w:pPr>
            <w:r>
              <w:t>GC</w:t>
            </w:r>
          </w:p>
        </w:tc>
        <w:tc>
          <w:tcPr>
            <w:tcW w:w="1199" w:type="dxa"/>
            <w:tcBorders>
              <w:top w:val="single" w:sz="4" w:space="0" w:color="auto"/>
              <w:bottom w:val="single" w:sz="4" w:space="0" w:color="auto"/>
            </w:tcBorders>
          </w:tcPr>
          <w:p w14:paraId="2FBCC757" w14:textId="4D0ADABB" w:rsidR="006E1EA1" w:rsidRDefault="006E1EA1" w:rsidP="006E1EA1">
            <w:pPr>
              <w:pStyle w:val="TableText"/>
            </w:pPr>
            <w:r>
              <w:t>0.05</w:t>
            </w:r>
          </w:p>
        </w:tc>
        <w:tc>
          <w:tcPr>
            <w:tcW w:w="1197" w:type="dxa"/>
            <w:tcBorders>
              <w:top w:val="single" w:sz="4" w:space="0" w:color="auto"/>
              <w:bottom w:val="single" w:sz="4" w:space="0" w:color="auto"/>
            </w:tcBorders>
          </w:tcPr>
          <w:p w14:paraId="783818A3" w14:textId="347608F8" w:rsidR="006E1EA1" w:rsidRDefault="006E1EA1" w:rsidP="006E1EA1">
            <w:pPr>
              <w:pStyle w:val="TableText"/>
            </w:pPr>
            <w:r w:rsidRPr="006E1275">
              <w:t>STMR</w:t>
            </w:r>
          </w:p>
        </w:tc>
        <w:tc>
          <w:tcPr>
            <w:tcW w:w="1199" w:type="dxa"/>
            <w:tcBorders>
              <w:top w:val="single" w:sz="4" w:space="0" w:color="auto"/>
              <w:bottom w:val="single" w:sz="4" w:space="0" w:color="auto"/>
            </w:tcBorders>
          </w:tcPr>
          <w:p w14:paraId="1B1622B9" w14:textId="2F42E9C3" w:rsidR="006E1EA1" w:rsidRDefault="006E1EA1" w:rsidP="006E1EA1">
            <w:pPr>
              <w:pStyle w:val="TableText"/>
              <w:jc w:val="right"/>
            </w:pPr>
            <w:r>
              <w:t>88</w:t>
            </w:r>
          </w:p>
        </w:tc>
        <w:tc>
          <w:tcPr>
            <w:tcW w:w="1200" w:type="dxa"/>
            <w:tcBorders>
              <w:top w:val="single" w:sz="4" w:space="0" w:color="auto"/>
              <w:bottom w:val="single" w:sz="4" w:space="0" w:color="auto"/>
            </w:tcBorders>
          </w:tcPr>
          <w:p w14:paraId="3B3ED046" w14:textId="5274A0EA" w:rsidR="006E1EA1" w:rsidRDefault="006E1EA1" w:rsidP="006E1EA1">
            <w:pPr>
              <w:pStyle w:val="TableText"/>
              <w:jc w:val="right"/>
            </w:pPr>
            <w:r>
              <w:t>0.01</w:t>
            </w:r>
          </w:p>
        </w:tc>
        <w:tc>
          <w:tcPr>
            <w:tcW w:w="1200" w:type="dxa"/>
            <w:tcBorders>
              <w:top w:val="single" w:sz="4" w:space="0" w:color="auto"/>
              <w:bottom w:val="single" w:sz="4" w:space="0" w:color="auto"/>
            </w:tcBorders>
          </w:tcPr>
          <w:p w14:paraId="73C8E8B1" w14:textId="60431ADF" w:rsidR="006E1EA1" w:rsidRDefault="006E1EA1" w:rsidP="006E1EA1">
            <w:pPr>
              <w:pStyle w:val="TableText"/>
              <w:jc w:val="right"/>
            </w:pPr>
            <w:r w:rsidRPr="005C0DE2">
              <w:t>–</w:t>
            </w:r>
          </w:p>
        </w:tc>
        <w:tc>
          <w:tcPr>
            <w:tcW w:w="1236" w:type="dxa"/>
            <w:tcBorders>
              <w:top w:val="single" w:sz="4" w:space="0" w:color="auto"/>
              <w:bottom w:val="single" w:sz="4" w:space="0" w:color="auto"/>
            </w:tcBorders>
          </w:tcPr>
          <w:p w14:paraId="7D93B147" w14:textId="610EF72C" w:rsidR="006E1EA1" w:rsidRDefault="006E1EA1" w:rsidP="006E1EA1">
            <w:pPr>
              <w:pStyle w:val="TableText"/>
              <w:jc w:val="right"/>
            </w:pPr>
            <w:r w:rsidRPr="005C0DE2">
              <w:t>–</w:t>
            </w:r>
          </w:p>
        </w:tc>
      </w:tr>
      <w:tr w:rsidR="00680ED5" w14:paraId="4B44CD88" w14:textId="77777777" w:rsidTr="006E1EA1">
        <w:tc>
          <w:tcPr>
            <w:tcW w:w="1203" w:type="dxa"/>
            <w:tcBorders>
              <w:top w:val="single" w:sz="4" w:space="0" w:color="auto"/>
              <w:bottom w:val="single" w:sz="4" w:space="0" w:color="auto"/>
            </w:tcBorders>
          </w:tcPr>
          <w:p w14:paraId="26537BBF" w14:textId="77777777" w:rsidR="00680ED5" w:rsidRPr="006E1EA1" w:rsidRDefault="00680ED5" w:rsidP="00680ED5">
            <w:pPr>
              <w:pStyle w:val="TableText"/>
              <w:rPr>
                <w:b/>
                <w:bCs/>
              </w:rPr>
            </w:pPr>
            <w:r w:rsidRPr="006E1EA1">
              <w:rPr>
                <w:b/>
                <w:bCs/>
              </w:rPr>
              <w:t>Total</w:t>
            </w:r>
          </w:p>
        </w:tc>
        <w:tc>
          <w:tcPr>
            <w:tcW w:w="1209" w:type="dxa"/>
            <w:tcBorders>
              <w:top w:val="single" w:sz="4" w:space="0" w:color="auto"/>
              <w:bottom w:val="single" w:sz="4" w:space="0" w:color="auto"/>
            </w:tcBorders>
          </w:tcPr>
          <w:p w14:paraId="6BBF26CD" w14:textId="77777777" w:rsidR="00680ED5" w:rsidRPr="006E1EA1" w:rsidRDefault="00680ED5" w:rsidP="00680ED5">
            <w:pPr>
              <w:pStyle w:val="TableText"/>
              <w:rPr>
                <w:b/>
                <w:bCs/>
              </w:rPr>
            </w:pPr>
          </w:p>
        </w:tc>
        <w:tc>
          <w:tcPr>
            <w:tcW w:w="1199" w:type="dxa"/>
            <w:tcBorders>
              <w:top w:val="single" w:sz="4" w:space="0" w:color="auto"/>
              <w:bottom w:val="single" w:sz="4" w:space="0" w:color="auto"/>
            </w:tcBorders>
          </w:tcPr>
          <w:p w14:paraId="1F406D34" w14:textId="77777777" w:rsidR="00680ED5" w:rsidRPr="006E1EA1" w:rsidRDefault="00680ED5" w:rsidP="00680ED5">
            <w:pPr>
              <w:pStyle w:val="TableText"/>
              <w:rPr>
                <w:b/>
                <w:bCs/>
              </w:rPr>
            </w:pPr>
          </w:p>
        </w:tc>
        <w:tc>
          <w:tcPr>
            <w:tcW w:w="1197" w:type="dxa"/>
            <w:tcBorders>
              <w:top w:val="single" w:sz="4" w:space="0" w:color="auto"/>
              <w:bottom w:val="single" w:sz="4" w:space="0" w:color="auto"/>
            </w:tcBorders>
          </w:tcPr>
          <w:p w14:paraId="05AA1892" w14:textId="77777777" w:rsidR="00680ED5" w:rsidRPr="006E1EA1" w:rsidRDefault="00680ED5" w:rsidP="00680ED5">
            <w:pPr>
              <w:pStyle w:val="TableText"/>
              <w:rPr>
                <w:b/>
                <w:bCs/>
              </w:rPr>
            </w:pPr>
          </w:p>
        </w:tc>
        <w:tc>
          <w:tcPr>
            <w:tcW w:w="1199" w:type="dxa"/>
            <w:tcBorders>
              <w:top w:val="single" w:sz="4" w:space="0" w:color="auto"/>
              <w:bottom w:val="single" w:sz="4" w:space="0" w:color="auto"/>
            </w:tcBorders>
          </w:tcPr>
          <w:p w14:paraId="697D40C0" w14:textId="77777777" w:rsidR="00680ED5" w:rsidRPr="006E1EA1" w:rsidRDefault="00680ED5" w:rsidP="006E1EA1">
            <w:pPr>
              <w:pStyle w:val="TableText"/>
              <w:jc w:val="right"/>
              <w:rPr>
                <w:b/>
                <w:bCs/>
              </w:rPr>
            </w:pPr>
          </w:p>
        </w:tc>
        <w:tc>
          <w:tcPr>
            <w:tcW w:w="1200" w:type="dxa"/>
            <w:tcBorders>
              <w:top w:val="single" w:sz="4" w:space="0" w:color="auto"/>
              <w:bottom w:val="single" w:sz="4" w:space="0" w:color="auto"/>
            </w:tcBorders>
          </w:tcPr>
          <w:p w14:paraId="0529E9EF" w14:textId="77777777" w:rsidR="00680ED5" w:rsidRPr="006E1EA1" w:rsidRDefault="00680ED5" w:rsidP="006E1EA1">
            <w:pPr>
              <w:pStyle w:val="TableText"/>
              <w:jc w:val="right"/>
              <w:rPr>
                <w:b/>
                <w:bCs/>
              </w:rPr>
            </w:pPr>
          </w:p>
        </w:tc>
        <w:tc>
          <w:tcPr>
            <w:tcW w:w="1200" w:type="dxa"/>
            <w:tcBorders>
              <w:top w:val="single" w:sz="4" w:space="0" w:color="auto"/>
              <w:bottom w:val="single" w:sz="4" w:space="0" w:color="auto"/>
            </w:tcBorders>
          </w:tcPr>
          <w:p w14:paraId="340023AE" w14:textId="77777777" w:rsidR="00680ED5" w:rsidRPr="006E1EA1" w:rsidRDefault="00680ED5" w:rsidP="006E1EA1">
            <w:pPr>
              <w:pStyle w:val="TableText"/>
              <w:jc w:val="right"/>
              <w:rPr>
                <w:b/>
                <w:bCs/>
              </w:rPr>
            </w:pPr>
            <w:r w:rsidRPr="006E1EA1">
              <w:rPr>
                <w:b/>
                <w:bCs/>
              </w:rPr>
              <w:t>100</w:t>
            </w:r>
          </w:p>
        </w:tc>
        <w:tc>
          <w:tcPr>
            <w:tcW w:w="1236" w:type="dxa"/>
            <w:tcBorders>
              <w:top w:val="single" w:sz="4" w:space="0" w:color="auto"/>
              <w:bottom w:val="single" w:sz="4" w:space="0" w:color="auto"/>
            </w:tcBorders>
          </w:tcPr>
          <w:p w14:paraId="0465AA59" w14:textId="03B6A9A5" w:rsidR="00680ED5" w:rsidRPr="006E1EA1" w:rsidRDefault="00680ED5" w:rsidP="006E1EA1">
            <w:pPr>
              <w:pStyle w:val="TableText"/>
              <w:jc w:val="right"/>
              <w:rPr>
                <w:b/>
                <w:bCs/>
              </w:rPr>
            </w:pPr>
            <w:r w:rsidRPr="006E1EA1">
              <w:rPr>
                <w:b/>
                <w:bCs/>
              </w:rPr>
              <w:t>1.8</w:t>
            </w:r>
          </w:p>
        </w:tc>
      </w:tr>
    </w:tbl>
    <w:p w14:paraId="24C0FA41" w14:textId="4BA651B9" w:rsidR="00680ED5" w:rsidRPr="000179FF" w:rsidRDefault="00680ED5" w:rsidP="000179FF">
      <w:pPr>
        <w:pStyle w:val="Caption"/>
      </w:pPr>
      <w:bookmarkStart w:id="246" w:name="_Ref168672301"/>
      <w:bookmarkStart w:id="247" w:name="_Toc232589610"/>
      <w:bookmarkEnd w:id="245"/>
      <w:r w:rsidRPr="000179FF">
        <w:t xml:space="preserve">Table </w:t>
      </w:r>
      <w:fldSimple w:instr=" SEQ Table \* ARABIC ">
        <w:r w:rsidR="000179FF">
          <w:rPr>
            <w:noProof/>
          </w:rPr>
          <w:t>15</w:t>
        </w:r>
      </w:fldSimple>
      <w:bookmarkEnd w:id="246"/>
      <w:r w:rsidRPr="000179FF">
        <w:t>: Calculation of poultry broiler dietary burden of diquat</w:t>
      </w:r>
      <w:bookmarkEnd w:id="2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680ED5" w14:paraId="3DCD5721" w14:textId="77777777" w:rsidTr="006E1EA1">
        <w:trPr>
          <w:tblHeader/>
        </w:trPr>
        <w:tc>
          <w:tcPr>
            <w:tcW w:w="9643" w:type="dxa"/>
            <w:gridSpan w:val="8"/>
            <w:tcBorders>
              <w:top w:val="single" w:sz="4" w:space="0" w:color="auto"/>
              <w:bottom w:val="single" w:sz="4" w:space="0" w:color="auto"/>
            </w:tcBorders>
            <w:shd w:val="clear" w:color="auto" w:fill="5C2946"/>
          </w:tcPr>
          <w:p w14:paraId="5D666F6B" w14:textId="79757FC7" w:rsidR="00680ED5" w:rsidRDefault="00680ED5" w:rsidP="008A20A1">
            <w:pPr>
              <w:pStyle w:val="TableHead"/>
            </w:pPr>
            <w:r>
              <w:t xml:space="preserve">Poultry </w:t>
            </w:r>
            <w:r w:rsidR="006E1EA1">
              <w:t>b</w:t>
            </w:r>
            <w:r>
              <w:t>roiler – for MRLs</w:t>
            </w:r>
          </w:p>
        </w:tc>
      </w:tr>
      <w:tr w:rsidR="00680ED5" w14:paraId="4975DA93" w14:textId="77777777" w:rsidTr="00132A6D">
        <w:trPr>
          <w:tblHeader/>
        </w:trPr>
        <w:tc>
          <w:tcPr>
            <w:tcW w:w="1203" w:type="dxa"/>
            <w:tcBorders>
              <w:top w:val="single" w:sz="4" w:space="0" w:color="auto"/>
              <w:bottom w:val="single" w:sz="4" w:space="0" w:color="auto"/>
            </w:tcBorders>
            <w:shd w:val="clear" w:color="auto" w:fill="5C2946"/>
          </w:tcPr>
          <w:p w14:paraId="09945F1D" w14:textId="77777777" w:rsidR="00680ED5" w:rsidRDefault="00680ED5" w:rsidP="008A20A1">
            <w:pPr>
              <w:pStyle w:val="TableHead"/>
            </w:pPr>
            <w:r>
              <w:t>Commodity</w:t>
            </w:r>
          </w:p>
        </w:tc>
        <w:tc>
          <w:tcPr>
            <w:tcW w:w="1209" w:type="dxa"/>
            <w:tcBorders>
              <w:top w:val="single" w:sz="4" w:space="0" w:color="auto"/>
              <w:bottom w:val="single" w:sz="4" w:space="0" w:color="auto"/>
            </w:tcBorders>
            <w:shd w:val="clear" w:color="auto" w:fill="5C2946"/>
          </w:tcPr>
          <w:p w14:paraId="1C119203" w14:textId="362F6369" w:rsidR="00680ED5" w:rsidRDefault="00680ED5" w:rsidP="008A20A1">
            <w:pPr>
              <w:pStyle w:val="TableHead"/>
            </w:pPr>
            <w:r>
              <w:t>Codex Commodity Code</w:t>
            </w:r>
          </w:p>
        </w:tc>
        <w:tc>
          <w:tcPr>
            <w:tcW w:w="1199" w:type="dxa"/>
            <w:tcBorders>
              <w:top w:val="single" w:sz="4" w:space="0" w:color="auto"/>
              <w:bottom w:val="single" w:sz="4" w:space="0" w:color="auto"/>
            </w:tcBorders>
            <w:shd w:val="clear" w:color="auto" w:fill="5C2946"/>
          </w:tcPr>
          <w:p w14:paraId="691B3296" w14:textId="77777777" w:rsidR="00680ED5" w:rsidRDefault="00680ED5" w:rsidP="008A20A1">
            <w:pPr>
              <w:pStyle w:val="TableHead"/>
            </w:pPr>
            <w:r>
              <w:t>Residue (mg/kg)</w:t>
            </w:r>
          </w:p>
        </w:tc>
        <w:tc>
          <w:tcPr>
            <w:tcW w:w="1197" w:type="dxa"/>
            <w:tcBorders>
              <w:top w:val="single" w:sz="4" w:space="0" w:color="auto"/>
              <w:bottom w:val="single" w:sz="4" w:space="0" w:color="auto"/>
            </w:tcBorders>
            <w:shd w:val="clear" w:color="auto" w:fill="5C2946"/>
          </w:tcPr>
          <w:p w14:paraId="537098DB" w14:textId="77777777" w:rsidR="00680ED5" w:rsidRDefault="00680ED5" w:rsidP="008A20A1">
            <w:pPr>
              <w:pStyle w:val="TableHead"/>
            </w:pPr>
            <w:r>
              <w:t>Basis</w:t>
            </w:r>
          </w:p>
        </w:tc>
        <w:tc>
          <w:tcPr>
            <w:tcW w:w="1199" w:type="dxa"/>
            <w:tcBorders>
              <w:top w:val="single" w:sz="4" w:space="0" w:color="auto"/>
              <w:bottom w:val="single" w:sz="4" w:space="0" w:color="auto"/>
            </w:tcBorders>
            <w:shd w:val="clear" w:color="auto" w:fill="5C2946"/>
          </w:tcPr>
          <w:p w14:paraId="21A4E6C6" w14:textId="77777777" w:rsidR="00680ED5" w:rsidRDefault="00680ED5" w:rsidP="00132A6D">
            <w:pPr>
              <w:pStyle w:val="TableHead"/>
              <w:jc w:val="right"/>
            </w:pPr>
            <w:r>
              <w:t>Dry matter (%)</w:t>
            </w:r>
          </w:p>
        </w:tc>
        <w:tc>
          <w:tcPr>
            <w:tcW w:w="1200" w:type="dxa"/>
            <w:tcBorders>
              <w:top w:val="single" w:sz="4" w:space="0" w:color="auto"/>
              <w:bottom w:val="single" w:sz="4" w:space="0" w:color="auto"/>
            </w:tcBorders>
            <w:shd w:val="clear" w:color="auto" w:fill="5C2946"/>
          </w:tcPr>
          <w:p w14:paraId="4E35EBE8" w14:textId="77777777" w:rsidR="00680ED5" w:rsidRDefault="00680ED5" w:rsidP="00132A6D">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05A8030B" w14:textId="77777777" w:rsidR="00680ED5" w:rsidRDefault="00680ED5" w:rsidP="00132A6D">
            <w:pPr>
              <w:pStyle w:val="TableHead"/>
              <w:jc w:val="right"/>
            </w:pPr>
            <w:r>
              <w:t>Diet content (%)</w:t>
            </w:r>
          </w:p>
        </w:tc>
        <w:tc>
          <w:tcPr>
            <w:tcW w:w="1236" w:type="dxa"/>
            <w:tcBorders>
              <w:top w:val="single" w:sz="4" w:space="0" w:color="auto"/>
              <w:bottom w:val="single" w:sz="4" w:space="0" w:color="auto"/>
            </w:tcBorders>
            <w:shd w:val="clear" w:color="auto" w:fill="5C2946"/>
          </w:tcPr>
          <w:p w14:paraId="198975B8" w14:textId="0E0C51B8" w:rsidR="00680ED5" w:rsidRDefault="00680ED5" w:rsidP="00132A6D">
            <w:pPr>
              <w:pStyle w:val="TableHead"/>
              <w:jc w:val="right"/>
            </w:pPr>
            <w:r>
              <w:t xml:space="preserve">Residue </w:t>
            </w:r>
            <w:r w:rsidR="00132A6D">
              <w:t>c</w:t>
            </w:r>
            <w:r>
              <w:t>ontribution (ppm)</w:t>
            </w:r>
          </w:p>
        </w:tc>
      </w:tr>
      <w:tr w:rsidR="00680ED5" w14:paraId="1313A08C" w14:textId="77777777" w:rsidTr="00132A6D">
        <w:tc>
          <w:tcPr>
            <w:tcW w:w="1203" w:type="dxa"/>
            <w:tcBorders>
              <w:top w:val="single" w:sz="4" w:space="0" w:color="auto"/>
              <w:bottom w:val="single" w:sz="4" w:space="0" w:color="auto"/>
            </w:tcBorders>
          </w:tcPr>
          <w:p w14:paraId="494F2539" w14:textId="6E8CFC37" w:rsidR="00680ED5" w:rsidRPr="00680ED5" w:rsidRDefault="00680ED5" w:rsidP="00680ED5">
            <w:pPr>
              <w:pStyle w:val="TableText"/>
            </w:pPr>
            <w:r w:rsidRPr="00680ED5">
              <w:t>Barley straw</w:t>
            </w:r>
          </w:p>
        </w:tc>
        <w:tc>
          <w:tcPr>
            <w:tcW w:w="1209" w:type="dxa"/>
            <w:tcBorders>
              <w:top w:val="single" w:sz="4" w:space="0" w:color="auto"/>
              <w:bottom w:val="single" w:sz="4" w:space="0" w:color="auto"/>
            </w:tcBorders>
          </w:tcPr>
          <w:p w14:paraId="7C53E427" w14:textId="0DBC17A3" w:rsidR="00680ED5" w:rsidRPr="00680ED5" w:rsidRDefault="00680ED5" w:rsidP="00680ED5">
            <w:pPr>
              <w:pStyle w:val="TableText"/>
            </w:pPr>
            <w:r w:rsidRPr="00680ED5">
              <w:t>AF/AS</w:t>
            </w:r>
          </w:p>
        </w:tc>
        <w:tc>
          <w:tcPr>
            <w:tcW w:w="1199" w:type="dxa"/>
            <w:tcBorders>
              <w:top w:val="single" w:sz="4" w:space="0" w:color="auto"/>
              <w:bottom w:val="single" w:sz="4" w:space="0" w:color="auto"/>
            </w:tcBorders>
          </w:tcPr>
          <w:p w14:paraId="3964B450" w14:textId="04823316" w:rsidR="00680ED5" w:rsidRPr="00680ED5" w:rsidRDefault="00680ED5" w:rsidP="00680ED5">
            <w:pPr>
              <w:pStyle w:val="TableText"/>
            </w:pPr>
            <w:r w:rsidRPr="00680ED5">
              <w:t>26</w:t>
            </w:r>
          </w:p>
        </w:tc>
        <w:tc>
          <w:tcPr>
            <w:tcW w:w="1197" w:type="dxa"/>
            <w:tcBorders>
              <w:top w:val="single" w:sz="4" w:space="0" w:color="auto"/>
              <w:bottom w:val="single" w:sz="4" w:space="0" w:color="auto"/>
            </w:tcBorders>
          </w:tcPr>
          <w:p w14:paraId="67663C8C" w14:textId="198696A7" w:rsidR="00680ED5" w:rsidRPr="00680ED5" w:rsidRDefault="00680ED5" w:rsidP="00680ED5">
            <w:pPr>
              <w:pStyle w:val="TableText"/>
            </w:pPr>
            <w:r w:rsidRPr="00680ED5">
              <w:t>HR</w:t>
            </w:r>
          </w:p>
        </w:tc>
        <w:tc>
          <w:tcPr>
            <w:tcW w:w="1199" w:type="dxa"/>
            <w:tcBorders>
              <w:top w:val="single" w:sz="4" w:space="0" w:color="auto"/>
              <w:bottom w:val="single" w:sz="4" w:space="0" w:color="auto"/>
            </w:tcBorders>
          </w:tcPr>
          <w:p w14:paraId="582DBEBE" w14:textId="395C7BB4" w:rsidR="00680ED5" w:rsidRPr="00680ED5" w:rsidRDefault="00680ED5" w:rsidP="00132A6D">
            <w:pPr>
              <w:pStyle w:val="TableText"/>
              <w:jc w:val="right"/>
            </w:pPr>
            <w:r w:rsidRPr="00680ED5">
              <w:t>100</w:t>
            </w:r>
          </w:p>
        </w:tc>
        <w:tc>
          <w:tcPr>
            <w:tcW w:w="1200" w:type="dxa"/>
            <w:tcBorders>
              <w:top w:val="single" w:sz="4" w:space="0" w:color="auto"/>
              <w:bottom w:val="single" w:sz="4" w:space="0" w:color="auto"/>
            </w:tcBorders>
          </w:tcPr>
          <w:p w14:paraId="6DFB70D6" w14:textId="6E8F129D" w:rsidR="00680ED5" w:rsidRPr="00680ED5" w:rsidRDefault="00680ED5" w:rsidP="00132A6D">
            <w:pPr>
              <w:pStyle w:val="TableText"/>
              <w:jc w:val="right"/>
            </w:pPr>
            <w:r w:rsidRPr="00680ED5">
              <w:t>26</w:t>
            </w:r>
          </w:p>
        </w:tc>
        <w:tc>
          <w:tcPr>
            <w:tcW w:w="1200" w:type="dxa"/>
            <w:tcBorders>
              <w:top w:val="single" w:sz="4" w:space="0" w:color="auto"/>
              <w:bottom w:val="single" w:sz="4" w:space="0" w:color="auto"/>
            </w:tcBorders>
          </w:tcPr>
          <w:p w14:paraId="6224BE92" w14:textId="50D5F74C" w:rsidR="00680ED5" w:rsidRPr="00680ED5" w:rsidRDefault="00132A6D" w:rsidP="00132A6D">
            <w:pPr>
              <w:pStyle w:val="TableText"/>
              <w:jc w:val="right"/>
            </w:pPr>
            <w:r>
              <w:t>–</w:t>
            </w:r>
          </w:p>
        </w:tc>
        <w:tc>
          <w:tcPr>
            <w:tcW w:w="1236" w:type="dxa"/>
            <w:tcBorders>
              <w:top w:val="single" w:sz="4" w:space="0" w:color="auto"/>
              <w:bottom w:val="single" w:sz="4" w:space="0" w:color="auto"/>
            </w:tcBorders>
          </w:tcPr>
          <w:p w14:paraId="36AFD88E" w14:textId="056FA6C1" w:rsidR="00680ED5" w:rsidRPr="00680ED5" w:rsidRDefault="00132A6D" w:rsidP="00132A6D">
            <w:pPr>
              <w:pStyle w:val="TableText"/>
              <w:jc w:val="right"/>
            </w:pPr>
            <w:r>
              <w:t>–</w:t>
            </w:r>
          </w:p>
        </w:tc>
      </w:tr>
      <w:tr w:rsidR="00132A6D" w14:paraId="5EC8D836" w14:textId="77777777" w:rsidTr="00132A6D">
        <w:tc>
          <w:tcPr>
            <w:tcW w:w="1203" w:type="dxa"/>
            <w:tcBorders>
              <w:top w:val="single" w:sz="4" w:space="0" w:color="auto"/>
              <w:bottom w:val="single" w:sz="4" w:space="0" w:color="auto"/>
            </w:tcBorders>
          </w:tcPr>
          <w:p w14:paraId="7302CFFB" w14:textId="277985EC" w:rsidR="00132A6D" w:rsidRPr="00680ED5" w:rsidRDefault="00132A6D" w:rsidP="00132A6D">
            <w:pPr>
              <w:pStyle w:val="TableText"/>
            </w:pPr>
            <w:r w:rsidRPr="00680ED5">
              <w:t>Rape forage</w:t>
            </w:r>
          </w:p>
        </w:tc>
        <w:tc>
          <w:tcPr>
            <w:tcW w:w="1209" w:type="dxa"/>
            <w:tcBorders>
              <w:top w:val="single" w:sz="4" w:space="0" w:color="auto"/>
              <w:bottom w:val="single" w:sz="4" w:space="0" w:color="auto"/>
            </w:tcBorders>
          </w:tcPr>
          <w:p w14:paraId="4DF1C811" w14:textId="569146A7" w:rsidR="00132A6D" w:rsidRPr="00680ED5" w:rsidRDefault="00132A6D" w:rsidP="00132A6D">
            <w:pPr>
              <w:pStyle w:val="TableText"/>
            </w:pPr>
            <w:r w:rsidRPr="00680ED5">
              <w:t>AM/AV</w:t>
            </w:r>
          </w:p>
        </w:tc>
        <w:tc>
          <w:tcPr>
            <w:tcW w:w="1199" w:type="dxa"/>
            <w:tcBorders>
              <w:top w:val="single" w:sz="4" w:space="0" w:color="auto"/>
              <w:bottom w:val="single" w:sz="4" w:space="0" w:color="auto"/>
            </w:tcBorders>
          </w:tcPr>
          <w:p w14:paraId="4F9525FE" w14:textId="059587AF" w:rsidR="00132A6D" w:rsidRPr="00680ED5" w:rsidRDefault="00132A6D" w:rsidP="00132A6D">
            <w:pPr>
              <w:pStyle w:val="TableText"/>
            </w:pPr>
            <w:r w:rsidRPr="00680ED5">
              <w:t>17</w:t>
            </w:r>
          </w:p>
        </w:tc>
        <w:tc>
          <w:tcPr>
            <w:tcW w:w="1197" w:type="dxa"/>
            <w:tcBorders>
              <w:top w:val="single" w:sz="4" w:space="0" w:color="auto"/>
              <w:bottom w:val="single" w:sz="4" w:space="0" w:color="auto"/>
            </w:tcBorders>
          </w:tcPr>
          <w:p w14:paraId="27DF57BE" w14:textId="647EC195" w:rsidR="00132A6D" w:rsidRPr="00680ED5" w:rsidRDefault="00132A6D" w:rsidP="00132A6D">
            <w:pPr>
              <w:pStyle w:val="TableText"/>
            </w:pPr>
            <w:r w:rsidRPr="00680ED5">
              <w:t>HR</w:t>
            </w:r>
          </w:p>
        </w:tc>
        <w:tc>
          <w:tcPr>
            <w:tcW w:w="1199" w:type="dxa"/>
            <w:tcBorders>
              <w:top w:val="single" w:sz="4" w:space="0" w:color="auto"/>
              <w:bottom w:val="single" w:sz="4" w:space="0" w:color="auto"/>
            </w:tcBorders>
          </w:tcPr>
          <w:p w14:paraId="3E35DF07" w14:textId="6F51F81B" w:rsidR="00132A6D" w:rsidRPr="00680ED5" w:rsidRDefault="00132A6D" w:rsidP="00132A6D">
            <w:pPr>
              <w:pStyle w:val="TableText"/>
              <w:jc w:val="right"/>
            </w:pPr>
            <w:r w:rsidRPr="00680ED5">
              <w:t>100</w:t>
            </w:r>
          </w:p>
        </w:tc>
        <w:tc>
          <w:tcPr>
            <w:tcW w:w="1200" w:type="dxa"/>
            <w:tcBorders>
              <w:top w:val="single" w:sz="4" w:space="0" w:color="auto"/>
              <w:bottom w:val="single" w:sz="4" w:space="0" w:color="auto"/>
            </w:tcBorders>
          </w:tcPr>
          <w:p w14:paraId="33B9E291" w14:textId="3FB0C6BC" w:rsidR="00132A6D" w:rsidRPr="00680ED5" w:rsidRDefault="00132A6D" w:rsidP="00132A6D">
            <w:pPr>
              <w:pStyle w:val="TableText"/>
              <w:jc w:val="right"/>
            </w:pPr>
            <w:r w:rsidRPr="00680ED5">
              <w:t>17</w:t>
            </w:r>
          </w:p>
        </w:tc>
        <w:tc>
          <w:tcPr>
            <w:tcW w:w="1200" w:type="dxa"/>
            <w:tcBorders>
              <w:top w:val="single" w:sz="4" w:space="0" w:color="auto"/>
              <w:bottom w:val="single" w:sz="4" w:space="0" w:color="auto"/>
            </w:tcBorders>
          </w:tcPr>
          <w:p w14:paraId="7D35920A" w14:textId="60A5105F" w:rsidR="00132A6D" w:rsidRPr="00680ED5" w:rsidRDefault="00132A6D" w:rsidP="00132A6D">
            <w:pPr>
              <w:pStyle w:val="TableText"/>
              <w:jc w:val="right"/>
            </w:pPr>
            <w:r w:rsidRPr="00660474">
              <w:t>–</w:t>
            </w:r>
          </w:p>
        </w:tc>
        <w:tc>
          <w:tcPr>
            <w:tcW w:w="1236" w:type="dxa"/>
            <w:tcBorders>
              <w:top w:val="single" w:sz="4" w:space="0" w:color="auto"/>
              <w:bottom w:val="single" w:sz="4" w:space="0" w:color="auto"/>
            </w:tcBorders>
          </w:tcPr>
          <w:p w14:paraId="0B3080C6" w14:textId="2B3F5299" w:rsidR="00132A6D" w:rsidRPr="00680ED5" w:rsidRDefault="00132A6D" w:rsidP="00132A6D">
            <w:pPr>
              <w:pStyle w:val="TableText"/>
              <w:jc w:val="right"/>
            </w:pPr>
            <w:r w:rsidRPr="00660474">
              <w:t>–</w:t>
            </w:r>
          </w:p>
        </w:tc>
      </w:tr>
      <w:tr w:rsidR="00680ED5" w14:paraId="17E47CD2" w14:textId="77777777" w:rsidTr="00132A6D">
        <w:tc>
          <w:tcPr>
            <w:tcW w:w="1203" w:type="dxa"/>
            <w:tcBorders>
              <w:top w:val="single" w:sz="4" w:space="0" w:color="auto"/>
              <w:bottom w:val="single" w:sz="4" w:space="0" w:color="auto"/>
            </w:tcBorders>
          </w:tcPr>
          <w:p w14:paraId="5A1B76DE" w14:textId="1AEB6D84" w:rsidR="00680ED5" w:rsidRPr="00680ED5" w:rsidRDefault="00680ED5" w:rsidP="00680ED5">
            <w:pPr>
              <w:pStyle w:val="TableText"/>
            </w:pPr>
            <w:r w:rsidRPr="00680ED5">
              <w:t>Rice grain</w:t>
            </w:r>
          </w:p>
        </w:tc>
        <w:tc>
          <w:tcPr>
            <w:tcW w:w="1209" w:type="dxa"/>
            <w:tcBorders>
              <w:top w:val="single" w:sz="4" w:space="0" w:color="auto"/>
              <w:bottom w:val="single" w:sz="4" w:space="0" w:color="auto"/>
            </w:tcBorders>
          </w:tcPr>
          <w:p w14:paraId="6AAC0806" w14:textId="0E41B077" w:rsidR="00680ED5" w:rsidRPr="00680ED5" w:rsidRDefault="00680ED5" w:rsidP="00680ED5">
            <w:pPr>
              <w:pStyle w:val="TableText"/>
            </w:pPr>
            <w:r w:rsidRPr="00680ED5">
              <w:t>GC</w:t>
            </w:r>
          </w:p>
        </w:tc>
        <w:tc>
          <w:tcPr>
            <w:tcW w:w="1199" w:type="dxa"/>
            <w:tcBorders>
              <w:top w:val="single" w:sz="4" w:space="0" w:color="auto"/>
              <w:bottom w:val="single" w:sz="4" w:space="0" w:color="auto"/>
            </w:tcBorders>
          </w:tcPr>
          <w:p w14:paraId="64BCC52A" w14:textId="5EE12C4F" w:rsidR="00680ED5" w:rsidRPr="00680ED5" w:rsidRDefault="00680ED5" w:rsidP="00680ED5">
            <w:pPr>
              <w:pStyle w:val="TableText"/>
            </w:pPr>
            <w:r w:rsidRPr="00680ED5">
              <w:t>2.1</w:t>
            </w:r>
          </w:p>
        </w:tc>
        <w:tc>
          <w:tcPr>
            <w:tcW w:w="1197" w:type="dxa"/>
            <w:tcBorders>
              <w:top w:val="single" w:sz="4" w:space="0" w:color="auto"/>
              <w:bottom w:val="single" w:sz="4" w:space="0" w:color="auto"/>
            </w:tcBorders>
          </w:tcPr>
          <w:p w14:paraId="38E4C72E" w14:textId="187B7201" w:rsidR="00680ED5" w:rsidRPr="00680ED5" w:rsidRDefault="00680ED5" w:rsidP="00680ED5">
            <w:pPr>
              <w:pStyle w:val="TableText"/>
            </w:pPr>
            <w:r w:rsidRPr="00680ED5">
              <w:t>STMR</w:t>
            </w:r>
          </w:p>
        </w:tc>
        <w:tc>
          <w:tcPr>
            <w:tcW w:w="1199" w:type="dxa"/>
            <w:tcBorders>
              <w:top w:val="single" w:sz="4" w:space="0" w:color="auto"/>
              <w:bottom w:val="single" w:sz="4" w:space="0" w:color="auto"/>
            </w:tcBorders>
          </w:tcPr>
          <w:p w14:paraId="3BBA1145" w14:textId="68277F1D" w:rsidR="00680ED5" w:rsidRPr="00680ED5" w:rsidRDefault="00680ED5" w:rsidP="00132A6D">
            <w:pPr>
              <w:pStyle w:val="TableText"/>
              <w:jc w:val="right"/>
            </w:pPr>
            <w:r w:rsidRPr="00680ED5">
              <w:t>88</w:t>
            </w:r>
          </w:p>
        </w:tc>
        <w:tc>
          <w:tcPr>
            <w:tcW w:w="1200" w:type="dxa"/>
            <w:tcBorders>
              <w:top w:val="single" w:sz="4" w:space="0" w:color="auto"/>
              <w:bottom w:val="single" w:sz="4" w:space="0" w:color="auto"/>
            </w:tcBorders>
          </w:tcPr>
          <w:p w14:paraId="6C354A92" w14:textId="2B2E9F80" w:rsidR="00680ED5" w:rsidRPr="00680ED5" w:rsidRDefault="00680ED5" w:rsidP="00132A6D">
            <w:pPr>
              <w:pStyle w:val="TableText"/>
              <w:jc w:val="right"/>
            </w:pPr>
            <w:r w:rsidRPr="00680ED5">
              <w:t>2.4</w:t>
            </w:r>
          </w:p>
        </w:tc>
        <w:tc>
          <w:tcPr>
            <w:tcW w:w="1200" w:type="dxa"/>
            <w:tcBorders>
              <w:top w:val="single" w:sz="4" w:space="0" w:color="auto"/>
              <w:bottom w:val="single" w:sz="4" w:space="0" w:color="auto"/>
            </w:tcBorders>
          </w:tcPr>
          <w:p w14:paraId="537AC051" w14:textId="09C88F5E" w:rsidR="00680ED5" w:rsidRPr="00680ED5" w:rsidRDefault="00680ED5" w:rsidP="00132A6D">
            <w:pPr>
              <w:pStyle w:val="TableText"/>
              <w:jc w:val="right"/>
            </w:pPr>
            <w:r w:rsidRPr="00680ED5">
              <w:t>50</w:t>
            </w:r>
          </w:p>
        </w:tc>
        <w:tc>
          <w:tcPr>
            <w:tcW w:w="1236" w:type="dxa"/>
            <w:tcBorders>
              <w:top w:val="single" w:sz="4" w:space="0" w:color="auto"/>
              <w:bottom w:val="single" w:sz="4" w:space="0" w:color="auto"/>
            </w:tcBorders>
          </w:tcPr>
          <w:p w14:paraId="2730D83E" w14:textId="1BDAD9E6" w:rsidR="00680ED5" w:rsidRPr="00680ED5" w:rsidRDefault="00680ED5" w:rsidP="00132A6D">
            <w:pPr>
              <w:pStyle w:val="TableText"/>
              <w:jc w:val="right"/>
            </w:pPr>
            <w:r w:rsidRPr="00680ED5">
              <w:t>1.2</w:t>
            </w:r>
          </w:p>
        </w:tc>
      </w:tr>
      <w:tr w:rsidR="00680ED5" w14:paraId="487F28C9" w14:textId="77777777" w:rsidTr="00132A6D">
        <w:tc>
          <w:tcPr>
            <w:tcW w:w="1203" w:type="dxa"/>
            <w:tcBorders>
              <w:top w:val="single" w:sz="4" w:space="0" w:color="auto"/>
              <w:bottom w:val="single" w:sz="4" w:space="0" w:color="auto"/>
            </w:tcBorders>
          </w:tcPr>
          <w:p w14:paraId="339543E7" w14:textId="06B97548" w:rsidR="00680ED5" w:rsidRPr="00680ED5" w:rsidRDefault="00680ED5" w:rsidP="00680ED5">
            <w:pPr>
              <w:pStyle w:val="TableText"/>
            </w:pPr>
            <w:r w:rsidRPr="00680ED5">
              <w:lastRenderedPageBreak/>
              <w:t>Sorghum, grain</w:t>
            </w:r>
          </w:p>
        </w:tc>
        <w:tc>
          <w:tcPr>
            <w:tcW w:w="1209" w:type="dxa"/>
            <w:tcBorders>
              <w:top w:val="single" w:sz="4" w:space="0" w:color="auto"/>
              <w:bottom w:val="single" w:sz="4" w:space="0" w:color="auto"/>
            </w:tcBorders>
          </w:tcPr>
          <w:p w14:paraId="005AD6EE" w14:textId="7E7C8337" w:rsidR="00680ED5" w:rsidRPr="00680ED5" w:rsidRDefault="00680ED5" w:rsidP="00680ED5">
            <w:pPr>
              <w:pStyle w:val="TableText"/>
            </w:pPr>
            <w:r w:rsidRPr="00680ED5">
              <w:t>GC</w:t>
            </w:r>
          </w:p>
        </w:tc>
        <w:tc>
          <w:tcPr>
            <w:tcW w:w="1199" w:type="dxa"/>
            <w:tcBorders>
              <w:top w:val="single" w:sz="4" w:space="0" w:color="auto"/>
              <w:bottom w:val="single" w:sz="4" w:space="0" w:color="auto"/>
            </w:tcBorders>
          </w:tcPr>
          <w:p w14:paraId="37F40C0D" w14:textId="76288FA1" w:rsidR="00680ED5" w:rsidRPr="00680ED5" w:rsidRDefault="00680ED5" w:rsidP="00680ED5">
            <w:pPr>
              <w:pStyle w:val="TableText"/>
            </w:pPr>
            <w:r w:rsidRPr="00680ED5">
              <w:t>1.1</w:t>
            </w:r>
          </w:p>
        </w:tc>
        <w:tc>
          <w:tcPr>
            <w:tcW w:w="1197" w:type="dxa"/>
            <w:tcBorders>
              <w:top w:val="single" w:sz="4" w:space="0" w:color="auto"/>
              <w:bottom w:val="single" w:sz="4" w:space="0" w:color="auto"/>
            </w:tcBorders>
          </w:tcPr>
          <w:p w14:paraId="287F3348" w14:textId="171C2C17" w:rsidR="00680ED5" w:rsidRPr="00680ED5" w:rsidRDefault="00680ED5" w:rsidP="00680ED5">
            <w:pPr>
              <w:pStyle w:val="TableText"/>
            </w:pPr>
            <w:r w:rsidRPr="00680ED5">
              <w:t>STMR</w:t>
            </w:r>
          </w:p>
        </w:tc>
        <w:tc>
          <w:tcPr>
            <w:tcW w:w="1199" w:type="dxa"/>
            <w:tcBorders>
              <w:top w:val="single" w:sz="4" w:space="0" w:color="auto"/>
              <w:bottom w:val="single" w:sz="4" w:space="0" w:color="auto"/>
            </w:tcBorders>
          </w:tcPr>
          <w:p w14:paraId="32DF09E1" w14:textId="341AF588" w:rsidR="00680ED5" w:rsidRPr="00680ED5" w:rsidRDefault="00680ED5" w:rsidP="00132A6D">
            <w:pPr>
              <w:pStyle w:val="TableText"/>
              <w:jc w:val="right"/>
            </w:pPr>
            <w:r w:rsidRPr="00680ED5">
              <w:t>86</w:t>
            </w:r>
          </w:p>
        </w:tc>
        <w:tc>
          <w:tcPr>
            <w:tcW w:w="1200" w:type="dxa"/>
            <w:tcBorders>
              <w:top w:val="single" w:sz="4" w:space="0" w:color="auto"/>
              <w:bottom w:val="single" w:sz="4" w:space="0" w:color="auto"/>
            </w:tcBorders>
          </w:tcPr>
          <w:p w14:paraId="318AC379" w14:textId="269A9A3B" w:rsidR="00680ED5" w:rsidRPr="00680ED5" w:rsidRDefault="00680ED5" w:rsidP="00132A6D">
            <w:pPr>
              <w:pStyle w:val="TableText"/>
              <w:jc w:val="right"/>
            </w:pPr>
            <w:r w:rsidRPr="00680ED5">
              <w:t>1.3</w:t>
            </w:r>
          </w:p>
        </w:tc>
        <w:tc>
          <w:tcPr>
            <w:tcW w:w="1200" w:type="dxa"/>
            <w:tcBorders>
              <w:top w:val="single" w:sz="4" w:space="0" w:color="auto"/>
              <w:bottom w:val="single" w:sz="4" w:space="0" w:color="auto"/>
            </w:tcBorders>
          </w:tcPr>
          <w:p w14:paraId="3379BE6B" w14:textId="5DB5C3D3" w:rsidR="00680ED5" w:rsidRPr="00680ED5" w:rsidRDefault="00680ED5" w:rsidP="00132A6D">
            <w:pPr>
              <w:pStyle w:val="TableText"/>
              <w:jc w:val="right"/>
            </w:pPr>
            <w:r w:rsidRPr="00680ED5">
              <w:t>50</w:t>
            </w:r>
          </w:p>
        </w:tc>
        <w:tc>
          <w:tcPr>
            <w:tcW w:w="1236" w:type="dxa"/>
            <w:tcBorders>
              <w:top w:val="single" w:sz="4" w:space="0" w:color="auto"/>
              <w:bottom w:val="single" w:sz="4" w:space="0" w:color="auto"/>
            </w:tcBorders>
          </w:tcPr>
          <w:p w14:paraId="608AD0F5" w14:textId="61D97796" w:rsidR="00680ED5" w:rsidRPr="00680ED5" w:rsidRDefault="00680ED5" w:rsidP="00132A6D">
            <w:pPr>
              <w:pStyle w:val="TableText"/>
              <w:jc w:val="right"/>
            </w:pPr>
            <w:r w:rsidRPr="00680ED5">
              <w:t>0.6</w:t>
            </w:r>
          </w:p>
        </w:tc>
      </w:tr>
      <w:tr w:rsidR="00132A6D" w14:paraId="11A7D8A6" w14:textId="77777777" w:rsidTr="00132A6D">
        <w:tc>
          <w:tcPr>
            <w:tcW w:w="1203" w:type="dxa"/>
            <w:tcBorders>
              <w:top w:val="single" w:sz="4" w:space="0" w:color="auto"/>
              <w:bottom w:val="single" w:sz="4" w:space="0" w:color="auto"/>
            </w:tcBorders>
          </w:tcPr>
          <w:p w14:paraId="514C826E" w14:textId="355AF0D6" w:rsidR="00132A6D" w:rsidRPr="00680ED5" w:rsidRDefault="00132A6D" w:rsidP="00132A6D">
            <w:pPr>
              <w:pStyle w:val="TableText"/>
            </w:pPr>
            <w:r w:rsidRPr="00680ED5">
              <w:t>Barley grain</w:t>
            </w:r>
          </w:p>
        </w:tc>
        <w:tc>
          <w:tcPr>
            <w:tcW w:w="1209" w:type="dxa"/>
            <w:tcBorders>
              <w:top w:val="single" w:sz="4" w:space="0" w:color="auto"/>
              <w:bottom w:val="single" w:sz="4" w:space="0" w:color="auto"/>
            </w:tcBorders>
          </w:tcPr>
          <w:p w14:paraId="7F34A6E0" w14:textId="118208F2" w:rsidR="00132A6D" w:rsidRPr="00680ED5" w:rsidRDefault="00132A6D" w:rsidP="00132A6D">
            <w:pPr>
              <w:pStyle w:val="TableText"/>
            </w:pPr>
            <w:r w:rsidRPr="00680ED5">
              <w:t>GC</w:t>
            </w:r>
          </w:p>
        </w:tc>
        <w:tc>
          <w:tcPr>
            <w:tcW w:w="1199" w:type="dxa"/>
            <w:tcBorders>
              <w:top w:val="single" w:sz="4" w:space="0" w:color="auto"/>
              <w:bottom w:val="single" w:sz="4" w:space="0" w:color="auto"/>
            </w:tcBorders>
          </w:tcPr>
          <w:p w14:paraId="21F2D550" w14:textId="12617656" w:rsidR="00132A6D" w:rsidRPr="00680ED5" w:rsidRDefault="00132A6D" w:rsidP="00132A6D">
            <w:pPr>
              <w:pStyle w:val="TableText"/>
            </w:pPr>
            <w:r w:rsidRPr="00680ED5">
              <w:t>1.1</w:t>
            </w:r>
          </w:p>
        </w:tc>
        <w:tc>
          <w:tcPr>
            <w:tcW w:w="1197" w:type="dxa"/>
            <w:tcBorders>
              <w:top w:val="single" w:sz="4" w:space="0" w:color="auto"/>
              <w:bottom w:val="single" w:sz="4" w:space="0" w:color="auto"/>
            </w:tcBorders>
          </w:tcPr>
          <w:p w14:paraId="7BEE344D" w14:textId="2ED41BC3" w:rsidR="00132A6D" w:rsidRPr="00680ED5" w:rsidRDefault="00132A6D" w:rsidP="00132A6D">
            <w:pPr>
              <w:pStyle w:val="TableText"/>
            </w:pPr>
            <w:r w:rsidRPr="00680ED5">
              <w:t>STMR</w:t>
            </w:r>
          </w:p>
        </w:tc>
        <w:tc>
          <w:tcPr>
            <w:tcW w:w="1199" w:type="dxa"/>
            <w:tcBorders>
              <w:top w:val="single" w:sz="4" w:space="0" w:color="auto"/>
              <w:bottom w:val="single" w:sz="4" w:space="0" w:color="auto"/>
            </w:tcBorders>
          </w:tcPr>
          <w:p w14:paraId="7C5970CB" w14:textId="7EE4FAD7" w:rsidR="00132A6D" w:rsidRPr="00680ED5" w:rsidRDefault="00132A6D" w:rsidP="00132A6D">
            <w:pPr>
              <w:pStyle w:val="TableText"/>
              <w:jc w:val="right"/>
            </w:pPr>
            <w:r w:rsidRPr="00680ED5">
              <w:t>88</w:t>
            </w:r>
          </w:p>
        </w:tc>
        <w:tc>
          <w:tcPr>
            <w:tcW w:w="1200" w:type="dxa"/>
            <w:tcBorders>
              <w:top w:val="single" w:sz="4" w:space="0" w:color="auto"/>
              <w:bottom w:val="single" w:sz="4" w:space="0" w:color="auto"/>
            </w:tcBorders>
          </w:tcPr>
          <w:p w14:paraId="0E4921A5" w14:textId="40C50878" w:rsidR="00132A6D" w:rsidRPr="00680ED5" w:rsidRDefault="00132A6D" w:rsidP="00132A6D">
            <w:pPr>
              <w:pStyle w:val="TableText"/>
              <w:jc w:val="right"/>
            </w:pPr>
            <w:r w:rsidRPr="00680ED5">
              <w:t>1.3</w:t>
            </w:r>
          </w:p>
        </w:tc>
        <w:tc>
          <w:tcPr>
            <w:tcW w:w="1200" w:type="dxa"/>
            <w:tcBorders>
              <w:top w:val="single" w:sz="4" w:space="0" w:color="auto"/>
              <w:bottom w:val="single" w:sz="4" w:space="0" w:color="auto"/>
            </w:tcBorders>
          </w:tcPr>
          <w:p w14:paraId="269C8132" w14:textId="41CFE19B" w:rsidR="00132A6D" w:rsidRPr="00680ED5" w:rsidRDefault="00132A6D" w:rsidP="00132A6D">
            <w:pPr>
              <w:pStyle w:val="TableText"/>
              <w:jc w:val="right"/>
            </w:pPr>
            <w:r w:rsidRPr="002A510B">
              <w:t>–</w:t>
            </w:r>
          </w:p>
        </w:tc>
        <w:tc>
          <w:tcPr>
            <w:tcW w:w="1236" w:type="dxa"/>
            <w:tcBorders>
              <w:top w:val="single" w:sz="4" w:space="0" w:color="auto"/>
              <w:bottom w:val="single" w:sz="4" w:space="0" w:color="auto"/>
            </w:tcBorders>
          </w:tcPr>
          <w:p w14:paraId="5D15353A" w14:textId="7AF499AC" w:rsidR="00132A6D" w:rsidRPr="00680ED5" w:rsidRDefault="00132A6D" w:rsidP="00132A6D">
            <w:pPr>
              <w:pStyle w:val="TableText"/>
              <w:jc w:val="right"/>
            </w:pPr>
            <w:r w:rsidRPr="002A510B">
              <w:t>–</w:t>
            </w:r>
          </w:p>
        </w:tc>
      </w:tr>
      <w:tr w:rsidR="00132A6D" w14:paraId="718BEE7B" w14:textId="77777777" w:rsidTr="00132A6D">
        <w:tc>
          <w:tcPr>
            <w:tcW w:w="1203" w:type="dxa"/>
            <w:tcBorders>
              <w:top w:val="single" w:sz="4" w:space="0" w:color="auto"/>
              <w:bottom w:val="single" w:sz="4" w:space="0" w:color="auto"/>
            </w:tcBorders>
          </w:tcPr>
          <w:p w14:paraId="3A8AD31F" w14:textId="69C0A510" w:rsidR="00132A6D" w:rsidRPr="00680ED5" w:rsidRDefault="00132A6D" w:rsidP="00132A6D">
            <w:pPr>
              <w:pStyle w:val="TableText"/>
            </w:pPr>
            <w:r w:rsidRPr="00680ED5">
              <w:t>Corn, field grain</w:t>
            </w:r>
          </w:p>
        </w:tc>
        <w:tc>
          <w:tcPr>
            <w:tcW w:w="1209" w:type="dxa"/>
            <w:tcBorders>
              <w:top w:val="single" w:sz="4" w:space="0" w:color="auto"/>
              <w:bottom w:val="single" w:sz="4" w:space="0" w:color="auto"/>
            </w:tcBorders>
          </w:tcPr>
          <w:p w14:paraId="7AD21756" w14:textId="79E895F8" w:rsidR="00132A6D" w:rsidRPr="00680ED5" w:rsidRDefault="00132A6D" w:rsidP="00132A6D">
            <w:pPr>
              <w:pStyle w:val="TableText"/>
            </w:pPr>
            <w:r w:rsidRPr="00680ED5">
              <w:t>GC</w:t>
            </w:r>
          </w:p>
        </w:tc>
        <w:tc>
          <w:tcPr>
            <w:tcW w:w="1199" w:type="dxa"/>
            <w:tcBorders>
              <w:top w:val="single" w:sz="4" w:space="0" w:color="auto"/>
              <w:bottom w:val="single" w:sz="4" w:space="0" w:color="auto"/>
            </w:tcBorders>
          </w:tcPr>
          <w:p w14:paraId="68D63E98" w14:textId="2F443DEA" w:rsidR="00132A6D" w:rsidRPr="00680ED5" w:rsidRDefault="00132A6D" w:rsidP="00132A6D">
            <w:pPr>
              <w:pStyle w:val="TableText"/>
            </w:pPr>
            <w:r w:rsidRPr="00680ED5">
              <w:t>0.05</w:t>
            </w:r>
          </w:p>
        </w:tc>
        <w:tc>
          <w:tcPr>
            <w:tcW w:w="1197" w:type="dxa"/>
            <w:tcBorders>
              <w:top w:val="single" w:sz="4" w:space="0" w:color="auto"/>
              <w:bottom w:val="single" w:sz="4" w:space="0" w:color="auto"/>
            </w:tcBorders>
          </w:tcPr>
          <w:p w14:paraId="7E2C2CE6" w14:textId="1A39E487" w:rsidR="00132A6D" w:rsidRPr="00680ED5" w:rsidRDefault="00132A6D" w:rsidP="00132A6D">
            <w:pPr>
              <w:pStyle w:val="TableText"/>
            </w:pPr>
            <w:r w:rsidRPr="00680ED5">
              <w:t>STMR</w:t>
            </w:r>
          </w:p>
        </w:tc>
        <w:tc>
          <w:tcPr>
            <w:tcW w:w="1199" w:type="dxa"/>
            <w:tcBorders>
              <w:top w:val="single" w:sz="4" w:space="0" w:color="auto"/>
              <w:bottom w:val="single" w:sz="4" w:space="0" w:color="auto"/>
            </w:tcBorders>
          </w:tcPr>
          <w:p w14:paraId="7FC37208" w14:textId="664CDDB7" w:rsidR="00132A6D" w:rsidRPr="00680ED5" w:rsidRDefault="00132A6D" w:rsidP="00132A6D">
            <w:pPr>
              <w:pStyle w:val="TableText"/>
              <w:jc w:val="right"/>
            </w:pPr>
            <w:r w:rsidRPr="00680ED5">
              <w:t>88</w:t>
            </w:r>
          </w:p>
        </w:tc>
        <w:tc>
          <w:tcPr>
            <w:tcW w:w="1200" w:type="dxa"/>
            <w:tcBorders>
              <w:top w:val="single" w:sz="4" w:space="0" w:color="auto"/>
              <w:bottom w:val="single" w:sz="4" w:space="0" w:color="auto"/>
            </w:tcBorders>
          </w:tcPr>
          <w:p w14:paraId="07FA8E20" w14:textId="546EABB7" w:rsidR="00132A6D" w:rsidRPr="00680ED5" w:rsidRDefault="00132A6D" w:rsidP="00132A6D">
            <w:pPr>
              <w:pStyle w:val="TableText"/>
              <w:jc w:val="right"/>
            </w:pPr>
            <w:r w:rsidRPr="00680ED5">
              <w:t>1.1</w:t>
            </w:r>
          </w:p>
        </w:tc>
        <w:tc>
          <w:tcPr>
            <w:tcW w:w="1200" w:type="dxa"/>
            <w:tcBorders>
              <w:top w:val="single" w:sz="4" w:space="0" w:color="auto"/>
              <w:bottom w:val="single" w:sz="4" w:space="0" w:color="auto"/>
            </w:tcBorders>
          </w:tcPr>
          <w:p w14:paraId="322B26C9" w14:textId="57D360F5" w:rsidR="00132A6D" w:rsidRPr="00680ED5" w:rsidRDefault="00132A6D" w:rsidP="00132A6D">
            <w:pPr>
              <w:pStyle w:val="TableText"/>
              <w:jc w:val="right"/>
            </w:pPr>
            <w:r w:rsidRPr="002A510B">
              <w:t>–</w:t>
            </w:r>
          </w:p>
        </w:tc>
        <w:tc>
          <w:tcPr>
            <w:tcW w:w="1236" w:type="dxa"/>
            <w:tcBorders>
              <w:top w:val="single" w:sz="4" w:space="0" w:color="auto"/>
              <w:bottom w:val="single" w:sz="4" w:space="0" w:color="auto"/>
            </w:tcBorders>
          </w:tcPr>
          <w:p w14:paraId="3C7BB999" w14:textId="7D6EDA07" w:rsidR="00132A6D" w:rsidRPr="00680ED5" w:rsidRDefault="00132A6D" w:rsidP="00132A6D">
            <w:pPr>
              <w:pStyle w:val="TableText"/>
              <w:jc w:val="right"/>
            </w:pPr>
            <w:r w:rsidRPr="002A510B">
              <w:t>–</w:t>
            </w:r>
          </w:p>
        </w:tc>
      </w:tr>
      <w:tr w:rsidR="00680ED5" w14:paraId="1AF3E0B3" w14:textId="77777777" w:rsidTr="00132A6D">
        <w:tc>
          <w:tcPr>
            <w:tcW w:w="1203" w:type="dxa"/>
            <w:tcBorders>
              <w:top w:val="single" w:sz="4" w:space="0" w:color="auto"/>
              <w:bottom w:val="single" w:sz="4" w:space="0" w:color="auto"/>
            </w:tcBorders>
          </w:tcPr>
          <w:p w14:paraId="6F2F2554" w14:textId="77777777" w:rsidR="00680ED5" w:rsidRPr="00132A6D" w:rsidRDefault="00680ED5" w:rsidP="00680ED5">
            <w:pPr>
              <w:pStyle w:val="TableText"/>
              <w:rPr>
                <w:b/>
                <w:bCs/>
              </w:rPr>
            </w:pPr>
            <w:r w:rsidRPr="00132A6D">
              <w:rPr>
                <w:b/>
                <w:bCs/>
              </w:rPr>
              <w:t>Total</w:t>
            </w:r>
          </w:p>
        </w:tc>
        <w:tc>
          <w:tcPr>
            <w:tcW w:w="1209" w:type="dxa"/>
            <w:tcBorders>
              <w:top w:val="single" w:sz="4" w:space="0" w:color="auto"/>
              <w:bottom w:val="single" w:sz="4" w:space="0" w:color="auto"/>
            </w:tcBorders>
          </w:tcPr>
          <w:p w14:paraId="7EB7FD39" w14:textId="77777777" w:rsidR="00680ED5" w:rsidRPr="00132A6D" w:rsidRDefault="00680ED5" w:rsidP="00680ED5">
            <w:pPr>
              <w:pStyle w:val="TableText"/>
              <w:rPr>
                <w:b/>
                <w:bCs/>
              </w:rPr>
            </w:pPr>
          </w:p>
        </w:tc>
        <w:tc>
          <w:tcPr>
            <w:tcW w:w="1199" w:type="dxa"/>
            <w:tcBorders>
              <w:top w:val="single" w:sz="4" w:space="0" w:color="auto"/>
              <w:bottom w:val="single" w:sz="4" w:space="0" w:color="auto"/>
            </w:tcBorders>
          </w:tcPr>
          <w:p w14:paraId="737A81B1" w14:textId="77777777" w:rsidR="00680ED5" w:rsidRPr="00132A6D" w:rsidRDefault="00680ED5" w:rsidP="00680ED5">
            <w:pPr>
              <w:pStyle w:val="TableText"/>
              <w:rPr>
                <w:b/>
                <w:bCs/>
              </w:rPr>
            </w:pPr>
          </w:p>
        </w:tc>
        <w:tc>
          <w:tcPr>
            <w:tcW w:w="1197" w:type="dxa"/>
            <w:tcBorders>
              <w:top w:val="single" w:sz="4" w:space="0" w:color="auto"/>
              <w:bottom w:val="single" w:sz="4" w:space="0" w:color="auto"/>
            </w:tcBorders>
          </w:tcPr>
          <w:p w14:paraId="3DCE6B99" w14:textId="77777777" w:rsidR="00680ED5" w:rsidRPr="00132A6D" w:rsidRDefault="00680ED5" w:rsidP="00680ED5">
            <w:pPr>
              <w:pStyle w:val="TableText"/>
              <w:rPr>
                <w:b/>
                <w:bCs/>
              </w:rPr>
            </w:pPr>
          </w:p>
        </w:tc>
        <w:tc>
          <w:tcPr>
            <w:tcW w:w="1199" w:type="dxa"/>
            <w:tcBorders>
              <w:top w:val="single" w:sz="4" w:space="0" w:color="auto"/>
              <w:bottom w:val="single" w:sz="4" w:space="0" w:color="auto"/>
            </w:tcBorders>
          </w:tcPr>
          <w:p w14:paraId="33028FA5" w14:textId="77777777" w:rsidR="00680ED5" w:rsidRPr="00132A6D" w:rsidRDefault="00680ED5" w:rsidP="00132A6D">
            <w:pPr>
              <w:pStyle w:val="TableText"/>
              <w:jc w:val="right"/>
              <w:rPr>
                <w:b/>
                <w:bCs/>
              </w:rPr>
            </w:pPr>
          </w:p>
        </w:tc>
        <w:tc>
          <w:tcPr>
            <w:tcW w:w="1200" w:type="dxa"/>
            <w:tcBorders>
              <w:top w:val="single" w:sz="4" w:space="0" w:color="auto"/>
              <w:bottom w:val="single" w:sz="4" w:space="0" w:color="auto"/>
            </w:tcBorders>
          </w:tcPr>
          <w:p w14:paraId="044D763A" w14:textId="77777777" w:rsidR="00680ED5" w:rsidRPr="00132A6D" w:rsidRDefault="00680ED5" w:rsidP="00132A6D">
            <w:pPr>
              <w:pStyle w:val="TableText"/>
              <w:jc w:val="right"/>
              <w:rPr>
                <w:b/>
                <w:bCs/>
              </w:rPr>
            </w:pPr>
          </w:p>
        </w:tc>
        <w:tc>
          <w:tcPr>
            <w:tcW w:w="1200" w:type="dxa"/>
            <w:tcBorders>
              <w:top w:val="single" w:sz="4" w:space="0" w:color="auto"/>
              <w:bottom w:val="single" w:sz="4" w:space="0" w:color="auto"/>
            </w:tcBorders>
          </w:tcPr>
          <w:p w14:paraId="2ABD34E9" w14:textId="77777777" w:rsidR="00680ED5" w:rsidRPr="00132A6D" w:rsidRDefault="00680ED5" w:rsidP="00132A6D">
            <w:pPr>
              <w:pStyle w:val="TableText"/>
              <w:jc w:val="right"/>
              <w:rPr>
                <w:b/>
                <w:bCs/>
              </w:rPr>
            </w:pPr>
            <w:r w:rsidRPr="00132A6D">
              <w:rPr>
                <w:b/>
                <w:bCs/>
              </w:rPr>
              <w:t>100</w:t>
            </w:r>
          </w:p>
        </w:tc>
        <w:tc>
          <w:tcPr>
            <w:tcW w:w="1236" w:type="dxa"/>
            <w:tcBorders>
              <w:top w:val="single" w:sz="4" w:space="0" w:color="auto"/>
              <w:bottom w:val="single" w:sz="4" w:space="0" w:color="auto"/>
            </w:tcBorders>
          </w:tcPr>
          <w:p w14:paraId="37A39E12" w14:textId="77777777" w:rsidR="00680ED5" w:rsidRPr="00132A6D" w:rsidRDefault="00680ED5" w:rsidP="00132A6D">
            <w:pPr>
              <w:pStyle w:val="TableText"/>
              <w:jc w:val="right"/>
              <w:rPr>
                <w:b/>
                <w:bCs/>
              </w:rPr>
            </w:pPr>
            <w:r w:rsidRPr="00132A6D">
              <w:rPr>
                <w:b/>
                <w:bCs/>
              </w:rPr>
              <w:t>1.8</w:t>
            </w:r>
          </w:p>
        </w:tc>
      </w:tr>
    </w:tbl>
    <w:p w14:paraId="1A369DA0" w14:textId="20AF475D" w:rsidR="00626AB9" w:rsidRPr="00493502" w:rsidRDefault="00626AB9" w:rsidP="00626AB9">
      <w:pPr>
        <w:pStyle w:val="NormalText"/>
      </w:pPr>
      <w:r w:rsidRPr="00493502">
        <w:t>As diquat residues above the LOQ of 0.01 mg/kg for eggs and 0.05 mg/kg for meat and offal were not observed in the feeding study conducted at a feeding level of 10 ppm, finite residues are not expected from the feeding level associated with current uses (1.8 ppm). The current poultry commodity MRLs remain appropriate.</w:t>
      </w:r>
    </w:p>
    <w:p w14:paraId="01FB67A7" w14:textId="77777777" w:rsidR="00626AB9" w:rsidRPr="00E31BE1" w:rsidRDefault="00626AB9" w:rsidP="00616236">
      <w:pPr>
        <w:pStyle w:val="Heading3"/>
      </w:pPr>
      <w:bookmarkStart w:id="248" w:name="_Toc233038984"/>
      <w:r w:rsidRPr="00E31BE1">
        <w:t>Ruminants</w:t>
      </w:r>
      <w:bookmarkEnd w:id="248"/>
    </w:p>
    <w:p w14:paraId="27EC86A2" w14:textId="67A07E86" w:rsidR="00626AB9" w:rsidRDefault="007A7B84" w:rsidP="00626AB9">
      <w:pPr>
        <w:pStyle w:val="NormalText"/>
      </w:pPr>
      <w:r>
        <w:t xml:space="preserve">Several studies in ruminants were submitted and assessed. In one study, </w:t>
      </w:r>
      <w:r w:rsidR="00132A6D">
        <w:t>12</w:t>
      </w:r>
      <w:r w:rsidR="00626AB9">
        <w:t xml:space="preserve"> Friesian cows were fed for 30</w:t>
      </w:r>
      <w:r w:rsidR="00132A6D">
        <w:t> </w:t>
      </w:r>
      <w:r w:rsidR="00626AB9">
        <w:t xml:space="preserve">days with diets including pelleted grass nuts containing nominally </w:t>
      </w:r>
      <w:r w:rsidR="00132A6D">
        <w:t>zero</w:t>
      </w:r>
      <w:r w:rsidR="00626AB9">
        <w:t>, 20, 50 or 100 mg diquat/kg diet dry weight</w:t>
      </w:r>
      <w:r>
        <w:t xml:space="preserve"> (</w:t>
      </w:r>
      <w:r w:rsidRPr="007A7B84">
        <w:t>Edward et al, 1976)</w:t>
      </w:r>
      <w:r w:rsidR="00626AB9">
        <w:t xml:space="preserve">. The grass nuts were prepared from grass sprayed with diquat at a rate of 4 kg </w:t>
      </w:r>
      <w:r w:rsidR="00572A0C">
        <w:t>ac/ha</w:t>
      </w:r>
      <w:r w:rsidR="00626AB9">
        <w:t xml:space="preserve"> and cut after </w:t>
      </w:r>
      <w:r w:rsidR="00132A6D">
        <w:t>4 </w:t>
      </w:r>
      <w:r w:rsidR="00626AB9">
        <w:t xml:space="preserve">days. The cut grass was pelleted and stored at ambient temperature for up to </w:t>
      </w:r>
      <w:r w:rsidR="00132A6D">
        <w:t>2</w:t>
      </w:r>
      <w:r w:rsidR="00626AB9">
        <w:t xml:space="preserve"> years. Residues in the grass immediately after treatment were 940 mg/kg dry weight, in the nuts after pelleting were 212</w:t>
      </w:r>
      <w:r w:rsidR="00132A6D">
        <w:t> </w:t>
      </w:r>
      <w:r w:rsidR="00626AB9">
        <w:t xml:space="preserve">mg/kg dry weight, and a mean of 209 mg/kg in the nuts during the feeding study. Milk was collected and analysed </w:t>
      </w:r>
      <w:r w:rsidR="00132A6D">
        <w:t>3 </w:t>
      </w:r>
      <w:r w:rsidR="00626AB9">
        <w:t xml:space="preserve">times per week, and after 30 days </w:t>
      </w:r>
      <w:r w:rsidR="00132A6D">
        <w:t>2</w:t>
      </w:r>
      <w:r w:rsidR="00626AB9">
        <w:t xml:space="preserve"> animals from each treatment group were slaughtered and tissues analysed. The remaining animal from each group was maintained on a control diet for </w:t>
      </w:r>
      <w:r w:rsidR="00132A6D">
        <w:t>7</w:t>
      </w:r>
      <w:r w:rsidR="00626AB9">
        <w:t xml:space="preserve"> days then slaughtered. No residues of diquat above 0.001 mg/kg were detected in the milk and no residues &gt;0.01 mg/kg were detected in tissues (liver, kidney, fat and muscle).</w:t>
      </w:r>
    </w:p>
    <w:p w14:paraId="37F5AF99" w14:textId="3B731048" w:rsidR="00626AB9" w:rsidRDefault="00626AB9" w:rsidP="00626AB9">
      <w:pPr>
        <w:pStyle w:val="NormalText"/>
      </w:pPr>
      <w:r>
        <w:t>In another study, a single cow was dosed orally with 10 grams diquat and milk collected at 0, 24, 48, 72 and 96</w:t>
      </w:r>
      <w:r w:rsidR="00132A6D">
        <w:t> </w:t>
      </w:r>
      <w:r>
        <w:t>hours for analysis</w:t>
      </w:r>
      <w:r w:rsidR="007A7B84">
        <w:t xml:space="preserve"> (</w:t>
      </w:r>
      <w:r w:rsidR="007A7B84" w:rsidRPr="007A7B84">
        <w:t>Daniel, 1962)</w:t>
      </w:r>
      <w:r>
        <w:t>. The dose administered is equivalent to 1</w:t>
      </w:r>
      <w:r w:rsidR="00132A6D">
        <w:t>,</w:t>
      </w:r>
      <w:r>
        <w:t>000 mg/kg diquat in the diet. No detectable residues of diquat were found (the limit of detection was 0.01 mg/kg).</w:t>
      </w:r>
    </w:p>
    <w:p w14:paraId="675E43A4" w14:textId="5EE6DCF5" w:rsidR="00626AB9" w:rsidRDefault="00626AB9" w:rsidP="00626AB9">
      <w:pPr>
        <w:pStyle w:val="NormalText"/>
      </w:pPr>
      <w:r>
        <w:t xml:space="preserve">In another study, </w:t>
      </w:r>
      <w:r w:rsidR="00132A6D">
        <w:t>3</w:t>
      </w:r>
      <w:r>
        <w:t xml:space="preserve"> groups of </w:t>
      </w:r>
      <w:r w:rsidR="00132A6D">
        <w:t>5</w:t>
      </w:r>
      <w:r>
        <w:t xml:space="preserve"> cows were fed either rapeseed cake containing 50 mg/kg diquat, sunflower cake containing 55 mg/kg diquat, or rapeseed cake from the field containing 0.45 mg/kg diquat, for a period of 31</w:t>
      </w:r>
      <w:r w:rsidR="00132A6D">
        <w:t> </w:t>
      </w:r>
      <w:r>
        <w:t>days</w:t>
      </w:r>
      <w:r w:rsidR="007A7B84">
        <w:t xml:space="preserve"> (</w:t>
      </w:r>
      <w:r w:rsidR="007A7B84" w:rsidRPr="007A7B84">
        <w:t>Sipos, 1973)</w:t>
      </w:r>
      <w:r>
        <w:t>. Samples of milk were taken daily and analysed throughout the feeding period and no detectable residues of diquat were found (residues were &lt;0.005 mg/kg). No detectable residues of diquat were found in the tissues (liver, kidney, kidney fat, heart, brain, bone marrow, stomach or meat) of sacrificed cows at the conclusion of the feeding period. The limit if detection was 0.01 mg/kg for the kidney, kidney fat, heart and meat, 0.02</w:t>
      </w:r>
      <w:r w:rsidR="00132A6D">
        <w:t> </w:t>
      </w:r>
      <w:r>
        <w:t>mg/kg for the liver and stomach, 0.02–0.025 mg/kg for the brain, and 0.03 mg/kg for the bone marrow.</w:t>
      </w:r>
    </w:p>
    <w:p w14:paraId="635AF469" w14:textId="64747917" w:rsidR="00626AB9" w:rsidRDefault="004B39D4" w:rsidP="00626AB9">
      <w:pPr>
        <w:pStyle w:val="NormalText"/>
      </w:pPr>
      <w:r>
        <w:t xml:space="preserve">In a study involving cattle and sheep </w:t>
      </w:r>
      <w:r w:rsidR="00132A6D">
        <w:t>6</w:t>
      </w:r>
      <w:r w:rsidR="00626AB9">
        <w:t xml:space="preserve"> acres of Italian ryegrass was sprayed with diquat at a rate of approximately 0.</w:t>
      </w:r>
      <w:r w:rsidR="00626AB9" w:rsidRPr="00132A6D">
        <w:t>3kg</w:t>
      </w:r>
      <w:r w:rsidR="00132A6D">
        <w:t> </w:t>
      </w:r>
      <w:r w:rsidR="00572A0C">
        <w:t>ac/ha</w:t>
      </w:r>
      <w:r w:rsidR="007A7B84">
        <w:t xml:space="preserve"> </w:t>
      </w:r>
      <w:r w:rsidR="007A7B84" w:rsidRPr="007A7B84">
        <w:t>(Black et al, 1966)</w:t>
      </w:r>
      <w:r w:rsidR="00626AB9">
        <w:t xml:space="preserve">. The crop was harvested </w:t>
      </w:r>
      <w:r w:rsidR="00132A6D">
        <w:t>4</w:t>
      </w:r>
      <w:r w:rsidR="00626AB9">
        <w:t xml:space="preserve"> days </w:t>
      </w:r>
      <w:r w:rsidR="00132A6D">
        <w:t>later,</w:t>
      </w:r>
      <w:r w:rsidR="00626AB9">
        <w:t xml:space="preserve"> and a silo filled with about 50 tonnes of herbage. After </w:t>
      </w:r>
      <w:r w:rsidR="00132A6D">
        <w:t>5</w:t>
      </w:r>
      <w:r w:rsidR="00626AB9">
        <w:t xml:space="preserve"> months samples of silage were analysed for diquat </w:t>
      </w:r>
      <w:r w:rsidR="00132A6D">
        <w:t>residues,</w:t>
      </w:r>
      <w:r w:rsidR="00626AB9">
        <w:t xml:space="preserve"> and a mean value of 3.6</w:t>
      </w:r>
      <w:r w:rsidR="00132A6D">
        <w:t> </w:t>
      </w:r>
      <w:r w:rsidR="00626AB9">
        <w:t>mg/kg dry weight was obtained. A Hereford steer was sacrificed after being fed a daily ration incorporating 18–23</w:t>
      </w:r>
      <w:r w:rsidR="00132A6D">
        <w:t> </w:t>
      </w:r>
      <w:r w:rsidR="00626AB9">
        <w:t xml:space="preserve">kg of silage </w:t>
      </w:r>
      <w:r w:rsidR="00626AB9">
        <w:lastRenderedPageBreak/>
        <w:t xml:space="preserve">for one month, and no diquat residues were detected (residues were &lt;0.01 mg/kg) in the meat and organs. A Dairy Shorthorn fed the same ration had milk collected and analysed on alternate days for a period of </w:t>
      </w:r>
      <w:r w:rsidR="00132A6D">
        <w:t>2</w:t>
      </w:r>
      <w:r w:rsidR="00626AB9">
        <w:t xml:space="preserve"> weeks, </w:t>
      </w:r>
      <w:r w:rsidR="00132A6D">
        <w:t>2 </w:t>
      </w:r>
      <w:r w:rsidR="00626AB9">
        <w:t>weeks after commencement of feeding, and similarly, no residues of diquat were detected (residues were &lt;0.003</w:t>
      </w:r>
      <w:r w:rsidR="00132A6D">
        <w:t> </w:t>
      </w:r>
      <w:r w:rsidR="00626AB9">
        <w:t>mg/kg).</w:t>
      </w:r>
    </w:p>
    <w:p w14:paraId="3F3DD4B2" w14:textId="1276819A" w:rsidR="00626AB9" w:rsidRDefault="00626AB9" w:rsidP="00626AB9">
      <w:pPr>
        <w:pStyle w:val="NormalText"/>
      </w:pPr>
      <w:r>
        <w:t xml:space="preserve">Twenty sheep </w:t>
      </w:r>
      <w:r w:rsidR="007A7B84">
        <w:t>in the same study (</w:t>
      </w:r>
      <w:r w:rsidR="007A7B84" w:rsidRPr="007A7B84">
        <w:t>Black et al, 1966</w:t>
      </w:r>
      <w:r w:rsidR="007A7B84">
        <w:t xml:space="preserve">) </w:t>
      </w:r>
      <w:r>
        <w:t xml:space="preserve">were fed silage (mixed grass/clover) containing diquat residues of either 6.6 or 13.3 mg/kg (dry) for a period of </w:t>
      </w:r>
      <w:r w:rsidR="00132A6D">
        <w:t>8</w:t>
      </w:r>
      <w:r>
        <w:t xml:space="preserve"> days. The concentration of diquat in the urine and faeces was determined over a </w:t>
      </w:r>
      <w:r w:rsidR="00132A6D">
        <w:t>3 </w:t>
      </w:r>
      <w:r>
        <w:t>day period. The amount of diquat excreted in the faeces was 40–50% of the intake and &lt;10% in the urine. No detectable residues of diquat (residues were &lt;0.01 mg/kg) were found in samples of brain, liver and kidneys.</w:t>
      </w:r>
    </w:p>
    <w:p w14:paraId="55131F62" w14:textId="261B771A" w:rsidR="00626AB9" w:rsidRDefault="00626AB9" w:rsidP="00626AB9">
      <w:pPr>
        <w:pStyle w:val="NormalText"/>
      </w:pPr>
      <w:r>
        <w:t>In an additional experiment</w:t>
      </w:r>
      <w:r w:rsidR="007A7B84">
        <w:t xml:space="preserve">, </w:t>
      </w:r>
      <w:r w:rsidR="007A7B84" w:rsidRPr="007A7B84">
        <w:t>Black et al,</w:t>
      </w:r>
      <w:r w:rsidR="007A7B84">
        <w:t xml:space="preserve"> (1</w:t>
      </w:r>
      <w:r w:rsidR="007A7B84" w:rsidRPr="007A7B84">
        <w:t>966</w:t>
      </w:r>
      <w:r w:rsidR="007A7B84">
        <w:t>)</w:t>
      </w:r>
      <w:r>
        <w:t xml:space="preserve"> incubated</w:t>
      </w:r>
      <w:r w:rsidR="007A7B84" w:rsidRPr="007A7B84">
        <w:t xml:space="preserve"> </w:t>
      </w:r>
      <w:r w:rsidR="007A7B84">
        <w:t>diquat</w:t>
      </w:r>
      <w:r>
        <w:t xml:space="preserve"> with rumen liquor or faeces. In faeces, a 35% loss was reported after </w:t>
      </w:r>
      <w:r w:rsidR="00287F33">
        <w:t>2</w:t>
      </w:r>
      <w:r>
        <w:t xml:space="preserve"> days but no further loss on prolonged incubation. There was little degradation of diquat in the rumen liquor after incubation for 10 hours but thereafter there was </w:t>
      </w:r>
      <w:r w:rsidR="00287F33">
        <w:t>‘</w:t>
      </w:r>
      <w:r>
        <w:t>an appreciable loss</w:t>
      </w:r>
      <w:r w:rsidR="00287F33">
        <w:t>’</w:t>
      </w:r>
      <w:r>
        <w:t>, although this was not quantified.</w:t>
      </w:r>
    </w:p>
    <w:p w14:paraId="4EF96DD6" w14:textId="1AA0B31D" w:rsidR="00626AB9" w:rsidRDefault="007A7B84" w:rsidP="00626AB9">
      <w:pPr>
        <w:pStyle w:val="NormalText"/>
      </w:pPr>
      <w:r>
        <w:t xml:space="preserve">Cardinali et al (1967) </w:t>
      </w:r>
      <w:r w:rsidR="00626AB9">
        <w:t xml:space="preserve">applied </w:t>
      </w:r>
      <w:r>
        <w:t xml:space="preserve">diquat </w:t>
      </w:r>
      <w:r w:rsidR="00626AB9">
        <w:t xml:space="preserve">as a pre-harvest desiccant to lucerne at a rate of 1.12 kg </w:t>
      </w:r>
      <w:r w:rsidR="00572A0C">
        <w:t>ac/ha</w:t>
      </w:r>
      <w:r w:rsidR="00626AB9">
        <w:t xml:space="preserve">. Samples of hay were analysed </w:t>
      </w:r>
      <w:r w:rsidR="00287F33">
        <w:t>9</w:t>
      </w:r>
      <w:r w:rsidR="00626AB9">
        <w:t xml:space="preserve"> days later and found to have diquat residues of 19.3 mg/kg (wet), 23.12 mg/kg (dry). A cow was fed treated hay for 29 days (consuming a total of 7.163 grams of diquat). Milk taken and analysed after </w:t>
      </w:r>
      <w:r w:rsidR="00287F33">
        <w:t>8 </w:t>
      </w:r>
      <w:r w:rsidR="00626AB9">
        <w:t>days or after 29 days did not have detectable residues of diquat (residues were &lt;0.01 mg/kg). Samples of meat and liver also had no detectable residues of diquat (residues were &lt;0.01 mg/kg). Sheep fed the treated hay for 29 days (consuming a total of 427 mg of diquat) did not have detectable residues in samples (residues were &lt;0.01 mg/kg) of flesh and liver.</w:t>
      </w:r>
    </w:p>
    <w:p w14:paraId="21E7DFCF" w14:textId="1B023FE5" w:rsidR="00626AB9" w:rsidRDefault="00626AB9" w:rsidP="00626AB9">
      <w:pPr>
        <w:pStyle w:val="NormalText"/>
      </w:pPr>
      <w:r>
        <w:t>Two lactating cows were fed 5 kg each of ground sunflower seed daily, containing 0.2 mg/kg diquat, for 185</w:t>
      </w:r>
      <w:r w:rsidR="00287F33">
        <w:t> </w:t>
      </w:r>
      <w:r>
        <w:t>days</w:t>
      </w:r>
      <w:r w:rsidR="007A7B84">
        <w:t xml:space="preserve"> (</w:t>
      </w:r>
      <w:r w:rsidR="007A7B84" w:rsidRPr="007A7B84">
        <w:t>Lembinski et al, 1972)</w:t>
      </w:r>
      <w:r>
        <w:t>. The total amount of diquat consumed during the feeding period was 185 and 225</w:t>
      </w:r>
      <w:r w:rsidR="00287F33">
        <w:t> </w:t>
      </w:r>
      <w:r>
        <w:t xml:space="preserve">mg. Samples of milk, urine and faeces were collected at intervals during the feeding period, and the calf of one cow was slaughtered </w:t>
      </w:r>
      <w:r w:rsidR="00287F33">
        <w:t>7</w:t>
      </w:r>
      <w:r>
        <w:t xml:space="preserve"> days after birth. There were no detectable residues of diquat in any of the samples of milk, faeces or urine analysed, or in the liver and kidneys of the calf. Three one year old wethers were fed 0.5 kg of ground sunflower seed daily, containing 0.2 mg/kg diquat, for 141 days. The total quantity consumed was about 14.1 mg diquat. There were no detectable residues of diquat in the livers or kidneys of the wethers at the end of the feeding period. The limits of detection were 0.01 mg/kg for milk and urine, and 0.03 mg/kg for faeces, liver and kidneys.</w:t>
      </w:r>
    </w:p>
    <w:p w14:paraId="2B289883" w14:textId="57E4EDC1" w:rsidR="00626AB9" w:rsidRDefault="00137A1A" w:rsidP="00626AB9">
      <w:pPr>
        <w:pStyle w:val="NormalText"/>
      </w:pPr>
      <w:r w:rsidRPr="00251F07">
        <w:t>Diquat d</w:t>
      </w:r>
      <w:r w:rsidR="00626AB9" w:rsidRPr="00251F07">
        <w:t xml:space="preserve">ietary burdens </w:t>
      </w:r>
      <w:r w:rsidR="00251F07">
        <w:t xml:space="preserve">calculations </w:t>
      </w:r>
      <w:r w:rsidR="00626AB9" w:rsidRPr="00251F07">
        <w:t xml:space="preserve">for beef and dairy cattle are </w:t>
      </w:r>
      <w:r w:rsidR="00251F07">
        <w:t>presented</w:t>
      </w:r>
      <w:r w:rsidR="00626AB9" w:rsidRPr="00251F07">
        <w:t xml:space="preserve"> </w:t>
      </w:r>
      <w:r w:rsidR="00251F07">
        <w:t xml:space="preserve">in </w:t>
      </w:r>
      <w:r w:rsidR="00251F07">
        <w:fldChar w:fldCharType="begin" w:fldLock="1"/>
      </w:r>
      <w:r w:rsidR="00251F07">
        <w:instrText xml:space="preserve"> REF _Ref167871224 \h </w:instrText>
      </w:r>
      <w:r w:rsidR="00251F07">
        <w:fldChar w:fldCharType="separate"/>
      </w:r>
      <w:r w:rsidR="0033298E">
        <w:t xml:space="preserve">Table </w:t>
      </w:r>
      <w:r w:rsidR="0033298E">
        <w:rPr>
          <w:noProof/>
        </w:rPr>
        <w:t>16</w:t>
      </w:r>
      <w:r w:rsidR="00251F07">
        <w:fldChar w:fldCharType="end"/>
      </w:r>
      <w:r w:rsidR="00251F07">
        <w:t xml:space="preserve"> and </w:t>
      </w:r>
      <w:r w:rsidR="00251F07">
        <w:fldChar w:fldCharType="begin" w:fldLock="1"/>
      </w:r>
      <w:r w:rsidR="00251F07">
        <w:instrText xml:space="preserve"> REF _Ref167871267 \h </w:instrText>
      </w:r>
      <w:r w:rsidR="00251F07">
        <w:fldChar w:fldCharType="separate"/>
      </w:r>
      <w:r w:rsidR="0033298E">
        <w:t xml:space="preserve">Table </w:t>
      </w:r>
      <w:r w:rsidR="0033298E">
        <w:rPr>
          <w:noProof/>
        </w:rPr>
        <w:t>17</w:t>
      </w:r>
      <w:r w:rsidR="00251F07">
        <w:fldChar w:fldCharType="end"/>
      </w:r>
      <w:r w:rsidR="00626AB9" w:rsidRPr="00251F07">
        <w:t xml:space="preserve"> using the OECD livestock feed calculator </w:t>
      </w:r>
      <w:r w:rsidR="00251F07">
        <w:t xml:space="preserve">using relevant </w:t>
      </w:r>
      <w:r w:rsidR="00251F07" w:rsidRPr="00002AB8">
        <w:t>HR or STMR</w:t>
      </w:r>
      <w:r w:rsidR="00251F07">
        <w:t>. R</w:t>
      </w:r>
      <w:r w:rsidR="00626AB9" w:rsidRPr="00251F07">
        <w:t xml:space="preserve">esidues in legume animal feeds and pastures are assumed to be at the MRL as a worst case, rather than the </w:t>
      </w:r>
      <w:r w:rsidR="009E3126">
        <w:t>HR</w:t>
      </w:r>
      <w:r w:rsidR="00251F07">
        <w:t>.</w:t>
      </w:r>
    </w:p>
    <w:p w14:paraId="306AF4EA" w14:textId="58117396" w:rsidR="00137A1A" w:rsidRPr="000179FF" w:rsidRDefault="00137A1A" w:rsidP="000179FF">
      <w:pPr>
        <w:pStyle w:val="Caption"/>
      </w:pPr>
      <w:bookmarkStart w:id="249" w:name="_Ref167871224"/>
      <w:bookmarkStart w:id="250" w:name="_Toc232589611"/>
      <w:r w:rsidRPr="000179FF">
        <w:lastRenderedPageBreak/>
        <w:t xml:space="preserve">Table </w:t>
      </w:r>
      <w:fldSimple w:instr=" SEQ Table \* ARABIC ">
        <w:r w:rsidR="000179FF">
          <w:rPr>
            <w:noProof/>
          </w:rPr>
          <w:t>16</w:t>
        </w:r>
      </w:fldSimple>
      <w:bookmarkEnd w:id="249"/>
      <w:r w:rsidRPr="000179FF">
        <w:t>: Calculation of beef cattle dietary burden of diquat</w:t>
      </w:r>
      <w:bookmarkEnd w:id="2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137A1A" w14:paraId="1C86427E" w14:textId="77777777" w:rsidTr="00287F33">
        <w:trPr>
          <w:tblHeader/>
        </w:trPr>
        <w:tc>
          <w:tcPr>
            <w:tcW w:w="9643" w:type="dxa"/>
            <w:gridSpan w:val="8"/>
            <w:tcBorders>
              <w:top w:val="single" w:sz="4" w:space="0" w:color="auto"/>
              <w:bottom w:val="single" w:sz="4" w:space="0" w:color="auto"/>
            </w:tcBorders>
            <w:shd w:val="clear" w:color="auto" w:fill="5C2946"/>
          </w:tcPr>
          <w:p w14:paraId="1242821D" w14:textId="115A7E66" w:rsidR="00137A1A" w:rsidRDefault="00137A1A" w:rsidP="008A20A1">
            <w:pPr>
              <w:pStyle w:val="TableHead"/>
            </w:pPr>
            <w:r>
              <w:t>Beef cattle – for MRLs</w:t>
            </w:r>
          </w:p>
        </w:tc>
      </w:tr>
      <w:tr w:rsidR="00137A1A" w14:paraId="4BD39594" w14:textId="77777777" w:rsidTr="00287F33">
        <w:trPr>
          <w:tblHeader/>
        </w:trPr>
        <w:tc>
          <w:tcPr>
            <w:tcW w:w="1203" w:type="dxa"/>
            <w:tcBorders>
              <w:top w:val="single" w:sz="4" w:space="0" w:color="auto"/>
              <w:bottom w:val="single" w:sz="4" w:space="0" w:color="auto"/>
            </w:tcBorders>
            <w:shd w:val="clear" w:color="auto" w:fill="5C2946"/>
          </w:tcPr>
          <w:p w14:paraId="65B198D7" w14:textId="77777777" w:rsidR="00137A1A" w:rsidRDefault="00137A1A" w:rsidP="008A20A1">
            <w:pPr>
              <w:pStyle w:val="TableHead"/>
            </w:pPr>
            <w:r>
              <w:t>Commodity</w:t>
            </w:r>
          </w:p>
        </w:tc>
        <w:tc>
          <w:tcPr>
            <w:tcW w:w="1209" w:type="dxa"/>
            <w:tcBorders>
              <w:top w:val="single" w:sz="4" w:space="0" w:color="auto"/>
              <w:bottom w:val="single" w:sz="4" w:space="0" w:color="auto"/>
            </w:tcBorders>
            <w:shd w:val="clear" w:color="auto" w:fill="5C2946"/>
          </w:tcPr>
          <w:p w14:paraId="69414B5E" w14:textId="5016E17F" w:rsidR="00137A1A" w:rsidRDefault="00137A1A" w:rsidP="008A20A1">
            <w:pPr>
              <w:pStyle w:val="TableHead"/>
            </w:pPr>
            <w:r>
              <w:t>Codex Commodity Code</w:t>
            </w:r>
            <w:r w:rsidR="00E61669">
              <w:rPr>
                <w:rFonts w:ascii="ZWAdobeF" w:hAnsi="ZWAdobeF" w:cs="ZWAdobeF"/>
                <w:color w:val="auto"/>
                <w:spacing w:val="0"/>
                <w:sz w:val="2"/>
                <w:szCs w:val="2"/>
              </w:rPr>
              <w:t>12F</w:t>
            </w:r>
            <w:r w:rsidR="00602535">
              <w:rPr>
                <w:rFonts w:ascii="ZWAdobeF" w:hAnsi="ZWAdobeF" w:cs="ZWAdobeF"/>
                <w:color w:val="auto"/>
                <w:spacing w:val="0"/>
                <w:sz w:val="2"/>
                <w:szCs w:val="2"/>
              </w:rPr>
              <w:t>13F</w:t>
            </w:r>
            <w:r>
              <w:rPr>
                <w:rStyle w:val="FootnoteReference"/>
              </w:rPr>
              <w:footnoteReference w:id="15"/>
            </w:r>
          </w:p>
        </w:tc>
        <w:tc>
          <w:tcPr>
            <w:tcW w:w="1199" w:type="dxa"/>
            <w:tcBorders>
              <w:top w:val="single" w:sz="4" w:space="0" w:color="auto"/>
              <w:bottom w:val="single" w:sz="4" w:space="0" w:color="auto"/>
            </w:tcBorders>
            <w:shd w:val="clear" w:color="auto" w:fill="5C2946"/>
          </w:tcPr>
          <w:p w14:paraId="08F53822" w14:textId="77777777" w:rsidR="00137A1A" w:rsidRDefault="00137A1A" w:rsidP="008A20A1">
            <w:pPr>
              <w:pStyle w:val="TableHead"/>
            </w:pPr>
            <w:r>
              <w:t>Residue (mg/kg)</w:t>
            </w:r>
          </w:p>
        </w:tc>
        <w:tc>
          <w:tcPr>
            <w:tcW w:w="1197" w:type="dxa"/>
            <w:tcBorders>
              <w:top w:val="single" w:sz="4" w:space="0" w:color="auto"/>
              <w:bottom w:val="single" w:sz="4" w:space="0" w:color="auto"/>
            </w:tcBorders>
            <w:shd w:val="clear" w:color="auto" w:fill="5C2946"/>
          </w:tcPr>
          <w:p w14:paraId="427721CE" w14:textId="77777777" w:rsidR="00137A1A" w:rsidRDefault="00137A1A" w:rsidP="008A20A1">
            <w:pPr>
              <w:pStyle w:val="TableHead"/>
            </w:pPr>
            <w:r>
              <w:t>Basis</w:t>
            </w:r>
          </w:p>
        </w:tc>
        <w:tc>
          <w:tcPr>
            <w:tcW w:w="1199" w:type="dxa"/>
            <w:tcBorders>
              <w:top w:val="single" w:sz="4" w:space="0" w:color="auto"/>
              <w:bottom w:val="single" w:sz="4" w:space="0" w:color="auto"/>
            </w:tcBorders>
            <w:shd w:val="clear" w:color="auto" w:fill="5C2946"/>
          </w:tcPr>
          <w:p w14:paraId="6F58B12D" w14:textId="77777777" w:rsidR="00137A1A" w:rsidRDefault="00137A1A" w:rsidP="00287F33">
            <w:pPr>
              <w:pStyle w:val="TableHead"/>
              <w:jc w:val="right"/>
            </w:pPr>
            <w:r>
              <w:t>Dry matter (%)</w:t>
            </w:r>
          </w:p>
        </w:tc>
        <w:tc>
          <w:tcPr>
            <w:tcW w:w="1200" w:type="dxa"/>
            <w:tcBorders>
              <w:top w:val="single" w:sz="4" w:space="0" w:color="auto"/>
              <w:bottom w:val="single" w:sz="4" w:space="0" w:color="auto"/>
            </w:tcBorders>
            <w:shd w:val="clear" w:color="auto" w:fill="5C2946"/>
          </w:tcPr>
          <w:p w14:paraId="38920748" w14:textId="77777777" w:rsidR="00137A1A" w:rsidRDefault="00137A1A" w:rsidP="00287F33">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552E196A" w14:textId="77777777" w:rsidR="00137A1A" w:rsidRDefault="00137A1A" w:rsidP="00287F33">
            <w:pPr>
              <w:pStyle w:val="TableHead"/>
              <w:jc w:val="right"/>
            </w:pPr>
            <w:r>
              <w:t>Diet content (%)</w:t>
            </w:r>
          </w:p>
        </w:tc>
        <w:tc>
          <w:tcPr>
            <w:tcW w:w="1236" w:type="dxa"/>
            <w:tcBorders>
              <w:top w:val="single" w:sz="4" w:space="0" w:color="auto"/>
              <w:bottom w:val="single" w:sz="4" w:space="0" w:color="auto"/>
            </w:tcBorders>
            <w:shd w:val="clear" w:color="auto" w:fill="5C2946"/>
          </w:tcPr>
          <w:p w14:paraId="6491E38D" w14:textId="781CFFD9" w:rsidR="00137A1A" w:rsidRDefault="00137A1A" w:rsidP="00287F33">
            <w:pPr>
              <w:pStyle w:val="TableHead"/>
              <w:jc w:val="right"/>
            </w:pPr>
            <w:r>
              <w:t xml:space="preserve">Residue </w:t>
            </w:r>
            <w:r w:rsidR="00287F33">
              <w:t>c</w:t>
            </w:r>
            <w:r>
              <w:t>ontribution (ppm)</w:t>
            </w:r>
          </w:p>
        </w:tc>
      </w:tr>
      <w:tr w:rsidR="00137A1A" w14:paraId="160589BA" w14:textId="77777777" w:rsidTr="00287F33">
        <w:tc>
          <w:tcPr>
            <w:tcW w:w="1203" w:type="dxa"/>
            <w:tcBorders>
              <w:top w:val="single" w:sz="4" w:space="0" w:color="auto"/>
              <w:bottom w:val="single" w:sz="4" w:space="0" w:color="auto"/>
            </w:tcBorders>
          </w:tcPr>
          <w:p w14:paraId="0F1E2430" w14:textId="77777777" w:rsidR="00137A1A" w:rsidRDefault="00137A1A" w:rsidP="008A20A1">
            <w:pPr>
              <w:pStyle w:val="TableText"/>
            </w:pPr>
            <w:r>
              <w:t>Alfalfa forage</w:t>
            </w:r>
          </w:p>
        </w:tc>
        <w:tc>
          <w:tcPr>
            <w:tcW w:w="1209" w:type="dxa"/>
            <w:tcBorders>
              <w:top w:val="single" w:sz="4" w:space="0" w:color="auto"/>
              <w:bottom w:val="single" w:sz="4" w:space="0" w:color="auto"/>
            </w:tcBorders>
          </w:tcPr>
          <w:p w14:paraId="125EFB9D" w14:textId="77777777" w:rsidR="00137A1A" w:rsidRDefault="00137A1A" w:rsidP="008A20A1">
            <w:pPr>
              <w:pStyle w:val="TableText"/>
            </w:pPr>
            <w:r>
              <w:t>AL</w:t>
            </w:r>
          </w:p>
        </w:tc>
        <w:tc>
          <w:tcPr>
            <w:tcW w:w="1199" w:type="dxa"/>
            <w:tcBorders>
              <w:top w:val="single" w:sz="4" w:space="0" w:color="auto"/>
              <w:bottom w:val="single" w:sz="4" w:space="0" w:color="auto"/>
            </w:tcBorders>
          </w:tcPr>
          <w:p w14:paraId="60E77606" w14:textId="77777777" w:rsidR="00137A1A" w:rsidRDefault="00137A1A" w:rsidP="008A20A1">
            <w:pPr>
              <w:pStyle w:val="TableText"/>
            </w:pPr>
            <w:r>
              <w:t>100</w:t>
            </w:r>
          </w:p>
        </w:tc>
        <w:tc>
          <w:tcPr>
            <w:tcW w:w="1197" w:type="dxa"/>
            <w:tcBorders>
              <w:top w:val="single" w:sz="4" w:space="0" w:color="auto"/>
              <w:bottom w:val="single" w:sz="4" w:space="0" w:color="auto"/>
            </w:tcBorders>
          </w:tcPr>
          <w:p w14:paraId="2AA7A2AA" w14:textId="77777777" w:rsidR="00137A1A" w:rsidRDefault="00137A1A" w:rsidP="008A20A1">
            <w:pPr>
              <w:pStyle w:val="TableText"/>
            </w:pPr>
            <w:r>
              <w:t>HR</w:t>
            </w:r>
          </w:p>
        </w:tc>
        <w:tc>
          <w:tcPr>
            <w:tcW w:w="1199" w:type="dxa"/>
            <w:tcBorders>
              <w:top w:val="single" w:sz="4" w:space="0" w:color="auto"/>
              <w:bottom w:val="single" w:sz="4" w:space="0" w:color="auto"/>
            </w:tcBorders>
          </w:tcPr>
          <w:p w14:paraId="7C182F77" w14:textId="77777777" w:rsidR="00137A1A" w:rsidRDefault="00137A1A" w:rsidP="00287F33">
            <w:pPr>
              <w:pStyle w:val="TableText"/>
              <w:jc w:val="right"/>
            </w:pPr>
            <w:r>
              <w:t>100</w:t>
            </w:r>
          </w:p>
        </w:tc>
        <w:tc>
          <w:tcPr>
            <w:tcW w:w="1200" w:type="dxa"/>
            <w:tcBorders>
              <w:top w:val="single" w:sz="4" w:space="0" w:color="auto"/>
              <w:bottom w:val="single" w:sz="4" w:space="0" w:color="auto"/>
            </w:tcBorders>
          </w:tcPr>
          <w:p w14:paraId="46E1F505" w14:textId="77777777" w:rsidR="00137A1A" w:rsidRDefault="00137A1A" w:rsidP="00287F33">
            <w:pPr>
              <w:pStyle w:val="TableText"/>
              <w:jc w:val="right"/>
            </w:pPr>
            <w:r>
              <w:t>100.0</w:t>
            </w:r>
          </w:p>
        </w:tc>
        <w:tc>
          <w:tcPr>
            <w:tcW w:w="1200" w:type="dxa"/>
            <w:tcBorders>
              <w:top w:val="single" w:sz="4" w:space="0" w:color="auto"/>
              <w:bottom w:val="single" w:sz="4" w:space="0" w:color="auto"/>
            </w:tcBorders>
          </w:tcPr>
          <w:p w14:paraId="6581A658" w14:textId="001D3A8E" w:rsidR="00137A1A" w:rsidRDefault="009565D1" w:rsidP="00287F33">
            <w:pPr>
              <w:pStyle w:val="TableText"/>
              <w:jc w:val="right"/>
            </w:pPr>
            <w:r>
              <w:t>100</w:t>
            </w:r>
          </w:p>
        </w:tc>
        <w:tc>
          <w:tcPr>
            <w:tcW w:w="1236" w:type="dxa"/>
            <w:tcBorders>
              <w:top w:val="single" w:sz="4" w:space="0" w:color="auto"/>
              <w:bottom w:val="single" w:sz="4" w:space="0" w:color="auto"/>
            </w:tcBorders>
          </w:tcPr>
          <w:p w14:paraId="39D75C87" w14:textId="4EC977E7" w:rsidR="00137A1A" w:rsidRDefault="009565D1" w:rsidP="00287F33">
            <w:pPr>
              <w:pStyle w:val="TableText"/>
              <w:jc w:val="right"/>
            </w:pPr>
            <w:r>
              <w:t>100.0</w:t>
            </w:r>
          </w:p>
        </w:tc>
      </w:tr>
      <w:tr w:rsidR="00287F33" w14:paraId="0421C44B" w14:textId="77777777" w:rsidTr="00287F33">
        <w:tc>
          <w:tcPr>
            <w:tcW w:w="1203" w:type="dxa"/>
            <w:tcBorders>
              <w:top w:val="single" w:sz="4" w:space="0" w:color="auto"/>
              <w:bottom w:val="single" w:sz="4" w:space="0" w:color="auto"/>
            </w:tcBorders>
          </w:tcPr>
          <w:p w14:paraId="72D75017" w14:textId="537E0C1C" w:rsidR="00287F33" w:rsidRDefault="00287F33" w:rsidP="00287F33">
            <w:pPr>
              <w:pStyle w:val="TableText"/>
            </w:pPr>
            <w:r>
              <w:t>Barley straw</w:t>
            </w:r>
          </w:p>
        </w:tc>
        <w:tc>
          <w:tcPr>
            <w:tcW w:w="1209" w:type="dxa"/>
            <w:tcBorders>
              <w:top w:val="single" w:sz="4" w:space="0" w:color="auto"/>
              <w:bottom w:val="single" w:sz="4" w:space="0" w:color="auto"/>
            </w:tcBorders>
          </w:tcPr>
          <w:p w14:paraId="4928828F" w14:textId="40C622CD" w:rsidR="00287F33" w:rsidRDefault="00287F33" w:rsidP="00287F33">
            <w:pPr>
              <w:pStyle w:val="TableText"/>
            </w:pPr>
            <w:r>
              <w:t>AF/AS</w:t>
            </w:r>
          </w:p>
        </w:tc>
        <w:tc>
          <w:tcPr>
            <w:tcW w:w="1199" w:type="dxa"/>
            <w:tcBorders>
              <w:top w:val="single" w:sz="4" w:space="0" w:color="auto"/>
              <w:bottom w:val="single" w:sz="4" w:space="0" w:color="auto"/>
            </w:tcBorders>
          </w:tcPr>
          <w:p w14:paraId="322579B2" w14:textId="7296E6FB" w:rsidR="00287F33" w:rsidRDefault="00287F33" w:rsidP="00287F33">
            <w:pPr>
              <w:pStyle w:val="TableText"/>
            </w:pPr>
            <w:r>
              <w:t>26</w:t>
            </w:r>
          </w:p>
        </w:tc>
        <w:tc>
          <w:tcPr>
            <w:tcW w:w="1197" w:type="dxa"/>
            <w:tcBorders>
              <w:top w:val="single" w:sz="4" w:space="0" w:color="auto"/>
              <w:bottom w:val="single" w:sz="4" w:space="0" w:color="auto"/>
            </w:tcBorders>
          </w:tcPr>
          <w:p w14:paraId="62BA8205" w14:textId="795A6F31" w:rsidR="00287F33" w:rsidRDefault="00287F33" w:rsidP="00287F33">
            <w:pPr>
              <w:pStyle w:val="TableText"/>
            </w:pPr>
            <w:r>
              <w:t>HR</w:t>
            </w:r>
          </w:p>
        </w:tc>
        <w:tc>
          <w:tcPr>
            <w:tcW w:w="1199" w:type="dxa"/>
            <w:tcBorders>
              <w:top w:val="single" w:sz="4" w:space="0" w:color="auto"/>
              <w:bottom w:val="single" w:sz="4" w:space="0" w:color="auto"/>
            </w:tcBorders>
          </w:tcPr>
          <w:p w14:paraId="281AEA49" w14:textId="57AA1C7C" w:rsidR="00287F33" w:rsidRDefault="00287F33" w:rsidP="00287F33">
            <w:pPr>
              <w:pStyle w:val="TableText"/>
              <w:jc w:val="right"/>
            </w:pPr>
            <w:r>
              <w:t>100</w:t>
            </w:r>
          </w:p>
        </w:tc>
        <w:tc>
          <w:tcPr>
            <w:tcW w:w="1200" w:type="dxa"/>
            <w:tcBorders>
              <w:top w:val="single" w:sz="4" w:space="0" w:color="auto"/>
              <w:bottom w:val="single" w:sz="4" w:space="0" w:color="auto"/>
            </w:tcBorders>
          </w:tcPr>
          <w:p w14:paraId="2B9ABEA6" w14:textId="14DBDFAE" w:rsidR="00287F33" w:rsidRDefault="00287F33" w:rsidP="00287F33">
            <w:pPr>
              <w:pStyle w:val="TableText"/>
              <w:jc w:val="right"/>
            </w:pPr>
            <w:r>
              <w:t>26.0</w:t>
            </w:r>
          </w:p>
        </w:tc>
        <w:tc>
          <w:tcPr>
            <w:tcW w:w="1200" w:type="dxa"/>
            <w:tcBorders>
              <w:top w:val="single" w:sz="4" w:space="0" w:color="auto"/>
              <w:bottom w:val="single" w:sz="4" w:space="0" w:color="auto"/>
            </w:tcBorders>
          </w:tcPr>
          <w:p w14:paraId="6A90AEC2" w14:textId="15867454"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4B8D3B1E" w14:textId="5845D704" w:rsidR="00287F33" w:rsidRDefault="00287F33" w:rsidP="00287F33">
            <w:pPr>
              <w:pStyle w:val="TableText"/>
              <w:jc w:val="right"/>
            </w:pPr>
            <w:r w:rsidRPr="00D346D3">
              <w:t>–</w:t>
            </w:r>
          </w:p>
        </w:tc>
      </w:tr>
      <w:tr w:rsidR="00287F33" w14:paraId="3AEF7348" w14:textId="77777777" w:rsidTr="00287F33">
        <w:trPr>
          <w:trHeight w:val="134"/>
        </w:trPr>
        <w:tc>
          <w:tcPr>
            <w:tcW w:w="1203" w:type="dxa"/>
            <w:tcBorders>
              <w:top w:val="single" w:sz="4" w:space="0" w:color="auto"/>
              <w:bottom w:val="single" w:sz="4" w:space="0" w:color="auto"/>
            </w:tcBorders>
          </w:tcPr>
          <w:p w14:paraId="6D816083" w14:textId="77777777" w:rsidR="00287F33" w:rsidRDefault="00287F33" w:rsidP="00287F33">
            <w:pPr>
              <w:pStyle w:val="TableText"/>
            </w:pPr>
            <w:r>
              <w:t>Rice grain</w:t>
            </w:r>
          </w:p>
        </w:tc>
        <w:tc>
          <w:tcPr>
            <w:tcW w:w="1209" w:type="dxa"/>
            <w:tcBorders>
              <w:top w:val="single" w:sz="4" w:space="0" w:color="auto"/>
              <w:bottom w:val="single" w:sz="4" w:space="0" w:color="auto"/>
            </w:tcBorders>
          </w:tcPr>
          <w:p w14:paraId="1760676C" w14:textId="7D48186E" w:rsidR="00287F33" w:rsidRDefault="00287F33" w:rsidP="00287F33">
            <w:pPr>
              <w:pStyle w:val="TableText"/>
            </w:pPr>
            <w:r>
              <w:t>GC</w:t>
            </w:r>
          </w:p>
        </w:tc>
        <w:tc>
          <w:tcPr>
            <w:tcW w:w="1199" w:type="dxa"/>
            <w:tcBorders>
              <w:top w:val="single" w:sz="4" w:space="0" w:color="auto"/>
              <w:bottom w:val="single" w:sz="4" w:space="0" w:color="auto"/>
            </w:tcBorders>
          </w:tcPr>
          <w:p w14:paraId="686C4803" w14:textId="77777777" w:rsidR="00287F33" w:rsidRDefault="00287F33" w:rsidP="00287F33">
            <w:pPr>
              <w:pStyle w:val="TableText"/>
            </w:pPr>
            <w:r>
              <w:t>2.1</w:t>
            </w:r>
          </w:p>
        </w:tc>
        <w:tc>
          <w:tcPr>
            <w:tcW w:w="1197" w:type="dxa"/>
            <w:tcBorders>
              <w:top w:val="single" w:sz="4" w:space="0" w:color="auto"/>
              <w:bottom w:val="single" w:sz="4" w:space="0" w:color="auto"/>
            </w:tcBorders>
          </w:tcPr>
          <w:p w14:paraId="1D139A9F" w14:textId="77777777" w:rsidR="00287F33" w:rsidRDefault="00287F33" w:rsidP="00287F33">
            <w:pPr>
              <w:pStyle w:val="TableText"/>
            </w:pPr>
            <w:r>
              <w:t>STMR</w:t>
            </w:r>
          </w:p>
        </w:tc>
        <w:tc>
          <w:tcPr>
            <w:tcW w:w="1199" w:type="dxa"/>
            <w:tcBorders>
              <w:top w:val="single" w:sz="4" w:space="0" w:color="auto"/>
              <w:bottom w:val="single" w:sz="4" w:space="0" w:color="auto"/>
            </w:tcBorders>
          </w:tcPr>
          <w:p w14:paraId="141F7F16"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175B20BF" w14:textId="77777777" w:rsidR="00287F33" w:rsidRDefault="00287F33" w:rsidP="00287F33">
            <w:pPr>
              <w:pStyle w:val="TableText"/>
              <w:jc w:val="right"/>
            </w:pPr>
            <w:r>
              <w:t>2.4</w:t>
            </w:r>
          </w:p>
        </w:tc>
        <w:tc>
          <w:tcPr>
            <w:tcW w:w="1200" w:type="dxa"/>
            <w:tcBorders>
              <w:top w:val="single" w:sz="4" w:space="0" w:color="auto"/>
              <w:bottom w:val="single" w:sz="4" w:space="0" w:color="auto"/>
            </w:tcBorders>
          </w:tcPr>
          <w:p w14:paraId="1E040A3E" w14:textId="6BE8E9DF"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1C09B19C" w14:textId="36FF3503" w:rsidR="00287F33" w:rsidRDefault="00287F33" w:rsidP="00287F33">
            <w:pPr>
              <w:pStyle w:val="TableText"/>
              <w:jc w:val="right"/>
            </w:pPr>
            <w:r w:rsidRPr="00D346D3">
              <w:t>–</w:t>
            </w:r>
          </w:p>
        </w:tc>
      </w:tr>
      <w:tr w:rsidR="00287F33" w14:paraId="023976A7" w14:textId="77777777" w:rsidTr="00287F33">
        <w:tc>
          <w:tcPr>
            <w:tcW w:w="1203" w:type="dxa"/>
            <w:tcBorders>
              <w:top w:val="single" w:sz="4" w:space="0" w:color="auto"/>
              <w:bottom w:val="single" w:sz="4" w:space="0" w:color="auto"/>
            </w:tcBorders>
          </w:tcPr>
          <w:p w14:paraId="0F26612F" w14:textId="13D5048E" w:rsidR="00287F33" w:rsidRDefault="00287F33" w:rsidP="00287F33">
            <w:pPr>
              <w:pStyle w:val="TableText"/>
            </w:pPr>
            <w:r>
              <w:t>Sorghum, grain</w:t>
            </w:r>
          </w:p>
        </w:tc>
        <w:tc>
          <w:tcPr>
            <w:tcW w:w="1209" w:type="dxa"/>
            <w:tcBorders>
              <w:top w:val="single" w:sz="4" w:space="0" w:color="auto"/>
              <w:bottom w:val="single" w:sz="4" w:space="0" w:color="auto"/>
            </w:tcBorders>
          </w:tcPr>
          <w:p w14:paraId="4E6AFB40" w14:textId="77777777" w:rsidR="00287F33" w:rsidRDefault="00287F33" w:rsidP="00287F33">
            <w:pPr>
              <w:pStyle w:val="TableText"/>
            </w:pPr>
            <w:r>
              <w:t>GC</w:t>
            </w:r>
          </w:p>
        </w:tc>
        <w:tc>
          <w:tcPr>
            <w:tcW w:w="1199" w:type="dxa"/>
            <w:tcBorders>
              <w:top w:val="single" w:sz="4" w:space="0" w:color="auto"/>
              <w:bottom w:val="single" w:sz="4" w:space="0" w:color="auto"/>
            </w:tcBorders>
          </w:tcPr>
          <w:p w14:paraId="7935A269" w14:textId="77777777" w:rsidR="00287F33" w:rsidRDefault="00287F33" w:rsidP="00287F33">
            <w:pPr>
              <w:pStyle w:val="TableText"/>
            </w:pPr>
            <w:r>
              <w:t>1.1</w:t>
            </w:r>
          </w:p>
        </w:tc>
        <w:tc>
          <w:tcPr>
            <w:tcW w:w="1197" w:type="dxa"/>
            <w:tcBorders>
              <w:top w:val="single" w:sz="4" w:space="0" w:color="auto"/>
              <w:bottom w:val="single" w:sz="4" w:space="0" w:color="auto"/>
            </w:tcBorders>
          </w:tcPr>
          <w:p w14:paraId="19A48005"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56D00C9E" w14:textId="77777777" w:rsidR="00287F33" w:rsidRDefault="00287F33" w:rsidP="00287F33">
            <w:pPr>
              <w:pStyle w:val="TableText"/>
              <w:jc w:val="right"/>
            </w:pPr>
            <w:r>
              <w:t>86</w:t>
            </w:r>
          </w:p>
        </w:tc>
        <w:tc>
          <w:tcPr>
            <w:tcW w:w="1200" w:type="dxa"/>
            <w:tcBorders>
              <w:top w:val="single" w:sz="4" w:space="0" w:color="auto"/>
              <w:bottom w:val="single" w:sz="4" w:space="0" w:color="auto"/>
            </w:tcBorders>
          </w:tcPr>
          <w:p w14:paraId="0680EA36" w14:textId="4E6BB110" w:rsidR="00287F33" w:rsidRDefault="00287F33" w:rsidP="00287F33">
            <w:pPr>
              <w:pStyle w:val="TableText"/>
              <w:jc w:val="right"/>
            </w:pPr>
            <w:r>
              <w:t>1.3</w:t>
            </w:r>
          </w:p>
        </w:tc>
        <w:tc>
          <w:tcPr>
            <w:tcW w:w="1200" w:type="dxa"/>
            <w:tcBorders>
              <w:top w:val="single" w:sz="4" w:space="0" w:color="auto"/>
              <w:bottom w:val="single" w:sz="4" w:space="0" w:color="auto"/>
            </w:tcBorders>
          </w:tcPr>
          <w:p w14:paraId="1AA5C0CF" w14:textId="629E2C66"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63E27899" w14:textId="0A842402" w:rsidR="00287F33" w:rsidRDefault="00287F33" w:rsidP="00287F33">
            <w:pPr>
              <w:pStyle w:val="TableText"/>
              <w:jc w:val="right"/>
            </w:pPr>
            <w:r w:rsidRPr="00D346D3">
              <w:t>–</w:t>
            </w:r>
          </w:p>
        </w:tc>
      </w:tr>
      <w:tr w:rsidR="00287F33" w14:paraId="117A1735" w14:textId="77777777" w:rsidTr="00287F33">
        <w:tc>
          <w:tcPr>
            <w:tcW w:w="1203" w:type="dxa"/>
            <w:tcBorders>
              <w:top w:val="single" w:sz="4" w:space="0" w:color="auto"/>
              <w:bottom w:val="single" w:sz="4" w:space="0" w:color="auto"/>
            </w:tcBorders>
          </w:tcPr>
          <w:p w14:paraId="71899BD0" w14:textId="77777777" w:rsidR="00287F33" w:rsidRDefault="00287F33" w:rsidP="00287F33">
            <w:pPr>
              <w:pStyle w:val="TableText"/>
            </w:pPr>
            <w:r>
              <w:t>Barley grain</w:t>
            </w:r>
          </w:p>
        </w:tc>
        <w:tc>
          <w:tcPr>
            <w:tcW w:w="1209" w:type="dxa"/>
            <w:tcBorders>
              <w:top w:val="single" w:sz="4" w:space="0" w:color="auto"/>
              <w:bottom w:val="single" w:sz="4" w:space="0" w:color="auto"/>
            </w:tcBorders>
          </w:tcPr>
          <w:p w14:paraId="472B6EC7" w14:textId="77777777" w:rsidR="00287F33" w:rsidRDefault="00287F33" w:rsidP="00287F33">
            <w:pPr>
              <w:pStyle w:val="TableText"/>
            </w:pPr>
            <w:r>
              <w:t>GC</w:t>
            </w:r>
          </w:p>
        </w:tc>
        <w:tc>
          <w:tcPr>
            <w:tcW w:w="1199" w:type="dxa"/>
            <w:tcBorders>
              <w:top w:val="single" w:sz="4" w:space="0" w:color="auto"/>
              <w:bottom w:val="single" w:sz="4" w:space="0" w:color="auto"/>
            </w:tcBorders>
          </w:tcPr>
          <w:p w14:paraId="6845AE91" w14:textId="77777777" w:rsidR="00287F33" w:rsidRDefault="00287F33" w:rsidP="00287F33">
            <w:pPr>
              <w:pStyle w:val="TableText"/>
            </w:pPr>
            <w:r>
              <w:t>1.1</w:t>
            </w:r>
          </w:p>
        </w:tc>
        <w:tc>
          <w:tcPr>
            <w:tcW w:w="1197" w:type="dxa"/>
            <w:tcBorders>
              <w:top w:val="single" w:sz="4" w:space="0" w:color="auto"/>
              <w:bottom w:val="single" w:sz="4" w:space="0" w:color="auto"/>
            </w:tcBorders>
          </w:tcPr>
          <w:p w14:paraId="5446EE8E"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403A9D6B"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23B5F7ED"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16F501B6" w14:textId="2E223AB2"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504F68F3" w14:textId="0B1BC9CE" w:rsidR="00287F33" w:rsidRDefault="00287F33" w:rsidP="00287F33">
            <w:pPr>
              <w:pStyle w:val="TableText"/>
              <w:jc w:val="right"/>
            </w:pPr>
            <w:r w:rsidRPr="00D346D3">
              <w:t>–</w:t>
            </w:r>
          </w:p>
        </w:tc>
      </w:tr>
      <w:tr w:rsidR="00287F33" w14:paraId="521E0EA5" w14:textId="77777777" w:rsidTr="00287F33">
        <w:tc>
          <w:tcPr>
            <w:tcW w:w="1203" w:type="dxa"/>
            <w:tcBorders>
              <w:top w:val="single" w:sz="4" w:space="0" w:color="auto"/>
              <w:bottom w:val="single" w:sz="4" w:space="0" w:color="auto"/>
            </w:tcBorders>
          </w:tcPr>
          <w:p w14:paraId="54632F38" w14:textId="3E15ACAF" w:rsidR="00287F33" w:rsidRDefault="00287F33" w:rsidP="00287F33">
            <w:pPr>
              <w:pStyle w:val="TableText"/>
            </w:pPr>
            <w:r>
              <w:t>Potato culls</w:t>
            </w:r>
          </w:p>
        </w:tc>
        <w:tc>
          <w:tcPr>
            <w:tcW w:w="1209" w:type="dxa"/>
            <w:tcBorders>
              <w:top w:val="single" w:sz="4" w:space="0" w:color="auto"/>
              <w:bottom w:val="single" w:sz="4" w:space="0" w:color="auto"/>
            </w:tcBorders>
          </w:tcPr>
          <w:p w14:paraId="7C174BEF" w14:textId="57A22CDE" w:rsidR="00287F33" w:rsidRDefault="00287F33" w:rsidP="00287F33">
            <w:pPr>
              <w:pStyle w:val="TableText"/>
            </w:pPr>
            <w:r>
              <w:t>VR</w:t>
            </w:r>
          </w:p>
        </w:tc>
        <w:tc>
          <w:tcPr>
            <w:tcW w:w="1199" w:type="dxa"/>
            <w:tcBorders>
              <w:top w:val="single" w:sz="4" w:space="0" w:color="auto"/>
              <w:bottom w:val="single" w:sz="4" w:space="0" w:color="auto"/>
            </w:tcBorders>
          </w:tcPr>
          <w:p w14:paraId="24C912CD" w14:textId="59F5DA49" w:rsidR="00287F33" w:rsidRDefault="00287F33" w:rsidP="00287F33">
            <w:pPr>
              <w:pStyle w:val="TableText"/>
            </w:pPr>
            <w:r>
              <w:t>0.2</w:t>
            </w:r>
          </w:p>
        </w:tc>
        <w:tc>
          <w:tcPr>
            <w:tcW w:w="1197" w:type="dxa"/>
            <w:tcBorders>
              <w:top w:val="single" w:sz="4" w:space="0" w:color="auto"/>
              <w:bottom w:val="single" w:sz="4" w:space="0" w:color="auto"/>
            </w:tcBorders>
          </w:tcPr>
          <w:p w14:paraId="50E3096E" w14:textId="45983CE1" w:rsidR="00287F33" w:rsidRPr="006E1275" w:rsidRDefault="00287F33" w:rsidP="00287F33">
            <w:pPr>
              <w:pStyle w:val="TableText"/>
            </w:pPr>
            <w:r>
              <w:t>HR</w:t>
            </w:r>
          </w:p>
        </w:tc>
        <w:tc>
          <w:tcPr>
            <w:tcW w:w="1199" w:type="dxa"/>
            <w:tcBorders>
              <w:top w:val="single" w:sz="4" w:space="0" w:color="auto"/>
              <w:bottom w:val="single" w:sz="4" w:space="0" w:color="auto"/>
            </w:tcBorders>
          </w:tcPr>
          <w:p w14:paraId="30ED9B53" w14:textId="2E89C96B" w:rsidR="00287F33" w:rsidRDefault="00287F33" w:rsidP="00287F33">
            <w:pPr>
              <w:pStyle w:val="TableText"/>
              <w:jc w:val="right"/>
            </w:pPr>
            <w:r>
              <w:t>20</w:t>
            </w:r>
          </w:p>
        </w:tc>
        <w:tc>
          <w:tcPr>
            <w:tcW w:w="1200" w:type="dxa"/>
            <w:tcBorders>
              <w:top w:val="single" w:sz="4" w:space="0" w:color="auto"/>
              <w:bottom w:val="single" w:sz="4" w:space="0" w:color="auto"/>
            </w:tcBorders>
          </w:tcPr>
          <w:p w14:paraId="266C9B3E" w14:textId="407B2379" w:rsidR="00287F33" w:rsidRDefault="00287F33" w:rsidP="00287F33">
            <w:pPr>
              <w:pStyle w:val="TableText"/>
              <w:jc w:val="right"/>
            </w:pPr>
            <w:r>
              <w:t>1.0</w:t>
            </w:r>
          </w:p>
        </w:tc>
        <w:tc>
          <w:tcPr>
            <w:tcW w:w="1200" w:type="dxa"/>
            <w:tcBorders>
              <w:top w:val="single" w:sz="4" w:space="0" w:color="auto"/>
              <w:bottom w:val="single" w:sz="4" w:space="0" w:color="auto"/>
            </w:tcBorders>
          </w:tcPr>
          <w:p w14:paraId="2F8C5611" w14:textId="17FD9677"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35CE9B06" w14:textId="2547644E" w:rsidR="00287F33" w:rsidRDefault="00287F33" w:rsidP="00287F33">
            <w:pPr>
              <w:pStyle w:val="TableText"/>
              <w:jc w:val="right"/>
            </w:pPr>
            <w:r w:rsidRPr="00D346D3">
              <w:t>–</w:t>
            </w:r>
          </w:p>
        </w:tc>
      </w:tr>
      <w:tr w:rsidR="00287F33" w14:paraId="32C445B0" w14:textId="77777777" w:rsidTr="00287F33">
        <w:tc>
          <w:tcPr>
            <w:tcW w:w="1203" w:type="dxa"/>
            <w:tcBorders>
              <w:top w:val="single" w:sz="4" w:space="0" w:color="auto"/>
              <w:bottom w:val="single" w:sz="4" w:space="0" w:color="auto"/>
            </w:tcBorders>
          </w:tcPr>
          <w:p w14:paraId="13D9196F" w14:textId="77777777" w:rsidR="00287F33" w:rsidRDefault="00287F33" w:rsidP="00287F33">
            <w:pPr>
              <w:pStyle w:val="TableText"/>
            </w:pPr>
            <w:r>
              <w:t>Corn, field grain</w:t>
            </w:r>
          </w:p>
        </w:tc>
        <w:tc>
          <w:tcPr>
            <w:tcW w:w="1209" w:type="dxa"/>
            <w:tcBorders>
              <w:top w:val="single" w:sz="4" w:space="0" w:color="auto"/>
              <w:bottom w:val="single" w:sz="4" w:space="0" w:color="auto"/>
            </w:tcBorders>
          </w:tcPr>
          <w:p w14:paraId="0AB16E40" w14:textId="77777777" w:rsidR="00287F33" w:rsidRDefault="00287F33" w:rsidP="00287F33">
            <w:pPr>
              <w:pStyle w:val="TableText"/>
            </w:pPr>
            <w:r>
              <w:t>GC</w:t>
            </w:r>
          </w:p>
        </w:tc>
        <w:tc>
          <w:tcPr>
            <w:tcW w:w="1199" w:type="dxa"/>
            <w:tcBorders>
              <w:top w:val="single" w:sz="4" w:space="0" w:color="auto"/>
              <w:bottom w:val="single" w:sz="4" w:space="0" w:color="auto"/>
            </w:tcBorders>
          </w:tcPr>
          <w:p w14:paraId="53DF4632" w14:textId="77777777" w:rsidR="00287F33" w:rsidRDefault="00287F33" w:rsidP="00287F33">
            <w:pPr>
              <w:pStyle w:val="TableText"/>
            </w:pPr>
            <w:r>
              <w:t>0.05</w:t>
            </w:r>
          </w:p>
        </w:tc>
        <w:tc>
          <w:tcPr>
            <w:tcW w:w="1197" w:type="dxa"/>
            <w:tcBorders>
              <w:top w:val="single" w:sz="4" w:space="0" w:color="auto"/>
              <w:bottom w:val="single" w:sz="4" w:space="0" w:color="auto"/>
            </w:tcBorders>
          </w:tcPr>
          <w:p w14:paraId="3794C7CD"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61C1E2EE"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662BAE08" w14:textId="7DB4945B" w:rsidR="00287F33" w:rsidRDefault="00287F33" w:rsidP="00287F33">
            <w:pPr>
              <w:pStyle w:val="TableText"/>
              <w:jc w:val="right"/>
            </w:pPr>
            <w:r>
              <w:t>0.1</w:t>
            </w:r>
          </w:p>
        </w:tc>
        <w:tc>
          <w:tcPr>
            <w:tcW w:w="1200" w:type="dxa"/>
            <w:tcBorders>
              <w:top w:val="single" w:sz="4" w:space="0" w:color="auto"/>
              <w:bottom w:val="single" w:sz="4" w:space="0" w:color="auto"/>
            </w:tcBorders>
          </w:tcPr>
          <w:p w14:paraId="34C0667D" w14:textId="747EE87A"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54288D5F" w14:textId="2A58D8AE" w:rsidR="00287F33" w:rsidRDefault="00287F33" w:rsidP="00287F33">
            <w:pPr>
              <w:pStyle w:val="TableText"/>
              <w:jc w:val="right"/>
            </w:pPr>
            <w:r w:rsidRPr="00D346D3">
              <w:t>–</w:t>
            </w:r>
          </w:p>
        </w:tc>
      </w:tr>
      <w:tr w:rsidR="00137A1A" w14:paraId="6BB27A4A" w14:textId="77777777" w:rsidTr="00287F33">
        <w:tc>
          <w:tcPr>
            <w:tcW w:w="1203" w:type="dxa"/>
            <w:tcBorders>
              <w:top w:val="single" w:sz="4" w:space="0" w:color="auto"/>
              <w:bottom w:val="single" w:sz="4" w:space="0" w:color="auto"/>
            </w:tcBorders>
          </w:tcPr>
          <w:p w14:paraId="2EB2320D" w14:textId="77777777" w:rsidR="00137A1A" w:rsidRPr="00287F33" w:rsidRDefault="00137A1A" w:rsidP="008A20A1">
            <w:pPr>
              <w:pStyle w:val="TableText"/>
              <w:rPr>
                <w:b/>
                <w:bCs/>
              </w:rPr>
            </w:pPr>
            <w:r w:rsidRPr="00287F33">
              <w:rPr>
                <w:b/>
                <w:bCs/>
              </w:rPr>
              <w:t>Total</w:t>
            </w:r>
          </w:p>
        </w:tc>
        <w:tc>
          <w:tcPr>
            <w:tcW w:w="1209" w:type="dxa"/>
            <w:tcBorders>
              <w:top w:val="single" w:sz="4" w:space="0" w:color="auto"/>
              <w:bottom w:val="single" w:sz="4" w:space="0" w:color="auto"/>
            </w:tcBorders>
          </w:tcPr>
          <w:p w14:paraId="0536F0A5" w14:textId="77777777" w:rsidR="00137A1A" w:rsidRPr="00287F33" w:rsidRDefault="00137A1A" w:rsidP="008A20A1">
            <w:pPr>
              <w:pStyle w:val="TableText"/>
              <w:rPr>
                <w:b/>
                <w:bCs/>
              </w:rPr>
            </w:pPr>
          </w:p>
        </w:tc>
        <w:tc>
          <w:tcPr>
            <w:tcW w:w="1199" w:type="dxa"/>
            <w:tcBorders>
              <w:top w:val="single" w:sz="4" w:space="0" w:color="auto"/>
              <w:bottom w:val="single" w:sz="4" w:space="0" w:color="auto"/>
            </w:tcBorders>
          </w:tcPr>
          <w:p w14:paraId="27BAAE34" w14:textId="77777777" w:rsidR="00137A1A" w:rsidRPr="00287F33" w:rsidRDefault="00137A1A" w:rsidP="008A20A1">
            <w:pPr>
              <w:pStyle w:val="TableText"/>
              <w:rPr>
                <w:b/>
                <w:bCs/>
              </w:rPr>
            </w:pPr>
          </w:p>
        </w:tc>
        <w:tc>
          <w:tcPr>
            <w:tcW w:w="1197" w:type="dxa"/>
            <w:tcBorders>
              <w:top w:val="single" w:sz="4" w:space="0" w:color="auto"/>
              <w:bottom w:val="single" w:sz="4" w:space="0" w:color="auto"/>
            </w:tcBorders>
          </w:tcPr>
          <w:p w14:paraId="3FB9C693" w14:textId="77777777" w:rsidR="00137A1A" w:rsidRPr="00287F33" w:rsidRDefault="00137A1A" w:rsidP="008A20A1">
            <w:pPr>
              <w:pStyle w:val="TableText"/>
              <w:rPr>
                <w:b/>
                <w:bCs/>
              </w:rPr>
            </w:pPr>
          </w:p>
        </w:tc>
        <w:tc>
          <w:tcPr>
            <w:tcW w:w="1199" w:type="dxa"/>
            <w:tcBorders>
              <w:top w:val="single" w:sz="4" w:space="0" w:color="auto"/>
              <w:bottom w:val="single" w:sz="4" w:space="0" w:color="auto"/>
            </w:tcBorders>
          </w:tcPr>
          <w:p w14:paraId="5503CC65" w14:textId="77777777" w:rsidR="00137A1A" w:rsidRPr="00287F33" w:rsidRDefault="00137A1A" w:rsidP="00287F33">
            <w:pPr>
              <w:pStyle w:val="TableText"/>
              <w:jc w:val="right"/>
              <w:rPr>
                <w:b/>
                <w:bCs/>
              </w:rPr>
            </w:pPr>
          </w:p>
        </w:tc>
        <w:tc>
          <w:tcPr>
            <w:tcW w:w="1200" w:type="dxa"/>
            <w:tcBorders>
              <w:top w:val="single" w:sz="4" w:space="0" w:color="auto"/>
              <w:bottom w:val="single" w:sz="4" w:space="0" w:color="auto"/>
            </w:tcBorders>
          </w:tcPr>
          <w:p w14:paraId="0DC5141D" w14:textId="77777777" w:rsidR="00137A1A" w:rsidRPr="00287F33" w:rsidRDefault="00137A1A" w:rsidP="00287F33">
            <w:pPr>
              <w:pStyle w:val="TableText"/>
              <w:jc w:val="right"/>
              <w:rPr>
                <w:b/>
                <w:bCs/>
              </w:rPr>
            </w:pPr>
          </w:p>
        </w:tc>
        <w:tc>
          <w:tcPr>
            <w:tcW w:w="1200" w:type="dxa"/>
            <w:tcBorders>
              <w:top w:val="single" w:sz="4" w:space="0" w:color="auto"/>
              <w:bottom w:val="single" w:sz="4" w:space="0" w:color="auto"/>
            </w:tcBorders>
          </w:tcPr>
          <w:p w14:paraId="5CA152B5" w14:textId="77777777" w:rsidR="00137A1A" w:rsidRPr="00287F33" w:rsidRDefault="00137A1A" w:rsidP="00287F33">
            <w:pPr>
              <w:pStyle w:val="TableText"/>
              <w:jc w:val="right"/>
              <w:rPr>
                <w:b/>
                <w:bCs/>
              </w:rPr>
            </w:pPr>
            <w:r w:rsidRPr="00287F33">
              <w:rPr>
                <w:b/>
                <w:bCs/>
              </w:rPr>
              <w:t>100</w:t>
            </w:r>
          </w:p>
        </w:tc>
        <w:tc>
          <w:tcPr>
            <w:tcW w:w="1236" w:type="dxa"/>
            <w:tcBorders>
              <w:top w:val="single" w:sz="4" w:space="0" w:color="auto"/>
              <w:bottom w:val="single" w:sz="4" w:space="0" w:color="auto"/>
            </w:tcBorders>
          </w:tcPr>
          <w:p w14:paraId="33EED01B" w14:textId="26F05A44" w:rsidR="00137A1A" w:rsidRPr="00287F33" w:rsidRDefault="009565D1" w:rsidP="00287F33">
            <w:pPr>
              <w:pStyle w:val="TableText"/>
              <w:jc w:val="right"/>
              <w:rPr>
                <w:b/>
                <w:bCs/>
              </w:rPr>
            </w:pPr>
            <w:r w:rsidRPr="00287F33">
              <w:rPr>
                <w:b/>
                <w:bCs/>
              </w:rPr>
              <w:t>100</w:t>
            </w:r>
          </w:p>
        </w:tc>
      </w:tr>
    </w:tbl>
    <w:p w14:paraId="2F20DA9B" w14:textId="65A4EDE4" w:rsidR="009565D1" w:rsidRPr="000179FF" w:rsidRDefault="009565D1" w:rsidP="000179FF">
      <w:pPr>
        <w:pStyle w:val="Caption"/>
      </w:pPr>
      <w:bookmarkStart w:id="251" w:name="_Ref167871267"/>
      <w:bookmarkStart w:id="252" w:name="_Toc232589612"/>
      <w:r w:rsidRPr="000179FF">
        <w:t xml:space="preserve">Table </w:t>
      </w:r>
      <w:fldSimple w:instr=" SEQ Table \* ARABIC ">
        <w:r w:rsidR="000179FF">
          <w:rPr>
            <w:noProof/>
          </w:rPr>
          <w:t>17</w:t>
        </w:r>
      </w:fldSimple>
      <w:bookmarkEnd w:id="251"/>
      <w:r w:rsidRPr="000179FF">
        <w:t>: Calculation of dairy cattle dietary burden of diquat</w:t>
      </w:r>
      <w:bookmarkEnd w:id="2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9565D1" w14:paraId="05FEB9C5" w14:textId="77777777" w:rsidTr="00287F33">
        <w:trPr>
          <w:tblHeader/>
        </w:trPr>
        <w:tc>
          <w:tcPr>
            <w:tcW w:w="9643" w:type="dxa"/>
            <w:gridSpan w:val="8"/>
            <w:tcBorders>
              <w:top w:val="single" w:sz="4" w:space="0" w:color="auto"/>
              <w:bottom w:val="single" w:sz="4" w:space="0" w:color="auto"/>
            </w:tcBorders>
            <w:shd w:val="clear" w:color="auto" w:fill="5C2946"/>
          </w:tcPr>
          <w:p w14:paraId="4CA58C28" w14:textId="304EAA56" w:rsidR="009565D1" w:rsidRDefault="009565D1" w:rsidP="008A20A1">
            <w:pPr>
              <w:pStyle w:val="TableHead"/>
            </w:pPr>
            <w:r>
              <w:t>Dairy cattle – for MRLs</w:t>
            </w:r>
          </w:p>
        </w:tc>
      </w:tr>
      <w:tr w:rsidR="009565D1" w14:paraId="409616D0" w14:textId="77777777" w:rsidTr="00287F33">
        <w:trPr>
          <w:tblHeader/>
        </w:trPr>
        <w:tc>
          <w:tcPr>
            <w:tcW w:w="1203" w:type="dxa"/>
            <w:tcBorders>
              <w:top w:val="single" w:sz="4" w:space="0" w:color="auto"/>
              <w:bottom w:val="single" w:sz="4" w:space="0" w:color="auto"/>
            </w:tcBorders>
            <w:shd w:val="clear" w:color="auto" w:fill="5C2946"/>
          </w:tcPr>
          <w:p w14:paraId="182968E0" w14:textId="77777777" w:rsidR="009565D1" w:rsidRDefault="009565D1" w:rsidP="008A20A1">
            <w:pPr>
              <w:pStyle w:val="TableHead"/>
            </w:pPr>
            <w:r>
              <w:t>Commodity</w:t>
            </w:r>
          </w:p>
        </w:tc>
        <w:tc>
          <w:tcPr>
            <w:tcW w:w="1209" w:type="dxa"/>
            <w:tcBorders>
              <w:top w:val="single" w:sz="4" w:space="0" w:color="auto"/>
              <w:bottom w:val="single" w:sz="4" w:space="0" w:color="auto"/>
            </w:tcBorders>
            <w:shd w:val="clear" w:color="auto" w:fill="5C2946"/>
          </w:tcPr>
          <w:p w14:paraId="07A91698" w14:textId="18D5A5CC" w:rsidR="009565D1" w:rsidRDefault="009565D1" w:rsidP="008A20A1">
            <w:pPr>
              <w:pStyle w:val="TableHead"/>
            </w:pPr>
            <w:r>
              <w:t>Codex Commodity Code</w:t>
            </w:r>
            <w:r w:rsidR="00E61669">
              <w:rPr>
                <w:rFonts w:ascii="ZWAdobeF" w:hAnsi="ZWAdobeF" w:cs="ZWAdobeF"/>
                <w:color w:val="auto"/>
                <w:spacing w:val="0"/>
                <w:sz w:val="2"/>
                <w:szCs w:val="2"/>
              </w:rPr>
              <w:t>13F</w:t>
            </w:r>
            <w:r w:rsidR="00602535">
              <w:rPr>
                <w:rFonts w:ascii="ZWAdobeF" w:hAnsi="ZWAdobeF" w:cs="ZWAdobeF"/>
                <w:color w:val="auto"/>
                <w:spacing w:val="0"/>
                <w:sz w:val="2"/>
                <w:szCs w:val="2"/>
              </w:rPr>
              <w:t>14F</w:t>
            </w:r>
            <w:r>
              <w:rPr>
                <w:rStyle w:val="FootnoteReference"/>
              </w:rPr>
              <w:footnoteReference w:id="16"/>
            </w:r>
          </w:p>
        </w:tc>
        <w:tc>
          <w:tcPr>
            <w:tcW w:w="1199" w:type="dxa"/>
            <w:tcBorders>
              <w:top w:val="single" w:sz="4" w:space="0" w:color="auto"/>
              <w:bottom w:val="single" w:sz="4" w:space="0" w:color="auto"/>
            </w:tcBorders>
            <w:shd w:val="clear" w:color="auto" w:fill="5C2946"/>
          </w:tcPr>
          <w:p w14:paraId="7CD4880D" w14:textId="77777777" w:rsidR="009565D1" w:rsidRDefault="009565D1" w:rsidP="008A20A1">
            <w:pPr>
              <w:pStyle w:val="TableHead"/>
            </w:pPr>
            <w:r>
              <w:t>Residue (mg/kg)</w:t>
            </w:r>
          </w:p>
        </w:tc>
        <w:tc>
          <w:tcPr>
            <w:tcW w:w="1197" w:type="dxa"/>
            <w:tcBorders>
              <w:top w:val="single" w:sz="4" w:space="0" w:color="auto"/>
              <w:bottom w:val="single" w:sz="4" w:space="0" w:color="auto"/>
            </w:tcBorders>
            <w:shd w:val="clear" w:color="auto" w:fill="5C2946"/>
          </w:tcPr>
          <w:p w14:paraId="00745BD4" w14:textId="77777777" w:rsidR="009565D1" w:rsidRDefault="009565D1" w:rsidP="008A20A1">
            <w:pPr>
              <w:pStyle w:val="TableHead"/>
            </w:pPr>
            <w:r>
              <w:t>Basis</w:t>
            </w:r>
          </w:p>
        </w:tc>
        <w:tc>
          <w:tcPr>
            <w:tcW w:w="1199" w:type="dxa"/>
            <w:tcBorders>
              <w:top w:val="single" w:sz="4" w:space="0" w:color="auto"/>
              <w:bottom w:val="single" w:sz="4" w:space="0" w:color="auto"/>
            </w:tcBorders>
            <w:shd w:val="clear" w:color="auto" w:fill="5C2946"/>
          </w:tcPr>
          <w:p w14:paraId="0AF3864C" w14:textId="77777777" w:rsidR="009565D1" w:rsidRDefault="009565D1" w:rsidP="00287F33">
            <w:pPr>
              <w:pStyle w:val="TableHead"/>
              <w:jc w:val="right"/>
            </w:pPr>
            <w:r>
              <w:t>Dry matter (%)</w:t>
            </w:r>
          </w:p>
        </w:tc>
        <w:tc>
          <w:tcPr>
            <w:tcW w:w="1200" w:type="dxa"/>
            <w:tcBorders>
              <w:top w:val="single" w:sz="4" w:space="0" w:color="auto"/>
              <w:bottom w:val="single" w:sz="4" w:space="0" w:color="auto"/>
            </w:tcBorders>
            <w:shd w:val="clear" w:color="auto" w:fill="5C2946"/>
          </w:tcPr>
          <w:p w14:paraId="3B73C084" w14:textId="77777777" w:rsidR="009565D1" w:rsidRDefault="009565D1" w:rsidP="00287F33">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62AD620D" w14:textId="77777777" w:rsidR="009565D1" w:rsidRDefault="009565D1" w:rsidP="00287F33">
            <w:pPr>
              <w:pStyle w:val="TableHead"/>
              <w:jc w:val="right"/>
            </w:pPr>
            <w:r>
              <w:t>Diet content (%)</w:t>
            </w:r>
          </w:p>
        </w:tc>
        <w:tc>
          <w:tcPr>
            <w:tcW w:w="1236" w:type="dxa"/>
            <w:tcBorders>
              <w:top w:val="single" w:sz="4" w:space="0" w:color="auto"/>
              <w:bottom w:val="single" w:sz="4" w:space="0" w:color="auto"/>
            </w:tcBorders>
            <w:shd w:val="clear" w:color="auto" w:fill="5C2946"/>
          </w:tcPr>
          <w:p w14:paraId="30978A01" w14:textId="697E4DA9" w:rsidR="009565D1" w:rsidRDefault="009565D1" w:rsidP="00287F33">
            <w:pPr>
              <w:pStyle w:val="TableHead"/>
              <w:jc w:val="right"/>
            </w:pPr>
            <w:r>
              <w:t xml:space="preserve">Residue </w:t>
            </w:r>
            <w:r w:rsidR="00287F33">
              <w:t>c</w:t>
            </w:r>
            <w:r>
              <w:t>ontribution (ppm)</w:t>
            </w:r>
          </w:p>
        </w:tc>
      </w:tr>
      <w:tr w:rsidR="009565D1" w14:paraId="44767FCE" w14:textId="77777777" w:rsidTr="00287F33">
        <w:tc>
          <w:tcPr>
            <w:tcW w:w="1203" w:type="dxa"/>
            <w:tcBorders>
              <w:top w:val="single" w:sz="4" w:space="0" w:color="auto"/>
              <w:bottom w:val="single" w:sz="4" w:space="0" w:color="auto"/>
            </w:tcBorders>
          </w:tcPr>
          <w:p w14:paraId="58F60A38" w14:textId="77777777" w:rsidR="009565D1" w:rsidRDefault="009565D1" w:rsidP="008A20A1">
            <w:pPr>
              <w:pStyle w:val="TableText"/>
            </w:pPr>
            <w:r>
              <w:t>Alfalfa forage</w:t>
            </w:r>
          </w:p>
        </w:tc>
        <w:tc>
          <w:tcPr>
            <w:tcW w:w="1209" w:type="dxa"/>
            <w:tcBorders>
              <w:top w:val="single" w:sz="4" w:space="0" w:color="auto"/>
              <w:bottom w:val="single" w:sz="4" w:space="0" w:color="auto"/>
            </w:tcBorders>
          </w:tcPr>
          <w:p w14:paraId="71F2EC52" w14:textId="77777777" w:rsidR="009565D1" w:rsidRDefault="009565D1" w:rsidP="008A20A1">
            <w:pPr>
              <w:pStyle w:val="TableText"/>
            </w:pPr>
            <w:r>
              <w:t>AL</w:t>
            </w:r>
          </w:p>
        </w:tc>
        <w:tc>
          <w:tcPr>
            <w:tcW w:w="1199" w:type="dxa"/>
            <w:tcBorders>
              <w:top w:val="single" w:sz="4" w:space="0" w:color="auto"/>
              <w:bottom w:val="single" w:sz="4" w:space="0" w:color="auto"/>
            </w:tcBorders>
          </w:tcPr>
          <w:p w14:paraId="0F60E7CC" w14:textId="77777777" w:rsidR="009565D1" w:rsidRDefault="009565D1" w:rsidP="008A20A1">
            <w:pPr>
              <w:pStyle w:val="TableText"/>
            </w:pPr>
            <w:r>
              <w:t>100</w:t>
            </w:r>
          </w:p>
        </w:tc>
        <w:tc>
          <w:tcPr>
            <w:tcW w:w="1197" w:type="dxa"/>
            <w:tcBorders>
              <w:top w:val="single" w:sz="4" w:space="0" w:color="auto"/>
              <w:bottom w:val="single" w:sz="4" w:space="0" w:color="auto"/>
            </w:tcBorders>
          </w:tcPr>
          <w:p w14:paraId="13A94711" w14:textId="77777777" w:rsidR="009565D1" w:rsidRDefault="009565D1" w:rsidP="008A20A1">
            <w:pPr>
              <w:pStyle w:val="TableText"/>
            </w:pPr>
            <w:r>
              <w:t>HR</w:t>
            </w:r>
          </w:p>
        </w:tc>
        <w:tc>
          <w:tcPr>
            <w:tcW w:w="1199" w:type="dxa"/>
            <w:tcBorders>
              <w:top w:val="single" w:sz="4" w:space="0" w:color="auto"/>
              <w:bottom w:val="single" w:sz="4" w:space="0" w:color="auto"/>
            </w:tcBorders>
          </w:tcPr>
          <w:p w14:paraId="6018155D" w14:textId="77777777" w:rsidR="009565D1" w:rsidRDefault="009565D1" w:rsidP="00287F33">
            <w:pPr>
              <w:pStyle w:val="TableText"/>
              <w:jc w:val="right"/>
            </w:pPr>
            <w:r>
              <w:t>100</w:t>
            </w:r>
          </w:p>
        </w:tc>
        <w:tc>
          <w:tcPr>
            <w:tcW w:w="1200" w:type="dxa"/>
            <w:tcBorders>
              <w:top w:val="single" w:sz="4" w:space="0" w:color="auto"/>
              <w:bottom w:val="single" w:sz="4" w:space="0" w:color="auto"/>
            </w:tcBorders>
          </w:tcPr>
          <w:p w14:paraId="16F887D9" w14:textId="77777777" w:rsidR="009565D1" w:rsidRDefault="009565D1" w:rsidP="00287F33">
            <w:pPr>
              <w:pStyle w:val="TableText"/>
              <w:jc w:val="right"/>
            </w:pPr>
            <w:r>
              <w:t>100.0</w:t>
            </w:r>
          </w:p>
        </w:tc>
        <w:tc>
          <w:tcPr>
            <w:tcW w:w="1200" w:type="dxa"/>
            <w:tcBorders>
              <w:top w:val="single" w:sz="4" w:space="0" w:color="auto"/>
              <w:bottom w:val="single" w:sz="4" w:space="0" w:color="auto"/>
            </w:tcBorders>
          </w:tcPr>
          <w:p w14:paraId="57805B5C" w14:textId="77777777" w:rsidR="009565D1" w:rsidRDefault="009565D1" w:rsidP="00287F33">
            <w:pPr>
              <w:pStyle w:val="TableText"/>
              <w:jc w:val="right"/>
            </w:pPr>
            <w:r>
              <w:t>100</w:t>
            </w:r>
          </w:p>
        </w:tc>
        <w:tc>
          <w:tcPr>
            <w:tcW w:w="1236" w:type="dxa"/>
            <w:tcBorders>
              <w:top w:val="single" w:sz="4" w:space="0" w:color="auto"/>
              <w:bottom w:val="single" w:sz="4" w:space="0" w:color="auto"/>
            </w:tcBorders>
          </w:tcPr>
          <w:p w14:paraId="723DB5DB" w14:textId="77777777" w:rsidR="009565D1" w:rsidRDefault="009565D1" w:rsidP="00287F33">
            <w:pPr>
              <w:pStyle w:val="TableText"/>
              <w:jc w:val="right"/>
            </w:pPr>
            <w:r>
              <w:t>100</w:t>
            </w:r>
          </w:p>
        </w:tc>
      </w:tr>
      <w:tr w:rsidR="009565D1" w14:paraId="3E66364A" w14:textId="77777777" w:rsidTr="00287F33">
        <w:tc>
          <w:tcPr>
            <w:tcW w:w="1203" w:type="dxa"/>
            <w:tcBorders>
              <w:top w:val="single" w:sz="4" w:space="0" w:color="auto"/>
              <w:bottom w:val="single" w:sz="4" w:space="0" w:color="auto"/>
            </w:tcBorders>
          </w:tcPr>
          <w:p w14:paraId="5B8670E4" w14:textId="3EE70DD9" w:rsidR="009565D1" w:rsidRDefault="009565D1" w:rsidP="008A20A1">
            <w:pPr>
              <w:pStyle w:val="TableText"/>
            </w:pPr>
            <w:r>
              <w:t>Bean vines</w:t>
            </w:r>
          </w:p>
        </w:tc>
        <w:tc>
          <w:tcPr>
            <w:tcW w:w="1209" w:type="dxa"/>
            <w:tcBorders>
              <w:top w:val="single" w:sz="4" w:space="0" w:color="auto"/>
              <w:bottom w:val="single" w:sz="4" w:space="0" w:color="auto"/>
            </w:tcBorders>
          </w:tcPr>
          <w:p w14:paraId="4FA5CF1E" w14:textId="617B3473" w:rsidR="009565D1" w:rsidRDefault="009565D1" w:rsidP="008A20A1">
            <w:pPr>
              <w:pStyle w:val="TableText"/>
            </w:pPr>
            <w:r>
              <w:t>AL</w:t>
            </w:r>
          </w:p>
        </w:tc>
        <w:tc>
          <w:tcPr>
            <w:tcW w:w="1199" w:type="dxa"/>
            <w:tcBorders>
              <w:top w:val="single" w:sz="4" w:space="0" w:color="auto"/>
              <w:bottom w:val="single" w:sz="4" w:space="0" w:color="auto"/>
            </w:tcBorders>
          </w:tcPr>
          <w:p w14:paraId="27078825" w14:textId="5A206C6E" w:rsidR="009565D1" w:rsidRDefault="009565D1" w:rsidP="008A20A1">
            <w:pPr>
              <w:pStyle w:val="TableText"/>
            </w:pPr>
            <w:r>
              <w:t>100</w:t>
            </w:r>
          </w:p>
        </w:tc>
        <w:tc>
          <w:tcPr>
            <w:tcW w:w="1197" w:type="dxa"/>
            <w:tcBorders>
              <w:top w:val="single" w:sz="4" w:space="0" w:color="auto"/>
              <w:bottom w:val="single" w:sz="4" w:space="0" w:color="auto"/>
            </w:tcBorders>
          </w:tcPr>
          <w:p w14:paraId="66FEA98A" w14:textId="16B09680" w:rsidR="009565D1" w:rsidRDefault="009565D1" w:rsidP="008A20A1">
            <w:pPr>
              <w:pStyle w:val="TableText"/>
            </w:pPr>
            <w:r>
              <w:t>HR</w:t>
            </w:r>
          </w:p>
        </w:tc>
        <w:tc>
          <w:tcPr>
            <w:tcW w:w="1199" w:type="dxa"/>
            <w:tcBorders>
              <w:top w:val="single" w:sz="4" w:space="0" w:color="auto"/>
              <w:bottom w:val="single" w:sz="4" w:space="0" w:color="auto"/>
            </w:tcBorders>
          </w:tcPr>
          <w:p w14:paraId="52BAF284" w14:textId="316506E8" w:rsidR="009565D1" w:rsidRDefault="009565D1" w:rsidP="00287F33">
            <w:pPr>
              <w:pStyle w:val="TableText"/>
              <w:jc w:val="right"/>
            </w:pPr>
            <w:r>
              <w:t>100</w:t>
            </w:r>
          </w:p>
        </w:tc>
        <w:tc>
          <w:tcPr>
            <w:tcW w:w="1200" w:type="dxa"/>
            <w:tcBorders>
              <w:top w:val="single" w:sz="4" w:space="0" w:color="auto"/>
              <w:bottom w:val="single" w:sz="4" w:space="0" w:color="auto"/>
            </w:tcBorders>
          </w:tcPr>
          <w:p w14:paraId="68F6948E" w14:textId="0B987C1B" w:rsidR="009565D1" w:rsidRDefault="009565D1" w:rsidP="00287F33">
            <w:pPr>
              <w:pStyle w:val="TableText"/>
              <w:jc w:val="right"/>
            </w:pPr>
            <w:r>
              <w:t>100.0</w:t>
            </w:r>
          </w:p>
        </w:tc>
        <w:tc>
          <w:tcPr>
            <w:tcW w:w="1200" w:type="dxa"/>
            <w:tcBorders>
              <w:top w:val="single" w:sz="4" w:space="0" w:color="auto"/>
              <w:bottom w:val="single" w:sz="4" w:space="0" w:color="auto"/>
            </w:tcBorders>
          </w:tcPr>
          <w:p w14:paraId="56AE0D49" w14:textId="015CC0C7" w:rsidR="009565D1" w:rsidRDefault="009565D1" w:rsidP="00287F33">
            <w:pPr>
              <w:pStyle w:val="TableText"/>
              <w:jc w:val="right"/>
            </w:pPr>
            <w:r>
              <w:t>40</w:t>
            </w:r>
          </w:p>
        </w:tc>
        <w:tc>
          <w:tcPr>
            <w:tcW w:w="1236" w:type="dxa"/>
            <w:tcBorders>
              <w:top w:val="single" w:sz="4" w:space="0" w:color="auto"/>
              <w:bottom w:val="single" w:sz="4" w:space="0" w:color="auto"/>
            </w:tcBorders>
          </w:tcPr>
          <w:p w14:paraId="6E409377" w14:textId="67502350" w:rsidR="009565D1" w:rsidRDefault="009565D1" w:rsidP="00287F33">
            <w:pPr>
              <w:pStyle w:val="TableText"/>
              <w:jc w:val="right"/>
            </w:pPr>
            <w:r>
              <w:t>40.0</w:t>
            </w:r>
          </w:p>
        </w:tc>
      </w:tr>
      <w:tr w:rsidR="00287F33" w14:paraId="57AFC030" w14:textId="77777777" w:rsidTr="00287F33">
        <w:tc>
          <w:tcPr>
            <w:tcW w:w="1203" w:type="dxa"/>
            <w:tcBorders>
              <w:top w:val="single" w:sz="4" w:space="0" w:color="auto"/>
              <w:bottom w:val="single" w:sz="4" w:space="0" w:color="auto"/>
            </w:tcBorders>
          </w:tcPr>
          <w:p w14:paraId="1111D562" w14:textId="77777777" w:rsidR="00287F33" w:rsidRDefault="00287F33" w:rsidP="00287F33">
            <w:pPr>
              <w:pStyle w:val="TableText"/>
            </w:pPr>
            <w:r>
              <w:t>Barley straw</w:t>
            </w:r>
          </w:p>
        </w:tc>
        <w:tc>
          <w:tcPr>
            <w:tcW w:w="1209" w:type="dxa"/>
            <w:tcBorders>
              <w:top w:val="single" w:sz="4" w:space="0" w:color="auto"/>
              <w:bottom w:val="single" w:sz="4" w:space="0" w:color="auto"/>
            </w:tcBorders>
          </w:tcPr>
          <w:p w14:paraId="7433D861" w14:textId="77777777" w:rsidR="00287F33" w:rsidRDefault="00287F33" w:rsidP="00287F33">
            <w:pPr>
              <w:pStyle w:val="TableText"/>
            </w:pPr>
            <w:r>
              <w:t>AF/AS</w:t>
            </w:r>
          </w:p>
        </w:tc>
        <w:tc>
          <w:tcPr>
            <w:tcW w:w="1199" w:type="dxa"/>
            <w:tcBorders>
              <w:top w:val="single" w:sz="4" w:space="0" w:color="auto"/>
              <w:bottom w:val="single" w:sz="4" w:space="0" w:color="auto"/>
            </w:tcBorders>
          </w:tcPr>
          <w:p w14:paraId="040101E5" w14:textId="77777777" w:rsidR="00287F33" w:rsidRDefault="00287F33" w:rsidP="00287F33">
            <w:pPr>
              <w:pStyle w:val="TableText"/>
            </w:pPr>
            <w:r>
              <w:t>26</w:t>
            </w:r>
          </w:p>
        </w:tc>
        <w:tc>
          <w:tcPr>
            <w:tcW w:w="1197" w:type="dxa"/>
            <w:tcBorders>
              <w:top w:val="single" w:sz="4" w:space="0" w:color="auto"/>
              <w:bottom w:val="single" w:sz="4" w:space="0" w:color="auto"/>
            </w:tcBorders>
          </w:tcPr>
          <w:p w14:paraId="35B25D06" w14:textId="77777777" w:rsidR="00287F33" w:rsidRDefault="00287F33" w:rsidP="00287F33">
            <w:pPr>
              <w:pStyle w:val="TableText"/>
            </w:pPr>
            <w:r>
              <w:t>HR</w:t>
            </w:r>
          </w:p>
        </w:tc>
        <w:tc>
          <w:tcPr>
            <w:tcW w:w="1199" w:type="dxa"/>
            <w:tcBorders>
              <w:top w:val="single" w:sz="4" w:space="0" w:color="auto"/>
              <w:bottom w:val="single" w:sz="4" w:space="0" w:color="auto"/>
            </w:tcBorders>
          </w:tcPr>
          <w:p w14:paraId="16A776D0" w14:textId="77777777" w:rsidR="00287F33" w:rsidRDefault="00287F33" w:rsidP="00287F33">
            <w:pPr>
              <w:pStyle w:val="TableText"/>
              <w:jc w:val="right"/>
            </w:pPr>
            <w:r>
              <w:t>100</w:t>
            </w:r>
          </w:p>
        </w:tc>
        <w:tc>
          <w:tcPr>
            <w:tcW w:w="1200" w:type="dxa"/>
            <w:tcBorders>
              <w:top w:val="single" w:sz="4" w:space="0" w:color="auto"/>
              <w:bottom w:val="single" w:sz="4" w:space="0" w:color="auto"/>
            </w:tcBorders>
          </w:tcPr>
          <w:p w14:paraId="3185D5EA" w14:textId="1F003EDE" w:rsidR="00287F33" w:rsidRDefault="00287F33" w:rsidP="00287F33">
            <w:pPr>
              <w:pStyle w:val="TableText"/>
              <w:jc w:val="right"/>
            </w:pPr>
            <w:r>
              <w:t>26.0</w:t>
            </w:r>
          </w:p>
        </w:tc>
        <w:tc>
          <w:tcPr>
            <w:tcW w:w="1200" w:type="dxa"/>
            <w:tcBorders>
              <w:top w:val="single" w:sz="4" w:space="0" w:color="auto"/>
              <w:bottom w:val="single" w:sz="4" w:space="0" w:color="auto"/>
            </w:tcBorders>
          </w:tcPr>
          <w:p w14:paraId="766C4F5E" w14:textId="170C5986"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42DAF6D" w14:textId="5842AAE4" w:rsidR="00287F33" w:rsidRDefault="00287F33" w:rsidP="00287F33">
            <w:pPr>
              <w:pStyle w:val="TableText"/>
              <w:jc w:val="right"/>
            </w:pPr>
            <w:r w:rsidRPr="00571ECE">
              <w:t>–</w:t>
            </w:r>
          </w:p>
        </w:tc>
      </w:tr>
      <w:tr w:rsidR="00287F33" w14:paraId="3263D584" w14:textId="77777777" w:rsidTr="00287F33">
        <w:tc>
          <w:tcPr>
            <w:tcW w:w="1203" w:type="dxa"/>
            <w:tcBorders>
              <w:top w:val="single" w:sz="4" w:space="0" w:color="auto"/>
              <w:bottom w:val="single" w:sz="4" w:space="0" w:color="auto"/>
            </w:tcBorders>
          </w:tcPr>
          <w:p w14:paraId="3752EA2B" w14:textId="67AABBC7" w:rsidR="00287F33" w:rsidRDefault="00287F33" w:rsidP="00287F33">
            <w:pPr>
              <w:pStyle w:val="TableText"/>
            </w:pPr>
            <w:r>
              <w:lastRenderedPageBreak/>
              <w:t>Oat straw</w:t>
            </w:r>
          </w:p>
        </w:tc>
        <w:tc>
          <w:tcPr>
            <w:tcW w:w="1209" w:type="dxa"/>
            <w:tcBorders>
              <w:top w:val="single" w:sz="4" w:space="0" w:color="auto"/>
              <w:bottom w:val="single" w:sz="4" w:space="0" w:color="auto"/>
            </w:tcBorders>
          </w:tcPr>
          <w:p w14:paraId="02EE33FD" w14:textId="3A21463A" w:rsidR="00287F33" w:rsidRDefault="00287F33" w:rsidP="00287F33">
            <w:pPr>
              <w:pStyle w:val="TableText"/>
            </w:pPr>
            <w:r>
              <w:t>AF/AS</w:t>
            </w:r>
          </w:p>
        </w:tc>
        <w:tc>
          <w:tcPr>
            <w:tcW w:w="1199" w:type="dxa"/>
            <w:tcBorders>
              <w:top w:val="single" w:sz="4" w:space="0" w:color="auto"/>
              <w:bottom w:val="single" w:sz="4" w:space="0" w:color="auto"/>
            </w:tcBorders>
          </w:tcPr>
          <w:p w14:paraId="074D2583" w14:textId="130217AF" w:rsidR="00287F33" w:rsidRDefault="00287F33" w:rsidP="00287F33">
            <w:pPr>
              <w:pStyle w:val="TableText"/>
            </w:pPr>
            <w:r>
              <w:t>26</w:t>
            </w:r>
          </w:p>
        </w:tc>
        <w:tc>
          <w:tcPr>
            <w:tcW w:w="1197" w:type="dxa"/>
            <w:tcBorders>
              <w:top w:val="single" w:sz="4" w:space="0" w:color="auto"/>
              <w:bottom w:val="single" w:sz="4" w:space="0" w:color="auto"/>
            </w:tcBorders>
          </w:tcPr>
          <w:p w14:paraId="35A4D9B3" w14:textId="5EBDFAE1" w:rsidR="00287F33" w:rsidRDefault="00287F33" w:rsidP="00287F33">
            <w:pPr>
              <w:pStyle w:val="TableText"/>
            </w:pPr>
            <w:r>
              <w:t>HR</w:t>
            </w:r>
          </w:p>
        </w:tc>
        <w:tc>
          <w:tcPr>
            <w:tcW w:w="1199" w:type="dxa"/>
            <w:tcBorders>
              <w:top w:val="single" w:sz="4" w:space="0" w:color="auto"/>
              <w:bottom w:val="single" w:sz="4" w:space="0" w:color="auto"/>
            </w:tcBorders>
          </w:tcPr>
          <w:p w14:paraId="104080F6" w14:textId="321122FC" w:rsidR="00287F33" w:rsidRDefault="00287F33" w:rsidP="00287F33">
            <w:pPr>
              <w:pStyle w:val="TableText"/>
              <w:jc w:val="right"/>
            </w:pPr>
            <w:r>
              <w:t>100</w:t>
            </w:r>
          </w:p>
        </w:tc>
        <w:tc>
          <w:tcPr>
            <w:tcW w:w="1200" w:type="dxa"/>
            <w:tcBorders>
              <w:top w:val="single" w:sz="4" w:space="0" w:color="auto"/>
              <w:bottom w:val="single" w:sz="4" w:space="0" w:color="auto"/>
            </w:tcBorders>
          </w:tcPr>
          <w:p w14:paraId="15A018DD" w14:textId="7016833E" w:rsidR="00287F33" w:rsidRDefault="00287F33" w:rsidP="00287F33">
            <w:pPr>
              <w:pStyle w:val="TableText"/>
              <w:jc w:val="right"/>
            </w:pPr>
            <w:r>
              <w:t>26.0</w:t>
            </w:r>
          </w:p>
        </w:tc>
        <w:tc>
          <w:tcPr>
            <w:tcW w:w="1200" w:type="dxa"/>
            <w:tcBorders>
              <w:top w:val="single" w:sz="4" w:space="0" w:color="auto"/>
              <w:bottom w:val="single" w:sz="4" w:space="0" w:color="auto"/>
            </w:tcBorders>
          </w:tcPr>
          <w:p w14:paraId="39E6924E" w14:textId="7001457D"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5D8780C4" w14:textId="4FBABF25" w:rsidR="00287F33" w:rsidRDefault="00287F33" w:rsidP="00287F33">
            <w:pPr>
              <w:pStyle w:val="TableText"/>
              <w:jc w:val="right"/>
            </w:pPr>
            <w:r w:rsidRPr="00571ECE">
              <w:t>–</w:t>
            </w:r>
          </w:p>
        </w:tc>
      </w:tr>
      <w:tr w:rsidR="00287F33" w14:paraId="5300CE63" w14:textId="77777777" w:rsidTr="00287F33">
        <w:tc>
          <w:tcPr>
            <w:tcW w:w="1203" w:type="dxa"/>
            <w:tcBorders>
              <w:top w:val="single" w:sz="4" w:space="0" w:color="auto"/>
              <w:bottom w:val="single" w:sz="4" w:space="0" w:color="auto"/>
            </w:tcBorders>
          </w:tcPr>
          <w:p w14:paraId="575131A8" w14:textId="240A27C8" w:rsidR="00287F33" w:rsidRDefault="00287F33" w:rsidP="00287F33">
            <w:pPr>
              <w:pStyle w:val="TableText"/>
            </w:pPr>
            <w:r>
              <w:t>Rape straw</w:t>
            </w:r>
          </w:p>
        </w:tc>
        <w:tc>
          <w:tcPr>
            <w:tcW w:w="1209" w:type="dxa"/>
            <w:tcBorders>
              <w:top w:val="single" w:sz="4" w:space="0" w:color="auto"/>
              <w:bottom w:val="single" w:sz="4" w:space="0" w:color="auto"/>
            </w:tcBorders>
          </w:tcPr>
          <w:p w14:paraId="60EADAC3" w14:textId="6403E57D" w:rsidR="00287F33" w:rsidRDefault="00287F33" w:rsidP="00287F33">
            <w:pPr>
              <w:pStyle w:val="TableText"/>
            </w:pPr>
            <w:r>
              <w:t>AM/AV</w:t>
            </w:r>
          </w:p>
        </w:tc>
        <w:tc>
          <w:tcPr>
            <w:tcW w:w="1199" w:type="dxa"/>
            <w:tcBorders>
              <w:top w:val="single" w:sz="4" w:space="0" w:color="auto"/>
              <w:bottom w:val="single" w:sz="4" w:space="0" w:color="auto"/>
            </w:tcBorders>
          </w:tcPr>
          <w:p w14:paraId="2CD757C9" w14:textId="6B28D040" w:rsidR="00287F33" w:rsidRDefault="00287F33" w:rsidP="00287F33">
            <w:pPr>
              <w:pStyle w:val="TableText"/>
            </w:pPr>
            <w:r>
              <w:t>17</w:t>
            </w:r>
          </w:p>
        </w:tc>
        <w:tc>
          <w:tcPr>
            <w:tcW w:w="1197" w:type="dxa"/>
            <w:tcBorders>
              <w:top w:val="single" w:sz="4" w:space="0" w:color="auto"/>
              <w:bottom w:val="single" w:sz="4" w:space="0" w:color="auto"/>
            </w:tcBorders>
          </w:tcPr>
          <w:p w14:paraId="5C4F97E7" w14:textId="2A9028AA" w:rsidR="00287F33" w:rsidRDefault="00287F33" w:rsidP="00287F33">
            <w:pPr>
              <w:pStyle w:val="TableText"/>
            </w:pPr>
            <w:r>
              <w:t>HR</w:t>
            </w:r>
          </w:p>
        </w:tc>
        <w:tc>
          <w:tcPr>
            <w:tcW w:w="1199" w:type="dxa"/>
            <w:tcBorders>
              <w:top w:val="single" w:sz="4" w:space="0" w:color="auto"/>
              <w:bottom w:val="single" w:sz="4" w:space="0" w:color="auto"/>
            </w:tcBorders>
          </w:tcPr>
          <w:p w14:paraId="7483699B" w14:textId="587B4FFF" w:rsidR="00287F33" w:rsidRDefault="00287F33" w:rsidP="00287F33">
            <w:pPr>
              <w:pStyle w:val="TableText"/>
              <w:jc w:val="right"/>
            </w:pPr>
            <w:r>
              <w:t>100</w:t>
            </w:r>
          </w:p>
        </w:tc>
        <w:tc>
          <w:tcPr>
            <w:tcW w:w="1200" w:type="dxa"/>
            <w:tcBorders>
              <w:top w:val="single" w:sz="4" w:space="0" w:color="auto"/>
              <w:bottom w:val="single" w:sz="4" w:space="0" w:color="auto"/>
            </w:tcBorders>
          </w:tcPr>
          <w:p w14:paraId="707766B4" w14:textId="06B6B3E6" w:rsidR="00287F33" w:rsidRDefault="00287F33" w:rsidP="00287F33">
            <w:pPr>
              <w:pStyle w:val="TableText"/>
              <w:jc w:val="right"/>
            </w:pPr>
            <w:r>
              <w:t>17</w:t>
            </w:r>
          </w:p>
        </w:tc>
        <w:tc>
          <w:tcPr>
            <w:tcW w:w="1200" w:type="dxa"/>
            <w:tcBorders>
              <w:top w:val="single" w:sz="4" w:space="0" w:color="auto"/>
              <w:bottom w:val="single" w:sz="4" w:space="0" w:color="auto"/>
            </w:tcBorders>
          </w:tcPr>
          <w:p w14:paraId="2FABE9EC" w14:textId="02BA4A46"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7139D72D" w14:textId="27FF45F5" w:rsidR="00287F33" w:rsidRDefault="00287F33" w:rsidP="00287F33">
            <w:pPr>
              <w:pStyle w:val="TableText"/>
              <w:jc w:val="right"/>
            </w:pPr>
            <w:r w:rsidRPr="00571ECE">
              <w:t>–</w:t>
            </w:r>
          </w:p>
        </w:tc>
      </w:tr>
      <w:tr w:rsidR="00287F33" w14:paraId="4C11A678" w14:textId="77777777" w:rsidTr="00287F33">
        <w:tc>
          <w:tcPr>
            <w:tcW w:w="1203" w:type="dxa"/>
            <w:tcBorders>
              <w:top w:val="single" w:sz="4" w:space="0" w:color="auto"/>
              <w:bottom w:val="single" w:sz="4" w:space="0" w:color="auto"/>
            </w:tcBorders>
          </w:tcPr>
          <w:p w14:paraId="0C6CD83E" w14:textId="77777777" w:rsidR="00287F33" w:rsidRDefault="00287F33" w:rsidP="00287F33">
            <w:pPr>
              <w:pStyle w:val="TableText"/>
            </w:pPr>
            <w:r>
              <w:t>Rice grain</w:t>
            </w:r>
          </w:p>
        </w:tc>
        <w:tc>
          <w:tcPr>
            <w:tcW w:w="1209" w:type="dxa"/>
            <w:tcBorders>
              <w:top w:val="single" w:sz="4" w:space="0" w:color="auto"/>
              <w:bottom w:val="single" w:sz="4" w:space="0" w:color="auto"/>
            </w:tcBorders>
          </w:tcPr>
          <w:p w14:paraId="46B07E17" w14:textId="77777777" w:rsidR="00287F33" w:rsidRDefault="00287F33" w:rsidP="00287F33">
            <w:pPr>
              <w:pStyle w:val="TableText"/>
            </w:pPr>
            <w:r>
              <w:t>GC</w:t>
            </w:r>
          </w:p>
        </w:tc>
        <w:tc>
          <w:tcPr>
            <w:tcW w:w="1199" w:type="dxa"/>
            <w:tcBorders>
              <w:top w:val="single" w:sz="4" w:space="0" w:color="auto"/>
              <w:bottom w:val="single" w:sz="4" w:space="0" w:color="auto"/>
            </w:tcBorders>
          </w:tcPr>
          <w:p w14:paraId="7BE221B4" w14:textId="77777777" w:rsidR="00287F33" w:rsidRDefault="00287F33" w:rsidP="00287F33">
            <w:pPr>
              <w:pStyle w:val="TableText"/>
            </w:pPr>
            <w:r>
              <w:t>2.1</w:t>
            </w:r>
          </w:p>
        </w:tc>
        <w:tc>
          <w:tcPr>
            <w:tcW w:w="1197" w:type="dxa"/>
            <w:tcBorders>
              <w:top w:val="single" w:sz="4" w:space="0" w:color="auto"/>
              <w:bottom w:val="single" w:sz="4" w:space="0" w:color="auto"/>
            </w:tcBorders>
          </w:tcPr>
          <w:p w14:paraId="2D33DF11" w14:textId="77777777" w:rsidR="00287F33" w:rsidRDefault="00287F33" w:rsidP="00287F33">
            <w:pPr>
              <w:pStyle w:val="TableText"/>
            </w:pPr>
            <w:r>
              <w:t>STMR</w:t>
            </w:r>
          </w:p>
        </w:tc>
        <w:tc>
          <w:tcPr>
            <w:tcW w:w="1199" w:type="dxa"/>
            <w:tcBorders>
              <w:top w:val="single" w:sz="4" w:space="0" w:color="auto"/>
              <w:bottom w:val="single" w:sz="4" w:space="0" w:color="auto"/>
            </w:tcBorders>
          </w:tcPr>
          <w:p w14:paraId="3A015F93"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61BC606B" w14:textId="77777777" w:rsidR="00287F33" w:rsidRDefault="00287F33" w:rsidP="00287F33">
            <w:pPr>
              <w:pStyle w:val="TableText"/>
              <w:jc w:val="right"/>
            </w:pPr>
            <w:r>
              <w:t>2.4</w:t>
            </w:r>
          </w:p>
        </w:tc>
        <w:tc>
          <w:tcPr>
            <w:tcW w:w="1200" w:type="dxa"/>
            <w:tcBorders>
              <w:top w:val="single" w:sz="4" w:space="0" w:color="auto"/>
              <w:bottom w:val="single" w:sz="4" w:space="0" w:color="auto"/>
            </w:tcBorders>
          </w:tcPr>
          <w:p w14:paraId="12CBD6CB" w14:textId="45043294"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0FBEF22" w14:textId="2B2CC3D9" w:rsidR="00287F33" w:rsidRDefault="00287F33" w:rsidP="00287F33">
            <w:pPr>
              <w:pStyle w:val="TableText"/>
              <w:jc w:val="right"/>
            </w:pPr>
            <w:r w:rsidRPr="00571ECE">
              <w:t>–</w:t>
            </w:r>
          </w:p>
        </w:tc>
      </w:tr>
      <w:tr w:rsidR="00287F33" w14:paraId="38B63AAF" w14:textId="77777777" w:rsidTr="00287F33">
        <w:tc>
          <w:tcPr>
            <w:tcW w:w="1203" w:type="dxa"/>
            <w:tcBorders>
              <w:top w:val="single" w:sz="4" w:space="0" w:color="auto"/>
              <w:bottom w:val="single" w:sz="4" w:space="0" w:color="auto"/>
            </w:tcBorders>
          </w:tcPr>
          <w:p w14:paraId="5C2C2F7F" w14:textId="2D7640E9" w:rsidR="00287F33" w:rsidRDefault="00287F33" w:rsidP="00287F33">
            <w:pPr>
              <w:pStyle w:val="TableText"/>
            </w:pPr>
            <w:r>
              <w:t>Sorghum, grain</w:t>
            </w:r>
          </w:p>
        </w:tc>
        <w:tc>
          <w:tcPr>
            <w:tcW w:w="1209" w:type="dxa"/>
            <w:tcBorders>
              <w:top w:val="single" w:sz="4" w:space="0" w:color="auto"/>
              <w:bottom w:val="single" w:sz="4" w:space="0" w:color="auto"/>
            </w:tcBorders>
          </w:tcPr>
          <w:p w14:paraId="2626F62D" w14:textId="77777777" w:rsidR="00287F33" w:rsidRDefault="00287F33" w:rsidP="00287F33">
            <w:pPr>
              <w:pStyle w:val="TableText"/>
            </w:pPr>
            <w:r>
              <w:t>GC</w:t>
            </w:r>
          </w:p>
        </w:tc>
        <w:tc>
          <w:tcPr>
            <w:tcW w:w="1199" w:type="dxa"/>
            <w:tcBorders>
              <w:top w:val="single" w:sz="4" w:space="0" w:color="auto"/>
              <w:bottom w:val="single" w:sz="4" w:space="0" w:color="auto"/>
            </w:tcBorders>
          </w:tcPr>
          <w:p w14:paraId="3FBEEA6C" w14:textId="77777777" w:rsidR="00287F33" w:rsidRDefault="00287F33" w:rsidP="00287F33">
            <w:pPr>
              <w:pStyle w:val="TableText"/>
            </w:pPr>
            <w:r>
              <w:t>1.1</w:t>
            </w:r>
          </w:p>
        </w:tc>
        <w:tc>
          <w:tcPr>
            <w:tcW w:w="1197" w:type="dxa"/>
            <w:tcBorders>
              <w:top w:val="single" w:sz="4" w:space="0" w:color="auto"/>
              <w:bottom w:val="single" w:sz="4" w:space="0" w:color="auto"/>
            </w:tcBorders>
          </w:tcPr>
          <w:p w14:paraId="1A34156B"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5B2657BA" w14:textId="77777777" w:rsidR="00287F33" w:rsidRDefault="00287F33" w:rsidP="00287F33">
            <w:pPr>
              <w:pStyle w:val="TableText"/>
              <w:jc w:val="right"/>
            </w:pPr>
            <w:r>
              <w:t>86</w:t>
            </w:r>
          </w:p>
        </w:tc>
        <w:tc>
          <w:tcPr>
            <w:tcW w:w="1200" w:type="dxa"/>
            <w:tcBorders>
              <w:top w:val="single" w:sz="4" w:space="0" w:color="auto"/>
              <w:bottom w:val="single" w:sz="4" w:space="0" w:color="auto"/>
            </w:tcBorders>
          </w:tcPr>
          <w:p w14:paraId="69005AB3"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4DA486F4" w14:textId="4170353B"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BDA1722" w14:textId="22679F0D" w:rsidR="00287F33" w:rsidRDefault="00287F33" w:rsidP="00287F33">
            <w:pPr>
              <w:pStyle w:val="TableText"/>
              <w:jc w:val="right"/>
            </w:pPr>
            <w:r w:rsidRPr="00571ECE">
              <w:t>–</w:t>
            </w:r>
          </w:p>
        </w:tc>
      </w:tr>
      <w:tr w:rsidR="00287F33" w14:paraId="22BFD42D" w14:textId="77777777" w:rsidTr="00287F33">
        <w:tc>
          <w:tcPr>
            <w:tcW w:w="1203" w:type="dxa"/>
            <w:tcBorders>
              <w:top w:val="single" w:sz="4" w:space="0" w:color="auto"/>
              <w:bottom w:val="single" w:sz="4" w:space="0" w:color="auto"/>
            </w:tcBorders>
          </w:tcPr>
          <w:p w14:paraId="41F6226B" w14:textId="77777777" w:rsidR="00287F33" w:rsidRDefault="00287F33" w:rsidP="00287F33">
            <w:pPr>
              <w:pStyle w:val="TableText"/>
            </w:pPr>
            <w:r>
              <w:t>Barley grain</w:t>
            </w:r>
          </w:p>
        </w:tc>
        <w:tc>
          <w:tcPr>
            <w:tcW w:w="1209" w:type="dxa"/>
            <w:tcBorders>
              <w:top w:val="single" w:sz="4" w:space="0" w:color="auto"/>
              <w:bottom w:val="single" w:sz="4" w:space="0" w:color="auto"/>
            </w:tcBorders>
          </w:tcPr>
          <w:p w14:paraId="1A932A5B" w14:textId="77777777" w:rsidR="00287F33" w:rsidRDefault="00287F33" w:rsidP="00287F33">
            <w:pPr>
              <w:pStyle w:val="TableText"/>
            </w:pPr>
            <w:r>
              <w:t>GC</w:t>
            </w:r>
          </w:p>
        </w:tc>
        <w:tc>
          <w:tcPr>
            <w:tcW w:w="1199" w:type="dxa"/>
            <w:tcBorders>
              <w:top w:val="single" w:sz="4" w:space="0" w:color="auto"/>
              <w:bottom w:val="single" w:sz="4" w:space="0" w:color="auto"/>
            </w:tcBorders>
          </w:tcPr>
          <w:p w14:paraId="1ACCA37A" w14:textId="77777777" w:rsidR="00287F33" w:rsidRDefault="00287F33" w:rsidP="00287F33">
            <w:pPr>
              <w:pStyle w:val="TableText"/>
            </w:pPr>
            <w:r>
              <w:t>1.1</w:t>
            </w:r>
          </w:p>
        </w:tc>
        <w:tc>
          <w:tcPr>
            <w:tcW w:w="1197" w:type="dxa"/>
            <w:tcBorders>
              <w:top w:val="single" w:sz="4" w:space="0" w:color="auto"/>
              <w:bottom w:val="single" w:sz="4" w:space="0" w:color="auto"/>
            </w:tcBorders>
          </w:tcPr>
          <w:p w14:paraId="37A83E90"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4C74D97A"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39C7FBE1"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4816C96B" w14:textId="6CBE6181"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2D39F02E" w14:textId="4375BC6B" w:rsidR="00287F33" w:rsidRDefault="00287F33" w:rsidP="00287F33">
            <w:pPr>
              <w:pStyle w:val="TableText"/>
              <w:jc w:val="right"/>
            </w:pPr>
            <w:r w:rsidRPr="00571ECE">
              <w:t>–</w:t>
            </w:r>
          </w:p>
        </w:tc>
      </w:tr>
      <w:tr w:rsidR="00287F33" w14:paraId="72C6C3E3" w14:textId="77777777" w:rsidTr="00287F33">
        <w:tc>
          <w:tcPr>
            <w:tcW w:w="1203" w:type="dxa"/>
            <w:tcBorders>
              <w:top w:val="single" w:sz="4" w:space="0" w:color="auto"/>
              <w:bottom w:val="single" w:sz="4" w:space="0" w:color="auto"/>
            </w:tcBorders>
          </w:tcPr>
          <w:p w14:paraId="622B463E" w14:textId="77777777" w:rsidR="00287F33" w:rsidRDefault="00287F33" w:rsidP="00287F33">
            <w:pPr>
              <w:pStyle w:val="TableText"/>
            </w:pPr>
            <w:r>
              <w:t>Corn, field grain</w:t>
            </w:r>
          </w:p>
        </w:tc>
        <w:tc>
          <w:tcPr>
            <w:tcW w:w="1209" w:type="dxa"/>
            <w:tcBorders>
              <w:top w:val="single" w:sz="4" w:space="0" w:color="auto"/>
              <w:bottom w:val="single" w:sz="4" w:space="0" w:color="auto"/>
            </w:tcBorders>
          </w:tcPr>
          <w:p w14:paraId="3132AADE" w14:textId="77777777" w:rsidR="00287F33" w:rsidRDefault="00287F33" w:rsidP="00287F33">
            <w:pPr>
              <w:pStyle w:val="TableText"/>
            </w:pPr>
            <w:r>
              <w:t>GC</w:t>
            </w:r>
          </w:p>
        </w:tc>
        <w:tc>
          <w:tcPr>
            <w:tcW w:w="1199" w:type="dxa"/>
            <w:tcBorders>
              <w:top w:val="single" w:sz="4" w:space="0" w:color="auto"/>
              <w:bottom w:val="single" w:sz="4" w:space="0" w:color="auto"/>
            </w:tcBorders>
          </w:tcPr>
          <w:p w14:paraId="7FD1C12A" w14:textId="77777777" w:rsidR="00287F33" w:rsidRDefault="00287F33" w:rsidP="00287F33">
            <w:pPr>
              <w:pStyle w:val="TableText"/>
            </w:pPr>
            <w:r>
              <w:t>0.05</w:t>
            </w:r>
          </w:p>
        </w:tc>
        <w:tc>
          <w:tcPr>
            <w:tcW w:w="1197" w:type="dxa"/>
            <w:tcBorders>
              <w:top w:val="single" w:sz="4" w:space="0" w:color="auto"/>
              <w:bottom w:val="single" w:sz="4" w:space="0" w:color="auto"/>
            </w:tcBorders>
          </w:tcPr>
          <w:p w14:paraId="2CEC6324"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03A431BA"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4D145149" w14:textId="77777777" w:rsidR="00287F33" w:rsidRDefault="00287F33" w:rsidP="00287F33">
            <w:pPr>
              <w:pStyle w:val="TableText"/>
              <w:jc w:val="right"/>
            </w:pPr>
            <w:r>
              <w:t>0.1</w:t>
            </w:r>
          </w:p>
        </w:tc>
        <w:tc>
          <w:tcPr>
            <w:tcW w:w="1200" w:type="dxa"/>
            <w:tcBorders>
              <w:top w:val="single" w:sz="4" w:space="0" w:color="auto"/>
              <w:bottom w:val="single" w:sz="4" w:space="0" w:color="auto"/>
            </w:tcBorders>
          </w:tcPr>
          <w:p w14:paraId="1F7F3783" w14:textId="105849CA"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6E8155D5" w14:textId="67DBB1DA" w:rsidR="00287F33" w:rsidRDefault="00287F33" w:rsidP="00287F33">
            <w:pPr>
              <w:pStyle w:val="TableText"/>
              <w:jc w:val="right"/>
            </w:pPr>
            <w:r w:rsidRPr="00571ECE">
              <w:t>–</w:t>
            </w:r>
          </w:p>
        </w:tc>
      </w:tr>
      <w:tr w:rsidR="009565D1" w14:paraId="54475451" w14:textId="77777777" w:rsidTr="00287F33">
        <w:tc>
          <w:tcPr>
            <w:tcW w:w="1203" w:type="dxa"/>
            <w:tcBorders>
              <w:top w:val="single" w:sz="4" w:space="0" w:color="auto"/>
              <w:bottom w:val="single" w:sz="4" w:space="0" w:color="auto"/>
            </w:tcBorders>
          </w:tcPr>
          <w:p w14:paraId="4E55D0E0" w14:textId="77777777" w:rsidR="009565D1" w:rsidRPr="00287F33" w:rsidRDefault="009565D1" w:rsidP="008A20A1">
            <w:pPr>
              <w:pStyle w:val="TableText"/>
              <w:rPr>
                <w:b/>
                <w:bCs/>
              </w:rPr>
            </w:pPr>
            <w:r w:rsidRPr="00287F33">
              <w:rPr>
                <w:b/>
                <w:bCs/>
              </w:rPr>
              <w:t>Total</w:t>
            </w:r>
          </w:p>
        </w:tc>
        <w:tc>
          <w:tcPr>
            <w:tcW w:w="1209" w:type="dxa"/>
            <w:tcBorders>
              <w:top w:val="single" w:sz="4" w:space="0" w:color="auto"/>
              <w:bottom w:val="single" w:sz="4" w:space="0" w:color="auto"/>
            </w:tcBorders>
          </w:tcPr>
          <w:p w14:paraId="4D3B137E" w14:textId="77777777" w:rsidR="009565D1" w:rsidRPr="00287F33" w:rsidRDefault="009565D1" w:rsidP="008A20A1">
            <w:pPr>
              <w:pStyle w:val="TableText"/>
              <w:rPr>
                <w:b/>
                <w:bCs/>
              </w:rPr>
            </w:pPr>
          </w:p>
        </w:tc>
        <w:tc>
          <w:tcPr>
            <w:tcW w:w="1199" w:type="dxa"/>
            <w:tcBorders>
              <w:top w:val="single" w:sz="4" w:space="0" w:color="auto"/>
              <w:bottom w:val="single" w:sz="4" w:space="0" w:color="auto"/>
            </w:tcBorders>
          </w:tcPr>
          <w:p w14:paraId="6E6794C0" w14:textId="77777777" w:rsidR="009565D1" w:rsidRPr="00287F33" w:rsidRDefault="009565D1" w:rsidP="008A20A1">
            <w:pPr>
              <w:pStyle w:val="TableText"/>
              <w:rPr>
                <w:b/>
                <w:bCs/>
              </w:rPr>
            </w:pPr>
          </w:p>
        </w:tc>
        <w:tc>
          <w:tcPr>
            <w:tcW w:w="1197" w:type="dxa"/>
            <w:tcBorders>
              <w:top w:val="single" w:sz="4" w:space="0" w:color="auto"/>
              <w:bottom w:val="single" w:sz="4" w:space="0" w:color="auto"/>
            </w:tcBorders>
          </w:tcPr>
          <w:p w14:paraId="16C26AA3" w14:textId="77777777" w:rsidR="009565D1" w:rsidRPr="00287F33" w:rsidRDefault="009565D1" w:rsidP="008A20A1">
            <w:pPr>
              <w:pStyle w:val="TableText"/>
              <w:rPr>
                <w:b/>
                <w:bCs/>
              </w:rPr>
            </w:pPr>
          </w:p>
        </w:tc>
        <w:tc>
          <w:tcPr>
            <w:tcW w:w="1199" w:type="dxa"/>
            <w:tcBorders>
              <w:top w:val="single" w:sz="4" w:space="0" w:color="auto"/>
              <w:bottom w:val="single" w:sz="4" w:space="0" w:color="auto"/>
            </w:tcBorders>
          </w:tcPr>
          <w:p w14:paraId="3B819D72" w14:textId="77777777" w:rsidR="009565D1" w:rsidRPr="00287F33" w:rsidRDefault="009565D1" w:rsidP="00287F33">
            <w:pPr>
              <w:pStyle w:val="TableText"/>
              <w:jc w:val="right"/>
              <w:rPr>
                <w:b/>
                <w:bCs/>
              </w:rPr>
            </w:pPr>
          </w:p>
        </w:tc>
        <w:tc>
          <w:tcPr>
            <w:tcW w:w="1200" w:type="dxa"/>
            <w:tcBorders>
              <w:top w:val="single" w:sz="4" w:space="0" w:color="auto"/>
              <w:bottom w:val="single" w:sz="4" w:space="0" w:color="auto"/>
            </w:tcBorders>
          </w:tcPr>
          <w:p w14:paraId="7681FB06" w14:textId="77777777" w:rsidR="009565D1" w:rsidRPr="00287F33" w:rsidRDefault="009565D1" w:rsidP="00287F33">
            <w:pPr>
              <w:pStyle w:val="TableText"/>
              <w:jc w:val="right"/>
              <w:rPr>
                <w:b/>
                <w:bCs/>
              </w:rPr>
            </w:pPr>
          </w:p>
        </w:tc>
        <w:tc>
          <w:tcPr>
            <w:tcW w:w="1200" w:type="dxa"/>
            <w:tcBorders>
              <w:top w:val="single" w:sz="4" w:space="0" w:color="auto"/>
              <w:bottom w:val="single" w:sz="4" w:space="0" w:color="auto"/>
            </w:tcBorders>
          </w:tcPr>
          <w:p w14:paraId="7388027F" w14:textId="77777777" w:rsidR="009565D1" w:rsidRPr="00287F33" w:rsidRDefault="009565D1" w:rsidP="00287F33">
            <w:pPr>
              <w:pStyle w:val="TableText"/>
              <w:jc w:val="right"/>
              <w:rPr>
                <w:b/>
                <w:bCs/>
              </w:rPr>
            </w:pPr>
            <w:r w:rsidRPr="00287F33">
              <w:rPr>
                <w:b/>
                <w:bCs/>
              </w:rPr>
              <w:t>100</w:t>
            </w:r>
          </w:p>
        </w:tc>
        <w:tc>
          <w:tcPr>
            <w:tcW w:w="1236" w:type="dxa"/>
            <w:tcBorders>
              <w:top w:val="single" w:sz="4" w:space="0" w:color="auto"/>
              <w:bottom w:val="single" w:sz="4" w:space="0" w:color="auto"/>
            </w:tcBorders>
          </w:tcPr>
          <w:p w14:paraId="43D4C2F0" w14:textId="77777777" w:rsidR="009565D1" w:rsidRPr="00287F33" w:rsidRDefault="009565D1" w:rsidP="00287F33">
            <w:pPr>
              <w:pStyle w:val="TableText"/>
              <w:jc w:val="right"/>
              <w:rPr>
                <w:b/>
                <w:bCs/>
              </w:rPr>
            </w:pPr>
            <w:r w:rsidRPr="00287F33">
              <w:rPr>
                <w:b/>
                <w:bCs/>
              </w:rPr>
              <w:t>100</w:t>
            </w:r>
          </w:p>
        </w:tc>
      </w:tr>
    </w:tbl>
    <w:p w14:paraId="0DB63B65" w14:textId="41042CE5" w:rsidR="00DE4AD4" w:rsidRDefault="00DE4AD4" w:rsidP="00DE4AD4">
      <w:pPr>
        <w:pStyle w:val="Heading3"/>
      </w:pPr>
      <w:bookmarkStart w:id="253" w:name="_Toc233038985"/>
      <w:r w:rsidRPr="00DE4AD4">
        <w:t>Required animal commodity MRLs</w:t>
      </w:r>
      <w:bookmarkEnd w:id="253"/>
    </w:p>
    <w:p w14:paraId="18674DB4" w14:textId="73482DF7" w:rsidR="00626AB9" w:rsidRPr="00626AB9" w:rsidRDefault="00626AB9" w:rsidP="00626AB9">
      <w:pPr>
        <w:pStyle w:val="NormalText"/>
      </w:pPr>
      <w:r w:rsidRPr="00626AB9">
        <w:t>Current MRLs are *0.05 mg/kg for meat (mammalian) and edible offal (mammalian) and *0.01</w:t>
      </w:r>
      <w:r w:rsidR="00287F33">
        <w:t> </w:t>
      </w:r>
      <w:r w:rsidRPr="00626AB9">
        <w:t>mg/kg for milks. Data from the animal transfer studies indicate that a dietary intake of 100 ppm would not produce detectable residues in the meat or offal and a dietary intake of 1</w:t>
      </w:r>
      <w:r w:rsidR="00287F33">
        <w:t>,</w:t>
      </w:r>
      <w:r w:rsidRPr="00626AB9">
        <w:t>000 ppm would not produce detectable residues in the milk. The submitted residues studies support the current Table 4 entries of 100 mg/kg for Legume Animal Feeds and 30</w:t>
      </w:r>
      <w:r w:rsidR="00287F33">
        <w:t> </w:t>
      </w:r>
      <w:r w:rsidRPr="00626AB9">
        <w:t>mg/kg for Oilseed forage and fodder or a new entry to account for residues in grass pasture or cereal forage and fodder of 100 mg/kg. Therefore, finite residues in meat, offal and milks are not expected to occur based on the current maximum dietary intake for ruminants and pigs. The current mammalian commodity MRLs remain appropriate.</w:t>
      </w:r>
    </w:p>
    <w:p w14:paraId="38BC47F7" w14:textId="33186061" w:rsidR="00626AB9" w:rsidRPr="00A40F8E" w:rsidRDefault="00626AB9" w:rsidP="00A40F8E">
      <w:pPr>
        <w:pStyle w:val="Heading2"/>
      </w:pPr>
      <w:bookmarkStart w:id="254" w:name="_Toc89488093"/>
      <w:bookmarkStart w:id="255" w:name="_Toc89501503"/>
      <w:bookmarkStart w:id="256" w:name="_Toc89676037"/>
      <w:bookmarkStart w:id="257" w:name="_Toc89684506"/>
      <w:bookmarkStart w:id="258" w:name="_Toc89829964"/>
      <w:bookmarkStart w:id="259" w:name="_Toc98575822"/>
      <w:bookmarkStart w:id="260" w:name="_Toc158208457"/>
      <w:bookmarkStart w:id="261" w:name="_Toc102811227"/>
      <w:bookmarkStart w:id="262" w:name="_Toc102811551"/>
      <w:bookmarkStart w:id="263" w:name="_Toc251681934"/>
      <w:bookmarkStart w:id="264" w:name="_Toc64425221"/>
      <w:bookmarkStart w:id="265" w:name="_Toc89488091"/>
      <w:bookmarkStart w:id="266" w:name="_Toc89501501"/>
      <w:bookmarkStart w:id="267" w:name="_Toc233038986"/>
      <w:r w:rsidRPr="00A40F8E">
        <w:t>Crop rotation</w:t>
      </w:r>
      <w:bookmarkEnd w:id="254"/>
      <w:bookmarkEnd w:id="255"/>
      <w:bookmarkEnd w:id="256"/>
      <w:bookmarkEnd w:id="257"/>
      <w:bookmarkEnd w:id="258"/>
      <w:bookmarkEnd w:id="259"/>
      <w:bookmarkEnd w:id="260"/>
      <w:bookmarkEnd w:id="261"/>
      <w:bookmarkEnd w:id="262"/>
      <w:bookmarkEnd w:id="263"/>
      <w:bookmarkEnd w:id="267"/>
    </w:p>
    <w:p w14:paraId="2A21A07B" w14:textId="7CDB61B4" w:rsidR="00626AB9" w:rsidRPr="00626AB9" w:rsidRDefault="00626AB9" w:rsidP="00626AB9">
      <w:pPr>
        <w:pStyle w:val="NormalText"/>
      </w:pPr>
      <w:r w:rsidRPr="00626AB9">
        <w:t>In a confined accumulation study radiolabelled diquat was applied to soil at 1.5x the maximum Australian use rate and seeds of carrots, lettuce and wheat were planted 30, 120 and 365 days after treatment and grown to maturity. Detectable residues only occurred in the carrot leaf and wheat straw samples but were attributed to soil contamination</w:t>
      </w:r>
      <w:r w:rsidR="00F940CE">
        <w:t xml:space="preserve"> (</w:t>
      </w:r>
      <w:r w:rsidR="00F940CE" w:rsidRPr="00F940CE">
        <w:t>Lee, 1989).</w:t>
      </w:r>
    </w:p>
    <w:p w14:paraId="671648AD" w14:textId="20CABDB6" w:rsidR="00DE4AD4" w:rsidRDefault="00626AB9" w:rsidP="00626AB9">
      <w:pPr>
        <w:pStyle w:val="NormalText"/>
      </w:pPr>
      <w:r w:rsidRPr="00626AB9">
        <w:t>Additional studies were conducted where small plots of carrot, lettuce and wheat at a site in Florida</w:t>
      </w:r>
      <w:r w:rsidR="008268A7">
        <w:t xml:space="preserve"> (</w:t>
      </w:r>
      <w:r w:rsidR="008268A7" w:rsidRPr="001518DD">
        <w:t>Fujie, 1989(a))</w:t>
      </w:r>
      <w:r w:rsidR="001518DD">
        <w:t xml:space="preserve">, </w:t>
      </w:r>
      <w:r w:rsidRPr="00626AB9">
        <w:t>and small plots of carrot, lettuce and oats at a site in California</w:t>
      </w:r>
      <w:r w:rsidR="001518DD">
        <w:t xml:space="preserve"> (</w:t>
      </w:r>
      <w:r w:rsidR="001518DD" w:rsidRPr="001518DD">
        <w:t>Fujie, 1989(</w:t>
      </w:r>
      <w:r w:rsidR="001518DD">
        <w:t>b</w:t>
      </w:r>
      <w:r w:rsidR="001518DD" w:rsidRPr="001518DD">
        <w:t>))</w:t>
      </w:r>
      <w:r w:rsidRPr="00626AB9">
        <w:t xml:space="preserve"> were irrigated at approximately ¼, ½, ¾ and maturity with water containing diquat at a nominal concentration of 0.1 mg/L. Crops were sampled one day prior to the first irrigation and at maturity one day after the last irrigation, except for wheat and oats, which were allowed to dry in the field prior to harvesting as per normal agricultural practice. No diquat residues were detected in any of the crop samples analysed.</w:t>
      </w:r>
      <w:r w:rsidR="00DE4AD4">
        <w:br w:type="page"/>
      </w:r>
    </w:p>
    <w:p w14:paraId="5CEF0550" w14:textId="16B119A1" w:rsidR="00626AB9" w:rsidRPr="00626AB9" w:rsidRDefault="00626AB9" w:rsidP="00626AB9">
      <w:pPr>
        <w:pStyle w:val="NormalText"/>
      </w:pPr>
      <w:r w:rsidRPr="00626AB9">
        <w:lastRenderedPageBreak/>
        <w:t xml:space="preserve">The conclusion that diquat residues are not expected in rotational crops from the Australian use patterns </w:t>
      </w:r>
      <w:r w:rsidR="001518DD">
        <w:t>is</w:t>
      </w:r>
      <w:r w:rsidRPr="00626AB9">
        <w:t xml:space="preserve"> in line with the JMPR</w:t>
      </w:r>
      <w:r w:rsidR="001518DD">
        <w:t xml:space="preserve"> (</w:t>
      </w:r>
      <w:r w:rsidR="001518DD" w:rsidRPr="00626AB9">
        <w:t>2013</w:t>
      </w:r>
      <w:r w:rsidR="001518DD">
        <w:t>)</w:t>
      </w:r>
      <w:r w:rsidRPr="00626AB9">
        <w:t xml:space="preserve"> evaluation which concluded that crops grown in rotation with diquat-treated crops are not expected to contain residues of diquat. Diquat residues in soil should contribute little to residue levels in rotational crops.</w:t>
      </w:r>
    </w:p>
    <w:p w14:paraId="30680246" w14:textId="4ACC0812" w:rsidR="00626AB9" w:rsidRDefault="00626AB9" w:rsidP="00626AB9">
      <w:pPr>
        <w:pStyle w:val="Heading2"/>
      </w:pPr>
      <w:bookmarkStart w:id="268" w:name="_Toc64425222"/>
      <w:bookmarkStart w:id="269" w:name="_Toc89488092"/>
      <w:bookmarkStart w:id="270" w:name="_Toc89501502"/>
      <w:bookmarkStart w:id="271" w:name="_Toc89676039"/>
      <w:bookmarkStart w:id="272" w:name="_Toc89684508"/>
      <w:bookmarkStart w:id="273" w:name="_Toc89829966"/>
      <w:bookmarkStart w:id="274" w:name="_Toc98575824"/>
      <w:bookmarkStart w:id="275" w:name="_Toc102811229"/>
      <w:bookmarkStart w:id="276" w:name="_Toc102811553"/>
      <w:bookmarkStart w:id="277" w:name="_Toc251681936"/>
      <w:bookmarkStart w:id="278" w:name="_Toc158208458"/>
      <w:bookmarkStart w:id="279" w:name="_Toc501347744"/>
      <w:bookmarkStart w:id="280" w:name="_Toc233038987"/>
      <w:bookmarkEnd w:id="264"/>
      <w:bookmarkEnd w:id="265"/>
      <w:bookmarkEnd w:id="266"/>
      <w:r w:rsidRPr="0087236D">
        <w:t>Spray</w:t>
      </w:r>
      <w:r>
        <w:t xml:space="preserve"> drift</w:t>
      </w:r>
      <w:bookmarkEnd w:id="268"/>
      <w:bookmarkEnd w:id="269"/>
      <w:bookmarkEnd w:id="270"/>
      <w:bookmarkEnd w:id="271"/>
      <w:bookmarkEnd w:id="272"/>
      <w:bookmarkEnd w:id="273"/>
      <w:bookmarkEnd w:id="274"/>
      <w:bookmarkEnd w:id="275"/>
      <w:bookmarkEnd w:id="276"/>
      <w:bookmarkEnd w:id="277"/>
      <w:bookmarkEnd w:id="278"/>
      <w:r w:rsidR="001D3278">
        <w:t xml:space="preserve"> for livestock areas</w:t>
      </w:r>
      <w:bookmarkEnd w:id="280"/>
    </w:p>
    <w:bookmarkEnd w:id="279"/>
    <w:p w14:paraId="027A780F" w14:textId="36BE50BB" w:rsidR="00626AB9" w:rsidRPr="00626AB9" w:rsidRDefault="00626AB9" w:rsidP="00626AB9">
      <w:pPr>
        <w:pStyle w:val="NormalText"/>
      </w:pPr>
      <w:r w:rsidRPr="00626AB9">
        <w:t>Data from the animal transfer studies indicate that a dietary intake of 100 ppm would not produce detectable residues in the meat or offal</w:t>
      </w:r>
      <w:r w:rsidR="00CD576A">
        <w:t xml:space="preserve"> of animals grazing treated areas or fed a diet containing treated plant material</w:t>
      </w:r>
      <w:r w:rsidRPr="00626AB9">
        <w:t xml:space="preserve">. The Regulatory Acceptable </w:t>
      </w:r>
      <w:r w:rsidR="00CD576A">
        <w:t>L</w:t>
      </w:r>
      <w:r w:rsidRPr="00626AB9">
        <w:t>evel for</w:t>
      </w:r>
      <w:r w:rsidR="00CD576A">
        <w:t xml:space="preserve"> calculation of no spray downwind buffer zones for the</w:t>
      </w:r>
      <w:r w:rsidRPr="00626AB9">
        <w:t xml:space="preserve"> protection of international trade will be taken as 100 ppm.</w:t>
      </w:r>
    </w:p>
    <w:p w14:paraId="7812066A" w14:textId="77777777" w:rsidR="00626AB9" w:rsidRDefault="00626AB9" w:rsidP="007A1942">
      <w:pPr>
        <w:pStyle w:val="Heading2"/>
      </w:pPr>
      <w:bookmarkStart w:id="281" w:name="_Toc89488095"/>
      <w:bookmarkStart w:id="282" w:name="_Toc89501505"/>
      <w:bookmarkStart w:id="283" w:name="_Toc89676041"/>
      <w:bookmarkStart w:id="284" w:name="_Toc89684511"/>
      <w:bookmarkStart w:id="285" w:name="_Toc89829968"/>
      <w:bookmarkStart w:id="286" w:name="_Toc98575826"/>
      <w:bookmarkStart w:id="287" w:name="_Toc102811231"/>
      <w:bookmarkStart w:id="288" w:name="_Toc102811555"/>
      <w:bookmarkStart w:id="289" w:name="_Toc251681937"/>
      <w:bookmarkStart w:id="290" w:name="_Toc158208459"/>
      <w:bookmarkStart w:id="291" w:name="_Toc233038988"/>
      <w:r>
        <w:t xml:space="preserve">Dietary </w:t>
      </w:r>
      <w:r w:rsidRPr="0087236D">
        <w:t>risk</w:t>
      </w:r>
      <w:r>
        <w:t xml:space="preserve"> assessment</w:t>
      </w:r>
      <w:bookmarkEnd w:id="281"/>
      <w:bookmarkEnd w:id="282"/>
      <w:bookmarkEnd w:id="283"/>
      <w:bookmarkEnd w:id="284"/>
      <w:bookmarkEnd w:id="285"/>
      <w:bookmarkEnd w:id="286"/>
      <w:bookmarkEnd w:id="287"/>
      <w:bookmarkEnd w:id="288"/>
      <w:bookmarkEnd w:id="289"/>
      <w:bookmarkEnd w:id="290"/>
      <w:bookmarkEnd w:id="291"/>
    </w:p>
    <w:p w14:paraId="495D0F2E" w14:textId="77777777" w:rsidR="00626AB9" w:rsidRDefault="00626AB9" w:rsidP="007A1942">
      <w:pPr>
        <w:pStyle w:val="Heading3"/>
      </w:pPr>
      <w:bookmarkStart w:id="292" w:name="_Toc89676042"/>
      <w:bookmarkStart w:id="293" w:name="_Toc89684512"/>
      <w:bookmarkStart w:id="294" w:name="_Toc89829969"/>
      <w:bookmarkStart w:id="295" w:name="_Toc98575827"/>
      <w:bookmarkStart w:id="296" w:name="_Toc102811232"/>
      <w:bookmarkStart w:id="297" w:name="_Toc102811556"/>
      <w:bookmarkStart w:id="298" w:name="_Toc251681938"/>
      <w:bookmarkStart w:id="299" w:name="_Toc158208460"/>
      <w:bookmarkStart w:id="300" w:name="_Toc233038989"/>
      <w:r>
        <w:t>Chronic dietary exposure assessment</w:t>
      </w:r>
      <w:bookmarkEnd w:id="292"/>
      <w:bookmarkEnd w:id="293"/>
      <w:bookmarkEnd w:id="294"/>
      <w:bookmarkEnd w:id="295"/>
      <w:bookmarkEnd w:id="296"/>
      <w:bookmarkEnd w:id="297"/>
      <w:bookmarkEnd w:id="298"/>
      <w:bookmarkEnd w:id="299"/>
      <w:bookmarkEnd w:id="300"/>
    </w:p>
    <w:p w14:paraId="121C2AE2" w14:textId="562F59FF" w:rsidR="00626AB9" w:rsidRDefault="00626AB9" w:rsidP="00626AB9">
      <w:pPr>
        <w:pStyle w:val="NormalText"/>
      </w:pPr>
      <w:r>
        <w:t>The chronic dietary exposure to diquat is estimated by the National Estimated Daily Intake (NEDI) calculation encompassing all registered/temporary uses of the chemical and the mean daily dietary consumption data derived primarily from the 2011</w:t>
      </w:r>
      <w:r w:rsidR="00287F33">
        <w:t>–</w:t>
      </w:r>
      <w:r>
        <w:t>12 National Nutritional and Physical Activity Survey. The NEDI calculation is made in accordance with WHO Guidelines and is a conservative estimate of dietary exposure to chemical residues in food. The NEDI for diquat is equivalent to &lt;30% of the ADI.</w:t>
      </w:r>
    </w:p>
    <w:p w14:paraId="4144BD50" w14:textId="77777777" w:rsidR="00626AB9" w:rsidRPr="00DE4AD4" w:rsidRDefault="00626AB9" w:rsidP="00DE4AD4">
      <w:pPr>
        <w:pStyle w:val="NormalText"/>
      </w:pPr>
      <w:r w:rsidRPr="00DE4AD4">
        <w:t>It is concluded that the chronic dietary exposure of diquat is acceptable.</w:t>
      </w:r>
    </w:p>
    <w:p w14:paraId="237D9DF9" w14:textId="77777777" w:rsidR="00626AB9" w:rsidRDefault="00626AB9" w:rsidP="007A1942">
      <w:pPr>
        <w:pStyle w:val="Heading3"/>
      </w:pPr>
      <w:bookmarkStart w:id="301" w:name="_Toc89676043"/>
      <w:bookmarkStart w:id="302" w:name="_Toc89684513"/>
      <w:bookmarkStart w:id="303" w:name="_Toc89829970"/>
      <w:bookmarkStart w:id="304" w:name="_Toc98575828"/>
      <w:bookmarkStart w:id="305" w:name="_Toc102811233"/>
      <w:bookmarkStart w:id="306" w:name="_Toc102811557"/>
      <w:bookmarkStart w:id="307" w:name="_Toc251681939"/>
      <w:bookmarkStart w:id="308" w:name="_Toc158208461"/>
      <w:bookmarkStart w:id="309" w:name="_Toc233038990"/>
      <w:r>
        <w:t>Acute dietary exposure assessment</w:t>
      </w:r>
      <w:bookmarkEnd w:id="301"/>
      <w:bookmarkEnd w:id="302"/>
      <w:bookmarkEnd w:id="303"/>
      <w:bookmarkEnd w:id="304"/>
      <w:bookmarkEnd w:id="305"/>
      <w:bookmarkEnd w:id="306"/>
      <w:bookmarkEnd w:id="307"/>
      <w:bookmarkEnd w:id="308"/>
      <w:bookmarkEnd w:id="309"/>
    </w:p>
    <w:p w14:paraId="25221DDE" w14:textId="460360A1" w:rsidR="00626AB9" w:rsidRPr="00882020" w:rsidRDefault="00626AB9" w:rsidP="00626AB9">
      <w:pPr>
        <w:pStyle w:val="NormalText"/>
      </w:pPr>
      <w:r>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287F33">
        <w:t>–</w:t>
      </w:r>
      <w:r>
        <w:t xml:space="preserve">12 National Nutritional and Physical Activity Survey. NESTI calculations are </w:t>
      </w:r>
      <w:r w:rsidRPr="00882020">
        <w:t>conservative estimates of short-term exposure (24 hour period) to chemical residues in food.</w:t>
      </w:r>
    </w:p>
    <w:p w14:paraId="4C97A2D1" w14:textId="0A9ED65C" w:rsidR="00626AB9" w:rsidRDefault="00626AB9" w:rsidP="00626AB9">
      <w:pPr>
        <w:pStyle w:val="NormalText"/>
      </w:pPr>
      <w:r>
        <w:t xml:space="preserve">The highest acute dietary intake was estimated </w:t>
      </w:r>
      <w:r w:rsidRPr="000F0310">
        <w:t xml:space="preserve">at &lt;10% </w:t>
      </w:r>
      <w:r>
        <w:t>of the ARfD. It is concluded that the acute dietary exposure is acceptable.</w:t>
      </w:r>
    </w:p>
    <w:p w14:paraId="7BB32835" w14:textId="54947EC2" w:rsidR="00626AB9" w:rsidRPr="00DE4AD4" w:rsidRDefault="0076271C" w:rsidP="00DE4AD4">
      <w:pPr>
        <w:pStyle w:val="Heading2"/>
      </w:pPr>
      <w:bookmarkStart w:id="310" w:name="_Residue_related_aspects"/>
      <w:bookmarkStart w:id="311" w:name="_Toc89488096"/>
      <w:bookmarkStart w:id="312" w:name="_Toc89501506"/>
      <w:bookmarkStart w:id="313" w:name="_Toc89676044"/>
      <w:bookmarkStart w:id="314" w:name="_Toc89684514"/>
      <w:bookmarkStart w:id="315" w:name="_Toc89829971"/>
      <w:bookmarkStart w:id="316" w:name="_Toc98575829"/>
      <w:bookmarkStart w:id="317" w:name="_Toc102811234"/>
      <w:bookmarkStart w:id="318" w:name="_Toc102811558"/>
      <w:bookmarkStart w:id="319" w:name="_Toc251681940"/>
      <w:bookmarkStart w:id="320" w:name="_Toc158208462"/>
      <w:bookmarkStart w:id="321" w:name="_Ref160782892"/>
      <w:bookmarkEnd w:id="310"/>
      <w:r w:rsidRPr="00DE4AD4">
        <w:lastRenderedPageBreak/>
        <w:t xml:space="preserve"> </w:t>
      </w:r>
      <w:bookmarkStart w:id="322" w:name="_Toc233038991"/>
      <w:r w:rsidR="00626AB9" w:rsidRPr="00DE4AD4">
        <w:t>Residue related aspects of trade</w:t>
      </w:r>
      <w:bookmarkEnd w:id="311"/>
      <w:bookmarkEnd w:id="312"/>
      <w:bookmarkEnd w:id="313"/>
      <w:bookmarkEnd w:id="314"/>
      <w:bookmarkEnd w:id="315"/>
      <w:bookmarkEnd w:id="316"/>
      <w:bookmarkEnd w:id="317"/>
      <w:bookmarkEnd w:id="318"/>
      <w:bookmarkEnd w:id="319"/>
      <w:bookmarkEnd w:id="320"/>
      <w:bookmarkEnd w:id="321"/>
      <w:bookmarkEnd w:id="322"/>
    </w:p>
    <w:p w14:paraId="231A8333" w14:textId="75E36794" w:rsidR="00626AB9" w:rsidRDefault="00626AB9" w:rsidP="00D2528E">
      <w:pPr>
        <w:pStyle w:val="NormalText"/>
      </w:pPr>
      <w:r>
        <w:t>The overseas MRLs</w:t>
      </w:r>
      <w:r w:rsidR="00CE3BBF">
        <w:t xml:space="preserve"> presented in </w:t>
      </w:r>
      <w:r w:rsidR="00CE3BBF">
        <w:fldChar w:fldCharType="begin" w:fldLock="1"/>
      </w:r>
      <w:r w:rsidR="00CE3BBF">
        <w:instrText xml:space="preserve"> REF _Ref168672395 \h </w:instrText>
      </w:r>
      <w:r w:rsidR="00CE3BBF">
        <w:fldChar w:fldCharType="separate"/>
      </w:r>
      <w:r w:rsidR="0033298E">
        <w:t xml:space="preserve">Table </w:t>
      </w:r>
      <w:r w:rsidR="0033298E">
        <w:rPr>
          <w:noProof/>
        </w:rPr>
        <w:t>18</w:t>
      </w:r>
      <w:r w:rsidR="00CE3BBF">
        <w:fldChar w:fldCharType="end"/>
      </w:r>
      <w:r>
        <w:t xml:space="preserve"> are established for commodities considered to be major export commodities.</w:t>
      </w:r>
    </w:p>
    <w:p w14:paraId="0AB60438" w14:textId="2006A3C2" w:rsidR="00CD576A" w:rsidRPr="000179FF" w:rsidRDefault="00CD576A" w:rsidP="000179FF">
      <w:pPr>
        <w:pStyle w:val="Caption"/>
      </w:pPr>
      <w:bookmarkStart w:id="323" w:name="_Ref168672395"/>
      <w:bookmarkStart w:id="324" w:name="_Toc232589613"/>
      <w:r w:rsidRPr="000179FF">
        <w:t xml:space="preserve">Table </w:t>
      </w:r>
      <w:fldSimple w:instr=" SEQ Table \* ARABIC ">
        <w:r w:rsidR="000179FF">
          <w:rPr>
            <w:noProof/>
          </w:rPr>
          <w:t>18</w:t>
        </w:r>
      </w:fldSimple>
      <w:bookmarkEnd w:id="323"/>
      <w:r w:rsidRPr="000179FF">
        <w:t xml:space="preserve">: </w:t>
      </w:r>
      <w:r w:rsidR="00A573E8" w:rsidRPr="000179FF">
        <w:t>International MRLs for Australian major export commodities</w:t>
      </w:r>
      <w:r w:rsidR="003C1FC8" w:rsidRPr="000179FF">
        <w:t xml:space="preserve"> (December 2023)</w:t>
      </w:r>
      <w:bookmarkEnd w:id="32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419"/>
        <w:gridCol w:w="1133"/>
        <w:gridCol w:w="1275"/>
        <w:gridCol w:w="1277"/>
        <w:gridCol w:w="1133"/>
        <w:gridCol w:w="1001"/>
        <w:gridCol w:w="1232"/>
      </w:tblGrid>
      <w:tr w:rsidR="001465E1" w:rsidRPr="005F0C5B" w14:paraId="4614498C" w14:textId="77777777" w:rsidTr="001465E1">
        <w:trPr>
          <w:trHeight w:val="448"/>
          <w:tblHeader/>
        </w:trPr>
        <w:tc>
          <w:tcPr>
            <w:tcW w:w="702" w:type="pct"/>
            <w:tcBorders>
              <w:top w:val="single" w:sz="4" w:space="0" w:color="auto"/>
              <w:bottom w:val="single" w:sz="4" w:space="0" w:color="auto"/>
            </w:tcBorders>
            <w:shd w:val="clear" w:color="auto" w:fill="5C2946"/>
          </w:tcPr>
          <w:p w14:paraId="7A530E30" w14:textId="77777777" w:rsidR="00D2528E" w:rsidRPr="00D2528E" w:rsidRDefault="00D2528E" w:rsidP="00D2528E">
            <w:pPr>
              <w:pStyle w:val="TableHead"/>
            </w:pPr>
            <w:r w:rsidRPr="00D2528E">
              <w:t>Commodity</w:t>
            </w:r>
          </w:p>
        </w:tc>
        <w:tc>
          <w:tcPr>
            <w:tcW w:w="720" w:type="pct"/>
            <w:tcBorders>
              <w:top w:val="single" w:sz="4" w:space="0" w:color="auto"/>
              <w:bottom w:val="single" w:sz="4" w:space="0" w:color="auto"/>
            </w:tcBorders>
            <w:shd w:val="clear" w:color="auto" w:fill="5C2946"/>
          </w:tcPr>
          <w:p w14:paraId="5F5437AE" w14:textId="77777777" w:rsidR="00D2528E" w:rsidRPr="00D2528E" w:rsidRDefault="00D2528E" w:rsidP="00D2528E">
            <w:pPr>
              <w:pStyle w:val="TableHead"/>
            </w:pPr>
            <w:r w:rsidRPr="00D2528E">
              <w:t>Australia</w:t>
            </w:r>
          </w:p>
        </w:tc>
        <w:tc>
          <w:tcPr>
            <w:tcW w:w="575" w:type="pct"/>
            <w:tcBorders>
              <w:top w:val="single" w:sz="4" w:space="0" w:color="auto"/>
              <w:bottom w:val="single" w:sz="4" w:space="0" w:color="auto"/>
            </w:tcBorders>
            <w:shd w:val="clear" w:color="auto" w:fill="5C2946"/>
          </w:tcPr>
          <w:p w14:paraId="3CE8EBF2" w14:textId="574642B9" w:rsidR="00D2528E" w:rsidRPr="00D2528E" w:rsidRDefault="00D2528E" w:rsidP="00D2528E">
            <w:pPr>
              <w:pStyle w:val="TableHead"/>
            </w:pPr>
            <w:r w:rsidRPr="00D2528E">
              <w:t>Codex</w:t>
            </w:r>
            <w:r w:rsidR="00E61669">
              <w:rPr>
                <w:rFonts w:ascii="ZWAdobeF" w:hAnsi="ZWAdobeF" w:cs="ZWAdobeF"/>
                <w:color w:val="auto"/>
                <w:spacing w:val="0"/>
                <w:sz w:val="2"/>
                <w:szCs w:val="2"/>
              </w:rPr>
              <w:t>14F</w:t>
            </w:r>
            <w:r w:rsidR="00602535">
              <w:rPr>
                <w:rFonts w:ascii="ZWAdobeF" w:hAnsi="ZWAdobeF" w:cs="ZWAdobeF"/>
                <w:color w:val="auto"/>
                <w:spacing w:val="0"/>
                <w:sz w:val="2"/>
                <w:szCs w:val="2"/>
              </w:rPr>
              <w:t>15F</w:t>
            </w:r>
            <w:r w:rsidRPr="00D2528E">
              <w:rPr>
                <w:rStyle w:val="FootnoteReference"/>
              </w:rPr>
              <w:footnoteReference w:id="17"/>
            </w:r>
          </w:p>
        </w:tc>
        <w:tc>
          <w:tcPr>
            <w:tcW w:w="647" w:type="pct"/>
            <w:tcBorders>
              <w:top w:val="single" w:sz="4" w:space="0" w:color="auto"/>
              <w:bottom w:val="single" w:sz="4" w:space="0" w:color="auto"/>
            </w:tcBorders>
            <w:shd w:val="clear" w:color="auto" w:fill="5C2946"/>
          </w:tcPr>
          <w:p w14:paraId="4EB085AB" w14:textId="3D7A9537" w:rsidR="00D2528E" w:rsidRPr="00D2528E" w:rsidRDefault="00D2528E" w:rsidP="00D2528E">
            <w:pPr>
              <w:pStyle w:val="TableHead"/>
            </w:pPr>
            <w:r w:rsidRPr="00D2528E">
              <w:t>EU</w:t>
            </w:r>
            <w:r w:rsidR="00E61669">
              <w:rPr>
                <w:rFonts w:ascii="ZWAdobeF" w:hAnsi="ZWAdobeF" w:cs="ZWAdobeF"/>
                <w:color w:val="auto"/>
                <w:spacing w:val="0"/>
                <w:sz w:val="2"/>
                <w:szCs w:val="2"/>
              </w:rPr>
              <w:t>15F</w:t>
            </w:r>
            <w:r w:rsidR="00602535">
              <w:rPr>
                <w:rFonts w:ascii="ZWAdobeF" w:hAnsi="ZWAdobeF" w:cs="ZWAdobeF"/>
                <w:color w:val="auto"/>
                <w:spacing w:val="0"/>
                <w:sz w:val="2"/>
                <w:szCs w:val="2"/>
              </w:rPr>
              <w:t>16F</w:t>
            </w:r>
            <w:r w:rsidRPr="00D2528E">
              <w:rPr>
                <w:rStyle w:val="FootnoteReference"/>
              </w:rPr>
              <w:footnoteReference w:id="18"/>
            </w:r>
          </w:p>
        </w:tc>
        <w:tc>
          <w:tcPr>
            <w:tcW w:w="648" w:type="pct"/>
            <w:tcBorders>
              <w:top w:val="single" w:sz="4" w:space="0" w:color="auto"/>
              <w:bottom w:val="single" w:sz="4" w:space="0" w:color="auto"/>
            </w:tcBorders>
            <w:shd w:val="clear" w:color="auto" w:fill="5C2946"/>
          </w:tcPr>
          <w:p w14:paraId="6504DA65" w14:textId="22BB28F0" w:rsidR="00D2528E" w:rsidRPr="00D2528E" w:rsidRDefault="00D2528E" w:rsidP="00D2528E">
            <w:pPr>
              <w:pStyle w:val="TableHead"/>
            </w:pPr>
            <w:r w:rsidRPr="00D2528E">
              <w:t>Japan</w:t>
            </w:r>
            <w:r w:rsidR="00E61669">
              <w:rPr>
                <w:rFonts w:ascii="ZWAdobeF" w:hAnsi="ZWAdobeF" w:cs="ZWAdobeF"/>
                <w:color w:val="auto"/>
                <w:spacing w:val="0"/>
                <w:sz w:val="2"/>
                <w:szCs w:val="2"/>
              </w:rPr>
              <w:t>16F</w:t>
            </w:r>
            <w:r w:rsidR="00602535">
              <w:rPr>
                <w:rFonts w:ascii="ZWAdobeF" w:hAnsi="ZWAdobeF" w:cs="ZWAdobeF"/>
                <w:color w:val="auto"/>
                <w:spacing w:val="0"/>
                <w:sz w:val="2"/>
                <w:szCs w:val="2"/>
              </w:rPr>
              <w:t>17F</w:t>
            </w:r>
            <w:r w:rsidRPr="00D2528E">
              <w:rPr>
                <w:rStyle w:val="FootnoteReference"/>
              </w:rPr>
              <w:footnoteReference w:id="19"/>
            </w:r>
          </w:p>
        </w:tc>
        <w:tc>
          <w:tcPr>
            <w:tcW w:w="575" w:type="pct"/>
            <w:tcBorders>
              <w:top w:val="single" w:sz="4" w:space="0" w:color="auto"/>
              <w:bottom w:val="single" w:sz="4" w:space="0" w:color="auto"/>
            </w:tcBorders>
            <w:shd w:val="clear" w:color="auto" w:fill="5C2946"/>
          </w:tcPr>
          <w:p w14:paraId="063B3667" w14:textId="011E3D62" w:rsidR="00D2528E" w:rsidRPr="00D2528E" w:rsidRDefault="00D2528E" w:rsidP="00D2528E">
            <w:pPr>
              <w:pStyle w:val="TableHead"/>
            </w:pPr>
            <w:r w:rsidRPr="00D2528E">
              <w:t>Korea</w:t>
            </w:r>
            <w:r w:rsidR="00E61669">
              <w:rPr>
                <w:rFonts w:ascii="ZWAdobeF" w:hAnsi="ZWAdobeF" w:cs="ZWAdobeF"/>
                <w:color w:val="auto"/>
                <w:spacing w:val="0"/>
                <w:sz w:val="2"/>
                <w:szCs w:val="2"/>
              </w:rPr>
              <w:t>17F</w:t>
            </w:r>
            <w:r w:rsidR="00602535">
              <w:rPr>
                <w:rFonts w:ascii="ZWAdobeF" w:hAnsi="ZWAdobeF" w:cs="ZWAdobeF"/>
                <w:color w:val="auto"/>
                <w:spacing w:val="0"/>
                <w:sz w:val="2"/>
                <w:szCs w:val="2"/>
              </w:rPr>
              <w:t>18F</w:t>
            </w:r>
            <w:r w:rsidRPr="00D2528E">
              <w:rPr>
                <w:rStyle w:val="FootnoteReference"/>
              </w:rPr>
              <w:footnoteReference w:id="20"/>
            </w:r>
          </w:p>
        </w:tc>
        <w:tc>
          <w:tcPr>
            <w:tcW w:w="508" w:type="pct"/>
            <w:tcBorders>
              <w:top w:val="single" w:sz="4" w:space="0" w:color="auto"/>
              <w:bottom w:val="single" w:sz="4" w:space="0" w:color="auto"/>
            </w:tcBorders>
            <w:shd w:val="clear" w:color="auto" w:fill="5C2946"/>
          </w:tcPr>
          <w:p w14:paraId="28A2BB80" w14:textId="002582F1" w:rsidR="00D2528E" w:rsidRPr="00D2528E" w:rsidRDefault="00D2528E" w:rsidP="00D2528E">
            <w:pPr>
              <w:pStyle w:val="TableHead"/>
            </w:pPr>
            <w:r w:rsidRPr="00D2528E">
              <w:t>Taiwan</w:t>
            </w:r>
            <w:r w:rsidR="00E61669">
              <w:rPr>
                <w:rFonts w:ascii="ZWAdobeF" w:hAnsi="ZWAdobeF" w:cs="ZWAdobeF"/>
                <w:color w:val="auto"/>
                <w:spacing w:val="0"/>
                <w:sz w:val="2"/>
                <w:szCs w:val="2"/>
              </w:rPr>
              <w:t>18F</w:t>
            </w:r>
            <w:r w:rsidR="00602535">
              <w:rPr>
                <w:rFonts w:ascii="ZWAdobeF" w:hAnsi="ZWAdobeF" w:cs="ZWAdobeF"/>
                <w:color w:val="auto"/>
                <w:spacing w:val="0"/>
                <w:sz w:val="2"/>
                <w:szCs w:val="2"/>
              </w:rPr>
              <w:t>19F</w:t>
            </w:r>
            <w:r w:rsidRPr="00D2528E">
              <w:rPr>
                <w:rStyle w:val="FootnoteReference"/>
              </w:rPr>
              <w:footnoteReference w:id="21"/>
            </w:r>
          </w:p>
        </w:tc>
        <w:tc>
          <w:tcPr>
            <w:tcW w:w="625" w:type="pct"/>
            <w:tcBorders>
              <w:top w:val="single" w:sz="4" w:space="0" w:color="auto"/>
              <w:bottom w:val="single" w:sz="4" w:space="0" w:color="auto"/>
            </w:tcBorders>
            <w:shd w:val="clear" w:color="auto" w:fill="5C2946"/>
          </w:tcPr>
          <w:p w14:paraId="05FFEC2E" w14:textId="3A1CFCB8" w:rsidR="00D2528E" w:rsidRPr="00D2528E" w:rsidRDefault="00D2528E" w:rsidP="00D2528E">
            <w:pPr>
              <w:pStyle w:val="TableHead"/>
            </w:pPr>
            <w:r w:rsidRPr="00D2528E">
              <w:t>USA</w:t>
            </w:r>
            <w:r w:rsidR="00E61669">
              <w:rPr>
                <w:rFonts w:ascii="ZWAdobeF" w:hAnsi="ZWAdobeF" w:cs="ZWAdobeF"/>
                <w:color w:val="auto"/>
                <w:spacing w:val="0"/>
                <w:sz w:val="2"/>
                <w:szCs w:val="2"/>
              </w:rPr>
              <w:t>19F</w:t>
            </w:r>
            <w:r w:rsidR="00602535">
              <w:rPr>
                <w:rFonts w:ascii="ZWAdobeF" w:hAnsi="ZWAdobeF" w:cs="ZWAdobeF"/>
                <w:color w:val="auto"/>
                <w:spacing w:val="0"/>
                <w:sz w:val="2"/>
                <w:szCs w:val="2"/>
              </w:rPr>
              <w:t>20F</w:t>
            </w:r>
            <w:r w:rsidRPr="00D2528E">
              <w:rPr>
                <w:rStyle w:val="FootnoteReference"/>
              </w:rPr>
              <w:footnoteReference w:id="22"/>
            </w:r>
          </w:p>
        </w:tc>
      </w:tr>
      <w:tr w:rsidR="001465E1" w:rsidRPr="0058714E" w14:paraId="0BD814B8" w14:textId="77777777" w:rsidTr="001465E1">
        <w:tc>
          <w:tcPr>
            <w:tcW w:w="702" w:type="pct"/>
            <w:tcBorders>
              <w:top w:val="single" w:sz="4" w:space="0" w:color="auto"/>
              <w:bottom w:val="single" w:sz="4" w:space="0" w:color="auto"/>
            </w:tcBorders>
          </w:tcPr>
          <w:p w14:paraId="1356597A" w14:textId="77777777" w:rsidR="001465E1" w:rsidRPr="00376706" w:rsidRDefault="001465E1" w:rsidP="001465E1">
            <w:pPr>
              <w:pStyle w:val="TableText"/>
            </w:pPr>
            <w:r w:rsidRPr="00376706">
              <w:t>Residue definition</w:t>
            </w:r>
          </w:p>
        </w:tc>
        <w:tc>
          <w:tcPr>
            <w:tcW w:w="720" w:type="pct"/>
            <w:tcBorders>
              <w:top w:val="single" w:sz="4" w:space="0" w:color="auto"/>
              <w:bottom w:val="single" w:sz="4" w:space="0" w:color="auto"/>
            </w:tcBorders>
          </w:tcPr>
          <w:p w14:paraId="72B35A16" w14:textId="77777777" w:rsidR="001465E1" w:rsidRPr="00376706" w:rsidRDefault="001465E1" w:rsidP="001465E1">
            <w:pPr>
              <w:pStyle w:val="TableText"/>
            </w:pPr>
            <w:r w:rsidRPr="00376706">
              <w:t>Diquat cation</w:t>
            </w:r>
          </w:p>
        </w:tc>
        <w:tc>
          <w:tcPr>
            <w:tcW w:w="575" w:type="pct"/>
            <w:tcBorders>
              <w:top w:val="single" w:sz="4" w:space="0" w:color="auto"/>
              <w:bottom w:val="single" w:sz="4" w:space="0" w:color="auto"/>
            </w:tcBorders>
          </w:tcPr>
          <w:p w14:paraId="6593E3BE" w14:textId="77777777" w:rsidR="001465E1" w:rsidRPr="00376706" w:rsidRDefault="001465E1" w:rsidP="001465E1">
            <w:pPr>
              <w:pStyle w:val="TableText"/>
            </w:pPr>
            <w:r w:rsidRPr="00376706">
              <w:t>Diquat ion</w:t>
            </w:r>
          </w:p>
        </w:tc>
        <w:tc>
          <w:tcPr>
            <w:tcW w:w="647" w:type="pct"/>
            <w:tcBorders>
              <w:top w:val="single" w:sz="4" w:space="0" w:color="auto"/>
              <w:bottom w:val="single" w:sz="4" w:space="0" w:color="auto"/>
            </w:tcBorders>
          </w:tcPr>
          <w:p w14:paraId="7594E3A3" w14:textId="77777777" w:rsidR="001465E1" w:rsidRPr="00376706" w:rsidRDefault="001465E1" w:rsidP="001465E1">
            <w:pPr>
              <w:pStyle w:val="TableText"/>
            </w:pPr>
            <w:r w:rsidRPr="00376706">
              <w:t>Diquat</w:t>
            </w:r>
          </w:p>
        </w:tc>
        <w:tc>
          <w:tcPr>
            <w:tcW w:w="648" w:type="pct"/>
            <w:tcBorders>
              <w:top w:val="single" w:sz="4" w:space="0" w:color="auto"/>
              <w:bottom w:val="single" w:sz="4" w:space="0" w:color="auto"/>
            </w:tcBorders>
          </w:tcPr>
          <w:p w14:paraId="6BEDC877" w14:textId="77777777" w:rsidR="001465E1" w:rsidRPr="00376706" w:rsidRDefault="001465E1" w:rsidP="001465E1">
            <w:pPr>
              <w:pStyle w:val="TableText"/>
            </w:pPr>
            <w:r w:rsidRPr="00376706">
              <w:t>Diquat</w:t>
            </w:r>
            <w:r>
              <w:t xml:space="preserve"> ion</w:t>
            </w:r>
          </w:p>
        </w:tc>
        <w:tc>
          <w:tcPr>
            <w:tcW w:w="575" w:type="pct"/>
            <w:tcBorders>
              <w:top w:val="single" w:sz="4" w:space="0" w:color="auto"/>
              <w:bottom w:val="single" w:sz="4" w:space="0" w:color="auto"/>
            </w:tcBorders>
          </w:tcPr>
          <w:p w14:paraId="1C307EEF" w14:textId="7FE89CC4"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0B825A7D" w14:textId="328144E6"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22D621B6" w14:textId="77777777" w:rsidR="001465E1" w:rsidRPr="00376706" w:rsidRDefault="001465E1" w:rsidP="001465E1">
            <w:pPr>
              <w:pStyle w:val="TableText"/>
            </w:pPr>
            <w:r w:rsidRPr="00376706">
              <w:t>Calculated as the cation</w:t>
            </w:r>
          </w:p>
        </w:tc>
      </w:tr>
      <w:tr w:rsidR="001465E1" w:rsidRPr="0058714E" w14:paraId="610C245E" w14:textId="77777777" w:rsidTr="001465E1">
        <w:tc>
          <w:tcPr>
            <w:tcW w:w="702" w:type="pct"/>
            <w:tcBorders>
              <w:top w:val="single" w:sz="4" w:space="0" w:color="auto"/>
              <w:bottom w:val="single" w:sz="4" w:space="0" w:color="auto"/>
            </w:tcBorders>
          </w:tcPr>
          <w:p w14:paraId="7B9F82E6" w14:textId="77777777" w:rsidR="001465E1" w:rsidRPr="00376706" w:rsidRDefault="001465E1" w:rsidP="001465E1">
            <w:pPr>
              <w:pStyle w:val="TableText"/>
            </w:pPr>
            <w:r w:rsidRPr="00376706">
              <w:t>Barley</w:t>
            </w:r>
          </w:p>
        </w:tc>
        <w:tc>
          <w:tcPr>
            <w:tcW w:w="720" w:type="pct"/>
            <w:tcBorders>
              <w:top w:val="single" w:sz="4" w:space="0" w:color="auto"/>
              <w:bottom w:val="single" w:sz="4" w:space="0" w:color="auto"/>
            </w:tcBorders>
          </w:tcPr>
          <w:p w14:paraId="316DAA44" w14:textId="77777777" w:rsidR="001465E1" w:rsidRPr="00376706" w:rsidRDefault="001465E1" w:rsidP="001465E1">
            <w:pPr>
              <w:pStyle w:val="TableText"/>
            </w:pPr>
            <w:r w:rsidRPr="00376706">
              <w:t>5 (current)</w:t>
            </w:r>
          </w:p>
        </w:tc>
        <w:tc>
          <w:tcPr>
            <w:tcW w:w="575" w:type="pct"/>
            <w:tcBorders>
              <w:top w:val="single" w:sz="4" w:space="0" w:color="auto"/>
              <w:bottom w:val="single" w:sz="4" w:space="0" w:color="auto"/>
            </w:tcBorders>
          </w:tcPr>
          <w:p w14:paraId="5729BE28" w14:textId="77777777" w:rsidR="001465E1" w:rsidRPr="00376706" w:rsidRDefault="001465E1" w:rsidP="001465E1">
            <w:pPr>
              <w:pStyle w:val="TableText"/>
            </w:pPr>
            <w:r w:rsidRPr="00376706">
              <w:t>5</w:t>
            </w:r>
          </w:p>
        </w:tc>
        <w:tc>
          <w:tcPr>
            <w:tcW w:w="647" w:type="pct"/>
            <w:tcBorders>
              <w:top w:val="single" w:sz="4" w:space="0" w:color="auto"/>
              <w:bottom w:val="single" w:sz="4" w:space="0" w:color="auto"/>
            </w:tcBorders>
          </w:tcPr>
          <w:p w14:paraId="7770DAFF"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3F8E5A01" w14:textId="77777777" w:rsidR="001465E1" w:rsidRPr="00376706" w:rsidRDefault="001465E1" w:rsidP="001465E1">
            <w:pPr>
              <w:pStyle w:val="TableText"/>
            </w:pPr>
            <w:r w:rsidRPr="00376706">
              <w:t>5</w:t>
            </w:r>
          </w:p>
        </w:tc>
        <w:tc>
          <w:tcPr>
            <w:tcW w:w="575" w:type="pct"/>
            <w:tcBorders>
              <w:top w:val="single" w:sz="4" w:space="0" w:color="auto"/>
              <w:bottom w:val="single" w:sz="4" w:space="0" w:color="auto"/>
            </w:tcBorders>
          </w:tcPr>
          <w:p w14:paraId="531FAB75" w14:textId="4F8EF05B"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01019235" w14:textId="538C0ACB"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3452A18B" w14:textId="77777777" w:rsidR="001465E1" w:rsidRPr="00376706" w:rsidRDefault="001465E1" w:rsidP="001465E1">
            <w:pPr>
              <w:pStyle w:val="TableText"/>
            </w:pPr>
            <w:r w:rsidRPr="00376706">
              <w:t>0.02 (cereal grain)</w:t>
            </w:r>
          </w:p>
        </w:tc>
      </w:tr>
      <w:tr w:rsidR="001465E1" w:rsidRPr="0058714E" w14:paraId="03FC5A4F" w14:textId="77777777" w:rsidTr="001465E1">
        <w:tc>
          <w:tcPr>
            <w:tcW w:w="702" w:type="pct"/>
            <w:tcBorders>
              <w:top w:val="single" w:sz="4" w:space="0" w:color="auto"/>
              <w:bottom w:val="single" w:sz="4" w:space="0" w:color="auto"/>
            </w:tcBorders>
          </w:tcPr>
          <w:p w14:paraId="29DC0B72" w14:textId="77777777" w:rsidR="001465E1" w:rsidRPr="00376706" w:rsidRDefault="001465E1" w:rsidP="001465E1">
            <w:pPr>
              <w:pStyle w:val="TableText"/>
            </w:pPr>
            <w:r w:rsidRPr="00376706">
              <w:t>Oats</w:t>
            </w:r>
          </w:p>
        </w:tc>
        <w:tc>
          <w:tcPr>
            <w:tcW w:w="720" w:type="pct"/>
            <w:tcBorders>
              <w:top w:val="single" w:sz="4" w:space="0" w:color="auto"/>
              <w:bottom w:val="single" w:sz="4" w:space="0" w:color="auto"/>
            </w:tcBorders>
          </w:tcPr>
          <w:p w14:paraId="79AFD5C0" w14:textId="77777777" w:rsidR="001465E1" w:rsidRDefault="001465E1" w:rsidP="001465E1">
            <w:pPr>
              <w:pStyle w:val="TableText"/>
            </w:pPr>
            <w:r w:rsidRPr="00376706">
              <w:t>5 (current)</w:t>
            </w:r>
          </w:p>
          <w:p w14:paraId="69A80F93" w14:textId="77777777" w:rsidR="001465E1" w:rsidRPr="00376706" w:rsidRDefault="001465E1" w:rsidP="001465E1">
            <w:pPr>
              <w:pStyle w:val="TableText"/>
            </w:pPr>
            <w:r>
              <w:t>2 (proposed)</w:t>
            </w:r>
          </w:p>
        </w:tc>
        <w:tc>
          <w:tcPr>
            <w:tcW w:w="575" w:type="pct"/>
            <w:tcBorders>
              <w:top w:val="single" w:sz="4" w:space="0" w:color="auto"/>
              <w:bottom w:val="single" w:sz="4" w:space="0" w:color="auto"/>
            </w:tcBorders>
          </w:tcPr>
          <w:p w14:paraId="6F6A58BC" w14:textId="62F05173" w:rsidR="001465E1" w:rsidRPr="00376706" w:rsidRDefault="001465E1" w:rsidP="001465E1">
            <w:pPr>
              <w:pStyle w:val="TableText"/>
              <w:rPr>
                <w:strike/>
              </w:rPr>
            </w:pPr>
            <w:r w:rsidRPr="00076809">
              <w:t>–</w:t>
            </w:r>
          </w:p>
        </w:tc>
        <w:tc>
          <w:tcPr>
            <w:tcW w:w="647" w:type="pct"/>
            <w:tcBorders>
              <w:top w:val="single" w:sz="4" w:space="0" w:color="auto"/>
              <w:bottom w:val="single" w:sz="4" w:space="0" w:color="auto"/>
            </w:tcBorders>
          </w:tcPr>
          <w:p w14:paraId="5DDB186F" w14:textId="77777777" w:rsidR="001465E1" w:rsidRPr="00376706" w:rsidRDefault="001465E1" w:rsidP="001465E1">
            <w:pPr>
              <w:pStyle w:val="TableText"/>
            </w:pPr>
            <w:r w:rsidRPr="00376706">
              <w:t>2</w:t>
            </w:r>
          </w:p>
        </w:tc>
        <w:tc>
          <w:tcPr>
            <w:tcW w:w="648" w:type="pct"/>
            <w:tcBorders>
              <w:top w:val="single" w:sz="4" w:space="0" w:color="auto"/>
              <w:bottom w:val="single" w:sz="4" w:space="0" w:color="auto"/>
            </w:tcBorders>
          </w:tcPr>
          <w:p w14:paraId="39454925" w14:textId="77777777" w:rsidR="001465E1" w:rsidRPr="00376706" w:rsidRDefault="001465E1" w:rsidP="001465E1">
            <w:pPr>
              <w:pStyle w:val="TableText"/>
            </w:pPr>
            <w:r w:rsidRPr="00376706">
              <w:t>2 (other cereal grains)</w:t>
            </w:r>
          </w:p>
        </w:tc>
        <w:tc>
          <w:tcPr>
            <w:tcW w:w="575" w:type="pct"/>
            <w:tcBorders>
              <w:top w:val="single" w:sz="4" w:space="0" w:color="auto"/>
              <w:bottom w:val="single" w:sz="4" w:space="0" w:color="auto"/>
            </w:tcBorders>
          </w:tcPr>
          <w:p w14:paraId="3213DCB8" w14:textId="728C4F1C"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3F07553D" w14:textId="5B4F160E"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175DC933" w14:textId="77777777" w:rsidR="001465E1" w:rsidRPr="00376706" w:rsidRDefault="001465E1" w:rsidP="001465E1">
            <w:pPr>
              <w:pStyle w:val="TableText"/>
            </w:pPr>
            <w:r w:rsidRPr="00376706">
              <w:t>0.02 (cereal grain</w:t>
            </w:r>
          </w:p>
        </w:tc>
      </w:tr>
      <w:tr w:rsidR="001465E1" w:rsidRPr="0058714E" w14:paraId="3814D154" w14:textId="77777777" w:rsidTr="001465E1">
        <w:tc>
          <w:tcPr>
            <w:tcW w:w="702" w:type="pct"/>
            <w:tcBorders>
              <w:top w:val="single" w:sz="4" w:space="0" w:color="auto"/>
              <w:bottom w:val="single" w:sz="4" w:space="0" w:color="auto"/>
            </w:tcBorders>
          </w:tcPr>
          <w:p w14:paraId="032145B2" w14:textId="77777777" w:rsidR="001465E1" w:rsidRPr="00376706" w:rsidRDefault="001465E1" w:rsidP="001465E1">
            <w:pPr>
              <w:pStyle w:val="TableText"/>
            </w:pPr>
            <w:r w:rsidRPr="00376706">
              <w:t>Wheat</w:t>
            </w:r>
          </w:p>
        </w:tc>
        <w:tc>
          <w:tcPr>
            <w:tcW w:w="720" w:type="pct"/>
            <w:tcBorders>
              <w:top w:val="single" w:sz="4" w:space="0" w:color="auto"/>
              <w:bottom w:val="single" w:sz="4" w:space="0" w:color="auto"/>
            </w:tcBorders>
          </w:tcPr>
          <w:p w14:paraId="2E7B6B99" w14:textId="77777777" w:rsidR="001465E1" w:rsidRPr="00376706" w:rsidRDefault="001465E1" w:rsidP="001465E1">
            <w:pPr>
              <w:pStyle w:val="TableText"/>
            </w:pPr>
            <w:r w:rsidRPr="00376706">
              <w:t>2 (current)</w:t>
            </w:r>
          </w:p>
        </w:tc>
        <w:tc>
          <w:tcPr>
            <w:tcW w:w="575" w:type="pct"/>
            <w:tcBorders>
              <w:top w:val="single" w:sz="4" w:space="0" w:color="auto"/>
              <w:bottom w:val="single" w:sz="4" w:space="0" w:color="auto"/>
            </w:tcBorders>
          </w:tcPr>
          <w:p w14:paraId="4FDB8D52" w14:textId="7A6F823C" w:rsidR="001465E1" w:rsidRPr="00376706" w:rsidRDefault="001465E1" w:rsidP="001465E1">
            <w:pPr>
              <w:pStyle w:val="TableText"/>
              <w:rPr>
                <w:strike/>
              </w:rPr>
            </w:pPr>
            <w:r w:rsidRPr="00076809">
              <w:t>–</w:t>
            </w:r>
          </w:p>
        </w:tc>
        <w:tc>
          <w:tcPr>
            <w:tcW w:w="647" w:type="pct"/>
            <w:tcBorders>
              <w:top w:val="single" w:sz="4" w:space="0" w:color="auto"/>
              <w:bottom w:val="single" w:sz="4" w:space="0" w:color="auto"/>
            </w:tcBorders>
          </w:tcPr>
          <w:p w14:paraId="34C9713C"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2F09DA99" w14:textId="77777777" w:rsidR="001465E1" w:rsidRPr="00376706" w:rsidRDefault="001465E1" w:rsidP="001465E1">
            <w:pPr>
              <w:pStyle w:val="TableText"/>
            </w:pPr>
            <w:r>
              <w:t>0.1</w:t>
            </w:r>
          </w:p>
        </w:tc>
        <w:tc>
          <w:tcPr>
            <w:tcW w:w="575" w:type="pct"/>
            <w:tcBorders>
              <w:top w:val="single" w:sz="4" w:space="0" w:color="auto"/>
              <w:bottom w:val="single" w:sz="4" w:space="0" w:color="auto"/>
            </w:tcBorders>
          </w:tcPr>
          <w:p w14:paraId="2813E438" w14:textId="7312DEC3"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1E26FA82" w14:textId="28AF2571"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58650F9D" w14:textId="77777777" w:rsidR="001465E1" w:rsidRPr="00376706" w:rsidRDefault="001465E1" w:rsidP="001465E1">
            <w:pPr>
              <w:pStyle w:val="TableText"/>
            </w:pPr>
            <w:r w:rsidRPr="00376706">
              <w:t>0.02 (cereal grain</w:t>
            </w:r>
          </w:p>
        </w:tc>
      </w:tr>
      <w:tr w:rsidR="001465E1" w:rsidRPr="0058714E" w14:paraId="5A79FF80" w14:textId="77777777" w:rsidTr="001465E1">
        <w:tc>
          <w:tcPr>
            <w:tcW w:w="702" w:type="pct"/>
            <w:tcBorders>
              <w:top w:val="single" w:sz="4" w:space="0" w:color="auto"/>
              <w:bottom w:val="single" w:sz="4" w:space="0" w:color="auto"/>
            </w:tcBorders>
          </w:tcPr>
          <w:p w14:paraId="11AF4E72" w14:textId="77777777" w:rsidR="001465E1" w:rsidRPr="00376706" w:rsidRDefault="001465E1" w:rsidP="001465E1">
            <w:pPr>
              <w:pStyle w:val="TableText"/>
            </w:pPr>
            <w:r w:rsidRPr="00376706">
              <w:t>Maize</w:t>
            </w:r>
          </w:p>
        </w:tc>
        <w:tc>
          <w:tcPr>
            <w:tcW w:w="720" w:type="pct"/>
            <w:tcBorders>
              <w:top w:val="single" w:sz="4" w:space="0" w:color="auto"/>
              <w:bottom w:val="single" w:sz="4" w:space="0" w:color="auto"/>
            </w:tcBorders>
          </w:tcPr>
          <w:p w14:paraId="0D613778" w14:textId="77777777" w:rsidR="001465E1" w:rsidRPr="00376706" w:rsidRDefault="001465E1" w:rsidP="001465E1">
            <w:pPr>
              <w:pStyle w:val="TableText"/>
            </w:pPr>
            <w:r w:rsidRPr="00376706">
              <w:t>*0.05 (proposed)</w:t>
            </w:r>
          </w:p>
          <w:p w14:paraId="6599B814" w14:textId="77777777" w:rsidR="001465E1" w:rsidRPr="00376706" w:rsidRDefault="001465E1" w:rsidP="001465E1">
            <w:pPr>
              <w:pStyle w:val="TableText"/>
            </w:pPr>
            <w:r w:rsidRPr="00376706">
              <w:t>0.1 (current)</w:t>
            </w:r>
          </w:p>
        </w:tc>
        <w:tc>
          <w:tcPr>
            <w:tcW w:w="575" w:type="pct"/>
            <w:tcBorders>
              <w:top w:val="single" w:sz="4" w:space="0" w:color="auto"/>
              <w:bottom w:val="single" w:sz="4" w:space="0" w:color="auto"/>
            </w:tcBorders>
          </w:tcPr>
          <w:p w14:paraId="5537CE07" w14:textId="250F0EBC" w:rsidR="001465E1" w:rsidRPr="00376706" w:rsidRDefault="001465E1" w:rsidP="001465E1">
            <w:pPr>
              <w:pStyle w:val="TableText"/>
            </w:pPr>
            <w:r w:rsidRPr="00076809">
              <w:t>–</w:t>
            </w:r>
          </w:p>
        </w:tc>
        <w:tc>
          <w:tcPr>
            <w:tcW w:w="647" w:type="pct"/>
            <w:tcBorders>
              <w:top w:val="single" w:sz="4" w:space="0" w:color="auto"/>
              <w:bottom w:val="single" w:sz="4" w:space="0" w:color="auto"/>
            </w:tcBorders>
          </w:tcPr>
          <w:p w14:paraId="58E7B88F"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4CA033DE" w14:textId="77777777" w:rsidR="001465E1" w:rsidRPr="00376706" w:rsidRDefault="001465E1" w:rsidP="001465E1">
            <w:pPr>
              <w:pStyle w:val="TableText"/>
            </w:pPr>
            <w:r w:rsidRPr="00376706">
              <w:t>0.0</w:t>
            </w:r>
            <w:r>
              <w:t>2</w:t>
            </w:r>
          </w:p>
        </w:tc>
        <w:tc>
          <w:tcPr>
            <w:tcW w:w="575" w:type="pct"/>
            <w:tcBorders>
              <w:top w:val="single" w:sz="4" w:space="0" w:color="auto"/>
              <w:bottom w:val="single" w:sz="4" w:space="0" w:color="auto"/>
            </w:tcBorders>
          </w:tcPr>
          <w:p w14:paraId="38F2B765" w14:textId="27329F16"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52727F2C" w14:textId="36896AEC"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0D85A0E4" w14:textId="77777777" w:rsidR="001465E1" w:rsidRPr="00376706" w:rsidRDefault="001465E1" w:rsidP="001465E1">
            <w:pPr>
              <w:pStyle w:val="TableText"/>
            </w:pPr>
            <w:r w:rsidRPr="00376706">
              <w:t>0.02 (cereal grain</w:t>
            </w:r>
          </w:p>
        </w:tc>
      </w:tr>
      <w:tr w:rsidR="001465E1" w14:paraId="0E44985F" w14:textId="77777777" w:rsidTr="001465E1">
        <w:tc>
          <w:tcPr>
            <w:tcW w:w="702" w:type="pct"/>
            <w:tcBorders>
              <w:top w:val="single" w:sz="4" w:space="0" w:color="auto"/>
              <w:bottom w:val="single" w:sz="4" w:space="0" w:color="auto"/>
            </w:tcBorders>
          </w:tcPr>
          <w:p w14:paraId="154BC5F1" w14:textId="77777777" w:rsidR="001465E1" w:rsidRPr="00376706" w:rsidRDefault="001465E1" w:rsidP="001465E1">
            <w:pPr>
              <w:pStyle w:val="TableText"/>
            </w:pPr>
            <w:r w:rsidRPr="00376706">
              <w:t>Rye</w:t>
            </w:r>
          </w:p>
        </w:tc>
        <w:tc>
          <w:tcPr>
            <w:tcW w:w="720" w:type="pct"/>
            <w:tcBorders>
              <w:top w:val="single" w:sz="4" w:space="0" w:color="auto"/>
              <w:bottom w:val="single" w:sz="4" w:space="0" w:color="auto"/>
            </w:tcBorders>
          </w:tcPr>
          <w:p w14:paraId="16F56C5F" w14:textId="77777777" w:rsidR="001465E1" w:rsidRPr="00376706" w:rsidRDefault="001465E1" w:rsidP="001465E1">
            <w:pPr>
              <w:pStyle w:val="TableText"/>
            </w:pPr>
            <w:r w:rsidRPr="00376706">
              <w:t>2 (current)</w:t>
            </w:r>
          </w:p>
        </w:tc>
        <w:tc>
          <w:tcPr>
            <w:tcW w:w="575" w:type="pct"/>
            <w:tcBorders>
              <w:top w:val="single" w:sz="4" w:space="0" w:color="auto"/>
              <w:bottom w:val="single" w:sz="4" w:space="0" w:color="auto"/>
            </w:tcBorders>
          </w:tcPr>
          <w:p w14:paraId="604B265E" w14:textId="77777777" w:rsidR="001465E1" w:rsidRPr="00376706" w:rsidRDefault="001465E1" w:rsidP="001465E1">
            <w:pPr>
              <w:pStyle w:val="TableText"/>
            </w:pPr>
            <w:r>
              <w:t>1.5</w:t>
            </w:r>
          </w:p>
        </w:tc>
        <w:tc>
          <w:tcPr>
            <w:tcW w:w="647" w:type="pct"/>
            <w:tcBorders>
              <w:top w:val="single" w:sz="4" w:space="0" w:color="auto"/>
              <w:bottom w:val="single" w:sz="4" w:space="0" w:color="auto"/>
            </w:tcBorders>
          </w:tcPr>
          <w:p w14:paraId="3E0BC448"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6475D9B7" w14:textId="77777777" w:rsidR="001465E1" w:rsidRPr="00376706" w:rsidRDefault="001465E1" w:rsidP="001465E1">
            <w:pPr>
              <w:pStyle w:val="TableText"/>
            </w:pPr>
            <w:r>
              <w:t>2</w:t>
            </w:r>
          </w:p>
        </w:tc>
        <w:tc>
          <w:tcPr>
            <w:tcW w:w="575" w:type="pct"/>
            <w:tcBorders>
              <w:top w:val="single" w:sz="4" w:space="0" w:color="auto"/>
              <w:bottom w:val="single" w:sz="4" w:space="0" w:color="auto"/>
            </w:tcBorders>
          </w:tcPr>
          <w:p w14:paraId="182E4056" w14:textId="1C11ABE8"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4166EA93" w14:textId="7D256306"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2441E03F" w14:textId="05AA7A7D" w:rsidR="001465E1" w:rsidRPr="00376706" w:rsidRDefault="001465E1" w:rsidP="001465E1">
            <w:pPr>
              <w:pStyle w:val="TableText"/>
            </w:pPr>
            <w:r w:rsidRPr="007D11BE">
              <w:t>–</w:t>
            </w:r>
          </w:p>
        </w:tc>
      </w:tr>
      <w:tr w:rsidR="001465E1" w14:paraId="236E1A83" w14:textId="77777777" w:rsidTr="001465E1">
        <w:tc>
          <w:tcPr>
            <w:tcW w:w="702" w:type="pct"/>
            <w:tcBorders>
              <w:top w:val="single" w:sz="4" w:space="0" w:color="auto"/>
              <w:bottom w:val="single" w:sz="4" w:space="0" w:color="auto"/>
            </w:tcBorders>
          </w:tcPr>
          <w:p w14:paraId="789632ED" w14:textId="77777777" w:rsidR="001465E1" w:rsidRPr="00376706" w:rsidRDefault="001465E1" w:rsidP="001465E1">
            <w:pPr>
              <w:pStyle w:val="TableText"/>
            </w:pPr>
            <w:r w:rsidRPr="00376706">
              <w:t>Sorghum</w:t>
            </w:r>
          </w:p>
        </w:tc>
        <w:tc>
          <w:tcPr>
            <w:tcW w:w="720" w:type="pct"/>
            <w:tcBorders>
              <w:top w:val="single" w:sz="4" w:space="0" w:color="auto"/>
              <w:bottom w:val="single" w:sz="4" w:space="0" w:color="auto"/>
            </w:tcBorders>
          </w:tcPr>
          <w:p w14:paraId="352C93B4" w14:textId="77777777" w:rsidR="001465E1" w:rsidRDefault="001465E1" w:rsidP="001465E1">
            <w:pPr>
              <w:pStyle w:val="TableText"/>
            </w:pPr>
            <w:r w:rsidRPr="00376706">
              <w:t>2 (current)</w:t>
            </w:r>
          </w:p>
          <w:p w14:paraId="0A2B1F8F" w14:textId="77777777" w:rsidR="001465E1" w:rsidRPr="00376706" w:rsidRDefault="001465E1" w:rsidP="001465E1">
            <w:pPr>
              <w:pStyle w:val="TableText"/>
            </w:pPr>
            <w:r>
              <w:t xml:space="preserve">Proposed *0.05 after a </w:t>
            </w:r>
            <w:r>
              <w:lastRenderedPageBreak/>
              <w:t>phase out period</w:t>
            </w:r>
          </w:p>
        </w:tc>
        <w:tc>
          <w:tcPr>
            <w:tcW w:w="575" w:type="pct"/>
            <w:tcBorders>
              <w:top w:val="single" w:sz="4" w:space="0" w:color="auto"/>
              <w:bottom w:val="single" w:sz="4" w:space="0" w:color="auto"/>
            </w:tcBorders>
          </w:tcPr>
          <w:p w14:paraId="33666926" w14:textId="07AFAFF8" w:rsidR="001465E1" w:rsidRPr="00376706" w:rsidRDefault="001465E1" w:rsidP="001465E1">
            <w:pPr>
              <w:pStyle w:val="TableText"/>
            </w:pPr>
            <w:r w:rsidRPr="002460D3">
              <w:lastRenderedPageBreak/>
              <w:t>–</w:t>
            </w:r>
          </w:p>
        </w:tc>
        <w:tc>
          <w:tcPr>
            <w:tcW w:w="647" w:type="pct"/>
            <w:tcBorders>
              <w:top w:val="single" w:sz="4" w:space="0" w:color="auto"/>
              <w:bottom w:val="single" w:sz="4" w:space="0" w:color="auto"/>
            </w:tcBorders>
          </w:tcPr>
          <w:p w14:paraId="7ADC931E"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7B04EE90" w14:textId="2FAD7F86" w:rsidR="001465E1" w:rsidRPr="00376706" w:rsidRDefault="001465E1" w:rsidP="001465E1">
            <w:pPr>
              <w:pStyle w:val="TableText"/>
            </w:pPr>
            <w:r>
              <w:t>–</w:t>
            </w:r>
          </w:p>
        </w:tc>
        <w:tc>
          <w:tcPr>
            <w:tcW w:w="575" w:type="pct"/>
            <w:tcBorders>
              <w:top w:val="single" w:sz="4" w:space="0" w:color="auto"/>
              <w:bottom w:val="single" w:sz="4" w:space="0" w:color="auto"/>
            </w:tcBorders>
          </w:tcPr>
          <w:p w14:paraId="07411682" w14:textId="351B9504"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67092701" w14:textId="353CF2B3"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652A50E4" w14:textId="74DF55E0" w:rsidR="001465E1" w:rsidRPr="00376706" w:rsidRDefault="001465E1" w:rsidP="001465E1">
            <w:pPr>
              <w:pStyle w:val="TableText"/>
            </w:pPr>
            <w:r w:rsidRPr="007D11BE">
              <w:t>–</w:t>
            </w:r>
          </w:p>
        </w:tc>
      </w:tr>
      <w:tr w:rsidR="001465E1" w:rsidRPr="0058714E" w14:paraId="56953474" w14:textId="77777777" w:rsidTr="001465E1">
        <w:tc>
          <w:tcPr>
            <w:tcW w:w="702" w:type="pct"/>
            <w:tcBorders>
              <w:top w:val="single" w:sz="4" w:space="0" w:color="auto"/>
              <w:bottom w:val="single" w:sz="4" w:space="0" w:color="auto"/>
            </w:tcBorders>
          </w:tcPr>
          <w:p w14:paraId="51FBEBB4" w14:textId="77777777" w:rsidR="001465E1" w:rsidRPr="00376706" w:rsidRDefault="001465E1" w:rsidP="001465E1">
            <w:pPr>
              <w:pStyle w:val="TableText"/>
            </w:pPr>
            <w:r w:rsidRPr="00376706">
              <w:t>Rice</w:t>
            </w:r>
          </w:p>
        </w:tc>
        <w:tc>
          <w:tcPr>
            <w:tcW w:w="720" w:type="pct"/>
            <w:tcBorders>
              <w:top w:val="single" w:sz="4" w:space="0" w:color="auto"/>
              <w:bottom w:val="single" w:sz="4" w:space="0" w:color="auto"/>
            </w:tcBorders>
          </w:tcPr>
          <w:p w14:paraId="488E499B" w14:textId="77777777" w:rsidR="001465E1" w:rsidRDefault="001465E1" w:rsidP="001465E1">
            <w:pPr>
              <w:pStyle w:val="TableText"/>
            </w:pPr>
            <w:r w:rsidRPr="00376706">
              <w:t>5 (current)</w:t>
            </w:r>
          </w:p>
          <w:p w14:paraId="15AAAAC2" w14:textId="77777777" w:rsidR="001465E1" w:rsidRPr="00376706" w:rsidRDefault="001465E1" w:rsidP="001465E1">
            <w:pPr>
              <w:pStyle w:val="TableText"/>
            </w:pPr>
            <w:r w:rsidRPr="003004C8">
              <w:t xml:space="preserve">Proposed </w:t>
            </w:r>
            <w:r>
              <w:t>*0.05</w:t>
            </w:r>
            <w:r w:rsidRPr="003004C8">
              <w:t xml:space="preserve"> after a phase out period</w:t>
            </w:r>
          </w:p>
        </w:tc>
        <w:tc>
          <w:tcPr>
            <w:tcW w:w="575" w:type="pct"/>
            <w:tcBorders>
              <w:top w:val="single" w:sz="4" w:space="0" w:color="auto"/>
              <w:bottom w:val="single" w:sz="4" w:space="0" w:color="auto"/>
            </w:tcBorders>
          </w:tcPr>
          <w:p w14:paraId="4F659A16" w14:textId="305F8C27" w:rsidR="001465E1" w:rsidRPr="00376706" w:rsidRDefault="001465E1" w:rsidP="001465E1">
            <w:pPr>
              <w:pStyle w:val="TableText"/>
            </w:pPr>
            <w:r w:rsidRPr="002460D3">
              <w:t>–</w:t>
            </w:r>
          </w:p>
        </w:tc>
        <w:tc>
          <w:tcPr>
            <w:tcW w:w="647" w:type="pct"/>
            <w:tcBorders>
              <w:top w:val="single" w:sz="4" w:space="0" w:color="auto"/>
              <w:bottom w:val="single" w:sz="4" w:space="0" w:color="auto"/>
            </w:tcBorders>
          </w:tcPr>
          <w:p w14:paraId="07D50E05"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138788FF" w14:textId="77777777" w:rsidR="001465E1" w:rsidRPr="00376706" w:rsidRDefault="001465E1" w:rsidP="001465E1">
            <w:pPr>
              <w:pStyle w:val="TableText"/>
            </w:pPr>
            <w:r>
              <w:t>0.03</w:t>
            </w:r>
            <w:r w:rsidRPr="00376706">
              <w:t xml:space="preserve"> (brown rice)</w:t>
            </w:r>
          </w:p>
        </w:tc>
        <w:tc>
          <w:tcPr>
            <w:tcW w:w="575" w:type="pct"/>
            <w:tcBorders>
              <w:top w:val="single" w:sz="4" w:space="0" w:color="auto"/>
              <w:bottom w:val="single" w:sz="4" w:space="0" w:color="auto"/>
            </w:tcBorders>
          </w:tcPr>
          <w:p w14:paraId="519F546F" w14:textId="25D5F407"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68771032" w14:textId="33D4C925"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3AB54141" w14:textId="77777777" w:rsidR="001465E1" w:rsidRPr="00376706" w:rsidRDefault="001465E1" w:rsidP="001465E1">
            <w:pPr>
              <w:pStyle w:val="TableText"/>
            </w:pPr>
            <w:r w:rsidRPr="00376706">
              <w:t>0.02 (cereal grain</w:t>
            </w:r>
          </w:p>
        </w:tc>
      </w:tr>
      <w:tr w:rsidR="001465E1" w:rsidRPr="0058714E" w14:paraId="4BC37179" w14:textId="77777777" w:rsidTr="001465E1">
        <w:tc>
          <w:tcPr>
            <w:tcW w:w="702" w:type="pct"/>
            <w:tcBorders>
              <w:top w:val="single" w:sz="4" w:space="0" w:color="auto"/>
              <w:bottom w:val="single" w:sz="4" w:space="0" w:color="auto"/>
            </w:tcBorders>
          </w:tcPr>
          <w:p w14:paraId="350A17D0" w14:textId="77777777" w:rsidR="001465E1" w:rsidRPr="00376706" w:rsidRDefault="001465E1" w:rsidP="001465E1">
            <w:pPr>
              <w:pStyle w:val="TableText"/>
            </w:pPr>
            <w:r w:rsidRPr="00376706">
              <w:t>Rice, polished</w:t>
            </w:r>
          </w:p>
        </w:tc>
        <w:tc>
          <w:tcPr>
            <w:tcW w:w="720" w:type="pct"/>
            <w:tcBorders>
              <w:top w:val="single" w:sz="4" w:space="0" w:color="auto"/>
              <w:bottom w:val="single" w:sz="4" w:space="0" w:color="auto"/>
            </w:tcBorders>
          </w:tcPr>
          <w:p w14:paraId="5F405FF3" w14:textId="77777777" w:rsidR="001465E1" w:rsidRDefault="001465E1" w:rsidP="001465E1">
            <w:pPr>
              <w:pStyle w:val="TableText"/>
            </w:pPr>
            <w:r w:rsidRPr="00376706">
              <w:t>1 (current)</w:t>
            </w:r>
          </w:p>
          <w:p w14:paraId="43ADE1DE" w14:textId="77777777" w:rsidR="001465E1" w:rsidRPr="00376706" w:rsidRDefault="001465E1" w:rsidP="001465E1">
            <w:pPr>
              <w:pStyle w:val="TableText"/>
            </w:pPr>
            <w:r w:rsidRPr="003004C8">
              <w:t>Proposed for deletion after a phase out period</w:t>
            </w:r>
          </w:p>
        </w:tc>
        <w:tc>
          <w:tcPr>
            <w:tcW w:w="575" w:type="pct"/>
            <w:tcBorders>
              <w:top w:val="single" w:sz="4" w:space="0" w:color="auto"/>
              <w:bottom w:val="single" w:sz="4" w:space="0" w:color="auto"/>
            </w:tcBorders>
          </w:tcPr>
          <w:p w14:paraId="00BECD68" w14:textId="44827781" w:rsidR="001465E1" w:rsidRPr="00376706" w:rsidRDefault="001465E1" w:rsidP="001465E1">
            <w:pPr>
              <w:pStyle w:val="TableText"/>
            </w:pPr>
            <w:r w:rsidRPr="009F310F">
              <w:t>–</w:t>
            </w:r>
          </w:p>
        </w:tc>
        <w:tc>
          <w:tcPr>
            <w:tcW w:w="647" w:type="pct"/>
            <w:tcBorders>
              <w:top w:val="single" w:sz="4" w:space="0" w:color="auto"/>
              <w:bottom w:val="single" w:sz="4" w:space="0" w:color="auto"/>
            </w:tcBorders>
          </w:tcPr>
          <w:p w14:paraId="32DAB465" w14:textId="1F7BACA5" w:rsidR="001465E1" w:rsidRPr="00376706" w:rsidRDefault="001465E1" w:rsidP="001465E1">
            <w:pPr>
              <w:pStyle w:val="TableText"/>
            </w:pPr>
            <w:r w:rsidRPr="009F310F">
              <w:t>–</w:t>
            </w:r>
          </w:p>
        </w:tc>
        <w:tc>
          <w:tcPr>
            <w:tcW w:w="648" w:type="pct"/>
            <w:tcBorders>
              <w:top w:val="single" w:sz="4" w:space="0" w:color="auto"/>
              <w:bottom w:val="single" w:sz="4" w:space="0" w:color="auto"/>
            </w:tcBorders>
          </w:tcPr>
          <w:p w14:paraId="0B476794" w14:textId="6429AF4D" w:rsidR="001465E1" w:rsidRPr="00376706" w:rsidRDefault="001465E1" w:rsidP="001465E1">
            <w:pPr>
              <w:pStyle w:val="TableText"/>
            </w:pPr>
            <w:r w:rsidRPr="009F310F">
              <w:t>–</w:t>
            </w:r>
          </w:p>
        </w:tc>
        <w:tc>
          <w:tcPr>
            <w:tcW w:w="575" w:type="pct"/>
            <w:tcBorders>
              <w:top w:val="single" w:sz="4" w:space="0" w:color="auto"/>
              <w:bottom w:val="single" w:sz="4" w:space="0" w:color="auto"/>
            </w:tcBorders>
          </w:tcPr>
          <w:p w14:paraId="4D5D526C" w14:textId="12F13E53" w:rsidR="001465E1" w:rsidRPr="00376706" w:rsidRDefault="001465E1" w:rsidP="001465E1">
            <w:pPr>
              <w:pStyle w:val="TableText"/>
            </w:pPr>
            <w:r w:rsidRPr="009F310F">
              <w:t>–</w:t>
            </w:r>
          </w:p>
        </w:tc>
        <w:tc>
          <w:tcPr>
            <w:tcW w:w="508" w:type="pct"/>
            <w:tcBorders>
              <w:top w:val="single" w:sz="4" w:space="0" w:color="auto"/>
              <w:bottom w:val="single" w:sz="4" w:space="0" w:color="auto"/>
            </w:tcBorders>
          </w:tcPr>
          <w:p w14:paraId="102FDD87" w14:textId="6CEA1D2A" w:rsidR="001465E1" w:rsidRPr="00376706" w:rsidRDefault="001465E1" w:rsidP="001465E1">
            <w:pPr>
              <w:pStyle w:val="TableText"/>
            </w:pPr>
            <w:r w:rsidRPr="009F310F">
              <w:t>–</w:t>
            </w:r>
          </w:p>
        </w:tc>
        <w:tc>
          <w:tcPr>
            <w:tcW w:w="625" w:type="pct"/>
            <w:tcBorders>
              <w:top w:val="single" w:sz="4" w:space="0" w:color="auto"/>
              <w:bottom w:val="single" w:sz="4" w:space="0" w:color="auto"/>
            </w:tcBorders>
          </w:tcPr>
          <w:p w14:paraId="17524F93" w14:textId="77777777" w:rsidR="001465E1" w:rsidRPr="00376706" w:rsidRDefault="001465E1" w:rsidP="001465E1">
            <w:pPr>
              <w:pStyle w:val="TableText"/>
            </w:pPr>
            <w:r w:rsidRPr="00376706">
              <w:t>0.02 (cereal grain</w:t>
            </w:r>
          </w:p>
        </w:tc>
      </w:tr>
      <w:tr w:rsidR="001465E1" w:rsidRPr="0058714E" w14:paraId="2969EA6F" w14:textId="77777777" w:rsidTr="001465E1">
        <w:tc>
          <w:tcPr>
            <w:tcW w:w="702" w:type="pct"/>
            <w:tcBorders>
              <w:top w:val="single" w:sz="4" w:space="0" w:color="auto"/>
              <w:bottom w:val="single" w:sz="4" w:space="0" w:color="auto"/>
            </w:tcBorders>
          </w:tcPr>
          <w:p w14:paraId="23E51C34" w14:textId="77777777" w:rsidR="001465E1" w:rsidRPr="00376706" w:rsidRDefault="001465E1" w:rsidP="001465E1">
            <w:pPr>
              <w:pStyle w:val="TableText"/>
            </w:pPr>
            <w:r>
              <w:t>Cotton seed</w:t>
            </w:r>
          </w:p>
        </w:tc>
        <w:tc>
          <w:tcPr>
            <w:tcW w:w="720" w:type="pct"/>
            <w:tcBorders>
              <w:top w:val="single" w:sz="4" w:space="0" w:color="auto"/>
              <w:bottom w:val="single" w:sz="4" w:space="0" w:color="auto"/>
            </w:tcBorders>
          </w:tcPr>
          <w:p w14:paraId="2777CA4A" w14:textId="77777777" w:rsidR="001465E1" w:rsidRPr="00376706" w:rsidRDefault="001465E1" w:rsidP="001465E1">
            <w:pPr>
              <w:pStyle w:val="TableText"/>
            </w:pPr>
            <w:r>
              <w:t>Cotton seed p</w:t>
            </w:r>
            <w:r w:rsidRPr="003004C8">
              <w:t>roposed for deletion after a phase out period</w:t>
            </w:r>
          </w:p>
        </w:tc>
        <w:tc>
          <w:tcPr>
            <w:tcW w:w="575" w:type="pct"/>
            <w:tcBorders>
              <w:top w:val="single" w:sz="4" w:space="0" w:color="auto"/>
              <w:bottom w:val="single" w:sz="4" w:space="0" w:color="auto"/>
            </w:tcBorders>
          </w:tcPr>
          <w:p w14:paraId="399832BA" w14:textId="49044CA6" w:rsidR="001465E1" w:rsidRPr="00376706" w:rsidRDefault="001465E1" w:rsidP="001465E1">
            <w:pPr>
              <w:pStyle w:val="TableText"/>
            </w:pPr>
            <w:r>
              <w:t>–</w:t>
            </w:r>
          </w:p>
        </w:tc>
        <w:tc>
          <w:tcPr>
            <w:tcW w:w="647" w:type="pct"/>
            <w:tcBorders>
              <w:top w:val="single" w:sz="4" w:space="0" w:color="auto"/>
              <w:bottom w:val="single" w:sz="4" w:space="0" w:color="auto"/>
            </w:tcBorders>
          </w:tcPr>
          <w:p w14:paraId="1EDEEC1A" w14:textId="77777777" w:rsidR="001465E1" w:rsidRPr="00376706" w:rsidRDefault="001465E1" w:rsidP="001465E1">
            <w:pPr>
              <w:pStyle w:val="TableText"/>
            </w:pPr>
            <w:r w:rsidRPr="00376706">
              <w:t>*0.01 (cotton seed)</w:t>
            </w:r>
          </w:p>
        </w:tc>
        <w:tc>
          <w:tcPr>
            <w:tcW w:w="648" w:type="pct"/>
            <w:tcBorders>
              <w:top w:val="single" w:sz="4" w:space="0" w:color="auto"/>
              <w:bottom w:val="single" w:sz="4" w:space="0" w:color="auto"/>
            </w:tcBorders>
          </w:tcPr>
          <w:p w14:paraId="691475D0" w14:textId="2A75F597" w:rsidR="001465E1" w:rsidRDefault="001465E1" w:rsidP="001465E1">
            <w:pPr>
              <w:pStyle w:val="TableText"/>
            </w:pPr>
            <w:r w:rsidRPr="00626FDB">
              <w:t>–</w:t>
            </w:r>
          </w:p>
        </w:tc>
        <w:tc>
          <w:tcPr>
            <w:tcW w:w="575" w:type="pct"/>
            <w:tcBorders>
              <w:top w:val="single" w:sz="4" w:space="0" w:color="auto"/>
              <w:bottom w:val="single" w:sz="4" w:space="0" w:color="auto"/>
            </w:tcBorders>
          </w:tcPr>
          <w:p w14:paraId="50F89AA2" w14:textId="712F7E25" w:rsidR="001465E1" w:rsidRPr="00376706" w:rsidRDefault="001465E1" w:rsidP="001465E1">
            <w:pPr>
              <w:pStyle w:val="TableText"/>
            </w:pPr>
            <w:r w:rsidRPr="00626FDB">
              <w:t>–</w:t>
            </w:r>
          </w:p>
        </w:tc>
        <w:tc>
          <w:tcPr>
            <w:tcW w:w="508" w:type="pct"/>
            <w:tcBorders>
              <w:top w:val="single" w:sz="4" w:space="0" w:color="auto"/>
              <w:bottom w:val="single" w:sz="4" w:space="0" w:color="auto"/>
            </w:tcBorders>
          </w:tcPr>
          <w:p w14:paraId="6C510C2B" w14:textId="218EFBCB" w:rsidR="001465E1" w:rsidRPr="00376706" w:rsidRDefault="001465E1" w:rsidP="001465E1">
            <w:pPr>
              <w:pStyle w:val="TableText"/>
            </w:pPr>
            <w:r w:rsidRPr="00626FDB">
              <w:t>–</w:t>
            </w:r>
          </w:p>
        </w:tc>
        <w:tc>
          <w:tcPr>
            <w:tcW w:w="625" w:type="pct"/>
            <w:tcBorders>
              <w:top w:val="single" w:sz="4" w:space="0" w:color="auto"/>
              <w:bottom w:val="single" w:sz="4" w:space="0" w:color="auto"/>
            </w:tcBorders>
          </w:tcPr>
          <w:p w14:paraId="7C4CCD38" w14:textId="77777777" w:rsidR="001465E1" w:rsidRPr="00376706" w:rsidRDefault="001465E1" w:rsidP="001465E1">
            <w:pPr>
              <w:pStyle w:val="TableText"/>
            </w:pPr>
            <w:r>
              <w:t>0.2 (cotton seed)</w:t>
            </w:r>
          </w:p>
        </w:tc>
      </w:tr>
      <w:tr w:rsidR="001465E1" w:rsidRPr="0058714E" w14:paraId="039FD79D" w14:textId="77777777" w:rsidTr="001465E1">
        <w:tc>
          <w:tcPr>
            <w:tcW w:w="702" w:type="pct"/>
            <w:tcBorders>
              <w:top w:val="single" w:sz="4" w:space="0" w:color="auto"/>
              <w:bottom w:val="single" w:sz="4" w:space="0" w:color="auto"/>
            </w:tcBorders>
          </w:tcPr>
          <w:p w14:paraId="5F537F5C" w14:textId="77777777" w:rsidR="00D2528E" w:rsidRPr="00376706" w:rsidRDefault="00D2528E" w:rsidP="00D2528E">
            <w:pPr>
              <w:pStyle w:val="TableText"/>
            </w:pPr>
            <w:r>
              <w:t>Rape seed [canola]</w:t>
            </w:r>
          </w:p>
        </w:tc>
        <w:tc>
          <w:tcPr>
            <w:tcW w:w="720" w:type="pct"/>
            <w:tcBorders>
              <w:top w:val="single" w:sz="4" w:space="0" w:color="auto"/>
              <w:bottom w:val="single" w:sz="4" w:space="0" w:color="auto"/>
            </w:tcBorders>
          </w:tcPr>
          <w:p w14:paraId="16C285AB" w14:textId="32484860" w:rsidR="00D2528E" w:rsidRPr="00376706" w:rsidRDefault="00D2528E" w:rsidP="00D2528E">
            <w:pPr>
              <w:pStyle w:val="TableText"/>
            </w:pPr>
            <w:r>
              <w:t>2</w:t>
            </w:r>
            <w:r w:rsidRPr="00376706">
              <w:t xml:space="preserve"> (proposed</w:t>
            </w:r>
            <w:r>
              <w:t xml:space="preserve"> for rape seed</w:t>
            </w:r>
            <w:r w:rsidRPr="00376706">
              <w:t>)</w:t>
            </w:r>
          </w:p>
        </w:tc>
        <w:tc>
          <w:tcPr>
            <w:tcW w:w="575" w:type="pct"/>
            <w:tcBorders>
              <w:top w:val="single" w:sz="4" w:space="0" w:color="auto"/>
              <w:bottom w:val="single" w:sz="4" w:space="0" w:color="auto"/>
            </w:tcBorders>
          </w:tcPr>
          <w:p w14:paraId="3F8EAAE4" w14:textId="77777777" w:rsidR="00D2528E" w:rsidRPr="00376706" w:rsidRDefault="00D2528E" w:rsidP="00D2528E">
            <w:pPr>
              <w:pStyle w:val="TableText"/>
            </w:pPr>
            <w:r w:rsidRPr="00376706">
              <w:t>1.5 (rape seed)</w:t>
            </w:r>
          </w:p>
        </w:tc>
        <w:tc>
          <w:tcPr>
            <w:tcW w:w="647" w:type="pct"/>
            <w:tcBorders>
              <w:top w:val="single" w:sz="4" w:space="0" w:color="auto"/>
              <w:bottom w:val="single" w:sz="4" w:space="0" w:color="auto"/>
            </w:tcBorders>
          </w:tcPr>
          <w:p w14:paraId="5F3EC864" w14:textId="77777777" w:rsidR="00D2528E" w:rsidRPr="00376706" w:rsidRDefault="00D2528E" w:rsidP="00D2528E">
            <w:pPr>
              <w:pStyle w:val="TableText"/>
            </w:pPr>
            <w:r w:rsidRPr="00376706">
              <w:t>1.5 rapeseeds/canola seeds)</w:t>
            </w:r>
          </w:p>
        </w:tc>
        <w:tc>
          <w:tcPr>
            <w:tcW w:w="648" w:type="pct"/>
            <w:tcBorders>
              <w:top w:val="single" w:sz="4" w:space="0" w:color="auto"/>
              <w:bottom w:val="single" w:sz="4" w:space="0" w:color="auto"/>
            </w:tcBorders>
          </w:tcPr>
          <w:p w14:paraId="069A7CD3" w14:textId="77777777" w:rsidR="00D2528E" w:rsidRPr="00376706" w:rsidRDefault="00D2528E" w:rsidP="00D2528E">
            <w:pPr>
              <w:pStyle w:val="TableText"/>
            </w:pPr>
            <w:r w:rsidRPr="00376706">
              <w:t>2 (rapeseeds)</w:t>
            </w:r>
          </w:p>
        </w:tc>
        <w:tc>
          <w:tcPr>
            <w:tcW w:w="575" w:type="pct"/>
            <w:tcBorders>
              <w:top w:val="single" w:sz="4" w:space="0" w:color="auto"/>
              <w:bottom w:val="single" w:sz="4" w:space="0" w:color="auto"/>
            </w:tcBorders>
          </w:tcPr>
          <w:p w14:paraId="4C68E99A" w14:textId="055E6AEC" w:rsidR="00D2528E" w:rsidRPr="00376706" w:rsidRDefault="001465E1" w:rsidP="00D2528E">
            <w:pPr>
              <w:pStyle w:val="TableText"/>
            </w:pPr>
            <w:r>
              <w:t>–</w:t>
            </w:r>
            <w:r w:rsidR="00D2528E" w:rsidRPr="00376706">
              <w:t>1.5 (rape seed)</w:t>
            </w:r>
          </w:p>
        </w:tc>
        <w:tc>
          <w:tcPr>
            <w:tcW w:w="508" w:type="pct"/>
            <w:tcBorders>
              <w:top w:val="single" w:sz="4" w:space="0" w:color="auto"/>
              <w:bottom w:val="single" w:sz="4" w:space="0" w:color="auto"/>
            </w:tcBorders>
          </w:tcPr>
          <w:p w14:paraId="6FD6A6DD" w14:textId="217F78C1" w:rsidR="00D2528E" w:rsidRPr="00376706" w:rsidRDefault="001465E1" w:rsidP="00D2528E">
            <w:pPr>
              <w:pStyle w:val="TableText"/>
            </w:pPr>
            <w:r>
              <w:t>–</w:t>
            </w:r>
          </w:p>
        </w:tc>
        <w:tc>
          <w:tcPr>
            <w:tcW w:w="625" w:type="pct"/>
            <w:tcBorders>
              <w:top w:val="single" w:sz="4" w:space="0" w:color="auto"/>
              <w:bottom w:val="single" w:sz="4" w:space="0" w:color="auto"/>
            </w:tcBorders>
          </w:tcPr>
          <w:p w14:paraId="725A0C89" w14:textId="1A0D5090" w:rsidR="00D2528E" w:rsidRPr="00376706" w:rsidRDefault="00D2528E" w:rsidP="00D2528E">
            <w:pPr>
              <w:pStyle w:val="TableText"/>
            </w:pPr>
            <w:r w:rsidRPr="00376706">
              <w:t>2 (canola seed)</w:t>
            </w:r>
          </w:p>
        </w:tc>
      </w:tr>
      <w:tr w:rsidR="001465E1" w:rsidRPr="0058714E" w14:paraId="1FCE1837" w14:textId="77777777" w:rsidTr="001465E1">
        <w:tc>
          <w:tcPr>
            <w:tcW w:w="702" w:type="pct"/>
            <w:tcBorders>
              <w:top w:val="single" w:sz="4" w:space="0" w:color="auto"/>
              <w:bottom w:val="single" w:sz="4" w:space="0" w:color="auto"/>
            </w:tcBorders>
          </w:tcPr>
          <w:p w14:paraId="261F4E9F" w14:textId="77777777" w:rsidR="00D2528E" w:rsidRPr="00376706" w:rsidRDefault="00D2528E" w:rsidP="00D2528E">
            <w:pPr>
              <w:pStyle w:val="TableText"/>
            </w:pPr>
            <w:r w:rsidRPr="00376706">
              <w:t>Pulses</w:t>
            </w:r>
          </w:p>
        </w:tc>
        <w:tc>
          <w:tcPr>
            <w:tcW w:w="720" w:type="pct"/>
            <w:tcBorders>
              <w:top w:val="single" w:sz="4" w:space="0" w:color="auto"/>
              <w:bottom w:val="single" w:sz="4" w:space="0" w:color="auto"/>
            </w:tcBorders>
          </w:tcPr>
          <w:p w14:paraId="1A17E02A" w14:textId="77777777" w:rsidR="00D2528E" w:rsidRPr="00376706" w:rsidRDefault="00D2528E" w:rsidP="00D2528E">
            <w:pPr>
              <w:pStyle w:val="TableText"/>
            </w:pPr>
            <w:r w:rsidRPr="00376706">
              <w:t>1</w:t>
            </w:r>
          </w:p>
          <w:p w14:paraId="20FF59CA" w14:textId="77777777" w:rsidR="00D2528E" w:rsidRPr="00376706" w:rsidRDefault="00D2528E" w:rsidP="00D2528E">
            <w:pPr>
              <w:pStyle w:val="TableText"/>
            </w:pPr>
            <w:r w:rsidRPr="00376706">
              <w:t>(current)</w:t>
            </w:r>
          </w:p>
        </w:tc>
        <w:tc>
          <w:tcPr>
            <w:tcW w:w="575" w:type="pct"/>
            <w:tcBorders>
              <w:top w:val="single" w:sz="4" w:space="0" w:color="auto"/>
              <w:bottom w:val="single" w:sz="4" w:space="0" w:color="auto"/>
            </w:tcBorders>
          </w:tcPr>
          <w:p w14:paraId="7F246C80" w14:textId="77777777" w:rsidR="00D2528E" w:rsidRDefault="00D2528E" w:rsidP="00D2528E">
            <w:pPr>
              <w:pStyle w:val="TableText"/>
            </w:pPr>
            <w:r>
              <w:t>0.4 (dry beans subgroup)</w:t>
            </w:r>
          </w:p>
          <w:p w14:paraId="33636DB3" w14:textId="77777777" w:rsidR="00D2528E" w:rsidRPr="00376706" w:rsidRDefault="00D2528E" w:rsidP="00D2528E">
            <w:pPr>
              <w:pStyle w:val="TableText"/>
            </w:pPr>
            <w:r>
              <w:t>0.9 (dry peas subgroup, Chick-pea (dry))</w:t>
            </w:r>
          </w:p>
        </w:tc>
        <w:tc>
          <w:tcPr>
            <w:tcW w:w="647" w:type="pct"/>
            <w:tcBorders>
              <w:top w:val="single" w:sz="4" w:space="0" w:color="auto"/>
              <w:bottom w:val="single" w:sz="4" w:space="0" w:color="auto"/>
            </w:tcBorders>
          </w:tcPr>
          <w:p w14:paraId="087447F8" w14:textId="77777777" w:rsidR="00D2528E" w:rsidRPr="00376706" w:rsidRDefault="00D2528E" w:rsidP="00D2528E">
            <w:pPr>
              <w:pStyle w:val="TableText"/>
            </w:pPr>
            <w:r w:rsidRPr="00376706">
              <w:t>0.2 (beans)</w:t>
            </w:r>
          </w:p>
          <w:p w14:paraId="6FF9A3B2" w14:textId="77777777" w:rsidR="00D2528E" w:rsidRPr="00376706" w:rsidRDefault="00D2528E" w:rsidP="00D2528E">
            <w:pPr>
              <w:pStyle w:val="TableText"/>
            </w:pPr>
            <w:r w:rsidRPr="00376706">
              <w:t>0.2 (lentils)</w:t>
            </w:r>
          </w:p>
          <w:p w14:paraId="5709E31E" w14:textId="77777777" w:rsidR="00D2528E" w:rsidRPr="00376706" w:rsidRDefault="00D2528E" w:rsidP="00D2528E">
            <w:pPr>
              <w:pStyle w:val="TableText"/>
            </w:pPr>
            <w:r w:rsidRPr="00376706">
              <w:t>0.3 (peas)</w:t>
            </w:r>
          </w:p>
        </w:tc>
        <w:tc>
          <w:tcPr>
            <w:tcW w:w="648" w:type="pct"/>
            <w:tcBorders>
              <w:top w:val="single" w:sz="4" w:space="0" w:color="auto"/>
              <w:bottom w:val="single" w:sz="4" w:space="0" w:color="auto"/>
            </w:tcBorders>
          </w:tcPr>
          <w:p w14:paraId="315ACEB1" w14:textId="77777777" w:rsidR="00D2528E" w:rsidRPr="00376706" w:rsidRDefault="00D2528E" w:rsidP="00D2528E">
            <w:pPr>
              <w:pStyle w:val="TableText"/>
            </w:pPr>
            <w:r>
              <w:t>0.4</w:t>
            </w:r>
            <w:r w:rsidRPr="00376706">
              <w:t xml:space="preserve"> (soybeans, dried)</w:t>
            </w:r>
          </w:p>
          <w:p w14:paraId="03B81926" w14:textId="77777777" w:rsidR="00D2528E" w:rsidRPr="00376706" w:rsidRDefault="00D2528E" w:rsidP="00D2528E">
            <w:pPr>
              <w:pStyle w:val="TableText"/>
            </w:pPr>
            <w:r>
              <w:t>0.9</w:t>
            </w:r>
            <w:r w:rsidRPr="00376706">
              <w:t xml:space="preserve"> (beans, dried</w:t>
            </w:r>
            <w:r>
              <w:t>, Peas</w:t>
            </w:r>
            <w:r w:rsidRPr="00376706">
              <w:t>)</w:t>
            </w:r>
          </w:p>
          <w:p w14:paraId="48A966CD" w14:textId="77777777" w:rsidR="00D2528E" w:rsidRPr="00376706" w:rsidRDefault="00D2528E" w:rsidP="00D2528E">
            <w:pPr>
              <w:pStyle w:val="TableText"/>
            </w:pPr>
            <w:r>
              <w:t>0.9</w:t>
            </w:r>
            <w:r w:rsidRPr="00376706">
              <w:t xml:space="preserve"> (other legumes pulses)</w:t>
            </w:r>
          </w:p>
        </w:tc>
        <w:tc>
          <w:tcPr>
            <w:tcW w:w="575" w:type="pct"/>
            <w:tcBorders>
              <w:top w:val="single" w:sz="4" w:space="0" w:color="auto"/>
              <w:bottom w:val="single" w:sz="4" w:space="0" w:color="auto"/>
            </w:tcBorders>
          </w:tcPr>
          <w:p w14:paraId="25D98F74" w14:textId="77777777" w:rsidR="00D2528E" w:rsidRDefault="00D2528E" w:rsidP="00D2528E">
            <w:pPr>
              <w:pStyle w:val="TableText"/>
            </w:pPr>
            <w:r>
              <w:t>0.9 (lentil)</w:t>
            </w:r>
          </w:p>
          <w:p w14:paraId="26612BD6" w14:textId="77777777" w:rsidR="00D2528E" w:rsidRDefault="00D2528E" w:rsidP="00D2528E">
            <w:pPr>
              <w:pStyle w:val="TableText"/>
            </w:pPr>
            <w:r>
              <w:t>0.9 (pea)</w:t>
            </w:r>
          </w:p>
          <w:p w14:paraId="78DB6A49" w14:textId="39E111BB" w:rsidR="00D2528E" w:rsidRPr="00376706" w:rsidRDefault="00D2528E" w:rsidP="00D2528E">
            <w:pPr>
              <w:pStyle w:val="TableText"/>
            </w:pPr>
            <w:r w:rsidRPr="00376706">
              <w:t>0.3 (</w:t>
            </w:r>
            <w:r w:rsidR="001465E1" w:rsidRPr="00376706">
              <w:t>soybean</w:t>
            </w:r>
            <w:r w:rsidRPr="00376706">
              <w:t>)</w:t>
            </w:r>
          </w:p>
          <w:p w14:paraId="14895F8B" w14:textId="77777777" w:rsidR="00D2528E" w:rsidRPr="00376706" w:rsidRDefault="00D2528E" w:rsidP="00D2528E">
            <w:pPr>
              <w:pStyle w:val="TableText"/>
            </w:pPr>
          </w:p>
          <w:p w14:paraId="7523160F" w14:textId="77777777" w:rsidR="00D2528E" w:rsidRPr="00376706" w:rsidRDefault="00D2528E" w:rsidP="00D2528E">
            <w:pPr>
              <w:pStyle w:val="TableText"/>
            </w:pPr>
          </w:p>
        </w:tc>
        <w:tc>
          <w:tcPr>
            <w:tcW w:w="508" w:type="pct"/>
            <w:tcBorders>
              <w:top w:val="single" w:sz="4" w:space="0" w:color="auto"/>
              <w:bottom w:val="single" w:sz="4" w:space="0" w:color="auto"/>
            </w:tcBorders>
          </w:tcPr>
          <w:p w14:paraId="5E1230FD" w14:textId="77777777" w:rsidR="00D2528E" w:rsidRPr="00376706" w:rsidRDefault="00D2528E" w:rsidP="00D2528E">
            <w:pPr>
              <w:pStyle w:val="TableText"/>
            </w:pPr>
            <w:r w:rsidRPr="00376706">
              <w:t>-</w:t>
            </w:r>
          </w:p>
        </w:tc>
        <w:tc>
          <w:tcPr>
            <w:tcW w:w="625" w:type="pct"/>
            <w:tcBorders>
              <w:top w:val="single" w:sz="4" w:space="0" w:color="auto"/>
              <w:bottom w:val="single" w:sz="4" w:space="0" w:color="auto"/>
            </w:tcBorders>
          </w:tcPr>
          <w:p w14:paraId="7AEE3758" w14:textId="77777777" w:rsidR="00D2528E" w:rsidRPr="00376706" w:rsidRDefault="00D2528E" w:rsidP="00D2528E">
            <w:pPr>
              <w:pStyle w:val="TableText"/>
            </w:pPr>
            <w:r w:rsidRPr="00376706">
              <w:t>0.05 (vegetable, seed and pod)</w:t>
            </w:r>
          </w:p>
        </w:tc>
      </w:tr>
      <w:tr w:rsidR="001465E1" w14:paraId="67D0407A" w14:textId="77777777" w:rsidTr="001465E1">
        <w:tc>
          <w:tcPr>
            <w:tcW w:w="702" w:type="pct"/>
            <w:tcBorders>
              <w:top w:val="single" w:sz="4" w:space="0" w:color="auto"/>
              <w:bottom w:val="single" w:sz="4" w:space="0" w:color="auto"/>
            </w:tcBorders>
          </w:tcPr>
          <w:p w14:paraId="4083C987" w14:textId="0BD854F2" w:rsidR="001465E1" w:rsidRPr="00376706" w:rsidRDefault="001465E1" w:rsidP="001465E1">
            <w:pPr>
              <w:pStyle w:val="TableText"/>
            </w:pPr>
            <w:r w:rsidRPr="00376706">
              <w:t>Sugar cane</w:t>
            </w:r>
          </w:p>
        </w:tc>
        <w:tc>
          <w:tcPr>
            <w:tcW w:w="720" w:type="pct"/>
            <w:tcBorders>
              <w:top w:val="single" w:sz="4" w:space="0" w:color="auto"/>
              <w:bottom w:val="single" w:sz="4" w:space="0" w:color="auto"/>
            </w:tcBorders>
          </w:tcPr>
          <w:p w14:paraId="1AD707D4" w14:textId="77777777" w:rsidR="001465E1" w:rsidRPr="00376706" w:rsidRDefault="001465E1" w:rsidP="001465E1">
            <w:pPr>
              <w:pStyle w:val="TableText"/>
            </w:pPr>
            <w:r w:rsidRPr="00376706">
              <w:t>*0.05 (current)</w:t>
            </w:r>
          </w:p>
        </w:tc>
        <w:tc>
          <w:tcPr>
            <w:tcW w:w="575" w:type="pct"/>
            <w:tcBorders>
              <w:top w:val="single" w:sz="4" w:space="0" w:color="auto"/>
              <w:bottom w:val="single" w:sz="4" w:space="0" w:color="auto"/>
            </w:tcBorders>
          </w:tcPr>
          <w:p w14:paraId="465403F1" w14:textId="6EC3E4A1" w:rsidR="001465E1" w:rsidRPr="00376706" w:rsidRDefault="001465E1" w:rsidP="001465E1">
            <w:pPr>
              <w:pStyle w:val="TableText"/>
            </w:pPr>
            <w:r>
              <w:t>–</w:t>
            </w:r>
          </w:p>
        </w:tc>
        <w:tc>
          <w:tcPr>
            <w:tcW w:w="647" w:type="pct"/>
            <w:tcBorders>
              <w:top w:val="single" w:sz="4" w:space="0" w:color="auto"/>
              <w:bottom w:val="single" w:sz="4" w:space="0" w:color="auto"/>
            </w:tcBorders>
          </w:tcPr>
          <w:p w14:paraId="202809AC" w14:textId="77777777" w:rsidR="001465E1" w:rsidRPr="00376706" w:rsidRDefault="001465E1" w:rsidP="001465E1">
            <w:pPr>
              <w:pStyle w:val="TableText"/>
            </w:pPr>
            <w:r w:rsidRPr="00376706">
              <w:t>*0.01</w:t>
            </w:r>
          </w:p>
        </w:tc>
        <w:tc>
          <w:tcPr>
            <w:tcW w:w="648" w:type="pct"/>
            <w:tcBorders>
              <w:top w:val="single" w:sz="4" w:space="0" w:color="auto"/>
              <w:bottom w:val="single" w:sz="4" w:space="0" w:color="auto"/>
            </w:tcBorders>
          </w:tcPr>
          <w:p w14:paraId="3B07CC26" w14:textId="77777777" w:rsidR="001465E1" w:rsidRPr="00376706" w:rsidRDefault="001465E1" w:rsidP="001465E1">
            <w:pPr>
              <w:pStyle w:val="TableText"/>
            </w:pPr>
            <w:r w:rsidRPr="00376706">
              <w:t>0.0</w:t>
            </w:r>
            <w:r>
              <w:t>2</w:t>
            </w:r>
          </w:p>
        </w:tc>
        <w:tc>
          <w:tcPr>
            <w:tcW w:w="575" w:type="pct"/>
            <w:tcBorders>
              <w:top w:val="single" w:sz="4" w:space="0" w:color="auto"/>
              <w:bottom w:val="single" w:sz="4" w:space="0" w:color="auto"/>
            </w:tcBorders>
          </w:tcPr>
          <w:p w14:paraId="352F9E47" w14:textId="3DBF15F7" w:rsidR="001465E1" w:rsidRPr="00376706" w:rsidRDefault="001465E1" w:rsidP="001465E1">
            <w:pPr>
              <w:pStyle w:val="TableText"/>
            </w:pPr>
            <w:r w:rsidRPr="00B42551">
              <w:t>–</w:t>
            </w:r>
          </w:p>
        </w:tc>
        <w:tc>
          <w:tcPr>
            <w:tcW w:w="508" w:type="pct"/>
            <w:tcBorders>
              <w:top w:val="single" w:sz="4" w:space="0" w:color="auto"/>
              <w:bottom w:val="single" w:sz="4" w:space="0" w:color="auto"/>
            </w:tcBorders>
          </w:tcPr>
          <w:p w14:paraId="7ED7E6C7" w14:textId="1943737C" w:rsidR="001465E1" w:rsidRPr="00376706" w:rsidRDefault="001465E1" w:rsidP="001465E1">
            <w:pPr>
              <w:pStyle w:val="TableText"/>
            </w:pPr>
            <w:r w:rsidRPr="00B42551">
              <w:t>–</w:t>
            </w:r>
          </w:p>
        </w:tc>
        <w:tc>
          <w:tcPr>
            <w:tcW w:w="625" w:type="pct"/>
            <w:tcBorders>
              <w:top w:val="single" w:sz="4" w:space="0" w:color="auto"/>
              <w:bottom w:val="single" w:sz="4" w:space="0" w:color="auto"/>
            </w:tcBorders>
          </w:tcPr>
          <w:p w14:paraId="3BBD4A18" w14:textId="77777777" w:rsidR="001465E1" w:rsidRPr="00376706" w:rsidRDefault="001465E1" w:rsidP="001465E1">
            <w:pPr>
              <w:pStyle w:val="TableText"/>
            </w:pPr>
            <w:r w:rsidRPr="00376706">
              <w:t>0.2</w:t>
            </w:r>
          </w:p>
        </w:tc>
      </w:tr>
      <w:tr w:rsidR="001465E1" w:rsidRPr="0058714E" w14:paraId="73D82202" w14:textId="77777777" w:rsidTr="001465E1">
        <w:tc>
          <w:tcPr>
            <w:tcW w:w="702" w:type="pct"/>
            <w:tcBorders>
              <w:top w:val="single" w:sz="4" w:space="0" w:color="auto"/>
              <w:bottom w:val="single" w:sz="4" w:space="0" w:color="auto"/>
            </w:tcBorders>
          </w:tcPr>
          <w:p w14:paraId="3B466648" w14:textId="77777777" w:rsidR="001465E1" w:rsidRPr="00376706" w:rsidRDefault="001465E1" w:rsidP="001465E1">
            <w:pPr>
              <w:pStyle w:val="TableText"/>
            </w:pPr>
            <w:r w:rsidRPr="00376706">
              <w:t>Fruits</w:t>
            </w:r>
          </w:p>
        </w:tc>
        <w:tc>
          <w:tcPr>
            <w:tcW w:w="720" w:type="pct"/>
            <w:tcBorders>
              <w:top w:val="single" w:sz="4" w:space="0" w:color="auto"/>
              <w:bottom w:val="single" w:sz="4" w:space="0" w:color="auto"/>
            </w:tcBorders>
          </w:tcPr>
          <w:p w14:paraId="16CEA975" w14:textId="77777777" w:rsidR="001465E1" w:rsidRDefault="001465E1" w:rsidP="001465E1">
            <w:pPr>
              <w:pStyle w:val="TableText"/>
            </w:pPr>
            <w:r>
              <w:t>*0.05</w:t>
            </w:r>
          </w:p>
          <w:p w14:paraId="1147A40E" w14:textId="77777777" w:rsidR="001465E1" w:rsidRDefault="001465E1" w:rsidP="001465E1">
            <w:pPr>
              <w:pStyle w:val="TableText"/>
            </w:pPr>
            <w:r>
              <w:t>(proposed for citrus)</w:t>
            </w:r>
          </w:p>
          <w:p w14:paraId="046D698F" w14:textId="77777777" w:rsidR="001465E1" w:rsidRDefault="001465E1" w:rsidP="001465E1">
            <w:pPr>
              <w:pStyle w:val="TableText"/>
            </w:pPr>
            <w:r>
              <w:t>*0.01 (proposed for berries, pome fruit, stone fruit)</w:t>
            </w:r>
          </w:p>
          <w:p w14:paraId="1C7150D2" w14:textId="77777777" w:rsidR="001465E1" w:rsidRPr="00376706" w:rsidRDefault="001465E1" w:rsidP="001465E1">
            <w:pPr>
              <w:pStyle w:val="TableText"/>
            </w:pPr>
            <w:r w:rsidRPr="00376706">
              <w:t>*0.05 (current</w:t>
            </w:r>
            <w:r>
              <w:t xml:space="preserve"> Fruits</w:t>
            </w:r>
            <w:r w:rsidRPr="00376706">
              <w:t>)</w:t>
            </w:r>
          </w:p>
        </w:tc>
        <w:tc>
          <w:tcPr>
            <w:tcW w:w="575" w:type="pct"/>
            <w:tcBorders>
              <w:top w:val="single" w:sz="4" w:space="0" w:color="auto"/>
              <w:bottom w:val="single" w:sz="4" w:space="0" w:color="auto"/>
            </w:tcBorders>
          </w:tcPr>
          <w:p w14:paraId="423636D2" w14:textId="77777777" w:rsidR="001465E1" w:rsidRPr="00376706" w:rsidRDefault="001465E1" w:rsidP="001465E1">
            <w:pPr>
              <w:pStyle w:val="TableText"/>
            </w:pPr>
            <w:r>
              <w:t>*</w:t>
            </w:r>
            <w:r w:rsidRPr="00376706">
              <w:t>0.02 (citrus fruits)</w:t>
            </w:r>
          </w:p>
          <w:p w14:paraId="34E1E869" w14:textId="77777777" w:rsidR="001465E1" w:rsidRPr="00376706" w:rsidRDefault="001465E1" w:rsidP="001465E1">
            <w:pPr>
              <w:pStyle w:val="TableText"/>
            </w:pPr>
            <w:r>
              <w:t>*</w:t>
            </w:r>
            <w:r w:rsidRPr="00376706">
              <w:t>0.02 (pome fruits)</w:t>
            </w:r>
          </w:p>
          <w:p w14:paraId="599DE0FB" w14:textId="77777777" w:rsidR="001465E1" w:rsidRPr="00376706" w:rsidRDefault="001465E1" w:rsidP="001465E1">
            <w:pPr>
              <w:pStyle w:val="TableText"/>
            </w:pPr>
            <w:r>
              <w:t>*</w:t>
            </w:r>
            <w:r w:rsidRPr="00376706">
              <w:t>0.02 (stone fruits)</w:t>
            </w:r>
          </w:p>
        </w:tc>
        <w:tc>
          <w:tcPr>
            <w:tcW w:w="647" w:type="pct"/>
            <w:tcBorders>
              <w:top w:val="single" w:sz="4" w:space="0" w:color="auto"/>
              <w:bottom w:val="single" w:sz="4" w:space="0" w:color="auto"/>
            </w:tcBorders>
          </w:tcPr>
          <w:p w14:paraId="18CCD90C" w14:textId="77777777" w:rsidR="001465E1" w:rsidRPr="00376706" w:rsidRDefault="001465E1" w:rsidP="001465E1">
            <w:pPr>
              <w:pStyle w:val="TableText"/>
            </w:pPr>
            <w:r w:rsidRPr="00376706">
              <w:t>0.02 (citrus fruits)</w:t>
            </w:r>
          </w:p>
          <w:p w14:paraId="05AF6F5D" w14:textId="77777777" w:rsidR="001465E1" w:rsidRPr="00376706" w:rsidRDefault="001465E1" w:rsidP="001465E1">
            <w:pPr>
              <w:pStyle w:val="TableText"/>
            </w:pPr>
            <w:r w:rsidRPr="00376706">
              <w:t>*0.01 (grapes)</w:t>
            </w:r>
          </w:p>
          <w:p w14:paraId="364FF9A2" w14:textId="77777777" w:rsidR="001465E1" w:rsidRPr="00376706" w:rsidRDefault="001465E1" w:rsidP="001465E1">
            <w:pPr>
              <w:pStyle w:val="TableText"/>
            </w:pPr>
            <w:r w:rsidRPr="00376706">
              <w:t>0.02 (pome fruits)</w:t>
            </w:r>
          </w:p>
          <w:p w14:paraId="35289431" w14:textId="77777777" w:rsidR="001465E1" w:rsidRPr="00376706" w:rsidRDefault="001465E1" w:rsidP="001465E1">
            <w:pPr>
              <w:pStyle w:val="TableText"/>
            </w:pPr>
            <w:r w:rsidRPr="00376706">
              <w:t>0.02 (</w:t>
            </w:r>
            <w:r>
              <w:t>stone fruit)</w:t>
            </w:r>
          </w:p>
        </w:tc>
        <w:tc>
          <w:tcPr>
            <w:tcW w:w="648" w:type="pct"/>
            <w:tcBorders>
              <w:top w:val="single" w:sz="4" w:space="0" w:color="auto"/>
              <w:bottom w:val="single" w:sz="4" w:space="0" w:color="auto"/>
            </w:tcBorders>
          </w:tcPr>
          <w:p w14:paraId="70C9FB8E" w14:textId="77777777" w:rsidR="001465E1" w:rsidRPr="00376706" w:rsidRDefault="001465E1" w:rsidP="001465E1">
            <w:pPr>
              <w:pStyle w:val="TableText"/>
            </w:pPr>
            <w:r w:rsidRPr="00376706">
              <w:t>0.0</w:t>
            </w:r>
            <w:r>
              <w:t>2</w:t>
            </w:r>
            <w:r w:rsidRPr="00376706">
              <w:t xml:space="preserve"> (lemon)</w:t>
            </w:r>
          </w:p>
          <w:p w14:paraId="0FC47C09" w14:textId="77777777" w:rsidR="001465E1" w:rsidRPr="00376706" w:rsidRDefault="001465E1" w:rsidP="001465E1">
            <w:pPr>
              <w:pStyle w:val="TableText"/>
            </w:pPr>
            <w:r w:rsidRPr="00376706">
              <w:t>0.0</w:t>
            </w:r>
            <w:r>
              <w:t>2</w:t>
            </w:r>
            <w:r w:rsidRPr="00376706">
              <w:t xml:space="preserve"> (orange)</w:t>
            </w:r>
          </w:p>
          <w:p w14:paraId="7FD72C13" w14:textId="77777777" w:rsidR="001465E1" w:rsidRPr="00376706" w:rsidRDefault="001465E1" w:rsidP="001465E1">
            <w:pPr>
              <w:pStyle w:val="TableText"/>
            </w:pPr>
            <w:r w:rsidRPr="00376706">
              <w:t>0.0</w:t>
            </w:r>
            <w:r>
              <w:t>2</w:t>
            </w:r>
            <w:r w:rsidRPr="00376706">
              <w:t xml:space="preserve"> (grapefruit)</w:t>
            </w:r>
          </w:p>
          <w:p w14:paraId="7CC2C7B0" w14:textId="77777777" w:rsidR="001465E1" w:rsidRPr="00376706" w:rsidRDefault="001465E1" w:rsidP="001465E1">
            <w:pPr>
              <w:pStyle w:val="TableText"/>
            </w:pPr>
            <w:r w:rsidRPr="00376706">
              <w:t>0.0</w:t>
            </w:r>
            <w:r>
              <w:t>2</w:t>
            </w:r>
            <w:r w:rsidRPr="00376706">
              <w:t xml:space="preserve"> (lime)</w:t>
            </w:r>
          </w:p>
          <w:p w14:paraId="5773B5A1" w14:textId="77777777" w:rsidR="001465E1" w:rsidRPr="00376706" w:rsidRDefault="001465E1" w:rsidP="001465E1">
            <w:pPr>
              <w:pStyle w:val="TableText"/>
            </w:pPr>
            <w:r w:rsidRPr="00376706">
              <w:t>0.0</w:t>
            </w:r>
            <w:r>
              <w:t>2</w:t>
            </w:r>
            <w:r w:rsidRPr="00376706">
              <w:t xml:space="preserve"> (apple)</w:t>
            </w:r>
          </w:p>
          <w:p w14:paraId="0D0BC3B9" w14:textId="77777777" w:rsidR="001465E1" w:rsidRPr="00376706" w:rsidRDefault="001465E1" w:rsidP="001465E1">
            <w:pPr>
              <w:pStyle w:val="TableText"/>
            </w:pPr>
            <w:r w:rsidRPr="00376706">
              <w:t>0.0</w:t>
            </w:r>
            <w:r>
              <w:t>2</w:t>
            </w:r>
            <w:r w:rsidRPr="00376706">
              <w:t xml:space="preserve"> (pear)</w:t>
            </w:r>
          </w:p>
          <w:p w14:paraId="176048B5" w14:textId="77777777" w:rsidR="001465E1" w:rsidRPr="00376706" w:rsidRDefault="001465E1" w:rsidP="001465E1">
            <w:pPr>
              <w:pStyle w:val="TableText"/>
            </w:pPr>
            <w:r w:rsidRPr="00376706">
              <w:t>0.0</w:t>
            </w:r>
            <w:r>
              <w:t>2</w:t>
            </w:r>
            <w:r w:rsidRPr="00376706">
              <w:t xml:space="preserve"> (peach, nectarine, apricot, plum, cherry)</w:t>
            </w:r>
          </w:p>
          <w:p w14:paraId="63D1F994" w14:textId="77777777" w:rsidR="001465E1" w:rsidRPr="00376706" w:rsidRDefault="001465E1" w:rsidP="001465E1">
            <w:pPr>
              <w:pStyle w:val="TableText"/>
            </w:pPr>
            <w:r w:rsidRPr="00376706">
              <w:t>0.0</w:t>
            </w:r>
            <w:r>
              <w:t>1</w:t>
            </w:r>
            <w:r w:rsidRPr="00376706">
              <w:t xml:space="preserve"> (grape)</w:t>
            </w:r>
          </w:p>
        </w:tc>
        <w:tc>
          <w:tcPr>
            <w:tcW w:w="575" w:type="pct"/>
            <w:tcBorders>
              <w:top w:val="single" w:sz="4" w:space="0" w:color="auto"/>
              <w:bottom w:val="single" w:sz="4" w:space="0" w:color="auto"/>
            </w:tcBorders>
          </w:tcPr>
          <w:p w14:paraId="09609AF4" w14:textId="7C339721" w:rsidR="001465E1" w:rsidRPr="00376706" w:rsidRDefault="001465E1" w:rsidP="001465E1">
            <w:pPr>
              <w:pStyle w:val="TableText"/>
            </w:pPr>
            <w:r w:rsidRPr="00814EF2">
              <w:t>–</w:t>
            </w:r>
          </w:p>
        </w:tc>
        <w:tc>
          <w:tcPr>
            <w:tcW w:w="508" w:type="pct"/>
            <w:tcBorders>
              <w:top w:val="single" w:sz="4" w:space="0" w:color="auto"/>
              <w:bottom w:val="single" w:sz="4" w:space="0" w:color="auto"/>
            </w:tcBorders>
          </w:tcPr>
          <w:p w14:paraId="5A25439A" w14:textId="5DF4C8F5" w:rsidR="001465E1" w:rsidRPr="00376706" w:rsidRDefault="001465E1" w:rsidP="001465E1">
            <w:pPr>
              <w:pStyle w:val="TableText"/>
            </w:pPr>
            <w:r w:rsidRPr="00814EF2">
              <w:t>–</w:t>
            </w:r>
          </w:p>
        </w:tc>
        <w:tc>
          <w:tcPr>
            <w:tcW w:w="625" w:type="pct"/>
            <w:tcBorders>
              <w:top w:val="single" w:sz="4" w:space="0" w:color="auto"/>
              <w:bottom w:val="single" w:sz="4" w:space="0" w:color="auto"/>
            </w:tcBorders>
          </w:tcPr>
          <w:p w14:paraId="629F574A" w14:textId="77777777" w:rsidR="001465E1" w:rsidRPr="00376706" w:rsidRDefault="001465E1" w:rsidP="001465E1">
            <w:pPr>
              <w:pStyle w:val="TableText"/>
            </w:pPr>
            <w:r w:rsidRPr="00376706">
              <w:t>0.05 (grape)</w:t>
            </w:r>
          </w:p>
          <w:p w14:paraId="15E4A4C0" w14:textId="77777777" w:rsidR="001465E1" w:rsidRPr="00376706" w:rsidRDefault="001465E1" w:rsidP="001465E1">
            <w:pPr>
              <w:pStyle w:val="TableText"/>
            </w:pPr>
            <w:r w:rsidRPr="00376706">
              <w:t>0.05 (citrus group 10)</w:t>
            </w:r>
          </w:p>
          <w:p w14:paraId="7F911EAE" w14:textId="77777777" w:rsidR="001465E1" w:rsidRPr="00376706" w:rsidRDefault="001465E1" w:rsidP="001465E1">
            <w:pPr>
              <w:pStyle w:val="TableText"/>
            </w:pPr>
            <w:r w:rsidRPr="00376706">
              <w:t>0.02 (pome group 11)</w:t>
            </w:r>
          </w:p>
          <w:p w14:paraId="7D52FD9B" w14:textId="77777777" w:rsidR="001465E1" w:rsidRPr="00376706" w:rsidRDefault="001465E1" w:rsidP="001465E1">
            <w:pPr>
              <w:pStyle w:val="TableText"/>
            </w:pPr>
            <w:r w:rsidRPr="00376706">
              <w:t>0.02 (stone group 12)</w:t>
            </w:r>
          </w:p>
        </w:tc>
      </w:tr>
      <w:tr w:rsidR="001465E1" w:rsidRPr="0058714E" w14:paraId="70FCF2B7" w14:textId="77777777" w:rsidTr="001465E1">
        <w:tc>
          <w:tcPr>
            <w:tcW w:w="702" w:type="pct"/>
            <w:tcBorders>
              <w:top w:val="single" w:sz="4" w:space="0" w:color="auto"/>
              <w:bottom w:val="single" w:sz="4" w:space="0" w:color="auto"/>
            </w:tcBorders>
          </w:tcPr>
          <w:p w14:paraId="459DACEC" w14:textId="40492A49" w:rsidR="00D2528E" w:rsidRPr="00376706" w:rsidRDefault="00D2528E" w:rsidP="00D2528E">
            <w:pPr>
              <w:pStyle w:val="TableText"/>
            </w:pPr>
            <w:r w:rsidRPr="00376706">
              <w:lastRenderedPageBreak/>
              <w:t>Edible offal</w:t>
            </w:r>
            <w:r w:rsidR="001465E1">
              <w:t xml:space="preserve"> </w:t>
            </w:r>
            <w:r w:rsidRPr="00376706">
              <w:t>(mammalian)</w:t>
            </w:r>
          </w:p>
        </w:tc>
        <w:tc>
          <w:tcPr>
            <w:tcW w:w="720" w:type="pct"/>
            <w:tcBorders>
              <w:top w:val="single" w:sz="4" w:space="0" w:color="auto"/>
              <w:bottom w:val="single" w:sz="4" w:space="0" w:color="auto"/>
            </w:tcBorders>
          </w:tcPr>
          <w:p w14:paraId="4CFFBFDC" w14:textId="77777777" w:rsidR="00D2528E" w:rsidRPr="00376706" w:rsidRDefault="00D2528E" w:rsidP="00D2528E">
            <w:pPr>
              <w:pStyle w:val="TableText"/>
            </w:pPr>
            <w:r w:rsidRPr="00376706">
              <w:t>*0.05 (current)</w:t>
            </w:r>
          </w:p>
        </w:tc>
        <w:tc>
          <w:tcPr>
            <w:tcW w:w="575" w:type="pct"/>
            <w:tcBorders>
              <w:top w:val="single" w:sz="4" w:space="0" w:color="auto"/>
              <w:bottom w:val="single" w:sz="4" w:space="0" w:color="auto"/>
            </w:tcBorders>
          </w:tcPr>
          <w:p w14:paraId="0A704ADE" w14:textId="77777777" w:rsidR="00D2528E" w:rsidRPr="00376706" w:rsidRDefault="00D2528E" w:rsidP="00D2528E">
            <w:pPr>
              <w:pStyle w:val="TableText"/>
            </w:pPr>
            <w:r>
              <w:t>*0.01</w:t>
            </w:r>
          </w:p>
        </w:tc>
        <w:tc>
          <w:tcPr>
            <w:tcW w:w="647" w:type="pct"/>
            <w:tcBorders>
              <w:top w:val="single" w:sz="4" w:space="0" w:color="auto"/>
              <w:bottom w:val="single" w:sz="4" w:space="0" w:color="auto"/>
            </w:tcBorders>
          </w:tcPr>
          <w:p w14:paraId="10F4E85D" w14:textId="77777777" w:rsidR="00D2528E" w:rsidRPr="00376706" w:rsidRDefault="00D2528E" w:rsidP="00D2528E">
            <w:pPr>
              <w:pStyle w:val="TableText"/>
            </w:pPr>
            <w:r w:rsidRPr="00376706">
              <w:t>*0.05 (bovine)</w:t>
            </w:r>
          </w:p>
        </w:tc>
        <w:tc>
          <w:tcPr>
            <w:tcW w:w="648" w:type="pct"/>
            <w:tcBorders>
              <w:top w:val="single" w:sz="4" w:space="0" w:color="auto"/>
              <w:bottom w:val="single" w:sz="4" w:space="0" w:color="auto"/>
            </w:tcBorders>
          </w:tcPr>
          <w:p w14:paraId="1E82F6BA" w14:textId="77777777" w:rsidR="00D2528E" w:rsidRPr="00376706" w:rsidRDefault="00D2528E" w:rsidP="00D2528E">
            <w:pPr>
              <w:pStyle w:val="TableText"/>
            </w:pPr>
            <w:r w:rsidRPr="00376706">
              <w:t>0.0</w:t>
            </w:r>
            <w:r>
              <w:t>1</w:t>
            </w:r>
            <w:r w:rsidRPr="00376706">
              <w:t xml:space="preserve"> (cattle liver)</w:t>
            </w:r>
          </w:p>
          <w:p w14:paraId="2140073A" w14:textId="77777777" w:rsidR="00D2528E" w:rsidRPr="00376706" w:rsidRDefault="00D2528E" w:rsidP="00D2528E">
            <w:pPr>
              <w:pStyle w:val="TableText"/>
            </w:pPr>
            <w:r w:rsidRPr="00376706">
              <w:t>0.0</w:t>
            </w:r>
            <w:r>
              <w:t>1</w:t>
            </w:r>
            <w:r w:rsidRPr="00376706">
              <w:t xml:space="preserve"> (cattle kidney)</w:t>
            </w:r>
          </w:p>
        </w:tc>
        <w:tc>
          <w:tcPr>
            <w:tcW w:w="575" w:type="pct"/>
            <w:tcBorders>
              <w:top w:val="single" w:sz="4" w:space="0" w:color="auto"/>
              <w:bottom w:val="single" w:sz="4" w:space="0" w:color="auto"/>
            </w:tcBorders>
          </w:tcPr>
          <w:p w14:paraId="306204C1" w14:textId="0FF0FF68" w:rsidR="00D2528E" w:rsidRPr="00376706" w:rsidRDefault="001465E1" w:rsidP="00D2528E">
            <w:pPr>
              <w:pStyle w:val="TableText"/>
            </w:pPr>
            <w:r>
              <w:t>–</w:t>
            </w:r>
          </w:p>
        </w:tc>
        <w:tc>
          <w:tcPr>
            <w:tcW w:w="508" w:type="pct"/>
            <w:tcBorders>
              <w:top w:val="single" w:sz="4" w:space="0" w:color="auto"/>
              <w:bottom w:val="single" w:sz="4" w:space="0" w:color="auto"/>
            </w:tcBorders>
          </w:tcPr>
          <w:p w14:paraId="3B5D1AEF" w14:textId="77777777" w:rsidR="00D2528E" w:rsidRPr="00376706" w:rsidRDefault="00D2528E" w:rsidP="00D2528E">
            <w:pPr>
              <w:pStyle w:val="TableText"/>
            </w:pPr>
            <w:r w:rsidRPr="00376706">
              <w:t>0.05</w:t>
            </w:r>
          </w:p>
        </w:tc>
        <w:tc>
          <w:tcPr>
            <w:tcW w:w="625" w:type="pct"/>
            <w:tcBorders>
              <w:top w:val="single" w:sz="4" w:space="0" w:color="auto"/>
              <w:bottom w:val="single" w:sz="4" w:space="0" w:color="auto"/>
            </w:tcBorders>
          </w:tcPr>
          <w:p w14:paraId="7DDF0CDA" w14:textId="77777777" w:rsidR="00D2528E" w:rsidRPr="00376706" w:rsidRDefault="00D2528E" w:rsidP="00D2528E">
            <w:pPr>
              <w:pStyle w:val="TableText"/>
            </w:pPr>
            <w:r w:rsidRPr="00376706">
              <w:t>0.05 (cattle meat byproducts)</w:t>
            </w:r>
          </w:p>
        </w:tc>
      </w:tr>
      <w:tr w:rsidR="001465E1" w:rsidRPr="0058714E" w14:paraId="51748AF4" w14:textId="77777777" w:rsidTr="001465E1">
        <w:tc>
          <w:tcPr>
            <w:tcW w:w="702" w:type="pct"/>
            <w:tcBorders>
              <w:top w:val="single" w:sz="4" w:space="0" w:color="auto"/>
              <w:bottom w:val="single" w:sz="4" w:space="0" w:color="auto"/>
            </w:tcBorders>
          </w:tcPr>
          <w:p w14:paraId="32F8497F" w14:textId="77777777" w:rsidR="00D2528E" w:rsidRPr="00376706" w:rsidRDefault="00D2528E" w:rsidP="00D2528E">
            <w:pPr>
              <w:pStyle w:val="TableText"/>
            </w:pPr>
            <w:r w:rsidRPr="00376706">
              <w:t>Meat [mammalian]</w:t>
            </w:r>
          </w:p>
        </w:tc>
        <w:tc>
          <w:tcPr>
            <w:tcW w:w="720" w:type="pct"/>
            <w:tcBorders>
              <w:top w:val="single" w:sz="4" w:space="0" w:color="auto"/>
              <w:bottom w:val="single" w:sz="4" w:space="0" w:color="auto"/>
            </w:tcBorders>
          </w:tcPr>
          <w:p w14:paraId="7A286014" w14:textId="77777777" w:rsidR="00D2528E" w:rsidRPr="00376706" w:rsidRDefault="00D2528E" w:rsidP="00D2528E">
            <w:pPr>
              <w:pStyle w:val="TableText"/>
            </w:pPr>
            <w:r w:rsidRPr="00376706">
              <w:t>*0.05 (current)</w:t>
            </w:r>
          </w:p>
        </w:tc>
        <w:tc>
          <w:tcPr>
            <w:tcW w:w="575" w:type="pct"/>
            <w:tcBorders>
              <w:top w:val="single" w:sz="4" w:space="0" w:color="auto"/>
              <w:bottom w:val="single" w:sz="4" w:space="0" w:color="auto"/>
            </w:tcBorders>
          </w:tcPr>
          <w:p w14:paraId="79FAE263" w14:textId="77777777" w:rsidR="00D2528E" w:rsidRPr="00376706" w:rsidRDefault="00D2528E" w:rsidP="00D2528E">
            <w:pPr>
              <w:pStyle w:val="TableText"/>
            </w:pPr>
            <w:r>
              <w:t>*0.01</w:t>
            </w:r>
          </w:p>
        </w:tc>
        <w:tc>
          <w:tcPr>
            <w:tcW w:w="647" w:type="pct"/>
            <w:tcBorders>
              <w:top w:val="single" w:sz="4" w:space="0" w:color="auto"/>
              <w:bottom w:val="single" w:sz="4" w:space="0" w:color="auto"/>
            </w:tcBorders>
          </w:tcPr>
          <w:p w14:paraId="28CBEB60" w14:textId="77777777" w:rsidR="00D2528E" w:rsidRPr="00376706" w:rsidRDefault="00D2528E" w:rsidP="00D2528E">
            <w:pPr>
              <w:pStyle w:val="TableText"/>
            </w:pPr>
            <w:r w:rsidRPr="00376706">
              <w:t>*0.05 (bovine)</w:t>
            </w:r>
          </w:p>
        </w:tc>
        <w:tc>
          <w:tcPr>
            <w:tcW w:w="648" w:type="pct"/>
            <w:tcBorders>
              <w:top w:val="single" w:sz="4" w:space="0" w:color="auto"/>
              <w:bottom w:val="single" w:sz="4" w:space="0" w:color="auto"/>
            </w:tcBorders>
          </w:tcPr>
          <w:p w14:paraId="32117BA5" w14:textId="77777777" w:rsidR="00D2528E" w:rsidRPr="00376706" w:rsidRDefault="00D2528E" w:rsidP="00D2528E">
            <w:pPr>
              <w:pStyle w:val="TableText"/>
            </w:pPr>
            <w:r w:rsidRPr="00376706">
              <w:t>0.0</w:t>
            </w:r>
            <w:r>
              <w:t>1</w:t>
            </w:r>
            <w:r w:rsidRPr="00376706">
              <w:t xml:space="preserve"> (cattle muscle)</w:t>
            </w:r>
          </w:p>
          <w:p w14:paraId="63C14480" w14:textId="77777777" w:rsidR="00D2528E" w:rsidRPr="00376706" w:rsidRDefault="00D2528E" w:rsidP="00D2528E">
            <w:pPr>
              <w:pStyle w:val="TableText"/>
            </w:pPr>
            <w:r w:rsidRPr="00376706">
              <w:t>0.0</w:t>
            </w:r>
            <w:r>
              <w:t>1</w:t>
            </w:r>
            <w:r w:rsidRPr="00376706">
              <w:t xml:space="preserve"> (cattle fat)</w:t>
            </w:r>
          </w:p>
        </w:tc>
        <w:tc>
          <w:tcPr>
            <w:tcW w:w="575" w:type="pct"/>
            <w:tcBorders>
              <w:top w:val="single" w:sz="4" w:space="0" w:color="auto"/>
              <w:bottom w:val="single" w:sz="4" w:space="0" w:color="auto"/>
            </w:tcBorders>
          </w:tcPr>
          <w:p w14:paraId="086DE15B" w14:textId="598BC7B0" w:rsidR="00D2528E" w:rsidRPr="00376706" w:rsidRDefault="001465E1" w:rsidP="00D2528E">
            <w:pPr>
              <w:pStyle w:val="TableText"/>
            </w:pPr>
            <w:r>
              <w:t>–</w:t>
            </w:r>
          </w:p>
        </w:tc>
        <w:tc>
          <w:tcPr>
            <w:tcW w:w="508" w:type="pct"/>
            <w:tcBorders>
              <w:top w:val="single" w:sz="4" w:space="0" w:color="auto"/>
              <w:bottom w:val="single" w:sz="4" w:space="0" w:color="auto"/>
            </w:tcBorders>
          </w:tcPr>
          <w:p w14:paraId="7A6B2763" w14:textId="77777777" w:rsidR="00D2528E" w:rsidRPr="00376706" w:rsidRDefault="00D2528E" w:rsidP="00D2528E">
            <w:pPr>
              <w:pStyle w:val="TableText"/>
            </w:pPr>
            <w:r w:rsidRPr="00376706">
              <w:t>0.05</w:t>
            </w:r>
          </w:p>
        </w:tc>
        <w:tc>
          <w:tcPr>
            <w:tcW w:w="625" w:type="pct"/>
            <w:tcBorders>
              <w:top w:val="single" w:sz="4" w:space="0" w:color="auto"/>
              <w:bottom w:val="single" w:sz="4" w:space="0" w:color="auto"/>
            </w:tcBorders>
          </w:tcPr>
          <w:p w14:paraId="7BD2FE2B" w14:textId="77777777" w:rsidR="00D2528E" w:rsidRPr="00376706" w:rsidRDefault="00D2528E" w:rsidP="00D2528E">
            <w:pPr>
              <w:pStyle w:val="TableText"/>
            </w:pPr>
            <w:r w:rsidRPr="00376706">
              <w:t>0.05 (cattle meat)</w:t>
            </w:r>
          </w:p>
          <w:p w14:paraId="686DA58A" w14:textId="77777777" w:rsidR="00D2528E" w:rsidRPr="00376706" w:rsidRDefault="00D2528E" w:rsidP="00D2528E">
            <w:pPr>
              <w:pStyle w:val="TableText"/>
            </w:pPr>
            <w:r w:rsidRPr="00376706">
              <w:t>0.05 (cattle fat)</w:t>
            </w:r>
          </w:p>
        </w:tc>
      </w:tr>
      <w:tr w:rsidR="001465E1" w:rsidRPr="0058714E" w14:paraId="136B9062" w14:textId="77777777" w:rsidTr="001465E1">
        <w:tc>
          <w:tcPr>
            <w:tcW w:w="702" w:type="pct"/>
            <w:tcBorders>
              <w:top w:val="single" w:sz="4" w:space="0" w:color="auto"/>
              <w:bottom w:val="single" w:sz="4" w:space="0" w:color="auto"/>
            </w:tcBorders>
          </w:tcPr>
          <w:p w14:paraId="7F039B16" w14:textId="77777777" w:rsidR="00D2528E" w:rsidRPr="00376706" w:rsidRDefault="00D2528E" w:rsidP="00D2528E">
            <w:pPr>
              <w:pStyle w:val="TableText"/>
            </w:pPr>
            <w:r w:rsidRPr="00376706">
              <w:t>Milks</w:t>
            </w:r>
          </w:p>
        </w:tc>
        <w:tc>
          <w:tcPr>
            <w:tcW w:w="720" w:type="pct"/>
            <w:tcBorders>
              <w:top w:val="single" w:sz="4" w:space="0" w:color="auto"/>
              <w:bottom w:val="single" w:sz="4" w:space="0" w:color="auto"/>
            </w:tcBorders>
          </w:tcPr>
          <w:p w14:paraId="4861A323" w14:textId="77777777" w:rsidR="00D2528E" w:rsidRPr="00376706" w:rsidRDefault="00D2528E" w:rsidP="00D2528E">
            <w:pPr>
              <w:pStyle w:val="TableText"/>
            </w:pPr>
            <w:r w:rsidRPr="00376706">
              <w:t>*0.01 (current)</w:t>
            </w:r>
          </w:p>
        </w:tc>
        <w:tc>
          <w:tcPr>
            <w:tcW w:w="575" w:type="pct"/>
            <w:tcBorders>
              <w:top w:val="single" w:sz="4" w:space="0" w:color="auto"/>
              <w:bottom w:val="single" w:sz="4" w:space="0" w:color="auto"/>
            </w:tcBorders>
          </w:tcPr>
          <w:p w14:paraId="64BC5133" w14:textId="77777777" w:rsidR="00D2528E" w:rsidRPr="00376706" w:rsidRDefault="00D2528E" w:rsidP="00D2528E">
            <w:pPr>
              <w:pStyle w:val="TableText"/>
            </w:pPr>
            <w:r>
              <w:t>*0.001</w:t>
            </w:r>
          </w:p>
        </w:tc>
        <w:tc>
          <w:tcPr>
            <w:tcW w:w="647" w:type="pct"/>
            <w:tcBorders>
              <w:top w:val="single" w:sz="4" w:space="0" w:color="auto"/>
              <w:bottom w:val="single" w:sz="4" w:space="0" w:color="auto"/>
            </w:tcBorders>
          </w:tcPr>
          <w:p w14:paraId="2784096A" w14:textId="77777777" w:rsidR="00D2528E" w:rsidRPr="00376706" w:rsidRDefault="00D2528E" w:rsidP="00D2528E">
            <w:pPr>
              <w:pStyle w:val="TableText"/>
            </w:pPr>
            <w:r w:rsidRPr="00376706">
              <w:t>*0.01</w:t>
            </w:r>
          </w:p>
        </w:tc>
        <w:tc>
          <w:tcPr>
            <w:tcW w:w="648" w:type="pct"/>
            <w:tcBorders>
              <w:top w:val="single" w:sz="4" w:space="0" w:color="auto"/>
              <w:bottom w:val="single" w:sz="4" w:space="0" w:color="auto"/>
            </w:tcBorders>
          </w:tcPr>
          <w:p w14:paraId="0F69F2F7" w14:textId="77777777" w:rsidR="00D2528E" w:rsidRPr="00376706" w:rsidRDefault="00D2528E" w:rsidP="00D2528E">
            <w:pPr>
              <w:pStyle w:val="TableText"/>
            </w:pPr>
            <w:r w:rsidRPr="00376706">
              <w:t>0.0</w:t>
            </w:r>
            <w:r>
              <w:t>0</w:t>
            </w:r>
            <w:r w:rsidRPr="00376706">
              <w:t>1</w:t>
            </w:r>
          </w:p>
        </w:tc>
        <w:tc>
          <w:tcPr>
            <w:tcW w:w="575" w:type="pct"/>
            <w:tcBorders>
              <w:top w:val="single" w:sz="4" w:space="0" w:color="auto"/>
              <w:bottom w:val="single" w:sz="4" w:space="0" w:color="auto"/>
            </w:tcBorders>
          </w:tcPr>
          <w:p w14:paraId="6E9A9DD5" w14:textId="48A98881" w:rsidR="00D2528E" w:rsidRPr="00376706" w:rsidRDefault="001465E1" w:rsidP="00D2528E">
            <w:pPr>
              <w:pStyle w:val="TableText"/>
            </w:pPr>
            <w:r>
              <w:t>–</w:t>
            </w:r>
          </w:p>
        </w:tc>
        <w:tc>
          <w:tcPr>
            <w:tcW w:w="508" w:type="pct"/>
            <w:tcBorders>
              <w:top w:val="single" w:sz="4" w:space="0" w:color="auto"/>
              <w:bottom w:val="single" w:sz="4" w:space="0" w:color="auto"/>
            </w:tcBorders>
          </w:tcPr>
          <w:p w14:paraId="3CA5E5BF" w14:textId="77777777" w:rsidR="00D2528E" w:rsidRPr="00376706" w:rsidRDefault="00D2528E" w:rsidP="00D2528E">
            <w:pPr>
              <w:pStyle w:val="TableText"/>
            </w:pPr>
            <w:r w:rsidRPr="00376706">
              <w:t>0.01</w:t>
            </w:r>
          </w:p>
        </w:tc>
        <w:tc>
          <w:tcPr>
            <w:tcW w:w="625" w:type="pct"/>
            <w:tcBorders>
              <w:top w:val="single" w:sz="4" w:space="0" w:color="auto"/>
              <w:bottom w:val="single" w:sz="4" w:space="0" w:color="auto"/>
            </w:tcBorders>
          </w:tcPr>
          <w:p w14:paraId="436BA37B" w14:textId="77777777" w:rsidR="00D2528E" w:rsidRPr="00376706" w:rsidRDefault="00D2528E" w:rsidP="00D2528E">
            <w:pPr>
              <w:pStyle w:val="TableText"/>
            </w:pPr>
            <w:r w:rsidRPr="00376706">
              <w:t>0.02</w:t>
            </w:r>
          </w:p>
        </w:tc>
      </w:tr>
    </w:tbl>
    <w:p w14:paraId="1B903CD3" w14:textId="40AE586C" w:rsidR="003C1FC8" w:rsidRDefault="003C1FC8" w:rsidP="003C1FC8">
      <w:pPr>
        <w:pStyle w:val="NormalText"/>
      </w:pPr>
      <w:r w:rsidRPr="00D74EF9">
        <w:t>Export of treated produce containing fini</w:t>
      </w:r>
      <w:r>
        <w:t>te (measurable) residues of di</w:t>
      </w:r>
      <w:r w:rsidRPr="00D74EF9">
        <w:t xml:space="preserve">quat may pose a risk to Australian trade in situations where </w:t>
      </w:r>
      <w:r w:rsidR="001374F5">
        <w:t xml:space="preserve">either </w:t>
      </w:r>
      <w:r w:rsidRPr="00D74EF9">
        <w:t>no residue tolerance (import tolerance) is established in the importing country or where residues in Australian produce are likely to exceed a residue tolerance (import tolerance) established in the importing country.</w:t>
      </w:r>
    </w:p>
    <w:p w14:paraId="2ED2B261" w14:textId="2ED68D29" w:rsidR="00D2528E" w:rsidRPr="000453F3" w:rsidRDefault="00D2528E" w:rsidP="00D2528E">
      <w:pPr>
        <w:pStyle w:val="NormalText"/>
      </w:pPr>
      <w:r>
        <w:t>It is noted that following the</w:t>
      </w:r>
      <w:r w:rsidRPr="000F0310">
        <w:t xml:space="preserve"> 2019 </w:t>
      </w:r>
      <w:r>
        <w:t>Codex Committee on Pesticide Residues (</w:t>
      </w:r>
      <w:r w:rsidRPr="000F0310">
        <w:t>CCPR</w:t>
      </w:r>
      <w:r>
        <w:t>)</w:t>
      </w:r>
      <w:r w:rsidRPr="000F0310">
        <w:t xml:space="preserve"> the </w:t>
      </w:r>
      <w:r w:rsidR="001374F5">
        <w:t xml:space="preserve">Codex MRL’s </w:t>
      </w:r>
      <w:r w:rsidRPr="000F0310">
        <w:t>for oats</w:t>
      </w:r>
      <w:r>
        <w:t xml:space="preserve"> (2</w:t>
      </w:r>
      <w:r w:rsidR="001465E1">
        <w:t> </w:t>
      </w:r>
      <w:r>
        <w:t>mg/kg)</w:t>
      </w:r>
      <w:r w:rsidRPr="000F0310">
        <w:t>; wheat</w:t>
      </w:r>
      <w:r>
        <w:t xml:space="preserve"> (2 mg/kg)</w:t>
      </w:r>
      <w:r w:rsidRPr="000F0310">
        <w:t>; wheat bran, unprocessed</w:t>
      </w:r>
      <w:r>
        <w:t xml:space="preserve"> (2 mg/kg)</w:t>
      </w:r>
      <w:r w:rsidRPr="000F0310">
        <w:t>; wheat flour</w:t>
      </w:r>
      <w:r>
        <w:t xml:space="preserve"> (0.5 mg/kg)</w:t>
      </w:r>
      <w:r w:rsidRPr="000F0310">
        <w:t>; and wheat wholemeal</w:t>
      </w:r>
      <w:r>
        <w:t xml:space="preserve"> (2</w:t>
      </w:r>
      <w:r w:rsidR="001465E1">
        <w:t> </w:t>
      </w:r>
      <w:r>
        <w:t>mg/kg) were revoked. These MRLs were revoked following the 2018 JMPR assessment that concluded that a MRL could not be recommended as they did not have data that matched the critical GAP which was assessed by the JMPR.</w:t>
      </w:r>
    </w:p>
    <w:p w14:paraId="3170A6B0" w14:textId="491A5608" w:rsidR="00D2528E" w:rsidRDefault="00D2528E" w:rsidP="00D2528E">
      <w:pPr>
        <w:pStyle w:val="NormalText"/>
      </w:pPr>
      <w:r>
        <w:t>The cereal use patterns have not changed, and no changes have been proposed to the barley, wheat and rye MRLs. The barley MRL is at the same levels as that established by Codex but</w:t>
      </w:r>
      <w:r w:rsidR="003C1FC8">
        <w:t>,</w:t>
      </w:r>
      <w:r>
        <w:t xml:space="preserve"> </w:t>
      </w:r>
      <w:r w:rsidR="003C1FC8">
        <w:t>as</w:t>
      </w:r>
      <w:r>
        <w:t xml:space="preserve"> noted</w:t>
      </w:r>
      <w:r w:rsidR="003C1FC8">
        <w:t>,</w:t>
      </w:r>
      <w:r>
        <w:t xml:space="preserve"> the Codex MRLs for </w:t>
      </w:r>
      <w:r w:rsidRPr="00CB247A">
        <w:t>oats</w:t>
      </w:r>
      <w:r>
        <w:t xml:space="preserve"> and</w:t>
      </w:r>
      <w:r w:rsidRPr="00CB247A">
        <w:t xml:space="preserve"> wheat</w:t>
      </w:r>
      <w:r>
        <w:t xml:space="preserve"> (including processed fractions) were withdrawn in 2019. The Australian MRL for oats is proposed to be reduced to 2 mg/kg, which is the same as established in the EU and Japan, but higher than the USA. The maize MRL will be reduced to *0.05 mg/kg reflecting the supported use pattern at crop establishment. Although the supported MRLs for several cereal grains (with pre-harvest use) are higher than the standards in several markets this risk to trade has been managed in the past. It is noted that the pre-harvest uses on rice and sorghum are no longer supported.</w:t>
      </w:r>
    </w:p>
    <w:p w14:paraId="1F59C08E" w14:textId="6E119F04" w:rsidR="00D2528E" w:rsidRDefault="00D2528E" w:rsidP="00D2528E">
      <w:pPr>
        <w:pStyle w:val="NormalText"/>
      </w:pPr>
      <w:r>
        <w:t>Use on cotton will not be supported . A longer withholding period will be recommended for canola which will allow the diquat rapeseed MRL to be reduced to 2</w:t>
      </w:r>
      <w:r w:rsidR="001465E1">
        <w:t> </w:t>
      </w:r>
      <w:r>
        <w:t>mg/kg which is similar to those MRLs established by Codex and in most overseas markets (except Taiwan).</w:t>
      </w:r>
    </w:p>
    <w:p w14:paraId="2550BEEA" w14:textId="77777777" w:rsidR="00D2528E" w:rsidRDefault="00D2528E" w:rsidP="00D2528E">
      <w:pPr>
        <w:pStyle w:val="NormalText"/>
      </w:pPr>
      <w:r>
        <w:t>No changes have been proposed to the current diquat pulse MRL at 1 mg/kg which again is higher than the tolerances established overseas. As no changes have been proposed to current use patterns, this risk is also unchanged.</w:t>
      </w:r>
    </w:p>
    <w:p w14:paraId="3DE940F6" w14:textId="77777777" w:rsidR="00D2528E" w:rsidRDefault="00D2528E" w:rsidP="00D2528E">
      <w:pPr>
        <w:pStyle w:val="NormalText"/>
      </w:pPr>
      <w:r>
        <w:t>The current Fruits and sugar cane MRLs for diquat are both established at the LOQ for the analytical method. No changes are proposed to the sugar cane MRL. The fruits MRL will be expanded into the Codex fruit commodity groups at the relevant LOQ for each crop. The risk to trade in these commodities is low.</w:t>
      </w:r>
    </w:p>
    <w:p w14:paraId="6B10DC30" w14:textId="77777777" w:rsidR="00D2528E" w:rsidRDefault="00D2528E" w:rsidP="00D2528E">
      <w:pPr>
        <w:pStyle w:val="NormalText"/>
      </w:pPr>
      <w:r>
        <w:t>No changes have been recommended to the current animal commodity MRLs for diquat which are established at the LOQ for the analytical method. The risk to trade in commodities of animal origin is low.</w:t>
      </w:r>
    </w:p>
    <w:p w14:paraId="12622844" w14:textId="0517E16B" w:rsidR="00D2528E" w:rsidRDefault="00D2528E" w:rsidP="00D2528E">
      <w:pPr>
        <w:pStyle w:val="NormalText"/>
      </w:pPr>
      <w:r>
        <w:lastRenderedPageBreak/>
        <w:t xml:space="preserve">Oaten hay is also a major export commodity, noting that an MRL of 100 mg/kg has been recommended for diquat on AS 0162 </w:t>
      </w:r>
      <w:r w:rsidRPr="00946788">
        <w:t>Hay and fodder of grasses (dry)</w:t>
      </w:r>
      <w:r>
        <w:t xml:space="preserve">. </w:t>
      </w:r>
      <w:r w:rsidRPr="00946788">
        <w:t>Approximately 85% of exports are oaten hay, while 10% is straw and the balance is predominantly lucerne hay and chaff. Approximately 85% of Australian export hay is destined for Japan, while the volume of hay exported to China and the UAE is increasing.</w:t>
      </w:r>
      <w:r>
        <w:t xml:space="preserve"> An animal feed MRL of 100 mg/kg has been established for diquat on grass in Japan</w:t>
      </w:r>
      <w:r w:rsidR="00E61669">
        <w:rPr>
          <w:rFonts w:ascii="ZWAdobeF" w:hAnsi="ZWAdobeF" w:cs="ZWAdobeF"/>
          <w:sz w:val="2"/>
          <w:szCs w:val="2"/>
        </w:rPr>
        <w:t>20F</w:t>
      </w:r>
      <w:r w:rsidR="00602535">
        <w:rPr>
          <w:rFonts w:ascii="ZWAdobeF" w:hAnsi="ZWAdobeF" w:cs="ZWAdobeF"/>
          <w:sz w:val="2"/>
          <w:szCs w:val="2"/>
        </w:rPr>
        <w:t>21F</w:t>
      </w:r>
      <w:r>
        <w:rPr>
          <w:rStyle w:val="FootnoteReference"/>
        </w:rPr>
        <w:footnoteReference w:id="23"/>
      </w:r>
      <w:r>
        <w:t xml:space="preserve"> As before this risk to trade is unchanged.</w:t>
      </w:r>
      <w:r w:rsidR="00AC0C9D">
        <w:t xml:space="preserve"> </w:t>
      </w:r>
      <w:r w:rsidR="00AC0C9D" w:rsidRPr="00AC0C9D">
        <w:t>A response to the initial consultation was provided by AgriFutures Australia on behalf of the Australian Export Fodder Industry. The fodder industry supported the recommended label changes for diquat to assist industry to meet market requirements. The fodder industry also supported the MRL recommendations made as part of the review evaluation.</w:t>
      </w:r>
    </w:p>
    <w:p w14:paraId="0B458546" w14:textId="0A421D53" w:rsidR="00D2528E" w:rsidRDefault="00D2528E" w:rsidP="00D2528E">
      <w:pPr>
        <w:pStyle w:val="NormalText"/>
      </w:pPr>
      <w:r>
        <w:t xml:space="preserve">For cereal grains (barley, oats, rye, triticale and wheat), pulses, canola and oaten hay, finite residues of diquat are expected from the Australian uses which were supported by this </w:t>
      </w:r>
      <w:r w:rsidR="006E2E9C">
        <w:t xml:space="preserve">residues and trade </w:t>
      </w:r>
      <w:r>
        <w:t xml:space="preserve">assessment. </w:t>
      </w:r>
      <w:r w:rsidRPr="00E93530">
        <w:t xml:space="preserve">As the potential trade risk associated with </w:t>
      </w:r>
      <w:r>
        <w:t>diquat</w:t>
      </w:r>
      <w:r w:rsidRPr="00E93530">
        <w:t xml:space="preserve"> residues expected in </w:t>
      </w:r>
      <w:r>
        <w:t>cereal grains (barley, oats, rye, triticale and wheat), pulses, canola</w:t>
      </w:r>
      <w:r w:rsidR="003C1FC8">
        <w:t>,</w:t>
      </w:r>
      <w:r>
        <w:t xml:space="preserve"> and oaten hay </w:t>
      </w:r>
      <w:r w:rsidRPr="00E93530">
        <w:t xml:space="preserve">have been managed by industry, and because international standards for </w:t>
      </w:r>
      <w:r>
        <w:t>diquat</w:t>
      </w:r>
      <w:r w:rsidRPr="00E93530">
        <w:t xml:space="preserve"> have not significantly changed in recent years</w:t>
      </w:r>
      <w:r>
        <w:t xml:space="preserve"> (except for the removal of the Codex MRLs for wheat and oats in 2019)</w:t>
      </w:r>
      <w:r w:rsidRPr="00E93530">
        <w:t xml:space="preserve">, it is currently considered that the trade risk associated with the uses </w:t>
      </w:r>
      <w:r>
        <w:t>of diquat in cereal grains, pulses, canola and oaten hay</w:t>
      </w:r>
      <w:r w:rsidRPr="00E93530">
        <w:t xml:space="preserve"> is not undue. However, as the Australian MRL</w:t>
      </w:r>
      <w:r>
        <w:t>s</w:t>
      </w:r>
      <w:r w:rsidRPr="00E93530">
        <w:t xml:space="preserve"> </w:t>
      </w:r>
      <w:r>
        <w:t>are</w:t>
      </w:r>
      <w:r w:rsidRPr="00E93530">
        <w:t xml:space="preserve"> higher than those set by Codex or major export destinations, it is recommended that</w:t>
      </w:r>
      <w:r>
        <w:t xml:space="preserve"> t</w:t>
      </w:r>
      <w:r w:rsidRPr="00E93530">
        <w:t xml:space="preserve">he following </w:t>
      </w:r>
      <w:r w:rsidR="006E2E9C" w:rsidRPr="00E93530">
        <w:t xml:space="preserve">trade advice </w:t>
      </w:r>
      <w:r w:rsidRPr="00E93530">
        <w:t xml:space="preserve">statement should be added to the labels of products containing </w:t>
      </w:r>
      <w:r>
        <w:t xml:space="preserve">pre-harvest </w:t>
      </w:r>
      <w:r w:rsidRPr="00E93530">
        <w:t xml:space="preserve">uses on </w:t>
      </w:r>
      <w:r>
        <w:t>cereals (barley, oats, rye, triticale and wheat), pulses, canola</w:t>
      </w:r>
      <w:r w:rsidRPr="00E93530">
        <w:t>:</w:t>
      </w:r>
    </w:p>
    <w:p w14:paraId="49E1A5B4" w14:textId="77777777" w:rsidR="00D2528E" w:rsidRDefault="00D2528E" w:rsidP="006E2E9C">
      <w:pPr>
        <w:pStyle w:val="Quotes"/>
      </w:pPr>
      <w:r w:rsidRPr="00E93530">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191997BC" w14:textId="283356C5" w:rsidR="00D2528E" w:rsidRDefault="00AC0C9D" w:rsidP="00D2528E">
      <w:pPr>
        <w:pStyle w:val="NormalText"/>
      </w:pPr>
      <w:r w:rsidRPr="00AC0C9D">
        <w:t>At the request of participating industries, the National Residue Survey (NRS) submitted sampling data which demonstrates a high degree of export compliance with importing countries diquat MRLs for cereals, pulses and oilseeds. Noting also the additional data provided to confirm the previously recommended MRLs, the risk to trade in cereals, pulses and oilseeds is not considered to be undue.</w:t>
      </w:r>
    </w:p>
    <w:p w14:paraId="4E6DD461" w14:textId="11B6ADB9" w:rsidR="007A1942" w:rsidRPr="003C1FC8" w:rsidRDefault="0076271C" w:rsidP="007A1942">
      <w:pPr>
        <w:pStyle w:val="Heading2"/>
      </w:pPr>
      <w:bookmarkStart w:id="325" w:name="_Toc158208464"/>
      <w:r>
        <w:t xml:space="preserve"> </w:t>
      </w:r>
      <w:bookmarkStart w:id="326" w:name="_Toc233038992"/>
      <w:r w:rsidR="007A1942" w:rsidRPr="003C1FC8">
        <w:t xml:space="preserve">Conclusions from the </w:t>
      </w:r>
      <w:r w:rsidR="006E2E9C" w:rsidRPr="003C1FC8">
        <w:t xml:space="preserve">residues and trade </w:t>
      </w:r>
      <w:r w:rsidR="007A1942" w:rsidRPr="003C1FC8">
        <w:t>assessment</w:t>
      </w:r>
      <w:bookmarkEnd w:id="325"/>
      <w:bookmarkEnd w:id="326"/>
    </w:p>
    <w:p w14:paraId="0D0F30FA" w14:textId="6EC68301" w:rsidR="007E295C" w:rsidRPr="00D918AF" w:rsidRDefault="007E295C" w:rsidP="007E295C">
      <w:pPr>
        <w:pStyle w:val="NormalText"/>
      </w:pPr>
      <w:bookmarkStart w:id="327" w:name="_Hlk158150353"/>
      <w:bookmarkStart w:id="328" w:name="_Hlk164860382"/>
      <w:r w:rsidRPr="00D918AF">
        <w:t>The Residues and Trade section recommends that the APVMA should be satisfied that the continued approval of the use patterns as currently described would not pose an undue hazard to the safety of people consuming anything containing its residues, according to the safety criteria as defined by Section 5A nor an undue risk to international trade as described by Section 5C of the Schedule to the Code Act, with the following exceptions</w:t>
      </w:r>
      <w:r>
        <w:t>.</w:t>
      </w:r>
    </w:p>
    <w:p w14:paraId="6679613B" w14:textId="6C97D684" w:rsidR="007A1942" w:rsidRPr="007E295C" w:rsidRDefault="007A1942" w:rsidP="00686ADB">
      <w:pPr>
        <w:pStyle w:val="NormalText"/>
      </w:pPr>
      <w:r w:rsidRPr="007E295C">
        <w:lastRenderedPageBreak/>
        <w:t>The following crops were considered against the broad claims for ‘orchards (including bananas) and vineyards’ and ‘</w:t>
      </w:r>
      <w:r w:rsidR="00686ADB" w:rsidRPr="007E295C">
        <w:t>r</w:t>
      </w:r>
      <w:r w:rsidRPr="007E295C">
        <w:t>ow crops, vegetables and market gardens’</w:t>
      </w:r>
      <w:r w:rsidR="00686ADB" w:rsidRPr="007E295C">
        <w:t>.</w:t>
      </w:r>
    </w:p>
    <w:p w14:paraId="1EB7FC1C" w14:textId="1B9635BA" w:rsidR="007A1942" w:rsidRPr="007E295C" w:rsidRDefault="007A1942" w:rsidP="00686ADB">
      <w:pPr>
        <w:pStyle w:val="NormalText"/>
      </w:pPr>
      <w:r w:rsidRPr="007E295C">
        <w:t>Orchards (including bananas) and vineyards:</w:t>
      </w:r>
    </w:p>
    <w:p w14:paraId="134F6F2E" w14:textId="02121CF2" w:rsidR="007A1942" w:rsidRPr="007E295C" w:rsidRDefault="007A1942" w:rsidP="00686ADB">
      <w:pPr>
        <w:pStyle w:val="Bullet1"/>
      </w:pPr>
      <w:r w:rsidRPr="007E295C">
        <w:t>Citrus, Grapes, Pome fruit, Stone fruit, Tree nuts, Tropical fruit (edible peel), Tropical fruit (inedible peel, except pineapple)</w:t>
      </w:r>
      <w:r w:rsidR="006E2E9C">
        <w:t>.</w:t>
      </w:r>
    </w:p>
    <w:p w14:paraId="77E2AFD1" w14:textId="53F1E604" w:rsidR="007A1942" w:rsidRPr="007E295C" w:rsidRDefault="007A1942" w:rsidP="00686ADB">
      <w:pPr>
        <w:pStyle w:val="NormalText"/>
      </w:pPr>
      <w:r w:rsidRPr="007E295C">
        <w:t xml:space="preserve">Row crops, </w:t>
      </w:r>
      <w:r w:rsidR="006E2E9C" w:rsidRPr="007E295C">
        <w:t>vegetables and market gardens:</w:t>
      </w:r>
    </w:p>
    <w:p w14:paraId="4E7FCD27" w14:textId="77777777" w:rsidR="007A1942" w:rsidRPr="007E295C" w:rsidRDefault="007A1942" w:rsidP="00686ADB">
      <w:pPr>
        <w:pStyle w:val="Bullet1"/>
      </w:pPr>
      <w:r w:rsidRPr="007E295C">
        <w:t>Berries and other small fruit (except grapes), Brassica vegetables, Bulb vegetables, Fruiting vegetables (cucurbits), Fruiting vegetables (other than cucurbits), Leafy vegetables, Legume vegetables, Pineapple, Root and tuber vegetables, Stalk and stem vegetables and herbs and spices.</w:t>
      </w:r>
    </w:p>
    <w:p w14:paraId="250653A5" w14:textId="07550644" w:rsidR="007A1942" w:rsidRPr="007E295C" w:rsidRDefault="007A1942" w:rsidP="00686ADB">
      <w:pPr>
        <w:pStyle w:val="NormalText"/>
      </w:pPr>
      <w:r w:rsidRPr="007E295C">
        <w:t>The directions for use tables on product labels should be amended to indicate the specified crops/crop groups as above for the ‘orchards (including bananas) and vineyards’ and ‘Row crops, vegetables and market garden uses’ noting also the following recommendations for uses which are not supported.</w:t>
      </w:r>
    </w:p>
    <w:p w14:paraId="7EC3A63F" w14:textId="77777777" w:rsidR="007A1942" w:rsidRPr="007E295C" w:rsidRDefault="007A1942" w:rsidP="00686ADB">
      <w:pPr>
        <w:pStyle w:val="Bullet1"/>
      </w:pPr>
      <w:bookmarkStart w:id="329" w:name="_Hlk158150320"/>
      <w:bookmarkEnd w:id="327"/>
      <w:r w:rsidRPr="007E295C">
        <w:t>Use on pineapple is not supported in the absence of specific residue data.</w:t>
      </w:r>
    </w:p>
    <w:p w14:paraId="32CDBFC4" w14:textId="77777777" w:rsidR="007A1942" w:rsidRPr="007E295C" w:rsidRDefault="007A1942" w:rsidP="00686ADB">
      <w:pPr>
        <w:pStyle w:val="Bullet1"/>
      </w:pPr>
      <w:r w:rsidRPr="007E295C">
        <w:t>For bulb vegetables, use is only supported for the bulb onions subgroup as residue data for green onions, which may have a higher residue potential, were not available.</w:t>
      </w:r>
    </w:p>
    <w:p w14:paraId="1A4285DE" w14:textId="77777777" w:rsidR="007A1942" w:rsidRPr="007E295C" w:rsidRDefault="007A1942" w:rsidP="00686ADB">
      <w:pPr>
        <w:pStyle w:val="Bullet1"/>
      </w:pPr>
      <w:r w:rsidRPr="007E295C">
        <w:t>For brassica vegetables use is only supported for the crops with specific residue data, i.e.</w:t>
      </w:r>
      <w:bookmarkStart w:id="330" w:name="_Hlk164862066"/>
      <w:r w:rsidRPr="007E295C">
        <w:t xml:space="preserve"> broccoli, head cabbages, cauliflower and Chinese cabbage (type Pe-tsai)</w:t>
      </w:r>
      <w:bookmarkEnd w:id="330"/>
      <w:r w:rsidRPr="007E295C">
        <w:t>.</w:t>
      </w:r>
    </w:p>
    <w:p w14:paraId="051649F4" w14:textId="0134C494" w:rsidR="007A1942" w:rsidRPr="007E295C" w:rsidRDefault="007A1942" w:rsidP="00686ADB">
      <w:pPr>
        <w:pStyle w:val="Bullet1"/>
      </w:pPr>
      <w:r w:rsidRPr="007E295C">
        <w:t>Use on fruiting vegetables, cucurbits</w:t>
      </w:r>
      <w:r w:rsidR="006B5E72">
        <w:t>,</w:t>
      </w:r>
      <w:r w:rsidRPr="007E295C">
        <w:t xml:space="preserve"> is supported</w:t>
      </w:r>
      <w:r w:rsidR="00732A8E">
        <w:t xml:space="preserve"> for cucumber only</w:t>
      </w:r>
      <w:r w:rsidRPr="007E295C">
        <w:t xml:space="preserve"> in the absence of specific residue data</w:t>
      </w:r>
      <w:r w:rsidR="00732A8E">
        <w:t xml:space="preserve"> for other commodities in this group</w:t>
      </w:r>
      <w:r w:rsidRPr="007E295C">
        <w:t>.</w:t>
      </w:r>
    </w:p>
    <w:p w14:paraId="431FC0E0" w14:textId="6BE39FDA" w:rsidR="007A1942" w:rsidRPr="007E295C" w:rsidRDefault="007A1942" w:rsidP="00686ADB">
      <w:pPr>
        <w:pStyle w:val="Bullet1"/>
      </w:pPr>
      <w:r w:rsidRPr="007E295C">
        <w:t>Use on stalk and stem vegetables is supported</w:t>
      </w:r>
      <w:r w:rsidR="00732A8E">
        <w:t xml:space="preserve"> for asparagus only (prior to spear emergence)</w:t>
      </w:r>
      <w:r w:rsidRPr="007E295C">
        <w:t xml:space="preserve"> in the absence of reliable residue data</w:t>
      </w:r>
      <w:r w:rsidR="00732A8E">
        <w:t xml:space="preserve"> for other commodities in this group</w:t>
      </w:r>
      <w:r w:rsidRPr="007E295C">
        <w:t>.</w:t>
      </w:r>
    </w:p>
    <w:p w14:paraId="343723CC" w14:textId="77777777" w:rsidR="007A1942" w:rsidRPr="007E295C" w:rsidRDefault="007A1942" w:rsidP="00686ADB">
      <w:pPr>
        <w:pStyle w:val="Bullet1"/>
      </w:pPr>
      <w:r w:rsidRPr="007E295C">
        <w:t>Use on herbs and spices is not supported in the absence of specific residue data.</w:t>
      </w:r>
    </w:p>
    <w:p w14:paraId="3BDB22E2" w14:textId="77777777" w:rsidR="007A1942" w:rsidRPr="00B15474" w:rsidRDefault="007A1942" w:rsidP="006F5E61">
      <w:pPr>
        <w:pStyle w:val="Heading3"/>
      </w:pPr>
      <w:bookmarkStart w:id="331" w:name="_Toc233038993"/>
      <w:bookmarkEnd w:id="328"/>
      <w:r>
        <w:t>Other uses that are no longer supported from a residues perspective</w:t>
      </w:r>
      <w:bookmarkEnd w:id="331"/>
    </w:p>
    <w:p w14:paraId="60D60799" w14:textId="04B08A64" w:rsidR="007A1942" w:rsidRDefault="007A1942" w:rsidP="006F5E61">
      <w:pPr>
        <w:pStyle w:val="Bullet1"/>
      </w:pPr>
      <w:bookmarkStart w:id="332" w:name="_Hlk164863751"/>
      <w:r>
        <w:t>There was insufficient reliable data for sorghum to confirm the current MRL for pre-harvest desiccation uses and assess dietary risk. Pre-harvest desiccation use on sorghum is no longer supported. Use at crop establishment continues to be supported for sorghum from a residues perspective.</w:t>
      </w:r>
    </w:p>
    <w:p w14:paraId="0DEE6E13" w14:textId="1723CE0A" w:rsidR="007A1942" w:rsidRDefault="007A1942" w:rsidP="006F5E61">
      <w:pPr>
        <w:pStyle w:val="Bullet1"/>
      </w:pPr>
      <w:r>
        <w:t>There was insufficient reliable data for rice to confirm the current MRLs for pre-harvest desiccation uses and assess dietary risk. Pre-harvest desiccation use on rice is no longer supported.</w:t>
      </w:r>
      <w:r w:rsidRPr="00B15474">
        <w:t xml:space="preserve"> </w:t>
      </w:r>
      <w:r>
        <w:t>The pre-emergent use on rice is however supported from a residues perspective.</w:t>
      </w:r>
    </w:p>
    <w:p w14:paraId="0F017B30" w14:textId="4262EB35" w:rsidR="007A1942" w:rsidRDefault="007A1942" w:rsidP="006F5E61">
      <w:pPr>
        <w:pStyle w:val="Bullet1"/>
      </w:pPr>
      <w:r>
        <w:t>There is insufficient residue data to support the registered use on cotton which is no longer supported</w:t>
      </w:r>
      <w:r w:rsidR="00732A8E">
        <w:t xml:space="preserve"> (use at crop establishment continues to be supported)</w:t>
      </w:r>
      <w:r>
        <w:t>.</w:t>
      </w:r>
    </w:p>
    <w:p w14:paraId="46DFA153" w14:textId="4874B0F2" w:rsidR="007A1942" w:rsidRDefault="007A1942" w:rsidP="006F5E61">
      <w:pPr>
        <w:pStyle w:val="Bullet1"/>
      </w:pPr>
      <w:r>
        <w:t>As residue data are not available to support the over the top use or pre-harvest desiccation of sugarcane these uses are no longer supported. The pre-emergent use on sugar cane is however supported from a residues perspective.</w:t>
      </w:r>
    </w:p>
    <w:bookmarkEnd w:id="332"/>
    <w:p w14:paraId="14540378" w14:textId="5FCFC559" w:rsidR="007A1942" w:rsidRDefault="0076271C" w:rsidP="006F5E61">
      <w:pPr>
        <w:pStyle w:val="Heading3"/>
      </w:pPr>
      <w:r>
        <w:lastRenderedPageBreak/>
        <w:t xml:space="preserve"> </w:t>
      </w:r>
      <w:bookmarkStart w:id="333" w:name="_Toc233038994"/>
      <w:r w:rsidR="007A1942">
        <w:t>Winter cereals</w:t>
      </w:r>
      <w:bookmarkEnd w:id="333"/>
    </w:p>
    <w:p w14:paraId="7615CDC9" w14:textId="77777777" w:rsidR="007A1942" w:rsidRPr="00F06784" w:rsidRDefault="007A1942" w:rsidP="006F5E61">
      <w:pPr>
        <w:pStyle w:val="NormalText"/>
      </w:pPr>
      <w:r>
        <w:t>Labels with the winter cereal use pattern should specify the crops as barley, oats, rye, triticale and wheat. The broad term of winter cereals should be removed from product labels as it does not align with the APVMA crop group guidance.</w:t>
      </w:r>
    </w:p>
    <w:p w14:paraId="1FEAF5D2" w14:textId="40D2BE40" w:rsidR="007A1942" w:rsidRDefault="0076271C" w:rsidP="006F5E61">
      <w:pPr>
        <w:pStyle w:val="Heading3"/>
      </w:pPr>
      <w:r>
        <w:t xml:space="preserve"> </w:t>
      </w:r>
      <w:bookmarkStart w:id="334" w:name="_Toc233038995"/>
      <w:r w:rsidR="007A1942">
        <w:t>Supported withholding periods</w:t>
      </w:r>
      <w:bookmarkEnd w:id="334"/>
    </w:p>
    <w:p w14:paraId="13E54EB6" w14:textId="7C71BE60" w:rsidR="007A1942" w:rsidRDefault="007A1942" w:rsidP="006F5E61">
      <w:pPr>
        <w:pStyle w:val="Bullet1"/>
      </w:pPr>
      <w:bookmarkStart w:id="335" w:name="_Hlk164865792"/>
      <w:r>
        <w:t xml:space="preserve">The supported harvest withholding period for orchards and row crops for pre-emergent applications or applications by a shielded spray is </w:t>
      </w:r>
      <w:r w:rsidR="006E2E9C">
        <w:t>‘</w:t>
      </w:r>
      <w:r>
        <w:t>Not required when used as directed</w:t>
      </w:r>
      <w:r w:rsidR="006E2E9C">
        <w:t>’</w:t>
      </w:r>
      <w:r>
        <w:t>.</w:t>
      </w:r>
    </w:p>
    <w:p w14:paraId="5F09524A" w14:textId="77777777" w:rsidR="007A1942" w:rsidRDefault="007A1942" w:rsidP="006F5E61">
      <w:pPr>
        <w:pStyle w:val="Bullet1"/>
      </w:pPr>
      <w:r>
        <w:t>The supported harvest withholding periods for the pre-harvest desiccation of potatoes and sweet potatoes are 7 and 14 days respectively.</w:t>
      </w:r>
    </w:p>
    <w:p w14:paraId="03A6C73D" w14:textId="74829F02" w:rsidR="007A1942" w:rsidRDefault="007A1942" w:rsidP="006F5E61">
      <w:pPr>
        <w:pStyle w:val="Bullet1"/>
      </w:pPr>
      <w:r>
        <w:t>The supported harvest withholding period for pre-harvest desiccation of all pulse crops with this use (dry beans, dry peas, lentils, chickpeas, faba beans, lupins, mung beans, pigeon peas and soya beans) is 4</w:t>
      </w:r>
      <w:r w:rsidR="006E2E9C">
        <w:t> </w:t>
      </w:r>
      <w:r>
        <w:t>days.</w:t>
      </w:r>
    </w:p>
    <w:p w14:paraId="30362748" w14:textId="77777777" w:rsidR="007A1942" w:rsidRDefault="007A1942" w:rsidP="006F5E61">
      <w:pPr>
        <w:pStyle w:val="Bullet1"/>
      </w:pPr>
      <w:r>
        <w:t>The supported harvest withholding period for barley, oats, rye, triticale and wheat</w:t>
      </w:r>
      <w:r w:rsidDel="00B15474">
        <w:t xml:space="preserve"> </w:t>
      </w:r>
      <w:r>
        <w:t>for pre-harvest weed control is 4 days.</w:t>
      </w:r>
    </w:p>
    <w:p w14:paraId="288DD0DF" w14:textId="6541DB39" w:rsidR="007A1942" w:rsidRDefault="007A1942" w:rsidP="006F5E61">
      <w:pPr>
        <w:pStyle w:val="Bullet1"/>
      </w:pPr>
      <w:r>
        <w:t xml:space="preserve">The supported harvest withholding period for maize is </w:t>
      </w:r>
      <w:r w:rsidR="006E2E9C">
        <w:t>‘</w:t>
      </w:r>
      <w:r>
        <w:t>Not required when used as directed</w:t>
      </w:r>
      <w:r w:rsidR="006E2E9C">
        <w:t>’.</w:t>
      </w:r>
    </w:p>
    <w:p w14:paraId="6392BB13" w14:textId="78064E5C" w:rsidR="007A1942" w:rsidRDefault="007A1942" w:rsidP="006F5E61">
      <w:pPr>
        <w:pStyle w:val="Bullet1"/>
      </w:pPr>
      <w:r>
        <w:t xml:space="preserve">The supported harvest withholding period for rice for the supported pre-emergent use pattern is </w:t>
      </w:r>
      <w:r w:rsidR="006E2E9C">
        <w:t>‘</w:t>
      </w:r>
      <w:r>
        <w:t>Not required when used as directed</w:t>
      </w:r>
      <w:r w:rsidR="006E2E9C">
        <w:t>’</w:t>
      </w:r>
      <w:r>
        <w:t>.</w:t>
      </w:r>
    </w:p>
    <w:p w14:paraId="0F1FAD5C" w14:textId="77777777" w:rsidR="007A1942" w:rsidRDefault="007A1942" w:rsidP="006F5E61">
      <w:pPr>
        <w:pStyle w:val="Bullet1"/>
      </w:pPr>
      <w:r>
        <w:t>The supported harvest withholding period for canola, linseed and sunflower is 7 days.</w:t>
      </w:r>
    </w:p>
    <w:p w14:paraId="4D4A53A6" w14:textId="77777777" w:rsidR="007A1942" w:rsidRDefault="007A1942" w:rsidP="006F5E61">
      <w:pPr>
        <w:pStyle w:val="Bullet1"/>
      </w:pPr>
      <w:r>
        <w:t>The supported harvest withholding period for poppies is 2 days.</w:t>
      </w:r>
    </w:p>
    <w:p w14:paraId="3777EE1B" w14:textId="077C0D53" w:rsidR="007A1942" w:rsidRDefault="007A1942" w:rsidP="006F5E61">
      <w:pPr>
        <w:pStyle w:val="Bullet1"/>
      </w:pPr>
      <w:r>
        <w:t xml:space="preserve">The supported harvest withholding period for establishing sugarcane or controlling weeds in a fallow prior to sugarcane is </w:t>
      </w:r>
      <w:r w:rsidR="006E2E9C">
        <w:t>‘</w:t>
      </w:r>
      <w:r>
        <w:t>Not required when used as directed</w:t>
      </w:r>
      <w:r w:rsidR="006E2E9C">
        <w:t>’</w:t>
      </w:r>
      <w:r>
        <w:t>.</w:t>
      </w:r>
    </w:p>
    <w:p w14:paraId="0EF663BE" w14:textId="26A7A046" w:rsidR="007A1942" w:rsidRDefault="007A1942" w:rsidP="006F5E61">
      <w:pPr>
        <w:pStyle w:val="Bullet1"/>
      </w:pPr>
      <w:r>
        <w:t xml:space="preserve">The supported harvest withholding period for hops is </w:t>
      </w:r>
      <w:r w:rsidR="006E2E9C">
        <w:t>‘</w:t>
      </w:r>
      <w:r>
        <w:t>Not required when used as directed</w:t>
      </w:r>
      <w:r w:rsidR="006E2E9C">
        <w:t>’</w:t>
      </w:r>
      <w:r>
        <w:t>.</w:t>
      </w:r>
    </w:p>
    <w:p w14:paraId="1D5D3303" w14:textId="4880F91D" w:rsidR="007A1942" w:rsidRDefault="007A1942" w:rsidP="006F5E61">
      <w:pPr>
        <w:pStyle w:val="Bullet1"/>
      </w:pPr>
      <w:r>
        <w:t>The supported withholding period for crop establishment uses (</w:t>
      </w:r>
      <w:r w:rsidRPr="009947FE">
        <w:t xml:space="preserve">canola, chickpeas, cereals (wheat, barley, oats, rye, triticale, sorghum, maize, millet), cotton, field beans, field peas, lentils, linseed, lupins, fodder rape, </w:t>
      </w:r>
      <w:r w:rsidR="006E2E9C" w:rsidRPr="009947FE">
        <w:t>mung beans</w:t>
      </w:r>
      <w:r w:rsidRPr="009947FE">
        <w:t>, navy beans, peanuts, pigeon peas, safflower, soybeans, sunflower, pasture (clover, grass, lucerne, medic), vetch</w:t>
      </w:r>
      <w:r>
        <w:t xml:space="preserve">) is </w:t>
      </w:r>
      <w:r w:rsidR="006E2E9C">
        <w:t>‘</w:t>
      </w:r>
      <w:r>
        <w:t>Not required when used as directed</w:t>
      </w:r>
      <w:r w:rsidR="006E2E9C">
        <w:t>’</w:t>
      </w:r>
      <w:r>
        <w:t>.</w:t>
      </w:r>
    </w:p>
    <w:p w14:paraId="4E9A8BBE" w14:textId="77777777" w:rsidR="007A1942" w:rsidRDefault="007A1942" w:rsidP="006F5E61">
      <w:pPr>
        <w:pStyle w:val="Bullet1"/>
      </w:pPr>
      <w:r>
        <w:t>The supported grazing withholding period statement in relation to diquat is:</w:t>
      </w:r>
    </w:p>
    <w:p w14:paraId="19EFC713" w14:textId="67BD9A29" w:rsidR="007A1942" w:rsidRDefault="007A1942" w:rsidP="006E2E9C">
      <w:pPr>
        <w:pStyle w:val="Bullet2"/>
      </w:pPr>
      <w:r>
        <w:t xml:space="preserve">DO NOT graze or cut for stock food for </w:t>
      </w:r>
      <w:r w:rsidR="004C1210">
        <w:t>one</w:t>
      </w:r>
      <w:r>
        <w:t xml:space="preserve"> day after application.</w:t>
      </w:r>
    </w:p>
    <w:p w14:paraId="1EB4EF95" w14:textId="77777777" w:rsidR="007A1942" w:rsidRDefault="007A1942" w:rsidP="006F5E61">
      <w:pPr>
        <w:pStyle w:val="Bullet1"/>
        <w:numPr>
          <w:ilvl w:val="0"/>
          <w:numId w:val="0"/>
        </w:numPr>
        <w:ind w:left="360"/>
      </w:pPr>
      <w:r>
        <w:t>(noting that diquat products that also contain paraquat require a 7 day grazing withholding period for horses).</w:t>
      </w:r>
    </w:p>
    <w:p w14:paraId="2FF73452" w14:textId="76095217" w:rsidR="00732A8E" w:rsidRDefault="00732A8E">
      <w:pPr>
        <w:pStyle w:val="Bullet1"/>
        <w:numPr>
          <w:ilvl w:val="0"/>
          <w:numId w:val="11"/>
        </w:numPr>
        <w:ind w:left="284"/>
      </w:pPr>
      <w:r>
        <w:t xml:space="preserve">For the </w:t>
      </w:r>
      <w:r w:rsidRPr="00732A8E">
        <w:t>supported use on cotton at crop establishment the following grazing restraint is recommended: ‘DO NOT feed cotton fodder, stubble or trash to livestock’.</w:t>
      </w:r>
    </w:p>
    <w:bookmarkEnd w:id="335"/>
    <w:p w14:paraId="2E0ADFB8" w14:textId="6FD96BB3" w:rsidR="007A1942" w:rsidRPr="00376706" w:rsidRDefault="0076271C" w:rsidP="006F5E61">
      <w:pPr>
        <w:pStyle w:val="Heading3"/>
      </w:pPr>
      <w:r>
        <w:t xml:space="preserve"> </w:t>
      </w:r>
      <w:bookmarkStart w:id="336" w:name="_Toc233038996"/>
      <w:r w:rsidR="007A1942">
        <w:t>Aquatic areas</w:t>
      </w:r>
      <w:bookmarkEnd w:id="336"/>
    </w:p>
    <w:p w14:paraId="062FE814" w14:textId="018E9568" w:rsidR="007A1942" w:rsidRDefault="007A1942" w:rsidP="006F5E61">
      <w:pPr>
        <w:pStyle w:val="NormalText"/>
      </w:pPr>
      <w:r>
        <w:t xml:space="preserve">Use of diquat in aquatic areas with the 10 day restraint on using </w:t>
      </w:r>
      <w:r w:rsidRPr="004E2FC9">
        <w:t>water for human consumption, livestock watering or irrigation purposes</w:t>
      </w:r>
      <w:r>
        <w:t xml:space="preserve"> continues to be supported.</w:t>
      </w:r>
    </w:p>
    <w:p w14:paraId="76E700BC" w14:textId="030592B0" w:rsidR="007A1942" w:rsidRDefault="0076271C" w:rsidP="006F5E61">
      <w:pPr>
        <w:pStyle w:val="Heading3"/>
      </w:pPr>
      <w:r>
        <w:lastRenderedPageBreak/>
        <w:t xml:space="preserve"> </w:t>
      </w:r>
      <w:bookmarkStart w:id="337" w:name="_Toc233038997"/>
      <w:r w:rsidR="007A1942">
        <w:t>Spray drift</w:t>
      </w:r>
      <w:bookmarkEnd w:id="337"/>
    </w:p>
    <w:p w14:paraId="1714125A" w14:textId="77777777" w:rsidR="007A1942" w:rsidRPr="00580C8C" w:rsidRDefault="007A1942" w:rsidP="006F5E61">
      <w:pPr>
        <w:pStyle w:val="NormalText"/>
      </w:pPr>
      <w:r>
        <w:t>The livestock area RAL is 100 ppm. Mandatory no-spray zones for protection of international trade are not required for either ground or aerial application based on this RAL. This assessment was based on a droplet size of fine.</w:t>
      </w:r>
    </w:p>
    <w:p w14:paraId="630CE790" w14:textId="07D929B5" w:rsidR="007A1942" w:rsidRPr="00B15474" w:rsidRDefault="0076271C" w:rsidP="006F5E61">
      <w:pPr>
        <w:pStyle w:val="Heading3"/>
      </w:pPr>
      <w:r>
        <w:t xml:space="preserve"> </w:t>
      </w:r>
      <w:bookmarkStart w:id="338" w:name="_Toc233038998"/>
      <w:r w:rsidR="007A1942">
        <w:t>Trade</w:t>
      </w:r>
      <w:bookmarkEnd w:id="338"/>
    </w:p>
    <w:p w14:paraId="1E2BFE12" w14:textId="77777777" w:rsidR="006E2E9C" w:rsidRDefault="007A1942" w:rsidP="006F5E61">
      <w:pPr>
        <w:pStyle w:val="NormalText"/>
      </w:pPr>
      <w:r>
        <w:t xml:space="preserve">For cereal grains (barley, oats, rye, triticale and wheat), pulses, canola and oaten hay, finite residues of diquat are expected from the Australian uses. </w:t>
      </w:r>
      <w:r w:rsidRPr="00E93530">
        <w:t xml:space="preserve">As the potential trade risk associated with </w:t>
      </w:r>
      <w:r>
        <w:t>diquat</w:t>
      </w:r>
      <w:r w:rsidRPr="00E93530">
        <w:t xml:space="preserve"> residues expected in </w:t>
      </w:r>
      <w:r>
        <w:t xml:space="preserve">cereal grains (barley, oats, rye, triticale and wheat), pulses, canola and oaten hay, </w:t>
      </w:r>
      <w:r w:rsidRPr="00E93530">
        <w:t xml:space="preserve">have been managed by industry, and because international standards for </w:t>
      </w:r>
      <w:r>
        <w:t>diquat</w:t>
      </w:r>
      <w:r w:rsidRPr="00E93530">
        <w:t xml:space="preserve"> have not significantly changed in recent years</w:t>
      </w:r>
      <w:r>
        <w:t xml:space="preserve"> (except for the removal of the Codex MRLs for wheat and oats)</w:t>
      </w:r>
      <w:r w:rsidRPr="00E93530">
        <w:t xml:space="preserve">, it is currently considered that the trade risk associated with the uses </w:t>
      </w:r>
      <w:r>
        <w:t>of diquat in cereal grains (barley, oats, rye, triticale and wheat), pulses, canola and oaten hay</w:t>
      </w:r>
      <w:r w:rsidRPr="00E93530">
        <w:t xml:space="preserve"> is not undue.</w:t>
      </w:r>
    </w:p>
    <w:p w14:paraId="675FC4CA" w14:textId="5326600B" w:rsidR="007A1942" w:rsidRDefault="007A1942" w:rsidP="006F5E61">
      <w:pPr>
        <w:pStyle w:val="NormalText"/>
      </w:pPr>
      <w:r w:rsidRPr="00E93530">
        <w:t>However, as the Australian MRL</w:t>
      </w:r>
      <w:r>
        <w:t>s</w:t>
      </w:r>
      <w:r w:rsidRPr="00E93530">
        <w:t xml:space="preserve"> </w:t>
      </w:r>
      <w:r>
        <w:t>are</w:t>
      </w:r>
      <w:r w:rsidRPr="00E93530">
        <w:t xml:space="preserve"> higher than those set by Codex or major export destinations, it is recommended that</w:t>
      </w:r>
      <w:r w:rsidR="006E2E9C">
        <w:t xml:space="preserve"> t</w:t>
      </w:r>
      <w:r w:rsidRPr="00E93530">
        <w:t xml:space="preserve">he following </w:t>
      </w:r>
      <w:r w:rsidR="006E2E9C" w:rsidRPr="00E93530">
        <w:t xml:space="preserve">trade advice </w:t>
      </w:r>
      <w:r w:rsidRPr="00E93530">
        <w:t xml:space="preserve">statement should be added to the labels of products containing </w:t>
      </w:r>
      <w:r>
        <w:t xml:space="preserve">pre-harvest </w:t>
      </w:r>
      <w:r w:rsidRPr="00E93530">
        <w:t xml:space="preserve">uses on </w:t>
      </w:r>
      <w:r>
        <w:t>cereals (barley, oats, rye, triticale and wheat), pulses, canola</w:t>
      </w:r>
      <w:r w:rsidRPr="00E93530">
        <w:t>:</w:t>
      </w:r>
    </w:p>
    <w:p w14:paraId="7CD9655F" w14:textId="77777777" w:rsidR="007A1942" w:rsidRPr="00613942" w:rsidRDefault="007A1942" w:rsidP="006E2E9C">
      <w:pPr>
        <w:pStyle w:val="Quotes"/>
      </w:pPr>
      <w:r w:rsidRPr="00613942">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609812D4" w14:textId="2041CCDD" w:rsidR="007A1942" w:rsidRPr="00E93530" w:rsidRDefault="007A1942" w:rsidP="006F5E61">
      <w:pPr>
        <w:pStyle w:val="NormalText"/>
      </w:pPr>
      <w:r w:rsidRPr="006E3C0C">
        <w:t>As the Australian MRLs for cereal grains (barley, oats, rye, triticale and wheat), pulses, canola and oaten hay are higher than some of those set by Codex and major export destinations, the APVMA should seek comments from members of the grain and fodder industries on their ability to manage the risk to international trade associated with diquat during the Proposed Regulatory Decision consultation for diquat before a final decision against the trade criteria is made for pre-harvest uses on cereal grains other than maize, pulses, canola and oaten hay.</w:t>
      </w:r>
    </w:p>
    <w:p w14:paraId="1775ECDA" w14:textId="77777777" w:rsidR="007A1942" w:rsidRPr="00613942" w:rsidRDefault="007A1942" w:rsidP="006F5E61">
      <w:pPr>
        <w:pStyle w:val="Heading3"/>
        <w:rPr>
          <w:iCs/>
        </w:rPr>
      </w:pPr>
      <w:bookmarkStart w:id="339" w:name="_Toc233038999"/>
      <w:r w:rsidRPr="00613942">
        <w:rPr>
          <w:iCs/>
        </w:rPr>
        <w:t>Required MRL changes</w:t>
      </w:r>
      <w:bookmarkEnd w:id="339"/>
    </w:p>
    <w:p w14:paraId="220C259D" w14:textId="3FC3E513" w:rsidR="007A1942" w:rsidRPr="00000D7A" w:rsidRDefault="006E2E9C" w:rsidP="00D900F7">
      <w:pPr>
        <w:pStyle w:val="NormalText"/>
      </w:pPr>
      <w:r>
        <w:fldChar w:fldCharType="begin" w:fldLock="1"/>
      </w:r>
      <w:r>
        <w:instrText xml:space="preserve"> REF _Ref170201837 \h </w:instrText>
      </w:r>
      <w:r>
        <w:fldChar w:fldCharType="separate"/>
      </w:r>
      <w:r w:rsidR="0033298E">
        <w:t xml:space="preserve">Table </w:t>
      </w:r>
      <w:r w:rsidR="0033298E">
        <w:rPr>
          <w:noProof/>
        </w:rPr>
        <w:t>19</w:t>
      </w:r>
      <w:r>
        <w:fldChar w:fldCharType="end"/>
      </w:r>
      <w:r>
        <w:t xml:space="preserve"> and </w:t>
      </w:r>
      <w:r>
        <w:fldChar w:fldCharType="begin" w:fldLock="1"/>
      </w:r>
      <w:r>
        <w:instrText xml:space="preserve"> REF _Ref170201838 \h </w:instrText>
      </w:r>
      <w:r>
        <w:fldChar w:fldCharType="separate"/>
      </w:r>
      <w:r w:rsidR="0033298E">
        <w:t xml:space="preserve">Table </w:t>
      </w:r>
      <w:r w:rsidR="0033298E">
        <w:rPr>
          <w:noProof/>
        </w:rPr>
        <w:t>20</w:t>
      </w:r>
      <w:r>
        <w:fldChar w:fldCharType="end"/>
      </w:r>
      <w:r>
        <w:t xml:space="preserve"> show the changes</w:t>
      </w:r>
      <w:r w:rsidR="00094940" w:rsidRPr="00000D7A">
        <w:t xml:space="preserve"> required to</w:t>
      </w:r>
      <w:r w:rsidR="007A1942" w:rsidRPr="00000D7A">
        <w:t xml:space="preserve"> the </w:t>
      </w:r>
      <w:bookmarkStart w:id="340" w:name="_Hlk157627968"/>
      <w:r w:rsidR="007A1942" w:rsidRPr="00000D7A">
        <w:t>Agricultural and Veterinary Chemicals (MRL Standard for Residues of Chemical Products) Instrument 2023</w:t>
      </w:r>
      <w:bookmarkEnd w:id="340"/>
      <w:r w:rsidR="007A1942" w:rsidRPr="00000D7A">
        <w:t xml:space="preserve">, </w:t>
      </w:r>
      <w:r w:rsidR="00094940" w:rsidRPr="00000D7A">
        <w:t xml:space="preserve">based on the </w:t>
      </w:r>
      <w:r w:rsidR="007A1942" w:rsidRPr="00000D7A">
        <w:t xml:space="preserve">uses supported </w:t>
      </w:r>
      <w:r w:rsidR="00094940" w:rsidRPr="00000D7A">
        <w:t xml:space="preserve">by the risk assessment outcomes </w:t>
      </w:r>
      <w:r w:rsidR="007A1942" w:rsidRPr="00000D7A">
        <w:t>in this Residues and Trade assessment of diquat</w:t>
      </w:r>
      <w:r w:rsidR="00094940" w:rsidRPr="00000D7A">
        <w:t xml:space="preserve">. It should be noted that the </w:t>
      </w:r>
      <w:r w:rsidR="00094940">
        <w:t>outcome of other risk assessments conducted by the APVMA will be applied to determine which use patterns remain supported overall.</w:t>
      </w:r>
    </w:p>
    <w:p w14:paraId="2782DDF6" w14:textId="2098A64F" w:rsidR="007A1942" w:rsidRPr="000179FF" w:rsidRDefault="00094940" w:rsidP="000179FF">
      <w:pPr>
        <w:pStyle w:val="Caption"/>
      </w:pPr>
      <w:bookmarkStart w:id="341" w:name="_Ref170201837"/>
      <w:bookmarkStart w:id="342" w:name="_Toc232589614"/>
      <w:r w:rsidRPr="000179FF">
        <w:t xml:space="preserve">Table </w:t>
      </w:r>
      <w:fldSimple w:instr=" SEQ Table \* ARABIC ">
        <w:r w:rsidR="000179FF">
          <w:rPr>
            <w:noProof/>
          </w:rPr>
          <w:t>19</w:t>
        </w:r>
      </w:fldSimple>
      <w:bookmarkEnd w:id="341"/>
      <w:r w:rsidRPr="000179FF">
        <w:t xml:space="preserve">: </w:t>
      </w:r>
      <w:r w:rsidR="007A1942" w:rsidRPr="000179FF">
        <w:t>Amendments to Table 1 of the MRL Standard</w:t>
      </w:r>
      <w:bookmarkEnd w:id="342"/>
    </w:p>
    <w:tbl>
      <w:tblPr>
        <w:tblW w:w="5000" w:type="pct"/>
        <w:tblLook w:val="04A0" w:firstRow="1" w:lastRow="0" w:firstColumn="1" w:lastColumn="0" w:noHBand="0" w:noVBand="1"/>
      </w:tblPr>
      <w:tblGrid>
        <w:gridCol w:w="965"/>
        <w:gridCol w:w="6183"/>
        <w:gridCol w:w="1245"/>
        <w:gridCol w:w="1461"/>
      </w:tblGrid>
      <w:tr w:rsidR="007A1942" w:rsidRPr="00EC50D6" w14:paraId="121A104B" w14:textId="77777777" w:rsidTr="00DE4AD4">
        <w:trPr>
          <w:cantSplit/>
          <w:tblHeader/>
        </w:trPr>
        <w:tc>
          <w:tcPr>
            <w:tcW w:w="811" w:type="pct"/>
            <w:tcBorders>
              <w:top w:val="single" w:sz="4" w:space="0" w:color="auto"/>
              <w:bottom w:val="single" w:sz="4" w:space="0" w:color="auto"/>
            </w:tcBorders>
            <w:shd w:val="clear" w:color="auto" w:fill="5C2946"/>
            <w:noWrap/>
          </w:tcPr>
          <w:p w14:paraId="6289DE90" w14:textId="77777777" w:rsidR="007A1942" w:rsidRPr="006E2E9C" w:rsidRDefault="007A1942" w:rsidP="006E2E9C">
            <w:pPr>
              <w:pStyle w:val="TableHead"/>
            </w:pPr>
            <w:r w:rsidRPr="006E2E9C">
              <w:t>Code</w:t>
            </w:r>
          </w:p>
        </w:tc>
        <w:tc>
          <w:tcPr>
            <w:tcW w:w="2646" w:type="pct"/>
            <w:tcBorders>
              <w:top w:val="single" w:sz="4" w:space="0" w:color="auto"/>
              <w:bottom w:val="single" w:sz="4" w:space="0" w:color="auto"/>
            </w:tcBorders>
            <w:shd w:val="clear" w:color="auto" w:fill="5C2946"/>
            <w:noWrap/>
          </w:tcPr>
          <w:p w14:paraId="5E2C1CFE" w14:textId="77777777" w:rsidR="007A1942" w:rsidRPr="006E2E9C" w:rsidRDefault="007A1942" w:rsidP="006E2E9C">
            <w:pPr>
              <w:pStyle w:val="TableHead"/>
            </w:pPr>
            <w:r w:rsidRPr="006E2E9C">
              <w:t>Commodity</w:t>
            </w:r>
          </w:p>
        </w:tc>
        <w:tc>
          <w:tcPr>
            <w:tcW w:w="502" w:type="pct"/>
            <w:tcBorders>
              <w:top w:val="single" w:sz="4" w:space="0" w:color="auto"/>
              <w:bottom w:val="single" w:sz="4" w:space="0" w:color="auto"/>
            </w:tcBorders>
            <w:shd w:val="clear" w:color="auto" w:fill="5C2946"/>
            <w:noWrap/>
          </w:tcPr>
          <w:p w14:paraId="5D611E94" w14:textId="77777777" w:rsidR="007A1942" w:rsidRPr="006E2E9C" w:rsidRDefault="007A1942" w:rsidP="006E2E9C">
            <w:pPr>
              <w:pStyle w:val="TableHead"/>
            </w:pPr>
            <w:r w:rsidRPr="006E2E9C">
              <w:t>Current MRL</w:t>
            </w:r>
          </w:p>
        </w:tc>
        <w:tc>
          <w:tcPr>
            <w:tcW w:w="1041" w:type="pct"/>
            <w:tcBorders>
              <w:top w:val="single" w:sz="4" w:space="0" w:color="auto"/>
              <w:bottom w:val="single" w:sz="4" w:space="0" w:color="auto"/>
            </w:tcBorders>
            <w:shd w:val="clear" w:color="auto" w:fill="5C2946"/>
          </w:tcPr>
          <w:p w14:paraId="71DEF997" w14:textId="77777777" w:rsidR="007A1942" w:rsidRPr="006E2E9C" w:rsidRDefault="007A1942" w:rsidP="006E2E9C">
            <w:pPr>
              <w:pStyle w:val="TableHead"/>
            </w:pPr>
            <w:r w:rsidRPr="006E2E9C">
              <w:t>Recommended MRL</w:t>
            </w:r>
          </w:p>
        </w:tc>
      </w:tr>
      <w:tr w:rsidR="006B7AA6" w:rsidRPr="00EC50D6" w14:paraId="2ECD28EF" w14:textId="77777777" w:rsidTr="00DE4AD4">
        <w:trPr>
          <w:cantSplit/>
        </w:trPr>
        <w:tc>
          <w:tcPr>
            <w:tcW w:w="811" w:type="pct"/>
            <w:tcBorders>
              <w:top w:val="single" w:sz="4" w:space="0" w:color="auto"/>
              <w:bottom w:val="single" w:sz="4" w:space="0" w:color="auto"/>
            </w:tcBorders>
            <w:noWrap/>
          </w:tcPr>
          <w:p w14:paraId="5EF7E386" w14:textId="7F2B36E7" w:rsidR="006B7AA6" w:rsidRPr="006E2E9C" w:rsidRDefault="006B7AA6" w:rsidP="006E2E9C">
            <w:pPr>
              <w:pStyle w:val="TableText"/>
            </w:pPr>
            <w:r>
              <w:t>VS 0621</w:t>
            </w:r>
          </w:p>
        </w:tc>
        <w:tc>
          <w:tcPr>
            <w:tcW w:w="2646" w:type="pct"/>
            <w:tcBorders>
              <w:top w:val="single" w:sz="4" w:space="0" w:color="auto"/>
              <w:bottom w:val="single" w:sz="4" w:space="0" w:color="auto"/>
            </w:tcBorders>
            <w:noWrap/>
          </w:tcPr>
          <w:p w14:paraId="66E0691D" w14:textId="526581D7" w:rsidR="006B7AA6" w:rsidRPr="006E2E9C" w:rsidRDefault="006B7AA6" w:rsidP="006E2E9C">
            <w:pPr>
              <w:pStyle w:val="TableText"/>
            </w:pPr>
            <w:r>
              <w:t>Asparagus</w:t>
            </w:r>
          </w:p>
        </w:tc>
        <w:tc>
          <w:tcPr>
            <w:tcW w:w="502" w:type="pct"/>
            <w:tcBorders>
              <w:top w:val="single" w:sz="4" w:space="0" w:color="auto"/>
              <w:bottom w:val="single" w:sz="4" w:space="0" w:color="auto"/>
            </w:tcBorders>
            <w:noWrap/>
          </w:tcPr>
          <w:p w14:paraId="4A2D6AC8" w14:textId="53E1C8C6" w:rsidR="006B7AA6" w:rsidRDefault="006B7AA6" w:rsidP="006E2E9C">
            <w:pPr>
              <w:pStyle w:val="TableText"/>
            </w:pPr>
            <w:r>
              <w:t>-</w:t>
            </w:r>
          </w:p>
        </w:tc>
        <w:tc>
          <w:tcPr>
            <w:tcW w:w="1041" w:type="pct"/>
            <w:tcBorders>
              <w:top w:val="single" w:sz="4" w:space="0" w:color="auto"/>
              <w:bottom w:val="single" w:sz="4" w:space="0" w:color="auto"/>
            </w:tcBorders>
          </w:tcPr>
          <w:p w14:paraId="4B664E0D" w14:textId="5A3EE0E4" w:rsidR="006B7AA6" w:rsidRPr="006E2E9C" w:rsidRDefault="006B7AA6" w:rsidP="006E2E9C">
            <w:pPr>
              <w:pStyle w:val="TableText"/>
            </w:pPr>
            <w:r>
              <w:t>*0.05</w:t>
            </w:r>
          </w:p>
        </w:tc>
      </w:tr>
      <w:tr w:rsidR="007A1942" w:rsidRPr="00EC50D6" w14:paraId="5B66F3D5" w14:textId="77777777" w:rsidTr="00DE4AD4">
        <w:trPr>
          <w:cantSplit/>
        </w:trPr>
        <w:tc>
          <w:tcPr>
            <w:tcW w:w="811" w:type="pct"/>
            <w:tcBorders>
              <w:top w:val="single" w:sz="4" w:space="0" w:color="auto"/>
              <w:bottom w:val="single" w:sz="4" w:space="0" w:color="auto"/>
            </w:tcBorders>
            <w:noWrap/>
          </w:tcPr>
          <w:p w14:paraId="0CEFB93C" w14:textId="28DC65E6" w:rsidR="007A1942" w:rsidRPr="006E2E9C" w:rsidRDefault="007A1942" w:rsidP="006E2E9C">
            <w:pPr>
              <w:pStyle w:val="TableText"/>
            </w:pPr>
            <w:r w:rsidRPr="006E2E9C">
              <w:t>F</w:t>
            </w:r>
            <w:r w:rsidR="0097774F">
              <w:t>T</w:t>
            </w:r>
            <w:r w:rsidRPr="006E2E9C">
              <w:t xml:space="preserve"> 0026</w:t>
            </w:r>
          </w:p>
        </w:tc>
        <w:tc>
          <w:tcPr>
            <w:tcW w:w="2646" w:type="pct"/>
            <w:tcBorders>
              <w:top w:val="single" w:sz="4" w:space="0" w:color="auto"/>
              <w:bottom w:val="single" w:sz="4" w:space="0" w:color="auto"/>
            </w:tcBorders>
            <w:noWrap/>
          </w:tcPr>
          <w:p w14:paraId="63A1D7CF" w14:textId="77777777" w:rsidR="007A1942" w:rsidRPr="006E2E9C" w:rsidRDefault="007A1942" w:rsidP="006E2E9C">
            <w:pPr>
              <w:pStyle w:val="TableText"/>
            </w:pPr>
            <w:r w:rsidRPr="006E2E9C">
              <w:t>Assorted tropical and sub-tropical fruits – edible peel</w:t>
            </w:r>
          </w:p>
        </w:tc>
        <w:tc>
          <w:tcPr>
            <w:tcW w:w="502" w:type="pct"/>
            <w:tcBorders>
              <w:top w:val="single" w:sz="4" w:space="0" w:color="auto"/>
              <w:bottom w:val="single" w:sz="4" w:space="0" w:color="auto"/>
            </w:tcBorders>
            <w:noWrap/>
          </w:tcPr>
          <w:p w14:paraId="52E11610" w14:textId="4666C246" w:rsidR="007A1942" w:rsidRPr="006E2E9C" w:rsidRDefault="006E2E9C" w:rsidP="006E2E9C">
            <w:pPr>
              <w:pStyle w:val="TableText"/>
            </w:pPr>
            <w:r>
              <w:t>–</w:t>
            </w:r>
          </w:p>
        </w:tc>
        <w:tc>
          <w:tcPr>
            <w:tcW w:w="1041" w:type="pct"/>
            <w:tcBorders>
              <w:top w:val="single" w:sz="4" w:space="0" w:color="auto"/>
              <w:bottom w:val="single" w:sz="4" w:space="0" w:color="auto"/>
            </w:tcBorders>
          </w:tcPr>
          <w:p w14:paraId="201832F0" w14:textId="77777777" w:rsidR="007A1942" w:rsidRPr="006E2E9C" w:rsidRDefault="007A1942" w:rsidP="006E2E9C">
            <w:pPr>
              <w:pStyle w:val="TableText"/>
            </w:pPr>
            <w:r w:rsidRPr="006E2E9C">
              <w:t>*0.1</w:t>
            </w:r>
          </w:p>
        </w:tc>
      </w:tr>
      <w:tr w:rsidR="007A1942" w:rsidRPr="00EC50D6" w14:paraId="5B746777" w14:textId="77777777" w:rsidTr="00DE4AD4">
        <w:trPr>
          <w:cantSplit/>
        </w:trPr>
        <w:tc>
          <w:tcPr>
            <w:tcW w:w="811" w:type="pct"/>
            <w:tcBorders>
              <w:top w:val="single" w:sz="4" w:space="0" w:color="auto"/>
              <w:bottom w:val="single" w:sz="4" w:space="0" w:color="auto"/>
            </w:tcBorders>
            <w:noWrap/>
          </w:tcPr>
          <w:p w14:paraId="17A519A2" w14:textId="77777777" w:rsidR="007A1942" w:rsidRPr="006E2E9C" w:rsidRDefault="007A1942" w:rsidP="006E2E9C">
            <w:pPr>
              <w:pStyle w:val="TableText"/>
            </w:pPr>
            <w:r w:rsidRPr="006E2E9C">
              <w:lastRenderedPageBreak/>
              <w:t>FI 0030</w:t>
            </w:r>
          </w:p>
        </w:tc>
        <w:tc>
          <w:tcPr>
            <w:tcW w:w="2646" w:type="pct"/>
            <w:tcBorders>
              <w:top w:val="single" w:sz="4" w:space="0" w:color="auto"/>
              <w:bottom w:val="single" w:sz="4" w:space="0" w:color="auto"/>
            </w:tcBorders>
            <w:noWrap/>
          </w:tcPr>
          <w:p w14:paraId="33D51ADE" w14:textId="77777777" w:rsidR="007A1942" w:rsidRPr="006E2E9C" w:rsidRDefault="007A1942" w:rsidP="006E2E9C">
            <w:pPr>
              <w:pStyle w:val="TableText"/>
            </w:pPr>
            <w:r w:rsidRPr="006E2E9C">
              <w:t>Assorted tropical and sub-tropical fruits – inedible peel {except pineapple}</w:t>
            </w:r>
          </w:p>
        </w:tc>
        <w:tc>
          <w:tcPr>
            <w:tcW w:w="502" w:type="pct"/>
            <w:tcBorders>
              <w:top w:val="single" w:sz="4" w:space="0" w:color="auto"/>
              <w:bottom w:val="single" w:sz="4" w:space="0" w:color="auto"/>
            </w:tcBorders>
            <w:noWrap/>
          </w:tcPr>
          <w:p w14:paraId="11748746" w14:textId="4198F937" w:rsidR="007A1942" w:rsidRPr="006E2E9C" w:rsidRDefault="006E2E9C" w:rsidP="006E2E9C">
            <w:pPr>
              <w:pStyle w:val="TableText"/>
            </w:pPr>
            <w:r>
              <w:t>–</w:t>
            </w:r>
          </w:p>
        </w:tc>
        <w:tc>
          <w:tcPr>
            <w:tcW w:w="1041" w:type="pct"/>
            <w:tcBorders>
              <w:top w:val="single" w:sz="4" w:space="0" w:color="auto"/>
              <w:bottom w:val="single" w:sz="4" w:space="0" w:color="auto"/>
            </w:tcBorders>
          </w:tcPr>
          <w:p w14:paraId="3E764CFD" w14:textId="77777777" w:rsidR="007A1942" w:rsidRPr="006E2E9C" w:rsidRDefault="007A1942" w:rsidP="006E2E9C">
            <w:pPr>
              <w:pStyle w:val="TableText"/>
            </w:pPr>
            <w:r w:rsidRPr="006E2E9C">
              <w:t>*0.02</w:t>
            </w:r>
          </w:p>
        </w:tc>
      </w:tr>
      <w:tr w:rsidR="007A1942" w:rsidRPr="00EC50D6" w14:paraId="740E851D" w14:textId="77777777" w:rsidTr="00DE4AD4">
        <w:trPr>
          <w:cantSplit/>
        </w:trPr>
        <w:tc>
          <w:tcPr>
            <w:tcW w:w="811" w:type="pct"/>
            <w:tcBorders>
              <w:top w:val="single" w:sz="4" w:space="0" w:color="auto"/>
              <w:bottom w:val="single" w:sz="4" w:space="0" w:color="auto"/>
            </w:tcBorders>
            <w:noWrap/>
          </w:tcPr>
          <w:p w14:paraId="1BB22D1B" w14:textId="77777777" w:rsidR="007A1942" w:rsidRPr="006E2E9C" w:rsidRDefault="007A1942" w:rsidP="006E2E9C">
            <w:pPr>
              <w:pStyle w:val="TableText"/>
            </w:pPr>
            <w:r w:rsidRPr="006E2E9C">
              <w:t>GC 0640</w:t>
            </w:r>
          </w:p>
        </w:tc>
        <w:tc>
          <w:tcPr>
            <w:tcW w:w="2646" w:type="pct"/>
            <w:tcBorders>
              <w:top w:val="single" w:sz="4" w:space="0" w:color="auto"/>
              <w:bottom w:val="single" w:sz="4" w:space="0" w:color="auto"/>
            </w:tcBorders>
            <w:noWrap/>
          </w:tcPr>
          <w:p w14:paraId="1D79155D" w14:textId="77777777" w:rsidR="007A1942" w:rsidRPr="006E2E9C" w:rsidRDefault="007A1942" w:rsidP="006E2E9C">
            <w:pPr>
              <w:pStyle w:val="TableText"/>
            </w:pPr>
            <w:r w:rsidRPr="006E2E9C">
              <w:t>Barley</w:t>
            </w:r>
          </w:p>
        </w:tc>
        <w:tc>
          <w:tcPr>
            <w:tcW w:w="502" w:type="pct"/>
            <w:tcBorders>
              <w:top w:val="single" w:sz="4" w:space="0" w:color="auto"/>
              <w:bottom w:val="single" w:sz="4" w:space="0" w:color="auto"/>
            </w:tcBorders>
            <w:noWrap/>
          </w:tcPr>
          <w:p w14:paraId="49355F3C"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1F936175" w14:textId="77777777" w:rsidR="007A1942" w:rsidRPr="006E2E9C" w:rsidRDefault="007A1942" w:rsidP="006E2E9C">
            <w:pPr>
              <w:pStyle w:val="TableText"/>
            </w:pPr>
            <w:r w:rsidRPr="006E2E9C">
              <w:t>5</w:t>
            </w:r>
          </w:p>
        </w:tc>
      </w:tr>
      <w:tr w:rsidR="007A1942" w:rsidRPr="00EC50D6" w14:paraId="24310A43" w14:textId="77777777" w:rsidTr="00DE4AD4">
        <w:trPr>
          <w:cantSplit/>
        </w:trPr>
        <w:tc>
          <w:tcPr>
            <w:tcW w:w="811" w:type="pct"/>
            <w:tcBorders>
              <w:top w:val="single" w:sz="4" w:space="0" w:color="auto"/>
              <w:bottom w:val="single" w:sz="4" w:space="0" w:color="auto"/>
            </w:tcBorders>
            <w:noWrap/>
          </w:tcPr>
          <w:p w14:paraId="6C15B1E7" w14:textId="77777777" w:rsidR="007A1942" w:rsidRPr="006E2E9C" w:rsidRDefault="007A1942" w:rsidP="006E2E9C">
            <w:pPr>
              <w:pStyle w:val="TableText"/>
            </w:pPr>
            <w:r w:rsidRPr="006E2E9C">
              <w:t>VP 0061</w:t>
            </w:r>
          </w:p>
        </w:tc>
        <w:tc>
          <w:tcPr>
            <w:tcW w:w="2646" w:type="pct"/>
            <w:tcBorders>
              <w:top w:val="single" w:sz="4" w:space="0" w:color="auto"/>
              <w:bottom w:val="single" w:sz="4" w:space="0" w:color="auto"/>
            </w:tcBorders>
            <w:noWrap/>
          </w:tcPr>
          <w:p w14:paraId="1756DB3D" w14:textId="77777777" w:rsidR="007A1942" w:rsidRPr="006E2E9C" w:rsidRDefault="007A1942" w:rsidP="006E2E9C">
            <w:pPr>
              <w:pStyle w:val="TableText"/>
            </w:pPr>
            <w:r w:rsidRPr="006E2E9C">
              <w:t>Beans, except broad bean and soya bean</w:t>
            </w:r>
          </w:p>
        </w:tc>
        <w:tc>
          <w:tcPr>
            <w:tcW w:w="502" w:type="pct"/>
            <w:tcBorders>
              <w:top w:val="single" w:sz="4" w:space="0" w:color="auto"/>
              <w:bottom w:val="single" w:sz="4" w:space="0" w:color="auto"/>
            </w:tcBorders>
            <w:noWrap/>
          </w:tcPr>
          <w:p w14:paraId="7A25716C"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097D3A44" w14:textId="77777777" w:rsidR="007A1942" w:rsidRPr="006E2E9C" w:rsidRDefault="007A1942" w:rsidP="006E2E9C">
            <w:pPr>
              <w:pStyle w:val="TableText"/>
            </w:pPr>
            <w:r w:rsidRPr="006E2E9C">
              <w:t>Delete</w:t>
            </w:r>
          </w:p>
        </w:tc>
      </w:tr>
      <w:tr w:rsidR="007A1942" w:rsidRPr="00EC50D6" w14:paraId="1FCBB085" w14:textId="77777777" w:rsidTr="00DE4AD4">
        <w:trPr>
          <w:cantSplit/>
        </w:trPr>
        <w:tc>
          <w:tcPr>
            <w:tcW w:w="811" w:type="pct"/>
            <w:tcBorders>
              <w:top w:val="single" w:sz="4" w:space="0" w:color="auto"/>
              <w:bottom w:val="single" w:sz="4" w:space="0" w:color="auto"/>
            </w:tcBorders>
            <w:noWrap/>
          </w:tcPr>
          <w:p w14:paraId="086371BA" w14:textId="77777777" w:rsidR="007A1942" w:rsidRPr="006E2E9C" w:rsidRDefault="007A1942" w:rsidP="006E2E9C">
            <w:pPr>
              <w:pStyle w:val="TableText"/>
            </w:pPr>
            <w:r w:rsidRPr="006E2E9C">
              <w:t>FB 0018</w:t>
            </w:r>
          </w:p>
        </w:tc>
        <w:tc>
          <w:tcPr>
            <w:tcW w:w="2646" w:type="pct"/>
            <w:tcBorders>
              <w:top w:val="single" w:sz="4" w:space="0" w:color="auto"/>
              <w:bottom w:val="single" w:sz="4" w:space="0" w:color="auto"/>
            </w:tcBorders>
            <w:noWrap/>
          </w:tcPr>
          <w:p w14:paraId="6A0EA7B0" w14:textId="77777777" w:rsidR="007A1942" w:rsidRPr="006E2E9C" w:rsidRDefault="007A1942" w:rsidP="006E2E9C">
            <w:pPr>
              <w:pStyle w:val="TableText"/>
            </w:pPr>
            <w:r w:rsidRPr="006E2E9C">
              <w:t>Berries and other small fruits</w:t>
            </w:r>
          </w:p>
        </w:tc>
        <w:tc>
          <w:tcPr>
            <w:tcW w:w="502" w:type="pct"/>
            <w:tcBorders>
              <w:top w:val="single" w:sz="4" w:space="0" w:color="auto"/>
              <w:bottom w:val="single" w:sz="4" w:space="0" w:color="auto"/>
            </w:tcBorders>
            <w:noWrap/>
          </w:tcPr>
          <w:p w14:paraId="4F43F0D7" w14:textId="4A305178" w:rsidR="007A1942" w:rsidRPr="006E2E9C" w:rsidRDefault="006E2E9C" w:rsidP="006E2E9C">
            <w:pPr>
              <w:pStyle w:val="TableText"/>
            </w:pPr>
            <w:r>
              <w:t>–</w:t>
            </w:r>
          </w:p>
        </w:tc>
        <w:tc>
          <w:tcPr>
            <w:tcW w:w="1041" w:type="pct"/>
            <w:tcBorders>
              <w:top w:val="single" w:sz="4" w:space="0" w:color="auto"/>
              <w:bottom w:val="single" w:sz="4" w:space="0" w:color="auto"/>
            </w:tcBorders>
          </w:tcPr>
          <w:p w14:paraId="7C7B4324" w14:textId="77777777" w:rsidR="007A1942" w:rsidRPr="006E2E9C" w:rsidRDefault="007A1942" w:rsidP="006E2E9C">
            <w:pPr>
              <w:pStyle w:val="TableText"/>
            </w:pPr>
            <w:r w:rsidRPr="006E2E9C">
              <w:t>*0.05</w:t>
            </w:r>
          </w:p>
        </w:tc>
      </w:tr>
      <w:tr w:rsidR="007A1942" w:rsidRPr="00EC50D6" w14:paraId="52BBA9F5" w14:textId="77777777" w:rsidTr="00DE4AD4">
        <w:trPr>
          <w:cantSplit/>
        </w:trPr>
        <w:tc>
          <w:tcPr>
            <w:tcW w:w="811" w:type="pct"/>
            <w:tcBorders>
              <w:top w:val="single" w:sz="4" w:space="0" w:color="auto"/>
              <w:bottom w:val="single" w:sz="4" w:space="0" w:color="auto"/>
            </w:tcBorders>
            <w:noWrap/>
          </w:tcPr>
          <w:p w14:paraId="643F9C48" w14:textId="77777777" w:rsidR="007A1942" w:rsidRPr="006E2E9C" w:rsidRDefault="007A1942" w:rsidP="006E2E9C">
            <w:pPr>
              <w:pStyle w:val="TableText"/>
            </w:pPr>
            <w:r w:rsidRPr="006E2E9C">
              <w:t>VP 0522</w:t>
            </w:r>
          </w:p>
        </w:tc>
        <w:tc>
          <w:tcPr>
            <w:tcW w:w="2646" w:type="pct"/>
            <w:tcBorders>
              <w:top w:val="single" w:sz="4" w:space="0" w:color="auto"/>
              <w:bottom w:val="single" w:sz="4" w:space="0" w:color="auto"/>
            </w:tcBorders>
            <w:noWrap/>
          </w:tcPr>
          <w:p w14:paraId="775B584F" w14:textId="77777777" w:rsidR="007A1942" w:rsidRPr="006E2E9C" w:rsidRDefault="007A1942" w:rsidP="006E2E9C">
            <w:pPr>
              <w:pStyle w:val="TableText"/>
            </w:pPr>
            <w:r w:rsidRPr="006E2E9C">
              <w:t>Broad bean (green pods and immature seeds)</w:t>
            </w:r>
          </w:p>
        </w:tc>
        <w:tc>
          <w:tcPr>
            <w:tcW w:w="502" w:type="pct"/>
            <w:tcBorders>
              <w:top w:val="single" w:sz="4" w:space="0" w:color="auto"/>
              <w:bottom w:val="single" w:sz="4" w:space="0" w:color="auto"/>
            </w:tcBorders>
            <w:noWrap/>
          </w:tcPr>
          <w:p w14:paraId="0657CCF5"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715E8906" w14:textId="77777777" w:rsidR="007A1942" w:rsidRPr="006E2E9C" w:rsidRDefault="007A1942" w:rsidP="006E2E9C">
            <w:pPr>
              <w:pStyle w:val="TableText"/>
            </w:pPr>
            <w:r w:rsidRPr="006E2E9C">
              <w:t>Delete</w:t>
            </w:r>
          </w:p>
        </w:tc>
      </w:tr>
      <w:tr w:rsidR="006E2E9C" w:rsidRPr="00EC50D6" w14:paraId="45FD7F61" w14:textId="77777777" w:rsidTr="00DE4AD4">
        <w:trPr>
          <w:cantSplit/>
        </w:trPr>
        <w:tc>
          <w:tcPr>
            <w:tcW w:w="811" w:type="pct"/>
            <w:tcBorders>
              <w:top w:val="single" w:sz="4" w:space="0" w:color="auto"/>
              <w:bottom w:val="single" w:sz="4" w:space="0" w:color="auto"/>
            </w:tcBorders>
            <w:noWrap/>
          </w:tcPr>
          <w:p w14:paraId="047402BC" w14:textId="77777777" w:rsidR="006E2E9C" w:rsidRPr="006E2E9C" w:rsidRDefault="006E2E9C" w:rsidP="006E2E9C">
            <w:pPr>
              <w:pStyle w:val="TableText"/>
            </w:pPr>
            <w:r w:rsidRPr="006E2E9C">
              <w:t>VB 0400</w:t>
            </w:r>
          </w:p>
        </w:tc>
        <w:tc>
          <w:tcPr>
            <w:tcW w:w="2646" w:type="pct"/>
            <w:tcBorders>
              <w:top w:val="single" w:sz="4" w:space="0" w:color="auto"/>
              <w:bottom w:val="single" w:sz="4" w:space="0" w:color="auto"/>
            </w:tcBorders>
            <w:noWrap/>
          </w:tcPr>
          <w:p w14:paraId="71999AE5" w14:textId="77777777" w:rsidR="006E2E9C" w:rsidRPr="006E2E9C" w:rsidRDefault="006E2E9C" w:rsidP="006E2E9C">
            <w:pPr>
              <w:pStyle w:val="TableText"/>
            </w:pPr>
            <w:r w:rsidRPr="006E2E9C">
              <w:t>Broccoli</w:t>
            </w:r>
          </w:p>
        </w:tc>
        <w:tc>
          <w:tcPr>
            <w:tcW w:w="502" w:type="pct"/>
            <w:tcBorders>
              <w:top w:val="single" w:sz="4" w:space="0" w:color="auto"/>
              <w:bottom w:val="single" w:sz="4" w:space="0" w:color="auto"/>
            </w:tcBorders>
            <w:noWrap/>
          </w:tcPr>
          <w:p w14:paraId="2CD830AA" w14:textId="688CC09C"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7CCFABC4" w14:textId="77777777" w:rsidR="006E2E9C" w:rsidRPr="006E2E9C" w:rsidRDefault="006E2E9C" w:rsidP="006E2E9C">
            <w:pPr>
              <w:pStyle w:val="TableText"/>
            </w:pPr>
            <w:r w:rsidRPr="006E2E9C">
              <w:t>*0.02</w:t>
            </w:r>
          </w:p>
        </w:tc>
      </w:tr>
      <w:tr w:rsidR="006E2E9C" w:rsidRPr="00EC50D6" w14:paraId="51BFC112" w14:textId="77777777" w:rsidTr="00DE4AD4">
        <w:trPr>
          <w:cantSplit/>
        </w:trPr>
        <w:tc>
          <w:tcPr>
            <w:tcW w:w="811" w:type="pct"/>
            <w:tcBorders>
              <w:top w:val="single" w:sz="4" w:space="0" w:color="auto"/>
              <w:bottom w:val="single" w:sz="4" w:space="0" w:color="auto"/>
            </w:tcBorders>
            <w:noWrap/>
          </w:tcPr>
          <w:p w14:paraId="290C8BC6" w14:textId="77777777" w:rsidR="006E2E9C" w:rsidRPr="006E2E9C" w:rsidRDefault="006E2E9C" w:rsidP="006E2E9C">
            <w:pPr>
              <w:pStyle w:val="TableText"/>
            </w:pPr>
            <w:r w:rsidRPr="006E2E9C">
              <w:t>VA 2031</w:t>
            </w:r>
          </w:p>
        </w:tc>
        <w:tc>
          <w:tcPr>
            <w:tcW w:w="2646" w:type="pct"/>
            <w:tcBorders>
              <w:top w:val="single" w:sz="4" w:space="0" w:color="auto"/>
              <w:bottom w:val="single" w:sz="4" w:space="0" w:color="auto"/>
            </w:tcBorders>
            <w:noWrap/>
          </w:tcPr>
          <w:p w14:paraId="615AF51B" w14:textId="77777777" w:rsidR="006E2E9C" w:rsidRPr="006E2E9C" w:rsidRDefault="006E2E9C" w:rsidP="006E2E9C">
            <w:pPr>
              <w:pStyle w:val="TableText"/>
            </w:pPr>
            <w:r w:rsidRPr="006E2E9C">
              <w:t>Bulb onions</w:t>
            </w:r>
          </w:p>
        </w:tc>
        <w:tc>
          <w:tcPr>
            <w:tcW w:w="502" w:type="pct"/>
            <w:tcBorders>
              <w:top w:val="single" w:sz="4" w:space="0" w:color="auto"/>
              <w:bottom w:val="single" w:sz="4" w:space="0" w:color="auto"/>
            </w:tcBorders>
            <w:noWrap/>
          </w:tcPr>
          <w:p w14:paraId="797A0644" w14:textId="18FA1BD3"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594F4966" w14:textId="77777777" w:rsidR="006E2E9C" w:rsidRPr="006E2E9C" w:rsidRDefault="006E2E9C" w:rsidP="006E2E9C">
            <w:pPr>
              <w:pStyle w:val="TableText"/>
            </w:pPr>
            <w:r w:rsidRPr="006E2E9C">
              <w:t>0.2</w:t>
            </w:r>
          </w:p>
        </w:tc>
      </w:tr>
      <w:tr w:rsidR="006E2E9C" w:rsidRPr="00EC50D6" w14:paraId="13F46093" w14:textId="77777777" w:rsidTr="00DE4AD4">
        <w:trPr>
          <w:cantSplit/>
        </w:trPr>
        <w:tc>
          <w:tcPr>
            <w:tcW w:w="811" w:type="pct"/>
            <w:tcBorders>
              <w:top w:val="single" w:sz="4" w:space="0" w:color="auto"/>
              <w:bottom w:val="single" w:sz="4" w:space="0" w:color="auto"/>
            </w:tcBorders>
            <w:noWrap/>
          </w:tcPr>
          <w:p w14:paraId="445EA269" w14:textId="77777777" w:rsidR="006E2E9C" w:rsidRPr="006E2E9C" w:rsidRDefault="006E2E9C" w:rsidP="006E2E9C">
            <w:pPr>
              <w:pStyle w:val="TableText"/>
            </w:pPr>
            <w:r w:rsidRPr="006E2E9C">
              <w:t>VB 0041</w:t>
            </w:r>
          </w:p>
        </w:tc>
        <w:tc>
          <w:tcPr>
            <w:tcW w:w="2646" w:type="pct"/>
            <w:tcBorders>
              <w:top w:val="single" w:sz="4" w:space="0" w:color="auto"/>
              <w:bottom w:val="single" w:sz="4" w:space="0" w:color="auto"/>
            </w:tcBorders>
            <w:noWrap/>
          </w:tcPr>
          <w:p w14:paraId="7D896BEF" w14:textId="77777777" w:rsidR="006E2E9C" w:rsidRPr="006E2E9C" w:rsidRDefault="006E2E9C" w:rsidP="006E2E9C">
            <w:pPr>
              <w:pStyle w:val="TableText"/>
            </w:pPr>
            <w:r w:rsidRPr="006E2E9C">
              <w:t>Cabbages, head</w:t>
            </w:r>
          </w:p>
        </w:tc>
        <w:tc>
          <w:tcPr>
            <w:tcW w:w="502" w:type="pct"/>
            <w:tcBorders>
              <w:top w:val="single" w:sz="4" w:space="0" w:color="auto"/>
              <w:bottom w:val="single" w:sz="4" w:space="0" w:color="auto"/>
            </w:tcBorders>
            <w:noWrap/>
          </w:tcPr>
          <w:p w14:paraId="1BFEAF34" w14:textId="768036D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14942FA4" w14:textId="77777777" w:rsidR="006E2E9C" w:rsidRPr="006E2E9C" w:rsidRDefault="006E2E9C" w:rsidP="006E2E9C">
            <w:pPr>
              <w:pStyle w:val="TableText"/>
            </w:pPr>
            <w:r w:rsidRPr="006E2E9C">
              <w:t>*0.02</w:t>
            </w:r>
          </w:p>
        </w:tc>
      </w:tr>
      <w:tr w:rsidR="006E2E9C" w:rsidRPr="00EC50D6" w14:paraId="26FA58D4" w14:textId="77777777" w:rsidTr="00DE4AD4">
        <w:trPr>
          <w:cantSplit/>
        </w:trPr>
        <w:tc>
          <w:tcPr>
            <w:tcW w:w="811" w:type="pct"/>
            <w:tcBorders>
              <w:top w:val="single" w:sz="4" w:space="0" w:color="auto"/>
              <w:bottom w:val="single" w:sz="4" w:space="0" w:color="auto"/>
            </w:tcBorders>
            <w:noWrap/>
          </w:tcPr>
          <w:p w14:paraId="2129B182" w14:textId="77777777" w:rsidR="006E2E9C" w:rsidRPr="006E2E9C" w:rsidRDefault="006E2E9C" w:rsidP="006E2E9C">
            <w:pPr>
              <w:pStyle w:val="TableText"/>
            </w:pPr>
            <w:r w:rsidRPr="006E2E9C">
              <w:t>VB 0404</w:t>
            </w:r>
          </w:p>
        </w:tc>
        <w:tc>
          <w:tcPr>
            <w:tcW w:w="2646" w:type="pct"/>
            <w:tcBorders>
              <w:top w:val="single" w:sz="4" w:space="0" w:color="auto"/>
              <w:bottom w:val="single" w:sz="4" w:space="0" w:color="auto"/>
            </w:tcBorders>
            <w:noWrap/>
          </w:tcPr>
          <w:p w14:paraId="578B945A" w14:textId="77777777" w:rsidR="006E2E9C" w:rsidRPr="006E2E9C" w:rsidRDefault="006E2E9C" w:rsidP="006E2E9C">
            <w:pPr>
              <w:pStyle w:val="TableText"/>
            </w:pPr>
            <w:r w:rsidRPr="006E2E9C">
              <w:t>Cauliflower</w:t>
            </w:r>
          </w:p>
        </w:tc>
        <w:tc>
          <w:tcPr>
            <w:tcW w:w="502" w:type="pct"/>
            <w:tcBorders>
              <w:top w:val="single" w:sz="4" w:space="0" w:color="auto"/>
              <w:bottom w:val="single" w:sz="4" w:space="0" w:color="auto"/>
            </w:tcBorders>
            <w:noWrap/>
          </w:tcPr>
          <w:p w14:paraId="20C72F84" w14:textId="1B1C78BC"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1476A73C" w14:textId="77777777" w:rsidR="006E2E9C" w:rsidRPr="006E2E9C" w:rsidRDefault="006E2E9C" w:rsidP="006E2E9C">
            <w:pPr>
              <w:pStyle w:val="TableText"/>
            </w:pPr>
            <w:r w:rsidRPr="006E2E9C">
              <w:t>*0.02</w:t>
            </w:r>
          </w:p>
        </w:tc>
      </w:tr>
      <w:tr w:rsidR="006E2E9C" w:rsidRPr="00EC50D6" w14:paraId="38612E28" w14:textId="77777777" w:rsidTr="00DE4AD4">
        <w:trPr>
          <w:cantSplit/>
        </w:trPr>
        <w:tc>
          <w:tcPr>
            <w:tcW w:w="811" w:type="pct"/>
            <w:tcBorders>
              <w:top w:val="single" w:sz="4" w:space="0" w:color="auto"/>
              <w:bottom w:val="single" w:sz="4" w:space="0" w:color="auto"/>
            </w:tcBorders>
            <w:noWrap/>
          </w:tcPr>
          <w:p w14:paraId="6D2E810C" w14:textId="77777777" w:rsidR="006E2E9C" w:rsidRPr="006E2E9C" w:rsidRDefault="006E2E9C" w:rsidP="006E2E9C">
            <w:pPr>
              <w:pStyle w:val="TableText"/>
            </w:pPr>
            <w:r w:rsidRPr="006E2E9C">
              <w:t>VB 0467</w:t>
            </w:r>
          </w:p>
        </w:tc>
        <w:tc>
          <w:tcPr>
            <w:tcW w:w="2646" w:type="pct"/>
            <w:tcBorders>
              <w:top w:val="single" w:sz="4" w:space="0" w:color="auto"/>
              <w:bottom w:val="single" w:sz="4" w:space="0" w:color="auto"/>
            </w:tcBorders>
            <w:noWrap/>
          </w:tcPr>
          <w:p w14:paraId="2C19A6DE" w14:textId="77777777" w:rsidR="006E2E9C" w:rsidRPr="006E2E9C" w:rsidRDefault="006E2E9C" w:rsidP="006E2E9C">
            <w:pPr>
              <w:pStyle w:val="TableText"/>
            </w:pPr>
            <w:r w:rsidRPr="006E2E9C">
              <w:t>Chinese cabbage (type Pe-tsai)</w:t>
            </w:r>
          </w:p>
        </w:tc>
        <w:tc>
          <w:tcPr>
            <w:tcW w:w="502" w:type="pct"/>
            <w:tcBorders>
              <w:top w:val="single" w:sz="4" w:space="0" w:color="auto"/>
              <w:bottom w:val="single" w:sz="4" w:space="0" w:color="auto"/>
            </w:tcBorders>
            <w:noWrap/>
          </w:tcPr>
          <w:p w14:paraId="6F234FB6" w14:textId="5F212356"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38B5FABE" w14:textId="77777777" w:rsidR="006E2E9C" w:rsidRPr="006E2E9C" w:rsidRDefault="006E2E9C" w:rsidP="006E2E9C">
            <w:pPr>
              <w:pStyle w:val="TableText"/>
            </w:pPr>
            <w:r w:rsidRPr="006E2E9C">
              <w:t>*0.02</w:t>
            </w:r>
          </w:p>
        </w:tc>
      </w:tr>
      <w:tr w:rsidR="006E2E9C" w:rsidRPr="00EC50D6" w14:paraId="268E424D" w14:textId="77777777" w:rsidTr="00DE4AD4">
        <w:trPr>
          <w:cantSplit/>
        </w:trPr>
        <w:tc>
          <w:tcPr>
            <w:tcW w:w="811" w:type="pct"/>
            <w:tcBorders>
              <w:top w:val="single" w:sz="4" w:space="0" w:color="auto"/>
              <w:bottom w:val="single" w:sz="4" w:space="0" w:color="auto"/>
            </w:tcBorders>
            <w:noWrap/>
          </w:tcPr>
          <w:p w14:paraId="033473ED" w14:textId="77777777" w:rsidR="006E2E9C" w:rsidRPr="006E2E9C" w:rsidRDefault="006E2E9C" w:rsidP="006E2E9C">
            <w:pPr>
              <w:pStyle w:val="TableText"/>
            </w:pPr>
            <w:r w:rsidRPr="006E2E9C">
              <w:t>FC 0001</w:t>
            </w:r>
          </w:p>
        </w:tc>
        <w:tc>
          <w:tcPr>
            <w:tcW w:w="2646" w:type="pct"/>
            <w:tcBorders>
              <w:top w:val="single" w:sz="4" w:space="0" w:color="auto"/>
              <w:bottom w:val="single" w:sz="4" w:space="0" w:color="auto"/>
            </w:tcBorders>
            <w:noWrap/>
          </w:tcPr>
          <w:p w14:paraId="0E4FF1D7" w14:textId="77777777" w:rsidR="006E2E9C" w:rsidRPr="006E2E9C" w:rsidRDefault="006E2E9C" w:rsidP="006E2E9C">
            <w:pPr>
              <w:pStyle w:val="TableText"/>
            </w:pPr>
            <w:r w:rsidRPr="006E2E9C">
              <w:t>Citrus fruits</w:t>
            </w:r>
          </w:p>
        </w:tc>
        <w:tc>
          <w:tcPr>
            <w:tcW w:w="502" w:type="pct"/>
            <w:tcBorders>
              <w:top w:val="single" w:sz="4" w:space="0" w:color="auto"/>
              <w:bottom w:val="single" w:sz="4" w:space="0" w:color="auto"/>
            </w:tcBorders>
            <w:noWrap/>
          </w:tcPr>
          <w:p w14:paraId="2BFD7510" w14:textId="09C641A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3580BAE2" w14:textId="77777777" w:rsidR="006E2E9C" w:rsidRPr="006E2E9C" w:rsidRDefault="006E2E9C" w:rsidP="006E2E9C">
            <w:pPr>
              <w:pStyle w:val="TableText"/>
            </w:pPr>
            <w:r w:rsidRPr="006E2E9C">
              <w:t>*0.05</w:t>
            </w:r>
          </w:p>
        </w:tc>
      </w:tr>
      <w:tr w:rsidR="006E2E9C" w:rsidRPr="00EC50D6" w14:paraId="2772BCAA" w14:textId="77777777" w:rsidTr="00DE4AD4">
        <w:trPr>
          <w:cantSplit/>
        </w:trPr>
        <w:tc>
          <w:tcPr>
            <w:tcW w:w="811" w:type="pct"/>
            <w:tcBorders>
              <w:top w:val="single" w:sz="4" w:space="0" w:color="auto"/>
              <w:bottom w:val="single" w:sz="4" w:space="0" w:color="auto"/>
            </w:tcBorders>
            <w:noWrap/>
          </w:tcPr>
          <w:p w14:paraId="3A92416A" w14:textId="77777777" w:rsidR="006E2E9C" w:rsidRPr="006E2E9C" w:rsidRDefault="006E2E9C" w:rsidP="006E2E9C">
            <w:pPr>
              <w:pStyle w:val="TableText"/>
            </w:pPr>
            <w:r w:rsidRPr="006E2E9C">
              <w:t>SO 0691</w:t>
            </w:r>
          </w:p>
        </w:tc>
        <w:tc>
          <w:tcPr>
            <w:tcW w:w="2646" w:type="pct"/>
            <w:tcBorders>
              <w:top w:val="single" w:sz="4" w:space="0" w:color="auto"/>
              <w:bottom w:val="single" w:sz="4" w:space="0" w:color="auto"/>
            </w:tcBorders>
            <w:noWrap/>
          </w:tcPr>
          <w:p w14:paraId="17E45740" w14:textId="77777777" w:rsidR="006E2E9C" w:rsidRPr="006E2E9C" w:rsidRDefault="006E2E9C" w:rsidP="006E2E9C">
            <w:pPr>
              <w:pStyle w:val="TableText"/>
            </w:pPr>
            <w:r w:rsidRPr="006E2E9C">
              <w:t>Cotton seed</w:t>
            </w:r>
          </w:p>
        </w:tc>
        <w:tc>
          <w:tcPr>
            <w:tcW w:w="502" w:type="pct"/>
            <w:tcBorders>
              <w:top w:val="single" w:sz="4" w:space="0" w:color="auto"/>
              <w:bottom w:val="single" w:sz="4" w:space="0" w:color="auto"/>
            </w:tcBorders>
            <w:noWrap/>
          </w:tcPr>
          <w:p w14:paraId="2DF400A0" w14:textId="0B3C8E1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04C8D3D1" w14:textId="77777777" w:rsidR="006E2E9C" w:rsidRPr="006E2E9C" w:rsidRDefault="006E2E9C" w:rsidP="006E2E9C">
            <w:pPr>
              <w:pStyle w:val="TableText"/>
            </w:pPr>
            <w:r w:rsidRPr="006E2E9C">
              <w:t>T5 during phase out, *0.05 after phase out</w:t>
            </w:r>
          </w:p>
        </w:tc>
      </w:tr>
      <w:tr w:rsidR="00874E6A" w:rsidRPr="00EC50D6" w14:paraId="74546874" w14:textId="77777777" w:rsidTr="00DE4AD4">
        <w:trPr>
          <w:cantSplit/>
        </w:trPr>
        <w:tc>
          <w:tcPr>
            <w:tcW w:w="811" w:type="pct"/>
            <w:tcBorders>
              <w:top w:val="single" w:sz="4" w:space="0" w:color="auto"/>
              <w:bottom w:val="single" w:sz="4" w:space="0" w:color="auto"/>
            </w:tcBorders>
            <w:noWrap/>
          </w:tcPr>
          <w:p w14:paraId="6C4B6C77" w14:textId="096DB537" w:rsidR="00874E6A" w:rsidRPr="006E2E9C" w:rsidRDefault="00874E6A" w:rsidP="006E2E9C">
            <w:pPr>
              <w:pStyle w:val="TableText"/>
            </w:pPr>
            <w:r>
              <w:t>VS 0424</w:t>
            </w:r>
          </w:p>
        </w:tc>
        <w:tc>
          <w:tcPr>
            <w:tcW w:w="2646" w:type="pct"/>
            <w:tcBorders>
              <w:top w:val="single" w:sz="4" w:space="0" w:color="auto"/>
              <w:bottom w:val="single" w:sz="4" w:space="0" w:color="auto"/>
            </w:tcBorders>
            <w:noWrap/>
          </w:tcPr>
          <w:p w14:paraId="248D011A" w14:textId="638E0F93" w:rsidR="00874E6A" w:rsidRPr="006E2E9C" w:rsidRDefault="00874E6A" w:rsidP="006E2E9C">
            <w:pPr>
              <w:pStyle w:val="TableText"/>
            </w:pPr>
            <w:r>
              <w:t>Cucumber</w:t>
            </w:r>
          </w:p>
        </w:tc>
        <w:tc>
          <w:tcPr>
            <w:tcW w:w="502" w:type="pct"/>
            <w:tcBorders>
              <w:top w:val="single" w:sz="4" w:space="0" w:color="auto"/>
              <w:bottom w:val="single" w:sz="4" w:space="0" w:color="auto"/>
            </w:tcBorders>
            <w:noWrap/>
          </w:tcPr>
          <w:p w14:paraId="506FFD43" w14:textId="5B7EF42D" w:rsidR="00874E6A" w:rsidRPr="006E2E9C" w:rsidRDefault="00874E6A" w:rsidP="006E2E9C">
            <w:pPr>
              <w:pStyle w:val="TableText"/>
            </w:pPr>
            <w:r>
              <w:t>-</w:t>
            </w:r>
          </w:p>
        </w:tc>
        <w:tc>
          <w:tcPr>
            <w:tcW w:w="1041" w:type="pct"/>
            <w:tcBorders>
              <w:top w:val="single" w:sz="4" w:space="0" w:color="auto"/>
              <w:bottom w:val="single" w:sz="4" w:space="0" w:color="auto"/>
            </w:tcBorders>
          </w:tcPr>
          <w:p w14:paraId="7353E3BB" w14:textId="1F042968" w:rsidR="00874E6A" w:rsidRPr="006E2E9C" w:rsidRDefault="00874E6A" w:rsidP="006E2E9C">
            <w:pPr>
              <w:pStyle w:val="TableText"/>
            </w:pPr>
            <w:r>
              <w:t>0.1</w:t>
            </w:r>
          </w:p>
        </w:tc>
      </w:tr>
      <w:tr w:rsidR="007A1942" w:rsidRPr="00EC50D6" w14:paraId="295EBED7" w14:textId="77777777" w:rsidTr="00DE4AD4">
        <w:trPr>
          <w:cantSplit/>
        </w:trPr>
        <w:tc>
          <w:tcPr>
            <w:tcW w:w="811" w:type="pct"/>
            <w:tcBorders>
              <w:top w:val="single" w:sz="4" w:space="0" w:color="auto"/>
              <w:bottom w:val="single" w:sz="4" w:space="0" w:color="auto"/>
            </w:tcBorders>
            <w:noWrap/>
          </w:tcPr>
          <w:p w14:paraId="77BC8106" w14:textId="77777777" w:rsidR="007A1942" w:rsidRPr="006E2E9C" w:rsidRDefault="007A1942" w:rsidP="006E2E9C">
            <w:pPr>
              <w:pStyle w:val="TableText"/>
            </w:pPr>
            <w:r w:rsidRPr="006E2E9C">
              <w:t>MO 0105</w:t>
            </w:r>
          </w:p>
        </w:tc>
        <w:tc>
          <w:tcPr>
            <w:tcW w:w="2646" w:type="pct"/>
            <w:tcBorders>
              <w:top w:val="single" w:sz="4" w:space="0" w:color="auto"/>
              <w:bottom w:val="single" w:sz="4" w:space="0" w:color="auto"/>
            </w:tcBorders>
            <w:noWrap/>
          </w:tcPr>
          <w:p w14:paraId="15AEB706" w14:textId="77777777" w:rsidR="007A1942" w:rsidRPr="006E2E9C" w:rsidRDefault="007A1942" w:rsidP="006E2E9C">
            <w:pPr>
              <w:pStyle w:val="TableText"/>
            </w:pPr>
            <w:r w:rsidRPr="006E2E9C">
              <w:t>Edible offal (Mammalian)</w:t>
            </w:r>
          </w:p>
        </w:tc>
        <w:tc>
          <w:tcPr>
            <w:tcW w:w="502" w:type="pct"/>
            <w:tcBorders>
              <w:top w:val="single" w:sz="4" w:space="0" w:color="auto"/>
              <w:bottom w:val="single" w:sz="4" w:space="0" w:color="auto"/>
            </w:tcBorders>
            <w:noWrap/>
          </w:tcPr>
          <w:p w14:paraId="6AB00DC2"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7F0CCE99" w14:textId="77777777" w:rsidR="007A1942" w:rsidRPr="006E2E9C" w:rsidRDefault="007A1942" w:rsidP="006E2E9C">
            <w:pPr>
              <w:pStyle w:val="TableText"/>
            </w:pPr>
            <w:r w:rsidRPr="006E2E9C">
              <w:t>*0.05</w:t>
            </w:r>
          </w:p>
        </w:tc>
      </w:tr>
      <w:tr w:rsidR="007A1942" w:rsidRPr="00EC50D6" w14:paraId="39C069A2" w14:textId="77777777" w:rsidTr="00DE4AD4">
        <w:trPr>
          <w:cantSplit/>
        </w:trPr>
        <w:tc>
          <w:tcPr>
            <w:tcW w:w="811" w:type="pct"/>
            <w:tcBorders>
              <w:top w:val="single" w:sz="4" w:space="0" w:color="auto"/>
              <w:bottom w:val="single" w:sz="4" w:space="0" w:color="auto"/>
            </w:tcBorders>
            <w:noWrap/>
          </w:tcPr>
          <w:p w14:paraId="32CC104E" w14:textId="77777777" w:rsidR="007A1942" w:rsidRPr="006E2E9C" w:rsidRDefault="007A1942" w:rsidP="006E2E9C">
            <w:pPr>
              <w:pStyle w:val="TableText"/>
            </w:pPr>
            <w:r w:rsidRPr="006E2E9C">
              <w:t>PE 0112</w:t>
            </w:r>
          </w:p>
        </w:tc>
        <w:tc>
          <w:tcPr>
            <w:tcW w:w="2646" w:type="pct"/>
            <w:tcBorders>
              <w:top w:val="single" w:sz="4" w:space="0" w:color="auto"/>
              <w:bottom w:val="single" w:sz="4" w:space="0" w:color="auto"/>
            </w:tcBorders>
            <w:noWrap/>
          </w:tcPr>
          <w:p w14:paraId="599A3DC7" w14:textId="77777777" w:rsidR="007A1942" w:rsidRPr="006E2E9C" w:rsidRDefault="007A1942" w:rsidP="006E2E9C">
            <w:pPr>
              <w:pStyle w:val="TableText"/>
            </w:pPr>
            <w:r w:rsidRPr="006E2E9C">
              <w:t>Eggs</w:t>
            </w:r>
          </w:p>
        </w:tc>
        <w:tc>
          <w:tcPr>
            <w:tcW w:w="502" w:type="pct"/>
            <w:tcBorders>
              <w:top w:val="single" w:sz="4" w:space="0" w:color="auto"/>
              <w:bottom w:val="single" w:sz="4" w:space="0" w:color="auto"/>
            </w:tcBorders>
            <w:noWrap/>
          </w:tcPr>
          <w:p w14:paraId="0D40D30A"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0AECCEA6" w14:textId="77777777" w:rsidR="007A1942" w:rsidRPr="006E2E9C" w:rsidRDefault="007A1942" w:rsidP="006E2E9C">
            <w:pPr>
              <w:pStyle w:val="TableText"/>
            </w:pPr>
            <w:r w:rsidRPr="006E2E9C">
              <w:t>*0.01</w:t>
            </w:r>
          </w:p>
        </w:tc>
      </w:tr>
      <w:tr w:rsidR="006E2E9C" w:rsidRPr="00EC50D6" w14:paraId="3F503D59" w14:textId="77777777" w:rsidTr="00DE4AD4">
        <w:trPr>
          <w:cantSplit/>
        </w:trPr>
        <w:tc>
          <w:tcPr>
            <w:tcW w:w="811" w:type="pct"/>
            <w:tcBorders>
              <w:top w:val="single" w:sz="4" w:space="0" w:color="auto"/>
              <w:bottom w:val="single" w:sz="4" w:space="0" w:color="auto"/>
            </w:tcBorders>
            <w:noWrap/>
          </w:tcPr>
          <w:p w14:paraId="25A12F97" w14:textId="77777777" w:rsidR="006E2E9C" w:rsidRPr="006E2E9C" w:rsidRDefault="006E2E9C" w:rsidP="006E2E9C">
            <w:pPr>
              <w:pStyle w:val="TableText"/>
            </w:pPr>
            <w:r w:rsidRPr="006E2E9C">
              <w:t>VO 0050</w:t>
            </w:r>
          </w:p>
        </w:tc>
        <w:tc>
          <w:tcPr>
            <w:tcW w:w="2646" w:type="pct"/>
            <w:tcBorders>
              <w:top w:val="single" w:sz="4" w:space="0" w:color="auto"/>
              <w:bottom w:val="single" w:sz="4" w:space="0" w:color="auto"/>
            </w:tcBorders>
            <w:noWrap/>
          </w:tcPr>
          <w:p w14:paraId="33AB6F20" w14:textId="77777777" w:rsidR="006E2E9C" w:rsidRPr="006E2E9C" w:rsidRDefault="006E2E9C" w:rsidP="006E2E9C">
            <w:pPr>
              <w:pStyle w:val="TableText"/>
            </w:pPr>
            <w:r w:rsidRPr="006E2E9C">
              <w:t>Fruiting vegetables, other than cucurbits</w:t>
            </w:r>
          </w:p>
        </w:tc>
        <w:tc>
          <w:tcPr>
            <w:tcW w:w="502" w:type="pct"/>
            <w:tcBorders>
              <w:top w:val="single" w:sz="4" w:space="0" w:color="auto"/>
              <w:bottom w:val="single" w:sz="4" w:space="0" w:color="auto"/>
            </w:tcBorders>
            <w:noWrap/>
          </w:tcPr>
          <w:p w14:paraId="52D2EC1A" w14:textId="3E6B0A08" w:rsidR="006E2E9C" w:rsidRPr="006E2E9C" w:rsidRDefault="006E2E9C" w:rsidP="006E2E9C">
            <w:pPr>
              <w:pStyle w:val="TableText"/>
            </w:pPr>
            <w:r>
              <w:t>–</w:t>
            </w:r>
          </w:p>
        </w:tc>
        <w:tc>
          <w:tcPr>
            <w:tcW w:w="1041" w:type="pct"/>
            <w:tcBorders>
              <w:top w:val="single" w:sz="4" w:space="0" w:color="auto"/>
              <w:bottom w:val="single" w:sz="4" w:space="0" w:color="auto"/>
            </w:tcBorders>
          </w:tcPr>
          <w:p w14:paraId="00B8743F" w14:textId="77777777" w:rsidR="006E2E9C" w:rsidRPr="006E2E9C" w:rsidRDefault="006E2E9C" w:rsidP="006E2E9C">
            <w:pPr>
              <w:pStyle w:val="TableText"/>
            </w:pPr>
            <w:r w:rsidRPr="006E2E9C">
              <w:t>*0.01</w:t>
            </w:r>
          </w:p>
        </w:tc>
      </w:tr>
      <w:tr w:rsidR="006E2E9C" w:rsidRPr="00EC50D6" w14:paraId="21ECC2E2" w14:textId="77777777" w:rsidTr="00DE4AD4">
        <w:trPr>
          <w:cantSplit/>
        </w:trPr>
        <w:tc>
          <w:tcPr>
            <w:tcW w:w="811" w:type="pct"/>
            <w:tcBorders>
              <w:top w:val="single" w:sz="4" w:space="0" w:color="auto"/>
              <w:bottom w:val="single" w:sz="4" w:space="0" w:color="auto"/>
            </w:tcBorders>
            <w:noWrap/>
          </w:tcPr>
          <w:p w14:paraId="044E5C79" w14:textId="77777777" w:rsidR="006E2E9C" w:rsidRPr="006E2E9C" w:rsidRDefault="006E2E9C" w:rsidP="006E2E9C">
            <w:pPr>
              <w:pStyle w:val="TableText"/>
            </w:pPr>
          </w:p>
        </w:tc>
        <w:tc>
          <w:tcPr>
            <w:tcW w:w="2646" w:type="pct"/>
            <w:tcBorders>
              <w:top w:val="single" w:sz="4" w:space="0" w:color="auto"/>
              <w:bottom w:val="single" w:sz="4" w:space="0" w:color="auto"/>
            </w:tcBorders>
            <w:noWrap/>
          </w:tcPr>
          <w:p w14:paraId="4D3E446E" w14:textId="77777777" w:rsidR="006E2E9C" w:rsidRPr="006E2E9C" w:rsidRDefault="006E2E9C" w:rsidP="006E2E9C">
            <w:pPr>
              <w:pStyle w:val="TableText"/>
            </w:pPr>
            <w:r w:rsidRPr="006E2E9C">
              <w:t>Fruits</w:t>
            </w:r>
          </w:p>
        </w:tc>
        <w:tc>
          <w:tcPr>
            <w:tcW w:w="502" w:type="pct"/>
            <w:tcBorders>
              <w:top w:val="single" w:sz="4" w:space="0" w:color="auto"/>
              <w:bottom w:val="single" w:sz="4" w:space="0" w:color="auto"/>
            </w:tcBorders>
            <w:noWrap/>
          </w:tcPr>
          <w:p w14:paraId="68D40BD2" w14:textId="77777777" w:rsidR="006E2E9C" w:rsidRPr="006E2E9C" w:rsidRDefault="006E2E9C" w:rsidP="006E2E9C">
            <w:pPr>
              <w:pStyle w:val="TableText"/>
            </w:pPr>
            <w:r w:rsidRPr="006E2E9C">
              <w:t>*0.05</w:t>
            </w:r>
          </w:p>
        </w:tc>
        <w:tc>
          <w:tcPr>
            <w:tcW w:w="1041" w:type="pct"/>
            <w:tcBorders>
              <w:top w:val="single" w:sz="4" w:space="0" w:color="auto"/>
              <w:bottom w:val="single" w:sz="4" w:space="0" w:color="auto"/>
            </w:tcBorders>
          </w:tcPr>
          <w:p w14:paraId="29D66BA8" w14:textId="77777777" w:rsidR="006E2E9C" w:rsidRPr="006E2E9C" w:rsidRDefault="006E2E9C" w:rsidP="006E2E9C">
            <w:pPr>
              <w:pStyle w:val="TableText"/>
            </w:pPr>
            <w:r w:rsidRPr="006E2E9C">
              <w:t>Delete</w:t>
            </w:r>
          </w:p>
        </w:tc>
      </w:tr>
      <w:tr w:rsidR="007A1942" w:rsidRPr="00EC50D6" w14:paraId="08827B26" w14:textId="77777777" w:rsidTr="00DE4AD4">
        <w:trPr>
          <w:cantSplit/>
        </w:trPr>
        <w:tc>
          <w:tcPr>
            <w:tcW w:w="811" w:type="pct"/>
            <w:tcBorders>
              <w:top w:val="single" w:sz="4" w:space="0" w:color="auto"/>
              <w:bottom w:val="single" w:sz="4" w:space="0" w:color="auto"/>
            </w:tcBorders>
            <w:noWrap/>
          </w:tcPr>
          <w:p w14:paraId="12FD0A15" w14:textId="77777777" w:rsidR="007A1942" w:rsidRPr="006E2E9C" w:rsidRDefault="007A1942" w:rsidP="006E2E9C">
            <w:pPr>
              <w:pStyle w:val="TableText"/>
            </w:pPr>
            <w:r w:rsidRPr="006E2E9C">
              <w:t>DH 1100</w:t>
            </w:r>
          </w:p>
        </w:tc>
        <w:tc>
          <w:tcPr>
            <w:tcW w:w="2646" w:type="pct"/>
            <w:tcBorders>
              <w:top w:val="single" w:sz="4" w:space="0" w:color="auto"/>
              <w:bottom w:val="single" w:sz="4" w:space="0" w:color="auto"/>
            </w:tcBorders>
            <w:noWrap/>
          </w:tcPr>
          <w:p w14:paraId="10788107" w14:textId="77777777" w:rsidR="007A1942" w:rsidRPr="006E2E9C" w:rsidRDefault="007A1942" w:rsidP="006E2E9C">
            <w:pPr>
              <w:pStyle w:val="TableText"/>
            </w:pPr>
            <w:r w:rsidRPr="006E2E9C">
              <w:t>Hops, dry</w:t>
            </w:r>
          </w:p>
        </w:tc>
        <w:tc>
          <w:tcPr>
            <w:tcW w:w="502" w:type="pct"/>
            <w:tcBorders>
              <w:top w:val="single" w:sz="4" w:space="0" w:color="auto"/>
              <w:bottom w:val="single" w:sz="4" w:space="0" w:color="auto"/>
            </w:tcBorders>
            <w:noWrap/>
          </w:tcPr>
          <w:p w14:paraId="79FAA243" w14:textId="77777777" w:rsidR="007A1942" w:rsidRPr="006E2E9C" w:rsidRDefault="007A1942" w:rsidP="006E2E9C">
            <w:pPr>
              <w:pStyle w:val="TableText"/>
            </w:pPr>
            <w:r w:rsidRPr="006E2E9C">
              <w:t>0.2</w:t>
            </w:r>
          </w:p>
        </w:tc>
        <w:tc>
          <w:tcPr>
            <w:tcW w:w="1041" w:type="pct"/>
            <w:tcBorders>
              <w:top w:val="single" w:sz="4" w:space="0" w:color="auto"/>
              <w:bottom w:val="single" w:sz="4" w:space="0" w:color="auto"/>
            </w:tcBorders>
          </w:tcPr>
          <w:p w14:paraId="1F2FD170" w14:textId="77777777" w:rsidR="007A1942" w:rsidRPr="006E2E9C" w:rsidRDefault="007A1942" w:rsidP="006E2E9C">
            <w:pPr>
              <w:pStyle w:val="TableText"/>
            </w:pPr>
            <w:r w:rsidRPr="006E2E9C">
              <w:t>*0.05</w:t>
            </w:r>
          </w:p>
        </w:tc>
      </w:tr>
      <w:tr w:rsidR="006E2E9C" w:rsidRPr="00EC50D6" w14:paraId="07BCE270" w14:textId="77777777" w:rsidTr="00DE4AD4">
        <w:trPr>
          <w:cantSplit/>
        </w:trPr>
        <w:tc>
          <w:tcPr>
            <w:tcW w:w="811" w:type="pct"/>
            <w:tcBorders>
              <w:top w:val="single" w:sz="4" w:space="0" w:color="auto"/>
              <w:bottom w:val="single" w:sz="4" w:space="0" w:color="auto"/>
            </w:tcBorders>
            <w:noWrap/>
          </w:tcPr>
          <w:p w14:paraId="10BB22E5" w14:textId="77777777" w:rsidR="006E2E9C" w:rsidRPr="006E2E9C" w:rsidRDefault="006E2E9C" w:rsidP="006E2E9C">
            <w:pPr>
              <w:pStyle w:val="TableText"/>
            </w:pPr>
            <w:r w:rsidRPr="006E2E9C">
              <w:t>VL 0053</w:t>
            </w:r>
          </w:p>
        </w:tc>
        <w:tc>
          <w:tcPr>
            <w:tcW w:w="2646" w:type="pct"/>
            <w:tcBorders>
              <w:top w:val="single" w:sz="4" w:space="0" w:color="auto"/>
              <w:bottom w:val="single" w:sz="4" w:space="0" w:color="auto"/>
            </w:tcBorders>
            <w:noWrap/>
          </w:tcPr>
          <w:p w14:paraId="7636669B" w14:textId="77777777" w:rsidR="006E2E9C" w:rsidRPr="006E2E9C" w:rsidRDefault="006E2E9C" w:rsidP="006E2E9C">
            <w:pPr>
              <w:pStyle w:val="TableText"/>
            </w:pPr>
            <w:r w:rsidRPr="006E2E9C">
              <w:t>Leafy vegetables</w:t>
            </w:r>
          </w:p>
        </w:tc>
        <w:tc>
          <w:tcPr>
            <w:tcW w:w="502" w:type="pct"/>
            <w:tcBorders>
              <w:top w:val="single" w:sz="4" w:space="0" w:color="auto"/>
              <w:bottom w:val="single" w:sz="4" w:space="0" w:color="auto"/>
            </w:tcBorders>
            <w:noWrap/>
          </w:tcPr>
          <w:p w14:paraId="200B4A16" w14:textId="59362DB1" w:rsidR="006E2E9C" w:rsidRPr="006E2E9C" w:rsidRDefault="006E2E9C" w:rsidP="006E2E9C">
            <w:pPr>
              <w:pStyle w:val="TableText"/>
            </w:pPr>
            <w:r w:rsidRPr="00582883">
              <w:t>–</w:t>
            </w:r>
          </w:p>
        </w:tc>
        <w:tc>
          <w:tcPr>
            <w:tcW w:w="1041" w:type="pct"/>
            <w:tcBorders>
              <w:top w:val="single" w:sz="4" w:space="0" w:color="auto"/>
              <w:bottom w:val="single" w:sz="4" w:space="0" w:color="auto"/>
            </w:tcBorders>
          </w:tcPr>
          <w:p w14:paraId="6C25F88B" w14:textId="77777777" w:rsidR="006E2E9C" w:rsidRPr="006E2E9C" w:rsidRDefault="006E2E9C" w:rsidP="006E2E9C">
            <w:pPr>
              <w:pStyle w:val="TableText"/>
            </w:pPr>
            <w:r w:rsidRPr="006E2E9C">
              <w:t>0.2</w:t>
            </w:r>
          </w:p>
        </w:tc>
      </w:tr>
      <w:tr w:rsidR="006E2E9C" w:rsidRPr="00EC50D6" w14:paraId="44D81EED" w14:textId="77777777" w:rsidTr="00DE4AD4">
        <w:trPr>
          <w:cantSplit/>
        </w:trPr>
        <w:tc>
          <w:tcPr>
            <w:tcW w:w="811" w:type="pct"/>
            <w:tcBorders>
              <w:top w:val="single" w:sz="4" w:space="0" w:color="auto"/>
              <w:bottom w:val="single" w:sz="4" w:space="0" w:color="auto"/>
            </w:tcBorders>
            <w:noWrap/>
          </w:tcPr>
          <w:p w14:paraId="74479290" w14:textId="77777777" w:rsidR="006E2E9C" w:rsidRPr="006E2E9C" w:rsidRDefault="006E2E9C" w:rsidP="006E2E9C">
            <w:pPr>
              <w:pStyle w:val="TableText"/>
            </w:pPr>
            <w:r w:rsidRPr="006E2E9C">
              <w:t>VP 0060</w:t>
            </w:r>
          </w:p>
        </w:tc>
        <w:tc>
          <w:tcPr>
            <w:tcW w:w="2646" w:type="pct"/>
            <w:tcBorders>
              <w:top w:val="single" w:sz="4" w:space="0" w:color="auto"/>
              <w:bottom w:val="single" w:sz="4" w:space="0" w:color="auto"/>
            </w:tcBorders>
            <w:noWrap/>
          </w:tcPr>
          <w:p w14:paraId="78CEA122" w14:textId="77777777" w:rsidR="006E2E9C" w:rsidRPr="006E2E9C" w:rsidRDefault="006E2E9C" w:rsidP="006E2E9C">
            <w:pPr>
              <w:pStyle w:val="TableText"/>
            </w:pPr>
            <w:r w:rsidRPr="006E2E9C">
              <w:t>Legume vegetables</w:t>
            </w:r>
          </w:p>
        </w:tc>
        <w:tc>
          <w:tcPr>
            <w:tcW w:w="502" w:type="pct"/>
            <w:tcBorders>
              <w:top w:val="single" w:sz="4" w:space="0" w:color="auto"/>
              <w:bottom w:val="single" w:sz="4" w:space="0" w:color="auto"/>
            </w:tcBorders>
            <w:noWrap/>
          </w:tcPr>
          <w:p w14:paraId="2A089B40" w14:textId="6E1D6EDA" w:rsidR="006E2E9C" w:rsidRPr="006E2E9C" w:rsidRDefault="006E2E9C" w:rsidP="006E2E9C">
            <w:pPr>
              <w:pStyle w:val="TableText"/>
            </w:pPr>
            <w:r w:rsidRPr="00582883">
              <w:t>–</w:t>
            </w:r>
          </w:p>
        </w:tc>
        <w:tc>
          <w:tcPr>
            <w:tcW w:w="1041" w:type="pct"/>
            <w:tcBorders>
              <w:top w:val="single" w:sz="4" w:space="0" w:color="auto"/>
              <w:bottom w:val="single" w:sz="4" w:space="0" w:color="auto"/>
            </w:tcBorders>
          </w:tcPr>
          <w:p w14:paraId="2738B081" w14:textId="77777777" w:rsidR="006E2E9C" w:rsidRPr="006E2E9C" w:rsidRDefault="006E2E9C" w:rsidP="006E2E9C">
            <w:pPr>
              <w:pStyle w:val="TableText"/>
            </w:pPr>
            <w:r w:rsidRPr="006E2E9C">
              <w:t>*0.05</w:t>
            </w:r>
          </w:p>
        </w:tc>
      </w:tr>
      <w:tr w:rsidR="007A1942" w:rsidRPr="00EC50D6" w14:paraId="3B875A5D" w14:textId="77777777" w:rsidTr="00DE4AD4">
        <w:trPr>
          <w:cantSplit/>
        </w:trPr>
        <w:tc>
          <w:tcPr>
            <w:tcW w:w="811" w:type="pct"/>
            <w:tcBorders>
              <w:top w:val="single" w:sz="4" w:space="0" w:color="auto"/>
              <w:bottom w:val="single" w:sz="4" w:space="0" w:color="auto"/>
            </w:tcBorders>
            <w:noWrap/>
          </w:tcPr>
          <w:p w14:paraId="322750AD" w14:textId="77777777" w:rsidR="007A1942" w:rsidRPr="006E2E9C" w:rsidRDefault="007A1942" w:rsidP="006E2E9C">
            <w:pPr>
              <w:pStyle w:val="TableText"/>
            </w:pPr>
            <w:r w:rsidRPr="006E2E9C">
              <w:t>SO 0693</w:t>
            </w:r>
          </w:p>
        </w:tc>
        <w:tc>
          <w:tcPr>
            <w:tcW w:w="2646" w:type="pct"/>
            <w:tcBorders>
              <w:top w:val="single" w:sz="4" w:space="0" w:color="auto"/>
              <w:bottom w:val="single" w:sz="4" w:space="0" w:color="auto"/>
            </w:tcBorders>
            <w:noWrap/>
          </w:tcPr>
          <w:p w14:paraId="294EC9E0" w14:textId="77777777" w:rsidR="007A1942" w:rsidRPr="006E2E9C" w:rsidRDefault="007A1942" w:rsidP="006E2E9C">
            <w:pPr>
              <w:pStyle w:val="TableText"/>
            </w:pPr>
            <w:r w:rsidRPr="006E2E9C">
              <w:t>Linseed</w:t>
            </w:r>
          </w:p>
        </w:tc>
        <w:tc>
          <w:tcPr>
            <w:tcW w:w="502" w:type="pct"/>
            <w:tcBorders>
              <w:top w:val="single" w:sz="4" w:space="0" w:color="auto"/>
              <w:bottom w:val="single" w:sz="4" w:space="0" w:color="auto"/>
            </w:tcBorders>
            <w:noWrap/>
          </w:tcPr>
          <w:p w14:paraId="4EA365B9"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6D8251C1" w14:textId="77777777" w:rsidR="007A1942" w:rsidRPr="006E2E9C" w:rsidRDefault="007A1942" w:rsidP="006E2E9C">
            <w:pPr>
              <w:pStyle w:val="TableText"/>
            </w:pPr>
            <w:r w:rsidRPr="006E2E9C">
              <w:t>5</w:t>
            </w:r>
          </w:p>
        </w:tc>
      </w:tr>
      <w:tr w:rsidR="007A1942" w:rsidRPr="00EC50D6" w14:paraId="2187A10E" w14:textId="77777777" w:rsidTr="00DE4AD4">
        <w:trPr>
          <w:cantSplit/>
        </w:trPr>
        <w:tc>
          <w:tcPr>
            <w:tcW w:w="811" w:type="pct"/>
            <w:tcBorders>
              <w:top w:val="single" w:sz="4" w:space="0" w:color="auto"/>
              <w:bottom w:val="single" w:sz="4" w:space="0" w:color="auto"/>
            </w:tcBorders>
            <w:noWrap/>
          </w:tcPr>
          <w:p w14:paraId="52A2885C" w14:textId="77777777" w:rsidR="007A1942" w:rsidRPr="006E2E9C" w:rsidRDefault="007A1942" w:rsidP="006E2E9C">
            <w:pPr>
              <w:pStyle w:val="TableText"/>
            </w:pPr>
            <w:r w:rsidRPr="006E2E9C">
              <w:t>GC 0645</w:t>
            </w:r>
          </w:p>
        </w:tc>
        <w:tc>
          <w:tcPr>
            <w:tcW w:w="2646" w:type="pct"/>
            <w:tcBorders>
              <w:top w:val="single" w:sz="4" w:space="0" w:color="auto"/>
              <w:bottom w:val="single" w:sz="4" w:space="0" w:color="auto"/>
            </w:tcBorders>
            <w:noWrap/>
          </w:tcPr>
          <w:p w14:paraId="405624D0" w14:textId="77777777" w:rsidR="007A1942" w:rsidRPr="006E2E9C" w:rsidRDefault="007A1942" w:rsidP="006E2E9C">
            <w:pPr>
              <w:pStyle w:val="TableText"/>
            </w:pPr>
            <w:r w:rsidRPr="006E2E9C">
              <w:t>Maize</w:t>
            </w:r>
          </w:p>
        </w:tc>
        <w:tc>
          <w:tcPr>
            <w:tcW w:w="502" w:type="pct"/>
            <w:tcBorders>
              <w:top w:val="single" w:sz="4" w:space="0" w:color="auto"/>
              <w:bottom w:val="single" w:sz="4" w:space="0" w:color="auto"/>
            </w:tcBorders>
            <w:noWrap/>
          </w:tcPr>
          <w:p w14:paraId="43CF0EE9"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797BE831" w14:textId="77777777" w:rsidR="007A1942" w:rsidRPr="006E2E9C" w:rsidRDefault="007A1942" w:rsidP="006E2E9C">
            <w:pPr>
              <w:pStyle w:val="TableText"/>
            </w:pPr>
            <w:r w:rsidRPr="006E2E9C">
              <w:t>*0.05</w:t>
            </w:r>
          </w:p>
        </w:tc>
      </w:tr>
      <w:tr w:rsidR="007A1942" w:rsidRPr="00EC50D6" w14:paraId="7F525223" w14:textId="77777777" w:rsidTr="00DE4AD4">
        <w:trPr>
          <w:cantSplit/>
        </w:trPr>
        <w:tc>
          <w:tcPr>
            <w:tcW w:w="811" w:type="pct"/>
            <w:tcBorders>
              <w:top w:val="single" w:sz="4" w:space="0" w:color="auto"/>
              <w:bottom w:val="single" w:sz="4" w:space="0" w:color="auto"/>
            </w:tcBorders>
            <w:noWrap/>
          </w:tcPr>
          <w:p w14:paraId="6B3A564C" w14:textId="77777777" w:rsidR="007A1942" w:rsidRPr="006E2E9C" w:rsidRDefault="007A1942" w:rsidP="006E2E9C">
            <w:pPr>
              <w:pStyle w:val="TableText"/>
            </w:pPr>
            <w:r w:rsidRPr="006E2E9C">
              <w:t>MM 0095</w:t>
            </w:r>
          </w:p>
        </w:tc>
        <w:tc>
          <w:tcPr>
            <w:tcW w:w="2646" w:type="pct"/>
            <w:tcBorders>
              <w:top w:val="single" w:sz="4" w:space="0" w:color="auto"/>
              <w:bottom w:val="single" w:sz="4" w:space="0" w:color="auto"/>
            </w:tcBorders>
            <w:noWrap/>
          </w:tcPr>
          <w:p w14:paraId="380D9500" w14:textId="77777777" w:rsidR="007A1942" w:rsidRPr="006E2E9C" w:rsidRDefault="007A1942" w:rsidP="006E2E9C">
            <w:pPr>
              <w:pStyle w:val="TableText"/>
            </w:pPr>
            <w:r w:rsidRPr="006E2E9C">
              <w:t>Meat [mammalian]</w:t>
            </w:r>
          </w:p>
        </w:tc>
        <w:tc>
          <w:tcPr>
            <w:tcW w:w="502" w:type="pct"/>
            <w:tcBorders>
              <w:top w:val="single" w:sz="4" w:space="0" w:color="auto"/>
              <w:bottom w:val="single" w:sz="4" w:space="0" w:color="auto"/>
            </w:tcBorders>
            <w:noWrap/>
          </w:tcPr>
          <w:p w14:paraId="7C19F059"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0A266DE3" w14:textId="77777777" w:rsidR="007A1942" w:rsidRPr="006E2E9C" w:rsidRDefault="007A1942" w:rsidP="006E2E9C">
            <w:pPr>
              <w:pStyle w:val="TableText"/>
            </w:pPr>
            <w:r w:rsidRPr="006E2E9C">
              <w:t>*0.05</w:t>
            </w:r>
          </w:p>
        </w:tc>
      </w:tr>
      <w:tr w:rsidR="007A1942" w:rsidRPr="00EC50D6" w14:paraId="71CCAF06" w14:textId="77777777" w:rsidTr="00DE4AD4">
        <w:trPr>
          <w:cantSplit/>
        </w:trPr>
        <w:tc>
          <w:tcPr>
            <w:tcW w:w="811" w:type="pct"/>
            <w:tcBorders>
              <w:top w:val="single" w:sz="4" w:space="0" w:color="auto"/>
              <w:bottom w:val="single" w:sz="4" w:space="0" w:color="auto"/>
            </w:tcBorders>
            <w:noWrap/>
          </w:tcPr>
          <w:p w14:paraId="1425FD28" w14:textId="77777777" w:rsidR="007A1942" w:rsidRPr="006E2E9C" w:rsidRDefault="007A1942" w:rsidP="006E2E9C">
            <w:pPr>
              <w:pStyle w:val="TableText"/>
            </w:pPr>
            <w:r w:rsidRPr="006E2E9C">
              <w:t>ML 0106</w:t>
            </w:r>
          </w:p>
        </w:tc>
        <w:tc>
          <w:tcPr>
            <w:tcW w:w="2646" w:type="pct"/>
            <w:tcBorders>
              <w:top w:val="single" w:sz="4" w:space="0" w:color="auto"/>
              <w:bottom w:val="single" w:sz="4" w:space="0" w:color="auto"/>
            </w:tcBorders>
            <w:noWrap/>
          </w:tcPr>
          <w:p w14:paraId="106DA580" w14:textId="77777777" w:rsidR="007A1942" w:rsidRPr="006E2E9C" w:rsidRDefault="007A1942" w:rsidP="006E2E9C">
            <w:pPr>
              <w:pStyle w:val="TableText"/>
            </w:pPr>
            <w:r w:rsidRPr="006E2E9C">
              <w:t>Milks</w:t>
            </w:r>
          </w:p>
        </w:tc>
        <w:tc>
          <w:tcPr>
            <w:tcW w:w="502" w:type="pct"/>
            <w:tcBorders>
              <w:top w:val="single" w:sz="4" w:space="0" w:color="auto"/>
              <w:bottom w:val="single" w:sz="4" w:space="0" w:color="auto"/>
            </w:tcBorders>
            <w:noWrap/>
          </w:tcPr>
          <w:p w14:paraId="5972DB4B"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2653A424" w14:textId="77777777" w:rsidR="007A1942" w:rsidRPr="006E2E9C" w:rsidRDefault="007A1942" w:rsidP="006E2E9C">
            <w:pPr>
              <w:pStyle w:val="TableText"/>
            </w:pPr>
            <w:r w:rsidRPr="006E2E9C">
              <w:t>*0.01</w:t>
            </w:r>
          </w:p>
        </w:tc>
      </w:tr>
      <w:tr w:rsidR="007A1942" w:rsidRPr="00EC50D6" w14:paraId="358EEC95" w14:textId="77777777" w:rsidTr="00DE4AD4">
        <w:trPr>
          <w:cantSplit/>
        </w:trPr>
        <w:tc>
          <w:tcPr>
            <w:tcW w:w="811" w:type="pct"/>
            <w:tcBorders>
              <w:top w:val="single" w:sz="4" w:space="0" w:color="auto"/>
              <w:bottom w:val="single" w:sz="4" w:space="0" w:color="auto"/>
            </w:tcBorders>
            <w:noWrap/>
          </w:tcPr>
          <w:p w14:paraId="546370FD" w14:textId="77777777" w:rsidR="007A1942" w:rsidRPr="006E2E9C" w:rsidRDefault="007A1942" w:rsidP="006E2E9C">
            <w:pPr>
              <w:pStyle w:val="TableText"/>
            </w:pPr>
            <w:r w:rsidRPr="006E2E9C">
              <w:lastRenderedPageBreak/>
              <w:t>GC 0646</w:t>
            </w:r>
          </w:p>
        </w:tc>
        <w:tc>
          <w:tcPr>
            <w:tcW w:w="2646" w:type="pct"/>
            <w:tcBorders>
              <w:top w:val="single" w:sz="4" w:space="0" w:color="auto"/>
              <w:bottom w:val="single" w:sz="4" w:space="0" w:color="auto"/>
            </w:tcBorders>
            <w:noWrap/>
          </w:tcPr>
          <w:p w14:paraId="05F284D6" w14:textId="77777777" w:rsidR="007A1942" w:rsidRPr="006E2E9C" w:rsidRDefault="007A1942" w:rsidP="006E2E9C">
            <w:pPr>
              <w:pStyle w:val="TableText"/>
            </w:pPr>
            <w:r w:rsidRPr="006E2E9C">
              <w:t>Millet</w:t>
            </w:r>
          </w:p>
        </w:tc>
        <w:tc>
          <w:tcPr>
            <w:tcW w:w="502" w:type="pct"/>
            <w:tcBorders>
              <w:top w:val="single" w:sz="4" w:space="0" w:color="auto"/>
              <w:bottom w:val="single" w:sz="4" w:space="0" w:color="auto"/>
            </w:tcBorders>
            <w:noWrap/>
          </w:tcPr>
          <w:p w14:paraId="43DEC0F0" w14:textId="00E87484" w:rsidR="007A1942" w:rsidRPr="006E2E9C" w:rsidRDefault="006E2E9C" w:rsidP="006E2E9C">
            <w:pPr>
              <w:pStyle w:val="TableText"/>
            </w:pPr>
            <w:r>
              <w:t>–</w:t>
            </w:r>
          </w:p>
        </w:tc>
        <w:tc>
          <w:tcPr>
            <w:tcW w:w="1041" w:type="pct"/>
            <w:tcBorders>
              <w:top w:val="single" w:sz="4" w:space="0" w:color="auto"/>
              <w:bottom w:val="single" w:sz="4" w:space="0" w:color="auto"/>
            </w:tcBorders>
          </w:tcPr>
          <w:p w14:paraId="539C7DB2" w14:textId="77777777" w:rsidR="007A1942" w:rsidRPr="006E2E9C" w:rsidRDefault="007A1942" w:rsidP="006E2E9C">
            <w:pPr>
              <w:pStyle w:val="TableText"/>
            </w:pPr>
            <w:r w:rsidRPr="006E2E9C">
              <w:t>*0.05</w:t>
            </w:r>
          </w:p>
        </w:tc>
      </w:tr>
      <w:tr w:rsidR="007A1942" w:rsidRPr="00EC50D6" w14:paraId="6DAC3A14" w14:textId="77777777" w:rsidTr="00DE4AD4">
        <w:trPr>
          <w:cantSplit/>
        </w:trPr>
        <w:tc>
          <w:tcPr>
            <w:tcW w:w="811" w:type="pct"/>
            <w:tcBorders>
              <w:top w:val="single" w:sz="4" w:space="0" w:color="auto"/>
              <w:bottom w:val="single" w:sz="4" w:space="0" w:color="auto"/>
            </w:tcBorders>
            <w:noWrap/>
          </w:tcPr>
          <w:p w14:paraId="4716DE94" w14:textId="77777777" w:rsidR="007A1942" w:rsidRPr="006E2E9C" w:rsidRDefault="007A1942" w:rsidP="006E2E9C">
            <w:pPr>
              <w:pStyle w:val="TableText"/>
            </w:pPr>
            <w:r w:rsidRPr="006E2E9C">
              <w:t>GC 0647</w:t>
            </w:r>
          </w:p>
        </w:tc>
        <w:tc>
          <w:tcPr>
            <w:tcW w:w="2646" w:type="pct"/>
            <w:tcBorders>
              <w:top w:val="single" w:sz="4" w:space="0" w:color="auto"/>
              <w:bottom w:val="single" w:sz="4" w:space="0" w:color="auto"/>
            </w:tcBorders>
            <w:noWrap/>
          </w:tcPr>
          <w:p w14:paraId="5365B46C" w14:textId="77777777" w:rsidR="007A1942" w:rsidRPr="006E2E9C" w:rsidRDefault="007A1942" w:rsidP="006E2E9C">
            <w:pPr>
              <w:pStyle w:val="TableText"/>
            </w:pPr>
            <w:r w:rsidRPr="006E2E9C">
              <w:t>Oats</w:t>
            </w:r>
          </w:p>
        </w:tc>
        <w:tc>
          <w:tcPr>
            <w:tcW w:w="502" w:type="pct"/>
            <w:tcBorders>
              <w:top w:val="single" w:sz="4" w:space="0" w:color="auto"/>
              <w:bottom w:val="single" w:sz="4" w:space="0" w:color="auto"/>
            </w:tcBorders>
            <w:noWrap/>
          </w:tcPr>
          <w:p w14:paraId="7FC77935"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2281EEA0" w14:textId="77777777" w:rsidR="007A1942" w:rsidRPr="006E2E9C" w:rsidRDefault="007A1942" w:rsidP="006E2E9C">
            <w:pPr>
              <w:pStyle w:val="TableText"/>
            </w:pPr>
            <w:r w:rsidRPr="006E2E9C">
              <w:t>2</w:t>
            </w:r>
          </w:p>
        </w:tc>
      </w:tr>
      <w:tr w:rsidR="007A1942" w:rsidRPr="00EC50D6" w14:paraId="7E6B8335" w14:textId="77777777" w:rsidTr="00DE4AD4">
        <w:trPr>
          <w:cantSplit/>
        </w:trPr>
        <w:tc>
          <w:tcPr>
            <w:tcW w:w="811" w:type="pct"/>
            <w:tcBorders>
              <w:top w:val="single" w:sz="4" w:space="0" w:color="auto"/>
              <w:bottom w:val="single" w:sz="4" w:space="0" w:color="auto"/>
            </w:tcBorders>
            <w:noWrap/>
          </w:tcPr>
          <w:p w14:paraId="033CF5D3" w14:textId="77777777" w:rsidR="007A1942" w:rsidRPr="006E2E9C" w:rsidRDefault="007A1942" w:rsidP="006E2E9C">
            <w:pPr>
              <w:pStyle w:val="TableText"/>
            </w:pPr>
            <w:r w:rsidRPr="006E2E9C">
              <w:t>SO 0088</w:t>
            </w:r>
          </w:p>
        </w:tc>
        <w:tc>
          <w:tcPr>
            <w:tcW w:w="2646" w:type="pct"/>
            <w:tcBorders>
              <w:top w:val="single" w:sz="4" w:space="0" w:color="auto"/>
              <w:bottom w:val="single" w:sz="4" w:space="0" w:color="auto"/>
            </w:tcBorders>
            <w:noWrap/>
          </w:tcPr>
          <w:p w14:paraId="54AF4A23" w14:textId="77777777" w:rsidR="007A1942" w:rsidRPr="006E2E9C" w:rsidRDefault="007A1942" w:rsidP="006E2E9C">
            <w:pPr>
              <w:pStyle w:val="TableText"/>
            </w:pPr>
            <w:r w:rsidRPr="006E2E9C">
              <w:t>Oilseed [except linseed and poppy seed]</w:t>
            </w:r>
          </w:p>
        </w:tc>
        <w:tc>
          <w:tcPr>
            <w:tcW w:w="502" w:type="pct"/>
            <w:tcBorders>
              <w:top w:val="single" w:sz="4" w:space="0" w:color="auto"/>
              <w:bottom w:val="single" w:sz="4" w:space="0" w:color="auto"/>
            </w:tcBorders>
            <w:noWrap/>
          </w:tcPr>
          <w:p w14:paraId="63BBFA2E"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3D79A2E8" w14:textId="77777777" w:rsidR="007A1942" w:rsidRPr="006E2E9C" w:rsidRDefault="007A1942" w:rsidP="006E2E9C">
            <w:pPr>
              <w:pStyle w:val="TableText"/>
            </w:pPr>
            <w:r w:rsidRPr="006E2E9C">
              <w:t>Delete</w:t>
            </w:r>
          </w:p>
        </w:tc>
      </w:tr>
      <w:tr w:rsidR="007A1942" w:rsidRPr="00EC50D6" w14:paraId="2720A628" w14:textId="77777777" w:rsidTr="00DE4AD4">
        <w:trPr>
          <w:cantSplit/>
        </w:trPr>
        <w:tc>
          <w:tcPr>
            <w:tcW w:w="811" w:type="pct"/>
            <w:tcBorders>
              <w:top w:val="single" w:sz="4" w:space="0" w:color="auto"/>
              <w:bottom w:val="single" w:sz="4" w:space="0" w:color="auto"/>
            </w:tcBorders>
            <w:noWrap/>
          </w:tcPr>
          <w:p w14:paraId="7D957BCA" w14:textId="77777777" w:rsidR="007A1942" w:rsidRPr="006E2E9C" w:rsidRDefault="007A1942" w:rsidP="006E2E9C">
            <w:pPr>
              <w:pStyle w:val="TableText"/>
            </w:pPr>
            <w:r w:rsidRPr="006E2E9C">
              <w:t>SO 0305</w:t>
            </w:r>
          </w:p>
        </w:tc>
        <w:tc>
          <w:tcPr>
            <w:tcW w:w="2646" w:type="pct"/>
            <w:tcBorders>
              <w:top w:val="single" w:sz="4" w:space="0" w:color="auto"/>
              <w:bottom w:val="single" w:sz="4" w:space="0" w:color="auto"/>
            </w:tcBorders>
            <w:noWrap/>
          </w:tcPr>
          <w:p w14:paraId="6ABAF82E" w14:textId="77777777" w:rsidR="007A1942" w:rsidRPr="006E2E9C" w:rsidRDefault="007A1942" w:rsidP="006E2E9C">
            <w:pPr>
              <w:pStyle w:val="TableText"/>
            </w:pPr>
            <w:r w:rsidRPr="006E2E9C">
              <w:t>Olives for oil production</w:t>
            </w:r>
          </w:p>
        </w:tc>
        <w:tc>
          <w:tcPr>
            <w:tcW w:w="502" w:type="pct"/>
            <w:tcBorders>
              <w:top w:val="single" w:sz="4" w:space="0" w:color="auto"/>
              <w:bottom w:val="single" w:sz="4" w:space="0" w:color="auto"/>
            </w:tcBorders>
            <w:noWrap/>
          </w:tcPr>
          <w:p w14:paraId="21CFEA09" w14:textId="286FCF58" w:rsidR="007A1942" w:rsidRPr="006E2E9C" w:rsidRDefault="006E2E9C" w:rsidP="006E2E9C">
            <w:pPr>
              <w:pStyle w:val="TableText"/>
            </w:pPr>
            <w:r>
              <w:t>–</w:t>
            </w:r>
          </w:p>
        </w:tc>
        <w:tc>
          <w:tcPr>
            <w:tcW w:w="1041" w:type="pct"/>
            <w:tcBorders>
              <w:top w:val="single" w:sz="4" w:space="0" w:color="auto"/>
              <w:bottom w:val="single" w:sz="4" w:space="0" w:color="auto"/>
            </w:tcBorders>
          </w:tcPr>
          <w:p w14:paraId="40520F45" w14:textId="77777777" w:rsidR="007A1942" w:rsidRPr="006E2E9C" w:rsidRDefault="007A1942" w:rsidP="006E2E9C">
            <w:pPr>
              <w:pStyle w:val="TableText"/>
            </w:pPr>
            <w:r w:rsidRPr="006E2E9C">
              <w:t>*0.1</w:t>
            </w:r>
          </w:p>
        </w:tc>
      </w:tr>
      <w:tr w:rsidR="007A1942" w:rsidRPr="00EC50D6" w14:paraId="5A9DEA0E" w14:textId="77777777" w:rsidTr="00DE4AD4">
        <w:trPr>
          <w:cantSplit/>
        </w:trPr>
        <w:tc>
          <w:tcPr>
            <w:tcW w:w="811" w:type="pct"/>
            <w:tcBorders>
              <w:top w:val="single" w:sz="4" w:space="0" w:color="auto"/>
              <w:bottom w:val="single" w:sz="4" w:space="0" w:color="auto"/>
            </w:tcBorders>
            <w:noWrap/>
          </w:tcPr>
          <w:p w14:paraId="2A930913" w14:textId="77777777" w:rsidR="007A1942" w:rsidRPr="006E2E9C" w:rsidRDefault="007A1942" w:rsidP="006E2E9C">
            <w:pPr>
              <w:pStyle w:val="TableText"/>
            </w:pPr>
            <w:r w:rsidRPr="006E2E9C">
              <w:t>VA 0385</w:t>
            </w:r>
          </w:p>
        </w:tc>
        <w:tc>
          <w:tcPr>
            <w:tcW w:w="2646" w:type="pct"/>
            <w:tcBorders>
              <w:top w:val="single" w:sz="4" w:space="0" w:color="auto"/>
              <w:bottom w:val="single" w:sz="4" w:space="0" w:color="auto"/>
            </w:tcBorders>
            <w:noWrap/>
          </w:tcPr>
          <w:p w14:paraId="65CFEEBF" w14:textId="77777777" w:rsidR="007A1942" w:rsidRPr="006E2E9C" w:rsidRDefault="007A1942" w:rsidP="006E2E9C">
            <w:pPr>
              <w:pStyle w:val="TableText"/>
            </w:pPr>
            <w:r w:rsidRPr="006E2E9C">
              <w:t>Onion, Bulb</w:t>
            </w:r>
          </w:p>
        </w:tc>
        <w:tc>
          <w:tcPr>
            <w:tcW w:w="502" w:type="pct"/>
            <w:tcBorders>
              <w:top w:val="single" w:sz="4" w:space="0" w:color="auto"/>
              <w:bottom w:val="single" w:sz="4" w:space="0" w:color="auto"/>
            </w:tcBorders>
            <w:noWrap/>
          </w:tcPr>
          <w:p w14:paraId="75071536"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2BC5B42D" w14:textId="77777777" w:rsidR="007A1942" w:rsidRPr="006E2E9C" w:rsidRDefault="007A1942" w:rsidP="006E2E9C">
            <w:pPr>
              <w:pStyle w:val="TableText"/>
            </w:pPr>
            <w:r w:rsidRPr="006E2E9C">
              <w:t>Delete</w:t>
            </w:r>
          </w:p>
        </w:tc>
      </w:tr>
      <w:tr w:rsidR="007A1942" w:rsidRPr="00EC50D6" w14:paraId="5D0FB7D8" w14:textId="77777777" w:rsidTr="00DE4AD4">
        <w:trPr>
          <w:cantSplit/>
        </w:trPr>
        <w:tc>
          <w:tcPr>
            <w:tcW w:w="811" w:type="pct"/>
            <w:tcBorders>
              <w:top w:val="single" w:sz="4" w:space="0" w:color="auto"/>
              <w:bottom w:val="single" w:sz="4" w:space="0" w:color="auto"/>
            </w:tcBorders>
            <w:noWrap/>
          </w:tcPr>
          <w:p w14:paraId="7728EE67" w14:textId="77777777" w:rsidR="007A1942" w:rsidRPr="006E2E9C" w:rsidRDefault="007A1942" w:rsidP="006E2E9C">
            <w:pPr>
              <w:pStyle w:val="TableText"/>
            </w:pPr>
            <w:r w:rsidRPr="006E2E9C">
              <w:t>SO 0697</w:t>
            </w:r>
          </w:p>
        </w:tc>
        <w:tc>
          <w:tcPr>
            <w:tcW w:w="2646" w:type="pct"/>
            <w:tcBorders>
              <w:top w:val="single" w:sz="4" w:space="0" w:color="auto"/>
              <w:bottom w:val="single" w:sz="4" w:space="0" w:color="auto"/>
            </w:tcBorders>
            <w:noWrap/>
          </w:tcPr>
          <w:p w14:paraId="784EE505" w14:textId="77777777" w:rsidR="007A1942" w:rsidRPr="006E2E9C" w:rsidRDefault="007A1942" w:rsidP="006E2E9C">
            <w:pPr>
              <w:pStyle w:val="TableText"/>
            </w:pPr>
            <w:r w:rsidRPr="006E2E9C">
              <w:t>Peanut</w:t>
            </w:r>
          </w:p>
        </w:tc>
        <w:tc>
          <w:tcPr>
            <w:tcW w:w="502" w:type="pct"/>
            <w:tcBorders>
              <w:top w:val="single" w:sz="4" w:space="0" w:color="auto"/>
              <w:bottom w:val="single" w:sz="4" w:space="0" w:color="auto"/>
            </w:tcBorders>
            <w:noWrap/>
          </w:tcPr>
          <w:p w14:paraId="05B4D78C" w14:textId="091016DD" w:rsidR="007A1942" w:rsidRPr="006E2E9C" w:rsidRDefault="006E2E9C" w:rsidP="006E2E9C">
            <w:pPr>
              <w:pStyle w:val="TableText"/>
            </w:pPr>
            <w:r>
              <w:t>–</w:t>
            </w:r>
          </w:p>
        </w:tc>
        <w:tc>
          <w:tcPr>
            <w:tcW w:w="1041" w:type="pct"/>
            <w:tcBorders>
              <w:top w:val="single" w:sz="4" w:space="0" w:color="auto"/>
              <w:bottom w:val="single" w:sz="4" w:space="0" w:color="auto"/>
            </w:tcBorders>
          </w:tcPr>
          <w:p w14:paraId="05BDCA8A" w14:textId="77777777" w:rsidR="007A1942" w:rsidRPr="006E2E9C" w:rsidRDefault="007A1942" w:rsidP="006E2E9C">
            <w:pPr>
              <w:pStyle w:val="TableText"/>
            </w:pPr>
            <w:r w:rsidRPr="006E2E9C">
              <w:t>*0.05</w:t>
            </w:r>
          </w:p>
        </w:tc>
      </w:tr>
      <w:tr w:rsidR="007A1942" w:rsidRPr="00EC50D6" w14:paraId="41EB9444" w14:textId="77777777" w:rsidTr="00DE4AD4">
        <w:trPr>
          <w:cantSplit/>
        </w:trPr>
        <w:tc>
          <w:tcPr>
            <w:tcW w:w="811" w:type="pct"/>
            <w:tcBorders>
              <w:top w:val="single" w:sz="4" w:space="0" w:color="auto"/>
              <w:bottom w:val="single" w:sz="4" w:space="0" w:color="auto"/>
            </w:tcBorders>
            <w:noWrap/>
          </w:tcPr>
          <w:p w14:paraId="3F0CBDA6" w14:textId="77777777" w:rsidR="007A1942" w:rsidRPr="006E2E9C" w:rsidRDefault="007A1942" w:rsidP="006E2E9C">
            <w:pPr>
              <w:pStyle w:val="TableText"/>
            </w:pPr>
            <w:r w:rsidRPr="006E2E9C">
              <w:t>VP 0063</w:t>
            </w:r>
          </w:p>
        </w:tc>
        <w:tc>
          <w:tcPr>
            <w:tcW w:w="2646" w:type="pct"/>
            <w:tcBorders>
              <w:top w:val="single" w:sz="4" w:space="0" w:color="auto"/>
              <w:bottom w:val="single" w:sz="4" w:space="0" w:color="auto"/>
            </w:tcBorders>
            <w:noWrap/>
          </w:tcPr>
          <w:p w14:paraId="66D45D86" w14:textId="77777777" w:rsidR="007A1942" w:rsidRPr="006E2E9C" w:rsidRDefault="007A1942" w:rsidP="006E2E9C">
            <w:pPr>
              <w:pStyle w:val="TableText"/>
            </w:pPr>
            <w:r w:rsidRPr="006E2E9C">
              <w:t>Peas</w:t>
            </w:r>
          </w:p>
        </w:tc>
        <w:tc>
          <w:tcPr>
            <w:tcW w:w="502" w:type="pct"/>
            <w:tcBorders>
              <w:top w:val="single" w:sz="4" w:space="0" w:color="auto"/>
              <w:bottom w:val="single" w:sz="4" w:space="0" w:color="auto"/>
            </w:tcBorders>
            <w:noWrap/>
          </w:tcPr>
          <w:p w14:paraId="7C14BDCF"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42C2B020" w14:textId="77777777" w:rsidR="007A1942" w:rsidRPr="006E2E9C" w:rsidRDefault="007A1942" w:rsidP="006E2E9C">
            <w:pPr>
              <w:pStyle w:val="TableText"/>
            </w:pPr>
            <w:r w:rsidRPr="006E2E9C">
              <w:t>Delete</w:t>
            </w:r>
          </w:p>
        </w:tc>
      </w:tr>
      <w:tr w:rsidR="007A1942" w:rsidRPr="00EC50D6" w14:paraId="2DB689AC" w14:textId="77777777" w:rsidTr="00DE4AD4">
        <w:trPr>
          <w:cantSplit/>
        </w:trPr>
        <w:tc>
          <w:tcPr>
            <w:tcW w:w="811" w:type="pct"/>
            <w:tcBorders>
              <w:top w:val="single" w:sz="4" w:space="0" w:color="auto"/>
              <w:bottom w:val="single" w:sz="4" w:space="0" w:color="auto"/>
            </w:tcBorders>
            <w:noWrap/>
          </w:tcPr>
          <w:p w14:paraId="05A3C9FA" w14:textId="77777777" w:rsidR="007A1942" w:rsidRPr="006E2E9C" w:rsidRDefault="007A1942" w:rsidP="006E2E9C">
            <w:pPr>
              <w:pStyle w:val="TableText"/>
            </w:pPr>
            <w:r w:rsidRPr="006E2E9C">
              <w:t>FP 0009</w:t>
            </w:r>
          </w:p>
        </w:tc>
        <w:tc>
          <w:tcPr>
            <w:tcW w:w="2646" w:type="pct"/>
            <w:tcBorders>
              <w:top w:val="single" w:sz="4" w:space="0" w:color="auto"/>
              <w:bottom w:val="single" w:sz="4" w:space="0" w:color="auto"/>
            </w:tcBorders>
            <w:noWrap/>
          </w:tcPr>
          <w:p w14:paraId="7788240E" w14:textId="77777777" w:rsidR="007A1942" w:rsidRPr="006E2E9C" w:rsidRDefault="007A1942" w:rsidP="006E2E9C">
            <w:pPr>
              <w:pStyle w:val="TableText"/>
            </w:pPr>
            <w:r w:rsidRPr="006E2E9C">
              <w:t>Pome fruits</w:t>
            </w:r>
          </w:p>
        </w:tc>
        <w:tc>
          <w:tcPr>
            <w:tcW w:w="502" w:type="pct"/>
            <w:tcBorders>
              <w:top w:val="single" w:sz="4" w:space="0" w:color="auto"/>
              <w:bottom w:val="single" w:sz="4" w:space="0" w:color="auto"/>
            </w:tcBorders>
            <w:noWrap/>
          </w:tcPr>
          <w:p w14:paraId="3CDC1BAE" w14:textId="30B13222" w:rsidR="007A1942" w:rsidRPr="006E2E9C" w:rsidRDefault="006E2E9C" w:rsidP="006E2E9C">
            <w:pPr>
              <w:pStyle w:val="TableText"/>
            </w:pPr>
            <w:r>
              <w:t>–</w:t>
            </w:r>
          </w:p>
        </w:tc>
        <w:tc>
          <w:tcPr>
            <w:tcW w:w="1041" w:type="pct"/>
            <w:tcBorders>
              <w:top w:val="single" w:sz="4" w:space="0" w:color="auto"/>
              <w:bottom w:val="single" w:sz="4" w:space="0" w:color="auto"/>
            </w:tcBorders>
          </w:tcPr>
          <w:p w14:paraId="631EBFF2" w14:textId="77777777" w:rsidR="007A1942" w:rsidRPr="006E2E9C" w:rsidRDefault="007A1942" w:rsidP="006E2E9C">
            <w:pPr>
              <w:pStyle w:val="TableText"/>
            </w:pPr>
            <w:r w:rsidRPr="006E2E9C">
              <w:t>*0.01</w:t>
            </w:r>
          </w:p>
        </w:tc>
      </w:tr>
      <w:tr w:rsidR="007A1942" w:rsidRPr="00EC50D6" w14:paraId="6195FD8C" w14:textId="77777777" w:rsidTr="00DE4AD4">
        <w:trPr>
          <w:cantSplit/>
        </w:trPr>
        <w:tc>
          <w:tcPr>
            <w:tcW w:w="811" w:type="pct"/>
            <w:tcBorders>
              <w:top w:val="single" w:sz="4" w:space="0" w:color="auto"/>
              <w:bottom w:val="single" w:sz="4" w:space="0" w:color="auto"/>
            </w:tcBorders>
            <w:noWrap/>
          </w:tcPr>
          <w:p w14:paraId="4ECC4E65" w14:textId="77777777" w:rsidR="007A1942" w:rsidRPr="006E2E9C" w:rsidRDefault="007A1942" w:rsidP="006E2E9C">
            <w:pPr>
              <w:pStyle w:val="TableText"/>
            </w:pPr>
            <w:r w:rsidRPr="006E2E9C">
              <w:t>SO 0698</w:t>
            </w:r>
          </w:p>
        </w:tc>
        <w:tc>
          <w:tcPr>
            <w:tcW w:w="2646" w:type="pct"/>
            <w:tcBorders>
              <w:top w:val="single" w:sz="4" w:space="0" w:color="auto"/>
              <w:bottom w:val="single" w:sz="4" w:space="0" w:color="auto"/>
            </w:tcBorders>
            <w:noWrap/>
          </w:tcPr>
          <w:p w14:paraId="0EE85A67" w14:textId="77777777" w:rsidR="007A1942" w:rsidRPr="006E2E9C" w:rsidRDefault="007A1942" w:rsidP="006E2E9C">
            <w:pPr>
              <w:pStyle w:val="TableText"/>
            </w:pPr>
            <w:r w:rsidRPr="006E2E9C">
              <w:t>Poppy seed</w:t>
            </w:r>
          </w:p>
        </w:tc>
        <w:tc>
          <w:tcPr>
            <w:tcW w:w="502" w:type="pct"/>
            <w:tcBorders>
              <w:top w:val="single" w:sz="4" w:space="0" w:color="auto"/>
              <w:bottom w:val="single" w:sz="4" w:space="0" w:color="auto"/>
            </w:tcBorders>
            <w:noWrap/>
          </w:tcPr>
          <w:p w14:paraId="02E0CF81"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0585302E" w14:textId="77777777" w:rsidR="007A1942" w:rsidRPr="006E2E9C" w:rsidRDefault="007A1942" w:rsidP="006E2E9C">
            <w:pPr>
              <w:pStyle w:val="TableText"/>
            </w:pPr>
            <w:r w:rsidRPr="006E2E9C">
              <w:t>*0.01</w:t>
            </w:r>
          </w:p>
        </w:tc>
      </w:tr>
      <w:tr w:rsidR="007A1942" w:rsidRPr="00EC50D6" w14:paraId="1BFD3A04" w14:textId="77777777" w:rsidTr="00DE4AD4">
        <w:trPr>
          <w:cantSplit/>
        </w:trPr>
        <w:tc>
          <w:tcPr>
            <w:tcW w:w="811" w:type="pct"/>
            <w:tcBorders>
              <w:top w:val="single" w:sz="4" w:space="0" w:color="auto"/>
              <w:bottom w:val="single" w:sz="4" w:space="0" w:color="auto"/>
            </w:tcBorders>
            <w:noWrap/>
          </w:tcPr>
          <w:p w14:paraId="522CD477" w14:textId="77777777" w:rsidR="007A1942" w:rsidRPr="006E2E9C" w:rsidRDefault="007A1942" w:rsidP="006E2E9C">
            <w:pPr>
              <w:pStyle w:val="TableText"/>
            </w:pPr>
            <w:r w:rsidRPr="006E2E9C">
              <w:t>VR 0589</w:t>
            </w:r>
          </w:p>
        </w:tc>
        <w:tc>
          <w:tcPr>
            <w:tcW w:w="2646" w:type="pct"/>
            <w:tcBorders>
              <w:top w:val="single" w:sz="4" w:space="0" w:color="auto"/>
              <w:bottom w:val="single" w:sz="4" w:space="0" w:color="auto"/>
            </w:tcBorders>
            <w:noWrap/>
          </w:tcPr>
          <w:p w14:paraId="1CDFCA60" w14:textId="77777777" w:rsidR="007A1942" w:rsidRPr="006E2E9C" w:rsidRDefault="007A1942" w:rsidP="006E2E9C">
            <w:pPr>
              <w:pStyle w:val="TableText"/>
            </w:pPr>
            <w:r w:rsidRPr="006E2E9C">
              <w:t>Potato</w:t>
            </w:r>
          </w:p>
        </w:tc>
        <w:tc>
          <w:tcPr>
            <w:tcW w:w="502" w:type="pct"/>
            <w:tcBorders>
              <w:top w:val="single" w:sz="4" w:space="0" w:color="auto"/>
              <w:bottom w:val="single" w:sz="4" w:space="0" w:color="auto"/>
            </w:tcBorders>
            <w:noWrap/>
          </w:tcPr>
          <w:p w14:paraId="506382FD" w14:textId="77777777" w:rsidR="007A1942" w:rsidRPr="006E2E9C" w:rsidRDefault="007A1942" w:rsidP="006E2E9C">
            <w:pPr>
              <w:pStyle w:val="TableText"/>
            </w:pPr>
            <w:r w:rsidRPr="006E2E9C">
              <w:t>0.2</w:t>
            </w:r>
          </w:p>
        </w:tc>
        <w:tc>
          <w:tcPr>
            <w:tcW w:w="1041" w:type="pct"/>
            <w:tcBorders>
              <w:top w:val="single" w:sz="4" w:space="0" w:color="auto"/>
              <w:bottom w:val="single" w:sz="4" w:space="0" w:color="auto"/>
            </w:tcBorders>
          </w:tcPr>
          <w:p w14:paraId="14A51401" w14:textId="77777777" w:rsidR="007A1942" w:rsidRPr="006E2E9C" w:rsidRDefault="007A1942" w:rsidP="006E2E9C">
            <w:pPr>
              <w:pStyle w:val="TableText"/>
            </w:pPr>
            <w:r w:rsidRPr="006E2E9C">
              <w:t>0.2</w:t>
            </w:r>
          </w:p>
        </w:tc>
      </w:tr>
      <w:tr w:rsidR="007A1942" w:rsidRPr="00EC50D6" w14:paraId="5DEEBDDE" w14:textId="77777777" w:rsidTr="00DE4AD4">
        <w:trPr>
          <w:cantSplit/>
        </w:trPr>
        <w:tc>
          <w:tcPr>
            <w:tcW w:w="811" w:type="pct"/>
            <w:tcBorders>
              <w:top w:val="single" w:sz="4" w:space="0" w:color="auto"/>
              <w:bottom w:val="single" w:sz="4" w:space="0" w:color="auto"/>
            </w:tcBorders>
            <w:noWrap/>
          </w:tcPr>
          <w:p w14:paraId="5CA76226" w14:textId="77777777" w:rsidR="007A1942" w:rsidRPr="006E2E9C" w:rsidRDefault="007A1942" w:rsidP="006E2E9C">
            <w:pPr>
              <w:pStyle w:val="TableText"/>
            </w:pPr>
            <w:r w:rsidRPr="006E2E9C">
              <w:t>PO 0111</w:t>
            </w:r>
          </w:p>
        </w:tc>
        <w:tc>
          <w:tcPr>
            <w:tcW w:w="2646" w:type="pct"/>
            <w:tcBorders>
              <w:top w:val="single" w:sz="4" w:space="0" w:color="auto"/>
              <w:bottom w:val="single" w:sz="4" w:space="0" w:color="auto"/>
            </w:tcBorders>
            <w:noWrap/>
          </w:tcPr>
          <w:p w14:paraId="1C6D3C93" w14:textId="77777777" w:rsidR="007A1942" w:rsidRPr="006E2E9C" w:rsidRDefault="007A1942" w:rsidP="006E2E9C">
            <w:pPr>
              <w:pStyle w:val="TableText"/>
            </w:pPr>
            <w:r w:rsidRPr="006E2E9C">
              <w:t>Poultry, Edible offal of</w:t>
            </w:r>
          </w:p>
        </w:tc>
        <w:tc>
          <w:tcPr>
            <w:tcW w:w="502" w:type="pct"/>
            <w:tcBorders>
              <w:top w:val="single" w:sz="4" w:space="0" w:color="auto"/>
              <w:bottom w:val="single" w:sz="4" w:space="0" w:color="auto"/>
            </w:tcBorders>
            <w:noWrap/>
          </w:tcPr>
          <w:p w14:paraId="25B9950B"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B977EF7" w14:textId="77777777" w:rsidR="007A1942" w:rsidRPr="006E2E9C" w:rsidRDefault="007A1942" w:rsidP="006E2E9C">
            <w:pPr>
              <w:pStyle w:val="TableText"/>
            </w:pPr>
            <w:r w:rsidRPr="006E2E9C">
              <w:t>*0.05</w:t>
            </w:r>
          </w:p>
        </w:tc>
      </w:tr>
      <w:tr w:rsidR="007A1942" w:rsidRPr="00EC50D6" w14:paraId="16DA5755" w14:textId="77777777" w:rsidTr="00DE4AD4">
        <w:trPr>
          <w:cantSplit/>
        </w:trPr>
        <w:tc>
          <w:tcPr>
            <w:tcW w:w="811" w:type="pct"/>
            <w:tcBorders>
              <w:top w:val="single" w:sz="4" w:space="0" w:color="auto"/>
              <w:bottom w:val="single" w:sz="4" w:space="0" w:color="auto"/>
            </w:tcBorders>
            <w:noWrap/>
          </w:tcPr>
          <w:p w14:paraId="2AF6DC52" w14:textId="77777777" w:rsidR="007A1942" w:rsidRPr="006E2E9C" w:rsidRDefault="007A1942" w:rsidP="006E2E9C">
            <w:pPr>
              <w:pStyle w:val="TableText"/>
            </w:pPr>
            <w:r w:rsidRPr="006E2E9C">
              <w:t>PM 0110</w:t>
            </w:r>
          </w:p>
        </w:tc>
        <w:tc>
          <w:tcPr>
            <w:tcW w:w="2646" w:type="pct"/>
            <w:tcBorders>
              <w:top w:val="single" w:sz="4" w:space="0" w:color="auto"/>
              <w:bottom w:val="single" w:sz="4" w:space="0" w:color="auto"/>
            </w:tcBorders>
            <w:noWrap/>
          </w:tcPr>
          <w:p w14:paraId="5B6EF421" w14:textId="77777777" w:rsidR="007A1942" w:rsidRPr="006E2E9C" w:rsidRDefault="007A1942" w:rsidP="006E2E9C">
            <w:pPr>
              <w:pStyle w:val="TableText"/>
            </w:pPr>
            <w:r w:rsidRPr="006E2E9C">
              <w:t>Poultry meat</w:t>
            </w:r>
          </w:p>
        </w:tc>
        <w:tc>
          <w:tcPr>
            <w:tcW w:w="502" w:type="pct"/>
            <w:tcBorders>
              <w:top w:val="single" w:sz="4" w:space="0" w:color="auto"/>
              <w:bottom w:val="single" w:sz="4" w:space="0" w:color="auto"/>
            </w:tcBorders>
            <w:noWrap/>
          </w:tcPr>
          <w:p w14:paraId="4A98749F"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5BEE169" w14:textId="77777777" w:rsidR="007A1942" w:rsidRPr="006E2E9C" w:rsidRDefault="007A1942" w:rsidP="006E2E9C">
            <w:pPr>
              <w:pStyle w:val="TableText"/>
            </w:pPr>
            <w:r w:rsidRPr="006E2E9C">
              <w:t>*0.05</w:t>
            </w:r>
          </w:p>
        </w:tc>
      </w:tr>
      <w:tr w:rsidR="007A1942" w:rsidRPr="00EC50D6" w14:paraId="24DF00E1" w14:textId="77777777" w:rsidTr="00DE4AD4">
        <w:trPr>
          <w:cantSplit/>
        </w:trPr>
        <w:tc>
          <w:tcPr>
            <w:tcW w:w="811" w:type="pct"/>
            <w:tcBorders>
              <w:top w:val="single" w:sz="4" w:space="0" w:color="auto"/>
              <w:bottom w:val="single" w:sz="4" w:space="0" w:color="auto"/>
            </w:tcBorders>
            <w:noWrap/>
          </w:tcPr>
          <w:p w14:paraId="515517B8" w14:textId="77777777" w:rsidR="007A1942" w:rsidRPr="006E2E9C" w:rsidRDefault="007A1942" w:rsidP="006E2E9C">
            <w:pPr>
              <w:pStyle w:val="TableText"/>
            </w:pPr>
            <w:r w:rsidRPr="006E2E9C">
              <w:t>VD 0070</w:t>
            </w:r>
          </w:p>
        </w:tc>
        <w:tc>
          <w:tcPr>
            <w:tcW w:w="2646" w:type="pct"/>
            <w:tcBorders>
              <w:top w:val="single" w:sz="4" w:space="0" w:color="auto"/>
              <w:bottom w:val="single" w:sz="4" w:space="0" w:color="auto"/>
            </w:tcBorders>
            <w:noWrap/>
          </w:tcPr>
          <w:p w14:paraId="487BBE64" w14:textId="77777777" w:rsidR="007A1942" w:rsidRPr="006E2E9C" w:rsidRDefault="007A1942" w:rsidP="006E2E9C">
            <w:pPr>
              <w:pStyle w:val="TableText"/>
            </w:pPr>
            <w:r w:rsidRPr="006E2E9C">
              <w:t>Pulses</w:t>
            </w:r>
          </w:p>
        </w:tc>
        <w:tc>
          <w:tcPr>
            <w:tcW w:w="502" w:type="pct"/>
            <w:tcBorders>
              <w:top w:val="single" w:sz="4" w:space="0" w:color="auto"/>
              <w:bottom w:val="single" w:sz="4" w:space="0" w:color="auto"/>
            </w:tcBorders>
            <w:noWrap/>
          </w:tcPr>
          <w:p w14:paraId="4E43E648"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1DE63DD6" w14:textId="77777777" w:rsidR="007A1942" w:rsidRPr="006E2E9C" w:rsidRDefault="007A1942" w:rsidP="006E2E9C">
            <w:pPr>
              <w:pStyle w:val="TableText"/>
            </w:pPr>
            <w:r w:rsidRPr="006E2E9C">
              <w:t>1</w:t>
            </w:r>
          </w:p>
        </w:tc>
      </w:tr>
      <w:tr w:rsidR="007A1942" w:rsidRPr="00EC50D6" w14:paraId="4439926C" w14:textId="77777777" w:rsidTr="00DE4AD4">
        <w:trPr>
          <w:cantSplit/>
        </w:trPr>
        <w:tc>
          <w:tcPr>
            <w:tcW w:w="811" w:type="pct"/>
            <w:tcBorders>
              <w:top w:val="single" w:sz="4" w:space="0" w:color="auto"/>
              <w:bottom w:val="single" w:sz="4" w:space="0" w:color="auto"/>
            </w:tcBorders>
            <w:noWrap/>
          </w:tcPr>
          <w:p w14:paraId="1A316BD1" w14:textId="77777777" w:rsidR="007A1942" w:rsidRPr="006E2E9C" w:rsidRDefault="007A1942" w:rsidP="006E2E9C">
            <w:pPr>
              <w:pStyle w:val="TableText"/>
            </w:pPr>
            <w:r w:rsidRPr="006E2E9C">
              <w:t>SO 0495</w:t>
            </w:r>
          </w:p>
        </w:tc>
        <w:tc>
          <w:tcPr>
            <w:tcW w:w="2646" w:type="pct"/>
            <w:tcBorders>
              <w:top w:val="single" w:sz="4" w:space="0" w:color="auto"/>
              <w:bottom w:val="single" w:sz="4" w:space="0" w:color="auto"/>
            </w:tcBorders>
            <w:noWrap/>
          </w:tcPr>
          <w:p w14:paraId="7501ED9D" w14:textId="77777777" w:rsidR="007A1942" w:rsidRPr="006E2E9C" w:rsidRDefault="007A1942" w:rsidP="006E2E9C">
            <w:pPr>
              <w:pStyle w:val="TableText"/>
            </w:pPr>
            <w:r w:rsidRPr="006E2E9C">
              <w:t>Rape seed [canola]</w:t>
            </w:r>
          </w:p>
        </w:tc>
        <w:tc>
          <w:tcPr>
            <w:tcW w:w="502" w:type="pct"/>
            <w:tcBorders>
              <w:top w:val="single" w:sz="4" w:space="0" w:color="auto"/>
              <w:bottom w:val="single" w:sz="4" w:space="0" w:color="auto"/>
            </w:tcBorders>
            <w:noWrap/>
          </w:tcPr>
          <w:p w14:paraId="6605A52E" w14:textId="72E33440" w:rsidR="007A1942" w:rsidRPr="006E2E9C" w:rsidRDefault="006E2E9C" w:rsidP="006E2E9C">
            <w:pPr>
              <w:pStyle w:val="TableText"/>
            </w:pPr>
            <w:r>
              <w:t>–</w:t>
            </w:r>
          </w:p>
        </w:tc>
        <w:tc>
          <w:tcPr>
            <w:tcW w:w="1041" w:type="pct"/>
            <w:tcBorders>
              <w:top w:val="single" w:sz="4" w:space="0" w:color="auto"/>
              <w:bottom w:val="single" w:sz="4" w:space="0" w:color="auto"/>
            </w:tcBorders>
          </w:tcPr>
          <w:p w14:paraId="019ECD60" w14:textId="77777777" w:rsidR="007A1942" w:rsidRPr="006E2E9C" w:rsidRDefault="007A1942" w:rsidP="006E2E9C">
            <w:pPr>
              <w:pStyle w:val="TableText"/>
            </w:pPr>
            <w:r w:rsidRPr="006E2E9C">
              <w:t>2</w:t>
            </w:r>
          </w:p>
        </w:tc>
      </w:tr>
      <w:tr w:rsidR="007A1942" w:rsidRPr="00EC50D6" w14:paraId="145AD368" w14:textId="77777777" w:rsidTr="00DE4AD4">
        <w:trPr>
          <w:cantSplit/>
        </w:trPr>
        <w:tc>
          <w:tcPr>
            <w:tcW w:w="811" w:type="pct"/>
            <w:tcBorders>
              <w:top w:val="single" w:sz="4" w:space="0" w:color="auto"/>
              <w:bottom w:val="single" w:sz="4" w:space="0" w:color="auto"/>
            </w:tcBorders>
            <w:noWrap/>
          </w:tcPr>
          <w:p w14:paraId="6FB31C10" w14:textId="77777777" w:rsidR="007A1942" w:rsidRPr="006E2E9C" w:rsidRDefault="007A1942" w:rsidP="006E2E9C">
            <w:pPr>
              <w:pStyle w:val="TableText"/>
            </w:pPr>
            <w:r w:rsidRPr="006E2E9C">
              <w:t>GC 0649</w:t>
            </w:r>
          </w:p>
        </w:tc>
        <w:tc>
          <w:tcPr>
            <w:tcW w:w="2646" w:type="pct"/>
            <w:tcBorders>
              <w:top w:val="single" w:sz="4" w:space="0" w:color="auto"/>
              <w:bottom w:val="single" w:sz="4" w:space="0" w:color="auto"/>
            </w:tcBorders>
            <w:noWrap/>
          </w:tcPr>
          <w:p w14:paraId="45488D85" w14:textId="77777777" w:rsidR="007A1942" w:rsidRPr="006E2E9C" w:rsidRDefault="007A1942" w:rsidP="006E2E9C">
            <w:pPr>
              <w:pStyle w:val="TableText"/>
            </w:pPr>
            <w:r w:rsidRPr="006E2E9C">
              <w:t>Rice</w:t>
            </w:r>
          </w:p>
        </w:tc>
        <w:tc>
          <w:tcPr>
            <w:tcW w:w="502" w:type="pct"/>
            <w:tcBorders>
              <w:top w:val="single" w:sz="4" w:space="0" w:color="auto"/>
              <w:bottom w:val="single" w:sz="4" w:space="0" w:color="auto"/>
            </w:tcBorders>
            <w:noWrap/>
          </w:tcPr>
          <w:p w14:paraId="0B69FCF7"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7C1A3471" w14:textId="77777777" w:rsidR="007A1942" w:rsidRPr="006E2E9C" w:rsidRDefault="007A1942" w:rsidP="006E2E9C">
            <w:pPr>
              <w:pStyle w:val="TableText"/>
            </w:pPr>
            <w:r w:rsidRPr="006E2E9C">
              <w:t>T5 during phase out, *0.05 after phase out</w:t>
            </w:r>
          </w:p>
        </w:tc>
      </w:tr>
      <w:tr w:rsidR="007A1942" w:rsidRPr="00EC50D6" w14:paraId="3FAB3CE2" w14:textId="77777777" w:rsidTr="00DE4AD4">
        <w:trPr>
          <w:cantSplit/>
        </w:trPr>
        <w:tc>
          <w:tcPr>
            <w:tcW w:w="811" w:type="pct"/>
            <w:tcBorders>
              <w:top w:val="single" w:sz="4" w:space="0" w:color="auto"/>
              <w:bottom w:val="single" w:sz="4" w:space="0" w:color="auto"/>
            </w:tcBorders>
            <w:noWrap/>
          </w:tcPr>
          <w:p w14:paraId="7B6CF619" w14:textId="77777777" w:rsidR="007A1942" w:rsidRPr="006E2E9C" w:rsidRDefault="007A1942" w:rsidP="006E2E9C">
            <w:pPr>
              <w:pStyle w:val="TableText"/>
            </w:pPr>
            <w:r w:rsidRPr="006E2E9C">
              <w:t>CM 1205</w:t>
            </w:r>
          </w:p>
        </w:tc>
        <w:tc>
          <w:tcPr>
            <w:tcW w:w="2646" w:type="pct"/>
            <w:tcBorders>
              <w:top w:val="single" w:sz="4" w:space="0" w:color="auto"/>
              <w:bottom w:val="single" w:sz="4" w:space="0" w:color="auto"/>
            </w:tcBorders>
            <w:noWrap/>
          </w:tcPr>
          <w:p w14:paraId="1E2A1B90" w14:textId="77777777" w:rsidR="007A1942" w:rsidRPr="006E2E9C" w:rsidRDefault="007A1942" w:rsidP="006E2E9C">
            <w:pPr>
              <w:pStyle w:val="TableText"/>
            </w:pPr>
            <w:r w:rsidRPr="006E2E9C">
              <w:t>Rice, polished</w:t>
            </w:r>
          </w:p>
        </w:tc>
        <w:tc>
          <w:tcPr>
            <w:tcW w:w="502" w:type="pct"/>
            <w:tcBorders>
              <w:top w:val="single" w:sz="4" w:space="0" w:color="auto"/>
              <w:bottom w:val="single" w:sz="4" w:space="0" w:color="auto"/>
            </w:tcBorders>
            <w:noWrap/>
          </w:tcPr>
          <w:p w14:paraId="50702E2A"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7AA7ECB4" w14:textId="77777777" w:rsidR="007A1942" w:rsidRPr="006E2E9C" w:rsidRDefault="007A1942" w:rsidP="006E2E9C">
            <w:pPr>
              <w:pStyle w:val="TableText"/>
            </w:pPr>
            <w:r w:rsidRPr="006E2E9C">
              <w:t>Delete</w:t>
            </w:r>
          </w:p>
          <w:p w14:paraId="1730A15D" w14:textId="77777777" w:rsidR="007A1942" w:rsidRPr="006E2E9C" w:rsidRDefault="007A1942" w:rsidP="006E2E9C">
            <w:pPr>
              <w:pStyle w:val="TableText"/>
            </w:pPr>
            <w:r w:rsidRPr="006E2E9C">
              <w:t>(T1 during phase out)</w:t>
            </w:r>
          </w:p>
        </w:tc>
      </w:tr>
      <w:tr w:rsidR="007A1942" w:rsidRPr="00EC50D6" w14:paraId="739BDD5D" w14:textId="77777777" w:rsidTr="00DE4AD4">
        <w:trPr>
          <w:cantSplit/>
        </w:trPr>
        <w:tc>
          <w:tcPr>
            <w:tcW w:w="811" w:type="pct"/>
            <w:tcBorders>
              <w:top w:val="single" w:sz="4" w:space="0" w:color="auto"/>
              <w:bottom w:val="single" w:sz="4" w:space="0" w:color="auto"/>
            </w:tcBorders>
            <w:noWrap/>
          </w:tcPr>
          <w:p w14:paraId="274B8A9C" w14:textId="77777777" w:rsidR="007A1942" w:rsidRPr="006E2E9C" w:rsidRDefault="007A1942" w:rsidP="006E2E9C">
            <w:pPr>
              <w:pStyle w:val="TableText"/>
            </w:pPr>
            <w:r w:rsidRPr="006E2E9C">
              <w:t>VR 0075</w:t>
            </w:r>
          </w:p>
        </w:tc>
        <w:tc>
          <w:tcPr>
            <w:tcW w:w="2646" w:type="pct"/>
            <w:tcBorders>
              <w:top w:val="single" w:sz="4" w:space="0" w:color="auto"/>
              <w:bottom w:val="single" w:sz="4" w:space="0" w:color="auto"/>
            </w:tcBorders>
            <w:noWrap/>
          </w:tcPr>
          <w:p w14:paraId="18115AB7" w14:textId="77777777" w:rsidR="007A1942" w:rsidRPr="006E2E9C" w:rsidRDefault="007A1942" w:rsidP="006E2E9C">
            <w:pPr>
              <w:pStyle w:val="TableText"/>
            </w:pPr>
            <w:r w:rsidRPr="006E2E9C">
              <w:t>Root and tuber vegetables {except Potato; Sweet potato}</w:t>
            </w:r>
          </w:p>
        </w:tc>
        <w:tc>
          <w:tcPr>
            <w:tcW w:w="502" w:type="pct"/>
            <w:tcBorders>
              <w:top w:val="single" w:sz="4" w:space="0" w:color="auto"/>
              <w:bottom w:val="single" w:sz="4" w:space="0" w:color="auto"/>
            </w:tcBorders>
            <w:noWrap/>
          </w:tcPr>
          <w:p w14:paraId="6CD1E25D" w14:textId="07F58061" w:rsidR="007A1942" w:rsidRPr="006E2E9C" w:rsidRDefault="006E2E9C" w:rsidP="006E2E9C">
            <w:pPr>
              <w:pStyle w:val="TableText"/>
            </w:pPr>
            <w:r>
              <w:t>–</w:t>
            </w:r>
          </w:p>
        </w:tc>
        <w:tc>
          <w:tcPr>
            <w:tcW w:w="1041" w:type="pct"/>
            <w:tcBorders>
              <w:top w:val="single" w:sz="4" w:space="0" w:color="auto"/>
              <w:bottom w:val="single" w:sz="4" w:space="0" w:color="auto"/>
            </w:tcBorders>
          </w:tcPr>
          <w:p w14:paraId="4AE5F95A" w14:textId="77777777" w:rsidR="007A1942" w:rsidRPr="006E2E9C" w:rsidRDefault="007A1942" w:rsidP="006E2E9C">
            <w:pPr>
              <w:pStyle w:val="TableText"/>
            </w:pPr>
            <w:r w:rsidRPr="006E2E9C">
              <w:t>0.1</w:t>
            </w:r>
          </w:p>
        </w:tc>
      </w:tr>
      <w:tr w:rsidR="007A1942" w:rsidRPr="00EC50D6" w14:paraId="3D403292" w14:textId="77777777" w:rsidTr="00DE4AD4">
        <w:trPr>
          <w:cantSplit/>
        </w:trPr>
        <w:tc>
          <w:tcPr>
            <w:tcW w:w="811" w:type="pct"/>
            <w:tcBorders>
              <w:top w:val="single" w:sz="4" w:space="0" w:color="auto"/>
              <w:bottom w:val="single" w:sz="4" w:space="0" w:color="auto"/>
            </w:tcBorders>
            <w:noWrap/>
          </w:tcPr>
          <w:p w14:paraId="3D8839AA" w14:textId="77777777" w:rsidR="007A1942" w:rsidRPr="006E2E9C" w:rsidRDefault="007A1942" w:rsidP="006E2E9C">
            <w:pPr>
              <w:pStyle w:val="TableText"/>
            </w:pPr>
            <w:r w:rsidRPr="006E2E9C">
              <w:t>GC 0650</w:t>
            </w:r>
          </w:p>
        </w:tc>
        <w:tc>
          <w:tcPr>
            <w:tcW w:w="2646" w:type="pct"/>
            <w:tcBorders>
              <w:top w:val="single" w:sz="4" w:space="0" w:color="auto"/>
              <w:bottom w:val="single" w:sz="4" w:space="0" w:color="auto"/>
            </w:tcBorders>
            <w:noWrap/>
          </w:tcPr>
          <w:p w14:paraId="2E18F26B" w14:textId="77777777" w:rsidR="007A1942" w:rsidRPr="006E2E9C" w:rsidRDefault="007A1942" w:rsidP="006E2E9C">
            <w:pPr>
              <w:pStyle w:val="TableText"/>
            </w:pPr>
            <w:r w:rsidRPr="006E2E9C">
              <w:t>Rye</w:t>
            </w:r>
          </w:p>
        </w:tc>
        <w:tc>
          <w:tcPr>
            <w:tcW w:w="502" w:type="pct"/>
            <w:tcBorders>
              <w:top w:val="single" w:sz="4" w:space="0" w:color="auto"/>
              <w:bottom w:val="single" w:sz="4" w:space="0" w:color="auto"/>
            </w:tcBorders>
            <w:noWrap/>
          </w:tcPr>
          <w:p w14:paraId="0E18CD8A"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6891D25D" w14:textId="77777777" w:rsidR="007A1942" w:rsidRPr="006E2E9C" w:rsidRDefault="007A1942" w:rsidP="006E2E9C">
            <w:pPr>
              <w:pStyle w:val="TableText"/>
            </w:pPr>
            <w:r w:rsidRPr="006E2E9C">
              <w:t>2</w:t>
            </w:r>
          </w:p>
        </w:tc>
      </w:tr>
      <w:tr w:rsidR="007A1942" w:rsidRPr="00EC50D6" w14:paraId="63D1907D" w14:textId="77777777" w:rsidTr="00DE4AD4">
        <w:trPr>
          <w:cantSplit/>
        </w:trPr>
        <w:tc>
          <w:tcPr>
            <w:tcW w:w="811" w:type="pct"/>
            <w:tcBorders>
              <w:top w:val="single" w:sz="4" w:space="0" w:color="auto"/>
              <w:bottom w:val="single" w:sz="4" w:space="0" w:color="auto"/>
            </w:tcBorders>
            <w:noWrap/>
          </w:tcPr>
          <w:p w14:paraId="62E0DD62" w14:textId="77777777" w:rsidR="007A1942" w:rsidRPr="006E2E9C" w:rsidRDefault="007A1942" w:rsidP="006E2E9C">
            <w:pPr>
              <w:pStyle w:val="TableText"/>
            </w:pPr>
            <w:r w:rsidRPr="006E2E9C">
              <w:t>SO 0699</w:t>
            </w:r>
          </w:p>
        </w:tc>
        <w:tc>
          <w:tcPr>
            <w:tcW w:w="2646" w:type="pct"/>
            <w:tcBorders>
              <w:top w:val="single" w:sz="4" w:space="0" w:color="auto"/>
              <w:bottom w:val="single" w:sz="4" w:space="0" w:color="auto"/>
            </w:tcBorders>
            <w:noWrap/>
          </w:tcPr>
          <w:p w14:paraId="6799EA57" w14:textId="77777777" w:rsidR="007A1942" w:rsidRPr="006E2E9C" w:rsidRDefault="007A1942" w:rsidP="006E2E9C">
            <w:pPr>
              <w:pStyle w:val="TableText"/>
            </w:pPr>
            <w:r w:rsidRPr="006E2E9C">
              <w:t>Safflower</w:t>
            </w:r>
          </w:p>
        </w:tc>
        <w:tc>
          <w:tcPr>
            <w:tcW w:w="502" w:type="pct"/>
            <w:tcBorders>
              <w:top w:val="single" w:sz="4" w:space="0" w:color="auto"/>
              <w:bottom w:val="single" w:sz="4" w:space="0" w:color="auto"/>
            </w:tcBorders>
            <w:noWrap/>
          </w:tcPr>
          <w:p w14:paraId="16C00178" w14:textId="7C454086" w:rsidR="007A1942" w:rsidRPr="006E2E9C" w:rsidRDefault="006E2E9C" w:rsidP="006E2E9C">
            <w:pPr>
              <w:pStyle w:val="TableText"/>
            </w:pPr>
            <w:r>
              <w:t>–</w:t>
            </w:r>
          </w:p>
        </w:tc>
        <w:tc>
          <w:tcPr>
            <w:tcW w:w="1041" w:type="pct"/>
            <w:tcBorders>
              <w:top w:val="single" w:sz="4" w:space="0" w:color="auto"/>
              <w:bottom w:val="single" w:sz="4" w:space="0" w:color="auto"/>
            </w:tcBorders>
          </w:tcPr>
          <w:p w14:paraId="5F0527B7" w14:textId="77777777" w:rsidR="007A1942" w:rsidRPr="006E2E9C" w:rsidRDefault="007A1942" w:rsidP="006E2E9C">
            <w:pPr>
              <w:pStyle w:val="TableText"/>
            </w:pPr>
            <w:r w:rsidRPr="006E2E9C">
              <w:t>*0.05</w:t>
            </w:r>
          </w:p>
        </w:tc>
      </w:tr>
      <w:tr w:rsidR="007A1942" w:rsidRPr="00EC50D6" w14:paraId="01A938E5" w14:textId="77777777" w:rsidTr="00DE4AD4">
        <w:trPr>
          <w:cantSplit/>
        </w:trPr>
        <w:tc>
          <w:tcPr>
            <w:tcW w:w="811" w:type="pct"/>
            <w:tcBorders>
              <w:top w:val="single" w:sz="4" w:space="0" w:color="auto"/>
              <w:bottom w:val="single" w:sz="4" w:space="0" w:color="auto"/>
            </w:tcBorders>
            <w:noWrap/>
          </w:tcPr>
          <w:p w14:paraId="79A0F2A8" w14:textId="77777777" w:rsidR="007A1942" w:rsidRPr="006E2E9C" w:rsidRDefault="007A1942" w:rsidP="006E2E9C">
            <w:pPr>
              <w:pStyle w:val="TableText"/>
            </w:pPr>
            <w:r w:rsidRPr="006E2E9C">
              <w:t>GC 0651</w:t>
            </w:r>
          </w:p>
        </w:tc>
        <w:tc>
          <w:tcPr>
            <w:tcW w:w="2646" w:type="pct"/>
            <w:tcBorders>
              <w:top w:val="single" w:sz="4" w:space="0" w:color="auto"/>
              <w:bottom w:val="single" w:sz="4" w:space="0" w:color="auto"/>
            </w:tcBorders>
            <w:noWrap/>
          </w:tcPr>
          <w:p w14:paraId="2E8A22C6" w14:textId="77777777" w:rsidR="007A1942" w:rsidRPr="006E2E9C" w:rsidRDefault="007A1942" w:rsidP="006E2E9C">
            <w:pPr>
              <w:pStyle w:val="TableText"/>
            </w:pPr>
            <w:r w:rsidRPr="006E2E9C">
              <w:t>Sorghum</w:t>
            </w:r>
          </w:p>
        </w:tc>
        <w:tc>
          <w:tcPr>
            <w:tcW w:w="502" w:type="pct"/>
            <w:tcBorders>
              <w:top w:val="single" w:sz="4" w:space="0" w:color="auto"/>
              <w:bottom w:val="single" w:sz="4" w:space="0" w:color="auto"/>
            </w:tcBorders>
            <w:noWrap/>
          </w:tcPr>
          <w:p w14:paraId="0464D6A2"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2B8AAA04" w14:textId="77777777" w:rsidR="007A1942" w:rsidRPr="006E2E9C" w:rsidRDefault="007A1942" w:rsidP="006E2E9C">
            <w:pPr>
              <w:pStyle w:val="TableText"/>
            </w:pPr>
            <w:r w:rsidRPr="006E2E9C">
              <w:t>T2 during phase out, *0.05 after phase out</w:t>
            </w:r>
          </w:p>
        </w:tc>
      </w:tr>
      <w:tr w:rsidR="007A1942" w:rsidRPr="00EC50D6" w14:paraId="69641416" w14:textId="77777777" w:rsidTr="00DE4AD4">
        <w:trPr>
          <w:cantSplit/>
        </w:trPr>
        <w:tc>
          <w:tcPr>
            <w:tcW w:w="811" w:type="pct"/>
            <w:tcBorders>
              <w:top w:val="single" w:sz="4" w:space="0" w:color="auto"/>
              <w:bottom w:val="single" w:sz="4" w:space="0" w:color="auto"/>
            </w:tcBorders>
            <w:noWrap/>
          </w:tcPr>
          <w:p w14:paraId="53F849B6" w14:textId="77777777" w:rsidR="007A1942" w:rsidRPr="006E2E9C" w:rsidRDefault="007A1942" w:rsidP="006E2E9C">
            <w:pPr>
              <w:pStyle w:val="TableText"/>
            </w:pPr>
            <w:r w:rsidRPr="006E2E9C">
              <w:t>FS 0012</w:t>
            </w:r>
          </w:p>
        </w:tc>
        <w:tc>
          <w:tcPr>
            <w:tcW w:w="2646" w:type="pct"/>
            <w:tcBorders>
              <w:top w:val="single" w:sz="4" w:space="0" w:color="auto"/>
              <w:bottom w:val="single" w:sz="4" w:space="0" w:color="auto"/>
            </w:tcBorders>
            <w:noWrap/>
          </w:tcPr>
          <w:p w14:paraId="77309E83" w14:textId="77777777" w:rsidR="007A1942" w:rsidRPr="006E2E9C" w:rsidRDefault="007A1942" w:rsidP="006E2E9C">
            <w:pPr>
              <w:pStyle w:val="TableText"/>
            </w:pPr>
            <w:r w:rsidRPr="006E2E9C">
              <w:t>Stone fruits</w:t>
            </w:r>
          </w:p>
        </w:tc>
        <w:tc>
          <w:tcPr>
            <w:tcW w:w="502" w:type="pct"/>
            <w:tcBorders>
              <w:top w:val="single" w:sz="4" w:space="0" w:color="auto"/>
              <w:bottom w:val="single" w:sz="4" w:space="0" w:color="auto"/>
            </w:tcBorders>
            <w:noWrap/>
          </w:tcPr>
          <w:p w14:paraId="1F3DF344" w14:textId="4F57900A" w:rsidR="007A1942" w:rsidRPr="006E2E9C" w:rsidRDefault="006E2E9C" w:rsidP="006E2E9C">
            <w:pPr>
              <w:pStyle w:val="TableText"/>
            </w:pPr>
            <w:r>
              <w:t>–</w:t>
            </w:r>
          </w:p>
        </w:tc>
        <w:tc>
          <w:tcPr>
            <w:tcW w:w="1041" w:type="pct"/>
            <w:tcBorders>
              <w:top w:val="single" w:sz="4" w:space="0" w:color="auto"/>
              <w:bottom w:val="single" w:sz="4" w:space="0" w:color="auto"/>
            </w:tcBorders>
          </w:tcPr>
          <w:p w14:paraId="26AA2BEE" w14:textId="77777777" w:rsidR="007A1942" w:rsidRPr="006E2E9C" w:rsidRDefault="007A1942" w:rsidP="006E2E9C">
            <w:pPr>
              <w:pStyle w:val="TableText"/>
            </w:pPr>
            <w:r w:rsidRPr="006E2E9C">
              <w:t>*0.01</w:t>
            </w:r>
          </w:p>
        </w:tc>
      </w:tr>
      <w:tr w:rsidR="007A1942" w:rsidRPr="00EC50D6" w14:paraId="1B3C2149" w14:textId="77777777" w:rsidTr="00DE4AD4">
        <w:trPr>
          <w:cantSplit/>
        </w:trPr>
        <w:tc>
          <w:tcPr>
            <w:tcW w:w="811" w:type="pct"/>
            <w:tcBorders>
              <w:top w:val="single" w:sz="4" w:space="0" w:color="auto"/>
              <w:bottom w:val="single" w:sz="4" w:space="0" w:color="auto"/>
            </w:tcBorders>
            <w:noWrap/>
          </w:tcPr>
          <w:p w14:paraId="3F638CE6" w14:textId="77777777" w:rsidR="007A1942" w:rsidRPr="006E2E9C" w:rsidRDefault="007A1942" w:rsidP="006E2E9C">
            <w:pPr>
              <w:pStyle w:val="TableText"/>
            </w:pPr>
            <w:r w:rsidRPr="006E2E9C">
              <w:t>VR 0596</w:t>
            </w:r>
          </w:p>
        </w:tc>
        <w:tc>
          <w:tcPr>
            <w:tcW w:w="2646" w:type="pct"/>
            <w:tcBorders>
              <w:top w:val="single" w:sz="4" w:space="0" w:color="auto"/>
              <w:bottom w:val="single" w:sz="4" w:space="0" w:color="auto"/>
            </w:tcBorders>
            <w:noWrap/>
          </w:tcPr>
          <w:p w14:paraId="69212586" w14:textId="77777777" w:rsidR="007A1942" w:rsidRPr="006E2E9C" w:rsidRDefault="007A1942" w:rsidP="006E2E9C">
            <w:pPr>
              <w:pStyle w:val="TableText"/>
            </w:pPr>
            <w:r w:rsidRPr="006E2E9C">
              <w:t>Sugar beet</w:t>
            </w:r>
          </w:p>
        </w:tc>
        <w:tc>
          <w:tcPr>
            <w:tcW w:w="502" w:type="pct"/>
            <w:tcBorders>
              <w:top w:val="single" w:sz="4" w:space="0" w:color="auto"/>
              <w:bottom w:val="single" w:sz="4" w:space="0" w:color="auto"/>
            </w:tcBorders>
            <w:noWrap/>
          </w:tcPr>
          <w:p w14:paraId="37A97AF1"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7BDE53A7" w14:textId="77777777" w:rsidR="007A1942" w:rsidRPr="006E2E9C" w:rsidRDefault="007A1942" w:rsidP="006E2E9C">
            <w:pPr>
              <w:pStyle w:val="TableText"/>
            </w:pPr>
            <w:r w:rsidRPr="006E2E9C">
              <w:t>Delete</w:t>
            </w:r>
          </w:p>
        </w:tc>
      </w:tr>
      <w:tr w:rsidR="007A1942" w:rsidRPr="00EC50D6" w14:paraId="7265F352" w14:textId="77777777" w:rsidTr="00DE4AD4">
        <w:trPr>
          <w:cantSplit/>
        </w:trPr>
        <w:tc>
          <w:tcPr>
            <w:tcW w:w="811" w:type="pct"/>
            <w:tcBorders>
              <w:top w:val="single" w:sz="4" w:space="0" w:color="auto"/>
              <w:bottom w:val="single" w:sz="4" w:space="0" w:color="auto"/>
            </w:tcBorders>
            <w:noWrap/>
          </w:tcPr>
          <w:p w14:paraId="6CD5AB7C" w14:textId="77777777" w:rsidR="007A1942" w:rsidRPr="006E2E9C" w:rsidRDefault="007A1942" w:rsidP="006E2E9C">
            <w:pPr>
              <w:pStyle w:val="TableText"/>
            </w:pPr>
            <w:r w:rsidRPr="006E2E9C">
              <w:lastRenderedPageBreak/>
              <w:t>GS 0659</w:t>
            </w:r>
          </w:p>
        </w:tc>
        <w:tc>
          <w:tcPr>
            <w:tcW w:w="2646" w:type="pct"/>
            <w:tcBorders>
              <w:top w:val="single" w:sz="4" w:space="0" w:color="auto"/>
              <w:bottom w:val="single" w:sz="4" w:space="0" w:color="auto"/>
            </w:tcBorders>
            <w:noWrap/>
          </w:tcPr>
          <w:p w14:paraId="5C209634" w14:textId="77777777" w:rsidR="007A1942" w:rsidRPr="006E2E9C" w:rsidRDefault="007A1942" w:rsidP="006E2E9C">
            <w:pPr>
              <w:pStyle w:val="TableText"/>
            </w:pPr>
            <w:r w:rsidRPr="006E2E9C">
              <w:t>Sugar cane</w:t>
            </w:r>
          </w:p>
        </w:tc>
        <w:tc>
          <w:tcPr>
            <w:tcW w:w="502" w:type="pct"/>
            <w:tcBorders>
              <w:top w:val="single" w:sz="4" w:space="0" w:color="auto"/>
              <w:bottom w:val="single" w:sz="4" w:space="0" w:color="auto"/>
            </w:tcBorders>
            <w:noWrap/>
          </w:tcPr>
          <w:p w14:paraId="692F20EE"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00F34B5" w14:textId="77777777" w:rsidR="007A1942" w:rsidRPr="006E2E9C" w:rsidRDefault="007A1942" w:rsidP="006E2E9C">
            <w:pPr>
              <w:pStyle w:val="TableText"/>
            </w:pPr>
            <w:r w:rsidRPr="006E2E9C">
              <w:t>*0.05</w:t>
            </w:r>
          </w:p>
        </w:tc>
      </w:tr>
      <w:tr w:rsidR="006E2E9C" w:rsidRPr="00EC50D6" w14:paraId="4D8D8597" w14:textId="77777777" w:rsidTr="00DE4AD4">
        <w:trPr>
          <w:cantSplit/>
        </w:trPr>
        <w:tc>
          <w:tcPr>
            <w:tcW w:w="811" w:type="pct"/>
            <w:tcBorders>
              <w:top w:val="single" w:sz="4" w:space="0" w:color="auto"/>
              <w:bottom w:val="single" w:sz="4" w:space="0" w:color="auto"/>
            </w:tcBorders>
            <w:noWrap/>
          </w:tcPr>
          <w:p w14:paraId="4C347C63" w14:textId="77777777" w:rsidR="006E2E9C" w:rsidRPr="006E2E9C" w:rsidRDefault="006E2E9C" w:rsidP="006E2E9C">
            <w:pPr>
              <w:pStyle w:val="TableText"/>
            </w:pPr>
            <w:r w:rsidRPr="006E2E9C">
              <w:t>SO 0702</w:t>
            </w:r>
          </w:p>
        </w:tc>
        <w:tc>
          <w:tcPr>
            <w:tcW w:w="2646" w:type="pct"/>
            <w:tcBorders>
              <w:top w:val="single" w:sz="4" w:space="0" w:color="auto"/>
              <w:bottom w:val="single" w:sz="4" w:space="0" w:color="auto"/>
            </w:tcBorders>
            <w:noWrap/>
          </w:tcPr>
          <w:p w14:paraId="1494B583" w14:textId="77777777" w:rsidR="006E2E9C" w:rsidRPr="006E2E9C" w:rsidRDefault="006E2E9C" w:rsidP="006E2E9C">
            <w:pPr>
              <w:pStyle w:val="TableText"/>
            </w:pPr>
            <w:r w:rsidRPr="006E2E9C">
              <w:t>Sunflower seed</w:t>
            </w:r>
          </w:p>
        </w:tc>
        <w:tc>
          <w:tcPr>
            <w:tcW w:w="502" w:type="pct"/>
            <w:tcBorders>
              <w:top w:val="single" w:sz="4" w:space="0" w:color="auto"/>
              <w:bottom w:val="single" w:sz="4" w:space="0" w:color="auto"/>
            </w:tcBorders>
            <w:noWrap/>
          </w:tcPr>
          <w:p w14:paraId="28042A5F" w14:textId="434C3A6F" w:rsidR="006E2E9C" w:rsidRPr="006E2E9C" w:rsidRDefault="006E2E9C" w:rsidP="006E2E9C">
            <w:pPr>
              <w:pStyle w:val="TableText"/>
            </w:pPr>
            <w:r w:rsidRPr="003F1BE1">
              <w:t>–</w:t>
            </w:r>
          </w:p>
        </w:tc>
        <w:tc>
          <w:tcPr>
            <w:tcW w:w="1041" w:type="pct"/>
            <w:tcBorders>
              <w:top w:val="single" w:sz="4" w:space="0" w:color="auto"/>
              <w:bottom w:val="single" w:sz="4" w:space="0" w:color="auto"/>
            </w:tcBorders>
          </w:tcPr>
          <w:p w14:paraId="42DA58CD" w14:textId="77777777" w:rsidR="006E2E9C" w:rsidRPr="006E2E9C" w:rsidRDefault="006E2E9C" w:rsidP="006E2E9C">
            <w:pPr>
              <w:pStyle w:val="TableText"/>
            </w:pPr>
            <w:r w:rsidRPr="006E2E9C">
              <w:t>1</w:t>
            </w:r>
          </w:p>
        </w:tc>
      </w:tr>
      <w:tr w:rsidR="006E2E9C" w:rsidRPr="00EC50D6" w14:paraId="1C2D49F7" w14:textId="77777777" w:rsidTr="00DE4AD4">
        <w:trPr>
          <w:cantSplit/>
        </w:trPr>
        <w:tc>
          <w:tcPr>
            <w:tcW w:w="811" w:type="pct"/>
            <w:tcBorders>
              <w:top w:val="single" w:sz="4" w:space="0" w:color="auto"/>
              <w:bottom w:val="single" w:sz="4" w:space="0" w:color="auto"/>
            </w:tcBorders>
            <w:noWrap/>
          </w:tcPr>
          <w:p w14:paraId="494AD8E2" w14:textId="77777777" w:rsidR="006E2E9C" w:rsidRPr="006E2E9C" w:rsidRDefault="006E2E9C" w:rsidP="006E2E9C">
            <w:pPr>
              <w:pStyle w:val="TableText"/>
            </w:pPr>
            <w:r w:rsidRPr="006E2E9C">
              <w:t>VR 0508</w:t>
            </w:r>
          </w:p>
        </w:tc>
        <w:tc>
          <w:tcPr>
            <w:tcW w:w="2646" w:type="pct"/>
            <w:tcBorders>
              <w:top w:val="single" w:sz="4" w:space="0" w:color="auto"/>
              <w:bottom w:val="single" w:sz="4" w:space="0" w:color="auto"/>
            </w:tcBorders>
            <w:noWrap/>
          </w:tcPr>
          <w:p w14:paraId="576F2693" w14:textId="77777777" w:rsidR="006E2E9C" w:rsidRPr="006E2E9C" w:rsidRDefault="006E2E9C" w:rsidP="006E2E9C">
            <w:pPr>
              <w:pStyle w:val="TableText"/>
            </w:pPr>
            <w:r w:rsidRPr="006E2E9C">
              <w:t>Sweet potato</w:t>
            </w:r>
          </w:p>
        </w:tc>
        <w:tc>
          <w:tcPr>
            <w:tcW w:w="502" w:type="pct"/>
            <w:tcBorders>
              <w:top w:val="single" w:sz="4" w:space="0" w:color="auto"/>
              <w:bottom w:val="single" w:sz="4" w:space="0" w:color="auto"/>
            </w:tcBorders>
            <w:noWrap/>
          </w:tcPr>
          <w:p w14:paraId="5E27B263" w14:textId="39DC876C" w:rsidR="006E2E9C" w:rsidRPr="006E2E9C" w:rsidRDefault="006E2E9C" w:rsidP="006E2E9C">
            <w:pPr>
              <w:pStyle w:val="TableText"/>
            </w:pPr>
            <w:r w:rsidRPr="003F1BE1">
              <w:t>–</w:t>
            </w:r>
          </w:p>
        </w:tc>
        <w:tc>
          <w:tcPr>
            <w:tcW w:w="1041" w:type="pct"/>
            <w:tcBorders>
              <w:top w:val="single" w:sz="4" w:space="0" w:color="auto"/>
              <w:bottom w:val="single" w:sz="4" w:space="0" w:color="auto"/>
            </w:tcBorders>
          </w:tcPr>
          <w:p w14:paraId="33F369C4" w14:textId="77777777" w:rsidR="006E2E9C" w:rsidRPr="006E2E9C" w:rsidRDefault="006E2E9C" w:rsidP="006E2E9C">
            <w:pPr>
              <w:pStyle w:val="TableText"/>
            </w:pPr>
            <w:r w:rsidRPr="006E2E9C">
              <w:t>0.2</w:t>
            </w:r>
          </w:p>
        </w:tc>
      </w:tr>
      <w:tr w:rsidR="007A1942" w:rsidRPr="00EC50D6" w14:paraId="2FD80E43" w14:textId="77777777" w:rsidTr="00DE4AD4">
        <w:trPr>
          <w:cantSplit/>
        </w:trPr>
        <w:tc>
          <w:tcPr>
            <w:tcW w:w="811" w:type="pct"/>
            <w:tcBorders>
              <w:top w:val="single" w:sz="4" w:space="0" w:color="auto"/>
              <w:bottom w:val="single" w:sz="4" w:space="0" w:color="auto"/>
            </w:tcBorders>
            <w:noWrap/>
          </w:tcPr>
          <w:p w14:paraId="107B4055" w14:textId="77777777" w:rsidR="007A1942" w:rsidRPr="006E2E9C" w:rsidRDefault="007A1942" w:rsidP="006E2E9C">
            <w:pPr>
              <w:pStyle w:val="TableText"/>
            </w:pPr>
            <w:r w:rsidRPr="006E2E9C">
              <w:t>TN 0085</w:t>
            </w:r>
          </w:p>
        </w:tc>
        <w:tc>
          <w:tcPr>
            <w:tcW w:w="2646" w:type="pct"/>
            <w:tcBorders>
              <w:top w:val="single" w:sz="4" w:space="0" w:color="auto"/>
              <w:bottom w:val="single" w:sz="4" w:space="0" w:color="auto"/>
            </w:tcBorders>
            <w:noWrap/>
          </w:tcPr>
          <w:p w14:paraId="635FA7D0" w14:textId="77777777" w:rsidR="007A1942" w:rsidRPr="006E2E9C" w:rsidRDefault="007A1942" w:rsidP="006E2E9C">
            <w:pPr>
              <w:pStyle w:val="TableText"/>
            </w:pPr>
            <w:r w:rsidRPr="006E2E9C">
              <w:t>Tree nuts</w:t>
            </w:r>
          </w:p>
        </w:tc>
        <w:tc>
          <w:tcPr>
            <w:tcW w:w="502" w:type="pct"/>
            <w:tcBorders>
              <w:top w:val="single" w:sz="4" w:space="0" w:color="auto"/>
              <w:bottom w:val="single" w:sz="4" w:space="0" w:color="auto"/>
            </w:tcBorders>
            <w:noWrap/>
          </w:tcPr>
          <w:p w14:paraId="67B5B379"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40B30BCA" w14:textId="77777777" w:rsidR="007A1942" w:rsidRPr="006E2E9C" w:rsidRDefault="007A1942" w:rsidP="006E2E9C">
            <w:pPr>
              <w:pStyle w:val="TableText"/>
            </w:pPr>
            <w:r w:rsidRPr="006E2E9C">
              <w:t>*0.05</w:t>
            </w:r>
          </w:p>
        </w:tc>
      </w:tr>
      <w:tr w:rsidR="006E2E9C" w:rsidRPr="00EC50D6" w14:paraId="254A20DB" w14:textId="77777777" w:rsidTr="00DE4AD4">
        <w:trPr>
          <w:cantSplit/>
        </w:trPr>
        <w:tc>
          <w:tcPr>
            <w:tcW w:w="811" w:type="pct"/>
            <w:tcBorders>
              <w:top w:val="single" w:sz="4" w:space="0" w:color="auto"/>
              <w:bottom w:val="single" w:sz="4" w:space="0" w:color="auto"/>
            </w:tcBorders>
            <w:noWrap/>
          </w:tcPr>
          <w:p w14:paraId="0EA7FDEE" w14:textId="77777777" w:rsidR="006E2E9C" w:rsidRPr="006E2E9C" w:rsidRDefault="006E2E9C" w:rsidP="006E2E9C">
            <w:pPr>
              <w:pStyle w:val="TableText"/>
            </w:pPr>
            <w:r w:rsidRPr="006E2E9C">
              <w:t>GC 0653</w:t>
            </w:r>
          </w:p>
        </w:tc>
        <w:tc>
          <w:tcPr>
            <w:tcW w:w="2646" w:type="pct"/>
            <w:tcBorders>
              <w:top w:val="single" w:sz="4" w:space="0" w:color="auto"/>
              <w:bottom w:val="single" w:sz="4" w:space="0" w:color="auto"/>
            </w:tcBorders>
            <w:noWrap/>
          </w:tcPr>
          <w:p w14:paraId="5DC541EA" w14:textId="77777777" w:rsidR="006E2E9C" w:rsidRPr="006E2E9C" w:rsidRDefault="006E2E9C" w:rsidP="006E2E9C">
            <w:pPr>
              <w:pStyle w:val="TableText"/>
            </w:pPr>
            <w:r w:rsidRPr="006E2E9C">
              <w:t>Triticale</w:t>
            </w:r>
          </w:p>
        </w:tc>
        <w:tc>
          <w:tcPr>
            <w:tcW w:w="502" w:type="pct"/>
            <w:tcBorders>
              <w:top w:val="single" w:sz="4" w:space="0" w:color="auto"/>
              <w:bottom w:val="single" w:sz="4" w:space="0" w:color="auto"/>
            </w:tcBorders>
            <w:noWrap/>
          </w:tcPr>
          <w:p w14:paraId="737E9F85" w14:textId="77777777" w:rsidR="006E2E9C" w:rsidRPr="006E2E9C" w:rsidRDefault="006E2E9C" w:rsidP="006E2E9C">
            <w:pPr>
              <w:pStyle w:val="TableText"/>
            </w:pPr>
            <w:r w:rsidRPr="006E2E9C">
              <w:t>2</w:t>
            </w:r>
          </w:p>
        </w:tc>
        <w:tc>
          <w:tcPr>
            <w:tcW w:w="1041" w:type="pct"/>
            <w:tcBorders>
              <w:top w:val="single" w:sz="4" w:space="0" w:color="auto"/>
              <w:bottom w:val="single" w:sz="4" w:space="0" w:color="auto"/>
            </w:tcBorders>
          </w:tcPr>
          <w:p w14:paraId="5BBAB8A3" w14:textId="77777777" w:rsidR="006E2E9C" w:rsidRPr="006E2E9C" w:rsidRDefault="006E2E9C" w:rsidP="006E2E9C">
            <w:pPr>
              <w:pStyle w:val="TableText"/>
            </w:pPr>
            <w:r w:rsidRPr="006E2E9C">
              <w:t>2</w:t>
            </w:r>
          </w:p>
        </w:tc>
      </w:tr>
      <w:tr w:rsidR="006E2E9C" w:rsidRPr="00EC50D6" w14:paraId="5D837451" w14:textId="77777777" w:rsidTr="00DE4AD4">
        <w:trPr>
          <w:cantSplit/>
        </w:trPr>
        <w:tc>
          <w:tcPr>
            <w:tcW w:w="811" w:type="pct"/>
            <w:tcBorders>
              <w:bottom w:val="single" w:sz="4" w:space="0" w:color="auto"/>
            </w:tcBorders>
            <w:noWrap/>
          </w:tcPr>
          <w:p w14:paraId="27DB2AA8" w14:textId="77777777" w:rsidR="006E2E9C" w:rsidRPr="006E2E9C" w:rsidRDefault="006E2E9C" w:rsidP="006E2E9C">
            <w:pPr>
              <w:pStyle w:val="TableText"/>
            </w:pPr>
          </w:p>
        </w:tc>
        <w:tc>
          <w:tcPr>
            <w:tcW w:w="2646" w:type="pct"/>
            <w:tcBorders>
              <w:top w:val="single" w:sz="4" w:space="0" w:color="auto"/>
              <w:bottom w:val="single" w:sz="4" w:space="0" w:color="auto"/>
            </w:tcBorders>
            <w:noWrap/>
          </w:tcPr>
          <w:p w14:paraId="1E00323F" w14:textId="77777777" w:rsidR="006E2E9C" w:rsidRPr="006E2E9C" w:rsidRDefault="006E2E9C" w:rsidP="006E2E9C">
            <w:pPr>
              <w:pStyle w:val="TableText"/>
            </w:pPr>
            <w:r w:rsidRPr="006E2E9C">
              <w:t>Vegetables [except beans; broad bean; lupin (dry);</w:t>
            </w:r>
          </w:p>
          <w:p w14:paraId="08944BBE" w14:textId="77777777" w:rsidR="006E2E9C" w:rsidRPr="006E2E9C" w:rsidRDefault="006E2E9C" w:rsidP="006E2E9C">
            <w:pPr>
              <w:pStyle w:val="TableText"/>
            </w:pPr>
            <w:r w:rsidRPr="006E2E9C">
              <w:t>onion, bulb; peas; potato; soya bean (dry); sugar beet]</w:t>
            </w:r>
          </w:p>
        </w:tc>
        <w:tc>
          <w:tcPr>
            <w:tcW w:w="502" w:type="pct"/>
            <w:tcBorders>
              <w:top w:val="single" w:sz="4" w:space="0" w:color="auto"/>
              <w:bottom w:val="single" w:sz="4" w:space="0" w:color="auto"/>
            </w:tcBorders>
            <w:noWrap/>
          </w:tcPr>
          <w:p w14:paraId="3C2A7BFC" w14:textId="77777777" w:rsidR="006E2E9C" w:rsidRPr="006E2E9C" w:rsidRDefault="006E2E9C" w:rsidP="006E2E9C">
            <w:pPr>
              <w:pStyle w:val="TableText"/>
            </w:pPr>
            <w:r w:rsidRPr="006E2E9C">
              <w:t>*0.05</w:t>
            </w:r>
          </w:p>
        </w:tc>
        <w:tc>
          <w:tcPr>
            <w:tcW w:w="1041" w:type="pct"/>
            <w:tcBorders>
              <w:top w:val="single" w:sz="4" w:space="0" w:color="auto"/>
              <w:bottom w:val="single" w:sz="4" w:space="0" w:color="auto"/>
            </w:tcBorders>
          </w:tcPr>
          <w:p w14:paraId="44E342B8" w14:textId="77777777" w:rsidR="006E2E9C" w:rsidRPr="006E2E9C" w:rsidRDefault="006E2E9C" w:rsidP="006E2E9C">
            <w:pPr>
              <w:pStyle w:val="TableText"/>
            </w:pPr>
            <w:r w:rsidRPr="006E2E9C">
              <w:t>Delete</w:t>
            </w:r>
          </w:p>
        </w:tc>
      </w:tr>
      <w:tr w:rsidR="007A1942" w:rsidRPr="00EC50D6" w14:paraId="221019FE" w14:textId="77777777" w:rsidTr="00DE4AD4">
        <w:trPr>
          <w:cantSplit/>
        </w:trPr>
        <w:tc>
          <w:tcPr>
            <w:tcW w:w="811" w:type="pct"/>
            <w:tcBorders>
              <w:top w:val="single" w:sz="4" w:space="0" w:color="auto"/>
              <w:bottom w:val="single" w:sz="4" w:space="0" w:color="auto"/>
            </w:tcBorders>
            <w:noWrap/>
          </w:tcPr>
          <w:p w14:paraId="171241B6" w14:textId="77777777" w:rsidR="007A1942" w:rsidRPr="006E2E9C" w:rsidRDefault="007A1942" w:rsidP="006E2E9C">
            <w:pPr>
              <w:pStyle w:val="TableText"/>
            </w:pPr>
            <w:r w:rsidRPr="006E2E9C">
              <w:t>OC 0172</w:t>
            </w:r>
          </w:p>
        </w:tc>
        <w:tc>
          <w:tcPr>
            <w:tcW w:w="2646" w:type="pct"/>
            <w:tcBorders>
              <w:top w:val="single" w:sz="4" w:space="0" w:color="auto"/>
              <w:bottom w:val="single" w:sz="4" w:space="0" w:color="auto"/>
            </w:tcBorders>
            <w:noWrap/>
          </w:tcPr>
          <w:p w14:paraId="326FA761" w14:textId="77777777" w:rsidR="007A1942" w:rsidRPr="006E2E9C" w:rsidRDefault="007A1942" w:rsidP="006E2E9C">
            <w:pPr>
              <w:pStyle w:val="TableText"/>
            </w:pPr>
            <w:r w:rsidRPr="006E2E9C">
              <w:t>Vegetable oils, crude</w:t>
            </w:r>
          </w:p>
        </w:tc>
        <w:tc>
          <w:tcPr>
            <w:tcW w:w="502" w:type="pct"/>
            <w:tcBorders>
              <w:top w:val="single" w:sz="4" w:space="0" w:color="auto"/>
              <w:bottom w:val="single" w:sz="4" w:space="0" w:color="auto"/>
            </w:tcBorders>
            <w:noWrap/>
          </w:tcPr>
          <w:p w14:paraId="0074F9ED"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22A4A9BA" w14:textId="77777777" w:rsidR="007A1942" w:rsidRPr="006E2E9C" w:rsidRDefault="007A1942" w:rsidP="006E2E9C">
            <w:pPr>
              <w:pStyle w:val="TableText"/>
            </w:pPr>
            <w:r w:rsidRPr="006E2E9C">
              <w:t>Delete</w:t>
            </w:r>
          </w:p>
        </w:tc>
      </w:tr>
      <w:tr w:rsidR="007A1942" w:rsidRPr="00EC50D6" w14:paraId="23B7BB01" w14:textId="77777777" w:rsidTr="00DE4AD4">
        <w:trPr>
          <w:cantSplit/>
        </w:trPr>
        <w:tc>
          <w:tcPr>
            <w:tcW w:w="811" w:type="pct"/>
            <w:tcBorders>
              <w:top w:val="single" w:sz="4" w:space="0" w:color="auto"/>
              <w:bottom w:val="single" w:sz="4" w:space="0" w:color="auto"/>
            </w:tcBorders>
            <w:noWrap/>
          </w:tcPr>
          <w:p w14:paraId="5EC1E6F2" w14:textId="77777777" w:rsidR="007A1942" w:rsidRPr="006E2E9C" w:rsidRDefault="007A1942" w:rsidP="006E2E9C">
            <w:pPr>
              <w:pStyle w:val="TableText"/>
            </w:pPr>
            <w:r w:rsidRPr="006E2E9C">
              <w:t>OR 0172</w:t>
            </w:r>
          </w:p>
        </w:tc>
        <w:tc>
          <w:tcPr>
            <w:tcW w:w="2646" w:type="pct"/>
            <w:tcBorders>
              <w:top w:val="single" w:sz="4" w:space="0" w:color="auto"/>
              <w:bottom w:val="single" w:sz="4" w:space="0" w:color="auto"/>
            </w:tcBorders>
            <w:noWrap/>
          </w:tcPr>
          <w:p w14:paraId="4FC5C6EA" w14:textId="77777777" w:rsidR="007A1942" w:rsidRPr="006E2E9C" w:rsidRDefault="007A1942" w:rsidP="006E2E9C">
            <w:pPr>
              <w:pStyle w:val="TableText"/>
            </w:pPr>
            <w:r w:rsidRPr="006E2E9C">
              <w:t>Vegetable oil, edible</w:t>
            </w:r>
          </w:p>
        </w:tc>
        <w:tc>
          <w:tcPr>
            <w:tcW w:w="502" w:type="pct"/>
            <w:tcBorders>
              <w:top w:val="single" w:sz="4" w:space="0" w:color="auto"/>
              <w:bottom w:val="single" w:sz="4" w:space="0" w:color="auto"/>
            </w:tcBorders>
            <w:noWrap/>
          </w:tcPr>
          <w:p w14:paraId="716CDDDD" w14:textId="3778B478" w:rsidR="007A1942" w:rsidRPr="006E2E9C" w:rsidRDefault="006E2E9C" w:rsidP="006E2E9C">
            <w:pPr>
              <w:pStyle w:val="TableText"/>
            </w:pPr>
            <w:r>
              <w:t>–</w:t>
            </w:r>
          </w:p>
        </w:tc>
        <w:tc>
          <w:tcPr>
            <w:tcW w:w="1041" w:type="pct"/>
            <w:tcBorders>
              <w:top w:val="single" w:sz="4" w:space="0" w:color="auto"/>
              <w:bottom w:val="single" w:sz="4" w:space="0" w:color="auto"/>
            </w:tcBorders>
          </w:tcPr>
          <w:p w14:paraId="788865D6" w14:textId="77777777" w:rsidR="007A1942" w:rsidRPr="006E2E9C" w:rsidRDefault="007A1942" w:rsidP="006E2E9C">
            <w:pPr>
              <w:pStyle w:val="TableText"/>
            </w:pPr>
            <w:r w:rsidRPr="006E2E9C">
              <w:t>*0.01</w:t>
            </w:r>
          </w:p>
        </w:tc>
      </w:tr>
      <w:tr w:rsidR="007A1942" w:rsidRPr="00EC50D6" w14:paraId="606A4A54" w14:textId="77777777" w:rsidTr="00DE4AD4">
        <w:trPr>
          <w:cantSplit/>
        </w:trPr>
        <w:tc>
          <w:tcPr>
            <w:tcW w:w="811" w:type="pct"/>
            <w:tcBorders>
              <w:top w:val="single" w:sz="4" w:space="0" w:color="auto"/>
              <w:bottom w:val="single" w:sz="4" w:space="0" w:color="auto"/>
            </w:tcBorders>
            <w:noWrap/>
          </w:tcPr>
          <w:p w14:paraId="5A8DDD5E" w14:textId="77777777" w:rsidR="007A1942" w:rsidRPr="006E2E9C" w:rsidRDefault="007A1942" w:rsidP="006E2E9C">
            <w:pPr>
              <w:pStyle w:val="TableText"/>
            </w:pPr>
            <w:r w:rsidRPr="006E2E9C">
              <w:t>GC 0654</w:t>
            </w:r>
          </w:p>
        </w:tc>
        <w:tc>
          <w:tcPr>
            <w:tcW w:w="2646" w:type="pct"/>
            <w:tcBorders>
              <w:top w:val="single" w:sz="4" w:space="0" w:color="auto"/>
              <w:bottom w:val="single" w:sz="4" w:space="0" w:color="auto"/>
            </w:tcBorders>
            <w:noWrap/>
          </w:tcPr>
          <w:p w14:paraId="0F724E58" w14:textId="77777777" w:rsidR="007A1942" w:rsidRPr="006E2E9C" w:rsidRDefault="007A1942" w:rsidP="006E2E9C">
            <w:pPr>
              <w:pStyle w:val="TableText"/>
            </w:pPr>
            <w:r w:rsidRPr="006E2E9C">
              <w:t>Wheat</w:t>
            </w:r>
          </w:p>
        </w:tc>
        <w:tc>
          <w:tcPr>
            <w:tcW w:w="502" w:type="pct"/>
            <w:tcBorders>
              <w:top w:val="single" w:sz="4" w:space="0" w:color="auto"/>
              <w:bottom w:val="single" w:sz="4" w:space="0" w:color="auto"/>
            </w:tcBorders>
            <w:noWrap/>
          </w:tcPr>
          <w:p w14:paraId="2F344EBA"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04BCF75C" w14:textId="77777777" w:rsidR="007A1942" w:rsidRPr="006E2E9C" w:rsidRDefault="007A1942" w:rsidP="006E2E9C">
            <w:pPr>
              <w:pStyle w:val="TableText"/>
            </w:pPr>
            <w:r w:rsidRPr="006E2E9C">
              <w:t>2</w:t>
            </w:r>
          </w:p>
        </w:tc>
      </w:tr>
    </w:tbl>
    <w:p w14:paraId="1EC2FF91" w14:textId="6A598196" w:rsidR="007A1942" w:rsidRPr="000179FF" w:rsidRDefault="00094940" w:rsidP="000179FF">
      <w:pPr>
        <w:pStyle w:val="Caption"/>
      </w:pPr>
      <w:bookmarkStart w:id="343" w:name="_Ref170201838"/>
      <w:bookmarkStart w:id="344" w:name="_Toc232589615"/>
      <w:bookmarkStart w:id="345" w:name="_Hlk158368144"/>
      <w:r w:rsidRPr="000179FF">
        <w:t xml:space="preserve">Table </w:t>
      </w:r>
      <w:fldSimple w:instr=" SEQ Table \* ARABIC ">
        <w:r w:rsidR="000179FF">
          <w:rPr>
            <w:noProof/>
          </w:rPr>
          <w:t>20</w:t>
        </w:r>
      </w:fldSimple>
      <w:bookmarkEnd w:id="343"/>
      <w:r w:rsidRPr="000179FF">
        <w:t xml:space="preserve">: </w:t>
      </w:r>
      <w:r w:rsidR="007A1942" w:rsidRPr="000179FF">
        <w:t>Amendments to Table 4 of the MRL Standard</w:t>
      </w:r>
      <w:bookmarkEnd w:id="344"/>
    </w:p>
    <w:tbl>
      <w:tblPr>
        <w:tblW w:w="5000" w:type="pct"/>
        <w:tblLook w:val="01E0" w:firstRow="1" w:lastRow="1" w:firstColumn="1" w:lastColumn="1" w:noHBand="0" w:noVBand="0"/>
      </w:tblPr>
      <w:tblGrid>
        <w:gridCol w:w="1996"/>
        <w:gridCol w:w="4758"/>
        <w:gridCol w:w="1539"/>
        <w:gridCol w:w="1561"/>
      </w:tblGrid>
      <w:tr w:rsidR="007A1942" w:rsidRPr="005C4425" w14:paraId="73F6E85B" w14:textId="77777777" w:rsidTr="00DE4AD4">
        <w:trPr>
          <w:tblHeader/>
        </w:trPr>
        <w:tc>
          <w:tcPr>
            <w:tcW w:w="1013" w:type="pct"/>
            <w:tcBorders>
              <w:top w:val="single" w:sz="4" w:space="0" w:color="auto"/>
              <w:bottom w:val="single" w:sz="4" w:space="0" w:color="auto"/>
            </w:tcBorders>
            <w:shd w:val="clear" w:color="auto" w:fill="5C2946"/>
          </w:tcPr>
          <w:p w14:paraId="39D314F9" w14:textId="77777777" w:rsidR="007A1942" w:rsidRPr="005C4425" w:rsidRDefault="007A1942" w:rsidP="00D251AB">
            <w:pPr>
              <w:pStyle w:val="TableHead"/>
              <w:rPr>
                <w:lang w:val="en-US"/>
              </w:rPr>
            </w:pPr>
            <w:r>
              <w:rPr>
                <w:lang w:val="en-US"/>
              </w:rPr>
              <w:t>Code</w:t>
            </w:r>
          </w:p>
        </w:tc>
        <w:tc>
          <w:tcPr>
            <w:tcW w:w="2414" w:type="pct"/>
            <w:tcBorders>
              <w:top w:val="single" w:sz="4" w:space="0" w:color="auto"/>
              <w:bottom w:val="single" w:sz="4" w:space="0" w:color="auto"/>
            </w:tcBorders>
            <w:shd w:val="clear" w:color="auto" w:fill="5C2946"/>
          </w:tcPr>
          <w:p w14:paraId="71D8703E" w14:textId="77777777" w:rsidR="007A1942" w:rsidRPr="005C4425" w:rsidRDefault="007A1942" w:rsidP="00D251AB">
            <w:pPr>
              <w:pStyle w:val="TableHead"/>
              <w:rPr>
                <w:lang w:val="en-US"/>
              </w:rPr>
            </w:pPr>
            <w:r>
              <w:rPr>
                <w:lang w:val="en-US"/>
              </w:rPr>
              <w:t>Animal feed commodity</w:t>
            </w:r>
          </w:p>
        </w:tc>
        <w:tc>
          <w:tcPr>
            <w:tcW w:w="781" w:type="pct"/>
            <w:tcBorders>
              <w:top w:val="single" w:sz="4" w:space="0" w:color="auto"/>
              <w:bottom w:val="single" w:sz="4" w:space="0" w:color="auto"/>
            </w:tcBorders>
            <w:shd w:val="clear" w:color="auto" w:fill="5C2946"/>
          </w:tcPr>
          <w:p w14:paraId="1756E7EC" w14:textId="77777777" w:rsidR="007A1942" w:rsidRPr="005C4425" w:rsidRDefault="007A1942" w:rsidP="00D251AB">
            <w:pPr>
              <w:pStyle w:val="TableHead"/>
            </w:pPr>
            <w:r>
              <w:t>Current MRL</w:t>
            </w:r>
          </w:p>
        </w:tc>
        <w:tc>
          <w:tcPr>
            <w:tcW w:w="792" w:type="pct"/>
            <w:tcBorders>
              <w:top w:val="single" w:sz="4" w:space="0" w:color="auto"/>
              <w:bottom w:val="single" w:sz="4" w:space="0" w:color="auto"/>
            </w:tcBorders>
            <w:shd w:val="clear" w:color="auto" w:fill="5C2946"/>
          </w:tcPr>
          <w:p w14:paraId="7C0C03B3" w14:textId="77777777" w:rsidR="007A1942" w:rsidRPr="005C4425" w:rsidRDefault="007A1942" w:rsidP="00D251AB">
            <w:pPr>
              <w:pStyle w:val="TableHead"/>
            </w:pPr>
            <w:r>
              <w:t>Recommended MRL</w:t>
            </w:r>
          </w:p>
        </w:tc>
      </w:tr>
      <w:tr w:rsidR="00D251AB" w:rsidRPr="005C4425" w14:paraId="3AA197E8" w14:textId="77777777" w:rsidTr="00DE4AD4">
        <w:tc>
          <w:tcPr>
            <w:tcW w:w="1013" w:type="pct"/>
            <w:tcBorders>
              <w:top w:val="single" w:sz="4" w:space="0" w:color="auto"/>
              <w:bottom w:val="single" w:sz="4" w:space="0" w:color="auto"/>
            </w:tcBorders>
            <w:hideMark/>
          </w:tcPr>
          <w:p w14:paraId="623CCE7D" w14:textId="77777777" w:rsidR="00D251AB" w:rsidRPr="00D251AB" w:rsidRDefault="00D251AB" w:rsidP="00D251AB">
            <w:pPr>
              <w:pStyle w:val="TableText"/>
            </w:pPr>
            <w:r w:rsidRPr="00D251AB">
              <w:t>AL 0157</w:t>
            </w:r>
          </w:p>
        </w:tc>
        <w:tc>
          <w:tcPr>
            <w:tcW w:w="2414" w:type="pct"/>
            <w:tcBorders>
              <w:top w:val="single" w:sz="4" w:space="0" w:color="auto"/>
              <w:bottom w:val="single" w:sz="4" w:space="0" w:color="auto"/>
            </w:tcBorders>
            <w:hideMark/>
          </w:tcPr>
          <w:p w14:paraId="51CA6CBF" w14:textId="77777777" w:rsidR="00D251AB" w:rsidRPr="00D251AB" w:rsidRDefault="00D251AB" w:rsidP="00D251AB">
            <w:pPr>
              <w:pStyle w:val="TableText"/>
            </w:pPr>
            <w:r w:rsidRPr="00D251AB">
              <w:t>Legume animal feeds</w:t>
            </w:r>
          </w:p>
        </w:tc>
        <w:tc>
          <w:tcPr>
            <w:tcW w:w="781" w:type="pct"/>
            <w:tcBorders>
              <w:top w:val="single" w:sz="4" w:space="0" w:color="auto"/>
              <w:bottom w:val="single" w:sz="4" w:space="0" w:color="auto"/>
            </w:tcBorders>
            <w:hideMark/>
          </w:tcPr>
          <w:p w14:paraId="5DBAC555" w14:textId="77777777" w:rsidR="00D251AB" w:rsidRPr="00D251AB" w:rsidRDefault="00D251AB" w:rsidP="00D251AB">
            <w:pPr>
              <w:pStyle w:val="TableText"/>
            </w:pPr>
            <w:r w:rsidRPr="00D251AB">
              <w:t>100</w:t>
            </w:r>
          </w:p>
        </w:tc>
        <w:tc>
          <w:tcPr>
            <w:tcW w:w="792" w:type="pct"/>
            <w:tcBorders>
              <w:top w:val="single" w:sz="4" w:space="0" w:color="auto"/>
              <w:bottom w:val="single" w:sz="4" w:space="0" w:color="auto"/>
            </w:tcBorders>
          </w:tcPr>
          <w:p w14:paraId="613147EF" w14:textId="77777777" w:rsidR="00D251AB" w:rsidRPr="00D251AB" w:rsidRDefault="00D251AB" w:rsidP="00D251AB">
            <w:pPr>
              <w:pStyle w:val="TableText"/>
            </w:pPr>
            <w:r w:rsidRPr="00D251AB">
              <w:t>100</w:t>
            </w:r>
          </w:p>
        </w:tc>
      </w:tr>
      <w:tr w:rsidR="00D251AB" w:rsidRPr="005C4425" w14:paraId="19582BA2" w14:textId="77777777" w:rsidTr="00DE4AD4">
        <w:tc>
          <w:tcPr>
            <w:tcW w:w="1013" w:type="pct"/>
            <w:tcBorders>
              <w:bottom w:val="single" w:sz="4" w:space="0" w:color="auto"/>
            </w:tcBorders>
          </w:tcPr>
          <w:p w14:paraId="644D7153" w14:textId="77777777" w:rsidR="00D251AB" w:rsidRPr="00D251AB" w:rsidRDefault="00D251AB" w:rsidP="00D251AB">
            <w:pPr>
              <w:pStyle w:val="TableText"/>
            </w:pPr>
          </w:p>
        </w:tc>
        <w:tc>
          <w:tcPr>
            <w:tcW w:w="2414" w:type="pct"/>
            <w:tcBorders>
              <w:top w:val="single" w:sz="4" w:space="0" w:color="auto"/>
              <w:bottom w:val="single" w:sz="4" w:space="0" w:color="auto"/>
            </w:tcBorders>
            <w:hideMark/>
          </w:tcPr>
          <w:p w14:paraId="0A017963" w14:textId="77777777" w:rsidR="00D251AB" w:rsidRPr="00D251AB" w:rsidRDefault="00D251AB" w:rsidP="00D251AB">
            <w:pPr>
              <w:pStyle w:val="TableText"/>
            </w:pPr>
            <w:r w:rsidRPr="00D251AB">
              <w:t>Oilseed forage and fodder</w:t>
            </w:r>
          </w:p>
        </w:tc>
        <w:tc>
          <w:tcPr>
            <w:tcW w:w="781" w:type="pct"/>
            <w:tcBorders>
              <w:top w:val="single" w:sz="4" w:space="0" w:color="auto"/>
              <w:bottom w:val="single" w:sz="4" w:space="0" w:color="auto"/>
            </w:tcBorders>
            <w:hideMark/>
          </w:tcPr>
          <w:p w14:paraId="759A8495" w14:textId="77777777" w:rsidR="00D251AB" w:rsidRPr="00D251AB" w:rsidRDefault="00D251AB" w:rsidP="00D251AB">
            <w:pPr>
              <w:pStyle w:val="TableText"/>
            </w:pPr>
            <w:r w:rsidRPr="00D251AB">
              <w:t>30</w:t>
            </w:r>
          </w:p>
        </w:tc>
        <w:tc>
          <w:tcPr>
            <w:tcW w:w="792" w:type="pct"/>
            <w:tcBorders>
              <w:top w:val="single" w:sz="4" w:space="0" w:color="auto"/>
              <w:bottom w:val="single" w:sz="4" w:space="0" w:color="auto"/>
            </w:tcBorders>
          </w:tcPr>
          <w:p w14:paraId="43DD3C1E" w14:textId="77777777" w:rsidR="00D251AB" w:rsidRPr="00D251AB" w:rsidRDefault="00D251AB" w:rsidP="00D251AB">
            <w:pPr>
              <w:pStyle w:val="TableText"/>
            </w:pPr>
            <w:r w:rsidRPr="00D251AB">
              <w:t>30</w:t>
            </w:r>
          </w:p>
        </w:tc>
      </w:tr>
      <w:tr w:rsidR="00D251AB" w:rsidRPr="005C4425" w14:paraId="0926CF60" w14:textId="77777777" w:rsidTr="00DE4AD4">
        <w:tc>
          <w:tcPr>
            <w:tcW w:w="1013" w:type="pct"/>
            <w:tcBorders>
              <w:top w:val="single" w:sz="4" w:space="0" w:color="auto"/>
              <w:bottom w:val="single" w:sz="4" w:space="0" w:color="auto"/>
            </w:tcBorders>
          </w:tcPr>
          <w:p w14:paraId="668EAC6F" w14:textId="77777777" w:rsidR="00D251AB" w:rsidRPr="00D251AB" w:rsidRDefault="00D251AB" w:rsidP="00D251AB">
            <w:pPr>
              <w:pStyle w:val="TableText"/>
            </w:pPr>
            <w:r w:rsidRPr="00D251AB">
              <w:t>AF 0161</w:t>
            </w:r>
          </w:p>
        </w:tc>
        <w:tc>
          <w:tcPr>
            <w:tcW w:w="2414" w:type="pct"/>
            <w:tcBorders>
              <w:top w:val="single" w:sz="4" w:space="0" w:color="auto"/>
              <w:bottom w:val="single" w:sz="4" w:space="0" w:color="auto"/>
            </w:tcBorders>
          </w:tcPr>
          <w:p w14:paraId="0A79FC37" w14:textId="77777777" w:rsidR="00D251AB" w:rsidRPr="00D251AB" w:rsidRDefault="00D251AB" w:rsidP="00D251AB">
            <w:pPr>
              <w:pStyle w:val="TableText"/>
            </w:pPr>
            <w:r w:rsidRPr="00D251AB">
              <w:t>Forage of cereal grains and other grass-like plants</w:t>
            </w:r>
          </w:p>
        </w:tc>
        <w:tc>
          <w:tcPr>
            <w:tcW w:w="781" w:type="pct"/>
            <w:tcBorders>
              <w:top w:val="single" w:sz="4" w:space="0" w:color="auto"/>
              <w:bottom w:val="single" w:sz="4" w:space="0" w:color="auto"/>
            </w:tcBorders>
          </w:tcPr>
          <w:p w14:paraId="04CD6DF3" w14:textId="43433F38" w:rsidR="00D251AB" w:rsidRPr="00D251AB" w:rsidRDefault="00D251AB" w:rsidP="00D251AB">
            <w:pPr>
              <w:pStyle w:val="TableText"/>
            </w:pPr>
            <w:r w:rsidRPr="00B02FAB">
              <w:t>–</w:t>
            </w:r>
          </w:p>
        </w:tc>
        <w:tc>
          <w:tcPr>
            <w:tcW w:w="792" w:type="pct"/>
            <w:tcBorders>
              <w:top w:val="single" w:sz="4" w:space="0" w:color="auto"/>
              <w:bottom w:val="single" w:sz="4" w:space="0" w:color="auto"/>
            </w:tcBorders>
          </w:tcPr>
          <w:p w14:paraId="57FFBDF2" w14:textId="77777777" w:rsidR="00D251AB" w:rsidRPr="00D251AB" w:rsidRDefault="00D251AB" w:rsidP="00D251AB">
            <w:pPr>
              <w:pStyle w:val="TableText"/>
            </w:pPr>
            <w:r w:rsidRPr="00D251AB">
              <w:t>100</w:t>
            </w:r>
          </w:p>
        </w:tc>
      </w:tr>
      <w:tr w:rsidR="00D251AB" w:rsidRPr="005C4425" w14:paraId="6E55BFEB" w14:textId="77777777" w:rsidTr="00DE4AD4">
        <w:tc>
          <w:tcPr>
            <w:tcW w:w="1013" w:type="pct"/>
            <w:tcBorders>
              <w:top w:val="single" w:sz="4" w:space="0" w:color="auto"/>
              <w:bottom w:val="single" w:sz="4" w:space="0" w:color="auto"/>
            </w:tcBorders>
          </w:tcPr>
          <w:p w14:paraId="30EE3CEA" w14:textId="77777777" w:rsidR="00D251AB" w:rsidRPr="00D251AB" w:rsidRDefault="00D251AB" w:rsidP="00D251AB">
            <w:pPr>
              <w:pStyle w:val="TableText"/>
            </w:pPr>
            <w:r w:rsidRPr="00D251AB">
              <w:t>AS 0161</w:t>
            </w:r>
          </w:p>
        </w:tc>
        <w:tc>
          <w:tcPr>
            <w:tcW w:w="2414" w:type="pct"/>
            <w:tcBorders>
              <w:top w:val="single" w:sz="4" w:space="0" w:color="auto"/>
              <w:bottom w:val="single" w:sz="4" w:space="0" w:color="auto"/>
            </w:tcBorders>
          </w:tcPr>
          <w:p w14:paraId="3EA3A8D6" w14:textId="77777777" w:rsidR="00D251AB" w:rsidRPr="00D251AB" w:rsidRDefault="00D251AB" w:rsidP="00D251AB">
            <w:pPr>
              <w:pStyle w:val="TableText"/>
            </w:pPr>
            <w:r w:rsidRPr="00D251AB">
              <w:t>Straw and fodder (dry) and hay of cereal grains and other grass like plants</w:t>
            </w:r>
          </w:p>
        </w:tc>
        <w:tc>
          <w:tcPr>
            <w:tcW w:w="781" w:type="pct"/>
            <w:tcBorders>
              <w:top w:val="single" w:sz="4" w:space="0" w:color="auto"/>
              <w:bottom w:val="single" w:sz="4" w:space="0" w:color="auto"/>
            </w:tcBorders>
          </w:tcPr>
          <w:p w14:paraId="2790ECB1" w14:textId="0C9FD8A9" w:rsidR="00D251AB" w:rsidRPr="00D251AB" w:rsidRDefault="00D251AB" w:rsidP="00D251AB">
            <w:pPr>
              <w:pStyle w:val="TableText"/>
            </w:pPr>
            <w:r w:rsidRPr="00B02FAB">
              <w:t>–</w:t>
            </w:r>
          </w:p>
        </w:tc>
        <w:tc>
          <w:tcPr>
            <w:tcW w:w="792" w:type="pct"/>
            <w:tcBorders>
              <w:top w:val="single" w:sz="4" w:space="0" w:color="auto"/>
              <w:bottom w:val="single" w:sz="4" w:space="0" w:color="auto"/>
            </w:tcBorders>
          </w:tcPr>
          <w:p w14:paraId="7DD4F8B2" w14:textId="77777777" w:rsidR="00D251AB" w:rsidRPr="00D251AB" w:rsidRDefault="00D251AB" w:rsidP="00D251AB">
            <w:pPr>
              <w:pStyle w:val="TableText"/>
            </w:pPr>
            <w:r w:rsidRPr="00D251AB">
              <w:t>100</w:t>
            </w:r>
          </w:p>
        </w:tc>
      </w:tr>
    </w:tbl>
    <w:p w14:paraId="4D6A8DAE" w14:textId="6D93ACA5" w:rsidR="007A1942" w:rsidRPr="00B54B09" w:rsidRDefault="0076271C" w:rsidP="007A1942">
      <w:pPr>
        <w:pStyle w:val="Heading2"/>
      </w:pPr>
      <w:bookmarkStart w:id="346" w:name="_Toc158208465"/>
      <w:bookmarkEnd w:id="329"/>
      <w:bookmarkEnd w:id="345"/>
      <w:r>
        <w:t xml:space="preserve"> </w:t>
      </w:r>
      <w:bookmarkStart w:id="347" w:name="_Toc233039000"/>
      <w:bookmarkEnd w:id="346"/>
      <w:r w:rsidR="00B13070" w:rsidRPr="00B13070">
        <w:t>Consideration of the combined risk assessments</w:t>
      </w:r>
      <w:bookmarkEnd w:id="347"/>
    </w:p>
    <w:p w14:paraId="0BCA2647" w14:textId="32A74E8B" w:rsidR="007A1942" w:rsidRDefault="00867AE9" w:rsidP="006F5E61">
      <w:pPr>
        <w:pStyle w:val="NormalText"/>
      </w:pPr>
      <w:bookmarkStart w:id="348" w:name="_Hlk158368352"/>
      <w:r w:rsidRPr="00B54B09">
        <w:t>The APVMA’s risk assessments for environmental exposure to diquat based on currently approved uses indicate that many of those uses will not continue to be supported</w:t>
      </w:r>
      <w:r w:rsidR="001A5A48">
        <w:t xml:space="preserve"> (See Appendix A)</w:t>
      </w:r>
      <w:r w:rsidRPr="00B54B09">
        <w:t xml:space="preserve">. The uses that are supported </w:t>
      </w:r>
      <w:r w:rsidR="001D3278">
        <w:t xml:space="preserve">by the combined APVMA risk assessment </w:t>
      </w:r>
      <w:r w:rsidRPr="00B54B09">
        <w:t xml:space="preserve">are presented in </w:t>
      </w:r>
      <w:r w:rsidR="00C832EB" w:rsidRPr="00B54B09">
        <w:fldChar w:fldCharType="begin" w:fldLock="1"/>
      </w:r>
      <w:r w:rsidR="00C832EB" w:rsidRPr="00B54B09">
        <w:instrText xml:space="preserve"> REF _Ref166758698 \h </w:instrText>
      </w:r>
      <w:r w:rsidR="00613942" w:rsidRPr="00B54B09">
        <w:instrText xml:space="preserve"> \* MERGEFORMAT </w:instrText>
      </w:r>
      <w:r w:rsidR="00C832EB" w:rsidRPr="00B54B09">
        <w:fldChar w:fldCharType="separate"/>
      </w:r>
      <w:r w:rsidR="0033298E">
        <w:t xml:space="preserve">Table </w:t>
      </w:r>
      <w:r w:rsidR="0033298E">
        <w:rPr>
          <w:noProof/>
        </w:rPr>
        <w:t>21</w:t>
      </w:r>
      <w:r w:rsidR="00C832EB" w:rsidRPr="00B54B09">
        <w:fldChar w:fldCharType="end"/>
      </w:r>
      <w:r w:rsidR="0076271C">
        <w:t xml:space="preserve">. </w:t>
      </w:r>
      <w:r w:rsidR="00C832EB" w:rsidRPr="00B54B09">
        <w:t>These uses are within the application rate range indicated on currently approved labels.</w:t>
      </w:r>
    </w:p>
    <w:p w14:paraId="52A85CCC" w14:textId="119E062A" w:rsidR="00C832EB" w:rsidRPr="000179FF" w:rsidRDefault="00C832EB" w:rsidP="000179FF">
      <w:pPr>
        <w:pStyle w:val="Caption"/>
      </w:pPr>
      <w:bookmarkStart w:id="349" w:name="_Ref166758698"/>
      <w:bookmarkStart w:id="350" w:name="_Toc232589616"/>
      <w:bookmarkStart w:id="351" w:name="_Hlk168306807"/>
      <w:r w:rsidRPr="000179FF">
        <w:t xml:space="preserve">Table </w:t>
      </w:r>
      <w:fldSimple w:instr=" SEQ Table \* ARABIC ">
        <w:r w:rsidR="000179FF">
          <w:rPr>
            <w:noProof/>
          </w:rPr>
          <w:t>21</w:t>
        </w:r>
      </w:fldSimple>
      <w:bookmarkEnd w:id="349"/>
      <w:r w:rsidRPr="000179FF">
        <w:t>: Diquat uses supported by human health, environment, and residues and trade risk assessments</w:t>
      </w:r>
      <w:bookmarkEnd w:id="350"/>
    </w:p>
    <w:tbl>
      <w:tblPr>
        <w:tblW w:w="5000" w:type="pct"/>
        <w:tblCellMar>
          <w:left w:w="0" w:type="dxa"/>
          <w:right w:w="0" w:type="dxa"/>
        </w:tblCellMar>
        <w:tblLook w:val="04A0" w:firstRow="1" w:lastRow="0" w:firstColumn="1" w:lastColumn="0" w:noHBand="0" w:noVBand="1"/>
      </w:tblPr>
      <w:tblGrid>
        <w:gridCol w:w="2457"/>
        <w:gridCol w:w="1734"/>
        <w:gridCol w:w="1864"/>
        <w:gridCol w:w="3743"/>
      </w:tblGrid>
      <w:tr w:rsidR="00867AE9" w14:paraId="665B4CED" w14:textId="77777777" w:rsidTr="00DE4AD4">
        <w:trPr>
          <w:trHeight w:val="657"/>
          <w:tblHeader/>
        </w:trPr>
        <w:tc>
          <w:tcPr>
            <w:tcW w:w="1254" w:type="pct"/>
            <w:tcBorders>
              <w:top w:val="single" w:sz="4" w:space="0" w:color="auto"/>
              <w:bottom w:val="single" w:sz="4" w:space="0" w:color="auto"/>
            </w:tcBorders>
            <w:shd w:val="clear" w:color="auto" w:fill="5C2946"/>
            <w:tcMar>
              <w:top w:w="80" w:type="dxa"/>
              <w:left w:w="80" w:type="dxa"/>
              <w:bottom w:w="80" w:type="dxa"/>
              <w:right w:w="80" w:type="dxa"/>
            </w:tcMar>
          </w:tcPr>
          <w:p w14:paraId="0A540080" w14:textId="2E7E5273" w:rsidR="00867AE9" w:rsidRPr="00D251AB" w:rsidRDefault="00867AE9" w:rsidP="00D251AB">
            <w:pPr>
              <w:pStyle w:val="TableHead"/>
            </w:pPr>
            <w:r w:rsidRPr="00D251AB">
              <w:t xml:space="preserve">Crop </w:t>
            </w:r>
            <w:r w:rsidR="00D251AB">
              <w:t>u</w:t>
            </w:r>
            <w:r w:rsidRPr="00D251AB">
              <w:t xml:space="preserve">se or </w:t>
            </w:r>
            <w:r w:rsidR="00D251AB">
              <w:t>s</w:t>
            </w:r>
            <w:r w:rsidRPr="00D251AB">
              <w:t>ituation</w:t>
            </w:r>
          </w:p>
        </w:tc>
        <w:tc>
          <w:tcPr>
            <w:tcW w:w="885" w:type="pct"/>
            <w:tcBorders>
              <w:top w:val="single" w:sz="4" w:space="0" w:color="auto"/>
              <w:bottom w:val="single" w:sz="4" w:space="0" w:color="auto"/>
            </w:tcBorders>
            <w:shd w:val="clear" w:color="auto" w:fill="5C2946"/>
            <w:tcMar>
              <w:top w:w="80" w:type="dxa"/>
              <w:left w:w="80" w:type="dxa"/>
              <w:bottom w:w="80" w:type="dxa"/>
              <w:right w:w="80" w:type="dxa"/>
            </w:tcMar>
          </w:tcPr>
          <w:p w14:paraId="53A3D2FD" w14:textId="4EA10D6A" w:rsidR="00867AE9" w:rsidRPr="00D251AB" w:rsidRDefault="00867AE9" w:rsidP="00D251AB">
            <w:pPr>
              <w:pStyle w:val="TableHead"/>
            </w:pPr>
            <w:r w:rsidRPr="00D251AB">
              <w:t>Weeds controlled/</w:t>
            </w:r>
            <w:r w:rsidR="00D251AB">
              <w:br/>
              <w:t>u</w:t>
            </w:r>
            <w:r w:rsidRPr="00D251AB">
              <w:t>se</w:t>
            </w:r>
          </w:p>
        </w:tc>
        <w:tc>
          <w:tcPr>
            <w:tcW w:w="951" w:type="pct"/>
            <w:tcBorders>
              <w:top w:val="single" w:sz="4" w:space="0" w:color="auto"/>
              <w:bottom w:val="single" w:sz="4" w:space="0" w:color="auto"/>
            </w:tcBorders>
            <w:shd w:val="clear" w:color="auto" w:fill="5C2946"/>
            <w:tcMar>
              <w:top w:w="80" w:type="dxa"/>
              <w:left w:w="80" w:type="dxa"/>
              <w:bottom w:w="80" w:type="dxa"/>
              <w:right w:w="80" w:type="dxa"/>
            </w:tcMar>
          </w:tcPr>
          <w:p w14:paraId="4EE21F5B" w14:textId="11A384CC" w:rsidR="00867AE9" w:rsidRPr="00D251AB" w:rsidRDefault="00867AE9" w:rsidP="00D251AB">
            <w:pPr>
              <w:pStyle w:val="TableHead"/>
            </w:pPr>
            <w:r w:rsidRPr="00D251AB">
              <w:t xml:space="preserve">Application </w:t>
            </w:r>
            <w:r w:rsidR="00D251AB">
              <w:t>m</w:t>
            </w:r>
            <w:r w:rsidRPr="00D251AB">
              <w:t>ethod</w:t>
            </w:r>
          </w:p>
        </w:tc>
        <w:tc>
          <w:tcPr>
            <w:tcW w:w="1911" w:type="pct"/>
            <w:tcBorders>
              <w:top w:val="single" w:sz="4" w:space="0" w:color="auto"/>
              <w:bottom w:val="single" w:sz="4" w:space="0" w:color="auto"/>
            </w:tcBorders>
            <w:shd w:val="clear" w:color="auto" w:fill="5C2946"/>
            <w:tcMar>
              <w:top w:w="80" w:type="dxa"/>
              <w:left w:w="80" w:type="dxa"/>
              <w:bottom w:w="80" w:type="dxa"/>
              <w:right w:w="80" w:type="dxa"/>
            </w:tcMar>
          </w:tcPr>
          <w:p w14:paraId="53D9D208" w14:textId="65AB2546" w:rsidR="00867AE9" w:rsidRPr="00D251AB" w:rsidRDefault="00867AE9" w:rsidP="00D251AB">
            <w:pPr>
              <w:pStyle w:val="TableHead"/>
            </w:pPr>
            <w:r w:rsidRPr="00D251AB">
              <w:t>Assessment outcome</w:t>
            </w:r>
          </w:p>
        </w:tc>
      </w:tr>
      <w:tr w:rsidR="00D251AB" w14:paraId="6E748F5B"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63955620" w14:textId="77777777" w:rsidR="00D251AB" w:rsidRPr="00000D7A" w:rsidRDefault="00D251AB" w:rsidP="00D251AB">
            <w:pPr>
              <w:pStyle w:val="TableText"/>
            </w:pPr>
            <w:r w:rsidRPr="00867AE9">
              <w:t>Hops</w:t>
            </w:r>
          </w:p>
        </w:tc>
        <w:tc>
          <w:tcPr>
            <w:tcW w:w="885" w:type="pct"/>
            <w:tcBorders>
              <w:top w:val="single" w:sz="4" w:space="0" w:color="auto"/>
              <w:bottom w:val="single" w:sz="4" w:space="0" w:color="auto"/>
            </w:tcBorders>
            <w:tcMar>
              <w:top w:w="80" w:type="dxa"/>
              <w:left w:w="80" w:type="dxa"/>
              <w:bottom w:w="80" w:type="dxa"/>
              <w:right w:w="80" w:type="dxa"/>
            </w:tcMar>
            <w:hideMark/>
          </w:tcPr>
          <w:p w14:paraId="7315ED47" w14:textId="77777777" w:rsidR="00D251AB" w:rsidRPr="00867AE9" w:rsidRDefault="00D251AB" w:rsidP="00D251AB">
            <w:pPr>
              <w:pStyle w:val="TableText"/>
            </w:pPr>
            <w:r w:rsidRPr="00867AE9">
              <w:t>Annual broadleaf and grass weeds</w:t>
            </w:r>
          </w:p>
        </w:tc>
        <w:tc>
          <w:tcPr>
            <w:tcW w:w="951" w:type="pct"/>
            <w:tcBorders>
              <w:top w:val="single" w:sz="4" w:space="0" w:color="auto"/>
              <w:bottom w:val="single" w:sz="4" w:space="0" w:color="auto"/>
            </w:tcBorders>
            <w:tcMar>
              <w:top w:w="80" w:type="dxa"/>
              <w:left w:w="80" w:type="dxa"/>
              <w:bottom w:w="80" w:type="dxa"/>
              <w:right w:w="80" w:type="dxa"/>
            </w:tcMar>
            <w:hideMark/>
          </w:tcPr>
          <w:p w14:paraId="2B3CACF6" w14:textId="77777777" w:rsidR="00D251AB" w:rsidRPr="00867AE9" w:rsidRDefault="00D251AB" w:rsidP="00D251AB">
            <w:pPr>
              <w:pStyle w:val="TableText"/>
            </w:pPr>
            <w:r w:rsidRPr="00867AE9">
              <w:t>Inter-row spray</w:t>
            </w:r>
          </w:p>
        </w:tc>
        <w:tc>
          <w:tcPr>
            <w:tcW w:w="1911" w:type="pct"/>
            <w:tcBorders>
              <w:top w:val="single" w:sz="4" w:space="0" w:color="auto"/>
              <w:bottom w:val="single" w:sz="4" w:space="0" w:color="auto"/>
            </w:tcBorders>
            <w:tcMar>
              <w:top w:w="80" w:type="dxa"/>
              <w:left w:w="80" w:type="dxa"/>
              <w:bottom w:w="80" w:type="dxa"/>
              <w:right w:w="80" w:type="dxa"/>
            </w:tcMar>
            <w:hideMark/>
          </w:tcPr>
          <w:p w14:paraId="51C4300F" w14:textId="35D4D90E" w:rsidR="00D251AB" w:rsidRPr="00867AE9" w:rsidRDefault="00D251AB" w:rsidP="00D251AB">
            <w:pPr>
              <w:pStyle w:val="TableText"/>
            </w:pPr>
            <w:r w:rsidRPr="00867AE9">
              <w:t>Supported</w:t>
            </w:r>
          </w:p>
        </w:tc>
      </w:tr>
      <w:tr w:rsidR="00D251AB" w14:paraId="3A04E223"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08AC8315" w14:textId="77777777" w:rsidR="00D251AB" w:rsidRPr="00867AE9" w:rsidRDefault="00D251AB" w:rsidP="00D251AB">
            <w:pPr>
              <w:pStyle w:val="TableText"/>
            </w:pPr>
            <w:r w:rsidRPr="00867AE9">
              <w:lastRenderedPageBreak/>
              <w:t>Lucerne</w:t>
            </w:r>
          </w:p>
        </w:tc>
        <w:tc>
          <w:tcPr>
            <w:tcW w:w="885" w:type="pct"/>
            <w:tcBorders>
              <w:top w:val="single" w:sz="4" w:space="0" w:color="auto"/>
              <w:bottom w:val="single" w:sz="4" w:space="0" w:color="auto"/>
            </w:tcBorders>
            <w:tcMar>
              <w:top w:w="80" w:type="dxa"/>
              <w:left w:w="80" w:type="dxa"/>
              <w:bottom w:w="80" w:type="dxa"/>
              <w:right w:w="80" w:type="dxa"/>
            </w:tcMar>
            <w:hideMark/>
          </w:tcPr>
          <w:p w14:paraId="5D2D7B31" w14:textId="77777777" w:rsidR="00D251AB" w:rsidRPr="00867AE9" w:rsidRDefault="00D251AB" w:rsidP="00D251AB">
            <w:pPr>
              <w:pStyle w:val="TableText"/>
            </w:pPr>
            <w:r w:rsidRPr="00867AE9">
              <w:t>Capeweed and Erodium spp.</w:t>
            </w:r>
          </w:p>
        </w:tc>
        <w:tc>
          <w:tcPr>
            <w:tcW w:w="951" w:type="pct"/>
            <w:tcBorders>
              <w:top w:val="single" w:sz="4" w:space="0" w:color="auto"/>
              <w:bottom w:val="single" w:sz="4" w:space="0" w:color="auto"/>
            </w:tcBorders>
            <w:tcMar>
              <w:top w:w="80" w:type="dxa"/>
              <w:left w:w="80" w:type="dxa"/>
              <w:bottom w:w="80" w:type="dxa"/>
              <w:right w:w="80" w:type="dxa"/>
            </w:tcMar>
            <w:hideMark/>
          </w:tcPr>
          <w:p w14:paraId="34DBFA57" w14:textId="77777777" w:rsidR="00D251AB" w:rsidRPr="00867AE9" w:rsidRDefault="00D251AB" w:rsidP="00D251AB">
            <w:pPr>
              <w:pStyle w:val="TableText"/>
            </w:pPr>
            <w:r w:rsidRPr="00867AE9">
              <w:t>Boomspray</w:t>
            </w:r>
          </w:p>
        </w:tc>
        <w:tc>
          <w:tcPr>
            <w:tcW w:w="1911" w:type="pct"/>
            <w:tcBorders>
              <w:top w:val="single" w:sz="4" w:space="0" w:color="auto"/>
              <w:bottom w:val="single" w:sz="4" w:space="0" w:color="auto"/>
            </w:tcBorders>
            <w:tcMar>
              <w:top w:w="80" w:type="dxa"/>
              <w:left w:w="80" w:type="dxa"/>
              <w:bottom w:w="80" w:type="dxa"/>
              <w:right w:w="80" w:type="dxa"/>
            </w:tcMar>
            <w:hideMark/>
          </w:tcPr>
          <w:p w14:paraId="761FB8E3" w14:textId="156F0CFC" w:rsidR="00D251AB" w:rsidRPr="00867AE9" w:rsidRDefault="00D251AB" w:rsidP="00D251AB">
            <w:pPr>
              <w:pStyle w:val="TableText"/>
            </w:pPr>
            <w:r w:rsidRPr="00867AE9">
              <w:t xml:space="preserve">Supported up to </w:t>
            </w:r>
            <w:r w:rsidR="000813F5">
              <w:t>140</w:t>
            </w:r>
            <w:r w:rsidRPr="00867AE9">
              <w:t xml:space="preserve"> g ac/ha per season</w:t>
            </w:r>
          </w:p>
        </w:tc>
      </w:tr>
      <w:tr w:rsidR="000813F5" w14:paraId="7206DEAE" w14:textId="77777777" w:rsidTr="00DE4AD4">
        <w:tc>
          <w:tcPr>
            <w:tcW w:w="1254" w:type="pct"/>
            <w:tcBorders>
              <w:top w:val="single" w:sz="4" w:space="0" w:color="auto"/>
              <w:bottom w:val="single" w:sz="4" w:space="0" w:color="auto"/>
            </w:tcBorders>
            <w:tcMar>
              <w:top w:w="80" w:type="dxa"/>
              <w:left w:w="80" w:type="dxa"/>
              <w:bottom w:w="80" w:type="dxa"/>
              <w:right w:w="80" w:type="dxa"/>
            </w:tcMar>
          </w:tcPr>
          <w:p w14:paraId="277DC8FF" w14:textId="34C6F9E3" w:rsidR="000813F5" w:rsidRPr="00867AE9" w:rsidRDefault="000813F5" w:rsidP="00D251AB">
            <w:pPr>
              <w:pStyle w:val="TableText"/>
            </w:pPr>
            <w:r>
              <w:t>Oilseed poppies</w:t>
            </w:r>
          </w:p>
        </w:tc>
        <w:tc>
          <w:tcPr>
            <w:tcW w:w="885" w:type="pct"/>
            <w:tcBorders>
              <w:top w:val="single" w:sz="4" w:space="0" w:color="auto"/>
              <w:bottom w:val="single" w:sz="4" w:space="0" w:color="auto"/>
            </w:tcBorders>
            <w:tcMar>
              <w:top w:w="80" w:type="dxa"/>
              <w:left w:w="80" w:type="dxa"/>
              <w:bottom w:w="80" w:type="dxa"/>
              <w:right w:w="80" w:type="dxa"/>
            </w:tcMar>
          </w:tcPr>
          <w:p w14:paraId="1F94B5C8" w14:textId="54195E3F" w:rsidR="000813F5" w:rsidRPr="00867AE9" w:rsidRDefault="000813F5" w:rsidP="00D251AB">
            <w:pPr>
              <w:pStyle w:val="TableText"/>
            </w:pPr>
            <w:r>
              <w:t>Pre-harvest desiccation</w:t>
            </w:r>
          </w:p>
        </w:tc>
        <w:tc>
          <w:tcPr>
            <w:tcW w:w="951" w:type="pct"/>
            <w:tcBorders>
              <w:top w:val="single" w:sz="4" w:space="0" w:color="auto"/>
              <w:bottom w:val="single" w:sz="4" w:space="0" w:color="auto"/>
            </w:tcBorders>
            <w:tcMar>
              <w:top w:w="80" w:type="dxa"/>
              <w:left w:w="80" w:type="dxa"/>
              <w:bottom w:w="80" w:type="dxa"/>
              <w:right w:w="80" w:type="dxa"/>
            </w:tcMar>
          </w:tcPr>
          <w:p w14:paraId="270E76A6" w14:textId="7D9ECEC1" w:rsidR="000813F5" w:rsidRPr="00867AE9" w:rsidRDefault="000813F5" w:rsidP="00D251AB">
            <w:pPr>
              <w:pStyle w:val="TableText"/>
            </w:pPr>
            <w:r>
              <w:t>Boomspray</w:t>
            </w:r>
          </w:p>
        </w:tc>
        <w:tc>
          <w:tcPr>
            <w:tcW w:w="1911" w:type="pct"/>
            <w:tcBorders>
              <w:top w:val="single" w:sz="4" w:space="0" w:color="auto"/>
              <w:bottom w:val="single" w:sz="4" w:space="0" w:color="auto"/>
            </w:tcBorders>
            <w:tcMar>
              <w:top w:w="80" w:type="dxa"/>
              <w:left w:w="80" w:type="dxa"/>
              <w:bottom w:w="80" w:type="dxa"/>
              <w:right w:w="80" w:type="dxa"/>
            </w:tcMar>
          </w:tcPr>
          <w:p w14:paraId="70EA9299" w14:textId="4E0B447C" w:rsidR="000813F5" w:rsidRPr="00867AE9" w:rsidRDefault="000813F5" w:rsidP="00D251AB">
            <w:pPr>
              <w:pStyle w:val="TableText"/>
            </w:pPr>
            <w:r>
              <w:t>Supported up to 800 g ac/ha</w:t>
            </w:r>
          </w:p>
        </w:tc>
      </w:tr>
      <w:tr w:rsidR="00D251AB" w14:paraId="324CE77C"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6864345A" w14:textId="77777777" w:rsidR="00D251AB" w:rsidRPr="00867AE9" w:rsidRDefault="00D251AB" w:rsidP="00D251AB">
            <w:pPr>
              <w:pStyle w:val="TableText"/>
            </w:pPr>
            <w:r w:rsidRPr="00867AE9">
              <w:t>Oil seed poppies</w:t>
            </w:r>
          </w:p>
        </w:tc>
        <w:tc>
          <w:tcPr>
            <w:tcW w:w="885" w:type="pct"/>
            <w:tcBorders>
              <w:top w:val="single" w:sz="4" w:space="0" w:color="auto"/>
              <w:bottom w:val="single" w:sz="4" w:space="0" w:color="auto"/>
            </w:tcBorders>
            <w:tcMar>
              <w:top w:w="80" w:type="dxa"/>
              <w:left w:w="80" w:type="dxa"/>
              <w:bottom w:w="80" w:type="dxa"/>
              <w:right w:w="80" w:type="dxa"/>
            </w:tcMar>
            <w:hideMark/>
          </w:tcPr>
          <w:p w14:paraId="67394027" w14:textId="77777777" w:rsidR="00D251AB" w:rsidRPr="00867AE9" w:rsidRDefault="00D251AB" w:rsidP="00D251AB">
            <w:pPr>
              <w:pStyle w:val="TableText"/>
            </w:pPr>
            <w:r w:rsidRPr="00867AE9">
              <w:t xml:space="preserve">General weed control </w:t>
            </w:r>
          </w:p>
        </w:tc>
        <w:tc>
          <w:tcPr>
            <w:tcW w:w="951" w:type="pct"/>
            <w:tcBorders>
              <w:top w:val="single" w:sz="4" w:space="0" w:color="auto"/>
              <w:bottom w:val="single" w:sz="4" w:space="0" w:color="auto"/>
            </w:tcBorders>
            <w:tcMar>
              <w:top w:w="80" w:type="dxa"/>
              <w:left w:w="80" w:type="dxa"/>
              <w:bottom w:w="80" w:type="dxa"/>
              <w:right w:w="80" w:type="dxa"/>
            </w:tcMar>
            <w:hideMark/>
          </w:tcPr>
          <w:p w14:paraId="1A5F01BF" w14:textId="77777777" w:rsidR="00D251AB" w:rsidRPr="00867AE9" w:rsidRDefault="00D251AB" w:rsidP="00D251AB">
            <w:pPr>
              <w:pStyle w:val="TableText"/>
            </w:pPr>
            <w:r w:rsidRPr="00867AE9">
              <w:t>Boomspray</w:t>
            </w:r>
          </w:p>
        </w:tc>
        <w:tc>
          <w:tcPr>
            <w:tcW w:w="1911" w:type="pct"/>
            <w:tcBorders>
              <w:top w:val="single" w:sz="4" w:space="0" w:color="auto"/>
              <w:bottom w:val="single" w:sz="4" w:space="0" w:color="auto"/>
            </w:tcBorders>
            <w:tcMar>
              <w:top w:w="80" w:type="dxa"/>
              <w:left w:w="80" w:type="dxa"/>
              <w:bottom w:w="80" w:type="dxa"/>
              <w:right w:w="80" w:type="dxa"/>
            </w:tcMar>
            <w:hideMark/>
          </w:tcPr>
          <w:p w14:paraId="49D2AD3D" w14:textId="290A840B" w:rsidR="00D251AB" w:rsidRPr="00867AE9" w:rsidRDefault="00D251AB" w:rsidP="00D251AB">
            <w:pPr>
              <w:pStyle w:val="TableText"/>
            </w:pPr>
            <w:r w:rsidRPr="00867AE9">
              <w:t>Supported up to 283 g ac/ha per season</w:t>
            </w:r>
          </w:p>
        </w:tc>
      </w:tr>
      <w:tr w:rsidR="00D251AB" w14:paraId="7CD92939"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3C675BD2" w14:textId="736BC71C" w:rsidR="00D251AB" w:rsidRPr="00000D7A" w:rsidRDefault="00D251AB" w:rsidP="00D251AB">
            <w:pPr>
              <w:pStyle w:val="TableText"/>
            </w:pPr>
            <w:r w:rsidRPr="00000D7A">
              <w:t>Pasture renovation</w:t>
            </w:r>
            <w:r>
              <w:t xml:space="preserve"> </w:t>
            </w:r>
            <w:r w:rsidRPr="00000D7A">
              <w:t>and establishment</w:t>
            </w:r>
          </w:p>
        </w:tc>
        <w:tc>
          <w:tcPr>
            <w:tcW w:w="885" w:type="pct"/>
            <w:tcBorders>
              <w:top w:val="single" w:sz="4" w:space="0" w:color="auto"/>
              <w:bottom w:val="single" w:sz="4" w:space="0" w:color="auto"/>
            </w:tcBorders>
            <w:tcMar>
              <w:top w:w="80" w:type="dxa"/>
              <w:left w:w="80" w:type="dxa"/>
              <w:bottom w:w="80" w:type="dxa"/>
              <w:right w:w="80" w:type="dxa"/>
            </w:tcMar>
            <w:hideMark/>
          </w:tcPr>
          <w:p w14:paraId="643A5B35" w14:textId="633F1E1F" w:rsidR="00D251AB" w:rsidRPr="00867AE9" w:rsidRDefault="00D251AB" w:rsidP="00D251AB">
            <w:pPr>
              <w:pStyle w:val="TableText"/>
            </w:pPr>
            <w:r w:rsidRPr="00867AE9">
              <w:t>Capeweed (very young seedling, 2</w:t>
            </w:r>
            <w:r>
              <w:t>–</w:t>
            </w:r>
            <w:r w:rsidRPr="00867AE9">
              <w:t>3 leaf stage only)</w:t>
            </w:r>
          </w:p>
        </w:tc>
        <w:tc>
          <w:tcPr>
            <w:tcW w:w="951" w:type="pct"/>
            <w:tcBorders>
              <w:top w:val="single" w:sz="4" w:space="0" w:color="auto"/>
              <w:bottom w:val="single" w:sz="4" w:space="0" w:color="auto"/>
            </w:tcBorders>
            <w:tcMar>
              <w:top w:w="80" w:type="dxa"/>
              <w:left w:w="80" w:type="dxa"/>
              <w:bottom w:w="80" w:type="dxa"/>
              <w:right w:w="80" w:type="dxa"/>
            </w:tcMar>
            <w:hideMark/>
          </w:tcPr>
          <w:p w14:paraId="2DC9EAE1" w14:textId="3FC1DE47" w:rsidR="00D251AB" w:rsidRPr="00000D7A" w:rsidRDefault="00D251AB" w:rsidP="00D251AB">
            <w:pPr>
              <w:pStyle w:val="TableText"/>
            </w:pPr>
            <w:r w:rsidRPr="00000D7A">
              <w:t> </w:t>
            </w:r>
            <w:r w:rsidRPr="00867AE9">
              <w:t>Boomspray</w:t>
            </w:r>
          </w:p>
        </w:tc>
        <w:tc>
          <w:tcPr>
            <w:tcW w:w="1911" w:type="pct"/>
            <w:tcBorders>
              <w:top w:val="single" w:sz="4" w:space="0" w:color="auto"/>
              <w:bottom w:val="single" w:sz="4" w:space="0" w:color="auto"/>
            </w:tcBorders>
            <w:tcMar>
              <w:top w:w="80" w:type="dxa"/>
              <w:left w:w="80" w:type="dxa"/>
              <w:bottom w:w="80" w:type="dxa"/>
              <w:right w:w="80" w:type="dxa"/>
            </w:tcMar>
            <w:hideMark/>
          </w:tcPr>
          <w:p w14:paraId="36447F6C" w14:textId="541DEAB7" w:rsidR="00D251AB" w:rsidRPr="00867AE9" w:rsidRDefault="00D251AB" w:rsidP="00D251AB">
            <w:pPr>
              <w:pStyle w:val="TableText"/>
            </w:pPr>
            <w:r w:rsidRPr="00867AE9">
              <w:t xml:space="preserve">Supported up to </w:t>
            </w:r>
            <w:r w:rsidR="00483545">
              <w:t>1</w:t>
            </w:r>
            <w:r w:rsidRPr="00867AE9">
              <w:t>88 g ac/ha per season</w:t>
            </w:r>
          </w:p>
        </w:tc>
      </w:tr>
      <w:tr w:rsidR="00D251AB" w14:paraId="7783C826"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320F6B7D" w14:textId="698D58B9" w:rsidR="00D251AB" w:rsidRPr="00867AE9" w:rsidRDefault="00D251AB" w:rsidP="00D251AB">
            <w:pPr>
              <w:pStyle w:val="TableText"/>
            </w:pPr>
            <w:r w:rsidRPr="00867AE9">
              <w:t>Row crops, vegetables and market gardens (</w:t>
            </w:r>
            <w:r>
              <w:t>b</w:t>
            </w:r>
            <w:r w:rsidRPr="00867AE9">
              <w:t>erries and other small fruit (except grapes)</w:t>
            </w:r>
          </w:p>
        </w:tc>
        <w:tc>
          <w:tcPr>
            <w:tcW w:w="885" w:type="pct"/>
            <w:tcBorders>
              <w:top w:val="single" w:sz="4" w:space="0" w:color="auto"/>
              <w:bottom w:val="single" w:sz="4" w:space="0" w:color="auto"/>
            </w:tcBorders>
            <w:tcMar>
              <w:top w:w="80" w:type="dxa"/>
              <w:left w:w="80" w:type="dxa"/>
              <w:bottom w:w="80" w:type="dxa"/>
              <w:right w:w="80" w:type="dxa"/>
            </w:tcMar>
            <w:hideMark/>
          </w:tcPr>
          <w:p w14:paraId="149B76F3"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2B2F0845" w14:textId="77777777" w:rsidR="00D251AB" w:rsidRPr="00867AE9" w:rsidRDefault="00D251AB" w:rsidP="00D251AB">
            <w:pPr>
              <w:pStyle w:val="TableText"/>
            </w:pPr>
            <w:r w:rsidRPr="00867AE9">
              <w:t>Boomspray, handwand, 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465CF730" w14:textId="49AEF6D6" w:rsidR="00D251AB" w:rsidRPr="00867AE9" w:rsidRDefault="00D251AB" w:rsidP="00D251AB">
            <w:pPr>
              <w:pStyle w:val="TableText"/>
            </w:pPr>
            <w:r w:rsidRPr="00867AE9">
              <w:t>Supported up to 283 g ac/ha per season (noting crop group change required by residues)</w:t>
            </w:r>
          </w:p>
        </w:tc>
      </w:tr>
      <w:tr w:rsidR="00D251AB" w14:paraId="2881819A"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15A2403C" w14:textId="72CC132A" w:rsidR="00D251AB" w:rsidRPr="00867AE9" w:rsidRDefault="00D251AB" w:rsidP="00D251AB">
            <w:pPr>
              <w:pStyle w:val="TableText"/>
            </w:pPr>
            <w:r w:rsidRPr="00867AE9">
              <w:t>Row crops, vegetables and market gardens (</w:t>
            </w:r>
            <w:r>
              <w:t>b</w:t>
            </w:r>
            <w:r w:rsidRPr="00867AE9">
              <w:t>rassica vegetables: broccoli, head cabbages, cauliflower and Chinese cabbage (type Pe-tsai)</w:t>
            </w:r>
          </w:p>
        </w:tc>
        <w:tc>
          <w:tcPr>
            <w:tcW w:w="885" w:type="pct"/>
            <w:tcBorders>
              <w:top w:val="single" w:sz="4" w:space="0" w:color="auto"/>
              <w:bottom w:val="single" w:sz="4" w:space="0" w:color="auto"/>
            </w:tcBorders>
            <w:tcMar>
              <w:top w:w="80" w:type="dxa"/>
              <w:left w:w="80" w:type="dxa"/>
              <w:bottom w:w="80" w:type="dxa"/>
              <w:right w:w="80" w:type="dxa"/>
            </w:tcMar>
            <w:hideMark/>
          </w:tcPr>
          <w:p w14:paraId="0C86FCF7"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31A347EE" w14:textId="6FE8DAFE" w:rsidR="00D251AB" w:rsidRPr="00000D7A" w:rsidRDefault="00D251AB" w:rsidP="00D251AB">
            <w:pPr>
              <w:pStyle w:val="TableText"/>
            </w:pPr>
            <w:r w:rsidRPr="00867AE9">
              <w:t>Boomspray, handwand</w:t>
            </w:r>
            <w:r>
              <w:t xml:space="preserve"> </w:t>
            </w:r>
            <w:r w:rsidRPr="00867AE9">
              <w:t>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600B31C7" w14:textId="33B2DD8E" w:rsidR="00D251AB" w:rsidRPr="00867AE9" w:rsidRDefault="00D251AB" w:rsidP="00D251AB">
            <w:pPr>
              <w:pStyle w:val="TableText"/>
            </w:pPr>
            <w:r w:rsidRPr="00867AE9">
              <w:t>Supported up to 283 g ac/ha per season (noting crop group change required by residues)</w:t>
            </w:r>
          </w:p>
        </w:tc>
      </w:tr>
      <w:tr w:rsidR="00D251AB" w14:paraId="5E7079C7"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0B55B06A" w14:textId="6E763B4F" w:rsidR="00D251AB" w:rsidRPr="00867AE9" w:rsidRDefault="00D251AB" w:rsidP="00D251AB">
            <w:pPr>
              <w:pStyle w:val="TableText"/>
            </w:pPr>
            <w:r w:rsidRPr="00867AE9">
              <w:t>Row crops, vegetables and market gardens (</w:t>
            </w:r>
            <w:r>
              <w:t>b</w:t>
            </w:r>
            <w:r w:rsidRPr="00867AE9">
              <w:t>ulb vegetables:</w:t>
            </w:r>
            <w:r w:rsidR="00254728">
              <w:t xml:space="preserve"> </w:t>
            </w:r>
            <w:r w:rsidRPr="00867AE9">
              <w:t>bulb onions)</w:t>
            </w:r>
          </w:p>
        </w:tc>
        <w:tc>
          <w:tcPr>
            <w:tcW w:w="885" w:type="pct"/>
            <w:tcBorders>
              <w:top w:val="single" w:sz="4" w:space="0" w:color="auto"/>
              <w:bottom w:val="single" w:sz="4" w:space="0" w:color="auto"/>
            </w:tcBorders>
            <w:tcMar>
              <w:top w:w="80" w:type="dxa"/>
              <w:left w:w="80" w:type="dxa"/>
              <w:bottom w:w="80" w:type="dxa"/>
              <w:right w:w="80" w:type="dxa"/>
            </w:tcMar>
            <w:hideMark/>
          </w:tcPr>
          <w:p w14:paraId="715D8036"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2B0C902E" w14:textId="77777777" w:rsidR="00D251AB" w:rsidRPr="00867AE9" w:rsidRDefault="00D251AB" w:rsidP="00D251AB">
            <w:pPr>
              <w:pStyle w:val="TableText"/>
            </w:pPr>
            <w:r w:rsidRPr="00867AE9">
              <w:t>Boomspray, handwand, 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1C03F23B" w14:textId="33D1DB4B" w:rsidR="00D251AB" w:rsidRPr="00867AE9" w:rsidRDefault="00D251AB" w:rsidP="00D251AB">
            <w:pPr>
              <w:pStyle w:val="TableText"/>
            </w:pPr>
            <w:r w:rsidRPr="00867AE9">
              <w:t>Supported up to 283 g ac/ha per season (noting crop group change required by residues)</w:t>
            </w:r>
          </w:p>
        </w:tc>
      </w:tr>
      <w:tr w:rsidR="00D251AB" w14:paraId="62A849A1"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1BFCB7EA" w14:textId="5029A352" w:rsidR="00D251AB" w:rsidRPr="00867AE9" w:rsidRDefault="00D251AB" w:rsidP="00D251AB">
            <w:pPr>
              <w:pStyle w:val="TableText"/>
            </w:pPr>
            <w:r w:rsidRPr="00867AE9">
              <w:t>Row crops, vegetables and market gardens(</w:t>
            </w:r>
            <w:r>
              <w:t>f</w:t>
            </w:r>
            <w:r w:rsidRPr="00867AE9">
              <w:t xml:space="preserve">ruiting </w:t>
            </w:r>
            <w:r>
              <w:t>v</w:t>
            </w:r>
            <w:r w:rsidRPr="00867AE9">
              <w:t>egetables: other than cucurbits)</w:t>
            </w:r>
          </w:p>
        </w:tc>
        <w:tc>
          <w:tcPr>
            <w:tcW w:w="885" w:type="pct"/>
            <w:tcBorders>
              <w:top w:val="single" w:sz="4" w:space="0" w:color="auto"/>
              <w:bottom w:val="single" w:sz="4" w:space="0" w:color="auto"/>
            </w:tcBorders>
            <w:tcMar>
              <w:top w:w="80" w:type="dxa"/>
              <w:left w:w="80" w:type="dxa"/>
              <w:bottom w:w="80" w:type="dxa"/>
              <w:right w:w="80" w:type="dxa"/>
            </w:tcMar>
            <w:hideMark/>
          </w:tcPr>
          <w:p w14:paraId="49283FB5"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2820E955" w14:textId="77777777" w:rsidR="00D251AB" w:rsidRPr="00867AE9" w:rsidRDefault="00D251AB" w:rsidP="00D251AB">
            <w:pPr>
              <w:pStyle w:val="TableText"/>
            </w:pPr>
            <w:r w:rsidRPr="00867AE9">
              <w:t>Boomspray, handwand, 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11A42EE9" w14:textId="065E71D2" w:rsidR="00D251AB" w:rsidRPr="00867AE9" w:rsidRDefault="00D251AB" w:rsidP="00D251AB">
            <w:pPr>
              <w:pStyle w:val="TableText"/>
            </w:pPr>
            <w:r w:rsidRPr="00867AE9">
              <w:t>Supported up to 283 g ac/ha per season (noting crop group change required by residues)</w:t>
            </w:r>
          </w:p>
        </w:tc>
      </w:tr>
      <w:tr w:rsidR="00D251AB" w14:paraId="33646CB2"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6D1D8D09" w14:textId="7A9497BE" w:rsidR="00D251AB" w:rsidRPr="00867AE9" w:rsidRDefault="00D251AB" w:rsidP="00D251AB">
            <w:pPr>
              <w:pStyle w:val="TableText"/>
            </w:pPr>
            <w:r w:rsidRPr="00867AE9">
              <w:t>Row crops, vegetables and market gardens (</w:t>
            </w:r>
            <w:r>
              <w:t>l</w:t>
            </w:r>
            <w:r w:rsidRPr="00867AE9">
              <w:t>eafy vegetables)</w:t>
            </w:r>
          </w:p>
        </w:tc>
        <w:tc>
          <w:tcPr>
            <w:tcW w:w="885" w:type="pct"/>
            <w:tcBorders>
              <w:top w:val="single" w:sz="4" w:space="0" w:color="auto"/>
              <w:bottom w:val="single" w:sz="4" w:space="0" w:color="auto"/>
            </w:tcBorders>
            <w:tcMar>
              <w:top w:w="80" w:type="dxa"/>
              <w:left w:w="80" w:type="dxa"/>
              <w:bottom w:w="80" w:type="dxa"/>
              <w:right w:w="80" w:type="dxa"/>
            </w:tcMar>
            <w:hideMark/>
          </w:tcPr>
          <w:p w14:paraId="21B89386"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41003BE5" w14:textId="77777777" w:rsidR="00D251AB" w:rsidRPr="00867AE9" w:rsidRDefault="00D251AB" w:rsidP="00D251AB">
            <w:pPr>
              <w:pStyle w:val="TableText"/>
            </w:pPr>
            <w:r w:rsidRPr="00867AE9">
              <w:t>Boomspray, handwand, 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41068D38" w14:textId="0F513E38" w:rsidR="00D251AB" w:rsidRPr="00867AE9" w:rsidRDefault="00D251AB" w:rsidP="00D251AB">
            <w:pPr>
              <w:pStyle w:val="TableText"/>
            </w:pPr>
            <w:r w:rsidRPr="00867AE9">
              <w:t>Supported up to 283 g ac/ha per season (noting crop group change required by residues)</w:t>
            </w:r>
          </w:p>
        </w:tc>
      </w:tr>
      <w:tr w:rsidR="00D251AB" w14:paraId="11EA38B1"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2EAAA9DA" w14:textId="3A64DC49" w:rsidR="00D251AB" w:rsidRPr="00867AE9" w:rsidRDefault="00D251AB" w:rsidP="00D251AB">
            <w:pPr>
              <w:pStyle w:val="TableText"/>
            </w:pPr>
            <w:r w:rsidRPr="00867AE9">
              <w:t>Row crops, vegetables and market gardens (</w:t>
            </w:r>
            <w:r>
              <w:t>l</w:t>
            </w:r>
            <w:r w:rsidRPr="00867AE9">
              <w:t>egume vegetables)</w:t>
            </w:r>
          </w:p>
        </w:tc>
        <w:tc>
          <w:tcPr>
            <w:tcW w:w="885" w:type="pct"/>
            <w:tcBorders>
              <w:top w:val="single" w:sz="4" w:space="0" w:color="auto"/>
              <w:bottom w:val="single" w:sz="4" w:space="0" w:color="auto"/>
            </w:tcBorders>
            <w:tcMar>
              <w:top w:w="80" w:type="dxa"/>
              <w:left w:w="80" w:type="dxa"/>
              <w:bottom w:w="80" w:type="dxa"/>
              <w:right w:w="80" w:type="dxa"/>
            </w:tcMar>
            <w:hideMark/>
          </w:tcPr>
          <w:p w14:paraId="6442EB15"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76416B21" w14:textId="77777777" w:rsidR="00D251AB" w:rsidRPr="00867AE9" w:rsidRDefault="00D251AB" w:rsidP="00D251AB">
            <w:pPr>
              <w:pStyle w:val="TableText"/>
            </w:pPr>
            <w:r w:rsidRPr="00867AE9">
              <w:t>Boomspray, handwand, 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46B7BD69" w14:textId="552BA5D7" w:rsidR="00D251AB" w:rsidRPr="00867AE9" w:rsidRDefault="00D251AB" w:rsidP="00D251AB">
            <w:pPr>
              <w:pStyle w:val="TableText"/>
            </w:pPr>
            <w:r w:rsidRPr="00867AE9">
              <w:t>Supported up to 283 g ac/ha per season (noting crop group change required by residues)</w:t>
            </w:r>
          </w:p>
        </w:tc>
      </w:tr>
      <w:tr w:rsidR="00D251AB" w14:paraId="0333602A"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618DA615" w14:textId="6E5A98F6" w:rsidR="00D251AB" w:rsidRPr="00867AE9" w:rsidRDefault="00D251AB" w:rsidP="00D251AB">
            <w:pPr>
              <w:pStyle w:val="TableText"/>
            </w:pPr>
            <w:r w:rsidRPr="00867AE9">
              <w:t>Row crops, vegetables and market gardens (</w:t>
            </w:r>
            <w:r>
              <w:t>r</w:t>
            </w:r>
            <w:r w:rsidRPr="00867AE9">
              <w:t>oot and tuber vegetables)</w:t>
            </w:r>
          </w:p>
        </w:tc>
        <w:tc>
          <w:tcPr>
            <w:tcW w:w="885" w:type="pct"/>
            <w:tcBorders>
              <w:top w:val="single" w:sz="4" w:space="0" w:color="auto"/>
              <w:bottom w:val="single" w:sz="4" w:space="0" w:color="auto"/>
            </w:tcBorders>
            <w:tcMar>
              <w:top w:w="80" w:type="dxa"/>
              <w:left w:w="80" w:type="dxa"/>
              <w:bottom w:w="80" w:type="dxa"/>
              <w:right w:w="80" w:type="dxa"/>
            </w:tcMar>
            <w:hideMark/>
          </w:tcPr>
          <w:p w14:paraId="12294DEC" w14:textId="77777777" w:rsidR="00D251AB" w:rsidRPr="00867AE9" w:rsidRDefault="00D251AB" w:rsidP="00D251AB">
            <w:pPr>
              <w:pStyle w:val="TableText"/>
            </w:pPr>
            <w:r w:rsidRPr="00867AE9">
              <w:t>Broadleaf weeds</w:t>
            </w:r>
          </w:p>
        </w:tc>
        <w:tc>
          <w:tcPr>
            <w:tcW w:w="951" w:type="pct"/>
            <w:tcBorders>
              <w:top w:val="single" w:sz="4" w:space="0" w:color="auto"/>
              <w:bottom w:val="single" w:sz="4" w:space="0" w:color="auto"/>
            </w:tcBorders>
            <w:tcMar>
              <w:top w:w="80" w:type="dxa"/>
              <w:left w:w="80" w:type="dxa"/>
              <w:bottom w:w="80" w:type="dxa"/>
              <w:right w:w="80" w:type="dxa"/>
            </w:tcMar>
            <w:hideMark/>
          </w:tcPr>
          <w:p w14:paraId="559F057D" w14:textId="77777777" w:rsidR="00D251AB" w:rsidRPr="00867AE9" w:rsidRDefault="00D251AB" w:rsidP="00D251AB">
            <w:pPr>
              <w:pStyle w:val="TableText"/>
            </w:pPr>
            <w:r w:rsidRPr="00867AE9">
              <w:t>Boomspray, handwand, inter-row spray (shielded)</w:t>
            </w:r>
          </w:p>
        </w:tc>
        <w:tc>
          <w:tcPr>
            <w:tcW w:w="1911" w:type="pct"/>
            <w:tcBorders>
              <w:top w:val="single" w:sz="4" w:space="0" w:color="auto"/>
              <w:bottom w:val="single" w:sz="4" w:space="0" w:color="auto"/>
            </w:tcBorders>
            <w:tcMar>
              <w:top w:w="80" w:type="dxa"/>
              <w:left w:w="80" w:type="dxa"/>
              <w:bottom w:w="80" w:type="dxa"/>
              <w:right w:w="80" w:type="dxa"/>
            </w:tcMar>
            <w:hideMark/>
          </w:tcPr>
          <w:p w14:paraId="50A27370" w14:textId="6208A319" w:rsidR="00D251AB" w:rsidRPr="00867AE9" w:rsidRDefault="00D251AB" w:rsidP="00D251AB">
            <w:pPr>
              <w:pStyle w:val="TableText"/>
            </w:pPr>
            <w:r w:rsidRPr="00867AE9">
              <w:t>Supported up to 283 g ac/ha per season (noting crop group change required by residues)</w:t>
            </w:r>
          </w:p>
        </w:tc>
      </w:tr>
      <w:tr w:rsidR="00D251AB" w14:paraId="7AB81C1C" w14:textId="77777777" w:rsidTr="00DE4AD4">
        <w:tc>
          <w:tcPr>
            <w:tcW w:w="1254" w:type="pct"/>
            <w:tcBorders>
              <w:top w:val="single" w:sz="4" w:space="0" w:color="auto"/>
              <w:bottom w:val="single" w:sz="4" w:space="0" w:color="auto"/>
            </w:tcBorders>
            <w:tcMar>
              <w:top w:w="80" w:type="dxa"/>
              <w:left w:w="80" w:type="dxa"/>
              <w:bottom w:w="80" w:type="dxa"/>
              <w:right w:w="80" w:type="dxa"/>
            </w:tcMar>
            <w:hideMark/>
          </w:tcPr>
          <w:p w14:paraId="64FCE1E1" w14:textId="51B7FBC0" w:rsidR="00D251AB" w:rsidRPr="00867AE9" w:rsidRDefault="00D251AB" w:rsidP="00D251AB">
            <w:pPr>
              <w:pStyle w:val="TableText"/>
            </w:pPr>
            <w:r w:rsidRPr="00867AE9">
              <w:lastRenderedPageBreak/>
              <w:t xml:space="preserve">Wheat, </w:t>
            </w:r>
            <w:r>
              <w:t>o</w:t>
            </w:r>
            <w:r w:rsidRPr="00867AE9">
              <w:t>ats</w:t>
            </w:r>
            <w:r>
              <w:t xml:space="preserve"> (3–4 leaf to early tillering)</w:t>
            </w:r>
          </w:p>
        </w:tc>
        <w:tc>
          <w:tcPr>
            <w:tcW w:w="885" w:type="pct"/>
            <w:tcBorders>
              <w:top w:val="single" w:sz="4" w:space="0" w:color="auto"/>
              <w:bottom w:val="single" w:sz="4" w:space="0" w:color="auto"/>
            </w:tcBorders>
            <w:tcMar>
              <w:top w:w="80" w:type="dxa"/>
              <w:left w:w="80" w:type="dxa"/>
              <w:bottom w:w="80" w:type="dxa"/>
              <w:right w:w="80" w:type="dxa"/>
            </w:tcMar>
            <w:hideMark/>
          </w:tcPr>
          <w:p w14:paraId="54725E8A" w14:textId="552511B2" w:rsidR="00D251AB" w:rsidRPr="00867AE9" w:rsidRDefault="00D251AB" w:rsidP="00D251AB">
            <w:pPr>
              <w:pStyle w:val="TableText"/>
            </w:pPr>
            <w:r w:rsidRPr="00867AE9">
              <w:t>Capeweed</w:t>
            </w:r>
            <w:r>
              <w:t xml:space="preserve"> (small seedlings)</w:t>
            </w:r>
          </w:p>
        </w:tc>
        <w:tc>
          <w:tcPr>
            <w:tcW w:w="951" w:type="pct"/>
            <w:tcBorders>
              <w:top w:val="single" w:sz="4" w:space="0" w:color="auto"/>
              <w:bottom w:val="single" w:sz="4" w:space="0" w:color="auto"/>
            </w:tcBorders>
            <w:tcMar>
              <w:top w:w="80" w:type="dxa"/>
              <w:left w:w="80" w:type="dxa"/>
              <w:bottom w:w="80" w:type="dxa"/>
              <w:right w:w="80" w:type="dxa"/>
            </w:tcMar>
            <w:hideMark/>
          </w:tcPr>
          <w:p w14:paraId="42A1B0E5" w14:textId="77777777" w:rsidR="00D251AB" w:rsidRPr="00867AE9" w:rsidRDefault="00D251AB" w:rsidP="00D251AB">
            <w:pPr>
              <w:pStyle w:val="TableText"/>
            </w:pPr>
            <w:r w:rsidRPr="00867AE9">
              <w:t>Boomspray</w:t>
            </w:r>
          </w:p>
        </w:tc>
        <w:tc>
          <w:tcPr>
            <w:tcW w:w="1911" w:type="pct"/>
            <w:tcBorders>
              <w:top w:val="single" w:sz="4" w:space="0" w:color="auto"/>
              <w:bottom w:val="single" w:sz="4" w:space="0" w:color="auto"/>
            </w:tcBorders>
            <w:tcMar>
              <w:top w:w="80" w:type="dxa"/>
              <w:left w:w="80" w:type="dxa"/>
              <w:bottom w:w="80" w:type="dxa"/>
              <w:right w:w="80" w:type="dxa"/>
            </w:tcMar>
            <w:hideMark/>
          </w:tcPr>
          <w:p w14:paraId="500C1616" w14:textId="5D1A2014" w:rsidR="00D251AB" w:rsidRPr="00867AE9" w:rsidRDefault="00D251AB" w:rsidP="00D251AB">
            <w:pPr>
              <w:pStyle w:val="TableText"/>
            </w:pPr>
            <w:r w:rsidRPr="00867AE9">
              <w:t>Supported up to 122 g ac/ha per season</w:t>
            </w:r>
          </w:p>
        </w:tc>
      </w:tr>
    </w:tbl>
    <w:p w14:paraId="27C56E9A" w14:textId="70E0DD43" w:rsidR="004C54B5" w:rsidRPr="00DE4AD4" w:rsidRDefault="004C54B5" w:rsidP="00DE4AD4">
      <w:pPr>
        <w:pStyle w:val="Heading3"/>
      </w:pPr>
      <w:bookmarkStart w:id="352" w:name="_Toc233039001"/>
      <w:bookmarkEnd w:id="348"/>
      <w:bookmarkEnd w:id="351"/>
      <w:r w:rsidRPr="00DE4AD4">
        <w:t>Cotton</w:t>
      </w:r>
      <w:bookmarkEnd w:id="352"/>
    </w:p>
    <w:p w14:paraId="440442A9" w14:textId="44565106" w:rsidR="004C54B5" w:rsidRDefault="004C54B5" w:rsidP="004C54B5">
      <w:pPr>
        <w:pStyle w:val="NormalText"/>
      </w:pPr>
      <w:r>
        <w:t>While a pre-harvest crop desiccation use was supported for cotton by environment it was not supported by residues due to a lack of relevant data for cotton seed. At the end of the phase out period an MRL of *0.05 mg/kg will be established for SO 0088 Oilseed {except Poppy seed} to support the alternative use at crop establishment as new data for cotton and previously submitted data for other crops (rice, maize and peanuts) has indicated residues are not expected at harvest for this use. The appropriate harvest withholding period for this supported crop establishment use in cotton is “Not required when used as directed”.</w:t>
      </w:r>
    </w:p>
    <w:p w14:paraId="409BCB0C" w14:textId="5AEB629F" w:rsidR="004C54B5" w:rsidRPr="004C54B5" w:rsidRDefault="004C54B5" w:rsidP="00C43D8A">
      <w:pPr>
        <w:pStyle w:val="NormalText"/>
      </w:pPr>
      <w:r>
        <w:t xml:space="preserve">As noted </w:t>
      </w:r>
      <w:r w:rsidR="00254728">
        <w:t>in submissions to the public consultation</w:t>
      </w:r>
      <w:r>
        <w:t>, cotton trash is not used as an animal feed due to unacceptable residue risks from multiple pesticides currently used in cotton. This is normally managed by a label statement prohibiting the feeding of cotton trash to animals, which is considered cotton industry best practice. The restraint of ‘DO NOT feed cotton fodder, stubble or trash to livestock’ is recommended for the supported cotton use at crop establishment.</w:t>
      </w:r>
    </w:p>
    <w:p w14:paraId="667FB666" w14:textId="63113FB2" w:rsidR="009362D0" w:rsidRPr="00181C4A" w:rsidRDefault="009362D0" w:rsidP="00F71435">
      <w:pPr>
        <w:pStyle w:val="Heading3"/>
      </w:pPr>
      <w:bookmarkStart w:id="353" w:name="_Toc233039002"/>
      <w:r w:rsidRPr="00E0199A">
        <w:t>Hops</w:t>
      </w:r>
      <w:r>
        <w:t xml:space="preserve"> (supported use: 0.28 kg a</w:t>
      </w:r>
      <w:r w:rsidR="001140CA">
        <w:t>c</w:t>
      </w:r>
      <w:r>
        <w:t>/ha)</w:t>
      </w:r>
      <w:bookmarkEnd w:id="353"/>
    </w:p>
    <w:p w14:paraId="4C854397" w14:textId="3DE72AD0" w:rsidR="009362D0" w:rsidRDefault="009362D0" w:rsidP="00F71435">
      <w:pPr>
        <w:pStyle w:val="NormalText"/>
      </w:pPr>
      <w:r>
        <w:t xml:space="preserve">The use on hops is as a directed inter-row spray at 0.28 kg </w:t>
      </w:r>
      <w:r w:rsidR="001140CA">
        <w:t>ac/ha</w:t>
      </w:r>
      <w:r>
        <w:t xml:space="preserve"> to crop emerging from winter dormancy. The withholding period is </w:t>
      </w:r>
      <w:r w:rsidR="00283582">
        <w:t>‘</w:t>
      </w:r>
      <w:r>
        <w:t>Not required when used as directed</w:t>
      </w:r>
      <w:r w:rsidR="00283582">
        <w:t>’</w:t>
      </w:r>
      <w:r>
        <w:t>. The current Australian MRL is Hops, dry at 0.2</w:t>
      </w:r>
      <w:r w:rsidR="00283582">
        <w:t> </w:t>
      </w:r>
      <w:r>
        <w:t>mg/kg.</w:t>
      </w:r>
    </w:p>
    <w:p w14:paraId="2F7EDE35" w14:textId="310C74CC" w:rsidR="009362D0" w:rsidRDefault="009362D0" w:rsidP="00F71435">
      <w:pPr>
        <w:pStyle w:val="NormalText"/>
      </w:pPr>
      <w:r>
        <w:t>Residue data for diquat on hops were provided. Residues of diquat in hops were &lt;0.05 mg/kg (n = 2) at 12</w:t>
      </w:r>
      <w:r w:rsidR="00283582">
        <w:t>–</w:t>
      </w:r>
      <w:r>
        <w:t>14 days after the last of 2</w:t>
      </w:r>
      <w:r w:rsidR="00283582">
        <w:t>–</w:t>
      </w:r>
      <w:r>
        <w:t xml:space="preserve">3 applications at 0.368 kg </w:t>
      </w:r>
      <w:r w:rsidR="001140CA">
        <w:t>ac/ha</w:t>
      </w:r>
      <w:r>
        <w:t xml:space="preserve"> by inter row boom spray.</w:t>
      </w:r>
    </w:p>
    <w:p w14:paraId="311F75BD" w14:textId="77777777" w:rsidR="009362D0" w:rsidRDefault="009362D0" w:rsidP="00F71435">
      <w:pPr>
        <w:pStyle w:val="NormalText"/>
      </w:pPr>
      <w:r w:rsidRPr="00ED7306">
        <w:t xml:space="preserve">The available diquat residues data supports continued use in </w:t>
      </w:r>
      <w:r>
        <w:t>hops</w:t>
      </w:r>
      <w:r w:rsidRPr="00ED7306">
        <w:t xml:space="preserve">. </w:t>
      </w:r>
      <w:r>
        <w:t>The recommended MRL is:</w:t>
      </w:r>
    </w:p>
    <w:p w14:paraId="1EF4AF60" w14:textId="6D31FD36" w:rsidR="009362D0" w:rsidRDefault="009362D0" w:rsidP="00F71435">
      <w:pPr>
        <w:pStyle w:val="Bullet1"/>
      </w:pPr>
      <w:r>
        <w:t>DH 1100</w:t>
      </w:r>
      <w:r w:rsidR="00283582">
        <w:tab/>
      </w:r>
      <w:r w:rsidR="00283582">
        <w:tab/>
      </w:r>
      <w:r>
        <w:t>Hops, dry</w:t>
      </w:r>
      <w:r>
        <w:tab/>
      </w:r>
      <w:r>
        <w:tab/>
      </w:r>
      <w:r w:rsidR="001140CA">
        <w:tab/>
      </w:r>
      <w:r w:rsidR="001140CA">
        <w:tab/>
      </w:r>
      <w:r w:rsidR="001140CA">
        <w:tab/>
      </w:r>
      <w:r w:rsidR="001140CA">
        <w:tab/>
      </w:r>
      <w:r w:rsidR="001140CA">
        <w:tab/>
      </w:r>
      <w:r w:rsidR="001140CA">
        <w:tab/>
      </w:r>
      <w:r>
        <w:t>*0.05 mg/kg</w:t>
      </w:r>
    </w:p>
    <w:p w14:paraId="7F689DA3" w14:textId="29CD8046" w:rsidR="009362D0" w:rsidRDefault="009362D0" w:rsidP="00283582">
      <w:pPr>
        <w:pStyle w:val="NormalText"/>
      </w:pPr>
      <w:r>
        <w:t xml:space="preserve">The recommended harvest withholding period is </w:t>
      </w:r>
      <w:r w:rsidR="00283582">
        <w:t>‘</w:t>
      </w:r>
      <w:r>
        <w:t>Not required when used as directed</w:t>
      </w:r>
      <w:r w:rsidR="00283582">
        <w:t>’</w:t>
      </w:r>
      <w:r>
        <w:t xml:space="preserve"> for this use as a directed inter row spray prior to crop emerging from winter dormancy. The recommended grazing withholding period for sprayed vegetation is </w:t>
      </w:r>
      <w:r w:rsidR="00283582">
        <w:t>one</w:t>
      </w:r>
      <w:r>
        <w:t xml:space="preserve"> day.</w:t>
      </w:r>
    </w:p>
    <w:p w14:paraId="6B74742B" w14:textId="688485C3" w:rsidR="009362D0" w:rsidRPr="00181C4A" w:rsidRDefault="009362D0" w:rsidP="0004551E">
      <w:pPr>
        <w:pStyle w:val="Heading3"/>
      </w:pPr>
      <w:bookmarkStart w:id="354" w:name="_Toc233039003"/>
      <w:r w:rsidRPr="00181C4A">
        <w:t>Lucerne</w:t>
      </w:r>
      <w:r>
        <w:t xml:space="preserve"> (supported use: 0.</w:t>
      </w:r>
      <w:r w:rsidR="00C572A3">
        <w:t>140</w:t>
      </w:r>
      <w:r>
        <w:t xml:space="preserve"> kg </w:t>
      </w:r>
      <w:r w:rsidR="001140CA">
        <w:t>ac/ha</w:t>
      </w:r>
      <w:r>
        <w:t>)</w:t>
      </w:r>
      <w:bookmarkEnd w:id="354"/>
    </w:p>
    <w:p w14:paraId="6D997C7F" w14:textId="5581FB51" w:rsidR="009362D0" w:rsidRPr="001140CA" w:rsidRDefault="009362D0" w:rsidP="0004551E">
      <w:pPr>
        <w:pStyle w:val="NormalText"/>
      </w:pPr>
      <w:r w:rsidRPr="001140CA">
        <w:t>The use on lucerne is for application at up to 0.</w:t>
      </w:r>
      <w:r w:rsidR="00C572A3">
        <w:t>140</w:t>
      </w:r>
      <w:r w:rsidRPr="001140CA">
        <w:t xml:space="preserve"> kg </w:t>
      </w:r>
      <w:r w:rsidR="001140CA" w:rsidRPr="001140CA">
        <w:t>ac/ha</w:t>
      </w:r>
      <w:r w:rsidRPr="001140CA">
        <w:t>. Heavy grazing is necessary to reduce lucerne to 2</w:t>
      </w:r>
      <w:r w:rsidR="00283582">
        <w:t> </w:t>
      </w:r>
      <w:r w:rsidRPr="001140CA">
        <w:t xml:space="preserve">cm in height before spraying. The grazing withholding period is </w:t>
      </w:r>
      <w:r w:rsidR="00283582">
        <w:t>one</w:t>
      </w:r>
      <w:r w:rsidRPr="001140CA">
        <w:t xml:space="preserve"> day. The current entry for diquat in Table</w:t>
      </w:r>
      <w:r w:rsidR="00283582">
        <w:t> </w:t>
      </w:r>
      <w:r w:rsidRPr="001140CA">
        <w:t xml:space="preserve">4 of the MRL Standard is </w:t>
      </w:r>
      <w:r w:rsidR="00283582">
        <w:t>‘</w:t>
      </w:r>
      <w:r w:rsidRPr="001140CA">
        <w:t>Legume Animal Feeds</w:t>
      </w:r>
      <w:r w:rsidR="00283582">
        <w:t>’</w:t>
      </w:r>
      <w:r w:rsidRPr="001140CA">
        <w:t xml:space="preserve"> at 100 mg/kg.</w:t>
      </w:r>
    </w:p>
    <w:p w14:paraId="3449FD1D" w14:textId="3D4402CA" w:rsidR="009362D0" w:rsidRPr="001140CA" w:rsidRDefault="009362D0" w:rsidP="0004551E">
      <w:pPr>
        <w:pStyle w:val="NormalText"/>
      </w:pPr>
      <w:r w:rsidRPr="001140CA">
        <w:t>Studies submitted on lucerne, clover and medic (</w:t>
      </w:r>
      <w:r w:rsidR="00283582">
        <w:t xml:space="preserve">zero to </w:t>
      </w:r>
      <w:r w:rsidRPr="001140CA">
        <w:t xml:space="preserve">133 day PHI, with applications of 0.1 to 6 kg </w:t>
      </w:r>
      <w:r w:rsidR="001140CA" w:rsidRPr="001140CA">
        <w:t>ac/ha</w:t>
      </w:r>
      <w:r w:rsidRPr="001140CA">
        <w:t xml:space="preserve">), including several that addressed a </w:t>
      </w:r>
      <w:r w:rsidR="00283582">
        <w:t>zero</w:t>
      </w:r>
      <w:r w:rsidRPr="001140CA">
        <w:t xml:space="preserve"> or </w:t>
      </w:r>
      <w:r w:rsidR="00283582">
        <w:t>one</w:t>
      </w:r>
      <w:r w:rsidRPr="001140CA">
        <w:t xml:space="preserve"> day PHI, generally had diquat residues between 20 and 40</w:t>
      </w:r>
      <w:r w:rsidR="00283582">
        <w:t> </w:t>
      </w:r>
      <w:r w:rsidRPr="001140CA">
        <w:t xml:space="preserve">mg/kg </w:t>
      </w:r>
      <w:r w:rsidRPr="001140CA">
        <w:lastRenderedPageBreak/>
        <w:t xml:space="preserve">in the desiccated plant material, from the approximate rate of 0.6 kg </w:t>
      </w:r>
      <w:r w:rsidR="001140CA" w:rsidRPr="001140CA">
        <w:t>ac/ha</w:t>
      </w:r>
      <w:r w:rsidRPr="001140CA">
        <w:t xml:space="preserve"> and a PHI of 2–4 days. The </w:t>
      </w:r>
      <w:r w:rsidR="009E3126">
        <w:t>HR</w:t>
      </w:r>
      <w:r w:rsidRPr="001140CA">
        <w:t xml:space="preserve"> at </w:t>
      </w:r>
      <w:r w:rsidR="00283582">
        <w:t>one </w:t>
      </w:r>
      <w:r w:rsidRPr="001140CA">
        <w:t xml:space="preserve">day was 66.7 mg/kg in clover after 0.56 kg </w:t>
      </w:r>
      <w:r w:rsidR="001140CA" w:rsidRPr="001140CA">
        <w:t>ac/ha</w:t>
      </w:r>
      <w:r w:rsidRPr="001140CA">
        <w:t xml:space="preserve"> (</w:t>
      </w:r>
      <w:r w:rsidR="00C572A3">
        <w:t>16.7</w:t>
      </w:r>
      <w:r w:rsidRPr="001140CA">
        <w:t xml:space="preserve"> mg/kg scaled for the supported rate of 0.</w:t>
      </w:r>
      <w:r w:rsidR="00C572A3">
        <w:t>140</w:t>
      </w:r>
      <w:r w:rsidRPr="001140CA">
        <w:t xml:space="preserve"> kg </w:t>
      </w:r>
      <w:r w:rsidR="001140CA" w:rsidRPr="001140CA">
        <w:t>ac/ha</w:t>
      </w:r>
      <w:r w:rsidRPr="001140CA">
        <w:t xml:space="preserve">). At longer PHIs the </w:t>
      </w:r>
      <w:r w:rsidR="009E3126">
        <w:t>HR</w:t>
      </w:r>
      <w:r w:rsidRPr="001140CA">
        <w:t xml:space="preserve"> was 92.5 mg/kg (d</w:t>
      </w:r>
      <w:r w:rsidR="001140CA">
        <w:t xml:space="preserve">ry </w:t>
      </w:r>
      <w:r w:rsidR="00A6127F">
        <w:t>weight</w:t>
      </w:r>
      <w:r w:rsidRPr="001140CA">
        <w:t xml:space="preserve">) in white clover at 4 days after 1.12 kg </w:t>
      </w:r>
      <w:r w:rsidR="001140CA" w:rsidRPr="001140CA">
        <w:t>ac/ha</w:t>
      </w:r>
      <w:r w:rsidRPr="001140CA">
        <w:t xml:space="preserve"> (</w:t>
      </w:r>
      <w:r w:rsidR="00C572A3" w:rsidRPr="00C572A3">
        <w:t>11.6 mg/kg scaled for rate, noting this is outside the normal scaling range</w:t>
      </w:r>
      <w:r w:rsidRPr="001140CA">
        <w:t>).</w:t>
      </w:r>
    </w:p>
    <w:p w14:paraId="15800772" w14:textId="7B4A9365" w:rsidR="009362D0" w:rsidRDefault="00C572A3" w:rsidP="001140CA">
      <w:pPr>
        <w:pStyle w:val="NormalText"/>
      </w:pPr>
      <w:r w:rsidRPr="00735C60">
        <w:t>In the submitted trials residues in animal feed derived from legumes were below the current Australian MRL for Legume animal feeds at 100 mg/kg. However, this MRL will be replaced with a Primary feed commodities MRL at 30 mg/kg to account for the lower supported rate for lucerne and cover other uses discussed below (see recommendations below for wheat and oats which showed similar residues in forage). The supported grazing withholding period is 1 day.</w:t>
      </w:r>
    </w:p>
    <w:p w14:paraId="79E56E9C" w14:textId="77777777" w:rsidR="009362D0" w:rsidRDefault="009362D0" w:rsidP="0004551E">
      <w:pPr>
        <w:pStyle w:val="Heading3"/>
      </w:pPr>
      <w:bookmarkStart w:id="355" w:name="_Toc233039004"/>
      <w:r>
        <w:t>Oilseed poppies</w:t>
      </w:r>
      <w:bookmarkEnd w:id="355"/>
    </w:p>
    <w:p w14:paraId="71D15FCA" w14:textId="13335910" w:rsidR="009362D0" w:rsidRDefault="004C54B5" w:rsidP="0004551E">
      <w:pPr>
        <w:pStyle w:val="NormalText"/>
      </w:pPr>
      <w:r>
        <w:t xml:space="preserve">This review has </w:t>
      </w:r>
      <w:r w:rsidRPr="004C54B5">
        <w:t>supported the preharvest desiccation of poppies (at up to 800 g ai/ha) and also application for general weed control (at up to 300 g ai/ha). The current MRL at the LOQ of *0.01 mg/kg for diquat on poppy seed was considered appropriate for the highest registered rate considered earlier based on Australian residue trial data showing residues were not found in seed</w:t>
      </w:r>
      <w:r w:rsidR="009362D0">
        <w:t xml:space="preserve">. The MRL should therefore remain appropriate. </w:t>
      </w:r>
      <w:r w:rsidR="009362D0" w:rsidRPr="00ED7306">
        <w:t xml:space="preserve">The available diquat residues data supports continued use in </w:t>
      </w:r>
      <w:r w:rsidR="009362D0">
        <w:t>poppies</w:t>
      </w:r>
      <w:r w:rsidR="009362D0" w:rsidRPr="00ED7306">
        <w:t xml:space="preserve">. </w:t>
      </w:r>
      <w:r w:rsidR="009362D0">
        <w:t>The supported MRL is:</w:t>
      </w:r>
    </w:p>
    <w:p w14:paraId="0854C8BD" w14:textId="3DBEEC36" w:rsidR="009362D0" w:rsidRDefault="009362D0" w:rsidP="0004551E">
      <w:pPr>
        <w:pStyle w:val="Bullet1"/>
      </w:pPr>
      <w:r>
        <w:t>SO 0698</w:t>
      </w:r>
      <w:r w:rsidR="00921FD5">
        <w:tab/>
      </w:r>
      <w:r w:rsidR="00921FD5">
        <w:tab/>
      </w:r>
      <w:r>
        <w:t>Poppy seed</w:t>
      </w:r>
      <w:r>
        <w:tab/>
      </w:r>
      <w:r>
        <w:tab/>
      </w:r>
      <w:r w:rsidR="00921FD5">
        <w:tab/>
      </w:r>
      <w:r w:rsidR="00921FD5">
        <w:tab/>
      </w:r>
      <w:r w:rsidR="00921FD5">
        <w:tab/>
      </w:r>
      <w:r w:rsidR="00921FD5">
        <w:tab/>
      </w:r>
      <w:r w:rsidR="00921FD5">
        <w:tab/>
      </w:r>
      <w:r w:rsidR="00921FD5">
        <w:tab/>
      </w:r>
      <w:r>
        <w:t>*0.01 mg/kg</w:t>
      </w:r>
    </w:p>
    <w:p w14:paraId="37A5B3FB" w14:textId="27C1E5D6" w:rsidR="009362D0" w:rsidRDefault="009362D0" w:rsidP="0004551E">
      <w:pPr>
        <w:pStyle w:val="NormalText"/>
      </w:pPr>
      <w:r>
        <w:t>The</w:t>
      </w:r>
      <w:r w:rsidR="00D96803" w:rsidRPr="00D96803">
        <w:t xml:space="preserve"> </w:t>
      </w:r>
      <w:r w:rsidR="00D96803">
        <w:t>supported harvest</w:t>
      </w:r>
      <w:r w:rsidR="00D96803" w:rsidRPr="00D96803">
        <w:t xml:space="preserve"> </w:t>
      </w:r>
      <w:r w:rsidR="00D96803">
        <w:t>withholding period for poppies is</w:t>
      </w:r>
      <w:r>
        <w:t xml:space="preserve"> 2 </w:t>
      </w:r>
      <w:r w:rsidR="00921FD5">
        <w:t>days</w:t>
      </w:r>
      <w:r>
        <w:t>.</w:t>
      </w:r>
    </w:p>
    <w:p w14:paraId="088E6A2E" w14:textId="77777777" w:rsidR="009362D0" w:rsidRDefault="009362D0" w:rsidP="0004551E">
      <w:pPr>
        <w:pStyle w:val="Heading3"/>
      </w:pPr>
      <w:bookmarkStart w:id="356" w:name="_Toc233039005"/>
      <w:r>
        <w:t>Pasture renovation and establishment</w:t>
      </w:r>
      <w:bookmarkEnd w:id="356"/>
    </w:p>
    <w:p w14:paraId="5A8C0CEC" w14:textId="014B8AFB" w:rsidR="009362D0" w:rsidRDefault="009362D0" w:rsidP="0004551E">
      <w:pPr>
        <w:pStyle w:val="NormalText"/>
      </w:pPr>
      <w:r>
        <w:t xml:space="preserve">The use supported by the environmental assessment for pasture renovation and establishment is for application at </w:t>
      </w:r>
      <w:r w:rsidR="00D239AA">
        <w:t>1</w:t>
      </w:r>
      <w:r>
        <w:t xml:space="preserve">88 g </w:t>
      </w:r>
      <w:r w:rsidR="001140CA">
        <w:t>ac/ha</w:t>
      </w:r>
      <w:r>
        <w:t xml:space="preserve">. It was noted earlier that it is not clear if all the residue results for grass were reported on a fresh or dry weight basis, with exception of the JMPR cereal trials which were expressed on a dry weight basis. </w:t>
      </w:r>
      <w:r w:rsidR="00D239AA" w:rsidRPr="00D239AA">
        <w:t xml:space="preserve">Residues of diquat in cereal straw 2-4 days after a pre-harvest application at 0.6 kg ai/ha were 0.27, 1.2, 1.8, 2.0, 2.4, 2.8 (3), 3.1, 3.3, 4.3, 5.6, 6.1, 6.2, 6.9, 23 and 26 mg/kg (dry weight). Scaled for application rate the HR is 8.1 mg/kg. It is also noted earlier that the levels of diquat residues in trials conducted on grasses and cereals were similar to those results found in legumes. </w:t>
      </w:r>
      <w:r>
        <w:t xml:space="preserve">Based on the assessment for lucerne above which was supported at the same application rate a Primary feed commodities MRL at </w:t>
      </w:r>
      <w:r w:rsidR="00D239AA">
        <w:t>3</w:t>
      </w:r>
      <w:r>
        <w:t xml:space="preserve">0 mg/kg will be established to cover these uses and will also cover crop establishment uses. The recommended grazing withholding period is </w:t>
      </w:r>
      <w:r w:rsidR="00921FD5">
        <w:t>one</w:t>
      </w:r>
      <w:r>
        <w:t xml:space="preserve"> day.</w:t>
      </w:r>
    </w:p>
    <w:p w14:paraId="368FA0BB" w14:textId="7D0D21C0" w:rsidR="00C572A3" w:rsidRDefault="00C572A3" w:rsidP="00C572A3">
      <w:pPr>
        <w:pStyle w:val="Heading3"/>
      </w:pPr>
      <w:bookmarkStart w:id="357" w:name="_Toc233039006"/>
      <w:r>
        <w:t>Sugarcane</w:t>
      </w:r>
      <w:bookmarkEnd w:id="357"/>
    </w:p>
    <w:p w14:paraId="1F0B497F" w14:textId="65BAF24D" w:rsidR="00C572A3" w:rsidRDefault="00C572A3" w:rsidP="00C572A3">
      <w:pPr>
        <w:pStyle w:val="NormalText"/>
      </w:pPr>
      <w:r>
        <w:t>Environment have supported the pre-harvest desiccation of sugarcane. However, as residue data are not available to support the over-the-top use or pre-harvest desiccation of sugarcane these uses are no longer supported.</w:t>
      </w:r>
    </w:p>
    <w:p w14:paraId="43EDAFB2" w14:textId="0F0F4EA1" w:rsidR="00C572A3" w:rsidRDefault="00C572A3" w:rsidP="00C572A3">
      <w:pPr>
        <w:pStyle w:val="NormalText"/>
      </w:pPr>
      <w:r>
        <w:t>Noting the results of the pre-emergent trials on rice and maize where residues were &lt;0.05 mg/kg, the sugarcane MRL at *0.05 mg/kg can remain in place to support the use of diquat as an aid in establishing sugarcane or controlling weeds in a fallow prior to sugarcane. The supported withholding period for the supported pre-emergent use on sugarcane is “Not required when used as directed”. The supported grazing withholding period is 1 day (see below).</w:t>
      </w:r>
    </w:p>
    <w:p w14:paraId="449FCE39" w14:textId="7D40F8A8" w:rsidR="0010643F" w:rsidRPr="00DE4AD4" w:rsidRDefault="0010643F" w:rsidP="00DE4AD4">
      <w:pPr>
        <w:pStyle w:val="Heading3"/>
      </w:pPr>
      <w:bookmarkStart w:id="358" w:name="_Toc233039007"/>
      <w:r w:rsidRPr="00DE4AD4">
        <w:lastRenderedPageBreak/>
        <w:t>Orchards (including bananas) and Vineyards: Citrus, Grapes, Pome fruit, Stone fruit, Tree nuts, Tropical fruit (edible peel), Tropical fruit (inedible peel, except pineapple)</w:t>
      </w:r>
      <w:bookmarkEnd w:id="358"/>
    </w:p>
    <w:p w14:paraId="1A3DC03C" w14:textId="77777777" w:rsidR="00D239AA" w:rsidRDefault="00D239AA" w:rsidP="00D239AA">
      <w:pPr>
        <w:pStyle w:val="NormalText"/>
      </w:pPr>
      <w:r>
        <w:t xml:space="preserve">These uses as a directed or inter-row spray were previously supported by Residues and MRLs at the LOQ were recommended for each crop group which remain appropriate. Use in vineyards will be covered by the berries MRL also at the LOQ as recommended below. The supported harvest withholding period is “Not required when used as directed”. </w:t>
      </w:r>
    </w:p>
    <w:p w14:paraId="18AE934C" w14:textId="54FC3595" w:rsidR="0010643F" w:rsidRDefault="00D239AA" w:rsidP="00D239AA">
      <w:pPr>
        <w:pStyle w:val="NormalText"/>
      </w:pPr>
      <w:r>
        <w:t>A higher application rate (300 g a</w:t>
      </w:r>
      <w:r w:rsidR="006436C4">
        <w:t>c</w:t>
      </w:r>
      <w:r>
        <w:t>/ha) has been supported for orchards and vineyards than in other potential grazing situations (up to 188 g a</w:t>
      </w:r>
      <w:r w:rsidR="006436C4">
        <w:t>c</w:t>
      </w:r>
      <w:r>
        <w:t>/ha for pasture). It is noted that the plant material within orchards and vineyards is not commonly traded so does not need to be covered by the Primary feed commodities MRL recommended above. Residues in treated plant material within orchards would not cause any exceedance of the current animal commodity MRLs as considered previously. The supported grazing withholding period for treated areas in orchards and vineyards is 1 day.</w:t>
      </w:r>
    </w:p>
    <w:p w14:paraId="672A2B6A" w14:textId="26AC79F7" w:rsidR="00C572A3" w:rsidRDefault="00735C60" w:rsidP="00C572A3">
      <w:pPr>
        <w:pStyle w:val="Heading3"/>
      </w:pPr>
      <w:r>
        <w:t xml:space="preserve"> </w:t>
      </w:r>
      <w:bookmarkStart w:id="359" w:name="_Toc233039008"/>
      <w:r>
        <w:t xml:space="preserve">Vegetables - </w:t>
      </w:r>
      <w:r w:rsidR="00C572A3">
        <w:t>Asparagus</w:t>
      </w:r>
      <w:bookmarkEnd w:id="359"/>
    </w:p>
    <w:p w14:paraId="47F69DBE" w14:textId="77777777" w:rsidR="00C572A3" w:rsidRDefault="00C572A3" w:rsidP="00C572A3">
      <w:pPr>
        <w:pStyle w:val="NormalText"/>
      </w:pPr>
      <w:r>
        <w:t>Environment has supported the use on asparagus prior to spear emergence. The continued use of diquat on stalk and stem vegetables (including the specific asparagus use) was not supported in the initial residue review evaluation without specific and reliable residue data for the representative crops as residue data for other vegetable crops had indicated a potential for finite residues from the current use in row crops and market gardens for some crop groups.</w:t>
      </w:r>
    </w:p>
    <w:p w14:paraId="3DEA61CB" w14:textId="6014DAB0" w:rsidR="00C572A3" w:rsidRPr="00C572A3" w:rsidRDefault="00C572A3" w:rsidP="00C572A3">
      <w:pPr>
        <w:pStyle w:val="NormalText"/>
      </w:pPr>
      <w:r>
        <w:t>However, in response to the initial consultation, Syngenta has submitted 2 European GLP residue studies on asparagus (see also evaluation of responses to the public consultation). In the first study, diquat was applied to the soil for control of weeds at 800 g a</w:t>
      </w:r>
      <w:r w:rsidR="006436C4">
        <w:t>c</w:t>
      </w:r>
      <w:r>
        <w:t>/ha with residues &lt;0.05 mg/kg (n = 2) in the spears at 3 – 4 days after treatment. In the second study, diquat was applied prior to spear emergence at 747 – 760 g a</w:t>
      </w:r>
      <w:r w:rsidR="006436C4">
        <w:t>c</w:t>
      </w:r>
      <w:r>
        <w:t>/ha with residues in the spears &lt;0.01 mg/kg (n = 2) at 11 – 20 days after treatment. Asparagus is only one representative crop for stalk and stem vegetables, with the others being celery and globe artichoke. The single trial provided previously for celery was considered not to be reliable. There is insufficient data to support the general use on the whole stalk and stem vegetable crop group. The general stalk and stem vegetable use is supported for asparagus only, along with the specific asparagus use prior to spear emergence. An MRL of *0.05 mg/kg is recommended for VS 0621 Asparagus in conjunction with a harvest withholding period of “Not required when used as directed”.</w:t>
      </w:r>
    </w:p>
    <w:p w14:paraId="1D2BCAA7" w14:textId="11F38CB7" w:rsidR="009362D0" w:rsidRPr="00B476E4" w:rsidRDefault="009362D0" w:rsidP="0004551E">
      <w:pPr>
        <w:pStyle w:val="Heading3"/>
      </w:pPr>
      <w:bookmarkStart w:id="360" w:name="_Toc233039009"/>
      <w:r w:rsidRPr="00A11A70">
        <w:t>Berries and other small fruit (except grapes)</w:t>
      </w:r>
      <w:bookmarkEnd w:id="360"/>
    </w:p>
    <w:p w14:paraId="340A1793" w14:textId="643FC414" w:rsidR="009362D0" w:rsidRDefault="009362D0" w:rsidP="0004551E">
      <w:pPr>
        <w:pStyle w:val="NormalText"/>
      </w:pPr>
      <w:r>
        <w:t xml:space="preserve">The entry recommended earlier into the MRL Standard for berries and small fruits, was at the LOQ with finite residues not expected to occur. This entry should therefore remain appropriate for the reduced rate supported by the environmental assessment </w:t>
      </w:r>
      <w:r w:rsidR="00770F3D">
        <w:t xml:space="preserve">and </w:t>
      </w:r>
      <w:r>
        <w:t xml:space="preserve">should </w:t>
      </w:r>
      <w:r w:rsidR="00770F3D">
        <w:t>in</w:t>
      </w:r>
      <w:r>
        <w:t xml:space="preserve">clude grapes as a use on </w:t>
      </w:r>
      <w:r w:rsidR="00770F3D">
        <w:t xml:space="preserve">vineyards </w:t>
      </w:r>
      <w:r>
        <w:t>has been supported.</w:t>
      </w:r>
    </w:p>
    <w:p w14:paraId="1A5FBB99" w14:textId="2D07E9DE" w:rsidR="009362D0" w:rsidRDefault="009362D0" w:rsidP="0004551E">
      <w:pPr>
        <w:pStyle w:val="Bullet1"/>
      </w:pPr>
      <w:r>
        <w:t>FB 0018</w:t>
      </w:r>
      <w:r w:rsidR="00921FD5">
        <w:tab/>
      </w:r>
      <w:r w:rsidR="00921FD5">
        <w:tab/>
      </w:r>
      <w:r>
        <w:t>Berries and other small fruits</w:t>
      </w:r>
      <w:r>
        <w:tab/>
      </w:r>
      <w:r>
        <w:tab/>
      </w:r>
      <w:r w:rsidR="00D96803">
        <w:tab/>
      </w:r>
      <w:r>
        <w:t>*0.05 mg/kg</w:t>
      </w:r>
    </w:p>
    <w:p w14:paraId="28B4F167" w14:textId="77777777" w:rsidR="009362D0" w:rsidRDefault="009362D0" w:rsidP="0004551E">
      <w:pPr>
        <w:pStyle w:val="NormalText"/>
      </w:pPr>
      <w:r>
        <w:t>As the use is targeting inter-row weeds and not the crop, a harvest withholding period statement of ‘Not Required when used as directed’ is supported for berries and other small fruit.</w:t>
      </w:r>
    </w:p>
    <w:p w14:paraId="4EBBE161" w14:textId="0E9B7677" w:rsidR="009362D0" w:rsidRPr="00796603" w:rsidRDefault="00735C60" w:rsidP="0004551E">
      <w:pPr>
        <w:pStyle w:val="Heading3"/>
      </w:pPr>
      <w:bookmarkStart w:id="361" w:name="_Toc233039010"/>
      <w:r>
        <w:lastRenderedPageBreak/>
        <w:t xml:space="preserve">Vegetables - </w:t>
      </w:r>
      <w:r w:rsidR="009362D0" w:rsidRPr="008F548C">
        <w:t>Brassica vegetables: broccoli, head cabbages, cauliflower and Chinese cabbage (type Pe-tsai)</w:t>
      </w:r>
      <w:bookmarkEnd w:id="361"/>
    </w:p>
    <w:p w14:paraId="18C23476" w14:textId="77777777" w:rsidR="009362D0" w:rsidRDefault="009362D0" w:rsidP="0004551E">
      <w:pPr>
        <w:pStyle w:val="NormalText"/>
      </w:pPr>
      <w:r>
        <w:t>The entries into the MRL Standard recommended earlier for selected Brassica vegetables were at the LOQ with finite residues not expected to occur. These entries should remain appropriate for the reduced rate supported by the environmental assessment:</w:t>
      </w:r>
    </w:p>
    <w:p w14:paraId="15AB02D7" w14:textId="19158CB5" w:rsidR="009362D0" w:rsidRPr="001C28C0" w:rsidRDefault="009362D0" w:rsidP="0004551E">
      <w:pPr>
        <w:pStyle w:val="Bullet1"/>
      </w:pPr>
      <w:r w:rsidRPr="001C28C0">
        <w:t xml:space="preserve">VB 0400 </w:t>
      </w:r>
      <w:r w:rsidRPr="001C28C0">
        <w:tab/>
        <w:t xml:space="preserve">Broccoli </w:t>
      </w:r>
      <w:r w:rsidRPr="001C28C0">
        <w:tab/>
      </w:r>
      <w:r w:rsidRPr="001C28C0">
        <w:tab/>
      </w:r>
      <w:r w:rsidRPr="001C28C0">
        <w:tab/>
      </w:r>
      <w:r w:rsidRPr="001C28C0">
        <w:tab/>
      </w:r>
      <w:r w:rsidRPr="001C28C0">
        <w:tab/>
      </w:r>
      <w:r w:rsidR="00D96803">
        <w:tab/>
      </w:r>
      <w:r w:rsidR="00D96803">
        <w:tab/>
      </w:r>
      <w:r w:rsidR="00D96803">
        <w:tab/>
      </w:r>
      <w:r w:rsidRPr="001C28C0">
        <w:t>*0.02 mg/kg</w:t>
      </w:r>
    </w:p>
    <w:p w14:paraId="5C98B337" w14:textId="28FB87EB" w:rsidR="009362D0" w:rsidRPr="00D8157A" w:rsidRDefault="009362D0" w:rsidP="0004551E">
      <w:pPr>
        <w:pStyle w:val="Bullet1"/>
      </w:pPr>
      <w:r w:rsidRPr="00D8157A">
        <w:t>VB 0</w:t>
      </w:r>
      <w:r>
        <w:t>0</w:t>
      </w:r>
      <w:r w:rsidRPr="00D8157A">
        <w:t xml:space="preserve">41 </w:t>
      </w:r>
      <w:r w:rsidRPr="00D8157A">
        <w:tab/>
        <w:t xml:space="preserve">Cabbages, </w:t>
      </w:r>
      <w:r>
        <w:t>h</w:t>
      </w:r>
      <w:r w:rsidRPr="00D8157A">
        <w:t>ead</w:t>
      </w:r>
      <w:r w:rsidRPr="00D8157A">
        <w:tab/>
      </w:r>
      <w:r>
        <w:tab/>
      </w:r>
      <w:r>
        <w:tab/>
      </w:r>
      <w:r>
        <w:tab/>
      </w:r>
      <w:r w:rsidR="00D96803">
        <w:tab/>
      </w:r>
      <w:r w:rsidR="00D96803">
        <w:tab/>
      </w:r>
      <w:r w:rsidR="00D96803">
        <w:tab/>
      </w:r>
      <w:r w:rsidRPr="00D8157A">
        <w:t>*0.02 mg/kg</w:t>
      </w:r>
    </w:p>
    <w:p w14:paraId="69203F43" w14:textId="0EE37EE9" w:rsidR="009362D0" w:rsidRPr="00D8157A" w:rsidRDefault="009362D0" w:rsidP="0004551E">
      <w:pPr>
        <w:pStyle w:val="Bullet1"/>
      </w:pPr>
      <w:r w:rsidRPr="00D8157A">
        <w:t xml:space="preserve">VB 0404 </w:t>
      </w:r>
      <w:r w:rsidRPr="00D8157A">
        <w:tab/>
        <w:t>Cauliflower</w:t>
      </w:r>
      <w:r w:rsidRPr="00D8157A">
        <w:tab/>
      </w:r>
      <w:r w:rsidRPr="00D8157A">
        <w:tab/>
        <w:t xml:space="preserve"> </w:t>
      </w:r>
      <w:r w:rsidRPr="00D8157A">
        <w:tab/>
      </w:r>
      <w:r>
        <w:tab/>
      </w:r>
      <w:r>
        <w:tab/>
      </w:r>
      <w:r w:rsidR="00D96803">
        <w:tab/>
      </w:r>
      <w:r w:rsidR="00D96803">
        <w:tab/>
      </w:r>
      <w:r w:rsidR="00D96803">
        <w:tab/>
      </w:r>
      <w:r w:rsidRPr="00D8157A">
        <w:t>*0.02 mg/kg</w:t>
      </w:r>
    </w:p>
    <w:p w14:paraId="1527D7F7" w14:textId="3E9B2504" w:rsidR="009362D0" w:rsidRPr="00D8157A" w:rsidRDefault="009362D0" w:rsidP="0004551E">
      <w:pPr>
        <w:pStyle w:val="Bullet1"/>
      </w:pPr>
      <w:r w:rsidRPr="00D8157A">
        <w:t xml:space="preserve">VB 0467 </w:t>
      </w:r>
      <w:r w:rsidRPr="00D8157A">
        <w:tab/>
        <w:t>Chinese cabbage (type</w:t>
      </w:r>
      <w:r>
        <w:t xml:space="preserve"> Pe-tsai)</w:t>
      </w:r>
      <w:r w:rsidRPr="00D8157A">
        <w:tab/>
      </w:r>
      <w:r w:rsidRPr="00D8157A">
        <w:tab/>
      </w:r>
      <w:r w:rsidR="00D96803">
        <w:tab/>
      </w:r>
      <w:r w:rsidR="00D96803">
        <w:tab/>
      </w:r>
      <w:r w:rsidR="00D96803">
        <w:tab/>
      </w:r>
      <w:r w:rsidRPr="00D8157A">
        <w:t>*0.02 mg/kg</w:t>
      </w:r>
    </w:p>
    <w:p w14:paraId="4F0B8D80" w14:textId="77777777" w:rsidR="009362D0" w:rsidRDefault="009362D0" w:rsidP="0004551E">
      <w:pPr>
        <w:pStyle w:val="NormalText"/>
      </w:pPr>
      <w:r>
        <w:t>As the use is pre-emergence or by shielded spray, a harvest withholding period statement of ‘Not Required when used as directed’ is supported for broccoli, cauliflower, cabbage and Chinese cabbage.</w:t>
      </w:r>
    </w:p>
    <w:p w14:paraId="53CD8D2C" w14:textId="318E2593" w:rsidR="0044479F" w:rsidRDefault="0044479F" w:rsidP="0004551E">
      <w:pPr>
        <w:pStyle w:val="NormalText"/>
      </w:pPr>
      <w:r w:rsidRPr="0044479F">
        <w:t>As before, in the absence of residues data for Brussels sprouts, which is a representative crop, use in Brussels sprouts or the entire brassica vegetable crop group is not supported due to a lack of relevant residues data (for Brussels sprouts).</w:t>
      </w:r>
    </w:p>
    <w:p w14:paraId="1233ADA3" w14:textId="1D9A830F" w:rsidR="009362D0" w:rsidRPr="00DE4AD4" w:rsidRDefault="00735C60" w:rsidP="00DE4AD4">
      <w:pPr>
        <w:pStyle w:val="Heading3"/>
      </w:pPr>
      <w:bookmarkStart w:id="362" w:name="_Toc233039011"/>
      <w:r w:rsidRPr="00DE4AD4">
        <w:t xml:space="preserve">Vegetables - </w:t>
      </w:r>
      <w:r w:rsidR="00D96803" w:rsidRPr="00DE4AD4">
        <w:t>B</w:t>
      </w:r>
      <w:r w:rsidR="009362D0" w:rsidRPr="00DE4AD4">
        <w:t>ulb vegetables:</w:t>
      </w:r>
      <w:r w:rsidR="00D96803" w:rsidRPr="00DE4AD4">
        <w:t xml:space="preserve"> </w:t>
      </w:r>
      <w:r w:rsidR="009362D0" w:rsidRPr="00DE4AD4">
        <w:t>bulb onions</w:t>
      </w:r>
      <w:bookmarkEnd w:id="362"/>
    </w:p>
    <w:p w14:paraId="6398FE56" w14:textId="47058D6D" w:rsidR="009362D0" w:rsidRDefault="009362D0" w:rsidP="0004551E">
      <w:pPr>
        <w:pStyle w:val="NormalText"/>
      </w:pPr>
      <w:r>
        <w:t xml:space="preserve">The </w:t>
      </w:r>
      <w:r w:rsidR="00E07A4D">
        <w:t>high</w:t>
      </w:r>
      <w:r w:rsidR="002E2C30">
        <w:t>est</w:t>
      </w:r>
      <w:r w:rsidR="00E07A4D">
        <w:t xml:space="preserve"> residue</w:t>
      </w:r>
      <w:r>
        <w:t xml:space="preserve">s reported in bulb onions which was relevant to the Australian use rate of 0.8 kg </w:t>
      </w:r>
      <w:r w:rsidR="001140CA">
        <w:t>ac/ha</w:t>
      </w:r>
      <w:r>
        <w:t xml:space="preserve"> was </w:t>
      </w:r>
      <w:r w:rsidRPr="00B30C78">
        <w:t xml:space="preserve">0.10 mg/kg after 3 applications of 0.8 kg </w:t>
      </w:r>
      <w:r w:rsidR="001140CA">
        <w:t>ac/ha</w:t>
      </w:r>
      <w:r>
        <w:t xml:space="preserve">. Scaled for the application rate of 283 g </w:t>
      </w:r>
      <w:r w:rsidR="001140CA">
        <w:t>ac/ha</w:t>
      </w:r>
      <w:r>
        <w:t xml:space="preserve"> supported by the environmental assessment, the estimated HR is 0.035 mg/kg.</w:t>
      </w:r>
    </w:p>
    <w:p w14:paraId="7F621074" w14:textId="77777777" w:rsidR="009362D0" w:rsidRDefault="009362D0" w:rsidP="0004551E">
      <w:pPr>
        <w:pStyle w:val="NormalText"/>
      </w:pPr>
      <w:r>
        <w:t>The recommended entry into the MRL Standard for bulb onions is:</w:t>
      </w:r>
    </w:p>
    <w:p w14:paraId="4FD1DF0F" w14:textId="41D2C0AE" w:rsidR="009362D0" w:rsidRDefault="009362D0" w:rsidP="0004551E">
      <w:pPr>
        <w:pStyle w:val="Bullet1"/>
      </w:pPr>
      <w:r>
        <w:t>VA 2031</w:t>
      </w:r>
      <w:r w:rsidR="002E2C30">
        <w:tab/>
      </w:r>
      <w:r w:rsidR="002E2C30">
        <w:tab/>
      </w:r>
      <w:r>
        <w:t>Bulb onions</w:t>
      </w:r>
      <w:r>
        <w:tab/>
      </w:r>
      <w:r>
        <w:tab/>
      </w:r>
      <w:r w:rsidR="00D96803">
        <w:tab/>
      </w:r>
      <w:r w:rsidR="00D96803">
        <w:tab/>
      </w:r>
      <w:r w:rsidR="00D96803">
        <w:tab/>
      </w:r>
      <w:r w:rsidR="00D96803">
        <w:tab/>
      </w:r>
      <w:r w:rsidR="00D96803">
        <w:tab/>
      </w:r>
      <w:r w:rsidR="00921FD5">
        <w:tab/>
      </w:r>
      <w:r>
        <w:t>0.07 mg/kg</w:t>
      </w:r>
    </w:p>
    <w:p w14:paraId="2DC5FCC3" w14:textId="27C904B9" w:rsidR="009362D0" w:rsidRDefault="009362D0" w:rsidP="0004551E">
      <w:pPr>
        <w:pStyle w:val="NormalText"/>
      </w:pPr>
      <w:r>
        <w:t xml:space="preserve">Although the </w:t>
      </w:r>
      <w:r w:rsidR="009E3126">
        <w:t>HR</w:t>
      </w:r>
      <w:r>
        <w:t xml:space="preserve"> was observed at 6</w:t>
      </w:r>
      <w:r w:rsidR="00921FD5">
        <w:t>–</w:t>
      </w:r>
      <w:r>
        <w:t xml:space="preserve">7 days after application at 0.8 kg </w:t>
      </w:r>
      <w:r w:rsidR="001140CA">
        <w:t>ac/ha</w:t>
      </w:r>
      <w:r>
        <w:t xml:space="preserve">, a </w:t>
      </w:r>
      <w:r w:rsidR="00921FD5">
        <w:t>‘</w:t>
      </w:r>
      <w:r>
        <w:t>Not required when used as directed</w:t>
      </w:r>
      <w:r w:rsidR="00921FD5">
        <w:t>’</w:t>
      </w:r>
      <w:r>
        <w:t xml:space="preserve"> withholding period is considered suitable for shielded spray application post emergence, noting also that lower residues were observed immediately after application and that an MRL has been recommended to cover the observed </w:t>
      </w:r>
      <w:r w:rsidR="009E3126">
        <w:t>HR</w:t>
      </w:r>
      <w:r>
        <w:t>.</w:t>
      </w:r>
    </w:p>
    <w:p w14:paraId="79C4A85F" w14:textId="531A35B5" w:rsidR="0044479F" w:rsidRDefault="0044479F" w:rsidP="0004551E">
      <w:pPr>
        <w:pStyle w:val="NormalText"/>
      </w:pPr>
      <w:r w:rsidRPr="0044479F">
        <w:t>As before, the available diquat residues data supports continued use in the bulb onion subgroup, which includes bulb onions, shallots and garlic (among others). In the absence of residues data for spring onion or other members of the green onion subgroup, continued use in members of the green onion subgroup is not supported noting that finite residues may be expected and a robust assessment of the potential for residues in green onions cannot be performed without specific residues data.</w:t>
      </w:r>
    </w:p>
    <w:p w14:paraId="5AD5F796" w14:textId="4C2BFDC6" w:rsidR="0044479F" w:rsidRDefault="00735C60" w:rsidP="0044479F">
      <w:pPr>
        <w:pStyle w:val="Heading3"/>
      </w:pPr>
      <w:bookmarkStart w:id="363" w:name="_Toc233039012"/>
      <w:r>
        <w:t xml:space="preserve">Vegetables - </w:t>
      </w:r>
      <w:r w:rsidR="0044479F">
        <w:t>Fruiting vegetables, cucurbits</w:t>
      </w:r>
      <w:bookmarkEnd w:id="363"/>
    </w:p>
    <w:p w14:paraId="1A057E44" w14:textId="200A2B52" w:rsidR="0044479F" w:rsidRDefault="0044479F" w:rsidP="0044479F">
      <w:pPr>
        <w:pStyle w:val="NormalText"/>
      </w:pPr>
      <w:r>
        <w:t xml:space="preserve">This use was originally not supported </w:t>
      </w:r>
      <w:r w:rsidR="00770F3D">
        <w:t xml:space="preserve">with respect to Residues and Trade </w:t>
      </w:r>
      <w:r>
        <w:t>but has been supported for cucumber only post consultation.</w:t>
      </w:r>
    </w:p>
    <w:p w14:paraId="3EF20E3E" w14:textId="051A1C93" w:rsidR="0044479F" w:rsidRPr="0044479F" w:rsidRDefault="0044479F" w:rsidP="0044479F">
      <w:pPr>
        <w:pStyle w:val="NormalText"/>
      </w:pPr>
      <w:r>
        <w:lastRenderedPageBreak/>
        <w:t>Syngenta has submitted 5 European GLP residue studies conducted on field (5 trials) and protected (6 trials) cucumbers (see also evaluation of responses to the public consultation). In 11 trials involving inter-row application at 953 – 1232 g a</w:t>
      </w:r>
      <w:r w:rsidR="006436C4">
        <w:t>c</w:t>
      </w:r>
      <w:r>
        <w:t>/ha (3.4× - 4.4×) highest residues at 0 – 8 days after treatment were &lt;0.01 (7), 0.02 (2), &lt;0.05 and 0.05 mg/kg. Residues were detected both in the field and in protected situations. Scaled for application rate residues are &lt;0.01 (9) and &lt;0.05 (2) mg/kg. Cucumber is a representative crop for cucurbits, but data for cantaloupe and summer squash are also required to support use on the whole crop group. Given that detectable residues were found in cucumber, the use is supported for cucumber only, not the cucurbit crop group. An MRL of *0.05 mg/kg is supported for VC 0424 Cucumber in conjunction with a harvest withholding period of “Not required when used as directed”.</w:t>
      </w:r>
    </w:p>
    <w:p w14:paraId="63BEF901" w14:textId="0EFE5F34" w:rsidR="009362D0" w:rsidRDefault="00735C60" w:rsidP="0004551E">
      <w:pPr>
        <w:pStyle w:val="Heading3"/>
      </w:pPr>
      <w:bookmarkStart w:id="364" w:name="_Toc233039013"/>
      <w:r>
        <w:t>Vegetables</w:t>
      </w:r>
      <w:r w:rsidRPr="00BE0F45">
        <w:t xml:space="preserve"> </w:t>
      </w:r>
      <w:r>
        <w:t xml:space="preserve">- </w:t>
      </w:r>
      <w:r w:rsidR="009362D0" w:rsidRPr="00BE0F45">
        <w:t xml:space="preserve">Fruiting </w:t>
      </w:r>
      <w:r w:rsidR="00921FD5">
        <w:t>v</w:t>
      </w:r>
      <w:r w:rsidR="009362D0" w:rsidRPr="00BE0F45">
        <w:t>egetables</w:t>
      </w:r>
      <w:r w:rsidR="00D96803">
        <w:t xml:space="preserve"> </w:t>
      </w:r>
      <w:r w:rsidR="009362D0" w:rsidRPr="00BE0F45">
        <w:t>other than cucurbits</w:t>
      </w:r>
      <w:bookmarkEnd w:id="364"/>
    </w:p>
    <w:p w14:paraId="3063944C" w14:textId="1E57F5EA" w:rsidR="009362D0" w:rsidRDefault="009362D0" w:rsidP="0004551E">
      <w:pPr>
        <w:pStyle w:val="NormalText"/>
      </w:pPr>
      <w:r>
        <w:t xml:space="preserve">The entry into the MRL Standard recommended earlier for </w:t>
      </w:r>
      <w:r w:rsidR="00921FD5">
        <w:t>f</w:t>
      </w:r>
      <w:r>
        <w:t>ruiting vegetables, other than cucurbits was at the predominant LOQ in the available trials of 0.01 mg/kg, noting that finite residues were not expected to occur. This entry should remain appropriate for the reduced rate supported by the environmental assessment.</w:t>
      </w:r>
    </w:p>
    <w:p w14:paraId="7B649F53" w14:textId="04A90917" w:rsidR="009362D0" w:rsidRDefault="009362D0" w:rsidP="0004551E">
      <w:pPr>
        <w:pStyle w:val="Bullet1"/>
      </w:pPr>
      <w:r>
        <w:t>VO 0050</w:t>
      </w:r>
      <w:r w:rsidR="00921FD5">
        <w:tab/>
      </w:r>
      <w:r w:rsidR="00921FD5">
        <w:tab/>
      </w:r>
      <w:r>
        <w:t>Fruiting vegetables, other than cucurbits</w:t>
      </w:r>
      <w:r>
        <w:tab/>
      </w:r>
      <w:r>
        <w:tab/>
      </w:r>
      <w:r w:rsidR="00D96803">
        <w:tab/>
      </w:r>
      <w:r w:rsidR="00D96803">
        <w:tab/>
      </w:r>
      <w:r>
        <w:t>*0.01 mg/kg</w:t>
      </w:r>
    </w:p>
    <w:p w14:paraId="04EC0C5D" w14:textId="02638DDB" w:rsidR="009362D0" w:rsidRDefault="009362D0" w:rsidP="0004551E">
      <w:pPr>
        <w:pStyle w:val="NormalText"/>
      </w:pPr>
      <w:r>
        <w:t xml:space="preserve">As the use is pre-emergence or by shielded spray, a harvest withholding period statement of ‘Not Required when used as directed’ is supported for </w:t>
      </w:r>
      <w:r w:rsidR="00921FD5">
        <w:t>f</w:t>
      </w:r>
      <w:r>
        <w:t>ruiting vegetables, other than cucurbits.</w:t>
      </w:r>
    </w:p>
    <w:p w14:paraId="22F97A0A" w14:textId="26AA3424" w:rsidR="009362D0" w:rsidRDefault="00735C60" w:rsidP="0004551E">
      <w:pPr>
        <w:pStyle w:val="Heading3"/>
      </w:pPr>
      <w:bookmarkStart w:id="365" w:name="_Toc233039014"/>
      <w:r>
        <w:t xml:space="preserve">Vegetables - </w:t>
      </w:r>
      <w:r w:rsidR="009362D0" w:rsidRPr="00D54862">
        <w:t>Leafy vegetables</w:t>
      </w:r>
      <w:bookmarkEnd w:id="365"/>
    </w:p>
    <w:p w14:paraId="57CB978A" w14:textId="5335C20F" w:rsidR="009362D0" w:rsidRDefault="009362D0" w:rsidP="0004551E">
      <w:pPr>
        <w:pStyle w:val="NormalText"/>
      </w:pPr>
      <w:r>
        <w:t xml:space="preserve">In trials that involved one to </w:t>
      </w:r>
      <w:r w:rsidR="00921FD5">
        <w:t>2</w:t>
      </w:r>
      <w:r>
        <w:t xml:space="preserve"> applications at rates approximate to the Australian rate (0.7–1 kg </w:t>
      </w:r>
      <w:r w:rsidR="001140CA">
        <w:t>ac/ha</w:t>
      </w:r>
      <w:r>
        <w:t>), residues were &lt;0.01, 0.01, &lt;0.02 (2), 0.03, 0.05 and 0.07 mg/kg at a 7</w:t>
      </w:r>
      <w:r w:rsidR="00921FD5">
        <w:t>–</w:t>
      </w:r>
      <w:r>
        <w:t>10 day PHI. Application rates were approximately 3× that supported by the environment assessment. Scaled for the supported rate residues are estimated as &lt;0.01</w:t>
      </w:r>
      <w:r w:rsidR="00921FD5">
        <w:t> </w:t>
      </w:r>
      <w:r>
        <w:t>(2), &lt;0.02 (2), 0.01 and 0.02 (2) mg/kg. The OECD MRL Calculator recommends an MRL of 0.04</w:t>
      </w:r>
      <w:r w:rsidR="00921FD5">
        <w:t> </w:t>
      </w:r>
      <w:r>
        <w:t>mg/kg. The recommended entry into the MRL Standard for Leafy vegetables based on the rate supported by the environmental assessment is:</w:t>
      </w:r>
    </w:p>
    <w:p w14:paraId="59737CF6" w14:textId="60B7F49A" w:rsidR="009362D0" w:rsidRDefault="009362D0" w:rsidP="0004551E">
      <w:pPr>
        <w:pStyle w:val="Bullet1"/>
      </w:pPr>
      <w:r>
        <w:t>VL 0053</w:t>
      </w:r>
      <w:r w:rsidR="00921FD5">
        <w:tab/>
      </w:r>
      <w:r w:rsidR="00921FD5">
        <w:tab/>
      </w:r>
      <w:r>
        <w:t>Leafy vegetables</w:t>
      </w:r>
      <w:r>
        <w:tab/>
      </w:r>
      <w:r>
        <w:tab/>
      </w:r>
      <w:r w:rsidR="00D96803">
        <w:tab/>
      </w:r>
      <w:r w:rsidR="00D96803">
        <w:tab/>
      </w:r>
      <w:r w:rsidR="00D96803">
        <w:tab/>
      </w:r>
      <w:r w:rsidR="00D96803">
        <w:tab/>
      </w:r>
      <w:r w:rsidR="00D96803">
        <w:tab/>
      </w:r>
      <w:r>
        <w:t>0.05 mg/kg</w:t>
      </w:r>
    </w:p>
    <w:p w14:paraId="60193354" w14:textId="77777777" w:rsidR="009362D0" w:rsidRDefault="009362D0" w:rsidP="0004551E">
      <w:pPr>
        <w:pStyle w:val="NormalText"/>
      </w:pPr>
      <w:r>
        <w:t>As the use is pre-emergence or by shielded spray, a harvest withholding period statement of ‘Not Required when used as directed’ is supported for leafy vegetables.</w:t>
      </w:r>
    </w:p>
    <w:p w14:paraId="06C5E7CA" w14:textId="00ED5C96" w:rsidR="009362D0" w:rsidRPr="00796603" w:rsidRDefault="00735C60" w:rsidP="0004551E">
      <w:pPr>
        <w:pStyle w:val="Heading3"/>
      </w:pPr>
      <w:bookmarkStart w:id="366" w:name="_Toc233039015"/>
      <w:r>
        <w:t>Vegetables</w:t>
      </w:r>
      <w:r w:rsidRPr="00D40AD1">
        <w:t xml:space="preserve"> </w:t>
      </w:r>
      <w:r>
        <w:t xml:space="preserve">- </w:t>
      </w:r>
      <w:r w:rsidR="009362D0" w:rsidRPr="00D40AD1">
        <w:t>Legume vegetables</w:t>
      </w:r>
      <w:bookmarkEnd w:id="366"/>
    </w:p>
    <w:p w14:paraId="7159ED4C" w14:textId="77777777" w:rsidR="009362D0" w:rsidRDefault="009362D0" w:rsidP="0004551E">
      <w:pPr>
        <w:pStyle w:val="NormalText"/>
      </w:pPr>
      <w:r>
        <w:t>The entry recommended earlier into the MRL Standard for legume vegetables was at the LOQ, with finite residues not expected to occur. This entry should remain appropriate for the reduced rate supported by the environmental assessment:</w:t>
      </w:r>
    </w:p>
    <w:p w14:paraId="466DFED5" w14:textId="74BA6409" w:rsidR="009362D0" w:rsidRDefault="009362D0" w:rsidP="0004551E">
      <w:pPr>
        <w:pStyle w:val="Bullet1"/>
      </w:pPr>
      <w:r>
        <w:t>VP 0060</w:t>
      </w:r>
      <w:r w:rsidR="00921FD5">
        <w:tab/>
      </w:r>
      <w:r w:rsidR="00921FD5">
        <w:tab/>
      </w:r>
      <w:r>
        <w:t>Legume vegetables</w:t>
      </w:r>
      <w:r>
        <w:tab/>
      </w:r>
      <w:r>
        <w:tab/>
      </w:r>
      <w:r w:rsidR="00D96803">
        <w:tab/>
      </w:r>
      <w:r w:rsidR="00D96803">
        <w:tab/>
      </w:r>
      <w:r w:rsidR="00D96803">
        <w:tab/>
      </w:r>
      <w:r w:rsidR="00D96803">
        <w:tab/>
      </w:r>
      <w:r w:rsidR="00D96803">
        <w:tab/>
      </w:r>
      <w:r>
        <w:t>*0.05 mg/kg</w:t>
      </w:r>
    </w:p>
    <w:p w14:paraId="220ED9CE" w14:textId="77777777" w:rsidR="009362D0" w:rsidRDefault="009362D0" w:rsidP="0004551E">
      <w:pPr>
        <w:pStyle w:val="NormalText"/>
      </w:pPr>
      <w:r>
        <w:t>As the use is pre-emergence or by shielded spray, a harvest withholding period statement of ‘Not Required when used as directed’ is supported for legume vegetables.</w:t>
      </w:r>
    </w:p>
    <w:p w14:paraId="7F57DEC3" w14:textId="69E355EC" w:rsidR="009362D0" w:rsidRPr="00796603" w:rsidRDefault="00735C60" w:rsidP="0004551E">
      <w:pPr>
        <w:pStyle w:val="Heading3"/>
      </w:pPr>
      <w:bookmarkStart w:id="367" w:name="_Toc233039016"/>
      <w:r>
        <w:lastRenderedPageBreak/>
        <w:t xml:space="preserve">Vegetables - </w:t>
      </w:r>
      <w:r w:rsidR="00D96803">
        <w:t>R</w:t>
      </w:r>
      <w:r w:rsidR="009362D0" w:rsidRPr="00D40AD1">
        <w:t>oot and tuber vegetables</w:t>
      </w:r>
      <w:bookmarkEnd w:id="367"/>
    </w:p>
    <w:p w14:paraId="6909CC4F" w14:textId="21079763" w:rsidR="009362D0" w:rsidRDefault="009362D0" w:rsidP="0004551E">
      <w:pPr>
        <w:pStyle w:val="NormalText"/>
      </w:pPr>
      <w:r w:rsidRPr="00DA630D">
        <w:t xml:space="preserve">There were </w:t>
      </w:r>
      <w:r>
        <w:t>13 overseas carrot</w:t>
      </w:r>
      <w:r w:rsidRPr="00DA630D">
        <w:t xml:space="preserve"> trials conducted as pre-emergence and post-emergence weed control. Residues of diquat in these trials w</w:t>
      </w:r>
      <w:r>
        <w:t>ere</w:t>
      </w:r>
      <w:r w:rsidRPr="00DA630D">
        <w:t xml:space="preserve"> generally &lt;0.02 mg/kg, with a maximum of 0.07 mg/kg recorded in samples taken 14</w:t>
      </w:r>
      <w:r w:rsidR="00921FD5">
        <w:t> </w:t>
      </w:r>
      <w:r w:rsidRPr="00DA630D">
        <w:t xml:space="preserve">days after an application of 1.0 kg </w:t>
      </w:r>
      <w:r w:rsidR="001140CA">
        <w:t>ac/ha</w:t>
      </w:r>
      <w:r>
        <w:t xml:space="preserve"> (3.5× the rate supported by environment)</w:t>
      </w:r>
      <w:r w:rsidRPr="00DA630D">
        <w:t xml:space="preserve">. The maximum residue recorded after application </w:t>
      </w:r>
      <w:r>
        <w:t>at</w:t>
      </w:r>
      <w:r w:rsidRPr="00DA630D">
        <w:t xml:space="preserve"> 0.8 kg </w:t>
      </w:r>
      <w:r w:rsidR="001140CA">
        <w:t>ac/ha</w:t>
      </w:r>
      <w:r w:rsidRPr="00DA630D">
        <w:t xml:space="preserve"> </w:t>
      </w:r>
      <w:r>
        <w:t xml:space="preserve">(2.8× the maximum rate supported by environment) </w:t>
      </w:r>
      <w:r w:rsidRPr="00DA630D">
        <w:t>was 0.04</w:t>
      </w:r>
      <w:r w:rsidR="00921FD5">
        <w:t> </w:t>
      </w:r>
      <w:r w:rsidRPr="00DA630D">
        <w:t xml:space="preserve">mg/kg in the same trial (14 day PHI). In </w:t>
      </w:r>
      <w:r>
        <w:t>another</w:t>
      </w:r>
      <w:r w:rsidRPr="00DA630D">
        <w:t xml:space="preserve"> trial, residues were all &lt;0.02 mg/kg in samples taken </w:t>
      </w:r>
      <w:r w:rsidR="00921FD5">
        <w:t>one</w:t>
      </w:r>
      <w:r w:rsidRPr="00DA630D">
        <w:t>, 7, 13 and 20</w:t>
      </w:r>
      <w:r w:rsidR="00921FD5">
        <w:t> </w:t>
      </w:r>
      <w:r w:rsidRPr="00DA630D">
        <w:t>days after an inter-row weed control application of 0.8 kg a</w:t>
      </w:r>
      <w:r w:rsidR="006436C4">
        <w:t>c</w:t>
      </w:r>
      <w:r w:rsidRPr="00DA630D">
        <w:t xml:space="preserve">/ha. The PHI in all these trials ranged from </w:t>
      </w:r>
      <w:r w:rsidR="00921FD5">
        <w:t xml:space="preserve">one to </w:t>
      </w:r>
      <w:r w:rsidRPr="00DA630D">
        <w:t>123</w:t>
      </w:r>
      <w:r w:rsidR="00921FD5">
        <w:t> </w:t>
      </w:r>
      <w:r w:rsidRPr="00DA630D">
        <w:t xml:space="preserve">days and the shorter intervals would not reflect </w:t>
      </w:r>
      <w:r>
        <w:t>typical agronomic practice</w:t>
      </w:r>
      <w:r w:rsidRPr="00DA630D">
        <w:t xml:space="preserve"> where application as a </w:t>
      </w:r>
      <w:r>
        <w:t>pre</w:t>
      </w:r>
      <w:r w:rsidRPr="00DA630D">
        <w:t>-emergence weed control is earlier in the crop growth cycle</w:t>
      </w:r>
      <w:r>
        <w:t>, or via shielded sprayer later in the growing cycle</w:t>
      </w:r>
      <w:r w:rsidRPr="00DA630D">
        <w:t>.</w:t>
      </w:r>
    </w:p>
    <w:p w14:paraId="37EFDB13" w14:textId="793895A9" w:rsidR="009362D0" w:rsidRDefault="009362D0" w:rsidP="0004551E">
      <w:pPr>
        <w:pStyle w:val="NormalText"/>
      </w:pPr>
      <w:r>
        <w:t xml:space="preserve">Diquat residues in root and tuber vegetables after pre-emergent or post emergent shielded spray application will be covered by an MRL recommended at 0.05 mg/kg in conjunction with a </w:t>
      </w:r>
      <w:r w:rsidR="00921FD5">
        <w:t>‘</w:t>
      </w:r>
      <w:r>
        <w:t>Not required when used as directed</w:t>
      </w:r>
      <w:r w:rsidR="00921FD5">
        <w:t>’</w:t>
      </w:r>
      <w:r>
        <w:t xml:space="preserve"> harvest withholding period (the sugar beet MRL at 0.1 mg/kg will be deleted). This group MRL will cover the HR of 0.07 mg/kg observed in carrots after a pre-emergence application when scaled for application rate (HR = 0.02</w:t>
      </w:r>
      <w:r w:rsidR="00921FD5">
        <w:t> </w:t>
      </w:r>
      <w:r>
        <w:t xml:space="preserve">mg/kg when scaled for the supported application rate of 0.283 kg </w:t>
      </w:r>
      <w:r w:rsidR="001140CA">
        <w:t>ac/ha</w:t>
      </w:r>
      <w:r>
        <w:t>).</w:t>
      </w:r>
    </w:p>
    <w:p w14:paraId="07B442B8" w14:textId="77777777" w:rsidR="009362D0" w:rsidRDefault="009362D0" w:rsidP="0004551E">
      <w:pPr>
        <w:pStyle w:val="NormalText"/>
      </w:pPr>
      <w:r>
        <w:t>The supported MRL is:</w:t>
      </w:r>
    </w:p>
    <w:p w14:paraId="533AD1A2" w14:textId="74B3D3E2" w:rsidR="009362D0" w:rsidRDefault="009362D0" w:rsidP="0004551E">
      <w:pPr>
        <w:pStyle w:val="Bullet1"/>
      </w:pPr>
      <w:r>
        <w:t>VR 0075</w:t>
      </w:r>
      <w:r w:rsidR="00921FD5">
        <w:tab/>
      </w:r>
      <w:r w:rsidR="00921FD5">
        <w:tab/>
      </w:r>
      <w:r>
        <w:t>Root and tuber vegetables</w:t>
      </w:r>
      <w:r>
        <w:tab/>
      </w:r>
      <w:r>
        <w:tab/>
      </w:r>
      <w:r w:rsidR="006C09AD">
        <w:tab/>
      </w:r>
      <w:r w:rsidR="006C09AD">
        <w:tab/>
      </w:r>
      <w:r w:rsidR="006C09AD">
        <w:tab/>
      </w:r>
      <w:r w:rsidR="006C09AD">
        <w:tab/>
      </w:r>
      <w:r>
        <w:t>0.05 mg/kg</w:t>
      </w:r>
    </w:p>
    <w:p w14:paraId="75825F16" w14:textId="42A63D83" w:rsidR="0044479F" w:rsidRDefault="00735C60" w:rsidP="0004551E">
      <w:pPr>
        <w:pStyle w:val="Heading3"/>
        <w:rPr>
          <w:rStyle w:val="Heading4Char"/>
          <w:sz w:val="24"/>
          <w:szCs w:val="26"/>
        </w:rPr>
      </w:pPr>
      <w:bookmarkStart w:id="368" w:name="_Toc233039017"/>
      <w:r>
        <w:t>Vegetables</w:t>
      </w:r>
      <w:r>
        <w:rPr>
          <w:rStyle w:val="Heading4Char"/>
          <w:sz w:val="24"/>
          <w:szCs w:val="26"/>
        </w:rPr>
        <w:t xml:space="preserve"> - </w:t>
      </w:r>
      <w:r w:rsidR="0044479F">
        <w:rPr>
          <w:rStyle w:val="Heading4Char"/>
          <w:sz w:val="24"/>
          <w:szCs w:val="26"/>
        </w:rPr>
        <w:t>Stalk and stem vegetables</w:t>
      </w:r>
      <w:bookmarkEnd w:id="368"/>
    </w:p>
    <w:p w14:paraId="4DA33B1C" w14:textId="2F879D89" w:rsidR="0044479F" w:rsidRDefault="002B71D6" w:rsidP="0044479F">
      <w:pPr>
        <w:pStyle w:val="NormalText"/>
      </w:pPr>
      <w:r>
        <w:t>A</w:t>
      </w:r>
      <w:r w:rsidRPr="002B71D6">
        <w:t>s in the discussion for asparagus above, the general use is supported for asparagus only, along with the specific asparagus use prior to spear emergence. An MRL of *0.05 mg/kg is recommended for VS 0621 Asparagus in conjunction with a harvest withholding period of “Not required when used as directed”.</w:t>
      </w:r>
    </w:p>
    <w:p w14:paraId="57C40859" w14:textId="3C1EA5A4" w:rsidR="002B71D6" w:rsidRDefault="002B71D6" w:rsidP="002B71D6">
      <w:pPr>
        <w:pStyle w:val="Heading3"/>
        <w:rPr>
          <w:rStyle w:val="Heading4Char"/>
          <w:sz w:val="24"/>
          <w:szCs w:val="26"/>
        </w:rPr>
      </w:pPr>
      <w:bookmarkStart w:id="369" w:name="_Toc233039018"/>
      <w:r w:rsidRPr="00C43D8A">
        <w:rPr>
          <w:rStyle w:val="Heading4Char"/>
          <w:sz w:val="24"/>
          <w:szCs w:val="26"/>
        </w:rPr>
        <w:t>Wheat, oats</w:t>
      </w:r>
      <w:bookmarkEnd w:id="369"/>
    </w:p>
    <w:p w14:paraId="10E1DCEF" w14:textId="57AAD7B5" w:rsidR="002B71D6" w:rsidRDefault="002B71D6" w:rsidP="002B71D6">
      <w:pPr>
        <w:pStyle w:val="NormalText"/>
      </w:pPr>
      <w:r w:rsidRPr="002B71D6">
        <w:t xml:space="preserve">For wheat and </w:t>
      </w:r>
      <w:r w:rsidR="00A83796" w:rsidRPr="002B71D6">
        <w:t>oats,</w:t>
      </w:r>
      <w:r w:rsidRPr="002B71D6">
        <w:t xml:space="preserve"> the alternative use pattern </w:t>
      </w:r>
      <w:r w:rsidR="00A83796">
        <w:t>supported by the environmental assessment</w:t>
      </w:r>
      <w:r w:rsidRPr="002B71D6">
        <w:t xml:space="preserve"> allows application at 140 g ai/ha between the 4 leaf stage (for wheat) or 3 leaf stage (for oats) up to early tillering.</w:t>
      </w:r>
    </w:p>
    <w:p w14:paraId="26D024E2" w14:textId="77777777" w:rsidR="00DE4AD4" w:rsidRDefault="002B71D6" w:rsidP="002B71D6">
      <w:pPr>
        <w:pStyle w:val="NormalText"/>
      </w:pPr>
      <w:r>
        <w:t>In Australian wheat trials considered by the 2018 JMPR and provided in full for this review, residues in wheat grain after 2 applications at approximately 140 g a</w:t>
      </w:r>
      <w:r w:rsidR="006436C4">
        <w:t>c</w:t>
      </w:r>
      <w:r>
        <w:t>/ha with the first at BBCH 24-29 and the second at BBCH 24-52 were 0.04, 0.14, 0.22, 0.26, 0.28, 0.29, 0.30 and 0.34 mg/kg.</w:t>
      </w:r>
    </w:p>
    <w:p w14:paraId="394B0C8A" w14:textId="4985A322" w:rsidR="002B71D6" w:rsidRDefault="002B71D6" w:rsidP="002B71D6">
      <w:pPr>
        <w:pStyle w:val="NormalText"/>
      </w:pPr>
      <w:r>
        <w:t>Similarly for oat grain with the first application at BBCH 24 and the second at BBCH 24-45 residues were 0.13, 0.13, 0.19 and 0.21 mg/kg. (end of tillering = BBCH 29; for wheat the HR was observed when the last application was at BBCH 26, for oats the HR was observed when the last application was at BBCH 25). Based on the combined data set the OECD MRL Calculator recommends an MRL of 0.7 mg/kg (STMR = 0.215 mg/kg, n = 12). MRLs of 0.7 mg/kg are recommended for GC 0647 Oats and GC 0654 Wheat to cover the alternative use pattern supported by environment in conjunction with a harvest withholding period of “Not required when used as directed”.</w:t>
      </w:r>
    </w:p>
    <w:p w14:paraId="7AFE5C30" w14:textId="275CEC9D" w:rsidR="002B71D6" w:rsidRDefault="002B71D6" w:rsidP="002B71D6">
      <w:pPr>
        <w:pStyle w:val="NormalText"/>
      </w:pPr>
      <w:r>
        <w:t>In Australian wheat trials considered by the 2018 JMPR and provided in full for this review, residues in wheat forage at 1 day after application at approximately 140 g a</w:t>
      </w:r>
      <w:r w:rsidR="006436C4">
        <w:t>c</w:t>
      </w:r>
      <w:r>
        <w:t xml:space="preserve">/ha were 10, 13, 15 and 15 mg/kg on a dry weight basis. </w:t>
      </w:r>
      <w:r>
        <w:lastRenderedPageBreak/>
        <w:t>Similarly for oat forage residues were 3.6 and 13 mg/kg on a dry weight basis. The OECD MRL Calculator recommends an MRL of 40 mg/kg (unrounded 34.8 mg/kg, STMR 13 mg/kg, n = 6). The available data for grass and cereal forage and fodder suggests that residues should be below 30 mg/kg, the level of the Primary Feed Commodities MRL recommended above, noting that the levels of diquat residues in trials conducted on grasses and cereals were similar to those results found in legumes. The supported grazing withholding period is 1 day.</w:t>
      </w:r>
    </w:p>
    <w:p w14:paraId="468D8401" w14:textId="77777777" w:rsidR="007D6D1E" w:rsidRDefault="007D6D1E" w:rsidP="007D6D1E">
      <w:pPr>
        <w:pStyle w:val="Heading3"/>
      </w:pPr>
      <w:bookmarkStart w:id="370" w:name="_Toc233039019"/>
      <w:r>
        <w:t>Aquatic areas</w:t>
      </w:r>
      <w:bookmarkEnd w:id="370"/>
    </w:p>
    <w:p w14:paraId="5B60D64A" w14:textId="7E49DD69" w:rsidR="007D6D1E" w:rsidRDefault="007D6D1E">
      <w:pPr>
        <w:pStyle w:val="NormalText"/>
      </w:pPr>
      <w:r w:rsidRPr="00C572A3">
        <w:t>Use of diquat in aquatic areas with the 10 day restraint on using water for human consumption, livestock watering or irrigation purposes continues to be supported from a residues and trade perspective</w:t>
      </w:r>
    </w:p>
    <w:p w14:paraId="168B746A" w14:textId="77777777" w:rsidR="009362D0" w:rsidRPr="00181C4A" w:rsidRDefault="009362D0" w:rsidP="0004551E">
      <w:pPr>
        <w:pStyle w:val="Heading3"/>
      </w:pPr>
      <w:bookmarkStart w:id="371" w:name="_Toc233039020"/>
      <w:r w:rsidRPr="00181C4A">
        <w:t>Animal commodities</w:t>
      </w:r>
      <w:bookmarkEnd w:id="371"/>
    </w:p>
    <w:p w14:paraId="7EFDC153" w14:textId="10C2346D" w:rsidR="009362D0" w:rsidRDefault="009362D0" w:rsidP="0004551E">
      <w:pPr>
        <w:pStyle w:val="NormalText"/>
      </w:pPr>
      <w:r>
        <w:t>Current MRLs are *0.05 mg/kg for meat (mammalian) and edible offal (mammalian) and *0.01 mg/kg for milks. Data from the animal transfer studies indicate that a dietary intake of 100 ppm would not produce detectable residues in the meat or offal and a dietary intake of 1</w:t>
      </w:r>
      <w:r w:rsidR="00921FD5">
        <w:t>,</w:t>
      </w:r>
      <w:r>
        <w:t xml:space="preserve">000 ppm would not produce detectable residues in the milk. The submitted residues studies support Table 4 entries of </w:t>
      </w:r>
      <w:r w:rsidR="007C50E7">
        <w:t>3</w:t>
      </w:r>
      <w:r>
        <w:t xml:space="preserve">0 mg/kg for </w:t>
      </w:r>
      <w:r w:rsidR="00921FD5">
        <w:t>p</w:t>
      </w:r>
      <w:r>
        <w:t xml:space="preserve">rimary feed commodities. Therefore, finite residues in meat, offal and milks are not expected to occur based on the current maximum dietary intake for ruminants and pigs. </w:t>
      </w:r>
      <w:r w:rsidRPr="00375D5D">
        <w:t xml:space="preserve">The current </w:t>
      </w:r>
      <w:r>
        <w:t>mammalian</w:t>
      </w:r>
      <w:r w:rsidRPr="00375D5D">
        <w:t xml:space="preserve"> commodity MRLs remain appropriate.</w:t>
      </w:r>
    </w:p>
    <w:p w14:paraId="71F104EB" w14:textId="1A23C5E0" w:rsidR="00EC3B9C" w:rsidRDefault="00EC3B9C" w:rsidP="0004551E">
      <w:pPr>
        <w:pStyle w:val="NormalText"/>
      </w:pPr>
      <w:r>
        <w:t>D</w:t>
      </w:r>
      <w:r w:rsidRPr="00493502">
        <w:t xml:space="preserve">iquat residues above the LOQ of 0.01 mg/kg for eggs and 0.05 mg/kg for meat and offal were not observed in </w:t>
      </w:r>
      <w:r>
        <w:t>a poultry</w:t>
      </w:r>
      <w:r w:rsidRPr="00493502">
        <w:t xml:space="preserve"> feeding study conducted at a feeding level of 10 ppm</w:t>
      </w:r>
      <w:r>
        <w:t xml:space="preserve">. </w:t>
      </w:r>
      <w:r w:rsidR="009362D0">
        <w:t>The poultry commodity MRLs at the LOQ can also remain in place to indicate that finite diquat residues should not occur in poultry commodities for the supported uses</w:t>
      </w:r>
      <w:r w:rsidR="000827CB">
        <w:t xml:space="preserve"> (including wheat and oats)</w:t>
      </w:r>
      <w:r w:rsidR="009362D0">
        <w:t>.</w:t>
      </w:r>
    </w:p>
    <w:p w14:paraId="5F43D022" w14:textId="77777777" w:rsidR="009362D0" w:rsidRPr="00A140DF" w:rsidRDefault="009362D0" w:rsidP="0004551E">
      <w:pPr>
        <w:pStyle w:val="Heading3"/>
      </w:pPr>
      <w:bookmarkStart w:id="372" w:name="_Toc233039021"/>
      <w:r w:rsidRPr="00A140DF">
        <w:t>Trade</w:t>
      </w:r>
      <w:bookmarkEnd w:id="372"/>
    </w:p>
    <w:p w14:paraId="2725658B" w14:textId="588E6042" w:rsidR="009362D0" w:rsidRDefault="009362D0" w:rsidP="0004551E">
      <w:pPr>
        <w:pStyle w:val="NormalText"/>
      </w:pPr>
      <w:r>
        <w:t>Cereals, pulses and oilseeds include major export commodities. However, residue</w:t>
      </w:r>
      <w:r w:rsidR="00FB54DF">
        <w:t>s</w:t>
      </w:r>
      <w:r>
        <w:t xml:space="preserve"> </w:t>
      </w:r>
      <w:r w:rsidR="00FB54DF">
        <w:t>are</w:t>
      </w:r>
      <w:r>
        <w:t xml:space="preserve"> not expected to occur at harvest following the supported pre-emergent uses</w:t>
      </w:r>
      <w:r w:rsidR="007C50E7">
        <w:t xml:space="preserve"> and </w:t>
      </w:r>
      <w:r w:rsidR="000827CB">
        <w:t>reduced</w:t>
      </w:r>
      <w:r w:rsidR="007C50E7">
        <w:t xml:space="preserve"> MRLs have been recommended for wheat and oats</w:t>
      </w:r>
      <w:r w:rsidR="000827CB">
        <w:t xml:space="preserve"> to cover </w:t>
      </w:r>
      <w:r w:rsidR="00FB54DF">
        <w:t>the</w:t>
      </w:r>
      <w:r w:rsidR="000827CB">
        <w:t xml:space="preserve"> use pattern</w:t>
      </w:r>
      <w:r w:rsidR="00FB54DF">
        <w:t xml:space="preserve"> that allows application </w:t>
      </w:r>
      <w:r w:rsidR="00FB54DF" w:rsidRPr="002B71D6">
        <w:t>up to early tillering</w:t>
      </w:r>
      <w:r>
        <w:t>. Hops are not considered to be a major export commodity and detectable residues are not expected to occur in hops. The supported vegetable crops are also not major export commodities. Residues should also not occur in livestock grazing treated crops or pasture. The risk to trade from the supported uses is considered to be low.</w:t>
      </w:r>
    </w:p>
    <w:p w14:paraId="60B55418" w14:textId="7F3E3CFD" w:rsidR="009362D0" w:rsidRPr="00DE65CD" w:rsidRDefault="0076271C" w:rsidP="0004551E">
      <w:pPr>
        <w:pStyle w:val="Heading2"/>
      </w:pPr>
      <w:r>
        <w:t xml:space="preserve"> </w:t>
      </w:r>
      <w:bookmarkStart w:id="373" w:name="_Toc233039022"/>
      <w:r w:rsidR="009362D0" w:rsidRPr="00A140DF">
        <w:t>Revised dietary exposure assessment</w:t>
      </w:r>
      <w:bookmarkEnd w:id="373"/>
    </w:p>
    <w:p w14:paraId="2560E1A0" w14:textId="66A5BC86" w:rsidR="006C09AD" w:rsidRDefault="0076271C" w:rsidP="0004551E">
      <w:pPr>
        <w:pStyle w:val="Heading3"/>
      </w:pPr>
      <w:r>
        <w:t xml:space="preserve"> </w:t>
      </w:r>
      <w:bookmarkStart w:id="374" w:name="_Toc233039023"/>
      <w:r w:rsidR="006C09AD">
        <w:t>Chronic dietary exposure assessment</w:t>
      </w:r>
      <w:bookmarkEnd w:id="374"/>
    </w:p>
    <w:p w14:paraId="27680B51" w14:textId="1CCC3BD5" w:rsidR="009362D0" w:rsidRDefault="009362D0" w:rsidP="0004551E">
      <w:pPr>
        <w:pStyle w:val="NormalText"/>
      </w:pPr>
      <w:r>
        <w:t>The chronic dietary exposure to diquat is estimated by the National Estimated Daily Intake (NEDI) calculation encompassing all registered/temporary uses of the chemical and the mean daily dietary consumption data derived primarily from the 2011</w:t>
      </w:r>
      <w:r w:rsidR="00921FD5">
        <w:t>–</w:t>
      </w:r>
      <w:r>
        <w:t>12 National Nutritional and Physical Activity Survey. The NEDI calculation is made in accordance with WHO Guidelines and is a conservative estimate of dietary exposure to chemical residues in food. The NEDI for diquat is equivalent to &lt;</w:t>
      </w:r>
      <w:r w:rsidR="007C50E7">
        <w:t>20</w:t>
      </w:r>
      <w:r>
        <w:t>% of the ADI, for the uses proposed to be supported by the APVMA chemical review.</w:t>
      </w:r>
    </w:p>
    <w:p w14:paraId="195E49DE" w14:textId="77777777" w:rsidR="009362D0" w:rsidRDefault="009362D0" w:rsidP="0004551E">
      <w:pPr>
        <w:pStyle w:val="NormalText"/>
      </w:pPr>
      <w:r>
        <w:lastRenderedPageBreak/>
        <w:t>It is concluded that the chronic dietary exposure of diquat is acceptable.</w:t>
      </w:r>
    </w:p>
    <w:p w14:paraId="7BF810CA" w14:textId="4F14A90A" w:rsidR="006C09AD" w:rsidRDefault="0076271C" w:rsidP="006C09AD">
      <w:pPr>
        <w:pStyle w:val="Heading3"/>
      </w:pPr>
      <w:r>
        <w:t xml:space="preserve"> </w:t>
      </w:r>
      <w:bookmarkStart w:id="375" w:name="_Toc233039024"/>
      <w:r w:rsidR="006C09AD">
        <w:t>Acute dietary exposure assessment</w:t>
      </w:r>
      <w:bookmarkEnd w:id="375"/>
    </w:p>
    <w:p w14:paraId="4DD12BA8" w14:textId="696AD8B2" w:rsidR="009362D0" w:rsidRPr="00882020" w:rsidRDefault="009362D0" w:rsidP="0004551E">
      <w:pPr>
        <w:pStyle w:val="NormalText"/>
      </w:pPr>
      <w:r>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921FD5">
        <w:t>–</w:t>
      </w:r>
      <w:r>
        <w:t xml:space="preserve">12 National Nutritional and Physical Activity Survey. NESTI calculations are </w:t>
      </w:r>
      <w:r w:rsidRPr="00882020">
        <w:t>conservative estimates of short-term exposure (24 hour period) to chemical residues in food.</w:t>
      </w:r>
    </w:p>
    <w:p w14:paraId="370D36FF" w14:textId="4A1F6B2B" w:rsidR="009362D0" w:rsidRDefault="009362D0" w:rsidP="0004551E">
      <w:pPr>
        <w:pStyle w:val="NormalText"/>
      </w:pPr>
      <w:r>
        <w:t xml:space="preserve">The highest acute dietary intake was estimated </w:t>
      </w:r>
      <w:r w:rsidRPr="000F0310">
        <w:t>at &lt;</w:t>
      </w:r>
      <w:r w:rsidR="007C50E7">
        <w:t>2</w:t>
      </w:r>
      <w:r w:rsidRPr="000F0310">
        <w:t xml:space="preserve">% </w:t>
      </w:r>
      <w:r>
        <w:t>of the ARfD, for the uses proposed to be supported by the APVMA chemical review. It is concluded that the acute dietary exposure is acceptable.</w:t>
      </w:r>
    </w:p>
    <w:p w14:paraId="53B6E219" w14:textId="6E9B75D3" w:rsidR="009362D0" w:rsidRPr="00181C4A" w:rsidRDefault="00883648" w:rsidP="00883648">
      <w:pPr>
        <w:pStyle w:val="Heading2"/>
      </w:pPr>
      <w:r>
        <w:t xml:space="preserve"> </w:t>
      </w:r>
      <w:bookmarkStart w:id="376" w:name="_Toc233039025"/>
      <w:r w:rsidR="009362D0" w:rsidRPr="00181C4A">
        <w:t xml:space="preserve">Revised MRL </w:t>
      </w:r>
      <w:r w:rsidR="006C09AD">
        <w:t>changes</w:t>
      </w:r>
      <w:bookmarkEnd w:id="376"/>
    </w:p>
    <w:p w14:paraId="1F7CE9E6" w14:textId="3BF0EBCF" w:rsidR="00170B8D" w:rsidRPr="00735C60" w:rsidRDefault="009362D0" w:rsidP="00DE4AD4">
      <w:pPr>
        <w:pStyle w:val="NormalText"/>
      </w:pPr>
      <w:r w:rsidRPr="00735C60">
        <w:t xml:space="preserve">The amendments </w:t>
      </w:r>
      <w:r w:rsidR="00645BB2" w:rsidRPr="00735C60">
        <w:t xml:space="preserve">shown in </w:t>
      </w:r>
      <w:r w:rsidR="00645BB2" w:rsidRPr="00735C60">
        <w:fldChar w:fldCharType="begin" w:fldLock="1"/>
      </w:r>
      <w:r w:rsidR="00645BB2" w:rsidRPr="00735C60">
        <w:instrText xml:space="preserve"> REF _Ref170203363 \h </w:instrText>
      </w:r>
      <w:r w:rsidR="00735C60" w:rsidRPr="00735C60">
        <w:instrText xml:space="preserve"> \* MERGEFORMAT </w:instrText>
      </w:r>
      <w:r w:rsidR="00645BB2" w:rsidRPr="00735C60">
        <w:fldChar w:fldCharType="separate"/>
      </w:r>
      <w:r w:rsidR="0033298E" w:rsidRPr="00735C60">
        <w:t xml:space="preserve">Table </w:t>
      </w:r>
      <w:r w:rsidR="0033298E" w:rsidRPr="00735C60">
        <w:rPr>
          <w:noProof/>
        </w:rPr>
        <w:t>22</w:t>
      </w:r>
      <w:r w:rsidR="00645BB2" w:rsidRPr="00735C60">
        <w:fldChar w:fldCharType="end"/>
      </w:r>
      <w:r w:rsidR="00645BB2" w:rsidRPr="00735C60">
        <w:t xml:space="preserve"> </w:t>
      </w:r>
      <w:r w:rsidR="00735C60" w:rsidRPr="00735C60">
        <w:t xml:space="preserve">and </w:t>
      </w:r>
      <w:r w:rsidR="00735C60" w:rsidRPr="00735C60">
        <w:fldChar w:fldCharType="begin" w:fldLock="1"/>
      </w:r>
      <w:r w:rsidR="00735C60" w:rsidRPr="00735C60">
        <w:instrText xml:space="preserve"> REF _Ref230353658 \h </w:instrText>
      </w:r>
      <w:r w:rsidR="00735C60">
        <w:instrText xml:space="preserve"> \* MERGEFORMAT </w:instrText>
      </w:r>
      <w:r w:rsidR="00735C60" w:rsidRPr="00735C60">
        <w:fldChar w:fldCharType="separate"/>
      </w:r>
      <w:r w:rsidR="00735C60" w:rsidRPr="00735C60">
        <w:t xml:space="preserve">Table </w:t>
      </w:r>
      <w:r w:rsidR="00735C60" w:rsidRPr="00735C60">
        <w:rPr>
          <w:noProof/>
        </w:rPr>
        <w:t>23</w:t>
      </w:r>
      <w:r w:rsidR="00735C60" w:rsidRPr="00735C60">
        <w:fldChar w:fldCharType="end"/>
      </w:r>
      <w:r w:rsidR="00645BB2" w:rsidRPr="00735C60">
        <w:t xml:space="preserve"> </w:t>
      </w:r>
      <w:r w:rsidRPr="00735C60">
        <w:t>should be made to the Agricultural and Veterinary Chemicals (MRL Standard for Residues of Chemical Products) Instrument 2023, at the end of any phase out period, to reflect uses which are proposed to remain at the completion of the APVMA chemical review.</w:t>
      </w:r>
    </w:p>
    <w:p w14:paraId="1E899EA8" w14:textId="410712AF" w:rsidR="00274AD8" w:rsidRPr="000179FF" w:rsidRDefault="00274AD8" w:rsidP="000179FF">
      <w:pPr>
        <w:pStyle w:val="Caption"/>
      </w:pPr>
      <w:bookmarkStart w:id="377" w:name="_Ref170203363"/>
      <w:bookmarkStart w:id="378" w:name="_Toc232589617"/>
      <w:r w:rsidRPr="000179FF">
        <w:t xml:space="preserve">Table </w:t>
      </w:r>
      <w:fldSimple w:instr=" SEQ Table \* ARABIC ">
        <w:r w:rsidR="000179FF">
          <w:rPr>
            <w:noProof/>
          </w:rPr>
          <w:t>22</w:t>
        </w:r>
      </w:fldSimple>
      <w:bookmarkEnd w:id="377"/>
      <w:r w:rsidRPr="000179FF">
        <w:t xml:space="preserve">: Revised </w:t>
      </w:r>
      <w:r w:rsidR="00645BB2" w:rsidRPr="000179FF">
        <w:t>a</w:t>
      </w:r>
      <w:r w:rsidRPr="000179FF">
        <w:t>mendments to Table 1 of the MRL Standard</w:t>
      </w:r>
      <w:bookmarkEnd w:id="378"/>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5"/>
        <w:gridCol w:w="6183"/>
        <w:gridCol w:w="1245"/>
        <w:gridCol w:w="1461"/>
      </w:tblGrid>
      <w:tr w:rsidR="009362D0" w:rsidRPr="00EC50D6" w14:paraId="48458B81" w14:textId="77777777" w:rsidTr="00DE4AD4">
        <w:trPr>
          <w:cantSplit/>
          <w:tblHeader/>
        </w:trPr>
        <w:tc>
          <w:tcPr>
            <w:tcW w:w="1057" w:type="pct"/>
            <w:tcBorders>
              <w:right w:val="nil"/>
            </w:tcBorders>
            <w:shd w:val="clear" w:color="auto" w:fill="5C2946"/>
            <w:noWrap/>
          </w:tcPr>
          <w:p w14:paraId="654E2D23" w14:textId="77777777" w:rsidR="009362D0" w:rsidRPr="00EC50D6" w:rsidRDefault="009362D0" w:rsidP="0004551E">
            <w:pPr>
              <w:pStyle w:val="TableHead"/>
              <w:rPr>
                <w:lang w:val="en-US"/>
              </w:rPr>
            </w:pPr>
            <w:r>
              <w:rPr>
                <w:lang w:val="en-US"/>
              </w:rPr>
              <w:t>Code</w:t>
            </w:r>
          </w:p>
        </w:tc>
        <w:tc>
          <w:tcPr>
            <w:tcW w:w="2349" w:type="pct"/>
            <w:tcBorders>
              <w:left w:val="nil"/>
              <w:right w:val="nil"/>
            </w:tcBorders>
            <w:shd w:val="clear" w:color="auto" w:fill="5C2946"/>
            <w:noWrap/>
          </w:tcPr>
          <w:p w14:paraId="03267DC5" w14:textId="77777777" w:rsidR="009362D0" w:rsidRPr="00EC50D6" w:rsidRDefault="009362D0" w:rsidP="0004551E">
            <w:pPr>
              <w:pStyle w:val="TableHead"/>
            </w:pPr>
            <w:r>
              <w:t>Commodity</w:t>
            </w:r>
          </w:p>
        </w:tc>
        <w:tc>
          <w:tcPr>
            <w:tcW w:w="633" w:type="pct"/>
            <w:tcBorders>
              <w:left w:val="nil"/>
              <w:right w:val="nil"/>
            </w:tcBorders>
            <w:shd w:val="clear" w:color="auto" w:fill="5C2946"/>
            <w:noWrap/>
          </w:tcPr>
          <w:p w14:paraId="76B3B12D" w14:textId="77777777" w:rsidR="009362D0" w:rsidRPr="00EC50D6" w:rsidRDefault="009362D0" w:rsidP="0004551E">
            <w:pPr>
              <w:pStyle w:val="TableHead"/>
            </w:pPr>
            <w:r>
              <w:t>Current MRL</w:t>
            </w:r>
          </w:p>
        </w:tc>
        <w:tc>
          <w:tcPr>
            <w:tcW w:w="961" w:type="pct"/>
            <w:tcBorders>
              <w:left w:val="nil"/>
            </w:tcBorders>
            <w:shd w:val="clear" w:color="auto" w:fill="5C2946"/>
          </w:tcPr>
          <w:p w14:paraId="66A0F78B" w14:textId="77777777" w:rsidR="009362D0" w:rsidRPr="00EC50D6" w:rsidRDefault="009362D0" w:rsidP="0004551E">
            <w:pPr>
              <w:pStyle w:val="TableHead"/>
            </w:pPr>
            <w:r>
              <w:t>Recommended MRL</w:t>
            </w:r>
          </w:p>
        </w:tc>
      </w:tr>
      <w:tr w:rsidR="007C50E7" w14:paraId="7C8D9DEE" w14:textId="77777777" w:rsidTr="00DE4AD4">
        <w:trPr>
          <w:cantSplit/>
        </w:trPr>
        <w:tc>
          <w:tcPr>
            <w:tcW w:w="1057" w:type="pct"/>
            <w:tcBorders>
              <w:right w:val="nil"/>
            </w:tcBorders>
            <w:noWrap/>
          </w:tcPr>
          <w:p w14:paraId="15E6CECB" w14:textId="1337756B" w:rsidR="007C50E7" w:rsidRDefault="007C50E7" w:rsidP="0004551E">
            <w:pPr>
              <w:pStyle w:val="APVMATableText"/>
              <w:rPr>
                <w:lang w:val="en-US"/>
              </w:rPr>
            </w:pPr>
            <w:r>
              <w:rPr>
                <w:lang w:val="en-US"/>
              </w:rPr>
              <w:t>VS 0621</w:t>
            </w:r>
          </w:p>
        </w:tc>
        <w:tc>
          <w:tcPr>
            <w:tcW w:w="2349" w:type="pct"/>
            <w:tcBorders>
              <w:left w:val="nil"/>
              <w:right w:val="nil"/>
            </w:tcBorders>
            <w:noWrap/>
          </w:tcPr>
          <w:p w14:paraId="5297FB37" w14:textId="77FCA645" w:rsidR="007C50E7" w:rsidRDefault="007C50E7" w:rsidP="0004551E">
            <w:pPr>
              <w:pStyle w:val="APVMATableText"/>
            </w:pPr>
            <w:r>
              <w:t>Asparagus</w:t>
            </w:r>
          </w:p>
        </w:tc>
        <w:tc>
          <w:tcPr>
            <w:tcW w:w="633" w:type="pct"/>
            <w:tcBorders>
              <w:left w:val="nil"/>
              <w:right w:val="nil"/>
            </w:tcBorders>
            <w:noWrap/>
          </w:tcPr>
          <w:p w14:paraId="2B8D5309" w14:textId="43D4ED7F" w:rsidR="007C50E7" w:rsidRDefault="007C50E7" w:rsidP="0004551E">
            <w:pPr>
              <w:pStyle w:val="APVMATableText"/>
            </w:pPr>
            <w:r>
              <w:t>-</w:t>
            </w:r>
          </w:p>
        </w:tc>
        <w:tc>
          <w:tcPr>
            <w:tcW w:w="961" w:type="pct"/>
            <w:tcBorders>
              <w:left w:val="nil"/>
            </w:tcBorders>
          </w:tcPr>
          <w:p w14:paraId="67B742E1" w14:textId="39D9E696" w:rsidR="007C50E7" w:rsidRDefault="007C50E7" w:rsidP="0004551E">
            <w:pPr>
              <w:pStyle w:val="APVMATableText"/>
              <w:rPr>
                <w:szCs w:val="18"/>
              </w:rPr>
            </w:pPr>
            <w:r>
              <w:rPr>
                <w:szCs w:val="18"/>
              </w:rPr>
              <w:t>*0.05</w:t>
            </w:r>
          </w:p>
        </w:tc>
      </w:tr>
      <w:tr w:rsidR="007C50E7" w14:paraId="424AF12F" w14:textId="77777777" w:rsidTr="00DE4AD4">
        <w:trPr>
          <w:cantSplit/>
        </w:trPr>
        <w:tc>
          <w:tcPr>
            <w:tcW w:w="1057" w:type="pct"/>
            <w:tcBorders>
              <w:right w:val="nil"/>
            </w:tcBorders>
            <w:noWrap/>
          </w:tcPr>
          <w:p w14:paraId="18024448" w14:textId="4C84774C" w:rsidR="007C50E7" w:rsidRDefault="007C50E7" w:rsidP="0004551E">
            <w:pPr>
              <w:pStyle w:val="APVMATableText"/>
              <w:rPr>
                <w:lang w:val="en-US"/>
              </w:rPr>
            </w:pPr>
            <w:r>
              <w:rPr>
                <w:lang w:val="en-US"/>
              </w:rPr>
              <w:t>FT 0026</w:t>
            </w:r>
          </w:p>
        </w:tc>
        <w:tc>
          <w:tcPr>
            <w:tcW w:w="2349" w:type="pct"/>
            <w:tcBorders>
              <w:left w:val="nil"/>
              <w:right w:val="nil"/>
            </w:tcBorders>
            <w:noWrap/>
          </w:tcPr>
          <w:p w14:paraId="2A02426B" w14:textId="30739498" w:rsidR="007C50E7" w:rsidRDefault="007C50E7" w:rsidP="0004551E">
            <w:pPr>
              <w:pStyle w:val="APVMATableText"/>
            </w:pPr>
            <w:r w:rsidRPr="007C50E7">
              <w:t>Assorted tropical and sub-tropical fruits – edible peel</w:t>
            </w:r>
          </w:p>
        </w:tc>
        <w:tc>
          <w:tcPr>
            <w:tcW w:w="633" w:type="pct"/>
            <w:tcBorders>
              <w:left w:val="nil"/>
              <w:right w:val="nil"/>
            </w:tcBorders>
            <w:noWrap/>
          </w:tcPr>
          <w:p w14:paraId="33BAC88E" w14:textId="4D73E473" w:rsidR="007C50E7" w:rsidRDefault="007C50E7" w:rsidP="0004551E">
            <w:pPr>
              <w:pStyle w:val="APVMATableText"/>
            </w:pPr>
            <w:r>
              <w:t>-</w:t>
            </w:r>
          </w:p>
        </w:tc>
        <w:tc>
          <w:tcPr>
            <w:tcW w:w="961" w:type="pct"/>
            <w:tcBorders>
              <w:left w:val="nil"/>
            </w:tcBorders>
          </w:tcPr>
          <w:p w14:paraId="1FACC694" w14:textId="21B65C35" w:rsidR="007C50E7" w:rsidRDefault="007C50E7" w:rsidP="0004551E">
            <w:pPr>
              <w:pStyle w:val="APVMATableText"/>
              <w:rPr>
                <w:szCs w:val="18"/>
              </w:rPr>
            </w:pPr>
            <w:r>
              <w:rPr>
                <w:szCs w:val="18"/>
              </w:rPr>
              <w:t>*0.1</w:t>
            </w:r>
          </w:p>
        </w:tc>
      </w:tr>
      <w:tr w:rsidR="007C50E7" w14:paraId="101DABB0" w14:textId="77777777" w:rsidTr="00DE4AD4">
        <w:trPr>
          <w:cantSplit/>
        </w:trPr>
        <w:tc>
          <w:tcPr>
            <w:tcW w:w="1057" w:type="pct"/>
            <w:tcBorders>
              <w:right w:val="nil"/>
            </w:tcBorders>
            <w:noWrap/>
          </w:tcPr>
          <w:p w14:paraId="7E7BF9E6" w14:textId="1FCCBC3D" w:rsidR="007C50E7" w:rsidRDefault="007C50E7" w:rsidP="0004551E">
            <w:pPr>
              <w:pStyle w:val="APVMATableText"/>
              <w:rPr>
                <w:lang w:val="en-US"/>
              </w:rPr>
            </w:pPr>
            <w:r>
              <w:rPr>
                <w:lang w:val="en-US"/>
              </w:rPr>
              <w:t>FI 0030</w:t>
            </w:r>
          </w:p>
        </w:tc>
        <w:tc>
          <w:tcPr>
            <w:tcW w:w="2349" w:type="pct"/>
            <w:tcBorders>
              <w:left w:val="nil"/>
              <w:right w:val="nil"/>
            </w:tcBorders>
            <w:noWrap/>
          </w:tcPr>
          <w:p w14:paraId="752EF2D3" w14:textId="21324F0A" w:rsidR="007C50E7" w:rsidRDefault="007C50E7" w:rsidP="0004551E">
            <w:pPr>
              <w:pStyle w:val="APVMATableText"/>
            </w:pPr>
            <w:r w:rsidRPr="007C50E7">
              <w:t>Assorted tropical and sub-tropical fruits – inedible peel {except pineapple}</w:t>
            </w:r>
          </w:p>
        </w:tc>
        <w:tc>
          <w:tcPr>
            <w:tcW w:w="633" w:type="pct"/>
            <w:tcBorders>
              <w:left w:val="nil"/>
              <w:right w:val="nil"/>
            </w:tcBorders>
            <w:noWrap/>
          </w:tcPr>
          <w:p w14:paraId="252675AD" w14:textId="026159B8" w:rsidR="007C50E7" w:rsidRDefault="007C50E7" w:rsidP="0004551E">
            <w:pPr>
              <w:pStyle w:val="APVMATableText"/>
            </w:pPr>
            <w:r>
              <w:t>-</w:t>
            </w:r>
          </w:p>
        </w:tc>
        <w:tc>
          <w:tcPr>
            <w:tcW w:w="961" w:type="pct"/>
            <w:tcBorders>
              <w:left w:val="nil"/>
            </w:tcBorders>
          </w:tcPr>
          <w:p w14:paraId="4F7D2C6A" w14:textId="326778E5" w:rsidR="007C50E7" w:rsidRDefault="007C50E7" w:rsidP="0004551E">
            <w:pPr>
              <w:pStyle w:val="APVMATableText"/>
              <w:rPr>
                <w:szCs w:val="18"/>
              </w:rPr>
            </w:pPr>
            <w:r>
              <w:rPr>
                <w:szCs w:val="18"/>
              </w:rPr>
              <w:t>*0.02</w:t>
            </w:r>
          </w:p>
        </w:tc>
      </w:tr>
      <w:tr w:rsidR="009362D0" w14:paraId="2394CEF6" w14:textId="77777777" w:rsidTr="00DE4AD4">
        <w:trPr>
          <w:cantSplit/>
        </w:trPr>
        <w:tc>
          <w:tcPr>
            <w:tcW w:w="1057" w:type="pct"/>
            <w:tcBorders>
              <w:right w:val="nil"/>
            </w:tcBorders>
            <w:noWrap/>
          </w:tcPr>
          <w:p w14:paraId="2F059EF1" w14:textId="77777777" w:rsidR="009362D0" w:rsidRDefault="009362D0" w:rsidP="0004551E">
            <w:pPr>
              <w:pStyle w:val="APVMATableText"/>
              <w:rPr>
                <w:lang w:val="en-US"/>
              </w:rPr>
            </w:pPr>
            <w:r>
              <w:rPr>
                <w:lang w:val="en-US"/>
              </w:rPr>
              <w:t>GC 0640</w:t>
            </w:r>
          </w:p>
        </w:tc>
        <w:tc>
          <w:tcPr>
            <w:tcW w:w="2349" w:type="pct"/>
            <w:tcBorders>
              <w:left w:val="nil"/>
              <w:right w:val="nil"/>
            </w:tcBorders>
            <w:noWrap/>
          </w:tcPr>
          <w:p w14:paraId="05AF5D8B" w14:textId="77777777" w:rsidR="009362D0" w:rsidRDefault="009362D0" w:rsidP="0004551E">
            <w:pPr>
              <w:pStyle w:val="APVMATableText"/>
            </w:pPr>
            <w:r>
              <w:t>Barley</w:t>
            </w:r>
          </w:p>
        </w:tc>
        <w:tc>
          <w:tcPr>
            <w:tcW w:w="633" w:type="pct"/>
            <w:tcBorders>
              <w:left w:val="nil"/>
              <w:right w:val="nil"/>
            </w:tcBorders>
            <w:noWrap/>
          </w:tcPr>
          <w:p w14:paraId="33A456BE" w14:textId="77777777" w:rsidR="009362D0" w:rsidRDefault="009362D0" w:rsidP="0004551E">
            <w:pPr>
              <w:pStyle w:val="APVMATableText"/>
            </w:pPr>
            <w:r>
              <w:t>5</w:t>
            </w:r>
          </w:p>
        </w:tc>
        <w:tc>
          <w:tcPr>
            <w:tcW w:w="961" w:type="pct"/>
            <w:tcBorders>
              <w:left w:val="nil"/>
            </w:tcBorders>
          </w:tcPr>
          <w:p w14:paraId="42A0882C" w14:textId="77777777" w:rsidR="009362D0" w:rsidRDefault="009362D0" w:rsidP="0004551E">
            <w:pPr>
              <w:pStyle w:val="APVMATableText"/>
              <w:rPr>
                <w:szCs w:val="18"/>
              </w:rPr>
            </w:pPr>
            <w:r>
              <w:rPr>
                <w:szCs w:val="18"/>
              </w:rPr>
              <w:t>Delete</w:t>
            </w:r>
          </w:p>
        </w:tc>
      </w:tr>
      <w:tr w:rsidR="009362D0" w14:paraId="3C9EABE9" w14:textId="77777777" w:rsidTr="00DE4AD4">
        <w:trPr>
          <w:cantSplit/>
        </w:trPr>
        <w:tc>
          <w:tcPr>
            <w:tcW w:w="1057" w:type="pct"/>
            <w:tcBorders>
              <w:right w:val="nil"/>
            </w:tcBorders>
            <w:noWrap/>
          </w:tcPr>
          <w:p w14:paraId="1ED47814" w14:textId="77777777" w:rsidR="009362D0" w:rsidRDefault="009362D0" w:rsidP="0004551E">
            <w:pPr>
              <w:pStyle w:val="APVMATableText"/>
              <w:rPr>
                <w:lang w:val="en-US"/>
              </w:rPr>
            </w:pPr>
            <w:r>
              <w:rPr>
                <w:lang w:val="en-US"/>
              </w:rPr>
              <w:t>VP 0061</w:t>
            </w:r>
          </w:p>
        </w:tc>
        <w:tc>
          <w:tcPr>
            <w:tcW w:w="2349" w:type="pct"/>
            <w:tcBorders>
              <w:left w:val="nil"/>
              <w:right w:val="nil"/>
            </w:tcBorders>
            <w:noWrap/>
          </w:tcPr>
          <w:p w14:paraId="580F6065" w14:textId="77777777" w:rsidR="009362D0" w:rsidRDefault="009362D0" w:rsidP="0004551E">
            <w:pPr>
              <w:pStyle w:val="APVMATableText"/>
            </w:pPr>
            <w:r>
              <w:t>Beans, except broad bean and soya bean</w:t>
            </w:r>
          </w:p>
        </w:tc>
        <w:tc>
          <w:tcPr>
            <w:tcW w:w="633" w:type="pct"/>
            <w:tcBorders>
              <w:left w:val="nil"/>
              <w:right w:val="nil"/>
            </w:tcBorders>
            <w:noWrap/>
          </w:tcPr>
          <w:p w14:paraId="60F1E752" w14:textId="77777777" w:rsidR="009362D0" w:rsidRDefault="009362D0" w:rsidP="0004551E">
            <w:pPr>
              <w:pStyle w:val="APVMATableText"/>
            </w:pPr>
            <w:r>
              <w:t>1</w:t>
            </w:r>
          </w:p>
        </w:tc>
        <w:tc>
          <w:tcPr>
            <w:tcW w:w="961" w:type="pct"/>
            <w:tcBorders>
              <w:left w:val="nil"/>
            </w:tcBorders>
          </w:tcPr>
          <w:p w14:paraId="3B440C75" w14:textId="77777777" w:rsidR="009362D0" w:rsidRDefault="009362D0" w:rsidP="0004551E">
            <w:pPr>
              <w:pStyle w:val="APVMATableText"/>
              <w:rPr>
                <w:szCs w:val="18"/>
              </w:rPr>
            </w:pPr>
            <w:r>
              <w:rPr>
                <w:szCs w:val="18"/>
              </w:rPr>
              <w:t>Delete</w:t>
            </w:r>
          </w:p>
        </w:tc>
      </w:tr>
      <w:tr w:rsidR="009362D0" w14:paraId="35A6817D" w14:textId="77777777" w:rsidTr="00DE4AD4">
        <w:trPr>
          <w:cantSplit/>
        </w:trPr>
        <w:tc>
          <w:tcPr>
            <w:tcW w:w="1057" w:type="pct"/>
            <w:tcBorders>
              <w:right w:val="nil"/>
            </w:tcBorders>
            <w:noWrap/>
          </w:tcPr>
          <w:p w14:paraId="2E35E775" w14:textId="77777777" w:rsidR="009362D0" w:rsidRDefault="009362D0" w:rsidP="0004551E">
            <w:pPr>
              <w:pStyle w:val="APVMATableText"/>
              <w:rPr>
                <w:szCs w:val="18"/>
              </w:rPr>
            </w:pPr>
            <w:r>
              <w:rPr>
                <w:szCs w:val="18"/>
              </w:rPr>
              <w:t>FB 0018</w:t>
            </w:r>
          </w:p>
        </w:tc>
        <w:tc>
          <w:tcPr>
            <w:tcW w:w="2349" w:type="pct"/>
            <w:tcBorders>
              <w:left w:val="nil"/>
              <w:right w:val="nil"/>
            </w:tcBorders>
            <w:noWrap/>
          </w:tcPr>
          <w:p w14:paraId="64FD36DD" w14:textId="2103748C" w:rsidR="009362D0" w:rsidRDefault="009362D0" w:rsidP="0004551E">
            <w:pPr>
              <w:pStyle w:val="APVMATableText"/>
              <w:rPr>
                <w:szCs w:val="18"/>
              </w:rPr>
            </w:pPr>
            <w:r>
              <w:rPr>
                <w:szCs w:val="18"/>
              </w:rPr>
              <w:t>Berries and other small fruits</w:t>
            </w:r>
          </w:p>
        </w:tc>
        <w:tc>
          <w:tcPr>
            <w:tcW w:w="633" w:type="pct"/>
            <w:tcBorders>
              <w:left w:val="nil"/>
              <w:right w:val="nil"/>
            </w:tcBorders>
            <w:noWrap/>
          </w:tcPr>
          <w:p w14:paraId="612EA170" w14:textId="1A72D37C" w:rsidR="009362D0" w:rsidRDefault="00645BB2" w:rsidP="0004551E">
            <w:pPr>
              <w:pStyle w:val="APVMATableText"/>
            </w:pPr>
            <w:r>
              <w:t>–</w:t>
            </w:r>
          </w:p>
        </w:tc>
        <w:tc>
          <w:tcPr>
            <w:tcW w:w="961" w:type="pct"/>
            <w:tcBorders>
              <w:left w:val="nil"/>
            </w:tcBorders>
          </w:tcPr>
          <w:p w14:paraId="54F427C5" w14:textId="77777777" w:rsidR="009362D0" w:rsidRDefault="009362D0" w:rsidP="0004551E">
            <w:pPr>
              <w:pStyle w:val="APVMATableText"/>
              <w:rPr>
                <w:szCs w:val="18"/>
              </w:rPr>
            </w:pPr>
            <w:r>
              <w:rPr>
                <w:szCs w:val="18"/>
              </w:rPr>
              <w:t>*0.05</w:t>
            </w:r>
          </w:p>
        </w:tc>
      </w:tr>
      <w:tr w:rsidR="009362D0" w14:paraId="29583D4B" w14:textId="77777777" w:rsidTr="00DE4AD4">
        <w:trPr>
          <w:cantSplit/>
        </w:trPr>
        <w:tc>
          <w:tcPr>
            <w:tcW w:w="1057" w:type="pct"/>
            <w:tcBorders>
              <w:right w:val="nil"/>
            </w:tcBorders>
            <w:noWrap/>
          </w:tcPr>
          <w:p w14:paraId="4FC278D8" w14:textId="77777777" w:rsidR="009362D0" w:rsidRDefault="009362D0" w:rsidP="0004551E">
            <w:pPr>
              <w:pStyle w:val="APVMATableText"/>
              <w:rPr>
                <w:lang w:val="en-US"/>
              </w:rPr>
            </w:pPr>
            <w:r>
              <w:rPr>
                <w:lang w:val="en-US"/>
              </w:rPr>
              <w:t>VP 0522</w:t>
            </w:r>
          </w:p>
        </w:tc>
        <w:tc>
          <w:tcPr>
            <w:tcW w:w="2349" w:type="pct"/>
            <w:tcBorders>
              <w:left w:val="nil"/>
              <w:right w:val="nil"/>
            </w:tcBorders>
            <w:noWrap/>
          </w:tcPr>
          <w:p w14:paraId="72A2C78A" w14:textId="77777777" w:rsidR="009362D0" w:rsidRDefault="009362D0" w:rsidP="0004551E">
            <w:pPr>
              <w:pStyle w:val="APVMATableText"/>
            </w:pPr>
            <w:r>
              <w:t>Broad bean (green pods and immature seeds)</w:t>
            </w:r>
          </w:p>
        </w:tc>
        <w:tc>
          <w:tcPr>
            <w:tcW w:w="633" w:type="pct"/>
            <w:tcBorders>
              <w:left w:val="nil"/>
              <w:right w:val="nil"/>
            </w:tcBorders>
            <w:noWrap/>
          </w:tcPr>
          <w:p w14:paraId="69CDE780" w14:textId="77777777" w:rsidR="009362D0" w:rsidRDefault="009362D0" w:rsidP="0004551E">
            <w:pPr>
              <w:pStyle w:val="APVMATableText"/>
            </w:pPr>
            <w:r>
              <w:t>1</w:t>
            </w:r>
          </w:p>
        </w:tc>
        <w:tc>
          <w:tcPr>
            <w:tcW w:w="961" w:type="pct"/>
            <w:tcBorders>
              <w:left w:val="nil"/>
            </w:tcBorders>
          </w:tcPr>
          <w:p w14:paraId="1B3708C5" w14:textId="77777777" w:rsidR="009362D0" w:rsidRDefault="009362D0" w:rsidP="0004551E">
            <w:pPr>
              <w:pStyle w:val="APVMATableText"/>
              <w:rPr>
                <w:szCs w:val="18"/>
              </w:rPr>
            </w:pPr>
            <w:r>
              <w:rPr>
                <w:szCs w:val="18"/>
              </w:rPr>
              <w:t>Delete</w:t>
            </w:r>
          </w:p>
        </w:tc>
      </w:tr>
      <w:tr w:rsidR="00645BB2" w14:paraId="3B4927EB" w14:textId="77777777" w:rsidTr="00DE4AD4">
        <w:trPr>
          <w:cantSplit/>
        </w:trPr>
        <w:tc>
          <w:tcPr>
            <w:tcW w:w="1057" w:type="pct"/>
            <w:tcBorders>
              <w:right w:val="nil"/>
            </w:tcBorders>
            <w:noWrap/>
          </w:tcPr>
          <w:p w14:paraId="393423EA" w14:textId="77777777" w:rsidR="00645BB2" w:rsidRDefault="00645BB2" w:rsidP="0004551E">
            <w:pPr>
              <w:pStyle w:val="APVMATableText"/>
              <w:rPr>
                <w:lang w:val="en-US"/>
              </w:rPr>
            </w:pPr>
            <w:r>
              <w:rPr>
                <w:lang w:val="en-US"/>
              </w:rPr>
              <w:t>VB 0400</w:t>
            </w:r>
          </w:p>
        </w:tc>
        <w:tc>
          <w:tcPr>
            <w:tcW w:w="2349" w:type="pct"/>
            <w:tcBorders>
              <w:left w:val="nil"/>
              <w:right w:val="nil"/>
            </w:tcBorders>
            <w:noWrap/>
          </w:tcPr>
          <w:p w14:paraId="20528E4B" w14:textId="77777777" w:rsidR="00645BB2" w:rsidRDefault="00645BB2" w:rsidP="0004551E">
            <w:pPr>
              <w:pStyle w:val="APVMATableText"/>
            </w:pPr>
            <w:r>
              <w:t>Broccoli</w:t>
            </w:r>
          </w:p>
        </w:tc>
        <w:tc>
          <w:tcPr>
            <w:tcW w:w="633" w:type="pct"/>
            <w:tcBorders>
              <w:left w:val="nil"/>
              <w:right w:val="nil"/>
            </w:tcBorders>
            <w:noWrap/>
          </w:tcPr>
          <w:p w14:paraId="1A299543" w14:textId="0E35CE04" w:rsidR="00645BB2" w:rsidRDefault="00645BB2" w:rsidP="0004551E">
            <w:pPr>
              <w:pStyle w:val="APVMATableText"/>
            </w:pPr>
            <w:r w:rsidRPr="001724D1">
              <w:t>–</w:t>
            </w:r>
          </w:p>
        </w:tc>
        <w:tc>
          <w:tcPr>
            <w:tcW w:w="961" w:type="pct"/>
            <w:tcBorders>
              <w:left w:val="nil"/>
            </w:tcBorders>
          </w:tcPr>
          <w:p w14:paraId="484FDFCA" w14:textId="77777777" w:rsidR="00645BB2" w:rsidRDefault="00645BB2" w:rsidP="0004551E">
            <w:pPr>
              <w:pStyle w:val="APVMATableText"/>
              <w:rPr>
                <w:szCs w:val="18"/>
              </w:rPr>
            </w:pPr>
            <w:r>
              <w:rPr>
                <w:szCs w:val="18"/>
              </w:rPr>
              <w:t>*0.02</w:t>
            </w:r>
          </w:p>
        </w:tc>
      </w:tr>
      <w:tr w:rsidR="00645BB2" w14:paraId="310428E1" w14:textId="77777777" w:rsidTr="00DE4AD4">
        <w:trPr>
          <w:cantSplit/>
        </w:trPr>
        <w:tc>
          <w:tcPr>
            <w:tcW w:w="1057" w:type="pct"/>
            <w:tcBorders>
              <w:right w:val="nil"/>
            </w:tcBorders>
            <w:noWrap/>
          </w:tcPr>
          <w:p w14:paraId="008D2C8E" w14:textId="77777777" w:rsidR="00645BB2" w:rsidRPr="00335D75" w:rsidRDefault="00645BB2" w:rsidP="0004551E">
            <w:pPr>
              <w:pStyle w:val="APVMATableText"/>
              <w:rPr>
                <w:szCs w:val="18"/>
              </w:rPr>
            </w:pPr>
            <w:r>
              <w:rPr>
                <w:szCs w:val="18"/>
              </w:rPr>
              <w:t>VA 2031</w:t>
            </w:r>
          </w:p>
        </w:tc>
        <w:tc>
          <w:tcPr>
            <w:tcW w:w="2349" w:type="pct"/>
            <w:tcBorders>
              <w:left w:val="nil"/>
              <w:right w:val="nil"/>
            </w:tcBorders>
            <w:noWrap/>
          </w:tcPr>
          <w:p w14:paraId="42F2F051" w14:textId="77777777" w:rsidR="00645BB2" w:rsidRPr="00335D75" w:rsidRDefault="00645BB2" w:rsidP="0004551E">
            <w:pPr>
              <w:pStyle w:val="APVMATableText"/>
              <w:rPr>
                <w:szCs w:val="18"/>
              </w:rPr>
            </w:pPr>
            <w:r>
              <w:rPr>
                <w:szCs w:val="18"/>
              </w:rPr>
              <w:t>Bulb onions</w:t>
            </w:r>
          </w:p>
        </w:tc>
        <w:tc>
          <w:tcPr>
            <w:tcW w:w="633" w:type="pct"/>
            <w:tcBorders>
              <w:left w:val="nil"/>
              <w:right w:val="nil"/>
            </w:tcBorders>
            <w:noWrap/>
          </w:tcPr>
          <w:p w14:paraId="7CFA3E1F" w14:textId="7A2F06D0" w:rsidR="00645BB2" w:rsidRDefault="00645BB2" w:rsidP="0004551E">
            <w:pPr>
              <w:pStyle w:val="APVMATableText"/>
            </w:pPr>
            <w:r w:rsidRPr="001724D1">
              <w:t>–</w:t>
            </w:r>
          </w:p>
        </w:tc>
        <w:tc>
          <w:tcPr>
            <w:tcW w:w="961" w:type="pct"/>
            <w:tcBorders>
              <w:left w:val="nil"/>
            </w:tcBorders>
          </w:tcPr>
          <w:p w14:paraId="272E29BE" w14:textId="77777777" w:rsidR="00645BB2" w:rsidRDefault="00645BB2" w:rsidP="0004551E">
            <w:pPr>
              <w:pStyle w:val="APVMATableText"/>
              <w:rPr>
                <w:szCs w:val="18"/>
              </w:rPr>
            </w:pPr>
            <w:r>
              <w:rPr>
                <w:szCs w:val="18"/>
              </w:rPr>
              <w:t>0.07</w:t>
            </w:r>
          </w:p>
        </w:tc>
      </w:tr>
      <w:tr w:rsidR="00645BB2" w14:paraId="5C9BB350" w14:textId="77777777" w:rsidTr="00DE4AD4">
        <w:trPr>
          <w:cantSplit/>
        </w:trPr>
        <w:tc>
          <w:tcPr>
            <w:tcW w:w="1057" w:type="pct"/>
            <w:tcBorders>
              <w:right w:val="nil"/>
            </w:tcBorders>
            <w:noWrap/>
          </w:tcPr>
          <w:p w14:paraId="07A104D3" w14:textId="77777777" w:rsidR="00645BB2" w:rsidRDefault="00645BB2" w:rsidP="0004551E">
            <w:pPr>
              <w:pStyle w:val="APVMATableText"/>
              <w:rPr>
                <w:szCs w:val="18"/>
              </w:rPr>
            </w:pPr>
            <w:r>
              <w:rPr>
                <w:szCs w:val="18"/>
              </w:rPr>
              <w:t>VB 0041</w:t>
            </w:r>
          </w:p>
        </w:tc>
        <w:tc>
          <w:tcPr>
            <w:tcW w:w="2349" w:type="pct"/>
            <w:tcBorders>
              <w:left w:val="nil"/>
              <w:right w:val="nil"/>
            </w:tcBorders>
            <w:noWrap/>
          </w:tcPr>
          <w:p w14:paraId="4742D843" w14:textId="77777777" w:rsidR="00645BB2" w:rsidRDefault="00645BB2" w:rsidP="0004551E">
            <w:pPr>
              <w:pStyle w:val="APVMATableText"/>
              <w:rPr>
                <w:szCs w:val="18"/>
              </w:rPr>
            </w:pPr>
            <w:r>
              <w:rPr>
                <w:szCs w:val="18"/>
              </w:rPr>
              <w:t>Cabbages, head</w:t>
            </w:r>
          </w:p>
        </w:tc>
        <w:tc>
          <w:tcPr>
            <w:tcW w:w="633" w:type="pct"/>
            <w:tcBorders>
              <w:left w:val="nil"/>
              <w:right w:val="nil"/>
            </w:tcBorders>
            <w:noWrap/>
          </w:tcPr>
          <w:p w14:paraId="6A6F525C" w14:textId="280E7018" w:rsidR="00645BB2" w:rsidRDefault="00645BB2" w:rsidP="0004551E">
            <w:pPr>
              <w:pStyle w:val="APVMATableText"/>
            </w:pPr>
            <w:r w:rsidRPr="001724D1">
              <w:t>–</w:t>
            </w:r>
          </w:p>
        </w:tc>
        <w:tc>
          <w:tcPr>
            <w:tcW w:w="961" w:type="pct"/>
            <w:tcBorders>
              <w:left w:val="nil"/>
            </w:tcBorders>
          </w:tcPr>
          <w:p w14:paraId="4BB79353" w14:textId="77777777" w:rsidR="00645BB2" w:rsidRDefault="00645BB2" w:rsidP="0004551E">
            <w:pPr>
              <w:pStyle w:val="APVMATableText"/>
              <w:rPr>
                <w:szCs w:val="18"/>
              </w:rPr>
            </w:pPr>
            <w:r>
              <w:rPr>
                <w:szCs w:val="18"/>
              </w:rPr>
              <w:t>*0.02</w:t>
            </w:r>
          </w:p>
        </w:tc>
      </w:tr>
      <w:tr w:rsidR="00645BB2" w14:paraId="7E7F7266" w14:textId="77777777" w:rsidTr="00DE4AD4">
        <w:trPr>
          <w:cantSplit/>
        </w:trPr>
        <w:tc>
          <w:tcPr>
            <w:tcW w:w="1057" w:type="pct"/>
            <w:tcBorders>
              <w:right w:val="nil"/>
            </w:tcBorders>
            <w:noWrap/>
          </w:tcPr>
          <w:p w14:paraId="5C3AEDEF" w14:textId="77777777" w:rsidR="00645BB2" w:rsidRDefault="00645BB2" w:rsidP="0004551E">
            <w:pPr>
              <w:pStyle w:val="APVMATableText"/>
              <w:rPr>
                <w:szCs w:val="18"/>
              </w:rPr>
            </w:pPr>
            <w:r>
              <w:rPr>
                <w:szCs w:val="18"/>
              </w:rPr>
              <w:t>VB 0404</w:t>
            </w:r>
          </w:p>
        </w:tc>
        <w:tc>
          <w:tcPr>
            <w:tcW w:w="2349" w:type="pct"/>
            <w:tcBorders>
              <w:left w:val="nil"/>
              <w:right w:val="nil"/>
            </w:tcBorders>
            <w:noWrap/>
          </w:tcPr>
          <w:p w14:paraId="5BC6DCEA" w14:textId="77777777" w:rsidR="00645BB2" w:rsidRDefault="00645BB2" w:rsidP="0004551E">
            <w:pPr>
              <w:pStyle w:val="APVMATableText"/>
              <w:rPr>
                <w:szCs w:val="18"/>
              </w:rPr>
            </w:pPr>
            <w:r>
              <w:rPr>
                <w:szCs w:val="18"/>
              </w:rPr>
              <w:t>Cauliflower</w:t>
            </w:r>
          </w:p>
        </w:tc>
        <w:tc>
          <w:tcPr>
            <w:tcW w:w="633" w:type="pct"/>
            <w:tcBorders>
              <w:left w:val="nil"/>
              <w:right w:val="nil"/>
            </w:tcBorders>
            <w:noWrap/>
          </w:tcPr>
          <w:p w14:paraId="7715D6D8" w14:textId="0A0B3C49" w:rsidR="00645BB2" w:rsidRDefault="00645BB2" w:rsidP="0004551E">
            <w:pPr>
              <w:pStyle w:val="APVMATableText"/>
            </w:pPr>
            <w:r w:rsidRPr="001724D1">
              <w:t>–</w:t>
            </w:r>
          </w:p>
        </w:tc>
        <w:tc>
          <w:tcPr>
            <w:tcW w:w="961" w:type="pct"/>
            <w:tcBorders>
              <w:left w:val="nil"/>
            </w:tcBorders>
          </w:tcPr>
          <w:p w14:paraId="1BE01482" w14:textId="77777777" w:rsidR="00645BB2" w:rsidRDefault="00645BB2" w:rsidP="0004551E">
            <w:pPr>
              <w:pStyle w:val="APVMATableText"/>
              <w:rPr>
                <w:szCs w:val="18"/>
              </w:rPr>
            </w:pPr>
            <w:r>
              <w:rPr>
                <w:szCs w:val="18"/>
              </w:rPr>
              <w:t>*0.02</w:t>
            </w:r>
          </w:p>
        </w:tc>
      </w:tr>
      <w:tr w:rsidR="00645BB2" w14:paraId="0F335452" w14:textId="77777777" w:rsidTr="00DE4AD4">
        <w:trPr>
          <w:cantSplit/>
        </w:trPr>
        <w:tc>
          <w:tcPr>
            <w:tcW w:w="1057" w:type="pct"/>
            <w:tcBorders>
              <w:right w:val="nil"/>
            </w:tcBorders>
            <w:noWrap/>
          </w:tcPr>
          <w:p w14:paraId="7A54B594" w14:textId="77777777" w:rsidR="00645BB2" w:rsidRDefault="00645BB2" w:rsidP="0004551E">
            <w:pPr>
              <w:pStyle w:val="APVMATableText"/>
              <w:rPr>
                <w:szCs w:val="18"/>
              </w:rPr>
            </w:pPr>
            <w:r>
              <w:rPr>
                <w:szCs w:val="18"/>
              </w:rPr>
              <w:t>GC 0080</w:t>
            </w:r>
          </w:p>
        </w:tc>
        <w:tc>
          <w:tcPr>
            <w:tcW w:w="2349" w:type="pct"/>
            <w:tcBorders>
              <w:left w:val="nil"/>
              <w:right w:val="nil"/>
            </w:tcBorders>
            <w:noWrap/>
          </w:tcPr>
          <w:p w14:paraId="1EC6D8CB" w14:textId="77692101" w:rsidR="00645BB2" w:rsidRDefault="00645BB2" w:rsidP="0004551E">
            <w:pPr>
              <w:pStyle w:val="APVMATableText"/>
              <w:rPr>
                <w:szCs w:val="18"/>
              </w:rPr>
            </w:pPr>
            <w:r>
              <w:rPr>
                <w:szCs w:val="18"/>
              </w:rPr>
              <w:t>Cereal grains</w:t>
            </w:r>
            <w:r w:rsidR="007C50E7">
              <w:rPr>
                <w:szCs w:val="18"/>
              </w:rPr>
              <w:t xml:space="preserve"> {except Oats; Wheat}</w:t>
            </w:r>
          </w:p>
        </w:tc>
        <w:tc>
          <w:tcPr>
            <w:tcW w:w="633" w:type="pct"/>
            <w:tcBorders>
              <w:left w:val="nil"/>
              <w:right w:val="nil"/>
            </w:tcBorders>
            <w:noWrap/>
          </w:tcPr>
          <w:p w14:paraId="4D77981F" w14:textId="65D1AA0D" w:rsidR="00645BB2" w:rsidRDefault="00645BB2" w:rsidP="0004551E">
            <w:pPr>
              <w:pStyle w:val="APVMATableText"/>
            </w:pPr>
            <w:r w:rsidRPr="001724D1">
              <w:t>–</w:t>
            </w:r>
          </w:p>
        </w:tc>
        <w:tc>
          <w:tcPr>
            <w:tcW w:w="961" w:type="pct"/>
            <w:tcBorders>
              <w:left w:val="nil"/>
            </w:tcBorders>
          </w:tcPr>
          <w:p w14:paraId="0013B5D5" w14:textId="77777777" w:rsidR="00645BB2" w:rsidRDefault="00645BB2" w:rsidP="0004551E">
            <w:pPr>
              <w:pStyle w:val="APVMATableText"/>
              <w:rPr>
                <w:szCs w:val="18"/>
              </w:rPr>
            </w:pPr>
            <w:r>
              <w:rPr>
                <w:szCs w:val="18"/>
              </w:rPr>
              <w:t>*0.05</w:t>
            </w:r>
          </w:p>
        </w:tc>
      </w:tr>
      <w:tr w:rsidR="00645BB2" w14:paraId="3C28C5A4" w14:textId="77777777" w:rsidTr="00DE4AD4">
        <w:trPr>
          <w:cantSplit/>
        </w:trPr>
        <w:tc>
          <w:tcPr>
            <w:tcW w:w="1057" w:type="pct"/>
            <w:tcBorders>
              <w:right w:val="nil"/>
            </w:tcBorders>
            <w:noWrap/>
          </w:tcPr>
          <w:p w14:paraId="3F367A26" w14:textId="77777777" w:rsidR="00645BB2" w:rsidRDefault="00645BB2" w:rsidP="0004551E">
            <w:pPr>
              <w:pStyle w:val="APVMATableText"/>
              <w:rPr>
                <w:szCs w:val="18"/>
              </w:rPr>
            </w:pPr>
            <w:r>
              <w:rPr>
                <w:szCs w:val="18"/>
              </w:rPr>
              <w:t>VB 0467</w:t>
            </w:r>
          </w:p>
        </w:tc>
        <w:tc>
          <w:tcPr>
            <w:tcW w:w="2349" w:type="pct"/>
            <w:tcBorders>
              <w:left w:val="nil"/>
              <w:right w:val="nil"/>
            </w:tcBorders>
            <w:noWrap/>
          </w:tcPr>
          <w:p w14:paraId="27F8D952" w14:textId="77777777" w:rsidR="00645BB2" w:rsidRDefault="00645BB2" w:rsidP="0004551E">
            <w:pPr>
              <w:pStyle w:val="APVMATableText"/>
              <w:rPr>
                <w:szCs w:val="18"/>
              </w:rPr>
            </w:pPr>
            <w:r>
              <w:rPr>
                <w:szCs w:val="18"/>
              </w:rPr>
              <w:t>Chinese cabbage (type Pe-tsai)</w:t>
            </w:r>
          </w:p>
        </w:tc>
        <w:tc>
          <w:tcPr>
            <w:tcW w:w="633" w:type="pct"/>
            <w:tcBorders>
              <w:left w:val="nil"/>
              <w:right w:val="nil"/>
            </w:tcBorders>
            <w:noWrap/>
          </w:tcPr>
          <w:p w14:paraId="10B5D411" w14:textId="3543EC77" w:rsidR="00645BB2" w:rsidRDefault="00645BB2" w:rsidP="0004551E">
            <w:pPr>
              <w:pStyle w:val="APVMATableText"/>
            </w:pPr>
            <w:r w:rsidRPr="001724D1">
              <w:t>–</w:t>
            </w:r>
          </w:p>
        </w:tc>
        <w:tc>
          <w:tcPr>
            <w:tcW w:w="961" w:type="pct"/>
            <w:tcBorders>
              <w:left w:val="nil"/>
            </w:tcBorders>
          </w:tcPr>
          <w:p w14:paraId="2A954946" w14:textId="77777777" w:rsidR="00645BB2" w:rsidRDefault="00645BB2" w:rsidP="0004551E">
            <w:pPr>
              <w:pStyle w:val="APVMATableText"/>
              <w:rPr>
                <w:szCs w:val="18"/>
              </w:rPr>
            </w:pPr>
            <w:r>
              <w:rPr>
                <w:szCs w:val="18"/>
              </w:rPr>
              <w:t>*0.02</w:t>
            </w:r>
          </w:p>
        </w:tc>
      </w:tr>
      <w:tr w:rsidR="007C50E7" w14:paraId="10957C5A" w14:textId="77777777" w:rsidTr="00DE4AD4">
        <w:trPr>
          <w:cantSplit/>
        </w:trPr>
        <w:tc>
          <w:tcPr>
            <w:tcW w:w="1057" w:type="pct"/>
            <w:tcBorders>
              <w:right w:val="nil"/>
            </w:tcBorders>
            <w:noWrap/>
          </w:tcPr>
          <w:p w14:paraId="1BAFF4BE" w14:textId="32C1040F" w:rsidR="007C50E7" w:rsidRDefault="00B82BE7" w:rsidP="0004551E">
            <w:pPr>
              <w:pStyle w:val="APVMATableText"/>
              <w:rPr>
                <w:lang w:val="en-US"/>
              </w:rPr>
            </w:pPr>
            <w:r>
              <w:rPr>
                <w:lang w:val="en-US"/>
              </w:rPr>
              <w:lastRenderedPageBreak/>
              <w:t>FC 0001</w:t>
            </w:r>
          </w:p>
        </w:tc>
        <w:tc>
          <w:tcPr>
            <w:tcW w:w="2349" w:type="pct"/>
            <w:tcBorders>
              <w:left w:val="nil"/>
              <w:right w:val="nil"/>
            </w:tcBorders>
            <w:noWrap/>
          </w:tcPr>
          <w:p w14:paraId="484CE781" w14:textId="259B35FD" w:rsidR="007C50E7" w:rsidRDefault="00B82BE7" w:rsidP="0004551E">
            <w:pPr>
              <w:pStyle w:val="APVMATableText"/>
            </w:pPr>
            <w:r>
              <w:t>Citrus fruits</w:t>
            </w:r>
          </w:p>
        </w:tc>
        <w:tc>
          <w:tcPr>
            <w:tcW w:w="633" w:type="pct"/>
            <w:tcBorders>
              <w:left w:val="nil"/>
              <w:right w:val="nil"/>
            </w:tcBorders>
            <w:noWrap/>
          </w:tcPr>
          <w:p w14:paraId="495A0878" w14:textId="0179E994" w:rsidR="007C50E7" w:rsidRDefault="00B82BE7" w:rsidP="0004551E">
            <w:pPr>
              <w:pStyle w:val="APVMATableText"/>
            </w:pPr>
            <w:r>
              <w:t>-</w:t>
            </w:r>
          </w:p>
        </w:tc>
        <w:tc>
          <w:tcPr>
            <w:tcW w:w="961" w:type="pct"/>
            <w:tcBorders>
              <w:left w:val="nil"/>
            </w:tcBorders>
          </w:tcPr>
          <w:p w14:paraId="1E03BDCF" w14:textId="46344540" w:rsidR="007C50E7" w:rsidRDefault="00B82BE7" w:rsidP="0004551E">
            <w:pPr>
              <w:pStyle w:val="APVMATableText"/>
              <w:rPr>
                <w:szCs w:val="18"/>
              </w:rPr>
            </w:pPr>
            <w:r>
              <w:rPr>
                <w:szCs w:val="18"/>
              </w:rPr>
              <w:t>*0.05</w:t>
            </w:r>
          </w:p>
        </w:tc>
      </w:tr>
      <w:tr w:rsidR="00E97048" w14:paraId="0B63C08E" w14:textId="77777777" w:rsidTr="00DE4AD4">
        <w:trPr>
          <w:cantSplit/>
        </w:trPr>
        <w:tc>
          <w:tcPr>
            <w:tcW w:w="1057" w:type="pct"/>
            <w:tcBorders>
              <w:right w:val="nil"/>
            </w:tcBorders>
            <w:noWrap/>
          </w:tcPr>
          <w:p w14:paraId="181C856A" w14:textId="7F896E9E" w:rsidR="00E97048" w:rsidRDefault="00E97048" w:rsidP="0004551E">
            <w:pPr>
              <w:pStyle w:val="APVMATableText"/>
              <w:rPr>
                <w:lang w:val="en-US"/>
              </w:rPr>
            </w:pPr>
            <w:r>
              <w:rPr>
                <w:lang w:val="en-US"/>
              </w:rPr>
              <w:t>VS 0424</w:t>
            </w:r>
          </w:p>
        </w:tc>
        <w:tc>
          <w:tcPr>
            <w:tcW w:w="2349" w:type="pct"/>
            <w:tcBorders>
              <w:left w:val="nil"/>
              <w:right w:val="nil"/>
            </w:tcBorders>
            <w:noWrap/>
          </w:tcPr>
          <w:p w14:paraId="1936E7BC" w14:textId="483D204D" w:rsidR="00E97048" w:rsidRDefault="00E97048" w:rsidP="0004551E">
            <w:pPr>
              <w:pStyle w:val="APVMATableText"/>
            </w:pPr>
            <w:r>
              <w:t>Cucumber</w:t>
            </w:r>
          </w:p>
        </w:tc>
        <w:tc>
          <w:tcPr>
            <w:tcW w:w="633" w:type="pct"/>
            <w:tcBorders>
              <w:left w:val="nil"/>
              <w:right w:val="nil"/>
            </w:tcBorders>
            <w:noWrap/>
          </w:tcPr>
          <w:p w14:paraId="6A64E1EC" w14:textId="37EFC40E" w:rsidR="00E97048" w:rsidRDefault="00E97048" w:rsidP="0004551E">
            <w:pPr>
              <w:pStyle w:val="APVMATableText"/>
            </w:pPr>
            <w:r>
              <w:t>-</w:t>
            </w:r>
          </w:p>
        </w:tc>
        <w:tc>
          <w:tcPr>
            <w:tcW w:w="961" w:type="pct"/>
            <w:tcBorders>
              <w:left w:val="nil"/>
            </w:tcBorders>
          </w:tcPr>
          <w:p w14:paraId="3B3C17A4" w14:textId="793FD6EB" w:rsidR="00E97048" w:rsidRDefault="00E97048" w:rsidP="0004551E">
            <w:pPr>
              <w:pStyle w:val="APVMATableText"/>
              <w:rPr>
                <w:szCs w:val="18"/>
              </w:rPr>
            </w:pPr>
            <w:r>
              <w:rPr>
                <w:szCs w:val="18"/>
              </w:rPr>
              <w:t>*0.05</w:t>
            </w:r>
          </w:p>
        </w:tc>
      </w:tr>
      <w:tr w:rsidR="009362D0" w14:paraId="67A8176F" w14:textId="77777777" w:rsidTr="00DE4AD4">
        <w:trPr>
          <w:cantSplit/>
        </w:trPr>
        <w:tc>
          <w:tcPr>
            <w:tcW w:w="1057" w:type="pct"/>
            <w:tcBorders>
              <w:right w:val="nil"/>
            </w:tcBorders>
            <w:noWrap/>
          </w:tcPr>
          <w:p w14:paraId="0332FBCC" w14:textId="77777777" w:rsidR="009362D0" w:rsidRDefault="009362D0" w:rsidP="0004551E">
            <w:pPr>
              <w:pStyle w:val="APVMATableText"/>
              <w:rPr>
                <w:lang w:val="en-US"/>
              </w:rPr>
            </w:pPr>
            <w:r>
              <w:rPr>
                <w:lang w:val="en-US"/>
              </w:rPr>
              <w:t>MO 0105</w:t>
            </w:r>
          </w:p>
        </w:tc>
        <w:tc>
          <w:tcPr>
            <w:tcW w:w="2349" w:type="pct"/>
            <w:tcBorders>
              <w:left w:val="nil"/>
              <w:right w:val="nil"/>
            </w:tcBorders>
            <w:noWrap/>
          </w:tcPr>
          <w:p w14:paraId="55F28511" w14:textId="77777777" w:rsidR="009362D0" w:rsidRDefault="009362D0" w:rsidP="0004551E">
            <w:pPr>
              <w:pStyle w:val="APVMATableText"/>
            </w:pPr>
            <w:r>
              <w:t>Edible offal (Mammalian)</w:t>
            </w:r>
          </w:p>
        </w:tc>
        <w:tc>
          <w:tcPr>
            <w:tcW w:w="633" w:type="pct"/>
            <w:tcBorders>
              <w:left w:val="nil"/>
              <w:right w:val="nil"/>
            </w:tcBorders>
            <w:noWrap/>
          </w:tcPr>
          <w:p w14:paraId="53E7D3B7" w14:textId="77777777" w:rsidR="009362D0" w:rsidRDefault="009362D0" w:rsidP="0004551E">
            <w:pPr>
              <w:pStyle w:val="APVMATableText"/>
            </w:pPr>
            <w:r>
              <w:t>*0.05</w:t>
            </w:r>
          </w:p>
        </w:tc>
        <w:tc>
          <w:tcPr>
            <w:tcW w:w="961" w:type="pct"/>
            <w:tcBorders>
              <w:left w:val="nil"/>
            </w:tcBorders>
          </w:tcPr>
          <w:p w14:paraId="7FB1EB98" w14:textId="77777777" w:rsidR="009362D0" w:rsidRDefault="009362D0" w:rsidP="0004551E">
            <w:pPr>
              <w:pStyle w:val="APVMATableText"/>
              <w:rPr>
                <w:szCs w:val="18"/>
              </w:rPr>
            </w:pPr>
            <w:r>
              <w:rPr>
                <w:szCs w:val="18"/>
              </w:rPr>
              <w:t>*0.05</w:t>
            </w:r>
          </w:p>
        </w:tc>
      </w:tr>
      <w:tr w:rsidR="009362D0" w14:paraId="506648F1" w14:textId="77777777" w:rsidTr="00DE4AD4">
        <w:trPr>
          <w:cantSplit/>
        </w:trPr>
        <w:tc>
          <w:tcPr>
            <w:tcW w:w="1057" w:type="pct"/>
            <w:tcBorders>
              <w:right w:val="nil"/>
            </w:tcBorders>
            <w:noWrap/>
          </w:tcPr>
          <w:p w14:paraId="3697E8D9" w14:textId="77777777" w:rsidR="009362D0" w:rsidRDefault="009362D0" w:rsidP="0004551E">
            <w:pPr>
              <w:pStyle w:val="APVMATableText"/>
              <w:rPr>
                <w:lang w:val="en-US"/>
              </w:rPr>
            </w:pPr>
            <w:r>
              <w:rPr>
                <w:lang w:val="en-US"/>
              </w:rPr>
              <w:t>PE 0112</w:t>
            </w:r>
          </w:p>
        </w:tc>
        <w:tc>
          <w:tcPr>
            <w:tcW w:w="2349" w:type="pct"/>
            <w:tcBorders>
              <w:left w:val="nil"/>
              <w:right w:val="nil"/>
            </w:tcBorders>
            <w:noWrap/>
          </w:tcPr>
          <w:p w14:paraId="7CCC9968" w14:textId="77777777" w:rsidR="009362D0" w:rsidRDefault="009362D0" w:rsidP="0004551E">
            <w:pPr>
              <w:pStyle w:val="APVMATableText"/>
            </w:pPr>
            <w:r>
              <w:t>Eggs</w:t>
            </w:r>
          </w:p>
        </w:tc>
        <w:tc>
          <w:tcPr>
            <w:tcW w:w="633" w:type="pct"/>
            <w:tcBorders>
              <w:left w:val="nil"/>
              <w:right w:val="nil"/>
            </w:tcBorders>
            <w:noWrap/>
          </w:tcPr>
          <w:p w14:paraId="50261D0C" w14:textId="77777777" w:rsidR="009362D0" w:rsidRDefault="009362D0" w:rsidP="0004551E">
            <w:pPr>
              <w:pStyle w:val="APVMATableText"/>
            </w:pPr>
            <w:r>
              <w:t>*0.01</w:t>
            </w:r>
          </w:p>
        </w:tc>
        <w:tc>
          <w:tcPr>
            <w:tcW w:w="961" w:type="pct"/>
            <w:tcBorders>
              <w:left w:val="nil"/>
            </w:tcBorders>
          </w:tcPr>
          <w:p w14:paraId="61352F59" w14:textId="77777777" w:rsidR="009362D0" w:rsidRDefault="009362D0" w:rsidP="0004551E">
            <w:pPr>
              <w:pStyle w:val="APVMATableText"/>
              <w:rPr>
                <w:szCs w:val="18"/>
              </w:rPr>
            </w:pPr>
            <w:r>
              <w:rPr>
                <w:szCs w:val="18"/>
              </w:rPr>
              <w:t>*0.01</w:t>
            </w:r>
          </w:p>
        </w:tc>
      </w:tr>
      <w:tr w:rsidR="00645BB2" w14:paraId="5C936851" w14:textId="77777777" w:rsidTr="00DE4AD4">
        <w:trPr>
          <w:cantSplit/>
        </w:trPr>
        <w:tc>
          <w:tcPr>
            <w:tcW w:w="1057" w:type="pct"/>
            <w:tcBorders>
              <w:right w:val="nil"/>
            </w:tcBorders>
            <w:noWrap/>
          </w:tcPr>
          <w:p w14:paraId="7F0916B2" w14:textId="77777777" w:rsidR="00645BB2" w:rsidRDefault="00645BB2" w:rsidP="0004551E">
            <w:pPr>
              <w:pStyle w:val="APVMATableText"/>
              <w:rPr>
                <w:lang w:val="en-US"/>
              </w:rPr>
            </w:pPr>
            <w:r>
              <w:rPr>
                <w:lang w:val="en-US"/>
              </w:rPr>
              <w:t>VO 0050</w:t>
            </w:r>
          </w:p>
        </w:tc>
        <w:tc>
          <w:tcPr>
            <w:tcW w:w="2349" w:type="pct"/>
            <w:tcBorders>
              <w:left w:val="nil"/>
              <w:right w:val="nil"/>
            </w:tcBorders>
            <w:noWrap/>
          </w:tcPr>
          <w:p w14:paraId="1AB8A001" w14:textId="77777777" w:rsidR="00645BB2" w:rsidRDefault="00645BB2" w:rsidP="0004551E">
            <w:pPr>
              <w:pStyle w:val="APVMATableText"/>
            </w:pPr>
            <w:r>
              <w:t>Fruiting vegetables, other than cucurbits</w:t>
            </w:r>
          </w:p>
        </w:tc>
        <w:tc>
          <w:tcPr>
            <w:tcW w:w="633" w:type="pct"/>
            <w:tcBorders>
              <w:left w:val="nil"/>
              <w:right w:val="nil"/>
            </w:tcBorders>
            <w:noWrap/>
          </w:tcPr>
          <w:p w14:paraId="37DF0B39" w14:textId="0F4F1CBF" w:rsidR="00645BB2" w:rsidRDefault="00645BB2" w:rsidP="0004551E">
            <w:pPr>
              <w:pStyle w:val="APVMATableText"/>
            </w:pPr>
            <w:r>
              <w:t>–</w:t>
            </w:r>
          </w:p>
        </w:tc>
        <w:tc>
          <w:tcPr>
            <w:tcW w:w="961" w:type="pct"/>
            <w:tcBorders>
              <w:left w:val="nil"/>
            </w:tcBorders>
          </w:tcPr>
          <w:p w14:paraId="02BE60C7" w14:textId="77777777" w:rsidR="00645BB2" w:rsidRDefault="00645BB2" w:rsidP="0004551E">
            <w:pPr>
              <w:pStyle w:val="APVMATableText"/>
              <w:rPr>
                <w:szCs w:val="18"/>
              </w:rPr>
            </w:pPr>
            <w:r>
              <w:rPr>
                <w:szCs w:val="18"/>
              </w:rPr>
              <w:t>*0.01</w:t>
            </w:r>
          </w:p>
        </w:tc>
      </w:tr>
      <w:tr w:rsidR="00645BB2" w:rsidRPr="00EC50D6" w14:paraId="138CE974" w14:textId="77777777" w:rsidTr="00DE4AD4">
        <w:trPr>
          <w:cantSplit/>
        </w:trPr>
        <w:tc>
          <w:tcPr>
            <w:tcW w:w="1057" w:type="pct"/>
            <w:tcBorders>
              <w:right w:val="nil"/>
            </w:tcBorders>
            <w:noWrap/>
          </w:tcPr>
          <w:p w14:paraId="1E15C3D9" w14:textId="77777777" w:rsidR="00645BB2" w:rsidRDefault="00645BB2" w:rsidP="0004551E">
            <w:pPr>
              <w:pStyle w:val="APVMATableText"/>
              <w:rPr>
                <w:lang w:val="en-US"/>
              </w:rPr>
            </w:pPr>
          </w:p>
        </w:tc>
        <w:tc>
          <w:tcPr>
            <w:tcW w:w="2349" w:type="pct"/>
            <w:tcBorders>
              <w:left w:val="nil"/>
              <w:right w:val="nil"/>
            </w:tcBorders>
            <w:noWrap/>
          </w:tcPr>
          <w:p w14:paraId="44070CD6" w14:textId="77777777" w:rsidR="00645BB2" w:rsidRDefault="00645BB2" w:rsidP="0004551E">
            <w:pPr>
              <w:pStyle w:val="APVMATableText"/>
            </w:pPr>
            <w:r>
              <w:t>Fruits</w:t>
            </w:r>
          </w:p>
        </w:tc>
        <w:tc>
          <w:tcPr>
            <w:tcW w:w="633" w:type="pct"/>
            <w:tcBorders>
              <w:left w:val="nil"/>
              <w:right w:val="nil"/>
            </w:tcBorders>
            <w:noWrap/>
          </w:tcPr>
          <w:p w14:paraId="5D843FA3" w14:textId="77777777" w:rsidR="00645BB2" w:rsidRDefault="00645BB2" w:rsidP="0004551E">
            <w:pPr>
              <w:pStyle w:val="APVMATableText"/>
            </w:pPr>
            <w:r>
              <w:t>*0.05</w:t>
            </w:r>
          </w:p>
        </w:tc>
        <w:tc>
          <w:tcPr>
            <w:tcW w:w="961" w:type="pct"/>
            <w:tcBorders>
              <w:left w:val="nil"/>
            </w:tcBorders>
          </w:tcPr>
          <w:p w14:paraId="358A3E83" w14:textId="77777777" w:rsidR="00645BB2" w:rsidRPr="00EC50D6" w:rsidRDefault="00645BB2" w:rsidP="0004551E">
            <w:pPr>
              <w:pStyle w:val="APVMATableText"/>
              <w:rPr>
                <w:szCs w:val="18"/>
              </w:rPr>
            </w:pPr>
            <w:r>
              <w:rPr>
                <w:szCs w:val="18"/>
              </w:rPr>
              <w:t>Delete</w:t>
            </w:r>
          </w:p>
        </w:tc>
      </w:tr>
      <w:tr w:rsidR="009362D0" w:rsidRPr="00EC50D6" w14:paraId="6AE36DC7" w14:textId="77777777" w:rsidTr="00DE4AD4">
        <w:trPr>
          <w:cantSplit/>
        </w:trPr>
        <w:tc>
          <w:tcPr>
            <w:tcW w:w="1057" w:type="pct"/>
            <w:tcBorders>
              <w:right w:val="nil"/>
            </w:tcBorders>
            <w:noWrap/>
          </w:tcPr>
          <w:p w14:paraId="1FE4D405" w14:textId="77777777" w:rsidR="009362D0" w:rsidRDefault="009362D0" w:rsidP="0004551E">
            <w:pPr>
              <w:pStyle w:val="APVMATableText"/>
              <w:rPr>
                <w:lang w:val="en-US"/>
              </w:rPr>
            </w:pPr>
            <w:r>
              <w:rPr>
                <w:lang w:val="en-US"/>
              </w:rPr>
              <w:t>DH 1100</w:t>
            </w:r>
          </w:p>
        </w:tc>
        <w:tc>
          <w:tcPr>
            <w:tcW w:w="2349" w:type="pct"/>
            <w:tcBorders>
              <w:left w:val="nil"/>
              <w:right w:val="nil"/>
            </w:tcBorders>
            <w:noWrap/>
          </w:tcPr>
          <w:p w14:paraId="28A6853B" w14:textId="77777777" w:rsidR="009362D0" w:rsidRDefault="009362D0" w:rsidP="0004551E">
            <w:pPr>
              <w:pStyle w:val="APVMATableText"/>
            </w:pPr>
            <w:r>
              <w:t>Hops, dry</w:t>
            </w:r>
          </w:p>
        </w:tc>
        <w:tc>
          <w:tcPr>
            <w:tcW w:w="633" w:type="pct"/>
            <w:tcBorders>
              <w:left w:val="nil"/>
              <w:right w:val="nil"/>
            </w:tcBorders>
            <w:noWrap/>
          </w:tcPr>
          <w:p w14:paraId="1751F1DE" w14:textId="77777777" w:rsidR="009362D0" w:rsidRDefault="009362D0" w:rsidP="0004551E">
            <w:pPr>
              <w:pStyle w:val="APVMATableText"/>
            </w:pPr>
            <w:r>
              <w:t>0.2</w:t>
            </w:r>
          </w:p>
        </w:tc>
        <w:tc>
          <w:tcPr>
            <w:tcW w:w="961" w:type="pct"/>
            <w:tcBorders>
              <w:left w:val="nil"/>
            </w:tcBorders>
          </w:tcPr>
          <w:p w14:paraId="3DB8856D" w14:textId="77777777" w:rsidR="009362D0" w:rsidRPr="00EC50D6" w:rsidRDefault="009362D0" w:rsidP="0004551E">
            <w:pPr>
              <w:pStyle w:val="APVMATableText"/>
            </w:pPr>
            <w:r>
              <w:t>*0.05</w:t>
            </w:r>
          </w:p>
        </w:tc>
      </w:tr>
      <w:tr w:rsidR="00645BB2" w14:paraId="38415931" w14:textId="77777777" w:rsidTr="00DE4AD4">
        <w:trPr>
          <w:cantSplit/>
        </w:trPr>
        <w:tc>
          <w:tcPr>
            <w:tcW w:w="1057" w:type="pct"/>
            <w:tcBorders>
              <w:right w:val="nil"/>
            </w:tcBorders>
            <w:noWrap/>
          </w:tcPr>
          <w:p w14:paraId="31F75A90" w14:textId="77777777" w:rsidR="00645BB2" w:rsidRDefault="00645BB2" w:rsidP="0004551E">
            <w:pPr>
              <w:pStyle w:val="APVMATableText"/>
              <w:rPr>
                <w:szCs w:val="18"/>
              </w:rPr>
            </w:pPr>
            <w:r>
              <w:rPr>
                <w:szCs w:val="18"/>
              </w:rPr>
              <w:t>VL 0053</w:t>
            </w:r>
          </w:p>
        </w:tc>
        <w:tc>
          <w:tcPr>
            <w:tcW w:w="2349" w:type="pct"/>
            <w:tcBorders>
              <w:left w:val="nil"/>
              <w:right w:val="nil"/>
            </w:tcBorders>
            <w:noWrap/>
          </w:tcPr>
          <w:p w14:paraId="795A161C" w14:textId="77777777" w:rsidR="00645BB2" w:rsidRDefault="00645BB2" w:rsidP="0004551E">
            <w:pPr>
              <w:pStyle w:val="APVMATableText"/>
              <w:rPr>
                <w:szCs w:val="18"/>
              </w:rPr>
            </w:pPr>
            <w:r>
              <w:rPr>
                <w:szCs w:val="18"/>
              </w:rPr>
              <w:t>Leafy vegetables</w:t>
            </w:r>
          </w:p>
        </w:tc>
        <w:tc>
          <w:tcPr>
            <w:tcW w:w="633" w:type="pct"/>
            <w:tcBorders>
              <w:left w:val="nil"/>
              <w:right w:val="nil"/>
            </w:tcBorders>
            <w:noWrap/>
          </w:tcPr>
          <w:p w14:paraId="100F1B2C" w14:textId="6AFE8BFE" w:rsidR="00645BB2" w:rsidRDefault="00645BB2" w:rsidP="0004551E">
            <w:pPr>
              <w:pStyle w:val="APVMATableText"/>
            </w:pPr>
            <w:r w:rsidRPr="00EB6AE0">
              <w:t>–</w:t>
            </w:r>
          </w:p>
        </w:tc>
        <w:tc>
          <w:tcPr>
            <w:tcW w:w="961" w:type="pct"/>
            <w:tcBorders>
              <w:left w:val="nil"/>
            </w:tcBorders>
          </w:tcPr>
          <w:p w14:paraId="2E922926" w14:textId="77777777" w:rsidR="00645BB2" w:rsidRDefault="00645BB2" w:rsidP="0004551E">
            <w:pPr>
              <w:pStyle w:val="APVMATableText"/>
            </w:pPr>
            <w:r>
              <w:t>0.05</w:t>
            </w:r>
          </w:p>
        </w:tc>
      </w:tr>
      <w:tr w:rsidR="00645BB2" w14:paraId="70C89C0A" w14:textId="77777777" w:rsidTr="00DE4AD4">
        <w:trPr>
          <w:cantSplit/>
        </w:trPr>
        <w:tc>
          <w:tcPr>
            <w:tcW w:w="1057" w:type="pct"/>
            <w:tcBorders>
              <w:right w:val="nil"/>
            </w:tcBorders>
            <w:noWrap/>
          </w:tcPr>
          <w:p w14:paraId="3E078418" w14:textId="77777777" w:rsidR="00645BB2" w:rsidRDefault="00645BB2" w:rsidP="0004551E">
            <w:pPr>
              <w:pStyle w:val="APVMATableText"/>
              <w:rPr>
                <w:szCs w:val="18"/>
              </w:rPr>
            </w:pPr>
            <w:r>
              <w:rPr>
                <w:lang w:val="en-US"/>
              </w:rPr>
              <w:t>VP 0060</w:t>
            </w:r>
          </w:p>
        </w:tc>
        <w:tc>
          <w:tcPr>
            <w:tcW w:w="2349" w:type="pct"/>
            <w:tcBorders>
              <w:left w:val="nil"/>
              <w:right w:val="nil"/>
            </w:tcBorders>
            <w:noWrap/>
          </w:tcPr>
          <w:p w14:paraId="416357A6" w14:textId="77777777" w:rsidR="00645BB2" w:rsidRDefault="00645BB2" w:rsidP="0004551E">
            <w:pPr>
              <w:pStyle w:val="APVMATableText"/>
              <w:rPr>
                <w:szCs w:val="18"/>
              </w:rPr>
            </w:pPr>
            <w:r>
              <w:rPr>
                <w:szCs w:val="18"/>
              </w:rPr>
              <w:t>Legume vegetables</w:t>
            </w:r>
          </w:p>
        </w:tc>
        <w:tc>
          <w:tcPr>
            <w:tcW w:w="633" w:type="pct"/>
            <w:tcBorders>
              <w:left w:val="nil"/>
              <w:right w:val="nil"/>
            </w:tcBorders>
            <w:noWrap/>
          </w:tcPr>
          <w:p w14:paraId="1B26475C" w14:textId="33389C12" w:rsidR="00645BB2" w:rsidRDefault="00645BB2" w:rsidP="0004551E">
            <w:pPr>
              <w:pStyle w:val="APVMATableText"/>
            </w:pPr>
            <w:r w:rsidRPr="00EB6AE0">
              <w:t>–</w:t>
            </w:r>
          </w:p>
        </w:tc>
        <w:tc>
          <w:tcPr>
            <w:tcW w:w="961" w:type="pct"/>
            <w:tcBorders>
              <w:left w:val="nil"/>
            </w:tcBorders>
          </w:tcPr>
          <w:p w14:paraId="268C55E9" w14:textId="77777777" w:rsidR="00645BB2" w:rsidRDefault="00645BB2" w:rsidP="0004551E">
            <w:pPr>
              <w:pStyle w:val="APVMATableText"/>
            </w:pPr>
            <w:r>
              <w:t>*0.05</w:t>
            </w:r>
          </w:p>
        </w:tc>
      </w:tr>
      <w:tr w:rsidR="009362D0" w14:paraId="74974A96" w14:textId="77777777" w:rsidTr="00DE4AD4">
        <w:trPr>
          <w:cantSplit/>
        </w:trPr>
        <w:tc>
          <w:tcPr>
            <w:tcW w:w="1057" w:type="pct"/>
            <w:tcBorders>
              <w:right w:val="nil"/>
            </w:tcBorders>
            <w:noWrap/>
          </w:tcPr>
          <w:p w14:paraId="5B172803" w14:textId="77777777" w:rsidR="009362D0" w:rsidRDefault="009362D0" w:rsidP="0004551E">
            <w:pPr>
              <w:pStyle w:val="APVMATableText"/>
              <w:rPr>
                <w:lang w:val="en-US"/>
              </w:rPr>
            </w:pPr>
            <w:r>
              <w:rPr>
                <w:lang w:val="en-US"/>
              </w:rPr>
              <w:t>SO 0693</w:t>
            </w:r>
          </w:p>
        </w:tc>
        <w:tc>
          <w:tcPr>
            <w:tcW w:w="2349" w:type="pct"/>
            <w:tcBorders>
              <w:left w:val="nil"/>
              <w:right w:val="nil"/>
            </w:tcBorders>
            <w:noWrap/>
          </w:tcPr>
          <w:p w14:paraId="2266E903" w14:textId="77777777" w:rsidR="009362D0" w:rsidRDefault="009362D0" w:rsidP="0004551E">
            <w:pPr>
              <w:pStyle w:val="APVMATableText"/>
            </w:pPr>
            <w:r>
              <w:t>Linseed</w:t>
            </w:r>
          </w:p>
        </w:tc>
        <w:tc>
          <w:tcPr>
            <w:tcW w:w="633" w:type="pct"/>
            <w:tcBorders>
              <w:left w:val="nil"/>
              <w:right w:val="nil"/>
            </w:tcBorders>
            <w:noWrap/>
          </w:tcPr>
          <w:p w14:paraId="6105DD79" w14:textId="77777777" w:rsidR="009362D0" w:rsidRDefault="009362D0" w:rsidP="0004551E">
            <w:pPr>
              <w:pStyle w:val="APVMATableText"/>
            </w:pPr>
            <w:r>
              <w:t>*0.01</w:t>
            </w:r>
          </w:p>
        </w:tc>
        <w:tc>
          <w:tcPr>
            <w:tcW w:w="961" w:type="pct"/>
            <w:tcBorders>
              <w:left w:val="nil"/>
            </w:tcBorders>
          </w:tcPr>
          <w:p w14:paraId="390E4C71" w14:textId="77777777" w:rsidR="009362D0" w:rsidRDefault="009362D0" w:rsidP="0004551E">
            <w:pPr>
              <w:pStyle w:val="APVMATableText"/>
            </w:pPr>
            <w:r>
              <w:t>Delete</w:t>
            </w:r>
          </w:p>
        </w:tc>
      </w:tr>
      <w:tr w:rsidR="009362D0" w:rsidRPr="00EC50D6" w14:paraId="1FF0CA05" w14:textId="77777777" w:rsidTr="00DE4AD4">
        <w:trPr>
          <w:cantSplit/>
        </w:trPr>
        <w:tc>
          <w:tcPr>
            <w:tcW w:w="1057" w:type="pct"/>
            <w:tcBorders>
              <w:right w:val="nil"/>
            </w:tcBorders>
            <w:noWrap/>
          </w:tcPr>
          <w:p w14:paraId="6B155DE4" w14:textId="77777777" w:rsidR="009362D0" w:rsidRDefault="009362D0" w:rsidP="0004551E">
            <w:pPr>
              <w:pStyle w:val="APVMATableText"/>
              <w:rPr>
                <w:lang w:val="en-US"/>
              </w:rPr>
            </w:pPr>
            <w:r>
              <w:rPr>
                <w:lang w:val="en-US"/>
              </w:rPr>
              <w:t>GC 0645</w:t>
            </w:r>
          </w:p>
        </w:tc>
        <w:tc>
          <w:tcPr>
            <w:tcW w:w="2349" w:type="pct"/>
            <w:tcBorders>
              <w:left w:val="nil"/>
              <w:right w:val="nil"/>
            </w:tcBorders>
            <w:noWrap/>
          </w:tcPr>
          <w:p w14:paraId="2DBFE858" w14:textId="77777777" w:rsidR="009362D0" w:rsidRDefault="009362D0" w:rsidP="0004551E">
            <w:pPr>
              <w:pStyle w:val="APVMATableText"/>
            </w:pPr>
            <w:r>
              <w:t>Maize</w:t>
            </w:r>
          </w:p>
        </w:tc>
        <w:tc>
          <w:tcPr>
            <w:tcW w:w="633" w:type="pct"/>
            <w:tcBorders>
              <w:left w:val="nil"/>
              <w:right w:val="nil"/>
            </w:tcBorders>
            <w:noWrap/>
          </w:tcPr>
          <w:p w14:paraId="36413CD4" w14:textId="77777777" w:rsidR="009362D0" w:rsidRDefault="009362D0" w:rsidP="0004551E">
            <w:pPr>
              <w:pStyle w:val="APVMATableText"/>
            </w:pPr>
            <w:r>
              <w:t>0.1</w:t>
            </w:r>
          </w:p>
        </w:tc>
        <w:tc>
          <w:tcPr>
            <w:tcW w:w="961" w:type="pct"/>
            <w:tcBorders>
              <w:left w:val="nil"/>
            </w:tcBorders>
          </w:tcPr>
          <w:p w14:paraId="7FC76814" w14:textId="77777777" w:rsidR="009362D0" w:rsidRPr="00EC50D6" w:rsidRDefault="009362D0" w:rsidP="0004551E">
            <w:pPr>
              <w:pStyle w:val="APVMATableText"/>
            </w:pPr>
            <w:r>
              <w:t>Delete</w:t>
            </w:r>
          </w:p>
        </w:tc>
      </w:tr>
      <w:tr w:rsidR="009362D0" w:rsidRPr="00EC50D6" w14:paraId="7189593B" w14:textId="77777777" w:rsidTr="00DE4AD4">
        <w:trPr>
          <w:cantSplit/>
        </w:trPr>
        <w:tc>
          <w:tcPr>
            <w:tcW w:w="1057" w:type="pct"/>
            <w:tcBorders>
              <w:right w:val="nil"/>
            </w:tcBorders>
            <w:noWrap/>
          </w:tcPr>
          <w:p w14:paraId="7382D3F1" w14:textId="77777777" w:rsidR="009362D0" w:rsidRDefault="009362D0" w:rsidP="0004551E">
            <w:pPr>
              <w:pStyle w:val="APVMATableText"/>
              <w:rPr>
                <w:lang w:val="en-US"/>
              </w:rPr>
            </w:pPr>
            <w:r>
              <w:rPr>
                <w:lang w:val="en-US"/>
              </w:rPr>
              <w:t>MM 0095</w:t>
            </w:r>
          </w:p>
        </w:tc>
        <w:tc>
          <w:tcPr>
            <w:tcW w:w="2349" w:type="pct"/>
            <w:tcBorders>
              <w:left w:val="nil"/>
              <w:right w:val="nil"/>
            </w:tcBorders>
            <w:noWrap/>
          </w:tcPr>
          <w:p w14:paraId="7D09B23E" w14:textId="77777777" w:rsidR="009362D0" w:rsidRDefault="009362D0" w:rsidP="0004551E">
            <w:pPr>
              <w:pStyle w:val="APVMATableText"/>
            </w:pPr>
            <w:r>
              <w:t>Meat [mammalian]</w:t>
            </w:r>
          </w:p>
        </w:tc>
        <w:tc>
          <w:tcPr>
            <w:tcW w:w="633" w:type="pct"/>
            <w:tcBorders>
              <w:left w:val="nil"/>
              <w:right w:val="nil"/>
            </w:tcBorders>
            <w:noWrap/>
          </w:tcPr>
          <w:p w14:paraId="7807F1BA" w14:textId="77777777" w:rsidR="009362D0" w:rsidRDefault="009362D0" w:rsidP="0004551E">
            <w:pPr>
              <w:pStyle w:val="APVMATableText"/>
            </w:pPr>
            <w:r>
              <w:t>*0.05</w:t>
            </w:r>
          </w:p>
        </w:tc>
        <w:tc>
          <w:tcPr>
            <w:tcW w:w="961" w:type="pct"/>
            <w:tcBorders>
              <w:left w:val="nil"/>
            </w:tcBorders>
          </w:tcPr>
          <w:p w14:paraId="63D15A7D" w14:textId="77777777" w:rsidR="009362D0" w:rsidRPr="00EC50D6" w:rsidRDefault="009362D0" w:rsidP="0004551E">
            <w:pPr>
              <w:pStyle w:val="APVMATableText"/>
            </w:pPr>
            <w:r>
              <w:t>*0.05</w:t>
            </w:r>
          </w:p>
        </w:tc>
      </w:tr>
      <w:tr w:rsidR="009362D0" w:rsidRPr="00EC50D6" w14:paraId="5DBD4534" w14:textId="77777777" w:rsidTr="00DE4AD4">
        <w:trPr>
          <w:cantSplit/>
        </w:trPr>
        <w:tc>
          <w:tcPr>
            <w:tcW w:w="1057" w:type="pct"/>
            <w:tcBorders>
              <w:right w:val="nil"/>
            </w:tcBorders>
            <w:noWrap/>
          </w:tcPr>
          <w:p w14:paraId="3D3114E2" w14:textId="77777777" w:rsidR="009362D0" w:rsidRDefault="009362D0" w:rsidP="0004551E">
            <w:pPr>
              <w:pStyle w:val="APVMATableText"/>
              <w:rPr>
                <w:lang w:val="en-US"/>
              </w:rPr>
            </w:pPr>
            <w:r>
              <w:rPr>
                <w:lang w:val="en-US"/>
              </w:rPr>
              <w:t>ML 0106</w:t>
            </w:r>
          </w:p>
        </w:tc>
        <w:tc>
          <w:tcPr>
            <w:tcW w:w="2349" w:type="pct"/>
            <w:tcBorders>
              <w:left w:val="nil"/>
              <w:right w:val="nil"/>
            </w:tcBorders>
            <w:noWrap/>
          </w:tcPr>
          <w:p w14:paraId="1EFB0409" w14:textId="77777777" w:rsidR="009362D0" w:rsidRDefault="009362D0" w:rsidP="0004551E">
            <w:pPr>
              <w:pStyle w:val="APVMATableText"/>
            </w:pPr>
            <w:r>
              <w:t>Milks</w:t>
            </w:r>
          </w:p>
        </w:tc>
        <w:tc>
          <w:tcPr>
            <w:tcW w:w="633" w:type="pct"/>
            <w:tcBorders>
              <w:left w:val="nil"/>
              <w:right w:val="nil"/>
            </w:tcBorders>
            <w:noWrap/>
          </w:tcPr>
          <w:p w14:paraId="1ED69042" w14:textId="77777777" w:rsidR="009362D0" w:rsidRDefault="009362D0" w:rsidP="0004551E">
            <w:pPr>
              <w:pStyle w:val="APVMATableText"/>
            </w:pPr>
            <w:r>
              <w:t>*0.01</w:t>
            </w:r>
          </w:p>
        </w:tc>
        <w:tc>
          <w:tcPr>
            <w:tcW w:w="961" w:type="pct"/>
            <w:tcBorders>
              <w:left w:val="nil"/>
            </w:tcBorders>
          </w:tcPr>
          <w:p w14:paraId="2868F64A" w14:textId="77777777" w:rsidR="009362D0" w:rsidRPr="00EC50D6" w:rsidRDefault="009362D0" w:rsidP="0004551E">
            <w:pPr>
              <w:pStyle w:val="APVMATableText"/>
            </w:pPr>
            <w:r>
              <w:t>*0.01</w:t>
            </w:r>
          </w:p>
        </w:tc>
      </w:tr>
      <w:tr w:rsidR="009362D0" w14:paraId="3B708128" w14:textId="77777777" w:rsidTr="00DE4AD4">
        <w:trPr>
          <w:cantSplit/>
        </w:trPr>
        <w:tc>
          <w:tcPr>
            <w:tcW w:w="1057" w:type="pct"/>
            <w:tcBorders>
              <w:right w:val="nil"/>
            </w:tcBorders>
            <w:noWrap/>
          </w:tcPr>
          <w:p w14:paraId="4114D14E" w14:textId="77777777" w:rsidR="009362D0" w:rsidRDefault="009362D0" w:rsidP="0004551E">
            <w:pPr>
              <w:pStyle w:val="APVMATableText"/>
              <w:rPr>
                <w:lang w:val="en-US"/>
              </w:rPr>
            </w:pPr>
            <w:r>
              <w:rPr>
                <w:lang w:val="en-US"/>
              </w:rPr>
              <w:t>GC 0647</w:t>
            </w:r>
          </w:p>
        </w:tc>
        <w:tc>
          <w:tcPr>
            <w:tcW w:w="2349" w:type="pct"/>
            <w:tcBorders>
              <w:left w:val="nil"/>
              <w:right w:val="nil"/>
            </w:tcBorders>
            <w:noWrap/>
          </w:tcPr>
          <w:p w14:paraId="56AE6903" w14:textId="77777777" w:rsidR="009362D0" w:rsidRDefault="009362D0" w:rsidP="0004551E">
            <w:pPr>
              <w:pStyle w:val="APVMATableText"/>
            </w:pPr>
            <w:r>
              <w:t>Oats</w:t>
            </w:r>
          </w:p>
        </w:tc>
        <w:tc>
          <w:tcPr>
            <w:tcW w:w="633" w:type="pct"/>
            <w:tcBorders>
              <w:left w:val="nil"/>
              <w:right w:val="nil"/>
            </w:tcBorders>
            <w:noWrap/>
          </w:tcPr>
          <w:p w14:paraId="7BFF8375" w14:textId="77777777" w:rsidR="009362D0" w:rsidRDefault="009362D0" w:rsidP="0004551E">
            <w:pPr>
              <w:pStyle w:val="APVMATableText"/>
            </w:pPr>
            <w:r>
              <w:t>5</w:t>
            </w:r>
          </w:p>
        </w:tc>
        <w:tc>
          <w:tcPr>
            <w:tcW w:w="961" w:type="pct"/>
            <w:tcBorders>
              <w:left w:val="nil"/>
            </w:tcBorders>
          </w:tcPr>
          <w:p w14:paraId="14632AE0" w14:textId="3666C260" w:rsidR="009362D0" w:rsidRDefault="00E97048" w:rsidP="0004551E">
            <w:pPr>
              <w:pStyle w:val="APVMATableText"/>
            </w:pPr>
            <w:r>
              <w:t>0.7</w:t>
            </w:r>
          </w:p>
        </w:tc>
      </w:tr>
      <w:tr w:rsidR="009362D0" w14:paraId="0B6107F0" w14:textId="77777777" w:rsidTr="00DE4AD4">
        <w:trPr>
          <w:cantSplit/>
        </w:trPr>
        <w:tc>
          <w:tcPr>
            <w:tcW w:w="1057" w:type="pct"/>
            <w:tcBorders>
              <w:right w:val="nil"/>
            </w:tcBorders>
            <w:noWrap/>
          </w:tcPr>
          <w:p w14:paraId="6617B4B2" w14:textId="77777777" w:rsidR="009362D0" w:rsidRDefault="009362D0" w:rsidP="0004551E">
            <w:pPr>
              <w:pStyle w:val="APVMATableText"/>
              <w:rPr>
                <w:lang w:val="en-US"/>
              </w:rPr>
            </w:pPr>
            <w:r>
              <w:rPr>
                <w:lang w:val="en-US"/>
              </w:rPr>
              <w:t>SO 0088</w:t>
            </w:r>
          </w:p>
        </w:tc>
        <w:tc>
          <w:tcPr>
            <w:tcW w:w="2349" w:type="pct"/>
            <w:tcBorders>
              <w:left w:val="nil"/>
              <w:right w:val="nil"/>
            </w:tcBorders>
            <w:noWrap/>
          </w:tcPr>
          <w:p w14:paraId="367BF059" w14:textId="77777777" w:rsidR="009362D0" w:rsidRDefault="009362D0" w:rsidP="0004551E">
            <w:pPr>
              <w:pStyle w:val="APVMATableText"/>
            </w:pPr>
            <w:r>
              <w:rPr>
                <w:szCs w:val="18"/>
              </w:rPr>
              <w:t>Oilseed [except linseed and poppy seed]</w:t>
            </w:r>
          </w:p>
        </w:tc>
        <w:tc>
          <w:tcPr>
            <w:tcW w:w="633" w:type="pct"/>
            <w:tcBorders>
              <w:left w:val="nil"/>
              <w:right w:val="nil"/>
            </w:tcBorders>
            <w:noWrap/>
          </w:tcPr>
          <w:p w14:paraId="4BC05E73" w14:textId="77777777" w:rsidR="009362D0" w:rsidRDefault="009362D0" w:rsidP="0004551E">
            <w:pPr>
              <w:pStyle w:val="APVMATableText"/>
            </w:pPr>
            <w:r>
              <w:t>5</w:t>
            </w:r>
          </w:p>
        </w:tc>
        <w:tc>
          <w:tcPr>
            <w:tcW w:w="961" w:type="pct"/>
            <w:tcBorders>
              <w:left w:val="nil"/>
            </w:tcBorders>
          </w:tcPr>
          <w:p w14:paraId="2DF42CA2" w14:textId="77777777" w:rsidR="009362D0" w:rsidRDefault="009362D0" w:rsidP="0004551E">
            <w:pPr>
              <w:pStyle w:val="APVMATableText"/>
            </w:pPr>
            <w:r>
              <w:t>Delete</w:t>
            </w:r>
          </w:p>
        </w:tc>
      </w:tr>
      <w:tr w:rsidR="009362D0" w14:paraId="51FD32C9" w14:textId="77777777" w:rsidTr="00DE4AD4">
        <w:trPr>
          <w:cantSplit/>
        </w:trPr>
        <w:tc>
          <w:tcPr>
            <w:tcW w:w="1057" w:type="pct"/>
            <w:tcBorders>
              <w:right w:val="nil"/>
            </w:tcBorders>
            <w:noWrap/>
          </w:tcPr>
          <w:p w14:paraId="247A47CC" w14:textId="77777777" w:rsidR="009362D0" w:rsidRDefault="009362D0" w:rsidP="0004551E">
            <w:pPr>
              <w:pStyle w:val="APVMATableText"/>
              <w:rPr>
                <w:lang w:val="en-US"/>
              </w:rPr>
            </w:pPr>
            <w:r>
              <w:rPr>
                <w:lang w:val="en-US"/>
              </w:rPr>
              <w:t>SO 0088</w:t>
            </w:r>
          </w:p>
        </w:tc>
        <w:tc>
          <w:tcPr>
            <w:tcW w:w="2349" w:type="pct"/>
            <w:tcBorders>
              <w:left w:val="nil"/>
              <w:right w:val="nil"/>
            </w:tcBorders>
            <w:noWrap/>
          </w:tcPr>
          <w:p w14:paraId="02212D23" w14:textId="77777777" w:rsidR="009362D0" w:rsidRDefault="009362D0" w:rsidP="0004551E">
            <w:pPr>
              <w:pStyle w:val="APVMATableText"/>
              <w:rPr>
                <w:szCs w:val="18"/>
              </w:rPr>
            </w:pPr>
            <w:r>
              <w:rPr>
                <w:szCs w:val="18"/>
              </w:rPr>
              <w:t>Oilseed {except poppy seed}</w:t>
            </w:r>
          </w:p>
        </w:tc>
        <w:tc>
          <w:tcPr>
            <w:tcW w:w="633" w:type="pct"/>
            <w:tcBorders>
              <w:left w:val="nil"/>
              <w:right w:val="nil"/>
            </w:tcBorders>
            <w:noWrap/>
          </w:tcPr>
          <w:p w14:paraId="4DCD4AE4" w14:textId="09F5DEBD" w:rsidR="009362D0" w:rsidRDefault="00645BB2" w:rsidP="0004551E">
            <w:pPr>
              <w:pStyle w:val="APVMATableText"/>
            </w:pPr>
            <w:r>
              <w:t>–</w:t>
            </w:r>
          </w:p>
        </w:tc>
        <w:tc>
          <w:tcPr>
            <w:tcW w:w="961" w:type="pct"/>
            <w:tcBorders>
              <w:left w:val="nil"/>
            </w:tcBorders>
          </w:tcPr>
          <w:p w14:paraId="57BEE8FE" w14:textId="77777777" w:rsidR="009362D0" w:rsidRDefault="009362D0" w:rsidP="0004551E">
            <w:pPr>
              <w:pStyle w:val="APVMATableText"/>
            </w:pPr>
            <w:r>
              <w:t>*0.05</w:t>
            </w:r>
          </w:p>
        </w:tc>
      </w:tr>
      <w:tr w:rsidR="00E97048" w:rsidRPr="00EC50D6" w14:paraId="1CB6D055" w14:textId="77777777" w:rsidTr="00DE4AD4">
        <w:trPr>
          <w:cantSplit/>
        </w:trPr>
        <w:tc>
          <w:tcPr>
            <w:tcW w:w="1057" w:type="pct"/>
            <w:tcBorders>
              <w:right w:val="nil"/>
            </w:tcBorders>
            <w:noWrap/>
          </w:tcPr>
          <w:p w14:paraId="7045071D" w14:textId="64511148" w:rsidR="00E97048" w:rsidRDefault="00E97048" w:rsidP="0004551E">
            <w:pPr>
              <w:pStyle w:val="APVMATableText"/>
              <w:rPr>
                <w:lang w:val="en-US"/>
              </w:rPr>
            </w:pPr>
            <w:r>
              <w:rPr>
                <w:lang w:val="en-US"/>
              </w:rPr>
              <w:t>SO 0305</w:t>
            </w:r>
          </w:p>
        </w:tc>
        <w:tc>
          <w:tcPr>
            <w:tcW w:w="2349" w:type="pct"/>
            <w:tcBorders>
              <w:left w:val="nil"/>
              <w:right w:val="nil"/>
            </w:tcBorders>
            <w:noWrap/>
          </w:tcPr>
          <w:p w14:paraId="232ED20E" w14:textId="5C89508A" w:rsidR="00E97048" w:rsidRDefault="00E97048" w:rsidP="0004551E">
            <w:pPr>
              <w:pStyle w:val="APVMATableText"/>
            </w:pPr>
            <w:r>
              <w:t>Olives for oil production</w:t>
            </w:r>
          </w:p>
        </w:tc>
        <w:tc>
          <w:tcPr>
            <w:tcW w:w="633" w:type="pct"/>
            <w:tcBorders>
              <w:left w:val="nil"/>
              <w:right w:val="nil"/>
            </w:tcBorders>
            <w:noWrap/>
          </w:tcPr>
          <w:p w14:paraId="563D39ED" w14:textId="3B49DA99" w:rsidR="00E97048" w:rsidRDefault="00E97048" w:rsidP="0004551E">
            <w:pPr>
              <w:pStyle w:val="APVMATableText"/>
            </w:pPr>
            <w:r>
              <w:t>-</w:t>
            </w:r>
          </w:p>
        </w:tc>
        <w:tc>
          <w:tcPr>
            <w:tcW w:w="961" w:type="pct"/>
            <w:tcBorders>
              <w:left w:val="nil"/>
            </w:tcBorders>
          </w:tcPr>
          <w:p w14:paraId="05E426F2" w14:textId="37DFA045" w:rsidR="00E97048" w:rsidRDefault="00E97048" w:rsidP="0004551E">
            <w:pPr>
              <w:pStyle w:val="APVMATableText"/>
            </w:pPr>
            <w:r>
              <w:t>*0.1</w:t>
            </w:r>
          </w:p>
        </w:tc>
      </w:tr>
      <w:tr w:rsidR="009362D0" w:rsidRPr="00EC50D6" w14:paraId="0A6EB3AA" w14:textId="77777777" w:rsidTr="00DE4AD4">
        <w:trPr>
          <w:cantSplit/>
        </w:trPr>
        <w:tc>
          <w:tcPr>
            <w:tcW w:w="1057" w:type="pct"/>
            <w:tcBorders>
              <w:right w:val="nil"/>
            </w:tcBorders>
            <w:noWrap/>
          </w:tcPr>
          <w:p w14:paraId="7992330A" w14:textId="77777777" w:rsidR="009362D0" w:rsidRDefault="009362D0" w:rsidP="0004551E">
            <w:pPr>
              <w:pStyle w:val="APVMATableText"/>
              <w:rPr>
                <w:lang w:val="en-US"/>
              </w:rPr>
            </w:pPr>
            <w:r>
              <w:rPr>
                <w:lang w:val="en-US"/>
              </w:rPr>
              <w:t>VA 0385</w:t>
            </w:r>
          </w:p>
        </w:tc>
        <w:tc>
          <w:tcPr>
            <w:tcW w:w="2349" w:type="pct"/>
            <w:tcBorders>
              <w:left w:val="nil"/>
              <w:right w:val="nil"/>
            </w:tcBorders>
            <w:noWrap/>
          </w:tcPr>
          <w:p w14:paraId="78BD07A8" w14:textId="77777777" w:rsidR="009362D0" w:rsidRDefault="009362D0" w:rsidP="0004551E">
            <w:pPr>
              <w:pStyle w:val="APVMATableText"/>
            </w:pPr>
            <w:r>
              <w:t>Onion, Bulb</w:t>
            </w:r>
          </w:p>
        </w:tc>
        <w:tc>
          <w:tcPr>
            <w:tcW w:w="633" w:type="pct"/>
            <w:tcBorders>
              <w:left w:val="nil"/>
              <w:right w:val="nil"/>
            </w:tcBorders>
            <w:noWrap/>
          </w:tcPr>
          <w:p w14:paraId="06DBB025" w14:textId="77777777" w:rsidR="009362D0" w:rsidRDefault="009362D0" w:rsidP="0004551E">
            <w:pPr>
              <w:pStyle w:val="APVMATableText"/>
            </w:pPr>
            <w:r>
              <w:t>0.1</w:t>
            </w:r>
          </w:p>
        </w:tc>
        <w:tc>
          <w:tcPr>
            <w:tcW w:w="961" w:type="pct"/>
            <w:tcBorders>
              <w:left w:val="nil"/>
            </w:tcBorders>
          </w:tcPr>
          <w:p w14:paraId="35013583" w14:textId="77777777" w:rsidR="009362D0" w:rsidRPr="00EC50D6" w:rsidRDefault="009362D0" w:rsidP="0004551E">
            <w:pPr>
              <w:pStyle w:val="APVMATableText"/>
            </w:pPr>
            <w:r>
              <w:t>Delete</w:t>
            </w:r>
          </w:p>
        </w:tc>
      </w:tr>
      <w:tr w:rsidR="009362D0" w14:paraId="42489ACA" w14:textId="77777777" w:rsidTr="00DE4AD4">
        <w:trPr>
          <w:cantSplit/>
        </w:trPr>
        <w:tc>
          <w:tcPr>
            <w:tcW w:w="1057" w:type="pct"/>
            <w:tcBorders>
              <w:right w:val="nil"/>
            </w:tcBorders>
            <w:noWrap/>
          </w:tcPr>
          <w:p w14:paraId="53EF48C3" w14:textId="77777777" w:rsidR="009362D0" w:rsidRDefault="009362D0" w:rsidP="0004551E">
            <w:pPr>
              <w:pStyle w:val="APVMATableText"/>
              <w:rPr>
                <w:lang w:val="en-US"/>
              </w:rPr>
            </w:pPr>
            <w:r>
              <w:rPr>
                <w:lang w:val="en-US"/>
              </w:rPr>
              <w:t>VP 0063</w:t>
            </w:r>
          </w:p>
        </w:tc>
        <w:tc>
          <w:tcPr>
            <w:tcW w:w="2349" w:type="pct"/>
            <w:tcBorders>
              <w:left w:val="nil"/>
              <w:right w:val="nil"/>
            </w:tcBorders>
            <w:noWrap/>
          </w:tcPr>
          <w:p w14:paraId="1DC75009" w14:textId="77777777" w:rsidR="009362D0" w:rsidRDefault="009362D0" w:rsidP="0004551E">
            <w:pPr>
              <w:pStyle w:val="APVMATableText"/>
            </w:pPr>
            <w:r>
              <w:t>Peas</w:t>
            </w:r>
          </w:p>
        </w:tc>
        <w:tc>
          <w:tcPr>
            <w:tcW w:w="633" w:type="pct"/>
            <w:tcBorders>
              <w:left w:val="nil"/>
              <w:right w:val="nil"/>
            </w:tcBorders>
            <w:noWrap/>
          </w:tcPr>
          <w:p w14:paraId="02563207" w14:textId="77777777" w:rsidR="009362D0" w:rsidRDefault="009362D0" w:rsidP="0004551E">
            <w:pPr>
              <w:pStyle w:val="APVMATableText"/>
            </w:pPr>
            <w:r>
              <w:t>0.1</w:t>
            </w:r>
          </w:p>
        </w:tc>
        <w:tc>
          <w:tcPr>
            <w:tcW w:w="961" w:type="pct"/>
            <w:tcBorders>
              <w:left w:val="nil"/>
            </w:tcBorders>
          </w:tcPr>
          <w:p w14:paraId="3FC9F855" w14:textId="77777777" w:rsidR="009362D0" w:rsidRDefault="009362D0" w:rsidP="0004551E">
            <w:pPr>
              <w:pStyle w:val="APVMATableText"/>
            </w:pPr>
            <w:r>
              <w:t>Delete</w:t>
            </w:r>
          </w:p>
        </w:tc>
      </w:tr>
      <w:tr w:rsidR="00F639E3" w:rsidRPr="00EC50D6" w14:paraId="08F4E37A" w14:textId="77777777" w:rsidTr="00DE4AD4">
        <w:trPr>
          <w:cantSplit/>
        </w:trPr>
        <w:tc>
          <w:tcPr>
            <w:tcW w:w="1057" w:type="pct"/>
            <w:tcBorders>
              <w:right w:val="nil"/>
            </w:tcBorders>
            <w:noWrap/>
          </w:tcPr>
          <w:p w14:paraId="2776DD44" w14:textId="51A61299" w:rsidR="00F639E3" w:rsidRDefault="00F639E3" w:rsidP="0004551E">
            <w:pPr>
              <w:pStyle w:val="APVMATableText"/>
              <w:rPr>
                <w:lang w:val="en-US"/>
              </w:rPr>
            </w:pPr>
            <w:r>
              <w:rPr>
                <w:lang w:val="en-US"/>
              </w:rPr>
              <w:t>FP 0009</w:t>
            </w:r>
          </w:p>
        </w:tc>
        <w:tc>
          <w:tcPr>
            <w:tcW w:w="2349" w:type="pct"/>
            <w:tcBorders>
              <w:left w:val="nil"/>
              <w:right w:val="nil"/>
            </w:tcBorders>
            <w:noWrap/>
          </w:tcPr>
          <w:p w14:paraId="16133546" w14:textId="5EF41E07" w:rsidR="00F639E3" w:rsidRDefault="00F639E3" w:rsidP="0004551E">
            <w:pPr>
              <w:pStyle w:val="APVMATableText"/>
              <w:rPr>
                <w:szCs w:val="18"/>
              </w:rPr>
            </w:pPr>
            <w:r>
              <w:rPr>
                <w:szCs w:val="18"/>
              </w:rPr>
              <w:t>Pome fruits</w:t>
            </w:r>
          </w:p>
        </w:tc>
        <w:tc>
          <w:tcPr>
            <w:tcW w:w="633" w:type="pct"/>
            <w:tcBorders>
              <w:left w:val="nil"/>
              <w:right w:val="nil"/>
            </w:tcBorders>
            <w:noWrap/>
          </w:tcPr>
          <w:p w14:paraId="79EF816A" w14:textId="04C08575" w:rsidR="00F639E3" w:rsidRDefault="00F639E3" w:rsidP="0004551E">
            <w:pPr>
              <w:pStyle w:val="APVMATableText"/>
              <w:rPr>
                <w:szCs w:val="18"/>
              </w:rPr>
            </w:pPr>
            <w:r>
              <w:rPr>
                <w:szCs w:val="18"/>
              </w:rPr>
              <w:t>-</w:t>
            </w:r>
          </w:p>
        </w:tc>
        <w:tc>
          <w:tcPr>
            <w:tcW w:w="961" w:type="pct"/>
            <w:tcBorders>
              <w:left w:val="nil"/>
            </w:tcBorders>
          </w:tcPr>
          <w:p w14:paraId="7444A82E" w14:textId="1AC59F35" w:rsidR="00F639E3" w:rsidRDefault="00F639E3" w:rsidP="0004551E">
            <w:pPr>
              <w:pStyle w:val="APVMATableText"/>
            </w:pPr>
            <w:r>
              <w:t>*0.01</w:t>
            </w:r>
          </w:p>
        </w:tc>
      </w:tr>
      <w:tr w:rsidR="009362D0" w:rsidRPr="00EC50D6" w14:paraId="29354A2C" w14:textId="77777777" w:rsidTr="00DE4AD4">
        <w:trPr>
          <w:cantSplit/>
        </w:trPr>
        <w:tc>
          <w:tcPr>
            <w:tcW w:w="1057" w:type="pct"/>
            <w:tcBorders>
              <w:right w:val="nil"/>
            </w:tcBorders>
            <w:noWrap/>
          </w:tcPr>
          <w:p w14:paraId="766713EB" w14:textId="77777777" w:rsidR="009362D0" w:rsidRDefault="009362D0" w:rsidP="0004551E">
            <w:pPr>
              <w:pStyle w:val="APVMATableText"/>
              <w:rPr>
                <w:lang w:val="en-US"/>
              </w:rPr>
            </w:pPr>
            <w:r>
              <w:rPr>
                <w:lang w:val="en-US"/>
              </w:rPr>
              <w:t>SO 0698</w:t>
            </w:r>
          </w:p>
        </w:tc>
        <w:tc>
          <w:tcPr>
            <w:tcW w:w="2349" w:type="pct"/>
            <w:tcBorders>
              <w:left w:val="nil"/>
              <w:right w:val="nil"/>
            </w:tcBorders>
            <w:noWrap/>
          </w:tcPr>
          <w:p w14:paraId="6B7404B9" w14:textId="77777777" w:rsidR="009362D0" w:rsidRDefault="009362D0" w:rsidP="0004551E">
            <w:pPr>
              <w:pStyle w:val="APVMATableText"/>
              <w:rPr>
                <w:szCs w:val="18"/>
              </w:rPr>
            </w:pPr>
            <w:r>
              <w:rPr>
                <w:szCs w:val="18"/>
              </w:rPr>
              <w:t>Poppy seed</w:t>
            </w:r>
          </w:p>
        </w:tc>
        <w:tc>
          <w:tcPr>
            <w:tcW w:w="633" w:type="pct"/>
            <w:tcBorders>
              <w:left w:val="nil"/>
              <w:right w:val="nil"/>
            </w:tcBorders>
            <w:noWrap/>
          </w:tcPr>
          <w:p w14:paraId="5CE60BD7" w14:textId="77777777" w:rsidR="009362D0" w:rsidRDefault="009362D0" w:rsidP="0004551E">
            <w:pPr>
              <w:pStyle w:val="APVMATableText"/>
              <w:rPr>
                <w:szCs w:val="18"/>
              </w:rPr>
            </w:pPr>
            <w:r>
              <w:rPr>
                <w:szCs w:val="18"/>
              </w:rPr>
              <w:t>*0.01</w:t>
            </w:r>
          </w:p>
        </w:tc>
        <w:tc>
          <w:tcPr>
            <w:tcW w:w="961" w:type="pct"/>
            <w:tcBorders>
              <w:left w:val="nil"/>
            </w:tcBorders>
          </w:tcPr>
          <w:p w14:paraId="006120D5" w14:textId="77777777" w:rsidR="009362D0" w:rsidRPr="00EC50D6" w:rsidRDefault="009362D0" w:rsidP="0004551E">
            <w:pPr>
              <w:pStyle w:val="APVMATableText"/>
            </w:pPr>
            <w:r>
              <w:t>*0.01</w:t>
            </w:r>
          </w:p>
        </w:tc>
      </w:tr>
      <w:tr w:rsidR="009362D0" w14:paraId="1F37978F" w14:textId="77777777" w:rsidTr="00DE4AD4">
        <w:trPr>
          <w:cantSplit/>
        </w:trPr>
        <w:tc>
          <w:tcPr>
            <w:tcW w:w="1057" w:type="pct"/>
            <w:tcBorders>
              <w:right w:val="nil"/>
            </w:tcBorders>
            <w:noWrap/>
          </w:tcPr>
          <w:p w14:paraId="7C6B35B3" w14:textId="77777777" w:rsidR="009362D0" w:rsidRDefault="009362D0" w:rsidP="0004551E">
            <w:pPr>
              <w:pStyle w:val="APVMATableText"/>
              <w:rPr>
                <w:lang w:val="en-US"/>
              </w:rPr>
            </w:pPr>
            <w:r>
              <w:rPr>
                <w:lang w:val="en-US"/>
              </w:rPr>
              <w:t>VR 0589</w:t>
            </w:r>
          </w:p>
        </w:tc>
        <w:tc>
          <w:tcPr>
            <w:tcW w:w="2349" w:type="pct"/>
            <w:tcBorders>
              <w:left w:val="nil"/>
              <w:right w:val="nil"/>
            </w:tcBorders>
            <w:noWrap/>
          </w:tcPr>
          <w:p w14:paraId="37F819B3" w14:textId="77777777" w:rsidR="009362D0" w:rsidRDefault="009362D0" w:rsidP="0004551E">
            <w:pPr>
              <w:pStyle w:val="APVMATableText"/>
            </w:pPr>
            <w:r>
              <w:t>Potato</w:t>
            </w:r>
          </w:p>
        </w:tc>
        <w:tc>
          <w:tcPr>
            <w:tcW w:w="633" w:type="pct"/>
            <w:tcBorders>
              <w:left w:val="nil"/>
              <w:right w:val="nil"/>
            </w:tcBorders>
            <w:noWrap/>
          </w:tcPr>
          <w:p w14:paraId="43FEC3AA" w14:textId="77777777" w:rsidR="009362D0" w:rsidRDefault="009362D0" w:rsidP="0004551E">
            <w:pPr>
              <w:pStyle w:val="APVMATableText"/>
            </w:pPr>
            <w:r>
              <w:t>0.2</w:t>
            </w:r>
          </w:p>
        </w:tc>
        <w:tc>
          <w:tcPr>
            <w:tcW w:w="961" w:type="pct"/>
            <w:tcBorders>
              <w:left w:val="nil"/>
            </w:tcBorders>
          </w:tcPr>
          <w:p w14:paraId="1FA53038" w14:textId="77777777" w:rsidR="009362D0" w:rsidRDefault="009362D0" w:rsidP="0004551E">
            <w:pPr>
              <w:pStyle w:val="APVMATableText"/>
            </w:pPr>
            <w:r>
              <w:t>Delete</w:t>
            </w:r>
          </w:p>
        </w:tc>
      </w:tr>
      <w:tr w:rsidR="009362D0" w14:paraId="1221CCC6" w14:textId="77777777" w:rsidTr="00DE4AD4">
        <w:trPr>
          <w:cantSplit/>
        </w:trPr>
        <w:tc>
          <w:tcPr>
            <w:tcW w:w="1057" w:type="pct"/>
            <w:tcBorders>
              <w:right w:val="nil"/>
            </w:tcBorders>
            <w:noWrap/>
          </w:tcPr>
          <w:p w14:paraId="32BDF9CE" w14:textId="77777777" w:rsidR="009362D0" w:rsidRDefault="009362D0" w:rsidP="0004551E">
            <w:pPr>
              <w:pStyle w:val="APVMATableText"/>
              <w:rPr>
                <w:lang w:val="en-US"/>
              </w:rPr>
            </w:pPr>
            <w:r>
              <w:rPr>
                <w:lang w:val="en-US"/>
              </w:rPr>
              <w:t>PO 0111</w:t>
            </w:r>
          </w:p>
        </w:tc>
        <w:tc>
          <w:tcPr>
            <w:tcW w:w="2349" w:type="pct"/>
            <w:tcBorders>
              <w:left w:val="nil"/>
              <w:right w:val="nil"/>
            </w:tcBorders>
            <w:noWrap/>
          </w:tcPr>
          <w:p w14:paraId="3D2517CC" w14:textId="77777777" w:rsidR="009362D0" w:rsidRDefault="009362D0" w:rsidP="0004551E">
            <w:pPr>
              <w:pStyle w:val="APVMATableText"/>
            </w:pPr>
            <w:r>
              <w:t>Poultry, Edible offal of</w:t>
            </w:r>
          </w:p>
        </w:tc>
        <w:tc>
          <w:tcPr>
            <w:tcW w:w="633" w:type="pct"/>
            <w:tcBorders>
              <w:left w:val="nil"/>
              <w:right w:val="nil"/>
            </w:tcBorders>
            <w:noWrap/>
          </w:tcPr>
          <w:p w14:paraId="530EBD48" w14:textId="77777777" w:rsidR="009362D0" w:rsidRDefault="009362D0" w:rsidP="0004551E">
            <w:pPr>
              <w:pStyle w:val="APVMATableText"/>
            </w:pPr>
            <w:r>
              <w:t>*0.05</w:t>
            </w:r>
          </w:p>
        </w:tc>
        <w:tc>
          <w:tcPr>
            <w:tcW w:w="961" w:type="pct"/>
            <w:tcBorders>
              <w:left w:val="nil"/>
            </w:tcBorders>
          </w:tcPr>
          <w:p w14:paraId="77805AA1" w14:textId="77777777" w:rsidR="009362D0" w:rsidRDefault="009362D0" w:rsidP="0004551E">
            <w:pPr>
              <w:pStyle w:val="APVMATableText"/>
            </w:pPr>
            <w:r>
              <w:t>*0.05</w:t>
            </w:r>
          </w:p>
        </w:tc>
      </w:tr>
      <w:tr w:rsidR="009362D0" w:rsidRPr="00EC50D6" w14:paraId="4B255942" w14:textId="77777777" w:rsidTr="00DE4AD4">
        <w:trPr>
          <w:cantSplit/>
        </w:trPr>
        <w:tc>
          <w:tcPr>
            <w:tcW w:w="1057" w:type="pct"/>
            <w:tcBorders>
              <w:right w:val="nil"/>
            </w:tcBorders>
            <w:noWrap/>
          </w:tcPr>
          <w:p w14:paraId="35B98C31" w14:textId="77777777" w:rsidR="009362D0" w:rsidRDefault="009362D0" w:rsidP="0004551E">
            <w:pPr>
              <w:pStyle w:val="APVMATableText"/>
              <w:rPr>
                <w:lang w:val="en-US"/>
              </w:rPr>
            </w:pPr>
            <w:r>
              <w:rPr>
                <w:lang w:val="en-US"/>
              </w:rPr>
              <w:t>PM 0110</w:t>
            </w:r>
          </w:p>
        </w:tc>
        <w:tc>
          <w:tcPr>
            <w:tcW w:w="2349" w:type="pct"/>
            <w:tcBorders>
              <w:left w:val="nil"/>
              <w:right w:val="nil"/>
            </w:tcBorders>
            <w:noWrap/>
          </w:tcPr>
          <w:p w14:paraId="2A43F97C" w14:textId="77777777" w:rsidR="009362D0" w:rsidRDefault="009362D0" w:rsidP="0004551E">
            <w:pPr>
              <w:pStyle w:val="APVMATableText"/>
            </w:pPr>
            <w:r>
              <w:t>Poultry meat</w:t>
            </w:r>
          </w:p>
        </w:tc>
        <w:tc>
          <w:tcPr>
            <w:tcW w:w="633" w:type="pct"/>
            <w:tcBorders>
              <w:left w:val="nil"/>
              <w:right w:val="nil"/>
            </w:tcBorders>
            <w:noWrap/>
          </w:tcPr>
          <w:p w14:paraId="0CC6E10B" w14:textId="77777777" w:rsidR="009362D0" w:rsidRDefault="009362D0" w:rsidP="0004551E">
            <w:pPr>
              <w:pStyle w:val="APVMATableText"/>
            </w:pPr>
            <w:r>
              <w:t>*0.05</w:t>
            </w:r>
          </w:p>
        </w:tc>
        <w:tc>
          <w:tcPr>
            <w:tcW w:w="961" w:type="pct"/>
            <w:tcBorders>
              <w:left w:val="nil"/>
            </w:tcBorders>
          </w:tcPr>
          <w:p w14:paraId="44B4120D" w14:textId="77777777" w:rsidR="009362D0" w:rsidRPr="00EC50D6" w:rsidRDefault="009362D0" w:rsidP="0004551E">
            <w:pPr>
              <w:pStyle w:val="APVMATableText"/>
            </w:pPr>
            <w:r>
              <w:t>*0.05</w:t>
            </w:r>
          </w:p>
        </w:tc>
      </w:tr>
      <w:tr w:rsidR="009362D0" w:rsidRPr="00EC50D6" w14:paraId="5D06AAD7" w14:textId="77777777" w:rsidTr="00DE4AD4">
        <w:trPr>
          <w:cantSplit/>
        </w:trPr>
        <w:tc>
          <w:tcPr>
            <w:tcW w:w="1057" w:type="pct"/>
            <w:tcBorders>
              <w:right w:val="nil"/>
            </w:tcBorders>
            <w:noWrap/>
          </w:tcPr>
          <w:p w14:paraId="72DE1F53" w14:textId="77777777" w:rsidR="009362D0" w:rsidRDefault="009362D0" w:rsidP="0004551E">
            <w:pPr>
              <w:pStyle w:val="APVMATableText"/>
              <w:rPr>
                <w:lang w:val="en-US"/>
              </w:rPr>
            </w:pPr>
            <w:r>
              <w:rPr>
                <w:lang w:val="en-US"/>
              </w:rPr>
              <w:t>VD 0070</w:t>
            </w:r>
          </w:p>
        </w:tc>
        <w:tc>
          <w:tcPr>
            <w:tcW w:w="2349" w:type="pct"/>
            <w:tcBorders>
              <w:left w:val="nil"/>
              <w:right w:val="nil"/>
            </w:tcBorders>
            <w:noWrap/>
          </w:tcPr>
          <w:p w14:paraId="4E64B800" w14:textId="77777777" w:rsidR="009362D0" w:rsidRDefault="009362D0" w:rsidP="0004551E">
            <w:pPr>
              <w:pStyle w:val="APVMATableText"/>
            </w:pPr>
            <w:r>
              <w:t>Pulses</w:t>
            </w:r>
          </w:p>
        </w:tc>
        <w:tc>
          <w:tcPr>
            <w:tcW w:w="633" w:type="pct"/>
            <w:tcBorders>
              <w:left w:val="nil"/>
              <w:right w:val="nil"/>
            </w:tcBorders>
            <w:noWrap/>
          </w:tcPr>
          <w:p w14:paraId="08F3B3CA" w14:textId="77777777" w:rsidR="009362D0" w:rsidRDefault="009362D0" w:rsidP="0004551E">
            <w:pPr>
              <w:pStyle w:val="APVMATableText"/>
            </w:pPr>
            <w:r>
              <w:t>1</w:t>
            </w:r>
          </w:p>
        </w:tc>
        <w:tc>
          <w:tcPr>
            <w:tcW w:w="961" w:type="pct"/>
            <w:tcBorders>
              <w:left w:val="nil"/>
            </w:tcBorders>
          </w:tcPr>
          <w:p w14:paraId="0845136B" w14:textId="77777777" w:rsidR="009362D0" w:rsidRPr="00EC50D6" w:rsidRDefault="009362D0" w:rsidP="0004551E">
            <w:pPr>
              <w:pStyle w:val="APVMATableText"/>
            </w:pPr>
            <w:r>
              <w:t>*0.05</w:t>
            </w:r>
          </w:p>
        </w:tc>
      </w:tr>
      <w:tr w:rsidR="009362D0" w:rsidRPr="00EC50D6" w14:paraId="43E6AD1E" w14:textId="77777777" w:rsidTr="00DE4AD4">
        <w:trPr>
          <w:cantSplit/>
        </w:trPr>
        <w:tc>
          <w:tcPr>
            <w:tcW w:w="1057" w:type="pct"/>
            <w:tcBorders>
              <w:right w:val="nil"/>
            </w:tcBorders>
            <w:noWrap/>
          </w:tcPr>
          <w:p w14:paraId="63D4D212" w14:textId="77777777" w:rsidR="009362D0" w:rsidRDefault="009362D0" w:rsidP="0004551E">
            <w:pPr>
              <w:pStyle w:val="APVMATableText"/>
              <w:rPr>
                <w:lang w:val="en-US"/>
              </w:rPr>
            </w:pPr>
            <w:r>
              <w:rPr>
                <w:lang w:val="en-US"/>
              </w:rPr>
              <w:t>GC 0649</w:t>
            </w:r>
          </w:p>
        </w:tc>
        <w:tc>
          <w:tcPr>
            <w:tcW w:w="2349" w:type="pct"/>
            <w:tcBorders>
              <w:left w:val="nil"/>
              <w:right w:val="nil"/>
            </w:tcBorders>
            <w:noWrap/>
          </w:tcPr>
          <w:p w14:paraId="768BDFD1" w14:textId="77777777" w:rsidR="009362D0" w:rsidRDefault="009362D0" w:rsidP="0004551E">
            <w:pPr>
              <w:pStyle w:val="APVMATableText"/>
            </w:pPr>
            <w:r>
              <w:t>Rice</w:t>
            </w:r>
          </w:p>
        </w:tc>
        <w:tc>
          <w:tcPr>
            <w:tcW w:w="633" w:type="pct"/>
            <w:tcBorders>
              <w:left w:val="nil"/>
              <w:right w:val="nil"/>
            </w:tcBorders>
            <w:noWrap/>
          </w:tcPr>
          <w:p w14:paraId="6F16489D" w14:textId="77777777" w:rsidR="009362D0" w:rsidRDefault="009362D0" w:rsidP="0004551E">
            <w:pPr>
              <w:pStyle w:val="APVMATableText"/>
            </w:pPr>
            <w:r>
              <w:t>5</w:t>
            </w:r>
          </w:p>
        </w:tc>
        <w:tc>
          <w:tcPr>
            <w:tcW w:w="961" w:type="pct"/>
            <w:tcBorders>
              <w:left w:val="nil"/>
            </w:tcBorders>
          </w:tcPr>
          <w:p w14:paraId="44EC9A42" w14:textId="77777777" w:rsidR="009362D0" w:rsidRPr="00EC50D6" w:rsidRDefault="009362D0" w:rsidP="0004551E">
            <w:pPr>
              <w:pStyle w:val="APVMATableText"/>
            </w:pPr>
            <w:r>
              <w:t>Delete</w:t>
            </w:r>
          </w:p>
        </w:tc>
      </w:tr>
      <w:tr w:rsidR="009362D0" w:rsidRPr="00EC50D6" w14:paraId="05B6CCDD" w14:textId="77777777" w:rsidTr="00DE4AD4">
        <w:trPr>
          <w:cantSplit/>
        </w:trPr>
        <w:tc>
          <w:tcPr>
            <w:tcW w:w="1057" w:type="pct"/>
            <w:tcBorders>
              <w:right w:val="nil"/>
            </w:tcBorders>
            <w:noWrap/>
          </w:tcPr>
          <w:p w14:paraId="038C3B42" w14:textId="77777777" w:rsidR="009362D0" w:rsidRDefault="009362D0" w:rsidP="0004551E">
            <w:pPr>
              <w:pStyle w:val="APVMATableText"/>
              <w:rPr>
                <w:lang w:val="en-US"/>
              </w:rPr>
            </w:pPr>
            <w:r>
              <w:rPr>
                <w:lang w:val="en-US"/>
              </w:rPr>
              <w:lastRenderedPageBreak/>
              <w:t>CM 1205</w:t>
            </w:r>
          </w:p>
        </w:tc>
        <w:tc>
          <w:tcPr>
            <w:tcW w:w="2349" w:type="pct"/>
            <w:tcBorders>
              <w:left w:val="nil"/>
              <w:right w:val="nil"/>
            </w:tcBorders>
            <w:noWrap/>
          </w:tcPr>
          <w:p w14:paraId="35CA00E9" w14:textId="77777777" w:rsidR="009362D0" w:rsidRDefault="009362D0" w:rsidP="0004551E">
            <w:pPr>
              <w:pStyle w:val="APVMATableText"/>
            </w:pPr>
            <w:r>
              <w:t>Rice, polished</w:t>
            </w:r>
          </w:p>
        </w:tc>
        <w:tc>
          <w:tcPr>
            <w:tcW w:w="633" w:type="pct"/>
            <w:tcBorders>
              <w:left w:val="nil"/>
              <w:right w:val="nil"/>
            </w:tcBorders>
            <w:noWrap/>
          </w:tcPr>
          <w:p w14:paraId="2191AB62" w14:textId="77777777" w:rsidR="009362D0" w:rsidRDefault="009362D0" w:rsidP="0004551E">
            <w:pPr>
              <w:pStyle w:val="APVMATableText"/>
            </w:pPr>
            <w:r>
              <w:t>1</w:t>
            </w:r>
          </w:p>
        </w:tc>
        <w:tc>
          <w:tcPr>
            <w:tcW w:w="961" w:type="pct"/>
            <w:tcBorders>
              <w:left w:val="nil"/>
            </w:tcBorders>
          </w:tcPr>
          <w:p w14:paraId="6C68A60A" w14:textId="77777777" w:rsidR="009362D0" w:rsidRPr="00EC50D6" w:rsidRDefault="009362D0" w:rsidP="0004551E">
            <w:pPr>
              <w:pStyle w:val="APVMATableText"/>
            </w:pPr>
            <w:r>
              <w:t>Delete</w:t>
            </w:r>
          </w:p>
        </w:tc>
      </w:tr>
      <w:tr w:rsidR="009362D0" w14:paraId="0448D4F3" w14:textId="77777777" w:rsidTr="00DE4AD4">
        <w:trPr>
          <w:cantSplit/>
        </w:trPr>
        <w:tc>
          <w:tcPr>
            <w:tcW w:w="1057" w:type="pct"/>
            <w:tcBorders>
              <w:right w:val="nil"/>
            </w:tcBorders>
            <w:noWrap/>
          </w:tcPr>
          <w:p w14:paraId="50DDFE3F" w14:textId="77777777" w:rsidR="009362D0" w:rsidRDefault="009362D0" w:rsidP="0004551E">
            <w:pPr>
              <w:pStyle w:val="APVMATableText"/>
              <w:rPr>
                <w:lang w:val="en-US"/>
              </w:rPr>
            </w:pPr>
            <w:r>
              <w:rPr>
                <w:lang w:val="en-US"/>
              </w:rPr>
              <w:t>VR 0075</w:t>
            </w:r>
          </w:p>
        </w:tc>
        <w:tc>
          <w:tcPr>
            <w:tcW w:w="2349" w:type="pct"/>
            <w:tcBorders>
              <w:left w:val="nil"/>
              <w:right w:val="nil"/>
            </w:tcBorders>
            <w:noWrap/>
          </w:tcPr>
          <w:p w14:paraId="6F6F870F" w14:textId="77777777" w:rsidR="009362D0" w:rsidRDefault="009362D0" w:rsidP="0004551E">
            <w:pPr>
              <w:pStyle w:val="APVMATableText"/>
            </w:pPr>
            <w:r>
              <w:t>Root and tuber vegetables</w:t>
            </w:r>
          </w:p>
        </w:tc>
        <w:tc>
          <w:tcPr>
            <w:tcW w:w="633" w:type="pct"/>
            <w:tcBorders>
              <w:left w:val="nil"/>
              <w:right w:val="nil"/>
            </w:tcBorders>
            <w:noWrap/>
          </w:tcPr>
          <w:p w14:paraId="249D31ED" w14:textId="0B862D18" w:rsidR="009362D0" w:rsidRDefault="00645BB2" w:rsidP="0004551E">
            <w:pPr>
              <w:pStyle w:val="APVMATableText"/>
            </w:pPr>
            <w:r>
              <w:t>–</w:t>
            </w:r>
          </w:p>
        </w:tc>
        <w:tc>
          <w:tcPr>
            <w:tcW w:w="961" w:type="pct"/>
            <w:tcBorders>
              <w:left w:val="nil"/>
            </w:tcBorders>
          </w:tcPr>
          <w:p w14:paraId="3D912518" w14:textId="77777777" w:rsidR="009362D0" w:rsidRDefault="009362D0" w:rsidP="0004551E">
            <w:pPr>
              <w:pStyle w:val="APVMATableText"/>
            </w:pPr>
            <w:r>
              <w:t>0.05</w:t>
            </w:r>
          </w:p>
        </w:tc>
      </w:tr>
      <w:tr w:rsidR="009362D0" w:rsidRPr="00EC50D6" w14:paraId="0CCD816C" w14:textId="77777777" w:rsidTr="00DE4AD4">
        <w:trPr>
          <w:cantSplit/>
        </w:trPr>
        <w:tc>
          <w:tcPr>
            <w:tcW w:w="1057" w:type="pct"/>
            <w:tcBorders>
              <w:right w:val="nil"/>
            </w:tcBorders>
            <w:noWrap/>
          </w:tcPr>
          <w:p w14:paraId="791E2FD6" w14:textId="77777777" w:rsidR="009362D0" w:rsidRDefault="009362D0" w:rsidP="0004551E">
            <w:pPr>
              <w:pStyle w:val="APVMATableText"/>
              <w:rPr>
                <w:lang w:val="en-US"/>
              </w:rPr>
            </w:pPr>
            <w:r>
              <w:rPr>
                <w:lang w:val="en-US"/>
              </w:rPr>
              <w:t>GC 0650</w:t>
            </w:r>
          </w:p>
        </w:tc>
        <w:tc>
          <w:tcPr>
            <w:tcW w:w="2349" w:type="pct"/>
            <w:tcBorders>
              <w:left w:val="nil"/>
              <w:right w:val="nil"/>
            </w:tcBorders>
            <w:noWrap/>
          </w:tcPr>
          <w:p w14:paraId="161E227A" w14:textId="77777777" w:rsidR="009362D0" w:rsidRDefault="009362D0" w:rsidP="0004551E">
            <w:pPr>
              <w:pStyle w:val="APVMATableText"/>
            </w:pPr>
            <w:r>
              <w:t>Rye</w:t>
            </w:r>
          </w:p>
        </w:tc>
        <w:tc>
          <w:tcPr>
            <w:tcW w:w="633" w:type="pct"/>
            <w:tcBorders>
              <w:left w:val="nil"/>
              <w:right w:val="nil"/>
            </w:tcBorders>
            <w:noWrap/>
          </w:tcPr>
          <w:p w14:paraId="1D1D4E02" w14:textId="77777777" w:rsidR="009362D0" w:rsidRDefault="009362D0" w:rsidP="0004551E">
            <w:pPr>
              <w:pStyle w:val="APVMATableText"/>
            </w:pPr>
            <w:r>
              <w:t>2</w:t>
            </w:r>
          </w:p>
        </w:tc>
        <w:tc>
          <w:tcPr>
            <w:tcW w:w="961" w:type="pct"/>
            <w:tcBorders>
              <w:left w:val="nil"/>
            </w:tcBorders>
          </w:tcPr>
          <w:p w14:paraId="0846523C" w14:textId="77777777" w:rsidR="009362D0" w:rsidRPr="00EC50D6" w:rsidRDefault="009362D0" w:rsidP="0004551E">
            <w:pPr>
              <w:pStyle w:val="APVMATableText"/>
            </w:pPr>
            <w:r>
              <w:t>Delete</w:t>
            </w:r>
          </w:p>
        </w:tc>
      </w:tr>
      <w:tr w:rsidR="009362D0" w:rsidRPr="00EC50D6" w14:paraId="5E73EB23" w14:textId="77777777" w:rsidTr="00DE4AD4">
        <w:trPr>
          <w:cantSplit/>
        </w:trPr>
        <w:tc>
          <w:tcPr>
            <w:tcW w:w="1057" w:type="pct"/>
            <w:tcBorders>
              <w:right w:val="nil"/>
            </w:tcBorders>
            <w:noWrap/>
          </w:tcPr>
          <w:p w14:paraId="42EAB37F" w14:textId="77777777" w:rsidR="009362D0" w:rsidRDefault="009362D0" w:rsidP="0004551E">
            <w:pPr>
              <w:pStyle w:val="APVMATableText"/>
              <w:rPr>
                <w:lang w:val="en-US"/>
              </w:rPr>
            </w:pPr>
            <w:r>
              <w:rPr>
                <w:lang w:val="en-US"/>
              </w:rPr>
              <w:t>GC 0651</w:t>
            </w:r>
          </w:p>
        </w:tc>
        <w:tc>
          <w:tcPr>
            <w:tcW w:w="2349" w:type="pct"/>
            <w:tcBorders>
              <w:left w:val="nil"/>
              <w:right w:val="nil"/>
            </w:tcBorders>
            <w:noWrap/>
          </w:tcPr>
          <w:p w14:paraId="40F4EFDF" w14:textId="77777777" w:rsidR="009362D0" w:rsidRDefault="009362D0" w:rsidP="0004551E">
            <w:pPr>
              <w:pStyle w:val="APVMATableText"/>
            </w:pPr>
            <w:r>
              <w:t>Sorghum</w:t>
            </w:r>
          </w:p>
        </w:tc>
        <w:tc>
          <w:tcPr>
            <w:tcW w:w="633" w:type="pct"/>
            <w:tcBorders>
              <w:left w:val="nil"/>
              <w:right w:val="nil"/>
            </w:tcBorders>
            <w:noWrap/>
          </w:tcPr>
          <w:p w14:paraId="0FA30499" w14:textId="77777777" w:rsidR="009362D0" w:rsidRDefault="009362D0" w:rsidP="0004551E">
            <w:pPr>
              <w:pStyle w:val="APVMATableText"/>
            </w:pPr>
            <w:r>
              <w:t>2</w:t>
            </w:r>
          </w:p>
        </w:tc>
        <w:tc>
          <w:tcPr>
            <w:tcW w:w="961" w:type="pct"/>
            <w:tcBorders>
              <w:left w:val="nil"/>
            </w:tcBorders>
          </w:tcPr>
          <w:p w14:paraId="7BF4191A" w14:textId="77777777" w:rsidR="009362D0" w:rsidRPr="00EC50D6" w:rsidRDefault="009362D0" w:rsidP="0004551E">
            <w:pPr>
              <w:pStyle w:val="APVMATableText"/>
            </w:pPr>
            <w:r>
              <w:t>Delete</w:t>
            </w:r>
          </w:p>
        </w:tc>
      </w:tr>
      <w:tr w:rsidR="00F639E3" w:rsidRPr="00EC50D6" w14:paraId="5ACEADC3" w14:textId="77777777" w:rsidTr="00DE4AD4">
        <w:trPr>
          <w:cantSplit/>
        </w:trPr>
        <w:tc>
          <w:tcPr>
            <w:tcW w:w="1057" w:type="pct"/>
            <w:tcBorders>
              <w:right w:val="nil"/>
            </w:tcBorders>
            <w:noWrap/>
          </w:tcPr>
          <w:p w14:paraId="75D96122" w14:textId="5B9F9494" w:rsidR="00F639E3" w:rsidRDefault="0047571D" w:rsidP="0004551E">
            <w:pPr>
              <w:pStyle w:val="APVMATableText"/>
              <w:rPr>
                <w:lang w:val="en-US"/>
              </w:rPr>
            </w:pPr>
            <w:r>
              <w:rPr>
                <w:lang w:val="en-US"/>
              </w:rPr>
              <w:t>FS 0012</w:t>
            </w:r>
          </w:p>
        </w:tc>
        <w:tc>
          <w:tcPr>
            <w:tcW w:w="2349" w:type="pct"/>
            <w:tcBorders>
              <w:left w:val="nil"/>
              <w:right w:val="nil"/>
            </w:tcBorders>
            <w:noWrap/>
          </w:tcPr>
          <w:p w14:paraId="2F704286" w14:textId="4DB8B91A" w:rsidR="00F639E3" w:rsidRDefault="0047571D" w:rsidP="0004551E">
            <w:pPr>
              <w:pStyle w:val="APVMATableText"/>
            </w:pPr>
            <w:r>
              <w:t>Stone fruits</w:t>
            </w:r>
          </w:p>
        </w:tc>
        <w:tc>
          <w:tcPr>
            <w:tcW w:w="633" w:type="pct"/>
            <w:tcBorders>
              <w:left w:val="nil"/>
              <w:right w:val="nil"/>
            </w:tcBorders>
            <w:noWrap/>
          </w:tcPr>
          <w:p w14:paraId="00B4DB30" w14:textId="7551FAFB" w:rsidR="00F639E3" w:rsidRDefault="0047571D" w:rsidP="0004551E">
            <w:pPr>
              <w:pStyle w:val="APVMATableText"/>
            </w:pPr>
            <w:r>
              <w:t>-</w:t>
            </w:r>
          </w:p>
        </w:tc>
        <w:tc>
          <w:tcPr>
            <w:tcW w:w="961" w:type="pct"/>
            <w:tcBorders>
              <w:left w:val="nil"/>
            </w:tcBorders>
          </w:tcPr>
          <w:p w14:paraId="35495F02" w14:textId="7F4FFF23" w:rsidR="00F639E3" w:rsidRDefault="0047571D" w:rsidP="0004551E">
            <w:pPr>
              <w:pStyle w:val="APVMATableText"/>
            </w:pPr>
            <w:r>
              <w:t>*0.01</w:t>
            </w:r>
          </w:p>
        </w:tc>
      </w:tr>
      <w:tr w:rsidR="009362D0" w:rsidRPr="00EC50D6" w14:paraId="72F0CF0C" w14:textId="77777777" w:rsidTr="00DE4AD4">
        <w:trPr>
          <w:cantSplit/>
        </w:trPr>
        <w:tc>
          <w:tcPr>
            <w:tcW w:w="1057" w:type="pct"/>
            <w:tcBorders>
              <w:right w:val="nil"/>
            </w:tcBorders>
            <w:noWrap/>
          </w:tcPr>
          <w:p w14:paraId="20107EC0" w14:textId="77777777" w:rsidR="009362D0" w:rsidRDefault="009362D0" w:rsidP="0004551E">
            <w:pPr>
              <w:pStyle w:val="APVMATableText"/>
              <w:rPr>
                <w:lang w:val="en-US"/>
              </w:rPr>
            </w:pPr>
            <w:r>
              <w:rPr>
                <w:lang w:val="en-US"/>
              </w:rPr>
              <w:t>VR 0596</w:t>
            </w:r>
          </w:p>
        </w:tc>
        <w:tc>
          <w:tcPr>
            <w:tcW w:w="2349" w:type="pct"/>
            <w:tcBorders>
              <w:left w:val="nil"/>
              <w:right w:val="nil"/>
            </w:tcBorders>
            <w:noWrap/>
          </w:tcPr>
          <w:p w14:paraId="33DB47D8" w14:textId="77777777" w:rsidR="009362D0" w:rsidRDefault="009362D0" w:rsidP="0004551E">
            <w:pPr>
              <w:pStyle w:val="APVMATableText"/>
            </w:pPr>
            <w:r>
              <w:t>Sugar beet</w:t>
            </w:r>
          </w:p>
        </w:tc>
        <w:tc>
          <w:tcPr>
            <w:tcW w:w="633" w:type="pct"/>
            <w:tcBorders>
              <w:left w:val="nil"/>
              <w:right w:val="nil"/>
            </w:tcBorders>
            <w:noWrap/>
          </w:tcPr>
          <w:p w14:paraId="7E5FF6DE" w14:textId="77777777" w:rsidR="009362D0" w:rsidRDefault="009362D0" w:rsidP="0004551E">
            <w:pPr>
              <w:pStyle w:val="APVMATableText"/>
            </w:pPr>
            <w:r>
              <w:t>0.1</w:t>
            </w:r>
          </w:p>
        </w:tc>
        <w:tc>
          <w:tcPr>
            <w:tcW w:w="961" w:type="pct"/>
            <w:tcBorders>
              <w:left w:val="nil"/>
            </w:tcBorders>
          </w:tcPr>
          <w:p w14:paraId="428E94D7" w14:textId="77777777" w:rsidR="009362D0" w:rsidRPr="00EC50D6" w:rsidRDefault="009362D0" w:rsidP="0004551E">
            <w:pPr>
              <w:pStyle w:val="APVMATableText"/>
            </w:pPr>
            <w:r>
              <w:t>Delete</w:t>
            </w:r>
          </w:p>
        </w:tc>
      </w:tr>
      <w:tr w:rsidR="009362D0" w:rsidRPr="00EC50D6" w14:paraId="01C45310" w14:textId="77777777" w:rsidTr="00DE4AD4">
        <w:trPr>
          <w:cantSplit/>
        </w:trPr>
        <w:tc>
          <w:tcPr>
            <w:tcW w:w="1057" w:type="pct"/>
            <w:tcBorders>
              <w:right w:val="nil"/>
            </w:tcBorders>
            <w:noWrap/>
          </w:tcPr>
          <w:p w14:paraId="1B44027D" w14:textId="77777777" w:rsidR="009362D0" w:rsidRDefault="009362D0" w:rsidP="0004551E">
            <w:pPr>
              <w:pStyle w:val="APVMATableText"/>
              <w:rPr>
                <w:lang w:val="en-US"/>
              </w:rPr>
            </w:pPr>
            <w:r>
              <w:rPr>
                <w:lang w:val="en-US"/>
              </w:rPr>
              <w:t>GS 0659</w:t>
            </w:r>
          </w:p>
        </w:tc>
        <w:tc>
          <w:tcPr>
            <w:tcW w:w="2349" w:type="pct"/>
            <w:tcBorders>
              <w:left w:val="nil"/>
              <w:right w:val="nil"/>
            </w:tcBorders>
            <w:noWrap/>
          </w:tcPr>
          <w:p w14:paraId="1B202418" w14:textId="77777777" w:rsidR="009362D0" w:rsidRDefault="009362D0" w:rsidP="0004551E">
            <w:pPr>
              <w:pStyle w:val="APVMATableText"/>
            </w:pPr>
            <w:r>
              <w:t>Sugar cane</w:t>
            </w:r>
          </w:p>
        </w:tc>
        <w:tc>
          <w:tcPr>
            <w:tcW w:w="633" w:type="pct"/>
            <w:tcBorders>
              <w:left w:val="nil"/>
              <w:right w:val="nil"/>
            </w:tcBorders>
            <w:noWrap/>
          </w:tcPr>
          <w:p w14:paraId="3B15666A" w14:textId="77777777" w:rsidR="009362D0" w:rsidRDefault="009362D0" w:rsidP="0004551E">
            <w:pPr>
              <w:pStyle w:val="APVMATableText"/>
            </w:pPr>
            <w:r>
              <w:t>*0.05</w:t>
            </w:r>
          </w:p>
        </w:tc>
        <w:tc>
          <w:tcPr>
            <w:tcW w:w="961" w:type="pct"/>
            <w:tcBorders>
              <w:left w:val="nil"/>
            </w:tcBorders>
          </w:tcPr>
          <w:p w14:paraId="3F06C51A" w14:textId="239F59F0" w:rsidR="009362D0" w:rsidRPr="00EC50D6" w:rsidRDefault="0047571D" w:rsidP="0004551E">
            <w:pPr>
              <w:pStyle w:val="APVMATableText"/>
            </w:pPr>
            <w:r>
              <w:t>*0.05</w:t>
            </w:r>
          </w:p>
        </w:tc>
      </w:tr>
      <w:tr w:rsidR="009362D0" w:rsidRPr="00EC50D6" w14:paraId="7AE68C8E" w14:textId="77777777" w:rsidTr="00DE4AD4">
        <w:trPr>
          <w:cantSplit/>
        </w:trPr>
        <w:tc>
          <w:tcPr>
            <w:tcW w:w="1057" w:type="pct"/>
            <w:tcBorders>
              <w:right w:val="nil"/>
            </w:tcBorders>
            <w:noWrap/>
          </w:tcPr>
          <w:p w14:paraId="63B32D68" w14:textId="77777777" w:rsidR="009362D0" w:rsidRDefault="009362D0" w:rsidP="0004551E">
            <w:pPr>
              <w:pStyle w:val="APVMATableText"/>
              <w:rPr>
                <w:lang w:val="en-US"/>
              </w:rPr>
            </w:pPr>
            <w:r>
              <w:rPr>
                <w:lang w:val="en-US"/>
              </w:rPr>
              <w:t>TN 0085</w:t>
            </w:r>
          </w:p>
        </w:tc>
        <w:tc>
          <w:tcPr>
            <w:tcW w:w="2349" w:type="pct"/>
            <w:tcBorders>
              <w:left w:val="nil"/>
              <w:right w:val="nil"/>
            </w:tcBorders>
            <w:noWrap/>
          </w:tcPr>
          <w:p w14:paraId="6BE1C925" w14:textId="77777777" w:rsidR="009362D0" w:rsidRDefault="009362D0" w:rsidP="0004551E">
            <w:pPr>
              <w:pStyle w:val="APVMATableText"/>
            </w:pPr>
            <w:r>
              <w:t>Tree nuts</w:t>
            </w:r>
          </w:p>
        </w:tc>
        <w:tc>
          <w:tcPr>
            <w:tcW w:w="633" w:type="pct"/>
            <w:tcBorders>
              <w:left w:val="nil"/>
              <w:right w:val="nil"/>
            </w:tcBorders>
            <w:noWrap/>
          </w:tcPr>
          <w:p w14:paraId="4FEE8388" w14:textId="77777777" w:rsidR="009362D0" w:rsidRDefault="009362D0" w:rsidP="0004551E">
            <w:pPr>
              <w:pStyle w:val="APVMATableText"/>
            </w:pPr>
            <w:r>
              <w:t>*0.05</w:t>
            </w:r>
          </w:p>
        </w:tc>
        <w:tc>
          <w:tcPr>
            <w:tcW w:w="961" w:type="pct"/>
            <w:tcBorders>
              <w:left w:val="nil"/>
            </w:tcBorders>
          </w:tcPr>
          <w:p w14:paraId="0C38D240" w14:textId="7EED2D5E" w:rsidR="009362D0" w:rsidRPr="00EC50D6" w:rsidRDefault="00FC32BE" w:rsidP="0004551E">
            <w:pPr>
              <w:pStyle w:val="APVMATableText"/>
            </w:pPr>
            <w:r>
              <w:t>*0.05</w:t>
            </w:r>
          </w:p>
        </w:tc>
      </w:tr>
      <w:tr w:rsidR="00645BB2" w:rsidRPr="00EC50D6" w14:paraId="68807A7D" w14:textId="77777777" w:rsidTr="00DE4AD4">
        <w:trPr>
          <w:cantSplit/>
        </w:trPr>
        <w:tc>
          <w:tcPr>
            <w:tcW w:w="1057" w:type="pct"/>
            <w:vMerge w:val="restart"/>
            <w:tcBorders>
              <w:right w:val="nil"/>
            </w:tcBorders>
            <w:noWrap/>
          </w:tcPr>
          <w:p w14:paraId="79AB2356" w14:textId="77777777" w:rsidR="00645BB2" w:rsidRDefault="00645BB2" w:rsidP="0004551E">
            <w:pPr>
              <w:pStyle w:val="APVMATableText"/>
              <w:rPr>
                <w:lang w:val="en-US"/>
              </w:rPr>
            </w:pPr>
            <w:r>
              <w:rPr>
                <w:lang w:val="en-US"/>
              </w:rPr>
              <w:t>GC 0653</w:t>
            </w:r>
          </w:p>
        </w:tc>
        <w:tc>
          <w:tcPr>
            <w:tcW w:w="2349" w:type="pct"/>
            <w:tcBorders>
              <w:left w:val="nil"/>
              <w:right w:val="nil"/>
            </w:tcBorders>
            <w:noWrap/>
          </w:tcPr>
          <w:p w14:paraId="35778EE8" w14:textId="77777777" w:rsidR="00645BB2" w:rsidRDefault="00645BB2" w:rsidP="0004551E">
            <w:pPr>
              <w:pStyle w:val="APVMATableText"/>
            </w:pPr>
            <w:r>
              <w:t>Triticale</w:t>
            </w:r>
          </w:p>
        </w:tc>
        <w:tc>
          <w:tcPr>
            <w:tcW w:w="633" w:type="pct"/>
            <w:tcBorders>
              <w:left w:val="nil"/>
              <w:right w:val="nil"/>
            </w:tcBorders>
            <w:noWrap/>
          </w:tcPr>
          <w:p w14:paraId="46B22D14" w14:textId="77777777" w:rsidR="00645BB2" w:rsidRDefault="00645BB2" w:rsidP="0004551E">
            <w:pPr>
              <w:pStyle w:val="APVMATableText"/>
            </w:pPr>
            <w:r>
              <w:t>2</w:t>
            </w:r>
          </w:p>
        </w:tc>
        <w:tc>
          <w:tcPr>
            <w:tcW w:w="961" w:type="pct"/>
            <w:tcBorders>
              <w:left w:val="nil"/>
            </w:tcBorders>
          </w:tcPr>
          <w:p w14:paraId="3C782717" w14:textId="77777777" w:rsidR="00645BB2" w:rsidRPr="00EC50D6" w:rsidRDefault="00645BB2" w:rsidP="0004551E">
            <w:pPr>
              <w:pStyle w:val="APVMATableText"/>
            </w:pPr>
            <w:r>
              <w:t>Delete</w:t>
            </w:r>
          </w:p>
        </w:tc>
      </w:tr>
      <w:tr w:rsidR="00645BB2" w:rsidRPr="00EC50D6" w14:paraId="2DC25313" w14:textId="77777777" w:rsidTr="00DE4AD4">
        <w:trPr>
          <w:cantSplit/>
        </w:trPr>
        <w:tc>
          <w:tcPr>
            <w:tcW w:w="1057" w:type="pct"/>
            <w:vMerge/>
            <w:tcBorders>
              <w:right w:val="nil"/>
            </w:tcBorders>
            <w:noWrap/>
          </w:tcPr>
          <w:p w14:paraId="23E80526" w14:textId="77777777" w:rsidR="00645BB2" w:rsidRDefault="00645BB2" w:rsidP="0004551E">
            <w:pPr>
              <w:pStyle w:val="APVMATableText"/>
              <w:rPr>
                <w:lang w:val="en-US"/>
              </w:rPr>
            </w:pPr>
          </w:p>
        </w:tc>
        <w:tc>
          <w:tcPr>
            <w:tcW w:w="2349" w:type="pct"/>
            <w:tcBorders>
              <w:left w:val="nil"/>
              <w:right w:val="nil"/>
            </w:tcBorders>
            <w:noWrap/>
          </w:tcPr>
          <w:p w14:paraId="171A4053" w14:textId="77777777" w:rsidR="00645BB2" w:rsidRDefault="00645BB2" w:rsidP="0004551E">
            <w:pPr>
              <w:pStyle w:val="APVMATableText"/>
            </w:pPr>
            <w:r>
              <w:t>Vegetables [except beans; broad bean; lupin (dry);</w:t>
            </w:r>
          </w:p>
          <w:p w14:paraId="6522687F" w14:textId="77777777" w:rsidR="00645BB2" w:rsidRDefault="00645BB2" w:rsidP="0004551E">
            <w:pPr>
              <w:pStyle w:val="APVMATableText"/>
            </w:pPr>
            <w:r>
              <w:t>onion, bulb; peas; potato; soya bean (dry); sugar beet]</w:t>
            </w:r>
          </w:p>
        </w:tc>
        <w:tc>
          <w:tcPr>
            <w:tcW w:w="633" w:type="pct"/>
            <w:tcBorders>
              <w:left w:val="nil"/>
              <w:right w:val="nil"/>
            </w:tcBorders>
            <w:noWrap/>
          </w:tcPr>
          <w:p w14:paraId="740FC0C0" w14:textId="77777777" w:rsidR="00645BB2" w:rsidRDefault="00645BB2" w:rsidP="0004551E">
            <w:pPr>
              <w:pStyle w:val="APVMATableText"/>
            </w:pPr>
            <w:r>
              <w:t>*0.05</w:t>
            </w:r>
          </w:p>
        </w:tc>
        <w:tc>
          <w:tcPr>
            <w:tcW w:w="961" w:type="pct"/>
            <w:tcBorders>
              <w:left w:val="nil"/>
            </w:tcBorders>
          </w:tcPr>
          <w:p w14:paraId="1B62862E" w14:textId="77777777" w:rsidR="00645BB2" w:rsidRPr="00EC50D6" w:rsidRDefault="00645BB2" w:rsidP="0004551E">
            <w:pPr>
              <w:pStyle w:val="APVMATableText"/>
            </w:pPr>
            <w:r>
              <w:t>Delete</w:t>
            </w:r>
          </w:p>
        </w:tc>
      </w:tr>
      <w:tr w:rsidR="009362D0" w:rsidRPr="00EC50D6" w14:paraId="6F172359" w14:textId="77777777" w:rsidTr="00DE4AD4">
        <w:trPr>
          <w:cantSplit/>
        </w:trPr>
        <w:tc>
          <w:tcPr>
            <w:tcW w:w="1057" w:type="pct"/>
            <w:tcBorders>
              <w:right w:val="nil"/>
            </w:tcBorders>
            <w:noWrap/>
          </w:tcPr>
          <w:p w14:paraId="12F9DADE" w14:textId="77777777" w:rsidR="009362D0" w:rsidRDefault="009362D0" w:rsidP="0004551E">
            <w:pPr>
              <w:pStyle w:val="APVMATableText"/>
              <w:rPr>
                <w:lang w:val="en-US"/>
              </w:rPr>
            </w:pPr>
            <w:r>
              <w:rPr>
                <w:lang w:val="en-US"/>
              </w:rPr>
              <w:t>OC 0172</w:t>
            </w:r>
          </w:p>
        </w:tc>
        <w:tc>
          <w:tcPr>
            <w:tcW w:w="2349" w:type="pct"/>
            <w:tcBorders>
              <w:left w:val="nil"/>
              <w:right w:val="nil"/>
            </w:tcBorders>
            <w:noWrap/>
          </w:tcPr>
          <w:p w14:paraId="164E3DC2" w14:textId="77777777" w:rsidR="009362D0" w:rsidRDefault="009362D0" w:rsidP="0004551E">
            <w:pPr>
              <w:pStyle w:val="APVMATableText"/>
            </w:pPr>
            <w:r>
              <w:t>Vegetable oils, crude</w:t>
            </w:r>
          </w:p>
        </w:tc>
        <w:tc>
          <w:tcPr>
            <w:tcW w:w="633" w:type="pct"/>
            <w:tcBorders>
              <w:left w:val="nil"/>
              <w:right w:val="nil"/>
            </w:tcBorders>
            <w:noWrap/>
          </w:tcPr>
          <w:p w14:paraId="52A3FD6A" w14:textId="77777777" w:rsidR="009362D0" w:rsidRDefault="009362D0" w:rsidP="0004551E">
            <w:pPr>
              <w:pStyle w:val="APVMATableText"/>
            </w:pPr>
            <w:r>
              <w:t>1</w:t>
            </w:r>
          </w:p>
        </w:tc>
        <w:tc>
          <w:tcPr>
            <w:tcW w:w="961" w:type="pct"/>
            <w:tcBorders>
              <w:left w:val="nil"/>
            </w:tcBorders>
          </w:tcPr>
          <w:p w14:paraId="783D9F59" w14:textId="77777777" w:rsidR="009362D0" w:rsidRPr="00EC50D6" w:rsidRDefault="009362D0" w:rsidP="0004551E">
            <w:pPr>
              <w:pStyle w:val="APVMATableText"/>
            </w:pPr>
            <w:r>
              <w:t>Delete</w:t>
            </w:r>
          </w:p>
        </w:tc>
      </w:tr>
      <w:tr w:rsidR="00FC32BE" w14:paraId="5C306771" w14:textId="77777777" w:rsidTr="00DE4AD4">
        <w:trPr>
          <w:cantSplit/>
        </w:trPr>
        <w:tc>
          <w:tcPr>
            <w:tcW w:w="1057" w:type="pct"/>
            <w:tcBorders>
              <w:right w:val="nil"/>
            </w:tcBorders>
            <w:noWrap/>
          </w:tcPr>
          <w:p w14:paraId="1929A506" w14:textId="376A72C2" w:rsidR="00FC32BE" w:rsidRDefault="00FC32BE" w:rsidP="0004551E">
            <w:pPr>
              <w:pStyle w:val="APVMATableText"/>
              <w:rPr>
                <w:lang w:val="en-US"/>
              </w:rPr>
            </w:pPr>
            <w:r>
              <w:rPr>
                <w:lang w:val="en-US"/>
              </w:rPr>
              <w:t>OR 0172</w:t>
            </w:r>
          </w:p>
        </w:tc>
        <w:tc>
          <w:tcPr>
            <w:tcW w:w="2349" w:type="pct"/>
            <w:tcBorders>
              <w:left w:val="nil"/>
              <w:right w:val="nil"/>
            </w:tcBorders>
            <w:noWrap/>
          </w:tcPr>
          <w:p w14:paraId="6DAC8D20" w14:textId="3AA17A37" w:rsidR="00FC32BE" w:rsidRDefault="00FC32BE" w:rsidP="0004551E">
            <w:pPr>
              <w:pStyle w:val="APVMATableText"/>
            </w:pPr>
            <w:r>
              <w:t>Vegetable oil, edible</w:t>
            </w:r>
          </w:p>
        </w:tc>
        <w:tc>
          <w:tcPr>
            <w:tcW w:w="633" w:type="pct"/>
            <w:tcBorders>
              <w:left w:val="nil"/>
              <w:right w:val="nil"/>
            </w:tcBorders>
            <w:noWrap/>
          </w:tcPr>
          <w:p w14:paraId="0FAEFC70" w14:textId="292BD949" w:rsidR="00FC32BE" w:rsidRDefault="00FC32BE" w:rsidP="0004551E">
            <w:pPr>
              <w:pStyle w:val="APVMATableText"/>
            </w:pPr>
            <w:r>
              <w:t>-</w:t>
            </w:r>
          </w:p>
        </w:tc>
        <w:tc>
          <w:tcPr>
            <w:tcW w:w="961" w:type="pct"/>
            <w:tcBorders>
              <w:left w:val="nil"/>
            </w:tcBorders>
          </w:tcPr>
          <w:p w14:paraId="4717193F" w14:textId="26A49EDE" w:rsidR="00FC32BE" w:rsidRDefault="00FC32BE" w:rsidP="0004551E">
            <w:pPr>
              <w:pStyle w:val="APVMATableText"/>
            </w:pPr>
            <w:r>
              <w:t>*0.01</w:t>
            </w:r>
          </w:p>
        </w:tc>
      </w:tr>
      <w:tr w:rsidR="009362D0" w14:paraId="6D7F7085" w14:textId="77777777" w:rsidTr="00DE4AD4">
        <w:trPr>
          <w:cantSplit/>
        </w:trPr>
        <w:tc>
          <w:tcPr>
            <w:tcW w:w="1057" w:type="pct"/>
            <w:tcBorders>
              <w:right w:val="nil"/>
            </w:tcBorders>
            <w:noWrap/>
          </w:tcPr>
          <w:p w14:paraId="65B3FDA6" w14:textId="77777777" w:rsidR="009362D0" w:rsidRDefault="009362D0" w:rsidP="0004551E">
            <w:pPr>
              <w:pStyle w:val="APVMATableText"/>
              <w:rPr>
                <w:lang w:val="en-US"/>
              </w:rPr>
            </w:pPr>
            <w:r>
              <w:rPr>
                <w:lang w:val="en-US"/>
              </w:rPr>
              <w:t>GC 0654</w:t>
            </w:r>
          </w:p>
        </w:tc>
        <w:tc>
          <w:tcPr>
            <w:tcW w:w="2349" w:type="pct"/>
            <w:tcBorders>
              <w:left w:val="nil"/>
              <w:right w:val="nil"/>
            </w:tcBorders>
            <w:noWrap/>
          </w:tcPr>
          <w:p w14:paraId="4516ADEF" w14:textId="77777777" w:rsidR="009362D0" w:rsidRDefault="009362D0" w:rsidP="0004551E">
            <w:pPr>
              <w:pStyle w:val="APVMATableText"/>
            </w:pPr>
            <w:r>
              <w:t>Wheat</w:t>
            </w:r>
          </w:p>
        </w:tc>
        <w:tc>
          <w:tcPr>
            <w:tcW w:w="633" w:type="pct"/>
            <w:tcBorders>
              <w:left w:val="nil"/>
              <w:right w:val="nil"/>
            </w:tcBorders>
            <w:noWrap/>
          </w:tcPr>
          <w:p w14:paraId="121B817E" w14:textId="77777777" w:rsidR="009362D0" w:rsidRDefault="009362D0" w:rsidP="0004551E">
            <w:pPr>
              <w:pStyle w:val="APVMATableText"/>
            </w:pPr>
            <w:r>
              <w:t>2</w:t>
            </w:r>
          </w:p>
        </w:tc>
        <w:tc>
          <w:tcPr>
            <w:tcW w:w="961" w:type="pct"/>
            <w:tcBorders>
              <w:left w:val="nil"/>
            </w:tcBorders>
          </w:tcPr>
          <w:p w14:paraId="4443862E" w14:textId="00C93D6C" w:rsidR="009362D0" w:rsidRDefault="00FC32BE" w:rsidP="0004551E">
            <w:pPr>
              <w:pStyle w:val="APVMATableText"/>
            </w:pPr>
            <w:r>
              <w:t>0.7</w:t>
            </w:r>
          </w:p>
        </w:tc>
      </w:tr>
    </w:tbl>
    <w:p w14:paraId="635B69C0" w14:textId="77777777" w:rsidR="00237F04" w:rsidRDefault="00237F04" w:rsidP="00DE4AD4">
      <w:pPr>
        <w:pStyle w:val="Caption"/>
      </w:pPr>
      <w:bookmarkStart w:id="379" w:name="_Ref230353658"/>
      <w:bookmarkStart w:id="380" w:name="_Hlk158368152"/>
      <w:bookmarkStart w:id="381" w:name="_Ref170203365"/>
      <w:r>
        <w:br w:type="page"/>
      </w:r>
    </w:p>
    <w:p w14:paraId="4FFFB243" w14:textId="50A3878F" w:rsidR="00645BB2" w:rsidRPr="000179FF" w:rsidRDefault="00645BB2" w:rsidP="000179FF">
      <w:pPr>
        <w:pStyle w:val="Caption"/>
      </w:pPr>
      <w:bookmarkStart w:id="382" w:name="_Toc232589618"/>
      <w:r w:rsidRPr="000179FF">
        <w:lastRenderedPageBreak/>
        <w:t xml:space="preserve">Table </w:t>
      </w:r>
      <w:fldSimple w:instr=" SEQ Table \* ARABIC ">
        <w:r w:rsidR="000179FF">
          <w:rPr>
            <w:noProof/>
          </w:rPr>
          <w:t>23</w:t>
        </w:r>
      </w:fldSimple>
      <w:bookmarkEnd w:id="379"/>
      <w:r w:rsidRPr="000179FF">
        <w:t>: Revised amendments to Table 4 of the MRL Standard</w:t>
      </w:r>
      <w:bookmarkEnd w:id="382"/>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384"/>
        <w:gridCol w:w="4111"/>
        <w:gridCol w:w="2410"/>
        <w:gridCol w:w="1949"/>
      </w:tblGrid>
      <w:tr w:rsidR="00645BB2" w:rsidRPr="005C4425" w14:paraId="1A1EBF5E" w14:textId="77777777" w:rsidTr="00DE4AD4">
        <w:trPr>
          <w:tblHeader/>
        </w:trPr>
        <w:tc>
          <w:tcPr>
            <w:tcW w:w="702" w:type="pct"/>
            <w:tcBorders>
              <w:right w:val="nil"/>
            </w:tcBorders>
            <w:shd w:val="clear" w:color="auto" w:fill="5C2946"/>
          </w:tcPr>
          <w:p w14:paraId="1F66881D" w14:textId="77777777" w:rsidR="00645BB2" w:rsidRPr="00645BB2" w:rsidRDefault="00645BB2" w:rsidP="0004551E">
            <w:pPr>
              <w:pStyle w:val="TableHead"/>
            </w:pPr>
            <w:r w:rsidRPr="00645BB2">
              <w:t>Code</w:t>
            </w:r>
          </w:p>
        </w:tc>
        <w:tc>
          <w:tcPr>
            <w:tcW w:w="2086" w:type="pct"/>
            <w:tcBorders>
              <w:left w:val="nil"/>
              <w:right w:val="nil"/>
            </w:tcBorders>
            <w:shd w:val="clear" w:color="auto" w:fill="5C2946"/>
          </w:tcPr>
          <w:p w14:paraId="3B8076DC" w14:textId="77777777" w:rsidR="00645BB2" w:rsidRPr="00645BB2" w:rsidRDefault="00645BB2" w:rsidP="0004551E">
            <w:pPr>
              <w:pStyle w:val="TableHead"/>
            </w:pPr>
            <w:r w:rsidRPr="00645BB2">
              <w:t>Animal feed commodity</w:t>
            </w:r>
          </w:p>
        </w:tc>
        <w:tc>
          <w:tcPr>
            <w:tcW w:w="1223" w:type="pct"/>
            <w:tcBorders>
              <w:left w:val="nil"/>
              <w:right w:val="nil"/>
            </w:tcBorders>
            <w:shd w:val="clear" w:color="auto" w:fill="5C2946"/>
          </w:tcPr>
          <w:p w14:paraId="4A5CA3D9" w14:textId="77777777" w:rsidR="00645BB2" w:rsidRPr="00645BB2" w:rsidRDefault="00645BB2" w:rsidP="0004551E">
            <w:pPr>
              <w:pStyle w:val="TableHead"/>
            </w:pPr>
            <w:r w:rsidRPr="00645BB2">
              <w:t>Current MRL</w:t>
            </w:r>
          </w:p>
        </w:tc>
        <w:tc>
          <w:tcPr>
            <w:tcW w:w="989" w:type="pct"/>
            <w:tcBorders>
              <w:left w:val="nil"/>
            </w:tcBorders>
            <w:shd w:val="clear" w:color="auto" w:fill="5C2946"/>
          </w:tcPr>
          <w:p w14:paraId="5F069213" w14:textId="77777777" w:rsidR="00645BB2" w:rsidRPr="00645BB2" w:rsidRDefault="00645BB2" w:rsidP="0004551E">
            <w:pPr>
              <w:pStyle w:val="TableHead"/>
            </w:pPr>
            <w:r w:rsidRPr="00645BB2">
              <w:t>Recommended MRL</w:t>
            </w:r>
          </w:p>
        </w:tc>
      </w:tr>
      <w:tr w:rsidR="00645BB2" w:rsidRPr="005C4425" w14:paraId="0B8B5EA2" w14:textId="77777777" w:rsidTr="00DE4AD4">
        <w:tc>
          <w:tcPr>
            <w:tcW w:w="702" w:type="pct"/>
            <w:tcBorders>
              <w:right w:val="nil"/>
            </w:tcBorders>
          </w:tcPr>
          <w:p w14:paraId="28A0322C" w14:textId="77777777" w:rsidR="00645BB2" w:rsidRPr="005C4425" w:rsidRDefault="00645BB2" w:rsidP="004F7E0E">
            <w:pPr>
              <w:pStyle w:val="TableText"/>
              <w:rPr>
                <w:lang w:val="en-US"/>
              </w:rPr>
            </w:pPr>
            <w:r w:rsidRPr="005C4425">
              <w:rPr>
                <w:lang w:val="en-US"/>
              </w:rPr>
              <w:t>AL</w:t>
            </w:r>
            <w:r>
              <w:rPr>
                <w:lang w:val="en-US"/>
              </w:rPr>
              <w:t xml:space="preserve"> </w:t>
            </w:r>
            <w:r w:rsidRPr="005C4425">
              <w:rPr>
                <w:lang w:val="en-US"/>
              </w:rPr>
              <w:t>0157</w:t>
            </w:r>
          </w:p>
        </w:tc>
        <w:tc>
          <w:tcPr>
            <w:tcW w:w="2086" w:type="pct"/>
            <w:tcBorders>
              <w:left w:val="nil"/>
              <w:right w:val="nil"/>
            </w:tcBorders>
          </w:tcPr>
          <w:p w14:paraId="24B17E3B" w14:textId="77777777" w:rsidR="00645BB2" w:rsidRPr="005C4425" w:rsidRDefault="00645BB2" w:rsidP="004F7E0E">
            <w:pPr>
              <w:pStyle w:val="TableText"/>
              <w:rPr>
                <w:lang w:val="en-US"/>
              </w:rPr>
            </w:pPr>
            <w:r w:rsidRPr="005C4425">
              <w:rPr>
                <w:lang w:val="en-US"/>
              </w:rPr>
              <w:t>Legume animal feeds</w:t>
            </w:r>
          </w:p>
        </w:tc>
        <w:tc>
          <w:tcPr>
            <w:tcW w:w="1223" w:type="pct"/>
            <w:tcBorders>
              <w:left w:val="nil"/>
              <w:right w:val="nil"/>
            </w:tcBorders>
          </w:tcPr>
          <w:p w14:paraId="48445268" w14:textId="77777777" w:rsidR="00645BB2" w:rsidRPr="00645BB2" w:rsidRDefault="00645BB2" w:rsidP="004F7E0E">
            <w:pPr>
              <w:pStyle w:val="TableText"/>
            </w:pPr>
            <w:r w:rsidRPr="00645BB2">
              <w:t>100</w:t>
            </w:r>
          </w:p>
        </w:tc>
        <w:tc>
          <w:tcPr>
            <w:tcW w:w="989" w:type="pct"/>
            <w:tcBorders>
              <w:left w:val="nil"/>
            </w:tcBorders>
          </w:tcPr>
          <w:p w14:paraId="001A49BC" w14:textId="77777777" w:rsidR="00645BB2" w:rsidRDefault="00645BB2" w:rsidP="004F7E0E">
            <w:pPr>
              <w:pStyle w:val="TableText"/>
            </w:pPr>
            <w:r>
              <w:t>Delete</w:t>
            </w:r>
          </w:p>
        </w:tc>
      </w:tr>
      <w:tr w:rsidR="00645BB2" w:rsidRPr="005C4425" w14:paraId="6CFAD911" w14:textId="77777777" w:rsidTr="00DE4AD4">
        <w:tc>
          <w:tcPr>
            <w:tcW w:w="702" w:type="pct"/>
            <w:tcBorders>
              <w:right w:val="nil"/>
            </w:tcBorders>
          </w:tcPr>
          <w:p w14:paraId="7CBA1C34" w14:textId="77777777" w:rsidR="00645BB2" w:rsidRPr="005C4425" w:rsidRDefault="00645BB2" w:rsidP="004F7E0E">
            <w:pPr>
              <w:pStyle w:val="TableText"/>
              <w:rPr>
                <w:lang w:val="en-US"/>
              </w:rPr>
            </w:pPr>
          </w:p>
        </w:tc>
        <w:tc>
          <w:tcPr>
            <w:tcW w:w="2086" w:type="pct"/>
            <w:tcBorders>
              <w:left w:val="nil"/>
              <w:right w:val="nil"/>
            </w:tcBorders>
            <w:hideMark/>
          </w:tcPr>
          <w:p w14:paraId="0AD8FDAE" w14:textId="77777777" w:rsidR="00645BB2" w:rsidRPr="005C4425" w:rsidRDefault="00645BB2" w:rsidP="004F7E0E">
            <w:pPr>
              <w:pStyle w:val="TableText"/>
              <w:rPr>
                <w:lang w:val="en-US"/>
              </w:rPr>
            </w:pPr>
            <w:r w:rsidRPr="005C4425">
              <w:rPr>
                <w:lang w:val="en-US"/>
              </w:rPr>
              <w:t>Oilseed forage and fodder</w:t>
            </w:r>
          </w:p>
        </w:tc>
        <w:tc>
          <w:tcPr>
            <w:tcW w:w="1223" w:type="pct"/>
            <w:tcBorders>
              <w:left w:val="nil"/>
              <w:right w:val="nil"/>
            </w:tcBorders>
            <w:hideMark/>
          </w:tcPr>
          <w:p w14:paraId="4188BE13" w14:textId="77777777" w:rsidR="00645BB2" w:rsidRPr="00645BB2" w:rsidRDefault="00645BB2" w:rsidP="004F7E0E">
            <w:pPr>
              <w:pStyle w:val="TableText"/>
            </w:pPr>
            <w:r w:rsidRPr="00645BB2">
              <w:t>30</w:t>
            </w:r>
          </w:p>
        </w:tc>
        <w:tc>
          <w:tcPr>
            <w:tcW w:w="989" w:type="pct"/>
            <w:tcBorders>
              <w:left w:val="nil"/>
            </w:tcBorders>
          </w:tcPr>
          <w:p w14:paraId="35F0ABC8" w14:textId="77777777" w:rsidR="00645BB2" w:rsidRPr="005C4425" w:rsidRDefault="00645BB2" w:rsidP="004F7E0E">
            <w:pPr>
              <w:pStyle w:val="TableText"/>
            </w:pPr>
            <w:r>
              <w:t>Delete</w:t>
            </w:r>
          </w:p>
        </w:tc>
      </w:tr>
      <w:tr w:rsidR="00645BB2" w:rsidRPr="005C4425" w14:paraId="2A6601F9" w14:textId="77777777" w:rsidTr="00DE4AD4">
        <w:tc>
          <w:tcPr>
            <w:tcW w:w="702" w:type="pct"/>
            <w:tcBorders>
              <w:right w:val="nil"/>
            </w:tcBorders>
          </w:tcPr>
          <w:p w14:paraId="6E6650F7" w14:textId="77777777" w:rsidR="00645BB2" w:rsidRPr="005C4425" w:rsidRDefault="00645BB2" w:rsidP="004F7E0E">
            <w:pPr>
              <w:pStyle w:val="TableText"/>
              <w:rPr>
                <w:lang w:val="en-US"/>
              </w:rPr>
            </w:pPr>
          </w:p>
        </w:tc>
        <w:tc>
          <w:tcPr>
            <w:tcW w:w="2086" w:type="pct"/>
            <w:tcBorders>
              <w:left w:val="nil"/>
              <w:right w:val="nil"/>
            </w:tcBorders>
          </w:tcPr>
          <w:p w14:paraId="663D143B" w14:textId="77777777" w:rsidR="00645BB2" w:rsidRPr="005C4425" w:rsidRDefault="00645BB2" w:rsidP="004F7E0E">
            <w:pPr>
              <w:pStyle w:val="TableText"/>
              <w:rPr>
                <w:lang w:val="en-US"/>
              </w:rPr>
            </w:pPr>
            <w:r>
              <w:rPr>
                <w:lang w:val="en-US"/>
              </w:rPr>
              <w:t>Primary feed commodities</w:t>
            </w:r>
          </w:p>
        </w:tc>
        <w:tc>
          <w:tcPr>
            <w:tcW w:w="1223" w:type="pct"/>
            <w:tcBorders>
              <w:left w:val="nil"/>
              <w:right w:val="nil"/>
            </w:tcBorders>
          </w:tcPr>
          <w:p w14:paraId="503E090E" w14:textId="77777777" w:rsidR="00645BB2" w:rsidRPr="005C4425" w:rsidRDefault="00645BB2" w:rsidP="004F7E0E">
            <w:pPr>
              <w:pStyle w:val="TableText"/>
            </w:pPr>
            <w:r>
              <w:t>–</w:t>
            </w:r>
          </w:p>
        </w:tc>
        <w:tc>
          <w:tcPr>
            <w:tcW w:w="989" w:type="pct"/>
            <w:tcBorders>
              <w:left w:val="nil"/>
            </w:tcBorders>
          </w:tcPr>
          <w:p w14:paraId="76EE2DF5" w14:textId="7D98B57D" w:rsidR="00645BB2" w:rsidRDefault="00FC32BE" w:rsidP="004F7E0E">
            <w:pPr>
              <w:pStyle w:val="TableText"/>
            </w:pPr>
            <w:r>
              <w:t>3</w:t>
            </w:r>
            <w:r w:rsidR="00645BB2">
              <w:t>0</w:t>
            </w:r>
          </w:p>
        </w:tc>
      </w:tr>
    </w:tbl>
    <w:p w14:paraId="08422A87" w14:textId="77777777" w:rsidR="00645BB2" w:rsidRDefault="00645BB2" w:rsidP="00645BB2">
      <w:pPr>
        <w:pStyle w:val="NormalText"/>
      </w:pPr>
    </w:p>
    <w:p w14:paraId="7F39550F" w14:textId="77777777" w:rsidR="00645BB2" w:rsidRDefault="00645BB2" w:rsidP="00645BB2">
      <w:pPr>
        <w:pStyle w:val="NormalText"/>
        <w:sectPr w:rsidR="00645BB2" w:rsidSect="009A2AA4">
          <w:headerReference w:type="even" r:id="rId40"/>
          <w:pgSz w:w="11906" w:h="16838" w:code="9"/>
          <w:pgMar w:top="2835" w:right="1134" w:bottom="1134" w:left="1134" w:header="1701" w:footer="680" w:gutter="0"/>
          <w:cols w:space="708"/>
          <w:docGrid w:linePitch="360"/>
        </w:sectPr>
      </w:pPr>
    </w:p>
    <w:p w14:paraId="053CC5BC" w14:textId="77171DA0" w:rsidR="004F075B" w:rsidRPr="004F075B" w:rsidRDefault="004F075B" w:rsidP="004F075B">
      <w:pPr>
        <w:pStyle w:val="Heading1"/>
      </w:pPr>
      <w:bookmarkStart w:id="383" w:name="_Toc233039026"/>
      <w:bookmarkEnd w:id="380"/>
      <w:bookmarkEnd w:id="381"/>
      <w:r w:rsidRPr="004F075B">
        <w:lastRenderedPageBreak/>
        <w:t xml:space="preserve">Environmental </w:t>
      </w:r>
      <w:bookmarkEnd w:id="121"/>
      <w:bookmarkEnd w:id="122"/>
      <w:bookmarkEnd w:id="123"/>
      <w:r w:rsidRPr="004F075B">
        <w:t>safety</w:t>
      </w:r>
      <w:bookmarkEnd w:id="124"/>
      <w:bookmarkEnd w:id="383"/>
    </w:p>
    <w:p w14:paraId="077A629D" w14:textId="77777777" w:rsidR="004F075B" w:rsidRPr="004F075B" w:rsidRDefault="004F075B" w:rsidP="004F075B">
      <w:pPr>
        <w:pStyle w:val="Heading2"/>
      </w:pPr>
      <w:bookmarkStart w:id="384" w:name="_Toc233039027"/>
      <w:r w:rsidRPr="004F075B">
        <w:t>Assessment scenarios</w:t>
      </w:r>
      <w:bookmarkEnd w:id="384"/>
    </w:p>
    <w:p w14:paraId="7D25E60A" w14:textId="0A491CB9" w:rsidR="004F075B" w:rsidRPr="004F075B" w:rsidRDefault="00695343" w:rsidP="004F075B">
      <w:pPr>
        <w:pStyle w:val="NormalText"/>
      </w:pPr>
      <w:r>
        <w:t>D</w:t>
      </w:r>
      <w:r w:rsidR="004F075B" w:rsidRPr="004F075B">
        <w:t>iquat products are registered for control of aquatic weeds</w:t>
      </w:r>
      <w:r>
        <w:t xml:space="preserve"> that </w:t>
      </w:r>
      <w:r w:rsidR="004F075B" w:rsidRPr="004F075B">
        <w:t>can be injected below the surface to achieve a target concentration of 1.0 mg ac/L (</w:t>
      </w:r>
      <w:r w:rsidR="00F4590C">
        <w:t xml:space="preserve">for control of </w:t>
      </w:r>
      <w:r w:rsidR="004F075B" w:rsidRPr="004F075B">
        <w:t>cattails</w:t>
      </w:r>
      <w:r w:rsidR="00F4590C">
        <w:t xml:space="preserve"> and</w:t>
      </w:r>
      <w:r w:rsidR="004F075B" w:rsidRPr="004F075B">
        <w:t xml:space="preserve"> pond weeds) or applied as a surface spray at 1</w:t>
      </w:r>
      <w:r w:rsidR="002F5CDC">
        <w:t>,</w:t>
      </w:r>
      <w:r w:rsidR="004F075B" w:rsidRPr="004F075B">
        <w:t>000 to 2</w:t>
      </w:r>
      <w:r w:rsidR="002F5CDC">
        <w:t>,</w:t>
      </w:r>
      <w:r w:rsidR="004F075B" w:rsidRPr="004F075B">
        <w:t>000 g ac/ha with a minimum retreatment interval of 7 days (</w:t>
      </w:r>
      <w:r w:rsidR="00F4590C">
        <w:t xml:space="preserve">to control </w:t>
      </w:r>
      <w:r w:rsidR="004F075B" w:rsidRPr="004F075B">
        <w:t xml:space="preserve">floating weeds). A second spray application may be necessary for control of dense infestations. Oxygen depletion of decaying weeds may occur; therefore, no more than </w:t>
      </w:r>
      <w:r w:rsidR="002F5CDC">
        <w:t>a quarter</w:t>
      </w:r>
      <w:r w:rsidR="004F075B" w:rsidRPr="004F075B">
        <w:t xml:space="preserve"> of the area should be treated as a surface spray per application to ensure adequate oxygen supply for aquatic life (i.e. environmental exposure across the entire water body is equivalent to 250 to 500 g ac/ha).</w:t>
      </w:r>
    </w:p>
    <w:p w14:paraId="31F71900" w14:textId="0BAE0B51" w:rsidR="004F075B" w:rsidRPr="004F075B" w:rsidRDefault="00695343" w:rsidP="004F075B">
      <w:pPr>
        <w:pStyle w:val="NormalText"/>
      </w:pPr>
      <w:r>
        <w:t>D</w:t>
      </w:r>
      <w:r w:rsidR="004F075B" w:rsidRPr="004F075B">
        <w:t>iquat products are also registered as pre-harvest desiccants in a variety of crops at rates up to 800</w:t>
      </w:r>
      <w:r w:rsidR="002F5CDC">
        <w:t> </w:t>
      </w:r>
      <w:r w:rsidR="004F075B" w:rsidRPr="004F075B">
        <w:t>g</w:t>
      </w:r>
      <w:r w:rsidR="002F5CDC">
        <w:t> </w:t>
      </w:r>
      <w:r w:rsidR="004F075B" w:rsidRPr="004F075B">
        <w:t>ac/ha.</w:t>
      </w:r>
    </w:p>
    <w:p w14:paraId="6F86E924" w14:textId="7F798DD8" w:rsidR="004F075B" w:rsidRPr="004F075B" w:rsidRDefault="00695343" w:rsidP="004F075B">
      <w:pPr>
        <w:pStyle w:val="NormalText"/>
      </w:pPr>
      <w:bookmarkStart w:id="385" w:name="_Hlk145085659"/>
      <w:r>
        <w:t>Additionally, d</w:t>
      </w:r>
      <w:r w:rsidR="004F075B" w:rsidRPr="004F075B">
        <w:t>iquat products are registered for general weed control in a variety of crop and pasture situations at rates up to 800 g ac/ha. Applications are generally before planting or before crop emergence (i.e., bare soil scenarios); however, applications can also occur at later crop stages as directed sprays or inter-row</w:t>
      </w:r>
      <w:r w:rsidR="00C44056">
        <w:t xml:space="preserve"> treatments</w:t>
      </w:r>
      <w:r w:rsidR="004F075B" w:rsidRPr="004F075B">
        <w:t>.</w:t>
      </w:r>
      <w:bookmarkEnd w:id="385"/>
    </w:p>
    <w:p w14:paraId="2D9C5F25" w14:textId="417BA9CE" w:rsidR="004F075B" w:rsidRDefault="000536D7" w:rsidP="004F075B">
      <w:pPr>
        <w:pStyle w:val="NormalText"/>
      </w:pPr>
      <w:bookmarkStart w:id="386" w:name="_Hlk145067008"/>
      <w:r w:rsidRPr="00D63217">
        <w:t>Th</w:t>
      </w:r>
      <w:r w:rsidR="00C018C5">
        <w:t>is</w:t>
      </w:r>
      <w:r w:rsidRPr="00D63217">
        <w:t xml:space="preserve"> assessment addresses the risks of </w:t>
      </w:r>
      <w:r>
        <w:t>di</w:t>
      </w:r>
      <w:r w:rsidRPr="00D63217">
        <w:t>quat only</w:t>
      </w:r>
      <w:r>
        <w:t>, for all relevant uses. Risks of the combination of paraquat and diquat have been assessed separately for relevant uses</w:t>
      </w:r>
      <w:r w:rsidR="00C018C5">
        <w:t xml:space="preserve"> and can be found in the </w:t>
      </w:r>
      <w:r w:rsidR="00C018C5" w:rsidRPr="00C018C5">
        <w:rPr>
          <w:i/>
          <w:iCs/>
        </w:rPr>
        <w:t>Paraquat Review Technical Report</w:t>
      </w:r>
      <w:r>
        <w:t>.</w:t>
      </w:r>
      <w:r w:rsidR="00695343">
        <w:t xml:space="preserve"> </w:t>
      </w:r>
      <w:bookmarkEnd w:id="386"/>
      <w:r w:rsidR="004F075B" w:rsidRPr="004F075B">
        <w:t xml:space="preserve">The environmental risk assessment scenarios considered in the assessment are summarised </w:t>
      </w:r>
      <w:r w:rsidR="004F075B" w:rsidRPr="00482C18">
        <w:t xml:space="preserve">in </w:t>
      </w:r>
      <w:r w:rsidR="00482C18" w:rsidRPr="00482C18">
        <w:fldChar w:fldCharType="begin" w:fldLock="1"/>
      </w:r>
      <w:r w:rsidR="00482C18" w:rsidRPr="00482C18">
        <w:instrText xml:space="preserve"> REF _Hlk156380749 \h </w:instrText>
      </w:r>
      <w:r w:rsidR="00482C18">
        <w:instrText xml:space="preserve"> \* MERGEFORMAT </w:instrText>
      </w:r>
      <w:r w:rsidR="00482C18" w:rsidRPr="00482C18">
        <w:fldChar w:fldCharType="separate"/>
      </w:r>
      <w:r w:rsidR="0033298E">
        <w:t xml:space="preserve">Table </w:t>
      </w:r>
      <w:r w:rsidR="0033298E">
        <w:rPr>
          <w:noProof/>
        </w:rPr>
        <w:t>24</w:t>
      </w:r>
      <w:r w:rsidR="00482C18" w:rsidRPr="00482C18">
        <w:fldChar w:fldCharType="end"/>
      </w:r>
      <w:r w:rsidR="004F075B" w:rsidRPr="00482C18">
        <w:t>.</w:t>
      </w:r>
      <w:r w:rsidR="004F075B" w:rsidRPr="004F075B">
        <w:t xml:space="preserve"> Environmental risks were determined according to contemporary methodology outlined in the </w:t>
      </w:r>
      <w:hyperlink r:id="rId41" w:history="1">
        <w:r w:rsidR="004F075B" w:rsidRPr="002F5CDC">
          <w:rPr>
            <w:rStyle w:val="Hyperlink"/>
          </w:rPr>
          <w:t>APVMA Risk Assessment Manual – Environment</w:t>
        </w:r>
      </w:hyperlink>
      <w:r w:rsidR="004F075B" w:rsidRPr="009218CC">
        <w:t>.</w:t>
      </w:r>
    </w:p>
    <w:p w14:paraId="5FB05A44" w14:textId="5D632F41" w:rsidR="004F075B" w:rsidRPr="000179FF" w:rsidRDefault="004F075B" w:rsidP="000179FF">
      <w:pPr>
        <w:pStyle w:val="Caption"/>
      </w:pPr>
      <w:bookmarkStart w:id="387" w:name="_Hlk156380749"/>
      <w:bookmarkStart w:id="388" w:name="_Ref151619561"/>
      <w:bookmarkStart w:id="389" w:name="_Toc156383603"/>
      <w:bookmarkStart w:id="390" w:name="_Toc232589619"/>
      <w:bookmarkStart w:id="391" w:name="_Hlk163813896"/>
      <w:r w:rsidRPr="000179FF">
        <w:t xml:space="preserve">Table </w:t>
      </w:r>
      <w:fldSimple w:instr=" SEQ Table \* ARABIC ">
        <w:r w:rsidR="000179FF">
          <w:rPr>
            <w:noProof/>
          </w:rPr>
          <w:t>24</w:t>
        </w:r>
      </w:fldSimple>
      <w:bookmarkEnd w:id="387"/>
      <w:bookmarkEnd w:id="388"/>
      <w:r w:rsidRPr="000179FF">
        <w:t>:</w:t>
      </w:r>
      <w:bookmarkStart w:id="392" w:name="_Hlk149668068"/>
      <w:r w:rsidRPr="000179FF">
        <w:t xml:space="preserve"> Environmental</w:t>
      </w:r>
      <w:r w:rsidR="00745704" w:rsidRPr="000179FF">
        <w:t xml:space="preserve"> </w:t>
      </w:r>
      <w:r w:rsidRPr="000179FF">
        <w:t>risk assessment scenarios</w:t>
      </w:r>
      <w:bookmarkEnd w:id="389"/>
      <w:r w:rsidR="00745704" w:rsidRPr="000179FF">
        <w:t xml:space="preserve"> for diquat</w:t>
      </w:r>
      <w:bookmarkEnd w:id="390"/>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24"/>
        <w:gridCol w:w="4020"/>
        <w:gridCol w:w="3008"/>
      </w:tblGrid>
      <w:tr w:rsidR="004F075B" w:rsidRPr="006649E5" w14:paraId="61B0FA34" w14:textId="77777777" w:rsidTr="002F5CDC">
        <w:trPr>
          <w:tblHeader/>
        </w:trPr>
        <w:tc>
          <w:tcPr>
            <w:tcW w:w="2724" w:type="dxa"/>
            <w:tcBorders>
              <w:right w:val="nil"/>
            </w:tcBorders>
            <w:shd w:val="clear" w:color="auto" w:fill="5C2946"/>
          </w:tcPr>
          <w:p w14:paraId="0B83B98C" w14:textId="002F874A" w:rsidR="004F075B" w:rsidRPr="002F5CDC" w:rsidRDefault="004F075B" w:rsidP="002F5CDC">
            <w:pPr>
              <w:pStyle w:val="TableHead"/>
            </w:pPr>
            <w:r w:rsidRPr="002F5CDC">
              <w:t>Category</w:t>
            </w:r>
            <w:r w:rsidR="00E61669">
              <w:rPr>
                <w:rFonts w:ascii="ZWAdobeF" w:hAnsi="ZWAdobeF" w:cs="ZWAdobeF"/>
                <w:color w:val="auto"/>
                <w:spacing w:val="0"/>
                <w:sz w:val="2"/>
                <w:szCs w:val="2"/>
              </w:rPr>
              <w:t>21F</w:t>
            </w:r>
            <w:r w:rsidR="00602535">
              <w:rPr>
                <w:rFonts w:ascii="ZWAdobeF" w:hAnsi="ZWAdobeF" w:cs="ZWAdobeF"/>
                <w:color w:val="auto"/>
                <w:spacing w:val="0"/>
                <w:sz w:val="2"/>
                <w:szCs w:val="2"/>
              </w:rPr>
              <w:t>22F</w:t>
            </w:r>
            <w:r w:rsidR="000536D7">
              <w:rPr>
                <w:rStyle w:val="FootnoteReference"/>
              </w:rPr>
              <w:footnoteReference w:id="24"/>
            </w:r>
          </w:p>
        </w:tc>
        <w:tc>
          <w:tcPr>
            <w:tcW w:w="4020" w:type="dxa"/>
            <w:tcBorders>
              <w:left w:val="nil"/>
              <w:right w:val="nil"/>
            </w:tcBorders>
            <w:shd w:val="clear" w:color="auto" w:fill="5C2946"/>
          </w:tcPr>
          <w:p w14:paraId="5771F757" w14:textId="77777777" w:rsidR="004F075B" w:rsidRPr="002F5CDC" w:rsidRDefault="004F075B" w:rsidP="002F5CDC">
            <w:pPr>
              <w:pStyle w:val="TableHead"/>
            </w:pPr>
            <w:r w:rsidRPr="002F5CDC">
              <w:t>Situation</w:t>
            </w:r>
          </w:p>
        </w:tc>
        <w:tc>
          <w:tcPr>
            <w:tcW w:w="3008" w:type="dxa"/>
            <w:tcBorders>
              <w:left w:val="nil"/>
            </w:tcBorders>
            <w:shd w:val="clear" w:color="auto" w:fill="5C2946"/>
          </w:tcPr>
          <w:p w14:paraId="4A2AA962" w14:textId="77777777" w:rsidR="004F075B" w:rsidRPr="002F5CDC" w:rsidRDefault="004F075B" w:rsidP="002F5CDC">
            <w:pPr>
              <w:pStyle w:val="TableHead"/>
            </w:pPr>
            <w:r w:rsidRPr="002F5CDC">
              <w:t>Risk assessment scenario</w:t>
            </w:r>
          </w:p>
        </w:tc>
      </w:tr>
      <w:tr w:rsidR="002F5CDC" w:rsidRPr="006649E5" w14:paraId="40FA84E2" w14:textId="77777777" w:rsidTr="002F5CDC">
        <w:tc>
          <w:tcPr>
            <w:tcW w:w="2724" w:type="dxa"/>
            <w:vMerge w:val="restart"/>
            <w:tcBorders>
              <w:right w:val="nil"/>
            </w:tcBorders>
          </w:tcPr>
          <w:p w14:paraId="5D7B826B" w14:textId="77777777" w:rsidR="002F5CDC" w:rsidRDefault="002F5CDC" w:rsidP="002F5CDC">
            <w:pPr>
              <w:pStyle w:val="TableText"/>
            </w:pPr>
            <w:r>
              <w:t>Aquatic areas</w:t>
            </w:r>
          </w:p>
        </w:tc>
        <w:tc>
          <w:tcPr>
            <w:tcW w:w="4020" w:type="dxa"/>
            <w:tcBorders>
              <w:left w:val="nil"/>
              <w:right w:val="nil"/>
            </w:tcBorders>
          </w:tcPr>
          <w:p w14:paraId="6647216E" w14:textId="77777777" w:rsidR="002F5CDC" w:rsidRDefault="002F5CDC" w:rsidP="002F5CDC">
            <w:pPr>
              <w:pStyle w:val="TableText"/>
            </w:pPr>
            <w:r>
              <w:t>Water injection</w:t>
            </w:r>
          </w:p>
        </w:tc>
        <w:tc>
          <w:tcPr>
            <w:tcW w:w="3008" w:type="dxa"/>
            <w:tcBorders>
              <w:left w:val="nil"/>
            </w:tcBorders>
          </w:tcPr>
          <w:p w14:paraId="51DA5BA4" w14:textId="77777777" w:rsidR="002F5CDC" w:rsidRDefault="002F5CDC" w:rsidP="002F5CDC">
            <w:pPr>
              <w:pStyle w:val="TableText"/>
            </w:pPr>
            <w:r>
              <w:t>1× 1.0 mg ac/L</w:t>
            </w:r>
          </w:p>
        </w:tc>
      </w:tr>
      <w:tr w:rsidR="002F5CDC" w:rsidRPr="006649E5" w14:paraId="297D407E" w14:textId="77777777" w:rsidTr="002F5CDC">
        <w:tc>
          <w:tcPr>
            <w:tcW w:w="2724" w:type="dxa"/>
            <w:vMerge/>
            <w:tcBorders>
              <w:right w:val="nil"/>
            </w:tcBorders>
          </w:tcPr>
          <w:p w14:paraId="65C8B7ED" w14:textId="77777777" w:rsidR="002F5CDC" w:rsidRDefault="002F5CDC" w:rsidP="002F5CDC">
            <w:pPr>
              <w:pStyle w:val="TableText"/>
            </w:pPr>
          </w:p>
        </w:tc>
        <w:tc>
          <w:tcPr>
            <w:tcW w:w="4020" w:type="dxa"/>
            <w:tcBorders>
              <w:left w:val="nil"/>
              <w:right w:val="nil"/>
            </w:tcBorders>
          </w:tcPr>
          <w:p w14:paraId="6044F987" w14:textId="77777777" w:rsidR="002F5CDC" w:rsidRDefault="002F5CDC" w:rsidP="002F5CDC">
            <w:pPr>
              <w:pStyle w:val="TableText"/>
            </w:pPr>
            <w:r>
              <w:t>Surface spray</w:t>
            </w:r>
          </w:p>
        </w:tc>
        <w:tc>
          <w:tcPr>
            <w:tcW w:w="3008" w:type="dxa"/>
            <w:tcBorders>
              <w:left w:val="nil"/>
            </w:tcBorders>
          </w:tcPr>
          <w:p w14:paraId="5125A89A" w14:textId="77777777" w:rsidR="002F5CDC" w:rsidRDefault="002F5CDC" w:rsidP="002F5CDC">
            <w:pPr>
              <w:pStyle w:val="TableText"/>
            </w:pPr>
            <w:r>
              <w:t>2× 500 g ac/ha</w:t>
            </w:r>
          </w:p>
          <w:p w14:paraId="2CC1FFC0" w14:textId="77777777" w:rsidR="002F5CDC" w:rsidRDefault="002F5CDC" w:rsidP="002F5CDC">
            <w:pPr>
              <w:pStyle w:val="TableText"/>
            </w:pPr>
            <w:r>
              <w:t>7-day retreatment interval</w:t>
            </w:r>
          </w:p>
        </w:tc>
      </w:tr>
      <w:tr w:rsidR="00B70CCF" w:rsidRPr="006649E5" w14:paraId="722ADEA4" w14:textId="77777777" w:rsidTr="002F5CDC">
        <w:tc>
          <w:tcPr>
            <w:tcW w:w="2724" w:type="dxa"/>
            <w:vMerge w:val="restart"/>
            <w:tcBorders>
              <w:right w:val="nil"/>
            </w:tcBorders>
          </w:tcPr>
          <w:p w14:paraId="451FF026" w14:textId="77777777" w:rsidR="00B70CCF" w:rsidRDefault="00B70CCF" w:rsidP="002F5CDC">
            <w:pPr>
              <w:pStyle w:val="TableText"/>
            </w:pPr>
            <w:r>
              <w:t>Pre-harvest crop desiccation</w:t>
            </w:r>
          </w:p>
        </w:tc>
        <w:tc>
          <w:tcPr>
            <w:tcW w:w="4020" w:type="dxa"/>
            <w:tcBorders>
              <w:left w:val="nil"/>
              <w:right w:val="nil"/>
            </w:tcBorders>
          </w:tcPr>
          <w:p w14:paraId="754CBB7E" w14:textId="02E80E2E" w:rsidR="00B70CCF" w:rsidRDefault="00B70CCF" w:rsidP="002F5CDC">
            <w:pPr>
              <w:pStyle w:val="TableText"/>
            </w:pPr>
            <w:r>
              <w:t>Potatoes, sweet potatoes</w:t>
            </w:r>
          </w:p>
        </w:tc>
        <w:tc>
          <w:tcPr>
            <w:tcW w:w="3008" w:type="dxa"/>
            <w:tcBorders>
              <w:left w:val="nil"/>
            </w:tcBorders>
          </w:tcPr>
          <w:p w14:paraId="1BC1BAE0" w14:textId="5CF9448A" w:rsidR="00B70CCF" w:rsidRDefault="00B70CCF" w:rsidP="002F5CDC">
            <w:pPr>
              <w:pStyle w:val="TableText"/>
            </w:pPr>
            <w:r>
              <w:t>1× 300–800 g ac/ha</w:t>
            </w:r>
          </w:p>
        </w:tc>
      </w:tr>
      <w:tr w:rsidR="00B70CCF" w:rsidRPr="006649E5" w14:paraId="66E5AF01" w14:textId="77777777" w:rsidTr="002F5CDC">
        <w:tc>
          <w:tcPr>
            <w:tcW w:w="2724" w:type="dxa"/>
            <w:vMerge/>
            <w:tcBorders>
              <w:right w:val="nil"/>
            </w:tcBorders>
          </w:tcPr>
          <w:p w14:paraId="04823522" w14:textId="77777777" w:rsidR="00B70CCF" w:rsidRDefault="00B70CCF" w:rsidP="002F5CDC">
            <w:pPr>
              <w:pStyle w:val="TableText"/>
            </w:pPr>
          </w:p>
        </w:tc>
        <w:tc>
          <w:tcPr>
            <w:tcW w:w="4020" w:type="dxa"/>
            <w:tcBorders>
              <w:left w:val="nil"/>
              <w:right w:val="nil"/>
            </w:tcBorders>
          </w:tcPr>
          <w:p w14:paraId="123CFF58" w14:textId="26475D9D" w:rsidR="00B70CCF" w:rsidRDefault="00B70CCF" w:rsidP="002F5CDC">
            <w:pPr>
              <w:pStyle w:val="TableText"/>
            </w:pPr>
            <w:r>
              <w:t>Poppies</w:t>
            </w:r>
          </w:p>
        </w:tc>
        <w:tc>
          <w:tcPr>
            <w:tcW w:w="3008" w:type="dxa"/>
            <w:tcBorders>
              <w:left w:val="nil"/>
            </w:tcBorders>
          </w:tcPr>
          <w:p w14:paraId="491C89F7" w14:textId="1CCB4ADC" w:rsidR="00B70CCF" w:rsidRDefault="00B70CCF" w:rsidP="002F5CDC">
            <w:pPr>
              <w:pStyle w:val="TableText"/>
            </w:pPr>
            <w:r>
              <w:t>1× 600–800 g ac/ha</w:t>
            </w:r>
          </w:p>
        </w:tc>
      </w:tr>
      <w:tr w:rsidR="00B70CCF" w:rsidRPr="006649E5" w14:paraId="57E69EC7" w14:textId="77777777" w:rsidTr="002F5CDC">
        <w:tc>
          <w:tcPr>
            <w:tcW w:w="2724" w:type="dxa"/>
            <w:vMerge/>
            <w:tcBorders>
              <w:right w:val="nil"/>
            </w:tcBorders>
          </w:tcPr>
          <w:p w14:paraId="71AC2D6A" w14:textId="77777777" w:rsidR="00B70CCF" w:rsidRDefault="00B70CCF" w:rsidP="002F5CDC">
            <w:pPr>
              <w:pStyle w:val="TableText"/>
            </w:pPr>
          </w:p>
        </w:tc>
        <w:tc>
          <w:tcPr>
            <w:tcW w:w="4020" w:type="dxa"/>
            <w:tcBorders>
              <w:left w:val="nil"/>
              <w:right w:val="nil"/>
            </w:tcBorders>
          </w:tcPr>
          <w:p w14:paraId="755734D0" w14:textId="1076CF04" w:rsidR="00B70CCF" w:rsidRDefault="00B70CCF" w:rsidP="002F5CDC">
            <w:pPr>
              <w:pStyle w:val="TableText"/>
            </w:pPr>
            <w:r>
              <w:t>Oilseeds, lupins, lucerne, pulses</w:t>
            </w:r>
          </w:p>
        </w:tc>
        <w:tc>
          <w:tcPr>
            <w:tcW w:w="3008" w:type="dxa"/>
            <w:tcBorders>
              <w:left w:val="nil"/>
            </w:tcBorders>
          </w:tcPr>
          <w:p w14:paraId="2D9212C3" w14:textId="41888EC7" w:rsidR="00B70CCF" w:rsidRPr="00BB2126" w:rsidRDefault="00B70CCF" w:rsidP="002F5CDC">
            <w:pPr>
              <w:pStyle w:val="TableText"/>
            </w:pPr>
            <w:r>
              <w:t>1× 300–600 g ac/ha</w:t>
            </w:r>
          </w:p>
        </w:tc>
      </w:tr>
      <w:tr w:rsidR="00B70CCF" w:rsidRPr="006649E5" w14:paraId="22FBC916" w14:textId="77777777" w:rsidTr="002F5CDC">
        <w:tc>
          <w:tcPr>
            <w:tcW w:w="2724" w:type="dxa"/>
            <w:vMerge/>
            <w:tcBorders>
              <w:right w:val="nil"/>
            </w:tcBorders>
          </w:tcPr>
          <w:p w14:paraId="45660D43" w14:textId="77777777" w:rsidR="00B70CCF" w:rsidRDefault="00B70CCF" w:rsidP="002F5CDC">
            <w:pPr>
              <w:pStyle w:val="TableText"/>
            </w:pPr>
          </w:p>
        </w:tc>
        <w:tc>
          <w:tcPr>
            <w:tcW w:w="4020" w:type="dxa"/>
            <w:tcBorders>
              <w:left w:val="nil"/>
              <w:right w:val="nil"/>
            </w:tcBorders>
          </w:tcPr>
          <w:p w14:paraId="77179C6D" w14:textId="26BA3395" w:rsidR="00B70CCF" w:rsidRDefault="00B70CCF" w:rsidP="002F5CDC">
            <w:pPr>
              <w:pStyle w:val="TableText"/>
            </w:pPr>
            <w:r>
              <w:t>Cereals, rice, sunflowers</w:t>
            </w:r>
          </w:p>
        </w:tc>
        <w:tc>
          <w:tcPr>
            <w:tcW w:w="3008" w:type="dxa"/>
            <w:tcBorders>
              <w:left w:val="nil"/>
            </w:tcBorders>
          </w:tcPr>
          <w:p w14:paraId="5FD900AD" w14:textId="03AA107A" w:rsidR="00B70CCF" w:rsidRPr="00BB2126" w:rsidRDefault="00B70CCF" w:rsidP="002F5CDC">
            <w:pPr>
              <w:pStyle w:val="TableText"/>
            </w:pPr>
            <w:r>
              <w:t>1× 400–600 g ac/ha</w:t>
            </w:r>
          </w:p>
        </w:tc>
      </w:tr>
      <w:tr w:rsidR="00B70CCF" w:rsidRPr="006649E5" w14:paraId="32BFF933" w14:textId="77777777" w:rsidTr="002F5CDC">
        <w:tc>
          <w:tcPr>
            <w:tcW w:w="2724" w:type="dxa"/>
            <w:vMerge/>
            <w:tcBorders>
              <w:right w:val="nil"/>
            </w:tcBorders>
          </w:tcPr>
          <w:p w14:paraId="7FF58C36" w14:textId="77777777" w:rsidR="00B70CCF" w:rsidRDefault="00B70CCF" w:rsidP="002F5CDC">
            <w:pPr>
              <w:pStyle w:val="TableText"/>
            </w:pPr>
          </w:p>
        </w:tc>
        <w:tc>
          <w:tcPr>
            <w:tcW w:w="4020" w:type="dxa"/>
            <w:tcBorders>
              <w:left w:val="nil"/>
              <w:right w:val="nil"/>
            </w:tcBorders>
          </w:tcPr>
          <w:p w14:paraId="0A110282" w14:textId="72F9B7BD" w:rsidR="00B70CCF" w:rsidRDefault="00B70CCF" w:rsidP="002F5CDC">
            <w:pPr>
              <w:pStyle w:val="TableText"/>
            </w:pPr>
            <w:r>
              <w:t>Sugarcane</w:t>
            </w:r>
          </w:p>
        </w:tc>
        <w:tc>
          <w:tcPr>
            <w:tcW w:w="3008" w:type="dxa"/>
            <w:tcBorders>
              <w:left w:val="nil"/>
            </w:tcBorders>
          </w:tcPr>
          <w:p w14:paraId="4999F7B0" w14:textId="336B084E" w:rsidR="00B70CCF" w:rsidRDefault="00B70CCF" w:rsidP="002F5CDC">
            <w:pPr>
              <w:pStyle w:val="TableText"/>
            </w:pPr>
            <w:r>
              <w:t>1× 200–600 g ac/ha</w:t>
            </w:r>
          </w:p>
        </w:tc>
      </w:tr>
      <w:tr w:rsidR="00B70CCF" w:rsidRPr="006649E5" w14:paraId="0FDCDB8E" w14:textId="77777777" w:rsidTr="002F5CDC">
        <w:tc>
          <w:tcPr>
            <w:tcW w:w="2724" w:type="dxa"/>
            <w:vMerge/>
            <w:tcBorders>
              <w:right w:val="nil"/>
            </w:tcBorders>
          </w:tcPr>
          <w:p w14:paraId="2974C29F" w14:textId="77777777" w:rsidR="00B70CCF" w:rsidRDefault="00B70CCF" w:rsidP="002F5CDC">
            <w:pPr>
              <w:pStyle w:val="TableText"/>
            </w:pPr>
          </w:p>
        </w:tc>
        <w:tc>
          <w:tcPr>
            <w:tcW w:w="4020" w:type="dxa"/>
            <w:tcBorders>
              <w:left w:val="nil"/>
              <w:right w:val="nil"/>
            </w:tcBorders>
          </w:tcPr>
          <w:p w14:paraId="7F5B062E" w14:textId="7D2ECACE" w:rsidR="00B70CCF" w:rsidRDefault="00B70CCF" w:rsidP="002F5CDC">
            <w:pPr>
              <w:pStyle w:val="TableText"/>
            </w:pPr>
            <w:r>
              <w:t>Cotton</w:t>
            </w:r>
          </w:p>
        </w:tc>
        <w:tc>
          <w:tcPr>
            <w:tcW w:w="3008" w:type="dxa"/>
            <w:tcBorders>
              <w:left w:val="nil"/>
            </w:tcBorders>
          </w:tcPr>
          <w:p w14:paraId="62090A4B" w14:textId="4F1ABB5E" w:rsidR="00B70CCF" w:rsidRDefault="00B70CCF" w:rsidP="002F5CDC">
            <w:pPr>
              <w:pStyle w:val="TableText"/>
            </w:pPr>
            <w:r>
              <w:t>1× 140–600 g ac/ha</w:t>
            </w:r>
          </w:p>
        </w:tc>
      </w:tr>
      <w:tr w:rsidR="002F5CDC" w:rsidRPr="006649E5" w14:paraId="7EED4031" w14:textId="77777777" w:rsidTr="002F5CDC">
        <w:tc>
          <w:tcPr>
            <w:tcW w:w="2724" w:type="dxa"/>
            <w:vMerge w:val="restart"/>
            <w:tcBorders>
              <w:right w:val="nil"/>
            </w:tcBorders>
          </w:tcPr>
          <w:p w14:paraId="305E1B79" w14:textId="77777777" w:rsidR="002F5CDC" w:rsidRDefault="002F5CDC" w:rsidP="002F5CDC">
            <w:pPr>
              <w:pStyle w:val="TableText"/>
            </w:pPr>
            <w:r>
              <w:t>General weed control</w:t>
            </w:r>
          </w:p>
        </w:tc>
        <w:tc>
          <w:tcPr>
            <w:tcW w:w="4020" w:type="dxa"/>
            <w:tcBorders>
              <w:left w:val="nil"/>
              <w:right w:val="nil"/>
            </w:tcBorders>
          </w:tcPr>
          <w:p w14:paraId="2550B991" w14:textId="77777777" w:rsidR="002F5CDC" w:rsidRDefault="002F5CDC" w:rsidP="002F5CDC">
            <w:pPr>
              <w:pStyle w:val="TableText"/>
            </w:pPr>
            <w:r>
              <w:t>Row crops, vegetables, market gardens</w:t>
            </w:r>
          </w:p>
        </w:tc>
        <w:tc>
          <w:tcPr>
            <w:tcW w:w="3008" w:type="dxa"/>
            <w:tcBorders>
              <w:left w:val="nil"/>
            </w:tcBorders>
          </w:tcPr>
          <w:p w14:paraId="24EBA387" w14:textId="654390EE" w:rsidR="002F5CDC" w:rsidRDefault="002F5CDC" w:rsidP="002F5CDC">
            <w:pPr>
              <w:pStyle w:val="TableText"/>
            </w:pPr>
            <w:r>
              <w:t>1× 280–800 g ac/ha</w:t>
            </w:r>
          </w:p>
        </w:tc>
      </w:tr>
      <w:tr w:rsidR="002F5CDC" w:rsidRPr="006649E5" w14:paraId="2963A64C" w14:textId="77777777" w:rsidTr="002F5CDC">
        <w:tc>
          <w:tcPr>
            <w:tcW w:w="2724" w:type="dxa"/>
            <w:vMerge/>
            <w:tcBorders>
              <w:right w:val="nil"/>
            </w:tcBorders>
          </w:tcPr>
          <w:p w14:paraId="6EC482F2" w14:textId="77777777" w:rsidR="002F5CDC" w:rsidRDefault="002F5CDC" w:rsidP="002F5CDC">
            <w:pPr>
              <w:pStyle w:val="TableText"/>
            </w:pPr>
          </w:p>
        </w:tc>
        <w:tc>
          <w:tcPr>
            <w:tcW w:w="4020" w:type="dxa"/>
            <w:tcBorders>
              <w:left w:val="nil"/>
              <w:right w:val="nil"/>
            </w:tcBorders>
          </w:tcPr>
          <w:p w14:paraId="03E07488" w14:textId="062F88B3" w:rsidR="002F5CDC" w:rsidRPr="006C52C6" w:rsidRDefault="002F5CDC" w:rsidP="002F5CDC">
            <w:pPr>
              <w:pStyle w:val="TableText"/>
              <w:rPr>
                <w:highlight w:val="yellow"/>
              </w:rPr>
            </w:pPr>
            <w:r>
              <w:t>Wheat and oats</w:t>
            </w:r>
          </w:p>
        </w:tc>
        <w:tc>
          <w:tcPr>
            <w:tcW w:w="3008" w:type="dxa"/>
            <w:tcBorders>
              <w:left w:val="nil"/>
            </w:tcBorders>
          </w:tcPr>
          <w:p w14:paraId="54E32733" w14:textId="2862DA11" w:rsidR="002F5CDC" w:rsidRPr="006C52C6" w:rsidRDefault="002F5CDC" w:rsidP="002F5CDC">
            <w:pPr>
              <w:pStyle w:val="TableText"/>
            </w:pPr>
            <w:r>
              <w:t>1× 110–</w:t>
            </w:r>
            <w:r w:rsidR="00B70CCF">
              <w:t xml:space="preserve">600 </w:t>
            </w:r>
            <w:r>
              <w:t>g ac/ha</w:t>
            </w:r>
          </w:p>
        </w:tc>
      </w:tr>
      <w:tr w:rsidR="002F5CDC" w:rsidRPr="006649E5" w14:paraId="35420BBC" w14:textId="77777777" w:rsidTr="002F5CDC">
        <w:tc>
          <w:tcPr>
            <w:tcW w:w="2724" w:type="dxa"/>
            <w:vMerge/>
            <w:tcBorders>
              <w:right w:val="nil"/>
            </w:tcBorders>
          </w:tcPr>
          <w:p w14:paraId="7C04FAE4" w14:textId="77777777" w:rsidR="002F5CDC" w:rsidRDefault="002F5CDC" w:rsidP="002F5CDC">
            <w:pPr>
              <w:pStyle w:val="TableText"/>
            </w:pPr>
          </w:p>
        </w:tc>
        <w:tc>
          <w:tcPr>
            <w:tcW w:w="4020" w:type="dxa"/>
            <w:tcBorders>
              <w:left w:val="nil"/>
              <w:right w:val="nil"/>
            </w:tcBorders>
          </w:tcPr>
          <w:p w14:paraId="6619E74D" w14:textId="533511D9" w:rsidR="002F5CDC" w:rsidRDefault="002F5CDC" w:rsidP="002F5CDC">
            <w:pPr>
              <w:pStyle w:val="TableText"/>
            </w:pPr>
            <w:r>
              <w:t>Pasture</w:t>
            </w:r>
          </w:p>
        </w:tc>
        <w:tc>
          <w:tcPr>
            <w:tcW w:w="3008" w:type="dxa"/>
            <w:tcBorders>
              <w:left w:val="nil"/>
            </w:tcBorders>
          </w:tcPr>
          <w:p w14:paraId="0ACB5329" w14:textId="6266BCC1" w:rsidR="002F5CDC" w:rsidRDefault="002F5CDC" w:rsidP="002F5CDC">
            <w:pPr>
              <w:pStyle w:val="TableText"/>
            </w:pPr>
            <w:r>
              <w:t xml:space="preserve">1× </w:t>
            </w:r>
            <w:r w:rsidR="00B70CCF">
              <w:t>150</w:t>
            </w:r>
            <w:r>
              <w:t>–300 g ac/ha</w:t>
            </w:r>
          </w:p>
        </w:tc>
      </w:tr>
      <w:tr w:rsidR="002F5CDC" w:rsidRPr="006649E5" w14:paraId="1ED3E863" w14:textId="77777777" w:rsidTr="002F5CDC">
        <w:tc>
          <w:tcPr>
            <w:tcW w:w="2724" w:type="dxa"/>
            <w:vMerge/>
            <w:tcBorders>
              <w:right w:val="nil"/>
            </w:tcBorders>
          </w:tcPr>
          <w:p w14:paraId="6EEF721F" w14:textId="77777777" w:rsidR="002F5CDC" w:rsidRDefault="002F5CDC" w:rsidP="002F5CDC">
            <w:pPr>
              <w:pStyle w:val="TableText"/>
            </w:pPr>
          </w:p>
        </w:tc>
        <w:tc>
          <w:tcPr>
            <w:tcW w:w="4020" w:type="dxa"/>
            <w:tcBorders>
              <w:left w:val="nil"/>
              <w:right w:val="nil"/>
            </w:tcBorders>
          </w:tcPr>
          <w:p w14:paraId="72F9F829" w14:textId="3914D234" w:rsidR="002F5CDC" w:rsidRDefault="002F5CDC" w:rsidP="002F5CDC">
            <w:pPr>
              <w:pStyle w:val="TableText"/>
            </w:pPr>
            <w:r>
              <w:t>Infested areas</w:t>
            </w:r>
          </w:p>
        </w:tc>
        <w:tc>
          <w:tcPr>
            <w:tcW w:w="3008" w:type="dxa"/>
            <w:tcBorders>
              <w:left w:val="nil"/>
            </w:tcBorders>
          </w:tcPr>
          <w:p w14:paraId="7AB2221F" w14:textId="4108CCFC" w:rsidR="002F5CDC" w:rsidRDefault="002F5CDC" w:rsidP="002F5CDC">
            <w:pPr>
              <w:pStyle w:val="TableText"/>
            </w:pPr>
            <w:r>
              <w:t xml:space="preserve">1× </w:t>
            </w:r>
            <w:r w:rsidR="00B70CCF">
              <w:t xml:space="preserve">60-1333 </w:t>
            </w:r>
            <w:r>
              <w:t>g ac/ha</w:t>
            </w:r>
          </w:p>
        </w:tc>
      </w:tr>
      <w:tr w:rsidR="002F5CDC" w:rsidRPr="006649E5" w14:paraId="377F6BB9" w14:textId="77777777" w:rsidTr="002F5CDC">
        <w:tc>
          <w:tcPr>
            <w:tcW w:w="2724" w:type="dxa"/>
            <w:vMerge/>
            <w:tcBorders>
              <w:right w:val="nil"/>
            </w:tcBorders>
          </w:tcPr>
          <w:p w14:paraId="529AF82B" w14:textId="77777777" w:rsidR="002F5CDC" w:rsidRDefault="002F5CDC" w:rsidP="002F5CDC">
            <w:pPr>
              <w:pStyle w:val="TableText"/>
            </w:pPr>
          </w:p>
        </w:tc>
        <w:tc>
          <w:tcPr>
            <w:tcW w:w="4020" w:type="dxa"/>
            <w:tcBorders>
              <w:left w:val="nil"/>
              <w:right w:val="nil"/>
            </w:tcBorders>
          </w:tcPr>
          <w:p w14:paraId="1E2F5AA0" w14:textId="17181ED5" w:rsidR="002F5CDC" w:rsidRDefault="002F5CDC" w:rsidP="002F5CDC">
            <w:pPr>
              <w:pStyle w:val="TableText"/>
            </w:pPr>
            <w:r>
              <w:t>Oilseeds</w:t>
            </w:r>
          </w:p>
        </w:tc>
        <w:tc>
          <w:tcPr>
            <w:tcW w:w="3008" w:type="dxa"/>
            <w:tcBorders>
              <w:left w:val="nil"/>
            </w:tcBorders>
          </w:tcPr>
          <w:p w14:paraId="19B45DCE" w14:textId="6302EF9D" w:rsidR="002F5CDC" w:rsidRDefault="002F5CDC" w:rsidP="002F5CDC">
            <w:pPr>
              <w:pStyle w:val="TableText"/>
            </w:pPr>
            <w:r>
              <w:t>1× 60–300 g ac/ha</w:t>
            </w:r>
          </w:p>
        </w:tc>
      </w:tr>
      <w:tr w:rsidR="002F5CDC" w:rsidRPr="006649E5" w14:paraId="7359F266" w14:textId="77777777" w:rsidTr="002F5CDC">
        <w:tc>
          <w:tcPr>
            <w:tcW w:w="2724" w:type="dxa"/>
            <w:vMerge/>
            <w:tcBorders>
              <w:right w:val="nil"/>
            </w:tcBorders>
          </w:tcPr>
          <w:p w14:paraId="4286F1CF" w14:textId="77777777" w:rsidR="002F5CDC" w:rsidRDefault="002F5CDC" w:rsidP="002F5CDC">
            <w:pPr>
              <w:pStyle w:val="TableText"/>
            </w:pPr>
          </w:p>
        </w:tc>
        <w:tc>
          <w:tcPr>
            <w:tcW w:w="4020" w:type="dxa"/>
            <w:tcBorders>
              <w:left w:val="nil"/>
              <w:right w:val="nil"/>
            </w:tcBorders>
          </w:tcPr>
          <w:p w14:paraId="4DF775DA" w14:textId="6F0E9325" w:rsidR="002F5CDC" w:rsidRDefault="002F5CDC" w:rsidP="002F5CDC">
            <w:pPr>
              <w:pStyle w:val="TableText"/>
            </w:pPr>
            <w:r>
              <w:t>Orchards, vineyards</w:t>
            </w:r>
          </w:p>
        </w:tc>
        <w:tc>
          <w:tcPr>
            <w:tcW w:w="3008" w:type="dxa"/>
            <w:tcBorders>
              <w:left w:val="nil"/>
            </w:tcBorders>
          </w:tcPr>
          <w:p w14:paraId="29711C5D" w14:textId="77777777" w:rsidR="002F5CDC" w:rsidRDefault="002F5CDC" w:rsidP="002F5CDC">
            <w:pPr>
              <w:pStyle w:val="TableText"/>
            </w:pPr>
            <w:r>
              <w:t>1× 300 g ac/ha</w:t>
            </w:r>
          </w:p>
        </w:tc>
      </w:tr>
      <w:tr w:rsidR="002F5CDC" w:rsidRPr="006649E5" w14:paraId="53DB7359" w14:textId="77777777" w:rsidTr="002F5CDC">
        <w:tc>
          <w:tcPr>
            <w:tcW w:w="2724" w:type="dxa"/>
            <w:vMerge/>
            <w:tcBorders>
              <w:right w:val="nil"/>
            </w:tcBorders>
          </w:tcPr>
          <w:p w14:paraId="5CB5325B" w14:textId="77777777" w:rsidR="002F5CDC" w:rsidRDefault="002F5CDC" w:rsidP="002F5CDC">
            <w:pPr>
              <w:pStyle w:val="TableText"/>
            </w:pPr>
          </w:p>
        </w:tc>
        <w:tc>
          <w:tcPr>
            <w:tcW w:w="4020" w:type="dxa"/>
            <w:tcBorders>
              <w:left w:val="nil"/>
              <w:right w:val="nil"/>
            </w:tcBorders>
          </w:tcPr>
          <w:p w14:paraId="2E59BE47" w14:textId="77777777" w:rsidR="002F5CDC" w:rsidRDefault="002F5CDC" w:rsidP="002F5CDC">
            <w:pPr>
              <w:pStyle w:val="TableText"/>
            </w:pPr>
            <w:r>
              <w:t>Hops</w:t>
            </w:r>
          </w:p>
        </w:tc>
        <w:tc>
          <w:tcPr>
            <w:tcW w:w="3008" w:type="dxa"/>
            <w:tcBorders>
              <w:left w:val="nil"/>
            </w:tcBorders>
          </w:tcPr>
          <w:p w14:paraId="43E56EE0" w14:textId="165A6A91" w:rsidR="002F5CDC" w:rsidRDefault="002F5CDC" w:rsidP="002F5CDC">
            <w:pPr>
              <w:pStyle w:val="TableText"/>
            </w:pPr>
            <w:r>
              <w:t>1× 140–280 g ac/ha</w:t>
            </w:r>
          </w:p>
        </w:tc>
      </w:tr>
      <w:tr w:rsidR="002F5CDC" w:rsidRPr="006649E5" w14:paraId="08F7650D" w14:textId="77777777" w:rsidTr="002F5CDC">
        <w:tc>
          <w:tcPr>
            <w:tcW w:w="2724" w:type="dxa"/>
            <w:vMerge/>
            <w:tcBorders>
              <w:right w:val="nil"/>
            </w:tcBorders>
          </w:tcPr>
          <w:p w14:paraId="24E4ED5C" w14:textId="77777777" w:rsidR="002F5CDC" w:rsidRDefault="002F5CDC" w:rsidP="002F5CDC">
            <w:pPr>
              <w:pStyle w:val="TableText"/>
            </w:pPr>
          </w:p>
        </w:tc>
        <w:tc>
          <w:tcPr>
            <w:tcW w:w="4020" w:type="dxa"/>
            <w:tcBorders>
              <w:left w:val="nil"/>
              <w:right w:val="nil"/>
            </w:tcBorders>
          </w:tcPr>
          <w:p w14:paraId="7D729598" w14:textId="77777777" w:rsidR="002F5CDC" w:rsidRDefault="002F5CDC" w:rsidP="002F5CDC">
            <w:pPr>
              <w:pStyle w:val="TableText"/>
            </w:pPr>
            <w:r>
              <w:t>Lucerne</w:t>
            </w:r>
          </w:p>
        </w:tc>
        <w:tc>
          <w:tcPr>
            <w:tcW w:w="3008" w:type="dxa"/>
            <w:tcBorders>
              <w:left w:val="nil"/>
            </w:tcBorders>
          </w:tcPr>
          <w:p w14:paraId="2FE1EABF" w14:textId="788F152A" w:rsidR="002F5CDC" w:rsidRDefault="002F5CDC" w:rsidP="002F5CDC">
            <w:pPr>
              <w:pStyle w:val="TableText"/>
            </w:pPr>
            <w:r>
              <w:t>1× 70–140 g ac/ha</w:t>
            </w:r>
          </w:p>
        </w:tc>
      </w:tr>
    </w:tbl>
    <w:p w14:paraId="3AB995A2" w14:textId="77777777" w:rsidR="004F075B" w:rsidRPr="004F075B" w:rsidRDefault="004F075B" w:rsidP="004F075B">
      <w:pPr>
        <w:pStyle w:val="Heading2"/>
      </w:pPr>
      <w:bookmarkStart w:id="393" w:name="_Toc156980624"/>
      <w:bookmarkStart w:id="394" w:name="_Toc233039028"/>
      <w:bookmarkEnd w:id="391"/>
      <w:bookmarkEnd w:id="392"/>
      <w:r w:rsidRPr="004F075B">
        <w:t>Fate and behaviour in the environment</w:t>
      </w:r>
      <w:bookmarkEnd w:id="393"/>
      <w:bookmarkEnd w:id="394"/>
    </w:p>
    <w:p w14:paraId="6F237871" w14:textId="333B829E" w:rsidR="00AF7BF3" w:rsidRDefault="00AF7BF3" w:rsidP="007F5112">
      <w:pPr>
        <w:pStyle w:val="NormalText"/>
      </w:pPr>
      <w:r w:rsidRPr="00B60B15">
        <w:t>Diquat is very persistent and non-mobile in soil</w:t>
      </w:r>
      <w:r w:rsidR="008542FF">
        <w:t>,</w:t>
      </w:r>
      <w:r w:rsidRPr="00B60B15">
        <w:t xml:space="preserve"> with low risk of leaching to groundwater. However, diquat is more mobile in sand</w:t>
      </w:r>
      <w:r>
        <w:t>y</w:t>
      </w:r>
      <w:r w:rsidRPr="00B60B15">
        <w:t xml:space="preserve"> soils </w:t>
      </w:r>
      <w:bookmarkStart w:id="395" w:name="_Hlk157248494"/>
      <w:r w:rsidRPr="00B60B15">
        <w:t>than in agricultural soils with higher clay content (&gt;10% clay)</w:t>
      </w:r>
      <w:bookmarkEnd w:id="395"/>
      <w:r w:rsidRPr="00B60B15">
        <w:t xml:space="preserve">. </w:t>
      </w:r>
      <w:bookmarkStart w:id="396" w:name="_Hlk157248570"/>
      <w:r>
        <w:t>Therefore, it is proposed to assess sand and non-sand soils separately.</w:t>
      </w:r>
    </w:p>
    <w:p w14:paraId="3ED086A7" w14:textId="77777777" w:rsidR="00AF7BF3" w:rsidRPr="001E447F" w:rsidRDefault="00AF7BF3" w:rsidP="007F5112">
      <w:pPr>
        <w:pStyle w:val="NormalText"/>
      </w:pPr>
      <w:r w:rsidRPr="001E447F">
        <w:t>A reliable definitive DT</w:t>
      </w:r>
      <w:r w:rsidRPr="001E447F">
        <w:rPr>
          <w:vertAlign w:val="subscript"/>
        </w:rPr>
        <w:t>50</w:t>
      </w:r>
      <w:r w:rsidRPr="001E447F">
        <w:t xml:space="preserve"> value for degradation in soil is not available. Therefore, it is proposed to use the default DT</w:t>
      </w:r>
      <w:r w:rsidRPr="001E447F">
        <w:rPr>
          <w:vertAlign w:val="subscript"/>
        </w:rPr>
        <w:t>50</w:t>
      </w:r>
      <w:r w:rsidRPr="001E447F">
        <w:t xml:space="preserve"> for persistent substances (1000 days) for risk assessment; this </w:t>
      </w:r>
      <w:r>
        <w:t xml:space="preserve">is </w:t>
      </w:r>
      <w:r w:rsidRPr="001E447F">
        <w:t xml:space="preserve">considered reasonably conservative for residues that may be biologically available. </w:t>
      </w:r>
      <w:r>
        <w:t>However, where accumulation of strongly bound residues needs to be considered a DT</w:t>
      </w:r>
      <w:r w:rsidRPr="00A050DF">
        <w:rPr>
          <w:vertAlign w:val="subscript"/>
        </w:rPr>
        <w:t>50</w:t>
      </w:r>
      <w:r>
        <w:t xml:space="preserve"> of 41 years is recommended.</w:t>
      </w:r>
    </w:p>
    <w:p w14:paraId="60CA9B65" w14:textId="544FC2AC" w:rsidR="00AF7BF3" w:rsidRDefault="00AF7BF3" w:rsidP="007F5112">
      <w:pPr>
        <w:pStyle w:val="NormalText"/>
      </w:pPr>
      <w:r w:rsidRPr="00B60B15">
        <w:t xml:space="preserve">In aquatic systems, diquat is highly soluble, but partitions rapidly to the sediment where it strongly sorbs and is very persistent. </w:t>
      </w:r>
      <w:r w:rsidRPr="001E447F">
        <w:t xml:space="preserve">Therefore, </w:t>
      </w:r>
      <w:r>
        <w:t>as for soil, the default</w:t>
      </w:r>
      <w:r w:rsidRPr="001E447F">
        <w:t xml:space="preserve"> DT</w:t>
      </w:r>
      <w:r w:rsidRPr="001E447F">
        <w:rPr>
          <w:vertAlign w:val="subscript"/>
        </w:rPr>
        <w:t>50</w:t>
      </w:r>
      <w:r w:rsidRPr="001E447F">
        <w:t xml:space="preserve"> </w:t>
      </w:r>
      <w:r w:rsidR="001E2F3F">
        <w:t xml:space="preserve">of </w:t>
      </w:r>
      <w:r>
        <w:t>1000 days for persistent substances is also proposed for sediment. T</w:t>
      </w:r>
      <w:r w:rsidRPr="001E447F">
        <w:t xml:space="preserve">he </w:t>
      </w:r>
      <w:r>
        <w:t>mean</w:t>
      </w:r>
      <w:r w:rsidRPr="001E447F">
        <w:t xml:space="preserve"> K</w:t>
      </w:r>
      <w:r>
        <w:rPr>
          <w:vertAlign w:val="subscript"/>
        </w:rPr>
        <w:t>f</w:t>
      </w:r>
      <w:r w:rsidRPr="001E447F">
        <w:t xml:space="preserve"> from the dataset for </w:t>
      </w:r>
      <w:r>
        <w:t>sediment</w:t>
      </w:r>
      <w:r w:rsidRPr="001E447F">
        <w:t xml:space="preserve"> (i.e. </w:t>
      </w:r>
      <w:r>
        <w:t>136759</w:t>
      </w:r>
      <w:r w:rsidRPr="001E447F">
        <w:t xml:space="preserve"> mL/g</w:t>
      </w:r>
      <w:r>
        <w:t>, 1/n 0.98</w:t>
      </w:r>
      <w:r w:rsidRPr="001E447F">
        <w:t xml:space="preserve">) is proposed for </w:t>
      </w:r>
      <w:r>
        <w:t>predicting sediment concentrations of diquat</w:t>
      </w:r>
      <w:r w:rsidRPr="001E447F">
        <w:t>.</w:t>
      </w:r>
      <w:r>
        <w:t xml:space="preserve"> The field DT</w:t>
      </w:r>
      <w:r w:rsidRPr="00B60B15">
        <w:rPr>
          <w:vertAlign w:val="subscript"/>
        </w:rPr>
        <w:t>50</w:t>
      </w:r>
      <w:r>
        <w:t xml:space="preserve"> of 0.50 days is considered representative of the dissipation rate of diquat </w:t>
      </w:r>
      <w:r w:rsidR="001E2F3F">
        <w:t xml:space="preserve">in </w:t>
      </w:r>
      <w:r>
        <w:t>natural waters.</w:t>
      </w:r>
    </w:p>
    <w:p w14:paraId="57B84CA7" w14:textId="77777777" w:rsidR="00AF7BF3" w:rsidRPr="00B60B15" w:rsidRDefault="00AF7BF3" w:rsidP="007F5112">
      <w:pPr>
        <w:pStyle w:val="NormalText"/>
      </w:pPr>
      <w:r w:rsidRPr="00B60B15">
        <w:t>Diquat is not volatile and is unlikely to be subject to long-range atmospheric transport.</w:t>
      </w:r>
      <w:bookmarkEnd w:id="396"/>
    </w:p>
    <w:p w14:paraId="54619023" w14:textId="77777777" w:rsidR="00AF7BF3" w:rsidRDefault="00AF7BF3" w:rsidP="007F5112">
      <w:pPr>
        <w:pStyle w:val="NormalText"/>
      </w:pPr>
      <w:bookmarkStart w:id="397" w:name="_Hlk157249609"/>
      <w:r w:rsidRPr="00B60B15">
        <w:lastRenderedPageBreak/>
        <w:t>Available residue data indicate diquat dissipates rapidly from animal food items such as foliage (geomean DT</w:t>
      </w:r>
      <w:r w:rsidRPr="00B60B15">
        <w:rPr>
          <w:vertAlign w:val="subscript"/>
        </w:rPr>
        <w:t>50</w:t>
      </w:r>
      <w:r w:rsidRPr="00B60B15">
        <w:t xml:space="preserve"> 1.8 days) and insects (geomean DT</w:t>
      </w:r>
      <w:r w:rsidRPr="00B60B15">
        <w:rPr>
          <w:vertAlign w:val="subscript"/>
        </w:rPr>
        <w:t>50</w:t>
      </w:r>
      <w:r w:rsidRPr="00B60B15">
        <w:t xml:space="preserve"> 2.2 days)</w:t>
      </w:r>
      <w:r>
        <w:t xml:space="preserve">, whereas </w:t>
      </w:r>
      <w:r w:rsidRPr="00B60B15">
        <w:t>the dissipation rate was longer on seeds (geomean DT</w:t>
      </w:r>
      <w:r w:rsidRPr="00B60B15">
        <w:rPr>
          <w:vertAlign w:val="subscript"/>
        </w:rPr>
        <w:t>50</w:t>
      </w:r>
      <w:r w:rsidRPr="00B60B15">
        <w:t xml:space="preserve"> 7.9 days).</w:t>
      </w:r>
      <w:bookmarkEnd w:id="397"/>
    </w:p>
    <w:p w14:paraId="31118EE0" w14:textId="02037218" w:rsidR="004F075B" w:rsidRDefault="004F075B" w:rsidP="004F075B">
      <w:pPr>
        <w:pStyle w:val="NormalText"/>
        <w:rPr>
          <w:color w:val="1A1B1A"/>
        </w:rPr>
      </w:pPr>
      <w:r w:rsidRPr="004F075B">
        <w:t>The key regulatory endpoints for the environmental exposure assessment are summarised in</w:t>
      </w:r>
      <w:r w:rsidR="002F5CDC">
        <w:t xml:space="preserve"> </w:t>
      </w:r>
      <w:r w:rsidR="002F5CDC">
        <w:fldChar w:fldCharType="begin" w:fldLock="1"/>
      </w:r>
      <w:r w:rsidR="002F5CDC">
        <w:instrText xml:space="preserve"> REF _Ref167444464 \h </w:instrText>
      </w:r>
      <w:r w:rsidR="002F5CDC">
        <w:fldChar w:fldCharType="separate"/>
      </w:r>
      <w:r w:rsidR="0033298E">
        <w:t xml:space="preserve">Table </w:t>
      </w:r>
      <w:r w:rsidR="0033298E">
        <w:rPr>
          <w:noProof/>
        </w:rPr>
        <w:t>25</w:t>
      </w:r>
      <w:r w:rsidR="002F5CDC">
        <w:fldChar w:fldCharType="end"/>
      </w:r>
      <w:r w:rsidRPr="004F075B">
        <w:t xml:space="preserve">. A full listing of endpoints is provided </w:t>
      </w:r>
      <w:r>
        <w:rPr>
          <w:color w:val="1A1B1A"/>
        </w:rPr>
        <w:t xml:space="preserve">in </w:t>
      </w:r>
      <w:hyperlink w:anchor="_Appendix_B_–" w:history="1">
        <w:r w:rsidRPr="002F5CDC">
          <w:rPr>
            <w:rStyle w:val="Hyperlink"/>
          </w:rPr>
          <w:t>Appendix B</w:t>
        </w:r>
      </w:hyperlink>
      <w:r>
        <w:rPr>
          <w:color w:val="1A1B1A"/>
        </w:rPr>
        <w:t>.</w:t>
      </w:r>
    </w:p>
    <w:p w14:paraId="3FF32002" w14:textId="1EF323DE" w:rsidR="00E43460" w:rsidRPr="000179FF" w:rsidRDefault="00E43460" w:rsidP="000179FF">
      <w:pPr>
        <w:pStyle w:val="Caption"/>
      </w:pPr>
      <w:bookmarkStart w:id="398" w:name="_Ref167444464"/>
      <w:bookmarkStart w:id="399" w:name="_Toc156383604"/>
      <w:bookmarkStart w:id="400" w:name="_Toc232589620"/>
      <w:r w:rsidRPr="000179FF">
        <w:t xml:space="preserve">Table </w:t>
      </w:r>
      <w:fldSimple w:instr=" SEQ Table \* ARABIC ">
        <w:r w:rsidR="008E2515">
          <w:rPr>
            <w:noProof/>
          </w:rPr>
          <w:t>25</w:t>
        </w:r>
      </w:fldSimple>
      <w:bookmarkEnd w:id="398"/>
      <w:r w:rsidRPr="000179FF">
        <w:t>:</w:t>
      </w:r>
      <w:bookmarkStart w:id="401" w:name="_Hlk157517616"/>
      <w:bookmarkEnd w:id="399"/>
      <w:r w:rsidRPr="000179FF">
        <w:t xml:space="preserve"> Key</w:t>
      </w:r>
      <w:r w:rsidR="00CD2A0F" w:rsidRPr="000179FF">
        <w:t xml:space="preserve"> </w:t>
      </w:r>
      <w:r w:rsidRPr="000179FF">
        <w:t>regulatory endpoints for environmental exposure assessment</w:t>
      </w:r>
      <w:bookmarkEnd w:id="400"/>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7"/>
        <w:gridCol w:w="3827"/>
        <w:gridCol w:w="4308"/>
      </w:tblGrid>
      <w:tr w:rsidR="00AF7BF3" w:rsidRPr="003B5A86" w14:paraId="5B75FDE8" w14:textId="77777777" w:rsidTr="00C25652">
        <w:trPr>
          <w:cantSplit/>
          <w:tblHeader/>
        </w:trPr>
        <w:tc>
          <w:tcPr>
            <w:tcW w:w="829" w:type="pct"/>
            <w:tcBorders>
              <w:right w:val="nil"/>
            </w:tcBorders>
            <w:shd w:val="clear" w:color="auto" w:fill="5C2946"/>
          </w:tcPr>
          <w:p w14:paraId="6D1FCA16" w14:textId="77777777" w:rsidR="00E43460" w:rsidRPr="00964F0F" w:rsidRDefault="00E43460" w:rsidP="00964F0F">
            <w:pPr>
              <w:pStyle w:val="TableHead"/>
            </w:pPr>
            <w:r w:rsidRPr="00964F0F">
              <w:t>Compartment</w:t>
            </w:r>
          </w:p>
        </w:tc>
        <w:tc>
          <w:tcPr>
            <w:tcW w:w="1962" w:type="pct"/>
            <w:tcBorders>
              <w:left w:val="nil"/>
              <w:right w:val="nil"/>
            </w:tcBorders>
            <w:shd w:val="clear" w:color="auto" w:fill="5C2946"/>
          </w:tcPr>
          <w:p w14:paraId="77989444" w14:textId="77777777" w:rsidR="00E43460" w:rsidRPr="00964F0F" w:rsidRDefault="00E43460" w:rsidP="00964F0F">
            <w:pPr>
              <w:pStyle w:val="TableHead"/>
            </w:pPr>
            <w:r w:rsidRPr="00964F0F">
              <w:t>Value</w:t>
            </w:r>
          </w:p>
        </w:tc>
        <w:tc>
          <w:tcPr>
            <w:tcW w:w="2209" w:type="pct"/>
            <w:tcBorders>
              <w:left w:val="nil"/>
            </w:tcBorders>
            <w:shd w:val="clear" w:color="auto" w:fill="5C2946"/>
          </w:tcPr>
          <w:p w14:paraId="337CF2A9" w14:textId="77777777" w:rsidR="00E43460" w:rsidRPr="00964F0F" w:rsidRDefault="00E43460" w:rsidP="00964F0F">
            <w:pPr>
              <w:pStyle w:val="TableHead"/>
            </w:pPr>
            <w:r w:rsidRPr="00964F0F">
              <w:t>Reference</w:t>
            </w:r>
          </w:p>
        </w:tc>
      </w:tr>
      <w:tr w:rsidR="00AF7BF3" w:rsidRPr="003B5A86" w14:paraId="343A0FF6" w14:textId="77777777" w:rsidTr="00C25652">
        <w:trPr>
          <w:cantSplit/>
        </w:trPr>
        <w:tc>
          <w:tcPr>
            <w:tcW w:w="829" w:type="pct"/>
            <w:vMerge w:val="restart"/>
            <w:tcBorders>
              <w:right w:val="nil"/>
            </w:tcBorders>
          </w:tcPr>
          <w:p w14:paraId="589A962E" w14:textId="77777777" w:rsidR="00964F0F" w:rsidRPr="00964F0F" w:rsidRDefault="00964F0F" w:rsidP="00964F0F">
            <w:pPr>
              <w:pStyle w:val="TableText"/>
            </w:pPr>
            <w:r w:rsidRPr="00964F0F">
              <w:t>Animal food items</w:t>
            </w:r>
          </w:p>
        </w:tc>
        <w:tc>
          <w:tcPr>
            <w:tcW w:w="1962" w:type="pct"/>
            <w:tcBorders>
              <w:left w:val="nil"/>
              <w:right w:val="nil"/>
            </w:tcBorders>
          </w:tcPr>
          <w:p w14:paraId="3D8047F1" w14:textId="07DAB06B" w:rsidR="00964F0F" w:rsidRPr="00964F0F" w:rsidRDefault="00964F0F" w:rsidP="00964F0F">
            <w:pPr>
              <w:pStyle w:val="TableText"/>
            </w:pPr>
            <w:r w:rsidRPr="00964F0F">
              <w:t>Foliage: DT</w:t>
            </w:r>
            <w:r w:rsidRPr="00C164F7">
              <w:rPr>
                <w:vertAlign w:val="subscript"/>
              </w:rPr>
              <w:t>50</w:t>
            </w:r>
            <w:r w:rsidRPr="00964F0F">
              <w:t xml:space="preserve"> 1.8 d</w:t>
            </w:r>
          </w:p>
        </w:tc>
        <w:tc>
          <w:tcPr>
            <w:tcW w:w="2209" w:type="pct"/>
            <w:tcBorders>
              <w:left w:val="nil"/>
            </w:tcBorders>
          </w:tcPr>
          <w:p w14:paraId="7D54AB3C" w14:textId="32CA46DB" w:rsidR="00964F0F" w:rsidRPr="00964F0F" w:rsidRDefault="00964F0F" w:rsidP="00964F0F">
            <w:pPr>
              <w:pStyle w:val="TableText"/>
            </w:pPr>
            <w:r w:rsidRPr="00964F0F">
              <w:t>Edwards, et al, 1991; Kennedy, 1984a; Langridge, 2011a; 2011b; Massey, 1987c</w:t>
            </w:r>
          </w:p>
        </w:tc>
      </w:tr>
      <w:tr w:rsidR="00AF7BF3" w:rsidRPr="003B5A86" w14:paraId="476AE9C5" w14:textId="77777777" w:rsidTr="00C25652">
        <w:trPr>
          <w:cantSplit/>
        </w:trPr>
        <w:tc>
          <w:tcPr>
            <w:tcW w:w="829" w:type="pct"/>
            <w:vMerge/>
            <w:tcBorders>
              <w:right w:val="nil"/>
            </w:tcBorders>
          </w:tcPr>
          <w:p w14:paraId="32833140" w14:textId="77777777" w:rsidR="00964F0F" w:rsidRPr="00964F0F" w:rsidRDefault="00964F0F" w:rsidP="00964F0F">
            <w:pPr>
              <w:pStyle w:val="TableText"/>
            </w:pPr>
          </w:p>
        </w:tc>
        <w:tc>
          <w:tcPr>
            <w:tcW w:w="1962" w:type="pct"/>
            <w:tcBorders>
              <w:left w:val="nil"/>
              <w:right w:val="nil"/>
            </w:tcBorders>
          </w:tcPr>
          <w:p w14:paraId="6E0538C4" w14:textId="609492BC" w:rsidR="00964F0F" w:rsidRPr="00964F0F" w:rsidRDefault="00964F0F" w:rsidP="00964F0F">
            <w:pPr>
              <w:pStyle w:val="TableText"/>
            </w:pPr>
            <w:r w:rsidRPr="00964F0F">
              <w:t xml:space="preserve">Insects: </w:t>
            </w:r>
            <w:r w:rsidR="00C164F7" w:rsidRPr="00964F0F">
              <w:t>DT</w:t>
            </w:r>
            <w:r w:rsidR="00C164F7" w:rsidRPr="00C164F7">
              <w:rPr>
                <w:vertAlign w:val="subscript"/>
              </w:rPr>
              <w:t>50</w:t>
            </w:r>
            <w:r w:rsidRPr="00964F0F">
              <w:t xml:space="preserve"> 2.2 d</w:t>
            </w:r>
          </w:p>
        </w:tc>
        <w:tc>
          <w:tcPr>
            <w:tcW w:w="2209" w:type="pct"/>
            <w:tcBorders>
              <w:left w:val="nil"/>
            </w:tcBorders>
          </w:tcPr>
          <w:p w14:paraId="595FB335" w14:textId="79EA3035" w:rsidR="00964F0F" w:rsidRPr="00964F0F" w:rsidRDefault="00964F0F" w:rsidP="00964F0F">
            <w:pPr>
              <w:pStyle w:val="TableText"/>
            </w:pPr>
            <w:r w:rsidRPr="00964F0F">
              <w:t>Edwards, et al, 1991; Jutsum, 2011</w:t>
            </w:r>
          </w:p>
        </w:tc>
      </w:tr>
      <w:tr w:rsidR="00AF7BF3" w:rsidRPr="003B5A86" w14:paraId="269E34C4" w14:textId="77777777" w:rsidTr="00C25652">
        <w:trPr>
          <w:cantSplit/>
        </w:trPr>
        <w:tc>
          <w:tcPr>
            <w:tcW w:w="829" w:type="pct"/>
            <w:vMerge/>
            <w:tcBorders>
              <w:right w:val="nil"/>
            </w:tcBorders>
          </w:tcPr>
          <w:p w14:paraId="6B970B85" w14:textId="77777777" w:rsidR="00964F0F" w:rsidRPr="00964F0F" w:rsidRDefault="00964F0F" w:rsidP="00964F0F">
            <w:pPr>
              <w:pStyle w:val="TableText"/>
            </w:pPr>
          </w:p>
        </w:tc>
        <w:tc>
          <w:tcPr>
            <w:tcW w:w="1962" w:type="pct"/>
            <w:tcBorders>
              <w:left w:val="nil"/>
              <w:bottom w:val="single" w:sz="4" w:space="0" w:color="auto"/>
              <w:right w:val="nil"/>
            </w:tcBorders>
          </w:tcPr>
          <w:p w14:paraId="1CA1EF2B" w14:textId="74A1256F" w:rsidR="00964F0F" w:rsidRPr="00964F0F" w:rsidRDefault="00964F0F" w:rsidP="00964F0F">
            <w:pPr>
              <w:pStyle w:val="TableText"/>
            </w:pPr>
            <w:r w:rsidRPr="00964F0F">
              <w:t>Seeds:</w:t>
            </w:r>
            <w:r>
              <w:t xml:space="preserve"> </w:t>
            </w:r>
            <w:r w:rsidR="00C164F7" w:rsidRPr="00964F0F">
              <w:t>DT</w:t>
            </w:r>
            <w:r w:rsidR="00C164F7" w:rsidRPr="00C164F7">
              <w:rPr>
                <w:vertAlign w:val="subscript"/>
              </w:rPr>
              <w:t>50</w:t>
            </w:r>
            <w:r w:rsidRPr="00964F0F">
              <w:t xml:space="preserve"> 7.9 d</w:t>
            </w:r>
          </w:p>
        </w:tc>
        <w:tc>
          <w:tcPr>
            <w:tcW w:w="2209" w:type="pct"/>
            <w:tcBorders>
              <w:left w:val="nil"/>
              <w:bottom w:val="single" w:sz="4" w:space="0" w:color="auto"/>
            </w:tcBorders>
          </w:tcPr>
          <w:p w14:paraId="0B611639" w14:textId="7B28DEC0" w:rsidR="00964F0F" w:rsidRPr="00964F0F" w:rsidRDefault="00964F0F" w:rsidP="00964F0F">
            <w:pPr>
              <w:pStyle w:val="TableText"/>
            </w:pPr>
            <w:r w:rsidRPr="00964F0F">
              <w:t>Edwards et al, 1991</w:t>
            </w:r>
          </w:p>
        </w:tc>
      </w:tr>
      <w:tr w:rsidR="00AF7BF3" w:rsidRPr="003B5A86" w14:paraId="46E7108A" w14:textId="77777777" w:rsidTr="00C25652">
        <w:trPr>
          <w:cantSplit/>
        </w:trPr>
        <w:tc>
          <w:tcPr>
            <w:tcW w:w="829" w:type="pct"/>
            <w:vMerge w:val="restart"/>
            <w:tcBorders>
              <w:right w:val="nil"/>
            </w:tcBorders>
          </w:tcPr>
          <w:p w14:paraId="1E5B158D" w14:textId="77777777" w:rsidR="00964F0F" w:rsidRPr="00964F0F" w:rsidRDefault="00964F0F" w:rsidP="00964F0F">
            <w:pPr>
              <w:pStyle w:val="TableText"/>
            </w:pPr>
            <w:r w:rsidRPr="00964F0F">
              <w:t>Soil</w:t>
            </w:r>
          </w:p>
        </w:tc>
        <w:tc>
          <w:tcPr>
            <w:tcW w:w="1962" w:type="pct"/>
            <w:tcBorders>
              <w:left w:val="nil"/>
              <w:bottom w:val="nil"/>
              <w:right w:val="nil"/>
            </w:tcBorders>
          </w:tcPr>
          <w:p w14:paraId="27568D9A" w14:textId="18D4EBDD" w:rsidR="00AF7BF3" w:rsidRPr="00964F0F" w:rsidRDefault="00C164F7" w:rsidP="00964F0F">
            <w:pPr>
              <w:pStyle w:val="TableText"/>
            </w:pPr>
            <w:r w:rsidRPr="00964F0F">
              <w:t>DT</w:t>
            </w:r>
            <w:r w:rsidRPr="00C164F7">
              <w:rPr>
                <w:vertAlign w:val="subscript"/>
              </w:rPr>
              <w:t>50</w:t>
            </w:r>
            <w:r w:rsidR="00964F0F" w:rsidRPr="00964F0F">
              <w:t xml:space="preserve"> 1000 d</w:t>
            </w:r>
          </w:p>
        </w:tc>
        <w:tc>
          <w:tcPr>
            <w:tcW w:w="2209" w:type="pct"/>
            <w:tcBorders>
              <w:left w:val="nil"/>
              <w:bottom w:val="nil"/>
            </w:tcBorders>
          </w:tcPr>
          <w:p w14:paraId="3E831C72" w14:textId="4B6D741C" w:rsidR="00AF7BF3" w:rsidRPr="00964F0F" w:rsidRDefault="00964F0F" w:rsidP="00964F0F">
            <w:pPr>
              <w:pStyle w:val="TableText"/>
            </w:pPr>
            <w:r w:rsidRPr="00964F0F">
              <w:t>Default for persistent substances</w:t>
            </w:r>
            <w:r w:rsidR="00AF7BF3">
              <w:t>, for residues in solution</w:t>
            </w:r>
          </w:p>
        </w:tc>
      </w:tr>
      <w:tr w:rsidR="00AF7BF3" w:rsidRPr="003B5A86" w14:paraId="4549A399" w14:textId="77777777" w:rsidTr="00C25652">
        <w:trPr>
          <w:cantSplit/>
        </w:trPr>
        <w:tc>
          <w:tcPr>
            <w:tcW w:w="829" w:type="pct"/>
            <w:vMerge/>
            <w:tcBorders>
              <w:right w:val="nil"/>
            </w:tcBorders>
          </w:tcPr>
          <w:p w14:paraId="0C3EDF93" w14:textId="77777777" w:rsidR="00AF7BF3" w:rsidRPr="00964F0F" w:rsidRDefault="00AF7BF3" w:rsidP="00964F0F">
            <w:pPr>
              <w:pStyle w:val="TableText"/>
            </w:pPr>
          </w:p>
        </w:tc>
        <w:tc>
          <w:tcPr>
            <w:tcW w:w="1962" w:type="pct"/>
            <w:tcBorders>
              <w:top w:val="nil"/>
              <w:left w:val="nil"/>
              <w:right w:val="nil"/>
            </w:tcBorders>
          </w:tcPr>
          <w:p w14:paraId="6313C093" w14:textId="7DAB8F21" w:rsidR="00AF7BF3" w:rsidRPr="00964F0F" w:rsidRDefault="00AF7BF3" w:rsidP="00964F0F">
            <w:pPr>
              <w:pStyle w:val="TableText"/>
            </w:pPr>
            <w:r>
              <w:t>DT</w:t>
            </w:r>
            <w:r w:rsidRPr="000F6ED6">
              <w:rPr>
                <w:vertAlign w:val="subscript"/>
              </w:rPr>
              <w:t>50</w:t>
            </w:r>
            <w:r>
              <w:t xml:space="preserve"> 41 years</w:t>
            </w:r>
          </w:p>
        </w:tc>
        <w:tc>
          <w:tcPr>
            <w:tcW w:w="2209" w:type="pct"/>
            <w:tcBorders>
              <w:top w:val="nil"/>
              <w:left w:val="nil"/>
            </w:tcBorders>
          </w:tcPr>
          <w:p w14:paraId="07CFADC2" w14:textId="21C06BB5" w:rsidR="00AF7BF3" w:rsidRPr="00964F0F" w:rsidRDefault="00AF7BF3" w:rsidP="00964F0F">
            <w:pPr>
              <w:pStyle w:val="TableText"/>
            </w:pPr>
            <w:r>
              <w:t>Estimate based on Dyson &amp; Chapman 1991 for residues bound to soil</w:t>
            </w:r>
          </w:p>
        </w:tc>
      </w:tr>
      <w:tr w:rsidR="00AF7BF3" w:rsidRPr="003B5A86" w14:paraId="4F628C8F" w14:textId="77777777" w:rsidTr="00C25652">
        <w:trPr>
          <w:cantSplit/>
        </w:trPr>
        <w:tc>
          <w:tcPr>
            <w:tcW w:w="829" w:type="pct"/>
            <w:vMerge/>
            <w:tcBorders>
              <w:right w:val="nil"/>
            </w:tcBorders>
          </w:tcPr>
          <w:p w14:paraId="297250C8" w14:textId="77777777" w:rsidR="00964F0F" w:rsidRPr="00964F0F" w:rsidRDefault="00964F0F" w:rsidP="00964F0F">
            <w:pPr>
              <w:pStyle w:val="TableText"/>
            </w:pPr>
          </w:p>
        </w:tc>
        <w:tc>
          <w:tcPr>
            <w:tcW w:w="1962" w:type="pct"/>
            <w:tcBorders>
              <w:left w:val="nil"/>
              <w:right w:val="nil"/>
            </w:tcBorders>
          </w:tcPr>
          <w:p w14:paraId="20EED90B" w14:textId="3BD048FA" w:rsidR="00AF7BF3" w:rsidRDefault="00AF7BF3" w:rsidP="00964F0F">
            <w:pPr>
              <w:pStyle w:val="TableText"/>
            </w:pPr>
            <w:r>
              <w:t>Sands:</w:t>
            </w:r>
            <w:r>
              <w:tab/>
              <w:t xml:space="preserve"> </w:t>
            </w:r>
            <w:r>
              <w:tab/>
            </w:r>
            <w:r>
              <w:tab/>
              <w:t>K</w:t>
            </w:r>
            <w:r w:rsidRPr="00C25652">
              <w:rPr>
                <w:vertAlign w:val="subscript"/>
              </w:rPr>
              <w:t>f</w:t>
            </w:r>
            <w:r>
              <w:t xml:space="preserve"> 349 mL/g, 1/n 0.59</w:t>
            </w:r>
          </w:p>
          <w:p w14:paraId="19BEF68F" w14:textId="6A631491" w:rsidR="00AF7BF3" w:rsidRDefault="00AF7BF3" w:rsidP="00AF7BF3">
            <w:pPr>
              <w:pStyle w:val="TableText"/>
            </w:pPr>
            <w:r>
              <w:t>Non-sands:</w:t>
            </w:r>
            <w:r>
              <w:tab/>
              <w:t xml:space="preserve"> </w:t>
            </w:r>
            <w:r>
              <w:tab/>
              <w:t>K</w:t>
            </w:r>
            <w:r w:rsidRPr="00C25652">
              <w:rPr>
                <w:vertAlign w:val="subscript"/>
              </w:rPr>
              <w:t>f</w:t>
            </w:r>
            <w:r>
              <w:t xml:space="preserve"> 2517 mL/g, 1/n 0.76</w:t>
            </w:r>
          </w:p>
          <w:p w14:paraId="70EDBEDF" w14:textId="1DCEAD1D" w:rsidR="00964F0F" w:rsidRPr="00964F0F" w:rsidRDefault="00AF7BF3" w:rsidP="00964F0F">
            <w:pPr>
              <w:pStyle w:val="TableText"/>
            </w:pPr>
            <w:r>
              <w:t>10</w:t>
            </w:r>
            <w:r w:rsidRPr="00C25652">
              <w:rPr>
                <w:vertAlign w:val="superscript"/>
              </w:rPr>
              <w:t>th</w:t>
            </w:r>
            <w:r>
              <w:t xml:space="preserve"> percentile soil: </w:t>
            </w:r>
            <w:r>
              <w:tab/>
              <w:t>K</w:t>
            </w:r>
            <w:r w:rsidRPr="00C25652">
              <w:rPr>
                <w:vertAlign w:val="subscript"/>
              </w:rPr>
              <w:t>f</w:t>
            </w:r>
            <w:r>
              <w:t xml:space="preserve"> 62 mL/g, 1/n 0.47</w:t>
            </w:r>
          </w:p>
        </w:tc>
        <w:tc>
          <w:tcPr>
            <w:tcW w:w="2209" w:type="pct"/>
            <w:tcBorders>
              <w:left w:val="nil"/>
            </w:tcBorders>
          </w:tcPr>
          <w:p w14:paraId="6BC067FF" w14:textId="7B5FE766" w:rsidR="00964F0F" w:rsidRPr="00964F0F" w:rsidRDefault="00964F0F" w:rsidP="00964F0F">
            <w:pPr>
              <w:pStyle w:val="TableText"/>
            </w:pPr>
            <w:r w:rsidRPr="00964F0F">
              <w:t>Dixon &amp; Gilbert, 2012b; Mônego, 2005; Pack, 1987</w:t>
            </w:r>
          </w:p>
        </w:tc>
      </w:tr>
      <w:tr w:rsidR="00AF7BF3" w:rsidRPr="003B5A86" w14:paraId="163553A3" w14:textId="77777777" w:rsidTr="00C25652">
        <w:trPr>
          <w:cantSplit/>
        </w:trPr>
        <w:tc>
          <w:tcPr>
            <w:tcW w:w="829" w:type="pct"/>
            <w:tcBorders>
              <w:right w:val="nil"/>
            </w:tcBorders>
          </w:tcPr>
          <w:p w14:paraId="12B72B95" w14:textId="77777777" w:rsidR="00E43460" w:rsidRPr="00964F0F" w:rsidRDefault="00E43460" w:rsidP="00964F0F">
            <w:pPr>
              <w:pStyle w:val="TableText"/>
            </w:pPr>
            <w:r w:rsidRPr="00964F0F">
              <w:t>Water</w:t>
            </w:r>
          </w:p>
        </w:tc>
        <w:tc>
          <w:tcPr>
            <w:tcW w:w="1962" w:type="pct"/>
            <w:tcBorders>
              <w:left w:val="nil"/>
              <w:right w:val="nil"/>
            </w:tcBorders>
          </w:tcPr>
          <w:p w14:paraId="180FC09C" w14:textId="575A4664" w:rsidR="00E43460" w:rsidRPr="00964F0F" w:rsidRDefault="00C164F7" w:rsidP="00964F0F">
            <w:pPr>
              <w:pStyle w:val="TableText"/>
            </w:pPr>
            <w:r w:rsidRPr="00964F0F">
              <w:t>DT</w:t>
            </w:r>
            <w:r w:rsidRPr="00C164F7">
              <w:rPr>
                <w:vertAlign w:val="subscript"/>
              </w:rPr>
              <w:t>50</w:t>
            </w:r>
            <w:r w:rsidR="00E43460" w:rsidRPr="00964F0F">
              <w:t xml:space="preserve"> 0.50 d</w:t>
            </w:r>
          </w:p>
        </w:tc>
        <w:tc>
          <w:tcPr>
            <w:tcW w:w="2209" w:type="pct"/>
            <w:tcBorders>
              <w:left w:val="nil"/>
            </w:tcBorders>
          </w:tcPr>
          <w:p w14:paraId="2F5CCD1B" w14:textId="0E24FDE5" w:rsidR="00E43460" w:rsidRPr="00964F0F" w:rsidRDefault="00E43460" w:rsidP="00964F0F">
            <w:pPr>
              <w:pStyle w:val="TableText"/>
            </w:pPr>
            <w:r w:rsidRPr="00964F0F">
              <w:t>Fujie</w:t>
            </w:r>
            <w:r w:rsidR="00E95273" w:rsidRPr="00964F0F">
              <w:t xml:space="preserve">, </w:t>
            </w:r>
            <w:r w:rsidRPr="00964F0F">
              <w:t>1988</w:t>
            </w:r>
            <w:r w:rsidR="00E95273" w:rsidRPr="00964F0F">
              <w:t>d</w:t>
            </w:r>
          </w:p>
        </w:tc>
      </w:tr>
      <w:tr w:rsidR="00AF7BF3" w:rsidRPr="003B5A86" w14:paraId="245FB2FB" w14:textId="77777777" w:rsidTr="00C25652">
        <w:trPr>
          <w:cantSplit/>
        </w:trPr>
        <w:tc>
          <w:tcPr>
            <w:tcW w:w="829" w:type="pct"/>
            <w:vMerge w:val="restart"/>
            <w:tcBorders>
              <w:right w:val="nil"/>
            </w:tcBorders>
          </w:tcPr>
          <w:p w14:paraId="16D64AFE" w14:textId="77777777" w:rsidR="00964F0F" w:rsidRPr="00964F0F" w:rsidRDefault="00964F0F" w:rsidP="00964F0F">
            <w:pPr>
              <w:pStyle w:val="TableText"/>
            </w:pPr>
            <w:r w:rsidRPr="00964F0F">
              <w:t>Sediment</w:t>
            </w:r>
          </w:p>
        </w:tc>
        <w:tc>
          <w:tcPr>
            <w:tcW w:w="1962" w:type="pct"/>
            <w:tcBorders>
              <w:left w:val="nil"/>
              <w:right w:val="nil"/>
            </w:tcBorders>
          </w:tcPr>
          <w:p w14:paraId="36079D49" w14:textId="0A9A21C6" w:rsidR="00964F0F" w:rsidRPr="00964F0F" w:rsidRDefault="00C164F7" w:rsidP="00964F0F">
            <w:pPr>
              <w:pStyle w:val="TableText"/>
            </w:pPr>
            <w:r w:rsidRPr="00964F0F">
              <w:t>DT</w:t>
            </w:r>
            <w:r w:rsidRPr="00C164F7">
              <w:rPr>
                <w:vertAlign w:val="subscript"/>
              </w:rPr>
              <w:t>50</w:t>
            </w:r>
            <w:r w:rsidR="00964F0F" w:rsidRPr="00964F0F">
              <w:t xml:space="preserve"> 1000 d</w:t>
            </w:r>
          </w:p>
        </w:tc>
        <w:tc>
          <w:tcPr>
            <w:tcW w:w="2209" w:type="pct"/>
            <w:tcBorders>
              <w:left w:val="nil"/>
            </w:tcBorders>
          </w:tcPr>
          <w:p w14:paraId="5D29B709" w14:textId="77777777" w:rsidR="00964F0F" w:rsidRPr="00964F0F" w:rsidRDefault="00964F0F" w:rsidP="00964F0F">
            <w:pPr>
              <w:pStyle w:val="TableText"/>
            </w:pPr>
            <w:r w:rsidRPr="00964F0F">
              <w:t>Default for persistent substances</w:t>
            </w:r>
          </w:p>
        </w:tc>
      </w:tr>
      <w:tr w:rsidR="00AF7BF3" w:rsidRPr="003B5A86" w14:paraId="71D5669D" w14:textId="77777777" w:rsidTr="00C25652">
        <w:trPr>
          <w:cantSplit/>
          <w:trHeight w:val="13"/>
        </w:trPr>
        <w:tc>
          <w:tcPr>
            <w:tcW w:w="829" w:type="pct"/>
            <w:vMerge/>
            <w:tcBorders>
              <w:right w:val="nil"/>
            </w:tcBorders>
          </w:tcPr>
          <w:p w14:paraId="06621171" w14:textId="77777777" w:rsidR="00964F0F" w:rsidRPr="00964F0F" w:rsidRDefault="00964F0F" w:rsidP="00964F0F">
            <w:pPr>
              <w:pStyle w:val="TableText"/>
            </w:pPr>
          </w:p>
        </w:tc>
        <w:tc>
          <w:tcPr>
            <w:tcW w:w="1962" w:type="pct"/>
            <w:tcBorders>
              <w:left w:val="nil"/>
              <w:right w:val="nil"/>
            </w:tcBorders>
          </w:tcPr>
          <w:p w14:paraId="7B43CFBF" w14:textId="77777777" w:rsidR="00964F0F" w:rsidRPr="00964F0F" w:rsidRDefault="00964F0F" w:rsidP="00964F0F">
            <w:pPr>
              <w:pStyle w:val="TableText"/>
            </w:pPr>
            <w:r w:rsidRPr="00964F0F">
              <w:t>K</w:t>
            </w:r>
            <w:r w:rsidRPr="00C25652">
              <w:rPr>
                <w:vertAlign w:val="subscript"/>
              </w:rPr>
              <w:t>f</w:t>
            </w:r>
            <w:r w:rsidRPr="00964F0F">
              <w:t xml:space="preserve"> 136759 mL/g</w:t>
            </w:r>
          </w:p>
        </w:tc>
        <w:tc>
          <w:tcPr>
            <w:tcW w:w="2209" w:type="pct"/>
            <w:tcBorders>
              <w:left w:val="nil"/>
            </w:tcBorders>
          </w:tcPr>
          <w:p w14:paraId="7385DF53" w14:textId="7937751E" w:rsidR="00964F0F" w:rsidRPr="00964F0F" w:rsidRDefault="00964F0F" w:rsidP="00964F0F">
            <w:pPr>
              <w:pStyle w:val="TableText"/>
            </w:pPr>
            <w:r w:rsidRPr="00964F0F">
              <w:t>Mônego, 2005; Pack, 1987</w:t>
            </w:r>
          </w:p>
        </w:tc>
      </w:tr>
      <w:tr w:rsidR="00AF7BF3" w:rsidRPr="003B5A86" w14:paraId="1CA4CE5C" w14:textId="77777777" w:rsidTr="00C25652">
        <w:trPr>
          <w:cantSplit/>
          <w:trHeight w:val="13"/>
        </w:trPr>
        <w:tc>
          <w:tcPr>
            <w:tcW w:w="829" w:type="pct"/>
            <w:tcBorders>
              <w:right w:val="nil"/>
            </w:tcBorders>
          </w:tcPr>
          <w:p w14:paraId="22CE91CB" w14:textId="77777777" w:rsidR="00E43460" w:rsidRPr="00964F0F" w:rsidRDefault="00E43460" w:rsidP="00964F0F">
            <w:pPr>
              <w:pStyle w:val="TableText"/>
            </w:pPr>
            <w:r w:rsidRPr="00964F0F">
              <w:t>Air</w:t>
            </w:r>
          </w:p>
        </w:tc>
        <w:tc>
          <w:tcPr>
            <w:tcW w:w="1962" w:type="pct"/>
            <w:tcBorders>
              <w:left w:val="nil"/>
              <w:right w:val="nil"/>
            </w:tcBorders>
          </w:tcPr>
          <w:p w14:paraId="69BBDCDB" w14:textId="7E32C803" w:rsidR="00E43460" w:rsidRPr="00964F0F" w:rsidRDefault="00C164F7" w:rsidP="00964F0F">
            <w:pPr>
              <w:pStyle w:val="TableText"/>
            </w:pPr>
            <w:r w:rsidRPr="00964F0F">
              <w:t>DT</w:t>
            </w:r>
            <w:r w:rsidRPr="00C164F7">
              <w:rPr>
                <w:vertAlign w:val="subscript"/>
              </w:rPr>
              <w:t>50</w:t>
            </w:r>
            <w:r w:rsidR="00E43460" w:rsidRPr="00964F0F">
              <w:t xml:space="preserve"> 5.5 h</w:t>
            </w:r>
          </w:p>
        </w:tc>
        <w:tc>
          <w:tcPr>
            <w:tcW w:w="2209" w:type="pct"/>
            <w:tcBorders>
              <w:left w:val="nil"/>
            </w:tcBorders>
          </w:tcPr>
          <w:p w14:paraId="67149BAB" w14:textId="5F950B7D" w:rsidR="00E43460" w:rsidRPr="00964F0F" w:rsidRDefault="00E43460" w:rsidP="00964F0F">
            <w:pPr>
              <w:pStyle w:val="TableText"/>
            </w:pPr>
            <w:r w:rsidRPr="00964F0F">
              <w:t>Hayes</w:t>
            </w:r>
            <w:r w:rsidR="00E95273" w:rsidRPr="00964F0F">
              <w:t>,</w:t>
            </w:r>
            <w:r w:rsidRPr="00964F0F">
              <w:t xml:space="preserve"> 2001</w:t>
            </w:r>
          </w:p>
        </w:tc>
      </w:tr>
    </w:tbl>
    <w:p w14:paraId="5ADCB1A0" w14:textId="77777777" w:rsidR="00E43460" w:rsidRPr="007F5112" w:rsidRDefault="00E43460" w:rsidP="007F5112">
      <w:pPr>
        <w:pStyle w:val="Heading2"/>
      </w:pPr>
      <w:bookmarkStart w:id="402" w:name="_Toc233039029"/>
      <w:bookmarkEnd w:id="401"/>
      <w:r w:rsidRPr="007F5112">
        <w:t>Effects on non-target species</w:t>
      </w:r>
      <w:bookmarkEnd w:id="402"/>
    </w:p>
    <w:p w14:paraId="5F97241C" w14:textId="37F981B3" w:rsidR="00E43460" w:rsidRPr="00041894" w:rsidRDefault="00E43460" w:rsidP="00E43460">
      <w:pPr>
        <w:pStyle w:val="NormalText"/>
        <w:rPr>
          <w:szCs w:val="19"/>
        </w:rPr>
      </w:pPr>
      <w:r w:rsidRPr="00E43460">
        <w:t>Diquat has moderate toxicity to mammals (LD</w:t>
      </w:r>
      <w:r w:rsidRPr="00941684">
        <w:rPr>
          <w:vertAlign w:val="subscript"/>
        </w:rPr>
        <w:t>50</w:t>
      </w:r>
      <w:r w:rsidRPr="00E43460">
        <w:t xml:space="preserve"> 120 mg ac/kg bw, </w:t>
      </w:r>
      <w:r w:rsidRPr="009240BD">
        <w:rPr>
          <w:i/>
          <w:iCs/>
        </w:rPr>
        <w:t>Rattus norvegicus</w:t>
      </w:r>
      <w:r w:rsidRPr="00E43460">
        <w:t>) and high toxicity to birds (geomean LD</w:t>
      </w:r>
      <w:r w:rsidRPr="009240BD">
        <w:rPr>
          <w:vertAlign w:val="subscript"/>
        </w:rPr>
        <w:t>50</w:t>
      </w:r>
      <w:r w:rsidRPr="00E43460">
        <w:t xml:space="preserve"> 70 mg ac/kg bw, </w:t>
      </w:r>
      <w:r w:rsidR="00964F0F">
        <w:t>3</w:t>
      </w:r>
      <w:r w:rsidRPr="00E43460">
        <w:t xml:space="preserve"> species). </w:t>
      </w:r>
      <w:r w:rsidR="00CB4944">
        <w:rPr>
          <w:szCs w:val="19"/>
        </w:rPr>
        <w:t>Based on the available information, for the purpose of setting the RAL, the mammalian LD</w:t>
      </w:r>
      <w:r w:rsidR="00CB4944" w:rsidRPr="001A794F">
        <w:rPr>
          <w:szCs w:val="19"/>
          <w:vertAlign w:val="subscript"/>
        </w:rPr>
        <w:t>50</w:t>
      </w:r>
      <w:r w:rsidR="00CB4944">
        <w:rPr>
          <w:szCs w:val="19"/>
        </w:rPr>
        <w:t xml:space="preserve"> is accepted to be 208 mg ac/kg bw; this is consistent with the assessment by EFSA (2015). </w:t>
      </w:r>
      <w:r w:rsidRPr="00E43460">
        <w:t xml:space="preserve">Therefore, the following protection statement is </w:t>
      </w:r>
      <w:r w:rsidR="003D0E11" w:rsidRPr="00E43460">
        <w:t>re</w:t>
      </w:r>
      <w:r w:rsidR="003D0E11">
        <w:t>commended</w:t>
      </w:r>
      <w:r w:rsidR="003D0E11" w:rsidRPr="00E43460">
        <w:t xml:space="preserve"> </w:t>
      </w:r>
      <w:r w:rsidRPr="00E43460">
        <w:t>on diquat product labels</w:t>
      </w:r>
      <w:r w:rsidR="005A3D43">
        <w:t>,</w:t>
      </w:r>
      <w:r w:rsidRPr="00E43460">
        <w:t xml:space="preserve"> followed by an </w:t>
      </w:r>
      <w:r w:rsidRPr="00041894">
        <w:rPr>
          <w:szCs w:val="19"/>
        </w:rPr>
        <w:t>appropriate risk management statement.</w:t>
      </w:r>
    </w:p>
    <w:p w14:paraId="44512FF8" w14:textId="77777777" w:rsidR="00E43460" w:rsidRPr="00C25652" w:rsidRDefault="00E43460" w:rsidP="00964F0F">
      <w:pPr>
        <w:pStyle w:val="Quotes"/>
        <w:rPr>
          <w:rFonts w:ascii="Arial" w:hAnsi="Arial"/>
          <w:sz w:val="19"/>
          <w:szCs w:val="19"/>
        </w:rPr>
      </w:pPr>
      <w:r w:rsidRPr="00C25652">
        <w:rPr>
          <w:rFonts w:ascii="Arial" w:hAnsi="Arial"/>
          <w:sz w:val="19"/>
          <w:szCs w:val="19"/>
        </w:rPr>
        <w:t>Toxic to birds.</w:t>
      </w:r>
    </w:p>
    <w:p w14:paraId="79AA2936" w14:textId="381FFB89" w:rsidR="00E43460" w:rsidRPr="00041894" w:rsidRDefault="00E43460" w:rsidP="00E43460">
      <w:pPr>
        <w:pStyle w:val="NormalText"/>
        <w:rPr>
          <w:szCs w:val="19"/>
        </w:rPr>
      </w:pPr>
      <w:r w:rsidRPr="00041894">
        <w:rPr>
          <w:szCs w:val="19"/>
        </w:rPr>
        <w:lastRenderedPageBreak/>
        <w:t xml:space="preserve">Following long-term dietary exposure in a multi-generation reproductive toxicity study, fewer F1 pups/litter and reduced F1 body weight gain in mammals during lactation were observed at doses as low as 12 mg ac/kg bw/d (NOAEL 4.0 mg ac/kg bw/d, </w:t>
      </w:r>
      <w:r w:rsidRPr="00041894">
        <w:rPr>
          <w:i/>
          <w:iCs/>
          <w:szCs w:val="19"/>
        </w:rPr>
        <w:t>Rattus norvegicus</w:t>
      </w:r>
      <w:r w:rsidRPr="00041894">
        <w:rPr>
          <w:szCs w:val="19"/>
        </w:rPr>
        <w:t>).</w:t>
      </w:r>
    </w:p>
    <w:p w14:paraId="0FFC00F2" w14:textId="644DFFE0" w:rsidR="00E43460" w:rsidRPr="00041894" w:rsidRDefault="00E43460" w:rsidP="00E43460">
      <w:pPr>
        <w:pStyle w:val="NormalText"/>
        <w:rPr>
          <w:szCs w:val="19"/>
        </w:rPr>
      </w:pPr>
      <w:r w:rsidRPr="00041894">
        <w:rPr>
          <w:szCs w:val="19"/>
        </w:rPr>
        <w:t>Higher tier reproductive toxicity studies are available on the most sensitive species of bird (</w:t>
      </w:r>
      <w:r w:rsidRPr="00041894">
        <w:rPr>
          <w:i/>
          <w:iCs/>
          <w:szCs w:val="19"/>
        </w:rPr>
        <w:t>Anas platyrhynchos</w:t>
      </w:r>
      <w:r w:rsidRPr="00041894">
        <w:rPr>
          <w:szCs w:val="19"/>
        </w:rPr>
        <w:t xml:space="preserve">) that considered </w:t>
      </w:r>
      <w:r w:rsidR="00964F0F" w:rsidRPr="00041894">
        <w:rPr>
          <w:szCs w:val="19"/>
        </w:rPr>
        <w:t>9</w:t>
      </w:r>
      <w:r w:rsidRPr="00041894">
        <w:rPr>
          <w:szCs w:val="19"/>
        </w:rPr>
        <w:t xml:space="preserve"> weeks of exposure (3 weeks prior to full egg production and 6 weeks during full egg production). Biologically relevant reductions in egg production were observed at dietary concentrations as low as 40</w:t>
      </w:r>
      <w:r w:rsidR="00964F0F" w:rsidRPr="00041894">
        <w:rPr>
          <w:szCs w:val="19"/>
        </w:rPr>
        <w:t> </w:t>
      </w:r>
      <w:r w:rsidRPr="00041894">
        <w:rPr>
          <w:szCs w:val="19"/>
        </w:rPr>
        <w:t>mg</w:t>
      </w:r>
      <w:r w:rsidR="00964F0F" w:rsidRPr="00041894">
        <w:rPr>
          <w:szCs w:val="19"/>
        </w:rPr>
        <w:t> </w:t>
      </w:r>
      <w:r w:rsidRPr="00041894">
        <w:rPr>
          <w:szCs w:val="19"/>
        </w:rPr>
        <w:t>ac/kg food (NOEC 20 mg ac/kg food; equivalent to NOEL 3.2 mg ac/kg bw/d). An additional study suggested that egg production can recover providing that exposure is early in the egg production period and the egg laying period of exposed birds is sufficiently long (Temple et al. 2009).</w:t>
      </w:r>
    </w:p>
    <w:p w14:paraId="51BCEEFF" w14:textId="5E09CFDA" w:rsidR="00E43460" w:rsidRPr="00041894" w:rsidRDefault="00E43460" w:rsidP="00E43460">
      <w:pPr>
        <w:pStyle w:val="NormalText"/>
        <w:rPr>
          <w:szCs w:val="19"/>
        </w:rPr>
      </w:pPr>
      <w:r w:rsidRPr="00041894">
        <w:rPr>
          <w:szCs w:val="19"/>
        </w:rPr>
        <w:t>Diquat has moderate toxicity to fish (lowest LC</w:t>
      </w:r>
      <w:r w:rsidRPr="00041894">
        <w:rPr>
          <w:szCs w:val="19"/>
          <w:vertAlign w:val="subscript"/>
        </w:rPr>
        <w:t>50</w:t>
      </w:r>
      <w:r w:rsidRPr="00041894">
        <w:rPr>
          <w:szCs w:val="19"/>
        </w:rPr>
        <w:t xml:space="preserve"> 750 µg ac/L, </w:t>
      </w:r>
      <w:r w:rsidR="00CB4944" w:rsidRPr="00041894">
        <w:rPr>
          <w:i/>
          <w:iCs/>
          <w:szCs w:val="19"/>
        </w:rPr>
        <w:t>Sander vitreus</w:t>
      </w:r>
      <w:r w:rsidRPr="00041894">
        <w:rPr>
          <w:szCs w:val="19"/>
        </w:rPr>
        <w:t>) and aquatic invertebrates (lowest LC</w:t>
      </w:r>
      <w:r w:rsidRPr="00041894">
        <w:rPr>
          <w:szCs w:val="19"/>
          <w:vertAlign w:val="subscript"/>
        </w:rPr>
        <w:t>50</w:t>
      </w:r>
      <w:r w:rsidRPr="00041894">
        <w:rPr>
          <w:szCs w:val="19"/>
        </w:rPr>
        <w:t xml:space="preserve"> 420 µg ac/L, </w:t>
      </w:r>
      <w:r w:rsidR="00CB4944" w:rsidRPr="00041894">
        <w:rPr>
          <w:i/>
          <w:iCs/>
          <w:szCs w:val="19"/>
        </w:rPr>
        <w:t>Americamysis bahia</w:t>
      </w:r>
      <w:r w:rsidRPr="00041894">
        <w:rPr>
          <w:szCs w:val="19"/>
        </w:rPr>
        <w:t>), and high toxicity to sediment dwellers (LC</w:t>
      </w:r>
      <w:r w:rsidRPr="00041894">
        <w:rPr>
          <w:szCs w:val="19"/>
          <w:vertAlign w:val="subscript"/>
        </w:rPr>
        <w:t>50</w:t>
      </w:r>
      <w:r w:rsidRPr="00041894">
        <w:rPr>
          <w:szCs w:val="19"/>
        </w:rPr>
        <w:t xml:space="preserve"> 84 µg ac/L, </w:t>
      </w:r>
      <w:r w:rsidRPr="00041894">
        <w:rPr>
          <w:i/>
          <w:iCs/>
          <w:szCs w:val="19"/>
        </w:rPr>
        <w:t>Hyallella azteca</w:t>
      </w:r>
      <w:r w:rsidRPr="00041894">
        <w:rPr>
          <w:szCs w:val="19"/>
        </w:rPr>
        <w:t>), algae (lowest E</w:t>
      </w:r>
      <w:r w:rsidRPr="00C25652">
        <w:rPr>
          <w:szCs w:val="19"/>
          <w:vertAlign w:val="subscript"/>
        </w:rPr>
        <w:t>r</w:t>
      </w:r>
      <w:r w:rsidRPr="00041894">
        <w:rPr>
          <w:szCs w:val="19"/>
        </w:rPr>
        <w:t>C</w:t>
      </w:r>
      <w:r w:rsidRPr="00041894">
        <w:rPr>
          <w:szCs w:val="19"/>
          <w:vertAlign w:val="subscript"/>
        </w:rPr>
        <w:t>50</w:t>
      </w:r>
      <w:r w:rsidRPr="00041894">
        <w:rPr>
          <w:szCs w:val="19"/>
        </w:rPr>
        <w:t xml:space="preserve"> 1.2 µg ac/L, </w:t>
      </w:r>
      <w:r w:rsidRPr="00041894">
        <w:rPr>
          <w:i/>
          <w:iCs/>
          <w:szCs w:val="19"/>
        </w:rPr>
        <w:t>Navicula pelliculosa</w:t>
      </w:r>
      <w:r w:rsidRPr="00041894">
        <w:rPr>
          <w:szCs w:val="19"/>
        </w:rPr>
        <w:t>) and aquatic plants (EC</w:t>
      </w:r>
      <w:r w:rsidRPr="00041894">
        <w:rPr>
          <w:szCs w:val="19"/>
          <w:vertAlign w:val="subscript"/>
        </w:rPr>
        <w:t>50</w:t>
      </w:r>
      <w:r w:rsidRPr="00041894">
        <w:rPr>
          <w:szCs w:val="19"/>
        </w:rPr>
        <w:t xml:space="preserve"> 3.2 µg ac/L, </w:t>
      </w:r>
      <w:r w:rsidRPr="00041894">
        <w:rPr>
          <w:i/>
          <w:iCs/>
          <w:szCs w:val="19"/>
        </w:rPr>
        <w:t>Lemna gibba</w:t>
      </w:r>
      <w:r w:rsidRPr="00041894">
        <w:rPr>
          <w:szCs w:val="19"/>
        </w:rPr>
        <w:t xml:space="preserve">). Therefore, the following protection statement is </w:t>
      </w:r>
      <w:r w:rsidR="00774D45">
        <w:rPr>
          <w:szCs w:val="19"/>
        </w:rPr>
        <w:t>recommended</w:t>
      </w:r>
      <w:r w:rsidR="00774D45" w:rsidRPr="00041894">
        <w:rPr>
          <w:szCs w:val="19"/>
        </w:rPr>
        <w:t xml:space="preserve"> </w:t>
      </w:r>
      <w:r w:rsidRPr="00041894">
        <w:rPr>
          <w:szCs w:val="19"/>
        </w:rPr>
        <w:t>on diquat product labels.</w:t>
      </w:r>
    </w:p>
    <w:p w14:paraId="5829977C" w14:textId="77777777" w:rsidR="00E43460" w:rsidRPr="00C25652" w:rsidRDefault="00E43460" w:rsidP="00964F0F">
      <w:pPr>
        <w:pStyle w:val="Quotes"/>
        <w:rPr>
          <w:rFonts w:ascii="Arial" w:hAnsi="Arial"/>
          <w:sz w:val="19"/>
          <w:szCs w:val="19"/>
        </w:rPr>
      </w:pPr>
      <w:r w:rsidRPr="00C25652">
        <w:rPr>
          <w:rFonts w:ascii="Arial" w:hAnsi="Arial"/>
          <w:sz w:val="19"/>
          <w:szCs w:val="19"/>
        </w:rPr>
        <w:t>Very toxic to aquatic life. DO NOT contaminate wetlands or watercourses with this product or used containers.</w:t>
      </w:r>
    </w:p>
    <w:p w14:paraId="4EA54AA2" w14:textId="1B6D2165" w:rsidR="00E43460" w:rsidRPr="00E43460" w:rsidRDefault="00E43460" w:rsidP="00E43460">
      <w:pPr>
        <w:pStyle w:val="NormalText"/>
      </w:pPr>
      <w:r w:rsidRPr="00041894">
        <w:rPr>
          <w:szCs w:val="19"/>
        </w:rPr>
        <w:t>Following life-cycle exposure of pond snails to contaminated water, increased embryonic stage duration, delayed first spawning and reduced food consumption were observed at concentrations as low as 3.2 µg ac/L (NOEC 1.1</w:t>
      </w:r>
      <w:r w:rsidR="00964F0F" w:rsidRPr="00041894">
        <w:rPr>
          <w:szCs w:val="19"/>
        </w:rPr>
        <w:t> </w:t>
      </w:r>
      <w:r w:rsidRPr="00041894">
        <w:rPr>
          <w:szCs w:val="19"/>
        </w:rPr>
        <w:t xml:space="preserve">µg ac/L, </w:t>
      </w:r>
      <w:r w:rsidRPr="00041894">
        <w:rPr>
          <w:i/>
          <w:iCs/>
          <w:szCs w:val="19"/>
        </w:rPr>
        <w:t>Lymnaea stagnalis</w:t>
      </w:r>
      <w:r w:rsidRPr="00041894">
        <w:rPr>
          <w:szCs w:val="19"/>
        </w:rPr>
        <w:t>). Reduced</w:t>
      </w:r>
      <w:r w:rsidRPr="00E43460">
        <w:t xml:space="preserve"> growth of fish and aquatic invertebrates was observed at concentrations as low as 320 µg ac/L (NOEC 120 µg ac/L, </w:t>
      </w:r>
      <w:r w:rsidRPr="009240BD">
        <w:rPr>
          <w:i/>
          <w:iCs/>
        </w:rPr>
        <w:t>Pimephales promelas</w:t>
      </w:r>
      <w:r w:rsidRPr="00E43460">
        <w:t>) and 110 µg ac/L (NOEC 52</w:t>
      </w:r>
      <w:r w:rsidR="00964F0F">
        <w:t> </w:t>
      </w:r>
      <w:r w:rsidRPr="00E43460">
        <w:t xml:space="preserve">µg ac/L, </w:t>
      </w:r>
      <w:r w:rsidRPr="009240BD">
        <w:rPr>
          <w:i/>
          <w:iCs/>
        </w:rPr>
        <w:t>Americamysis bahia</w:t>
      </w:r>
      <w:r w:rsidRPr="00E43460">
        <w:t>), respectively.</w:t>
      </w:r>
    </w:p>
    <w:p w14:paraId="362D19D8" w14:textId="59F85EEE" w:rsidR="00E43460" w:rsidRPr="00E43460" w:rsidRDefault="00E43460" w:rsidP="00E43460">
      <w:pPr>
        <w:pStyle w:val="NormalText"/>
      </w:pPr>
      <w:r w:rsidRPr="00E43460">
        <w:t xml:space="preserve">Following long-term exposure of amphipods to contaminated sediment, reduced reproduction was observed at concentrations as low as 23 mg ac/kg dry sediment (NOEC 11 mg ac/kg dry sediment, </w:t>
      </w:r>
      <w:r w:rsidRPr="009240BD">
        <w:rPr>
          <w:i/>
          <w:iCs/>
        </w:rPr>
        <w:t>Hyallela azteca</w:t>
      </w:r>
      <w:r w:rsidRPr="00E43460">
        <w:t xml:space="preserve">). It is noted that the clay content in the test sediment was relatively low (3%). No adverse effects were observed in </w:t>
      </w:r>
      <w:r w:rsidR="00964F0F">
        <w:t>2</w:t>
      </w:r>
      <w:r w:rsidRPr="00E43460">
        <w:t xml:space="preserve"> species of midges at the highest sediment concentrations tested (NOEC 37 mg ac/kg dry sediment, </w:t>
      </w:r>
      <w:r w:rsidRPr="009240BD">
        <w:rPr>
          <w:i/>
          <w:iCs/>
        </w:rPr>
        <w:t>Chironomus dilutus</w:t>
      </w:r>
      <w:r w:rsidRPr="00E43460">
        <w:t xml:space="preserve">; NOEC 100 mg ac/kg dry sediment, </w:t>
      </w:r>
      <w:r w:rsidRPr="009240BD">
        <w:rPr>
          <w:i/>
          <w:iCs/>
        </w:rPr>
        <w:t>Chironomus riparius</w:t>
      </w:r>
      <w:r w:rsidRPr="00E43460">
        <w:t>), noting the clay content in the test sediments ranged</w:t>
      </w:r>
      <w:r w:rsidR="0025501C">
        <w:t xml:space="preserve"> from </w:t>
      </w:r>
      <w:r w:rsidRPr="00E43460">
        <w:t>20</w:t>
      </w:r>
      <w:r w:rsidR="002225CC">
        <w:t>–</w:t>
      </w:r>
      <w:r w:rsidRPr="00E43460">
        <w:t>25%.</w:t>
      </w:r>
    </w:p>
    <w:p w14:paraId="7B454A02" w14:textId="1F786874" w:rsidR="00E43460" w:rsidRPr="00E43460" w:rsidRDefault="00E43460" w:rsidP="00E43460">
      <w:pPr>
        <w:pStyle w:val="NormalText"/>
      </w:pPr>
      <w:r w:rsidRPr="00E43460">
        <w:t>The effects of spray application or water injection of an SL 240 g/L formulation on non-target aquatic plants were investigated under field conditions in Florida and Wisconsin. A wide range of sensitivities was observed between the tested aquatic plants. These sensitivities were often related to the ability of the plant to recover over a 4</w:t>
      </w:r>
      <w:r w:rsidR="00620BE6">
        <w:t xml:space="preserve"> to </w:t>
      </w:r>
      <w:r w:rsidRPr="00E43460">
        <w:t>5</w:t>
      </w:r>
      <w:r w:rsidR="002225CC">
        <w:t> </w:t>
      </w:r>
      <w:r w:rsidRPr="00E43460">
        <w:t>week observation period following application. Duckweed (</w:t>
      </w:r>
      <w:r w:rsidRPr="009240BD">
        <w:rPr>
          <w:i/>
          <w:iCs/>
        </w:rPr>
        <w:t>Spirodela punctata</w:t>
      </w:r>
      <w:r w:rsidRPr="00E43460">
        <w:t>) was the most sensitive species following exposure both as a foliar spray (ER</w:t>
      </w:r>
      <w:r w:rsidRPr="009240BD">
        <w:rPr>
          <w:vertAlign w:val="subscript"/>
        </w:rPr>
        <w:t>50</w:t>
      </w:r>
      <w:r w:rsidRPr="00E43460">
        <w:t xml:space="preserve"> 3.5 g ac/ha) and water injection (ER</w:t>
      </w:r>
      <w:r w:rsidRPr="009240BD">
        <w:rPr>
          <w:vertAlign w:val="subscript"/>
        </w:rPr>
        <w:t>50</w:t>
      </w:r>
      <w:r w:rsidRPr="00E43460">
        <w:t xml:space="preserve"> 3.1 µg ac/L). Sediment seemed to afford some protection to sub-soil vegetative portions of plants that are not free-floating (for example, hydrilla and torpedo</w:t>
      </w:r>
      <w:r w:rsidR="00127683">
        <w:t xml:space="preserve"> </w:t>
      </w:r>
      <w:r w:rsidRPr="00E43460">
        <w:t>grass). This indicates that perennial plants with a significant underground biomass could be resistant to diquat, with the exception of some temporary damage.</w:t>
      </w:r>
    </w:p>
    <w:p w14:paraId="2C352710" w14:textId="77777777" w:rsidR="00E43460" w:rsidRPr="00E43460" w:rsidRDefault="00E43460" w:rsidP="00E43460">
      <w:pPr>
        <w:pStyle w:val="NormalText"/>
      </w:pPr>
      <w:r w:rsidRPr="00E43460">
        <w:t>A measured BCF of 1.0 in bluegill sunfish shows that diquat is unlikely to accumulate in fish (Hamer et al. 1987).</w:t>
      </w:r>
    </w:p>
    <w:p w14:paraId="0E285FDD" w14:textId="3A65C4F3" w:rsidR="00E43460" w:rsidRPr="00CB4944" w:rsidRDefault="00E43460" w:rsidP="00E43460">
      <w:pPr>
        <w:pStyle w:val="NormalText"/>
        <w:rPr>
          <w:szCs w:val="19"/>
        </w:rPr>
      </w:pPr>
      <w:r w:rsidRPr="00E43460">
        <w:t xml:space="preserve">Noting primary producers are most sensitive to diquat, an SSD analysis was performed on the laboratory </w:t>
      </w:r>
      <w:r w:rsidR="00CB4944">
        <w:t xml:space="preserve">toxicity </w:t>
      </w:r>
      <w:r w:rsidRPr="00E43460">
        <w:t xml:space="preserve">data. Diquat dissipates quickly from the water column under natural conditions due to rapid adsorption to sediment and suspended particulates; therefore, the endpoints were adjusted to account for the </w:t>
      </w:r>
      <w:r w:rsidRPr="00CB4944">
        <w:rPr>
          <w:szCs w:val="19"/>
        </w:rPr>
        <w:t xml:space="preserve">expected dissipation under natural conditions. </w:t>
      </w:r>
      <w:r w:rsidR="00CB4944" w:rsidRPr="00CB4944">
        <w:rPr>
          <w:szCs w:val="19"/>
        </w:rPr>
        <w:t>For primary producers, the resulting HC</w:t>
      </w:r>
      <w:r w:rsidR="00CB4944" w:rsidRPr="00CB4944">
        <w:rPr>
          <w:szCs w:val="19"/>
          <w:vertAlign w:val="subscript"/>
        </w:rPr>
        <w:t>5</w:t>
      </w:r>
      <w:r w:rsidR="00CB4944" w:rsidRPr="00CB4944">
        <w:rPr>
          <w:szCs w:val="19"/>
        </w:rPr>
        <w:t xml:space="preserve"> (</w:t>
      </w:r>
      <w:r w:rsidR="00CB4944" w:rsidRPr="00CB4944">
        <w:rPr>
          <w:szCs w:val="19"/>
        </w:rPr>
        <w:fldChar w:fldCharType="begin" w:fldLock="1"/>
      </w:r>
      <w:r w:rsidR="00CB4944" w:rsidRPr="00CB4944">
        <w:rPr>
          <w:szCs w:val="19"/>
        </w:rPr>
        <w:instrText xml:space="preserve"> REF _Ref167441235 \h </w:instrText>
      </w:r>
      <w:r w:rsidR="00CB4944">
        <w:rPr>
          <w:szCs w:val="19"/>
        </w:rPr>
        <w:instrText xml:space="preserve"> \* MERGEFORMAT </w:instrText>
      </w:r>
      <w:r w:rsidR="00CB4944" w:rsidRPr="00CB4944">
        <w:rPr>
          <w:szCs w:val="19"/>
        </w:rPr>
      </w:r>
      <w:r w:rsidR="00CB4944" w:rsidRPr="00CB4944">
        <w:rPr>
          <w:szCs w:val="19"/>
        </w:rPr>
        <w:fldChar w:fldCharType="separate"/>
      </w:r>
      <w:r w:rsidR="0033298E" w:rsidRPr="0033298E">
        <w:rPr>
          <w:szCs w:val="19"/>
        </w:rPr>
        <w:t xml:space="preserve">Table </w:t>
      </w:r>
      <w:r w:rsidR="0033298E" w:rsidRPr="0033298E">
        <w:rPr>
          <w:noProof/>
          <w:szCs w:val="19"/>
        </w:rPr>
        <w:t>26</w:t>
      </w:r>
      <w:r w:rsidR="00CB4944" w:rsidRPr="00CB4944">
        <w:rPr>
          <w:szCs w:val="19"/>
        </w:rPr>
        <w:fldChar w:fldCharType="end"/>
      </w:r>
      <w:r w:rsidR="00CB4944" w:rsidRPr="00CB4944">
        <w:rPr>
          <w:szCs w:val="19"/>
        </w:rPr>
        <w:t xml:space="preserve">) is summarised below. Given there is </w:t>
      </w:r>
      <w:r w:rsidR="00CB4944" w:rsidRPr="00CB4944">
        <w:rPr>
          <w:szCs w:val="19"/>
        </w:rPr>
        <w:lastRenderedPageBreak/>
        <w:t>uncertainty regarding the TWA adjustment and the wide confidence intervals around the HC</w:t>
      </w:r>
      <w:r w:rsidR="00CB4944" w:rsidRPr="00CB4944">
        <w:rPr>
          <w:szCs w:val="19"/>
          <w:vertAlign w:val="subscript"/>
        </w:rPr>
        <w:t>5</w:t>
      </w:r>
      <w:r w:rsidR="005A3D43" w:rsidRPr="000742AA">
        <w:rPr>
          <w:szCs w:val="19"/>
        </w:rPr>
        <w:t>,</w:t>
      </w:r>
      <w:r w:rsidR="00CB4944" w:rsidRPr="00CB4944">
        <w:rPr>
          <w:szCs w:val="19"/>
        </w:rPr>
        <w:t xml:space="preserve"> an assessment factor of 3 is recommended. The RAL for primary producers is therefore 0.0014 mg ac/L (HC</w:t>
      </w:r>
      <w:r w:rsidR="00CB4944" w:rsidRPr="00CB4944">
        <w:rPr>
          <w:szCs w:val="19"/>
          <w:vertAlign w:val="subscript"/>
        </w:rPr>
        <w:t>5</w:t>
      </w:r>
      <w:r w:rsidR="00CB4944" w:rsidRPr="00CB4944">
        <w:rPr>
          <w:szCs w:val="19"/>
        </w:rPr>
        <w:t xml:space="preserve"> 0.0042 mg ac/L and assessment factor of 3</w:t>
      </w:r>
      <w:r w:rsidR="00E61669">
        <w:rPr>
          <w:rFonts w:ascii="ZWAdobeF" w:hAnsi="ZWAdobeF" w:cs="ZWAdobeF"/>
          <w:sz w:val="2"/>
          <w:szCs w:val="2"/>
        </w:rPr>
        <w:t>22F</w:t>
      </w:r>
      <w:r w:rsidR="00602535">
        <w:rPr>
          <w:rFonts w:ascii="ZWAdobeF" w:hAnsi="ZWAdobeF" w:cs="ZWAdobeF"/>
          <w:sz w:val="2"/>
          <w:szCs w:val="2"/>
        </w:rPr>
        <w:t>23F</w:t>
      </w:r>
      <w:r w:rsidR="00CB4944" w:rsidRPr="00CB4944">
        <w:rPr>
          <w:rStyle w:val="FootnoteReference"/>
          <w:szCs w:val="19"/>
        </w:rPr>
        <w:footnoteReference w:id="25"/>
      </w:r>
      <w:r w:rsidR="00CB4944" w:rsidRPr="00CB4944">
        <w:rPr>
          <w:szCs w:val="19"/>
        </w:rPr>
        <w:t>).</w:t>
      </w:r>
    </w:p>
    <w:p w14:paraId="1491ED08" w14:textId="6D41786A" w:rsidR="00CB4944" w:rsidRPr="00CB4944" w:rsidRDefault="00CB4944" w:rsidP="007F5112">
      <w:pPr>
        <w:pStyle w:val="NormalText"/>
      </w:pPr>
      <w:r w:rsidRPr="00CB4944">
        <w:t xml:space="preserve">The RALs for risk assessment are 0.0014 mg ac/L for aquatic species (primary producers), and 11 mg ac/kg ds for sediment </w:t>
      </w:r>
      <w:r w:rsidRPr="005B2450">
        <w:t>dwellers (</w:t>
      </w:r>
      <w:r w:rsidR="008E2515">
        <w:fldChar w:fldCharType="begin" w:fldLock="1"/>
      </w:r>
      <w:r w:rsidR="008E2515">
        <w:instrText xml:space="preserve"> REF _Ref167441235 \h </w:instrText>
      </w:r>
      <w:r w:rsidR="008E2515">
        <w:fldChar w:fldCharType="separate"/>
      </w:r>
      <w:r w:rsidR="008E2515" w:rsidRPr="000179FF">
        <w:t xml:space="preserve">Table </w:t>
      </w:r>
      <w:r w:rsidR="008E2515">
        <w:rPr>
          <w:noProof/>
        </w:rPr>
        <w:t>26</w:t>
      </w:r>
      <w:r w:rsidR="008E2515">
        <w:fldChar w:fldCharType="end"/>
      </w:r>
      <w:r w:rsidRPr="005B2450">
        <w:t>). To assess risks</w:t>
      </w:r>
      <w:r w:rsidRPr="00CB4944">
        <w:t xml:space="preserve"> in aquatic situations where aquatic weeds are targeted, the most conservative RAL of 47 µg ac/L for aquatic animals was selected,</w:t>
      </w:r>
      <w:r w:rsidRPr="00C25652">
        <w:t xml:space="preserve"> which was also adjusted to account for rapid dissipation under natural conditions</w:t>
      </w:r>
      <w:r w:rsidR="00E61669">
        <w:rPr>
          <w:rFonts w:ascii="ZWAdobeF" w:hAnsi="ZWAdobeF" w:cs="ZWAdobeF"/>
          <w:sz w:val="2"/>
          <w:szCs w:val="2"/>
        </w:rPr>
        <w:t>23F</w:t>
      </w:r>
      <w:r w:rsidR="00602535">
        <w:rPr>
          <w:rFonts w:ascii="ZWAdobeF" w:hAnsi="ZWAdobeF" w:cs="ZWAdobeF"/>
          <w:sz w:val="2"/>
          <w:szCs w:val="2"/>
        </w:rPr>
        <w:t>24F</w:t>
      </w:r>
      <w:r w:rsidRPr="00CB4944">
        <w:rPr>
          <w:rStyle w:val="FootnoteReference"/>
          <w:szCs w:val="19"/>
        </w:rPr>
        <w:footnoteReference w:id="26"/>
      </w:r>
      <w:r w:rsidRPr="00CB4944">
        <w:t>.</w:t>
      </w:r>
    </w:p>
    <w:p w14:paraId="184B04BE" w14:textId="216673D7" w:rsidR="00E43460" w:rsidRPr="00E43460" w:rsidRDefault="00E43460" w:rsidP="00E43460">
      <w:pPr>
        <w:pStyle w:val="NormalText"/>
      </w:pPr>
      <w:r w:rsidRPr="00E43460">
        <w:t>Diquat has low toxicity to bees by contact exposure (LD</w:t>
      </w:r>
      <w:r w:rsidRPr="009240BD">
        <w:rPr>
          <w:vertAlign w:val="subscript"/>
        </w:rPr>
        <w:t>50</w:t>
      </w:r>
      <w:r w:rsidRPr="00E43460">
        <w:t xml:space="preserve"> 105 µg ac/bee, </w:t>
      </w:r>
      <w:r w:rsidRPr="002225CC">
        <w:rPr>
          <w:i/>
          <w:iCs/>
        </w:rPr>
        <w:t>Apis mellifera</w:t>
      </w:r>
      <w:r w:rsidRPr="00E43460">
        <w:t>) and moderate toxicity by oral exposure (LD</w:t>
      </w:r>
      <w:r w:rsidRPr="009240BD">
        <w:rPr>
          <w:vertAlign w:val="subscript"/>
        </w:rPr>
        <w:t>50</w:t>
      </w:r>
      <w:r w:rsidRPr="00E43460">
        <w:t xml:space="preserve"> 22 µg ac/bee, </w:t>
      </w:r>
      <w:r w:rsidRPr="009240BD">
        <w:rPr>
          <w:i/>
          <w:iCs/>
        </w:rPr>
        <w:t>Apis mellifera</w:t>
      </w:r>
      <w:r w:rsidRPr="00E43460">
        <w:t>). The RAL for spray drift assessment is 17</w:t>
      </w:r>
      <w:r w:rsidR="002225CC">
        <w:t>,</w:t>
      </w:r>
      <w:r w:rsidRPr="00E43460">
        <w:t>500 g ac/ha based on the contact LD</w:t>
      </w:r>
      <w:r w:rsidRPr="009240BD">
        <w:rPr>
          <w:vertAlign w:val="subscript"/>
        </w:rPr>
        <w:t>50</w:t>
      </w:r>
      <w:r w:rsidRPr="00E43460">
        <w:t xml:space="preserve"> 105 µg ac/bee and a conversion factor of LOC 0.4 / ExpE 2.4 * 1000 as per </w:t>
      </w:r>
      <w:r w:rsidR="002225CC">
        <w:t xml:space="preserve">the </w:t>
      </w:r>
      <w:r w:rsidRPr="00E43460">
        <w:t xml:space="preserve">APVMA’s </w:t>
      </w:r>
      <w:hyperlink r:id="rId42" w:history="1">
        <w:r w:rsidRPr="002225CC">
          <w:rPr>
            <w:rStyle w:val="Hyperlink"/>
          </w:rPr>
          <w:t>Spray drift risk assessment manual</w:t>
        </w:r>
      </w:hyperlink>
      <w:r w:rsidRPr="00E43460">
        <w:t xml:space="preserve"> (SDRAM).</w:t>
      </w:r>
    </w:p>
    <w:p w14:paraId="1101ABAB" w14:textId="5E9E8DE0" w:rsidR="00E43460" w:rsidRPr="00E43460" w:rsidRDefault="00E43460" w:rsidP="00E43460">
      <w:pPr>
        <w:pStyle w:val="NormalText"/>
      </w:pPr>
      <w:r w:rsidRPr="00E43460">
        <w:t xml:space="preserve">In </w:t>
      </w:r>
      <w:r w:rsidR="00620BE6">
        <w:t>T</w:t>
      </w:r>
      <w:r w:rsidRPr="00E43460">
        <w:t xml:space="preserve">ier 1 (glass plate) laboratory tests on the toxicity of an SL formulation of diquat to the indicator species of predatory arthropods (predatory mite </w:t>
      </w:r>
      <w:r w:rsidRPr="009240BD">
        <w:rPr>
          <w:i/>
          <w:iCs/>
        </w:rPr>
        <w:t>Typhlodromus pyri</w:t>
      </w:r>
      <w:r w:rsidRPr="00E43460">
        <w:t xml:space="preserve">) and parasitic arthropods (parasitic wasp </w:t>
      </w:r>
      <w:r w:rsidRPr="009240BD">
        <w:rPr>
          <w:i/>
          <w:iCs/>
        </w:rPr>
        <w:t>Aphidius rhopalosiphi</w:t>
      </w:r>
      <w:r w:rsidRPr="00E43460">
        <w:t>), the respective LR</w:t>
      </w:r>
      <w:r w:rsidRPr="009240BD">
        <w:rPr>
          <w:vertAlign w:val="subscript"/>
        </w:rPr>
        <w:t>50</w:t>
      </w:r>
      <w:r w:rsidRPr="00E43460">
        <w:t xml:space="preserve"> values were 2.9 and 3.2 g ac/ha. Exposure under </w:t>
      </w:r>
      <w:r w:rsidR="00620BE6">
        <w:t>T</w:t>
      </w:r>
      <w:r w:rsidRPr="00E43460">
        <w:t>ier 2 (natural substrate) conditions did not influence toxicity to the predatory mite (LR</w:t>
      </w:r>
      <w:r w:rsidRPr="009240BD">
        <w:rPr>
          <w:vertAlign w:val="subscript"/>
        </w:rPr>
        <w:t xml:space="preserve">50 </w:t>
      </w:r>
      <w:r w:rsidRPr="00E43460">
        <w:t xml:space="preserve">4.1 g ac/ha, </w:t>
      </w:r>
      <w:r w:rsidRPr="009240BD">
        <w:rPr>
          <w:i/>
          <w:iCs/>
        </w:rPr>
        <w:t>Typhlodromus pyri</w:t>
      </w:r>
      <w:r w:rsidRPr="00E43460">
        <w:t>). However, toxicity to the parasitic wasp was reduced (LR</w:t>
      </w:r>
      <w:r w:rsidRPr="009240BD">
        <w:rPr>
          <w:vertAlign w:val="subscript"/>
        </w:rPr>
        <w:t>50</w:t>
      </w:r>
      <w:r w:rsidRPr="00E43460">
        <w:t xml:space="preserve"> 758 g ac/ha, </w:t>
      </w:r>
      <w:r w:rsidRPr="009240BD">
        <w:rPr>
          <w:i/>
          <w:iCs/>
        </w:rPr>
        <w:t>Aphidius rhopalosiphi</w:t>
      </w:r>
      <w:r w:rsidRPr="00E43460">
        <w:t>). Soil dwelling arthropods such as carabid beetles, spiders and rove beetles were unaffected at field relevant rates.</w:t>
      </w:r>
    </w:p>
    <w:p w14:paraId="08236CE8" w14:textId="77777777" w:rsidR="00E43460" w:rsidRPr="00E43460" w:rsidRDefault="00E43460" w:rsidP="00E43460">
      <w:pPr>
        <w:pStyle w:val="NormalText"/>
      </w:pPr>
      <w:r w:rsidRPr="00E43460">
        <w:t>Diquat has moderate toxicity to soil macro-organisms such as earthworms (LC</w:t>
      </w:r>
      <w:r w:rsidRPr="009240BD">
        <w:rPr>
          <w:vertAlign w:val="subscript"/>
        </w:rPr>
        <w:t>50</w:t>
      </w:r>
      <w:r w:rsidRPr="00E43460">
        <w:t xml:space="preserve"> 94 mg ac/kg dry soil, </w:t>
      </w:r>
      <w:r w:rsidRPr="009240BD">
        <w:rPr>
          <w:i/>
          <w:iCs/>
        </w:rPr>
        <w:t>Eisenia fetida</w:t>
      </w:r>
      <w:r w:rsidRPr="00E43460">
        <w:t xml:space="preserve">). Following long-term exposure, reduced reproduction of collembolans was observed at concentrations as low as 12 mg ac/kg dry soil (NOEC 9.4 mg ac/kg dry soil, </w:t>
      </w:r>
      <w:r w:rsidRPr="009240BD">
        <w:rPr>
          <w:i/>
          <w:iCs/>
        </w:rPr>
        <w:t>Folsomia candida</w:t>
      </w:r>
      <w:r w:rsidRPr="00E43460">
        <w:t xml:space="preserve">). No adverse effects were observed on other soil macro-organisms at the highest tested soil concentrations (NOEC 37 mg ac/kg dry soil, </w:t>
      </w:r>
      <w:r w:rsidRPr="009240BD">
        <w:rPr>
          <w:i/>
          <w:iCs/>
        </w:rPr>
        <w:t>Eisenia fetida</w:t>
      </w:r>
      <w:r w:rsidRPr="00E43460">
        <w:t xml:space="preserve">; NOEC 50 mg ac/kg dry soil, </w:t>
      </w:r>
      <w:r w:rsidRPr="009240BD">
        <w:rPr>
          <w:i/>
          <w:iCs/>
        </w:rPr>
        <w:t>Hypoaspis aculeifer</w:t>
      </w:r>
      <w:r w:rsidRPr="00E43460">
        <w:t>). It is noted that the laboratory tests were conducted in artificial soils containing 20% clay, which may not represent realistic worst-case exposure systems (i.e. compared to soils with lower capacity to adsorb and deactivate diquat). It is also noted that effects on earthworm numbers and weight were observed under representative field conditions after one year; however, no differences were observed for several years thereafter.</w:t>
      </w:r>
    </w:p>
    <w:p w14:paraId="5215B315" w14:textId="75722EE3" w:rsidR="00E43460" w:rsidRPr="00E43460" w:rsidRDefault="00E43460" w:rsidP="00E43460">
      <w:pPr>
        <w:pStyle w:val="NormalText"/>
      </w:pPr>
      <w:r w:rsidRPr="00E43460">
        <w:t xml:space="preserve">Following long-term exposure to the metabolite TOPPS, reduced reproduction and biomass of earthworms were observed at soil concentrations as low as 160 mg/kg dry soil (NOEC 80 mg ac/kg dry soil, </w:t>
      </w:r>
      <w:r w:rsidRPr="009240BD">
        <w:rPr>
          <w:i/>
          <w:iCs/>
        </w:rPr>
        <w:t>Eisenia fetida</w:t>
      </w:r>
      <w:r w:rsidRPr="00E43460">
        <w:t>), and reduced reproduction of collembolans was observed at concentrations as low as 259 mg/kg dry soil (NOEC 144</w:t>
      </w:r>
      <w:r w:rsidR="002225CC">
        <w:t> </w:t>
      </w:r>
      <w:r w:rsidRPr="00E43460">
        <w:t xml:space="preserve">mg/kg dry soil, </w:t>
      </w:r>
      <w:r w:rsidRPr="009240BD">
        <w:rPr>
          <w:i/>
          <w:iCs/>
        </w:rPr>
        <w:t>Folsomia candida</w:t>
      </w:r>
      <w:r w:rsidRPr="00E43460">
        <w:t xml:space="preserve">). No adverse effects were observed on soil mites at the highest tested soil concentration (NOEC 320 mg/kg dry soil, </w:t>
      </w:r>
      <w:r w:rsidRPr="009240BD">
        <w:rPr>
          <w:i/>
          <w:iCs/>
        </w:rPr>
        <w:t>Hypoaspis aculeifer</w:t>
      </w:r>
      <w:r w:rsidRPr="00E43460">
        <w:t>).</w:t>
      </w:r>
    </w:p>
    <w:p w14:paraId="25840C50" w14:textId="6E2591D1" w:rsidR="00E43460" w:rsidRPr="00E43460" w:rsidRDefault="00E43460" w:rsidP="00E43460">
      <w:pPr>
        <w:pStyle w:val="NormalText"/>
      </w:pPr>
      <w:r w:rsidRPr="00E43460">
        <w:lastRenderedPageBreak/>
        <w:t>Diquat did not adversely affect soil processes such as nitrification at soil concentrations up to 500 mg ac/kg dry soil. Similarly, a litter-bag study showed that exaggerated soil concentrations have no functional impairment on the soil organisms contributing to organic matter breakdown.</w:t>
      </w:r>
    </w:p>
    <w:p w14:paraId="55D9312D" w14:textId="77777777" w:rsidR="00E43460" w:rsidRPr="00E43460" w:rsidRDefault="00E43460" w:rsidP="00E43460">
      <w:pPr>
        <w:pStyle w:val="NormalText"/>
      </w:pPr>
      <w:r w:rsidRPr="00E43460">
        <w:t>A representative SL formulation of diquat had low toxicity to non-target terrestrial plants following pre-emergent exposure to soil residues under laboratory conditions (lowest ER</w:t>
      </w:r>
      <w:r w:rsidRPr="009240BD">
        <w:rPr>
          <w:vertAlign w:val="subscript"/>
        </w:rPr>
        <w:t xml:space="preserve">25 </w:t>
      </w:r>
      <w:r w:rsidRPr="00E43460">
        <w:t xml:space="preserve">25 kg ac/ha, </w:t>
      </w:r>
      <w:r w:rsidRPr="009240BD">
        <w:rPr>
          <w:i/>
          <w:iCs/>
        </w:rPr>
        <w:t>Zea mays</w:t>
      </w:r>
      <w:r w:rsidRPr="00E43460">
        <w:t>). However, because diquat is a non-selective contact herbicide, foliar exposure is the exposure route of greatest concern. Under laboratory conditions, cabbage was the most sensitive species following foliar exposure (ER</w:t>
      </w:r>
      <w:r w:rsidRPr="009240BD">
        <w:rPr>
          <w:vertAlign w:val="subscript"/>
        </w:rPr>
        <w:t>50</w:t>
      </w:r>
      <w:r w:rsidRPr="00E43460">
        <w:t xml:space="preserve"> 15 g ac/ha, </w:t>
      </w:r>
      <w:r w:rsidRPr="009240BD">
        <w:rPr>
          <w:i/>
          <w:iCs/>
        </w:rPr>
        <w:t>Brassica oleracea</w:t>
      </w:r>
      <w:r w:rsidRPr="00E43460">
        <w:t>). Under field conditions, a natural stand of yellow nutsedge was the most sensitive based on visual injury (ER</w:t>
      </w:r>
      <w:r w:rsidRPr="009240BD">
        <w:rPr>
          <w:vertAlign w:val="subscript"/>
        </w:rPr>
        <w:t>50</w:t>
      </w:r>
      <w:r w:rsidRPr="00E43460">
        <w:t xml:space="preserve"> 35 g ac/ha, </w:t>
      </w:r>
      <w:r w:rsidRPr="009240BD">
        <w:rPr>
          <w:i/>
          <w:iCs/>
        </w:rPr>
        <w:t>Cyperus esculentus</w:t>
      </w:r>
      <w:r w:rsidRPr="00E43460">
        <w:t>); sunflower was the next most sensitive species based on dry weight (ER</w:t>
      </w:r>
      <w:r w:rsidRPr="009240BD">
        <w:rPr>
          <w:vertAlign w:val="subscript"/>
        </w:rPr>
        <w:t>50</w:t>
      </w:r>
      <w:r w:rsidRPr="00E43460">
        <w:t xml:space="preserve"> 50 g ac/ha, </w:t>
      </w:r>
      <w:r w:rsidRPr="009240BD">
        <w:rPr>
          <w:i/>
          <w:iCs/>
        </w:rPr>
        <w:t>Helianthus annuus</w:t>
      </w:r>
      <w:r w:rsidRPr="00E43460">
        <w:t>).</w:t>
      </w:r>
    </w:p>
    <w:p w14:paraId="2CF78BC3" w14:textId="1D48B0A8" w:rsidR="00E43460" w:rsidRPr="00E43460" w:rsidRDefault="005B2450" w:rsidP="00E43460">
      <w:pPr>
        <w:pStyle w:val="NormalText"/>
      </w:pPr>
      <w:r w:rsidRPr="00DA462E">
        <w:rPr>
          <w:szCs w:val="19"/>
        </w:rPr>
        <w:t>An SSD analysis was performed on the post-emergent ER</w:t>
      </w:r>
      <w:r w:rsidRPr="00EF6B9A">
        <w:rPr>
          <w:szCs w:val="19"/>
          <w:vertAlign w:val="subscript"/>
        </w:rPr>
        <w:t>50</w:t>
      </w:r>
      <w:r w:rsidRPr="00DA462E">
        <w:rPr>
          <w:szCs w:val="19"/>
        </w:rPr>
        <w:t xml:space="preserve"> values for 1</w:t>
      </w:r>
      <w:r>
        <w:rPr>
          <w:szCs w:val="19"/>
        </w:rPr>
        <w:t>0</w:t>
      </w:r>
      <w:r w:rsidRPr="00DA462E">
        <w:rPr>
          <w:szCs w:val="19"/>
        </w:rPr>
        <w:t xml:space="preserve"> non-target terrestrial plant species. </w:t>
      </w:r>
      <w:r>
        <w:rPr>
          <w:szCs w:val="19"/>
        </w:rPr>
        <w:t>T</w:t>
      </w:r>
      <w:r w:rsidRPr="003542C0">
        <w:rPr>
          <w:szCs w:val="19"/>
        </w:rPr>
        <w:t>he resulting HR</w:t>
      </w:r>
      <w:r w:rsidRPr="003542C0">
        <w:rPr>
          <w:szCs w:val="19"/>
          <w:vertAlign w:val="subscript"/>
        </w:rPr>
        <w:t>5</w:t>
      </w:r>
      <w:r w:rsidRPr="003542C0">
        <w:rPr>
          <w:szCs w:val="19"/>
        </w:rPr>
        <w:t xml:space="preserve"> (</w:t>
      </w:r>
      <w:r w:rsidR="008E2515">
        <w:rPr>
          <w:szCs w:val="19"/>
        </w:rPr>
        <w:fldChar w:fldCharType="begin" w:fldLock="1"/>
      </w:r>
      <w:r w:rsidR="008E2515">
        <w:rPr>
          <w:szCs w:val="19"/>
        </w:rPr>
        <w:instrText xml:space="preserve"> REF _Ref167441613 \h </w:instrText>
      </w:r>
      <w:r w:rsidR="008E2515">
        <w:rPr>
          <w:szCs w:val="19"/>
        </w:rPr>
      </w:r>
      <w:r w:rsidR="008E2515">
        <w:rPr>
          <w:szCs w:val="19"/>
        </w:rPr>
        <w:fldChar w:fldCharType="separate"/>
      </w:r>
      <w:r w:rsidR="008E2515" w:rsidRPr="000179FF">
        <w:t xml:space="preserve">Table </w:t>
      </w:r>
      <w:r w:rsidR="008E2515">
        <w:rPr>
          <w:noProof/>
        </w:rPr>
        <w:t>27</w:t>
      </w:r>
      <w:r w:rsidR="008E2515">
        <w:rPr>
          <w:szCs w:val="19"/>
        </w:rPr>
        <w:fldChar w:fldCharType="end"/>
      </w:r>
      <w:r w:rsidRPr="003542C0">
        <w:rPr>
          <w:szCs w:val="19"/>
        </w:rPr>
        <w:t xml:space="preserve">) </w:t>
      </w:r>
      <w:r>
        <w:rPr>
          <w:szCs w:val="19"/>
        </w:rPr>
        <w:t>is</w:t>
      </w:r>
      <w:r w:rsidRPr="003542C0">
        <w:rPr>
          <w:szCs w:val="19"/>
        </w:rPr>
        <w:t xml:space="preserve"> summarised below. </w:t>
      </w:r>
      <w:r>
        <w:rPr>
          <w:szCs w:val="19"/>
        </w:rPr>
        <w:t>T</w:t>
      </w:r>
      <w:r w:rsidRPr="003542C0">
        <w:rPr>
          <w:szCs w:val="19"/>
        </w:rPr>
        <w:t xml:space="preserve">he RAL for </w:t>
      </w:r>
      <w:r>
        <w:rPr>
          <w:szCs w:val="19"/>
        </w:rPr>
        <w:t xml:space="preserve">the spray drift </w:t>
      </w:r>
      <w:r w:rsidRPr="003542C0">
        <w:rPr>
          <w:szCs w:val="19"/>
        </w:rPr>
        <w:t xml:space="preserve">assessment is </w:t>
      </w:r>
      <w:r>
        <w:rPr>
          <w:szCs w:val="19"/>
        </w:rPr>
        <w:t>15 </w:t>
      </w:r>
      <w:r w:rsidRPr="003542C0">
        <w:rPr>
          <w:szCs w:val="19"/>
        </w:rPr>
        <w:t>g</w:t>
      </w:r>
      <w:r>
        <w:rPr>
          <w:szCs w:val="19"/>
        </w:rPr>
        <w:t> </w:t>
      </w:r>
      <w:r w:rsidRPr="003542C0">
        <w:rPr>
          <w:szCs w:val="19"/>
        </w:rPr>
        <w:t>ac/ha.</w:t>
      </w:r>
      <w:r>
        <w:rPr>
          <w:szCs w:val="19"/>
        </w:rPr>
        <w:t xml:space="preserve"> </w:t>
      </w:r>
      <w:r w:rsidR="00E43460" w:rsidRPr="00E43460">
        <w:t>The 3-hour EC</w:t>
      </w:r>
      <w:r w:rsidR="00E43460" w:rsidRPr="009240BD">
        <w:rPr>
          <w:vertAlign w:val="subscript"/>
        </w:rPr>
        <w:t>50</w:t>
      </w:r>
      <w:r w:rsidR="00E43460" w:rsidRPr="00E43460">
        <w:t xml:space="preserve"> of diquat on activated sewage sludge was &gt;220 mg ac/L (Clarke 2009).</w:t>
      </w:r>
    </w:p>
    <w:p w14:paraId="2FB97D73" w14:textId="77777777" w:rsidR="00E43460" w:rsidRPr="00E43460" w:rsidRDefault="00E43460" w:rsidP="00E43460">
      <w:pPr>
        <w:pStyle w:val="NormalText"/>
      </w:pPr>
      <w:r w:rsidRPr="00E43460">
        <w:t xml:space="preserve">In terms of endocrine disrupting properties of diquat, there is strong evidence for adverse </w:t>
      </w:r>
      <w:r w:rsidRPr="00C25652">
        <w:rPr>
          <w:i/>
          <w:iCs/>
        </w:rPr>
        <w:t>in vivo</w:t>
      </w:r>
      <w:r w:rsidRPr="00E43460">
        <w:t xml:space="preserve"> effects on sexually reproducing molluscs, but the effects were not necessarily caused by endocrine disruption. Results in remaining non-mammalian species are largely equivocal. No targeted studies were available to mechanistically understand the reproductive toxicity to non-mammalian species; therefore, it is not possible to assess whether any observed effects were endocrine-mediated. Therefore, no firm conclusion can be drawn regarding endocrine effects of diquat.</w:t>
      </w:r>
    </w:p>
    <w:p w14:paraId="5D80F512" w14:textId="7F16C411" w:rsidR="00AB17DB" w:rsidRDefault="00E43460" w:rsidP="00E43460">
      <w:pPr>
        <w:pStyle w:val="NormalText"/>
      </w:pPr>
      <w:r w:rsidRPr="00E43460">
        <w:t xml:space="preserve">The regulatory acceptable levels for the environmental risk assessment are proposed in the table below. The RAL values for the spray drift assessment are </w:t>
      </w:r>
      <w:r w:rsidR="005B2450">
        <w:t>1.4</w:t>
      </w:r>
      <w:r w:rsidRPr="00E43460">
        <w:t xml:space="preserve"> µg ac/L for the protection of natural aquatic areas, 17</w:t>
      </w:r>
      <w:r w:rsidR="00E91A7B">
        <w:t>,</w:t>
      </w:r>
      <w:r w:rsidRPr="00E43460">
        <w:t xml:space="preserve">500 g ac/ha for the protection of pollinator areas, and </w:t>
      </w:r>
      <w:r w:rsidR="005B2450">
        <w:t>15</w:t>
      </w:r>
      <w:r w:rsidR="005B2450" w:rsidRPr="00E43460">
        <w:t xml:space="preserve"> </w:t>
      </w:r>
      <w:r w:rsidRPr="00E43460">
        <w:t>g ac/ha for the protection of vegetation areas.</w:t>
      </w:r>
    </w:p>
    <w:p w14:paraId="4A4E46B6" w14:textId="6E40EF95" w:rsidR="00F86E95" w:rsidRPr="000179FF" w:rsidRDefault="00735B4F" w:rsidP="000179FF">
      <w:pPr>
        <w:pStyle w:val="Caption"/>
      </w:pPr>
      <w:bookmarkStart w:id="403" w:name="_Ref167441235"/>
      <w:bookmarkStart w:id="404" w:name="_Toc232589621"/>
      <w:r w:rsidRPr="000179FF">
        <w:t xml:space="preserve">Table </w:t>
      </w:r>
      <w:fldSimple w:instr=" SEQ Table \* ARABIC ">
        <w:r w:rsidR="000179FF">
          <w:rPr>
            <w:noProof/>
          </w:rPr>
          <w:t>26</w:t>
        </w:r>
      </w:fldSimple>
      <w:bookmarkEnd w:id="403"/>
      <w:r w:rsidR="00F86E95" w:rsidRPr="000179FF">
        <w:t>:</w:t>
      </w:r>
      <w:r w:rsidRPr="000179FF">
        <w:t xml:space="preserve"> </w:t>
      </w:r>
      <w:bookmarkStart w:id="405" w:name="_Hlk157331023"/>
      <w:r w:rsidR="00CD2A0F" w:rsidRPr="000179FF">
        <w:t>T</w:t>
      </w:r>
      <w:r w:rsidR="00F86E95" w:rsidRPr="000179FF">
        <w:t>oxicity endpoints for aquatic primary producers used in SSD analysis</w:t>
      </w:r>
      <w:bookmarkEnd w:id="404"/>
      <w:bookmarkEnd w:id="405"/>
    </w:p>
    <w:tbl>
      <w:tblPr>
        <w:tblW w:w="5000" w:type="pct"/>
        <w:tblCellMar>
          <w:top w:w="57" w:type="dxa"/>
          <w:left w:w="57" w:type="dxa"/>
          <w:bottom w:w="57" w:type="dxa"/>
          <w:right w:w="57" w:type="dxa"/>
        </w:tblCellMar>
        <w:tblLook w:val="04A0" w:firstRow="1" w:lastRow="0" w:firstColumn="1" w:lastColumn="0" w:noHBand="0" w:noVBand="1"/>
      </w:tblPr>
      <w:tblGrid>
        <w:gridCol w:w="2574"/>
        <w:gridCol w:w="882"/>
        <w:gridCol w:w="2130"/>
        <w:gridCol w:w="2126"/>
        <w:gridCol w:w="2040"/>
      </w:tblGrid>
      <w:tr w:rsidR="005B2450" w:rsidRPr="003B5A86" w14:paraId="6BE2D8CB" w14:textId="77777777" w:rsidTr="005B2450">
        <w:trPr>
          <w:cantSplit/>
          <w:tblHeader/>
        </w:trPr>
        <w:tc>
          <w:tcPr>
            <w:tcW w:w="0" w:type="auto"/>
            <w:tcBorders>
              <w:top w:val="single" w:sz="4" w:space="0" w:color="auto"/>
              <w:bottom w:val="single" w:sz="4" w:space="0" w:color="auto"/>
            </w:tcBorders>
            <w:shd w:val="clear" w:color="auto" w:fill="5C2946"/>
          </w:tcPr>
          <w:p w14:paraId="37FB845E" w14:textId="77777777" w:rsidR="00F86E95" w:rsidRPr="00E91A7B" w:rsidRDefault="00F86E95" w:rsidP="00E91A7B">
            <w:pPr>
              <w:pStyle w:val="TableHead"/>
            </w:pPr>
            <w:r w:rsidRPr="00E91A7B">
              <w:t>Species</w:t>
            </w:r>
          </w:p>
        </w:tc>
        <w:tc>
          <w:tcPr>
            <w:tcW w:w="452" w:type="pct"/>
            <w:tcBorders>
              <w:top w:val="single" w:sz="4" w:space="0" w:color="auto"/>
              <w:bottom w:val="single" w:sz="4" w:space="0" w:color="auto"/>
            </w:tcBorders>
            <w:shd w:val="clear" w:color="auto" w:fill="5C2946"/>
          </w:tcPr>
          <w:p w14:paraId="4711D23B" w14:textId="77777777" w:rsidR="00F86E95" w:rsidRPr="00E91A7B" w:rsidRDefault="00F86E95" w:rsidP="00E91A7B">
            <w:pPr>
              <w:pStyle w:val="TableHead"/>
            </w:pPr>
            <w:r w:rsidRPr="00E91A7B">
              <w:t>Exposure days</w:t>
            </w:r>
          </w:p>
        </w:tc>
        <w:tc>
          <w:tcPr>
            <w:tcW w:w="1092" w:type="pct"/>
            <w:tcBorders>
              <w:top w:val="single" w:sz="4" w:space="0" w:color="auto"/>
              <w:bottom w:val="single" w:sz="4" w:space="0" w:color="auto"/>
            </w:tcBorders>
            <w:shd w:val="clear" w:color="auto" w:fill="5C2946"/>
          </w:tcPr>
          <w:p w14:paraId="11BAF13C" w14:textId="77777777" w:rsidR="00F86E95" w:rsidRPr="00E91A7B" w:rsidRDefault="00F86E95" w:rsidP="00E91A7B">
            <w:pPr>
              <w:pStyle w:val="TableHead"/>
            </w:pPr>
            <w:r w:rsidRPr="00E91A7B">
              <w:t>Measured EC</w:t>
            </w:r>
            <w:r w:rsidRPr="00C164F7">
              <w:rPr>
                <w:vertAlign w:val="subscript"/>
              </w:rPr>
              <w:t>50</w:t>
            </w:r>
          </w:p>
        </w:tc>
        <w:tc>
          <w:tcPr>
            <w:tcW w:w="1090" w:type="pct"/>
            <w:tcBorders>
              <w:top w:val="single" w:sz="4" w:space="0" w:color="auto"/>
              <w:bottom w:val="single" w:sz="4" w:space="0" w:color="auto"/>
            </w:tcBorders>
            <w:shd w:val="clear" w:color="auto" w:fill="5C2946"/>
          </w:tcPr>
          <w:p w14:paraId="4BC54F6E" w14:textId="77777777" w:rsidR="00F86E95" w:rsidRPr="00E91A7B" w:rsidRDefault="00F86E95" w:rsidP="00E91A7B">
            <w:pPr>
              <w:pStyle w:val="TableHead"/>
            </w:pPr>
            <w:r w:rsidRPr="00E91A7B">
              <w:t>Adjusted EC</w:t>
            </w:r>
            <w:r w:rsidRPr="00C164F7">
              <w:rPr>
                <w:vertAlign w:val="subscript"/>
              </w:rPr>
              <w:t>50</w:t>
            </w:r>
          </w:p>
        </w:tc>
        <w:tc>
          <w:tcPr>
            <w:tcW w:w="1046" w:type="pct"/>
            <w:tcBorders>
              <w:top w:val="single" w:sz="4" w:space="0" w:color="auto"/>
              <w:bottom w:val="single" w:sz="4" w:space="0" w:color="auto"/>
            </w:tcBorders>
            <w:shd w:val="clear" w:color="auto" w:fill="5C2946"/>
          </w:tcPr>
          <w:p w14:paraId="6B85177C" w14:textId="77777777" w:rsidR="00F86E95" w:rsidRPr="00E91A7B" w:rsidRDefault="00F86E95" w:rsidP="00E91A7B">
            <w:pPr>
              <w:pStyle w:val="TableHead"/>
            </w:pPr>
            <w:r w:rsidRPr="00E91A7B">
              <w:t>Notes</w:t>
            </w:r>
          </w:p>
        </w:tc>
      </w:tr>
      <w:tr w:rsidR="005B2450" w:rsidRPr="003B5A86" w14:paraId="0E5D60A8" w14:textId="77777777" w:rsidTr="005B2450">
        <w:trPr>
          <w:cantSplit/>
        </w:trPr>
        <w:tc>
          <w:tcPr>
            <w:tcW w:w="0" w:type="auto"/>
            <w:vMerge w:val="restart"/>
            <w:tcBorders>
              <w:top w:val="single" w:sz="4" w:space="0" w:color="auto"/>
            </w:tcBorders>
          </w:tcPr>
          <w:p w14:paraId="78A3E18C" w14:textId="77777777" w:rsidR="00E91A7B" w:rsidRPr="005B2450" w:rsidRDefault="00E91A7B" w:rsidP="00E91A7B">
            <w:pPr>
              <w:pStyle w:val="TableText"/>
              <w:rPr>
                <w:i/>
                <w:iCs/>
                <w:szCs w:val="17"/>
              </w:rPr>
            </w:pPr>
            <w:r w:rsidRPr="005B2450">
              <w:rPr>
                <w:i/>
                <w:iCs/>
                <w:szCs w:val="17"/>
              </w:rPr>
              <w:t>Navicula pelliculosa</w:t>
            </w:r>
          </w:p>
          <w:p w14:paraId="4210B72A" w14:textId="77777777" w:rsidR="00E91A7B" w:rsidRPr="005B2450" w:rsidRDefault="00E91A7B" w:rsidP="00E91A7B">
            <w:pPr>
              <w:pStyle w:val="TableText"/>
              <w:rPr>
                <w:i/>
                <w:iCs/>
                <w:szCs w:val="17"/>
              </w:rPr>
            </w:pPr>
            <w:r w:rsidRPr="005B2450">
              <w:rPr>
                <w:i/>
                <w:iCs/>
                <w:szCs w:val="17"/>
              </w:rPr>
              <w:t>Nitzschia palea</w:t>
            </w:r>
          </w:p>
          <w:p w14:paraId="057ECA9F" w14:textId="77777777" w:rsidR="00E91A7B" w:rsidRPr="005B2450" w:rsidRDefault="00E91A7B" w:rsidP="00E91A7B">
            <w:pPr>
              <w:pStyle w:val="TableText"/>
              <w:rPr>
                <w:i/>
                <w:iCs/>
                <w:szCs w:val="17"/>
              </w:rPr>
            </w:pPr>
            <w:r w:rsidRPr="005B2450">
              <w:rPr>
                <w:i/>
                <w:iCs/>
                <w:szCs w:val="17"/>
              </w:rPr>
              <w:t>Achnanthidium minutissimum</w:t>
            </w:r>
          </w:p>
          <w:p w14:paraId="6C2FFB5E" w14:textId="77777777" w:rsidR="00E91A7B" w:rsidRPr="005B2450" w:rsidRDefault="00E91A7B" w:rsidP="00E91A7B">
            <w:pPr>
              <w:pStyle w:val="TableText"/>
              <w:rPr>
                <w:i/>
                <w:iCs/>
                <w:szCs w:val="17"/>
              </w:rPr>
            </w:pPr>
            <w:r w:rsidRPr="005B2450">
              <w:rPr>
                <w:i/>
                <w:iCs/>
                <w:szCs w:val="17"/>
              </w:rPr>
              <w:t>Lemna gibba</w:t>
            </w:r>
          </w:p>
          <w:p w14:paraId="07CB3B8A" w14:textId="77777777" w:rsidR="00E91A7B" w:rsidRDefault="00E91A7B" w:rsidP="00E91A7B">
            <w:pPr>
              <w:pStyle w:val="TableText"/>
              <w:rPr>
                <w:i/>
                <w:iCs/>
                <w:szCs w:val="17"/>
              </w:rPr>
            </w:pPr>
            <w:r w:rsidRPr="005B2450">
              <w:rPr>
                <w:i/>
                <w:iCs/>
                <w:szCs w:val="17"/>
              </w:rPr>
              <w:t>Anabaena flos-aquae</w:t>
            </w:r>
          </w:p>
          <w:p w14:paraId="33252075" w14:textId="4EC94C01" w:rsidR="005B2450" w:rsidRPr="005B2450" w:rsidRDefault="005B2450" w:rsidP="00E91A7B">
            <w:pPr>
              <w:pStyle w:val="TableText"/>
              <w:rPr>
                <w:i/>
                <w:iCs/>
                <w:szCs w:val="17"/>
              </w:rPr>
            </w:pPr>
            <w:r>
              <w:rPr>
                <w:i/>
                <w:iCs/>
                <w:szCs w:val="17"/>
              </w:rPr>
              <w:t>Raphidocelis subcapitata</w:t>
            </w:r>
          </w:p>
          <w:p w14:paraId="1AB7D050" w14:textId="77777777" w:rsidR="00E91A7B" w:rsidRPr="005B2450" w:rsidRDefault="00E91A7B" w:rsidP="00E91A7B">
            <w:pPr>
              <w:pStyle w:val="TableText"/>
              <w:rPr>
                <w:i/>
                <w:iCs/>
                <w:szCs w:val="17"/>
              </w:rPr>
            </w:pPr>
            <w:r w:rsidRPr="005B2450">
              <w:rPr>
                <w:i/>
                <w:iCs/>
                <w:szCs w:val="17"/>
              </w:rPr>
              <w:t>Pseudanabaena foetida</w:t>
            </w:r>
          </w:p>
          <w:p w14:paraId="18BF42DD" w14:textId="77777777" w:rsidR="00E91A7B" w:rsidRPr="005B2450" w:rsidRDefault="00E91A7B" w:rsidP="00E91A7B">
            <w:pPr>
              <w:pStyle w:val="TableText"/>
              <w:rPr>
                <w:i/>
                <w:iCs/>
                <w:szCs w:val="17"/>
              </w:rPr>
            </w:pPr>
            <w:r w:rsidRPr="005B2450">
              <w:rPr>
                <w:i/>
                <w:iCs/>
                <w:szCs w:val="17"/>
              </w:rPr>
              <w:t>Synechococcus leopoliensis</w:t>
            </w:r>
          </w:p>
          <w:p w14:paraId="7C74DBCB" w14:textId="77777777" w:rsidR="00E91A7B" w:rsidRPr="005B2450" w:rsidRDefault="00E91A7B" w:rsidP="00E91A7B">
            <w:pPr>
              <w:pStyle w:val="TableText"/>
              <w:rPr>
                <w:i/>
                <w:iCs/>
                <w:szCs w:val="17"/>
              </w:rPr>
            </w:pPr>
            <w:r w:rsidRPr="005B2450">
              <w:rPr>
                <w:i/>
                <w:iCs/>
                <w:szCs w:val="17"/>
              </w:rPr>
              <w:t>Fistulifera pelliculosa</w:t>
            </w:r>
          </w:p>
          <w:p w14:paraId="2A20EDD6" w14:textId="77777777" w:rsidR="00E91A7B" w:rsidRPr="005B2450" w:rsidRDefault="00E91A7B" w:rsidP="00E91A7B">
            <w:pPr>
              <w:pStyle w:val="TableText"/>
              <w:rPr>
                <w:i/>
                <w:iCs/>
                <w:szCs w:val="17"/>
              </w:rPr>
            </w:pPr>
            <w:r w:rsidRPr="005B2450">
              <w:rPr>
                <w:i/>
                <w:iCs/>
                <w:szCs w:val="17"/>
              </w:rPr>
              <w:t>Desmodesmus subspicatus</w:t>
            </w:r>
          </w:p>
          <w:p w14:paraId="4C510495" w14:textId="77777777" w:rsidR="00E91A7B" w:rsidRPr="005B2450" w:rsidRDefault="00E91A7B" w:rsidP="00E91A7B">
            <w:pPr>
              <w:pStyle w:val="TableText"/>
              <w:rPr>
                <w:i/>
                <w:iCs/>
                <w:szCs w:val="17"/>
              </w:rPr>
            </w:pPr>
            <w:r w:rsidRPr="005B2450">
              <w:rPr>
                <w:i/>
                <w:iCs/>
                <w:szCs w:val="17"/>
              </w:rPr>
              <w:t>Skeletonema costatum</w:t>
            </w:r>
          </w:p>
        </w:tc>
        <w:tc>
          <w:tcPr>
            <w:tcW w:w="452" w:type="pct"/>
            <w:tcBorders>
              <w:top w:val="single" w:sz="4" w:space="0" w:color="auto"/>
              <w:bottom w:val="single" w:sz="4" w:space="0" w:color="auto"/>
            </w:tcBorders>
          </w:tcPr>
          <w:p w14:paraId="5B2999CD" w14:textId="77777777" w:rsidR="00E91A7B" w:rsidRPr="005B2450" w:rsidRDefault="00E91A7B" w:rsidP="00E91A7B">
            <w:pPr>
              <w:pStyle w:val="TableText"/>
              <w:rPr>
                <w:szCs w:val="17"/>
              </w:rPr>
            </w:pPr>
            <w:r w:rsidRPr="005B2450">
              <w:rPr>
                <w:szCs w:val="17"/>
              </w:rPr>
              <w:t>3 d</w:t>
            </w:r>
          </w:p>
          <w:p w14:paraId="65FE26DC" w14:textId="77777777" w:rsidR="00E91A7B" w:rsidRPr="005B2450" w:rsidRDefault="00E91A7B" w:rsidP="00E91A7B">
            <w:pPr>
              <w:pStyle w:val="TableText"/>
              <w:rPr>
                <w:szCs w:val="17"/>
              </w:rPr>
            </w:pPr>
            <w:r w:rsidRPr="005B2450">
              <w:rPr>
                <w:szCs w:val="17"/>
              </w:rPr>
              <w:t>4 d</w:t>
            </w:r>
          </w:p>
          <w:p w14:paraId="5C70FF57" w14:textId="77777777" w:rsidR="00E91A7B" w:rsidRPr="005B2450" w:rsidRDefault="00E91A7B" w:rsidP="00E91A7B">
            <w:pPr>
              <w:pStyle w:val="TableText"/>
              <w:rPr>
                <w:szCs w:val="17"/>
              </w:rPr>
            </w:pPr>
            <w:r w:rsidRPr="005B2450">
              <w:rPr>
                <w:szCs w:val="17"/>
              </w:rPr>
              <w:t>4 d</w:t>
            </w:r>
          </w:p>
          <w:p w14:paraId="76009EF1" w14:textId="77777777" w:rsidR="00E91A7B" w:rsidRPr="005B2450" w:rsidRDefault="00E91A7B" w:rsidP="00E91A7B">
            <w:pPr>
              <w:pStyle w:val="TableText"/>
              <w:rPr>
                <w:szCs w:val="17"/>
              </w:rPr>
            </w:pPr>
            <w:r w:rsidRPr="005B2450">
              <w:rPr>
                <w:szCs w:val="17"/>
              </w:rPr>
              <w:t>14 d</w:t>
            </w:r>
          </w:p>
          <w:p w14:paraId="10DE8ACD" w14:textId="77777777" w:rsidR="00E91A7B" w:rsidRDefault="00E91A7B" w:rsidP="00E91A7B">
            <w:pPr>
              <w:pStyle w:val="TableText"/>
              <w:rPr>
                <w:szCs w:val="17"/>
              </w:rPr>
            </w:pPr>
            <w:r w:rsidRPr="005B2450">
              <w:rPr>
                <w:szCs w:val="17"/>
              </w:rPr>
              <w:t>3 d</w:t>
            </w:r>
          </w:p>
          <w:p w14:paraId="2A4A81B9" w14:textId="1CCD56F7" w:rsidR="005B2450" w:rsidRPr="005B2450" w:rsidRDefault="005B2450" w:rsidP="00E91A7B">
            <w:pPr>
              <w:pStyle w:val="TableText"/>
              <w:rPr>
                <w:szCs w:val="17"/>
              </w:rPr>
            </w:pPr>
            <w:r>
              <w:rPr>
                <w:szCs w:val="17"/>
              </w:rPr>
              <w:t>4 d</w:t>
            </w:r>
          </w:p>
          <w:p w14:paraId="447F88B4" w14:textId="77777777" w:rsidR="00E91A7B" w:rsidRPr="005B2450" w:rsidRDefault="00E91A7B" w:rsidP="00E91A7B">
            <w:pPr>
              <w:pStyle w:val="TableText"/>
              <w:rPr>
                <w:szCs w:val="17"/>
              </w:rPr>
            </w:pPr>
            <w:r w:rsidRPr="005B2450">
              <w:rPr>
                <w:szCs w:val="17"/>
              </w:rPr>
              <w:t>4 d</w:t>
            </w:r>
          </w:p>
          <w:p w14:paraId="6BAC3E00" w14:textId="77777777" w:rsidR="00E91A7B" w:rsidRPr="005B2450" w:rsidRDefault="00E91A7B" w:rsidP="00E91A7B">
            <w:pPr>
              <w:pStyle w:val="TableText"/>
              <w:rPr>
                <w:szCs w:val="17"/>
              </w:rPr>
            </w:pPr>
            <w:r w:rsidRPr="005B2450">
              <w:rPr>
                <w:szCs w:val="17"/>
              </w:rPr>
              <w:t>4 d</w:t>
            </w:r>
          </w:p>
          <w:p w14:paraId="49D37352" w14:textId="77777777" w:rsidR="00E91A7B" w:rsidRPr="005B2450" w:rsidRDefault="00E91A7B" w:rsidP="00E91A7B">
            <w:pPr>
              <w:pStyle w:val="TableText"/>
              <w:rPr>
                <w:szCs w:val="17"/>
              </w:rPr>
            </w:pPr>
            <w:r w:rsidRPr="005B2450">
              <w:rPr>
                <w:szCs w:val="17"/>
              </w:rPr>
              <w:t>4 d</w:t>
            </w:r>
          </w:p>
          <w:p w14:paraId="4FFBEB3A" w14:textId="77777777" w:rsidR="00E91A7B" w:rsidRPr="005B2450" w:rsidRDefault="00E91A7B" w:rsidP="00E91A7B">
            <w:pPr>
              <w:pStyle w:val="TableText"/>
              <w:rPr>
                <w:szCs w:val="17"/>
              </w:rPr>
            </w:pPr>
            <w:r w:rsidRPr="005B2450">
              <w:rPr>
                <w:szCs w:val="17"/>
              </w:rPr>
              <w:t>4 d</w:t>
            </w:r>
          </w:p>
          <w:p w14:paraId="0E7BF321" w14:textId="77777777" w:rsidR="00E91A7B" w:rsidRPr="005B2450" w:rsidRDefault="00E91A7B" w:rsidP="00E91A7B">
            <w:pPr>
              <w:pStyle w:val="TableText"/>
              <w:rPr>
                <w:szCs w:val="17"/>
              </w:rPr>
            </w:pPr>
            <w:r w:rsidRPr="005B2450">
              <w:rPr>
                <w:szCs w:val="17"/>
              </w:rPr>
              <w:t>3 d</w:t>
            </w:r>
          </w:p>
        </w:tc>
        <w:tc>
          <w:tcPr>
            <w:tcW w:w="1092" w:type="pct"/>
            <w:tcBorders>
              <w:top w:val="single" w:sz="4" w:space="0" w:color="auto"/>
              <w:bottom w:val="single" w:sz="4" w:space="0" w:color="auto"/>
            </w:tcBorders>
          </w:tcPr>
          <w:p w14:paraId="442AF169" w14:textId="77777777" w:rsidR="00E91A7B" w:rsidRPr="005B2450" w:rsidRDefault="00E91A7B" w:rsidP="00E91A7B">
            <w:pPr>
              <w:pStyle w:val="TableText"/>
              <w:rPr>
                <w:szCs w:val="17"/>
              </w:rPr>
            </w:pPr>
            <w:r w:rsidRPr="005B2450">
              <w:rPr>
                <w:szCs w:val="17"/>
              </w:rPr>
              <w:t>0.0012 mg ac/L</w:t>
            </w:r>
          </w:p>
          <w:p w14:paraId="3E7C1A5E" w14:textId="77777777" w:rsidR="00E91A7B" w:rsidRPr="005B2450" w:rsidRDefault="00E91A7B" w:rsidP="00E91A7B">
            <w:pPr>
              <w:pStyle w:val="TableText"/>
              <w:rPr>
                <w:szCs w:val="17"/>
              </w:rPr>
            </w:pPr>
            <w:r w:rsidRPr="005B2450">
              <w:rPr>
                <w:szCs w:val="17"/>
              </w:rPr>
              <w:t>0.0052 mg ac/L</w:t>
            </w:r>
          </w:p>
          <w:p w14:paraId="07827F50" w14:textId="77777777" w:rsidR="00E91A7B" w:rsidRPr="005B2450" w:rsidRDefault="00E91A7B" w:rsidP="00E91A7B">
            <w:pPr>
              <w:pStyle w:val="TableText"/>
              <w:rPr>
                <w:szCs w:val="17"/>
              </w:rPr>
            </w:pPr>
            <w:r w:rsidRPr="005B2450">
              <w:rPr>
                <w:szCs w:val="17"/>
              </w:rPr>
              <w:t>0.0073 mg ac/L</w:t>
            </w:r>
          </w:p>
          <w:p w14:paraId="345AC334" w14:textId="77777777" w:rsidR="00E91A7B" w:rsidRPr="005B2450" w:rsidRDefault="00E91A7B" w:rsidP="00E91A7B">
            <w:pPr>
              <w:pStyle w:val="TableText"/>
              <w:rPr>
                <w:szCs w:val="17"/>
              </w:rPr>
            </w:pPr>
            <w:r w:rsidRPr="005B2450">
              <w:rPr>
                <w:szCs w:val="17"/>
              </w:rPr>
              <w:t>0.0032 mg ac/L</w:t>
            </w:r>
          </w:p>
          <w:p w14:paraId="18FF8300" w14:textId="77777777" w:rsidR="00E91A7B" w:rsidRDefault="00E91A7B" w:rsidP="00E91A7B">
            <w:pPr>
              <w:pStyle w:val="TableText"/>
              <w:rPr>
                <w:szCs w:val="17"/>
              </w:rPr>
            </w:pPr>
            <w:r w:rsidRPr="005B2450">
              <w:rPr>
                <w:szCs w:val="17"/>
              </w:rPr>
              <w:t>0.025 mg ac/L</w:t>
            </w:r>
          </w:p>
          <w:p w14:paraId="12994659" w14:textId="47DC8B6B" w:rsidR="005B2450" w:rsidRPr="005B2450" w:rsidRDefault="005B2450" w:rsidP="00E91A7B">
            <w:pPr>
              <w:pStyle w:val="TableText"/>
              <w:rPr>
                <w:szCs w:val="17"/>
              </w:rPr>
            </w:pPr>
            <w:r>
              <w:rPr>
                <w:szCs w:val="17"/>
              </w:rPr>
              <w:t>0.055 mg ac/L</w:t>
            </w:r>
          </w:p>
          <w:p w14:paraId="1D515A10" w14:textId="77777777" w:rsidR="00E91A7B" w:rsidRPr="005B2450" w:rsidRDefault="00E91A7B" w:rsidP="00E91A7B">
            <w:pPr>
              <w:pStyle w:val="TableText"/>
              <w:rPr>
                <w:szCs w:val="17"/>
              </w:rPr>
            </w:pPr>
            <w:r w:rsidRPr="005B2450">
              <w:rPr>
                <w:szCs w:val="17"/>
              </w:rPr>
              <w:t>0.23 mg ac/L</w:t>
            </w:r>
          </w:p>
          <w:p w14:paraId="54F8E117" w14:textId="77777777" w:rsidR="00E91A7B" w:rsidRPr="005B2450" w:rsidRDefault="00E91A7B" w:rsidP="00E91A7B">
            <w:pPr>
              <w:pStyle w:val="TableText"/>
              <w:rPr>
                <w:szCs w:val="17"/>
              </w:rPr>
            </w:pPr>
            <w:r w:rsidRPr="005B2450">
              <w:rPr>
                <w:szCs w:val="17"/>
              </w:rPr>
              <w:t>0.29 mg ac/L</w:t>
            </w:r>
          </w:p>
          <w:p w14:paraId="6AE021EB" w14:textId="77777777" w:rsidR="00E91A7B" w:rsidRPr="005B2450" w:rsidRDefault="00E91A7B" w:rsidP="00E91A7B">
            <w:pPr>
              <w:pStyle w:val="TableText"/>
              <w:rPr>
                <w:szCs w:val="17"/>
              </w:rPr>
            </w:pPr>
            <w:r w:rsidRPr="005B2450">
              <w:rPr>
                <w:szCs w:val="17"/>
              </w:rPr>
              <w:t>0.33 mg ac/L</w:t>
            </w:r>
          </w:p>
          <w:p w14:paraId="33822A29" w14:textId="77777777" w:rsidR="00E91A7B" w:rsidRPr="005B2450" w:rsidRDefault="00E91A7B" w:rsidP="00E91A7B">
            <w:pPr>
              <w:pStyle w:val="TableText"/>
              <w:rPr>
                <w:szCs w:val="17"/>
              </w:rPr>
            </w:pPr>
            <w:r w:rsidRPr="005B2450">
              <w:rPr>
                <w:szCs w:val="17"/>
              </w:rPr>
              <w:t>3.2 mg ac/L</w:t>
            </w:r>
          </w:p>
          <w:p w14:paraId="23982F0D" w14:textId="77777777" w:rsidR="00E91A7B" w:rsidRPr="005B2450" w:rsidRDefault="00E91A7B" w:rsidP="00E91A7B">
            <w:pPr>
              <w:pStyle w:val="TableText"/>
              <w:rPr>
                <w:szCs w:val="17"/>
              </w:rPr>
            </w:pPr>
            <w:r w:rsidRPr="005B2450">
              <w:rPr>
                <w:szCs w:val="17"/>
              </w:rPr>
              <w:t>12 mg ac/L</w:t>
            </w:r>
          </w:p>
        </w:tc>
        <w:tc>
          <w:tcPr>
            <w:tcW w:w="1090" w:type="pct"/>
            <w:tcBorders>
              <w:top w:val="single" w:sz="4" w:space="0" w:color="auto"/>
              <w:bottom w:val="single" w:sz="4" w:space="0" w:color="auto"/>
            </w:tcBorders>
          </w:tcPr>
          <w:p w14:paraId="2051DC7E" w14:textId="77777777" w:rsidR="00E91A7B" w:rsidRPr="005B2450" w:rsidRDefault="00E91A7B" w:rsidP="00E91A7B">
            <w:pPr>
              <w:pStyle w:val="TableText"/>
              <w:rPr>
                <w:szCs w:val="17"/>
              </w:rPr>
            </w:pPr>
            <w:r w:rsidRPr="005B2450">
              <w:rPr>
                <w:szCs w:val="17"/>
              </w:rPr>
              <w:t>0.0051 mg ac/L</w:t>
            </w:r>
          </w:p>
          <w:p w14:paraId="7F848E48" w14:textId="77777777" w:rsidR="00E91A7B" w:rsidRPr="005B2450" w:rsidRDefault="00E91A7B" w:rsidP="00E91A7B">
            <w:pPr>
              <w:pStyle w:val="TableText"/>
              <w:rPr>
                <w:szCs w:val="17"/>
              </w:rPr>
            </w:pPr>
            <w:r w:rsidRPr="005B2450">
              <w:rPr>
                <w:szCs w:val="17"/>
              </w:rPr>
              <w:t>0.029 mg ac/L</w:t>
            </w:r>
          </w:p>
          <w:p w14:paraId="6AE64119" w14:textId="77777777" w:rsidR="00E91A7B" w:rsidRPr="005B2450" w:rsidRDefault="00E91A7B" w:rsidP="00E91A7B">
            <w:pPr>
              <w:pStyle w:val="TableText"/>
              <w:rPr>
                <w:szCs w:val="17"/>
              </w:rPr>
            </w:pPr>
            <w:r w:rsidRPr="005B2450">
              <w:rPr>
                <w:szCs w:val="17"/>
              </w:rPr>
              <w:t>0.041 mg ac/L</w:t>
            </w:r>
          </w:p>
          <w:p w14:paraId="1E5C4522" w14:textId="77777777" w:rsidR="00E91A7B" w:rsidRPr="005B2450" w:rsidRDefault="00E91A7B" w:rsidP="00E91A7B">
            <w:pPr>
              <w:pStyle w:val="TableText"/>
              <w:rPr>
                <w:szCs w:val="17"/>
              </w:rPr>
            </w:pPr>
            <w:r w:rsidRPr="005B2450">
              <w:rPr>
                <w:szCs w:val="17"/>
              </w:rPr>
              <w:t>0.062 mg ac/L</w:t>
            </w:r>
          </w:p>
          <w:p w14:paraId="54D4F64D" w14:textId="77777777" w:rsidR="00E91A7B" w:rsidRDefault="00E91A7B" w:rsidP="00E91A7B">
            <w:pPr>
              <w:pStyle w:val="TableText"/>
              <w:rPr>
                <w:szCs w:val="17"/>
              </w:rPr>
            </w:pPr>
            <w:r w:rsidRPr="005B2450">
              <w:rPr>
                <w:szCs w:val="17"/>
              </w:rPr>
              <w:t>0.11 mg ac/L</w:t>
            </w:r>
          </w:p>
          <w:p w14:paraId="34A6C861" w14:textId="3E862863" w:rsidR="005B2450" w:rsidRPr="005B2450" w:rsidRDefault="005B2450" w:rsidP="00E91A7B">
            <w:pPr>
              <w:pStyle w:val="TableText"/>
              <w:rPr>
                <w:szCs w:val="17"/>
              </w:rPr>
            </w:pPr>
            <w:r>
              <w:rPr>
                <w:szCs w:val="17"/>
              </w:rPr>
              <w:t>0.31 mg ac/L</w:t>
            </w:r>
          </w:p>
          <w:p w14:paraId="08F9D6B8" w14:textId="77777777" w:rsidR="00E91A7B" w:rsidRPr="005B2450" w:rsidRDefault="00E91A7B" w:rsidP="00E91A7B">
            <w:pPr>
              <w:pStyle w:val="TableText"/>
              <w:rPr>
                <w:szCs w:val="17"/>
              </w:rPr>
            </w:pPr>
            <w:r w:rsidRPr="005B2450">
              <w:rPr>
                <w:szCs w:val="17"/>
              </w:rPr>
              <w:t>1.3 mg ac/L</w:t>
            </w:r>
          </w:p>
          <w:p w14:paraId="73AF1626" w14:textId="77777777" w:rsidR="00E91A7B" w:rsidRPr="005B2450" w:rsidRDefault="00E91A7B" w:rsidP="00E91A7B">
            <w:pPr>
              <w:pStyle w:val="TableText"/>
              <w:rPr>
                <w:szCs w:val="17"/>
              </w:rPr>
            </w:pPr>
            <w:r w:rsidRPr="005B2450">
              <w:rPr>
                <w:szCs w:val="17"/>
              </w:rPr>
              <w:t>1.6 mg ac/L</w:t>
            </w:r>
          </w:p>
          <w:p w14:paraId="1EF1B0AF" w14:textId="77777777" w:rsidR="00E91A7B" w:rsidRPr="005B2450" w:rsidRDefault="00E91A7B" w:rsidP="00E91A7B">
            <w:pPr>
              <w:pStyle w:val="TableText"/>
              <w:rPr>
                <w:szCs w:val="17"/>
              </w:rPr>
            </w:pPr>
            <w:r w:rsidRPr="005B2450">
              <w:rPr>
                <w:szCs w:val="17"/>
              </w:rPr>
              <w:t>1.8 mg ac/L</w:t>
            </w:r>
          </w:p>
          <w:p w14:paraId="3913ED3C" w14:textId="77777777" w:rsidR="00E91A7B" w:rsidRPr="005B2450" w:rsidRDefault="00E91A7B" w:rsidP="00E91A7B">
            <w:pPr>
              <w:pStyle w:val="TableText"/>
              <w:rPr>
                <w:szCs w:val="17"/>
              </w:rPr>
            </w:pPr>
            <w:r w:rsidRPr="005B2450">
              <w:rPr>
                <w:szCs w:val="17"/>
              </w:rPr>
              <w:t>18 mg ac/L</w:t>
            </w:r>
          </w:p>
          <w:p w14:paraId="4C80F176" w14:textId="77777777" w:rsidR="00E91A7B" w:rsidRPr="005B2450" w:rsidRDefault="00E91A7B" w:rsidP="00E91A7B">
            <w:pPr>
              <w:pStyle w:val="TableText"/>
              <w:rPr>
                <w:szCs w:val="17"/>
              </w:rPr>
            </w:pPr>
            <w:r w:rsidRPr="005B2450">
              <w:rPr>
                <w:szCs w:val="17"/>
              </w:rPr>
              <w:t>51 mg ac/L</w:t>
            </w:r>
          </w:p>
        </w:tc>
        <w:tc>
          <w:tcPr>
            <w:tcW w:w="1046" w:type="pct"/>
            <w:tcBorders>
              <w:top w:val="single" w:sz="4" w:space="0" w:color="auto"/>
              <w:bottom w:val="single" w:sz="4" w:space="0" w:color="auto"/>
            </w:tcBorders>
          </w:tcPr>
          <w:p w14:paraId="09BC0D78" w14:textId="77777777" w:rsidR="00E91A7B" w:rsidRPr="005B2450" w:rsidRDefault="00E91A7B" w:rsidP="00E91A7B">
            <w:pPr>
              <w:pStyle w:val="TableText"/>
              <w:rPr>
                <w:szCs w:val="17"/>
              </w:rPr>
            </w:pPr>
          </w:p>
        </w:tc>
      </w:tr>
      <w:tr w:rsidR="005B2450" w:rsidRPr="003B5A86" w14:paraId="40DAB155" w14:textId="77777777" w:rsidTr="005B2450">
        <w:trPr>
          <w:cantSplit/>
        </w:trPr>
        <w:tc>
          <w:tcPr>
            <w:tcW w:w="0" w:type="auto"/>
            <w:vMerge/>
            <w:tcBorders>
              <w:bottom w:val="single" w:sz="4" w:space="0" w:color="auto"/>
            </w:tcBorders>
          </w:tcPr>
          <w:p w14:paraId="2F51B904" w14:textId="77777777" w:rsidR="00E91A7B" w:rsidRPr="005B2450" w:rsidRDefault="00E91A7B" w:rsidP="00E91A7B">
            <w:pPr>
              <w:pStyle w:val="TableText"/>
              <w:rPr>
                <w:szCs w:val="17"/>
              </w:rPr>
            </w:pPr>
          </w:p>
        </w:tc>
        <w:tc>
          <w:tcPr>
            <w:tcW w:w="452" w:type="pct"/>
            <w:tcBorders>
              <w:top w:val="single" w:sz="4" w:space="0" w:color="auto"/>
              <w:bottom w:val="single" w:sz="4" w:space="0" w:color="auto"/>
            </w:tcBorders>
          </w:tcPr>
          <w:p w14:paraId="6D3399D4" w14:textId="77777777" w:rsidR="00E91A7B" w:rsidRPr="005B2450" w:rsidRDefault="00E91A7B" w:rsidP="00E91A7B">
            <w:pPr>
              <w:pStyle w:val="TableText"/>
              <w:rPr>
                <w:szCs w:val="17"/>
              </w:rPr>
            </w:pPr>
            <w:r w:rsidRPr="005B2450">
              <w:rPr>
                <w:szCs w:val="17"/>
              </w:rPr>
              <w:t>HC</w:t>
            </w:r>
            <w:r w:rsidRPr="005B2450">
              <w:rPr>
                <w:szCs w:val="17"/>
                <w:vertAlign w:val="subscript"/>
              </w:rPr>
              <w:t>5</w:t>
            </w:r>
          </w:p>
        </w:tc>
        <w:tc>
          <w:tcPr>
            <w:tcW w:w="1092" w:type="pct"/>
            <w:tcBorders>
              <w:top w:val="single" w:sz="4" w:space="0" w:color="auto"/>
              <w:bottom w:val="single" w:sz="4" w:space="0" w:color="auto"/>
            </w:tcBorders>
          </w:tcPr>
          <w:p w14:paraId="6FA14FE0" w14:textId="2F93B256" w:rsidR="00E91A7B" w:rsidRPr="005B2450" w:rsidRDefault="00E91A7B" w:rsidP="00E91A7B">
            <w:pPr>
              <w:pStyle w:val="TableText"/>
              <w:rPr>
                <w:szCs w:val="17"/>
              </w:rPr>
            </w:pPr>
            <w:r w:rsidRPr="005B2450">
              <w:rPr>
                <w:szCs w:val="17"/>
              </w:rPr>
              <w:t>0.</w:t>
            </w:r>
            <w:r w:rsidR="005B2450" w:rsidRPr="005B2450">
              <w:rPr>
                <w:szCs w:val="17"/>
              </w:rPr>
              <w:t>000</w:t>
            </w:r>
            <w:r w:rsidR="005B2450">
              <w:rPr>
                <w:szCs w:val="17"/>
              </w:rPr>
              <w:t>69</w:t>
            </w:r>
            <w:r w:rsidR="005B2450" w:rsidRPr="005B2450">
              <w:rPr>
                <w:szCs w:val="17"/>
              </w:rPr>
              <w:t xml:space="preserve"> </w:t>
            </w:r>
            <w:r w:rsidRPr="005B2450">
              <w:rPr>
                <w:szCs w:val="17"/>
              </w:rPr>
              <w:t>mg ac/L</w:t>
            </w:r>
          </w:p>
          <w:p w14:paraId="1A8239F1" w14:textId="76547F44" w:rsidR="00E91A7B" w:rsidRPr="005B2450" w:rsidRDefault="00E91A7B" w:rsidP="00E91A7B">
            <w:pPr>
              <w:pStyle w:val="TableText"/>
              <w:rPr>
                <w:szCs w:val="17"/>
              </w:rPr>
            </w:pPr>
            <w:r w:rsidRPr="005B2450">
              <w:rPr>
                <w:szCs w:val="17"/>
              </w:rPr>
              <w:t xml:space="preserve">(95% CI </w:t>
            </w:r>
            <w:r w:rsidR="005B2450">
              <w:rPr>
                <w:szCs w:val="17"/>
              </w:rPr>
              <w:t>0.000008-0.010</w:t>
            </w:r>
            <w:r w:rsidRPr="005B2450">
              <w:rPr>
                <w:szCs w:val="17"/>
              </w:rPr>
              <w:t>)</w:t>
            </w:r>
          </w:p>
        </w:tc>
        <w:tc>
          <w:tcPr>
            <w:tcW w:w="1090" w:type="pct"/>
            <w:tcBorders>
              <w:top w:val="single" w:sz="4" w:space="0" w:color="auto"/>
              <w:bottom w:val="single" w:sz="4" w:space="0" w:color="auto"/>
            </w:tcBorders>
          </w:tcPr>
          <w:p w14:paraId="10F585E1" w14:textId="22A355DB" w:rsidR="00E91A7B" w:rsidRPr="005B2450" w:rsidRDefault="00E91A7B" w:rsidP="00E91A7B">
            <w:pPr>
              <w:pStyle w:val="TableText"/>
              <w:rPr>
                <w:szCs w:val="17"/>
              </w:rPr>
            </w:pPr>
            <w:r w:rsidRPr="005B2450">
              <w:rPr>
                <w:szCs w:val="17"/>
              </w:rPr>
              <w:t>0.</w:t>
            </w:r>
            <w:r w:rsidR="005B2450" w:rsidRPr="005B2450">
              <w:rPr>
                <w:szCs w:val="17"/>
              </w:rPr>
              <w:t>00</w:t>
            </w:r>
            <w:r w:rsidR="005B2450">
              <w:rPr>
                <w:szCs w:val="17"/>
              </w:rPr>
              <w:t>42</w:t>
            </w:r>
            <w:r w:rsidR="005B2450" w:rsidRPr="005B2450">
              <w:rPr>
                <w:szCs w:val="17"/>
              </w:rPr>
              <w:t xml:space="preserve"> </w:t>
            </w:r>
            <w:r w:rsidRPr="005B2450">
              <w:rPr>
                <w:szCs w:val="17"/>
              </w:rPr>
              <w:t>mg ac/L</w:t>
            </w:r>
          </w:p>
          <w:p w14:paraId="361DCC79" w14:textId="6F2179AA" w:rsidR="00E91A7B" w:rsidRPr="005B2450" w:rsidRDefault="00E91A7B" w:rsidP="00E91A7B">
            <w:pPr>
              <w:pStyle w:val="TableText"/>
              <w:rPr>
                <w:szCs w:val="17"/>
              </w:rPr>
            </w:pPr>
            <w:r w:rsidRPr="005B2450">
              <w:rPr>
                <w:szCs w:val="17"/>
              </w:rPr>
              <w:t xml:space="preserve">(95% CI </w:t>
            </w:r>
            <w:r w:rsidR="005B2450">
              <w:rPr>
                <w:szCs w:val="17"/>
              </w:rPr>
              <w:t>0.000036-0.062</w:t>
            </w:r>
            <w:r w:rsidRPr="005B2450">
              <w:rPr>
                <w:szCs w:val="17"/>
              </w:rPr>
              <w:t>)</w:t>
            </w:r>
          </w:p>
        </w:tc>
        <w:tc>
          <w:tcPr>
            <w:tcW w:w="1046" w:type="pct"/>
            <w:tcBorders>
              <w:top w:val="single" w:sz="4" w:space="0" w:color="auto"/>
              <w:bottom w:val="single" w:sz="4" w:space="0" w:color="auto"/>
            </w:tcBorders>
          </w:tcPr>
          <w:p w14:paraId="303A1F97" w14:textId="03B57671" w:rsidR="00E91A7B" w:rsidRPr="005B2450" w:rsidRDefault="005B2450" w:rsidP="00E91A7B">
            <w:pPr>
              <w:pStyle w:val="TableText"/>
              <w:rPr>
                <w:szCs w:val="17"/>
              </w:rPr>
            </w:pPr>
            <w:r>
              <w:rPr>
                <w:lang w:eastAsia="en-AU"/>
              </w:rPr>
              <w:t>Model average result</w:t>
            </w:r>
            <w:r w:rsidR="00E61669">
              <w:rPr>
                <w:rFonts w:ascii="ZWAdobeF" w:hAnsi="ZWAdobeF" w:cs="ZWAdobeF"/>
                <w:spacing w:val="0"/>
                <w:sz w:val="2"/>
                <w:szCs w:val="2"/>
                <w:lang w:eastAsia="en-AU"/>
              </w:rPr>
              <w:t>24F</w:t>
            </w:r>
            <w:r w:rsidR="00602535">
              <w:rPr>
                <w:rFonts w:ascii="ZWAdobeF" w:hAnsi="ZWAdobeF" w:cs="ZWAdobeF"/>
                <w:spacing w:val="0"/>
                <w:sz w:val="2"/>
                <w:szCs w:val="2"/>
                <w:lang w:eastAsia="en-AU"/>
              </w:rPr>
              <w:t>25F</w:t>
            </w:r>
            <w:r w:rsidR="00FF6E0E">
              <w:rPr>
                <w:rStyle w:val="FootnoteReference"/>
                <w:lang w:eastAsia="en-AU"/>
              </w:rPr>
              <w:footnoteReference w:id="27"/>
            </w:r>
            <w:r>
              <w:rPr>
                <w:lang w:eastAsia="en-AU"/>
              </w:rPr>
              <w:t xml:space="preserve"> based on gamma, log-gumbel, log-logistic, log-normal, log-normal_log-normal, and Weibull distributions</w:t>
            </w:r>
            <w:r w:rsidRPr="005B2450">
              <w:rPr>
                <w:szCs w:val="17"/>
              </w:rPr>
              <w:t xml:space="preserve"> </w:t>
            </w:r>
            <w:r w:rsidR="00E91A7B" w:rsidRPr="005B2450">
              <w:rPr>
                <w:szCs w:val="17"/>
              </w:rPr>
              <w:t>(11 species)</w:t>
            </w:r>
          </w:p>
        </w:tc>
      </w:tr>
    </w:tbl>
    <w:p w14:paraId="20D1DCAD" w14:textId="68716284" w:rsidR="00F86E95" w:rsidRPr="00735B4F" w:rsidRDefault="00F86E95" w:rsidP="00E91A7B">
      <w:pPr>
        <w:pStyle w:val="SourceTableNote"/>
      </w:pPr>
      <w:bookmarkStart w:id="406" w:name="_Hlk157330939"/>
      <w:r w:rsidRPr="00735B4F">
        <w:t xml:space="preserve">Endpoints from </w:t>
      </w:r>
      <w:r w:rsidR="006725AC">
        <w:fldChar w:fldCharType="begin" w:fldLock="1"/>
      </w:r>
      <w:r w:rsidR="006725AC">
        <w:instrText xml:space="preserve"> REF _Ref170461499 \h </w:instrText>
      </w:r>
      <w:r w:rsidR="006725AC">
        <w:fldChar w:fldCharType="separate"/>
      </w:r>
      <w:r w:rsidR="0033298E">
        <w:t xml:space="preserve">Table </w:t>
      </w:r>
      <w:r w:rsidR="0033298E">
        <w:rPr>
          <w:noProof/>
        </w:rPr>
        <w:t>62</w:t>
      </w:r>
      <w:r w:rsidR="006725AC">
        <w:fldChar w:fldCharType="end"/>
      </w:r>
      <w:r w:rsidRPr="00735B4F">
        <w:t xml:space="preserve"> in Appendix B have been adjusted to account for rapid dissipation from the water column under</w:t>
      </w:r>
      <w:r w:rsidR="00735B4F">
        <w:t xml:space="preserve"> </w:t>
      </w:r>
      <w:r w:rsidRPr="00735B4F">
        <w:t>natural conditions (adjusted EC</w:t>
      </w:r>
      <w:r w:rsidRPr="00E91A7B">
        <w:rPr>
          <w:vertAlign w:val="subscript"/>
        </w:rPr>
        <w:t>50</w:t>
      </w:r>
      <w:r w:rsidRPr="00735B4F">
        <w:t xml:space="preserve"> = measured</w:t>
      </w:r>
      <w:bookmarkEnd w:id="406"/>
      <w:r w:rsidRPr="00735B4F">
        <w:t xml:space="preserve"> EC</w:t>
      </w:r>
      <w:r w:rsidRPr="00E91A7B">
        <w:rPr>
          <w:vertAlign w:val="subscript"/>
        </w:rPr>
        <w:t>50</w:t>
      </w:r>
      <w:r w:rsidRPr="00735B4F">
        <w:t xml:space="preserve"> / (1</w:t>
      </w:r>
      <w:r w:rsidR="004C1210">
        <w:t>–</w:t>
      </w:r>
      <w:r w:rsidRPr="00735B4F">
        <w:t>EXP (exposure days * (-ln(2)/DT</w:t>
      </w:r>
      <w:r w:rsidRPr="00E91A7B">
        <w:rPr>
          <w:vertAlign w:val="subscript"/>
        </w:rPr>
        <w:t>50</w:t>
      </w:r>
      <w:r w:rsidRPr="00735B4F">
        <w:t xml:space="preserve"> 0.5 days))) * (exposure days * ln(2)/DT</w:t>
      </w:r>
      <w:r w:rsidRPr="00E91A7B">
        <w:rPr>
          <w:vertAlign w:val="subscript"/>
        </w:rPr>
        <w:t>50</w:t>
      </w:r>
      <w:r w:rsidRPr="00735B4F">
        <w:t xml:space="preserve"> 0.5 days)</w:t>
      </w:r>
    </w:p>
    <w:p w14:paraId="2E0BA7AC" w14:textId="3DF7FB5D" w:rsidR="00F86E95" w:rsidRPr="000179FF" w:rsidRDefault="00735B4F" w:rsidP="000179FF">
      <w:pPr>
        <w:pStyle w:val="Caption"/>
      </w:pPr>
      <w:bookmarkStart w:id="407" w:name="_Ref167441613"/>
      <w:bookmarkStart w:id="408" w:name="_Toc232589622"/>
      <w:bookmarkStart w:id="409" w:name="_Hlk153273314"/>
      <w:bookmarkStart w:id="410" w:name="_Ref145337876"/>
      <w:bookmarkStart w:id="411" w:name="_Toc156383605"/>
      <w:r w:rsidRPr="000179FF">
        <w:t xml:space="preserve">Table </w:t>
      </w:r>
      <w:fldSimple w:instr=" SEQ Table \* ARABIC ">
        <w:r w:rsidR="000179FF">
          <w:rPr>
            <w:noProof/>
          </w:rPr>
          <w:t>27</w:t>
        </w:r>
      </w:fldSimple>
      <w:bookmarkEnd w:id="407"/>
      <w:r w:rsidRPr="000179FF">
        <w:t xml:space="preserve">: </w:t>
      </w:r>
      <w:r w:rsidR="00CD2A0F" w:rsidRPr="000179FF">
        <w:t>P</w:t>
      </w:r>
      <w:r w:rsidR="00F86E95" w:rsidRPr="000179FF">
        <w:t xml:space="preserve">ost-emergent </w:t>
      </w:r>
      <w:bookmarkStart w:id="412" w:name="_Hlk157334478"/>
      <w:r w:rsidR="00F86E95" w:rsidRPr="000179FF">
        <w:t xml:space="preserve">toxicity endpoints for </w:t>
      </w:r>
      <w:bookmarkEnd w:id="412"/>
      <w:r w:rsidR="005B2450" w:rsidRPr="000179FF">
        <w:t>non-target terrestrial plants used in SSD analysis</w:t>
      </w:r>
      <w:bookmarkEnd w:id="408"/>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17"/>
        <w:gridCol w:w="1984"/>
        <w:gridCol w:w="4451"/>
      </w:tblGrid>
      <w:tr w:rsidR="00FF6E0E" w:rsidRPr="000B2FA7" w14:paraId="265136B3" w14:textId="77777777" w:rsidTr="00C25652">
        <w:trPr>
          <w:tblHeader/>
        </w:trPr>
        <w:tc>
          <w:tcPr>
            <w:tcW w:w="1701" w:type="pct"/>
            <w:tcBorders>
              <w:right w:val="nil"/>
            </w:tcBorders>
            <w:shd w:val="clear" w:color="auto" w:fill="5C2946"/>
          </w:tcPr>
          <w:p w14:paraId="102C4EA0" w14:textId="77777777" w:rsidR="00FF6E0E" w:rsidRPr="00CA558C" w:rsidRDefault="00FF6E0E" w:rsidP="00E91A7B">
            <w:pPr>
              <w:pStyle w:val="TableHead"/>
            </w:pPr>
            <w:r>
              <w:t>Species</w:t>
            </w:r>
          </w:p>
        </w:tc>
        <w:tc>
          <w:tcPr>
            <w:tcW w:w="1017" w:type="pct"/>
            <w:tcBorders>
              <w:left w:val="nil"/>
              <w:right w:val="nil"/>
            </w:tcBorders>
            <w:shd w:val="clear" w:color="auto" w:fill="5C2946"/>
          </w:tcPr>
          <w:p w14:paraId="023F2B3C" w14:textId="77777777" w:rsidR="00FF6E0E" w:rsidRPr="00CA558C" w:rsidRDefault="00FF6E0E" w:rsidP="00E91A7B">
            <w:pPr>
              <w:pStyle w:val="TableHead"/>
            </w:pPr>
            <w:r>
              <w:t>ER</w:t>
            </w:r>
            <w:r w:rsidRPr="00C8466B">
              <w:rPr>
                <w:vertAlign w:val="subscript"/>
              </w:rPr>
              <w:t>50</w:t>
            </w:r>
          </w:p>
        </w:tc>
        <w:tc>
          <w:tcPr>
            <w:tcW w:w="2282" w:type="pct"/>
            <w:tcBorders>
              <w:left w:val="nil"/>
            </w:tcBorders>
            <w:shd w:val="clear" w:color="auto" w:fill="5C2946"/>
          </w:tcPr>
          <w:p w14:paraId="4C6A5524" w14:textId="77777777" w:rsidR="00FF6E0E" w:rsidRPr="00CA558C" w:rsidRDefault="00FF6E0E" w:rsidP="00E91A7B">
            <w:pPr>
              <w:pStyle w:val="TableHead"/>
            </w:pPr>
            <w:r>
              <w:t>Note</w:t>
            </w:r>
          </w:p>
        </w:tc>
      </w:tr>
      <w:tr w:rsidR="00FF6E0E" w14:paraId="30A04A29" w14:textId="77777777" w:rsidTr="00C25652">
        <w:tc>
          <w:tcPr>
            <w:tcW w:w="1701" w:type="pct"/>
            <w:tcBorders>
              <w:right w:val="nil"/>
            </w:tcBorders>
          </w:tcPr>
          <w:p w14:paraId="14AC3BBC" w14:textId="77777777" w:rsidR="00FF6E0E" w:rsidRPr="00E91A7B" w:rsidRDefault="00FF6E0E" w:rsidP="00E91A7B">
            <w:pPr>
              <w:pStyle w:val="TableText"/>
              <w:rPr>
                <w:i/>
                <w:iCs/>
              </w:rPr>
            </w:pPr>
            <w:r w:rsidRPr="00E91A7B">
              <w:rPr>
                <w:i/>
                <w:iCs/>
              </w:rPr>
              <w:t>Brassica oleracea</w:t>
            </w:r>
          </w:p>
          <w:p w14:paraId="2E7C5272" w14:textId="77777777" w:rsidR="00FF6E0E" w:rsidRPr="00E91A7B" w:rsidRDefault="00FF6E0E" w:rsidP="00E91A7B">
            <w:pPr>
              <w:pStyle w:val="TableText"/>
              <w:rPr>
                <w:i/>
                <w:iCs/>
              </w:rPr>
            </w:pPr>
            <w:r w:rsidRPr="00E91A7B">
              <w:rPr>
                <w:i/>
                <w:iCs/>
              </w:rPr>
              <w:t>Beta vulgaris</w:t>
            </w:r>
          </w:p>
          <w:p w14:paraId="7273AD43" w14:textId="77777777" w:rsidR="00FF6E0E" w:rsidRPr="00E91A7B" w:rsidRDefault="00FF6E0E" w:rsidP="00E91A7B">
            <w:pPr>
              <w:pStyle w:val="TableText"/>
              <w:rPr>
                <w:i/>
                <w:iCs/>
              </w:rPr>
            </w:pPr>
            <w:r w:rsidRPr="00E91A7B">
              <w:rPr>
                <w:i/>
                <w:iCs/>
              </w:rPr>
              <w:t>Helianthus annuus</w:t>
            </w:r>
          </w:p>
          <w:p w14:paraId="5ACAD8FA" w14:textId="77777777" w:rsidR="00FF6E0E" w:rsidRPr="00E91A7B" w:rsidRDefault="00FF6E0E" w:rsidP="00E91A7B">
            <w:pPr>
              <w:pStyle w:val="TableText"/>
              <w:rPr>
                <w:i/>
                <w:iCs/>
              </w:rPr>
            </w:pPr>
            <w:r w:rsidRPr="00E91A7B">
              <w:rPr>
                <w:i/>
                <w:iCs/>
              </w:rPr>
              <w:t>Daucus carota</w:t>
            </w:r>
          </w:p>
          <w:p w14:paraId="32F2CF8E" w14:textId="77777777" w:rsidR="00FF6E0E" w:rsidRPr="00E91A7B" w:rsidRDefault="00FF6E0E" w:rsidP="00E91A7B">
            <w:pPr>
              <w:pStyle w:val="TableText"/>
              <w:rPr>
                <w:i/>
                <w:iCs/>
              </w:rPr>
            </w:pPr>
            <w:r w:rsidRPr="00E91A7B">
              <w:rPr>
                <w:i/>
                <w:iCs/>
              </w:rPr>
              <w:t>Gossypium hirsutum</w:t>
            </w:r>
          </w:p>
          <w:p w14:paraId="2811412C" w14:textId="77777777" w:rsidR="00FF6E0E" w:rsidRPr="00E91A7B" w:rsidRDefault="00FF6E0E" w:rsidP="00E91A7B">
            <w:pPr>
              <w:pStyle w:val="TableText"/>
              <w:rPr>
                <w:i/>
                <w:iCs/>
              </w:rPr>
            </w:pPr>
            <w:r w:rsidRPr="00E91A7B">
              <w:rPr>
                <w:i/>
                <w:iCs/>
              </w:rPr>
              <w:t>Brassica napus</w:t>
            </w:r>
          </w:p>
          <w:p w14:paraId="38FDEC82" w14:textId="77777777" w:rsidR="00FF6E0E" w:rsidRPr="00E91A7B" w:rsidRDefault="00FF6E0E" w:rsidP="00E91A7B">
            <w:pPr>
              <w:pStyle w:val="TableText"/>
              <w:rPr>
                <w:i/>
                <w:iCs/>
              </w:rPr>
            </w:pPr>
            <w:r w:rsidRPr="00E91A7B">
              <w:rPr>
                <w:i/>
                <w:iCs/>
              </w:rPr>
              <w:t>Glycine max</w:t>
            </w:r>
          </w:p>
          <w:p w14:paraId="0067018F" w14:textId="77777777" w:rsidR="00FF6E0E" w:rsidRPr="00E91A7B" w:rsidRDefault="00FF6E0E" w:rsidP="00E91A7B">
            <w:pPr>
              <w:pStyle w:val="TableText"/>
              <w:rPr>
                <w:i/>
                <w:iCs/>
              </w:rPr>
            </w:pPr>
            <w:r w:rsidRPr="00E91A7B">
              <w:rPr>
                <w:i/>
                <w:iCs/>
              </w:rPr>
              <w:t>Pinus strobes</w:t>
            </w:r>
          </w:p>
          <w:p w14:paraId="0AB3859F" w14:textId="77777777" w:rsidR="00FF6E0E" w:rsidRPr="00E91A7B" w:rsidRDefault="00FF6E0E" w:rsidP="00E91A7B">
            <w:pPr>
              <w:pStyle w:val="TableText"/>
              <w:rPr>
                <w:i/>
                <w:iCs/>
              </w:rPr>
            </w:pPr>
            <w:r w:rsidRPr="00E91A7B">
              <w:rPr>
                <w:i/>
                <w:iCs/>
              </w:rPr>
              <w:t>Pinus elliottii</w:t>
            </w:r>
          </w:p>
          <w:p w14:paraId="2419E0DC" w14:textId="77777777" w:rsidR="00FF6E0E" w:rsidRPr="00281369" w:rsidRDefault="00FF6E0E" w:rsidP="00E91A7B">
            <w:pPr>
              <w:pStyle w:val="TableText"/>
            </w:pPr>
            <w:r w:rsidRPr="00E91A7B">
              <w:rPr>
                <w:i/>
                <w:iCs/>
              </w:rPr>
              <w:t>Phaseolus vulgaris</w:t>
            </w:r>
          </w:p>
        </w:tc>
        <w:tc>
          <w:tcPr>
            <w:tcW w:w="1017" w:type="pct"/>
            <w:tcBorders>
              <w:left w:val="nil"/>
              <w:right w:val="nil"/>
            </w:tcBorders>
          </w:tcPr>
          <w:p w14:paraId="2B6B8C1D" w14:textId="77777777" w:rsidR="00FF6E0E" w:rsidRDefault="00FF6E0E" w:rsidP="00C25652">
            <w:pPr>
              <w:pStyle w:val="TableText"/>
              <w:jc w:val="right"/>
            </w:pPr>
            <w:r>
              <w:t>15 g ac/ha</w:t>
            </w:r>
          </w:p>
          <w:p w14:paraId="57EB0D40" w14:textId="77777777" w:rsidR="00FF6E0E" w:rsidRDefault="00FF6E0E" w:rsidP="00C25652">
            <w:pPr>
              <w:pStyle w:val="TableText"/>
              <w:jc w:val="right"/>
            </w:pPr>
            <w:r>
              <w:t>38 g ac/ha</w:t>
            </w:r>
          </w:p>
          <w:p w14:paraId="6F682C7C" w14:textId="77777777" w:rsidR="00FF6E0E" w:rsidRDefault="00FF6E0E" w:rsidP="00C25652">
            <w:pPr>
              <w:pStyle w:val="TableText"/>
              <w:jc w:val="right"/>
            </w:pPr>
            <w:r>
              <w:t>53 g ac/ha</w:t>
            </w:r>
          </w:p>
          <w:p w14:paraId="0A7F81E4" w14:textId="77777777" w:rsidR="00FF6E0E" w:rsidRDefault="00FF6E0E" w:rsidP="00C25652">
            <w:pPr>
              <w:pStyle w:val="TableText"/>
              <w:jc w:val="right"/>
            </w:pPr>
            <w:r>
              <w:t>53 g ac/ha</w:t>
            </w:r>
          </w:p>
          <w:p w14:paraId="58A6D095" w14:textId="77777777" w:rsidR="00FF6E0E" w:rsidRDefault="00FF6E0E" w:rsidP="00C25652">
            <w:pPr>
              <w:pStyle w:val="TableText"/>
              <w:jc w:val="right"/>
            </w:pPr>
            <w:r>
              <w:t>55 g ac/ha</w:t>
            </w:r>
          </w:p>
          <w:p w14:paraId="129CCC48" w14:textId="77777777" w:rsidR="00FF6E0E" w:rsidRDefault="00FF6E0E" w:rsidP="00C25652">
            <w:pPr>
              <w:pStyle w:val="TableText"/>
              <w:jc w:val="right"/>
            </w:pPr>
            <w:r>
              <w:t>57 g ac/ha</w:t>
            </w:r>
          </w:p>
          <w:p w14:paraId="2455AC11" w14:textId="77777777" w:rsidR="00FF6E0E" w:rsidRDefault="00FF6E0E" w:rsidP="00C25652">
            <w:pPr>
              <w:pStyle w:val="TableText"/>
              <w:jc w:val="right"/>
            </w:pPr>
            <w:r>
              <w:t>138 g ac/ha</w:t>
            </w:r>
          </w:p>
          <w:p w14:paraId="05B6CDB7" w14:textId="77777777" w:rsidR="00FF6E0E" w:rsidRDefault="00FF6E0E" w:rsidP="00C25652">
            <w:pPr>
              <w:pStyle w:val="TableText"/>
              <w:jc w:val="right"/>
            </w:pPr>
            <w:r>
              <w:t>150 g ac/ha</w:t>
            </w:r>
          </w:p>
          <w:p w14:paraId="50FE882C" w14:textId="77777777" w:rsidR="00FF6E0E" w:rsidRDefault="00FF6E0E" w:rsidP="00C25652">
            <w:pPr>
              <w:pStyle w:val="TableText"/>
              <w:jc w:val="right"/>
            </w:pPr>
            <w:r>
              <w:t>293 g ac/ha</w:t>
            </w:r>
          </w:p>
          <w:p w14:paraId="4FBADDA5" w14:textId="77777777" w:rsidR="00FF6E0E" w:rsidRDefault="00FF6E0E" w:rsidP="00C25652">
            <w:pPr>
              <w:pStyle w:val="TableText"/>
              <w:jc w:val="right"/>
            </w:pPr>
            <w:r>
              <w:t>884 g ac/ha</w:t>
            </w:r>
          </w:p>
        </w:tc>
        <w:tc>
          <w:tcPr>
            <w:tcW w:w="2282" w:type="pct"/>
            <w:tcBorders>
              <w:left w:val="nil"/>
            </w:tcBorders>
          </w:tcPr>
          <w:p w14:paraId="741D4F0F" w14:textId="28C9149A" w:rsidR="00FF6E0E" w:rsidRDefault="00FF6E0E" w:rsidP="00E91A7B">
            <w:pPr>
              <w:pStyle w:val="TableText"/>
              <w:spacing w:before="800"/>
            </w:pPr>
            <w:r>
              <w:t>(Geomean of 3 studies)</w:t>
            </w:r>
          </w:p>
          <w:p w14:paraId="135EA302" w14:textId="2E19CB16" w:rsidR="00FF6E0E" w:rsidRDefault="00FF6E0E" w:rsidP="00E91A7B">
            <w:pPr>
              <w:pStyle w:val="TableText"/>
              <w:spacing w:before="1100"/>
            </w:pPr>
            <w:r>
              <w:t>(Geomean of 3studies)</w:t>
            </w:r>
          </w:p>
        </w:tc>
      </w:tr>
      <w:tr w:rsidR="00FF6E0E" w14:paraId="67E7F66B" w14:textId="77777777" w:rsidTr="00C25652">
        <w:tc>
          <w:tcPr>
            <w:tcW w:w="1701" w:type="pct"/>
            <w:tcBorders>
              <w:right w:val="nil"/>
            </w:tcBorders>
          </w:tcPr>
          <w:p w14:paraId="1049D6D9" w14:textId="77777777" w:rsidR="00FF6E0E" w:rsidRPr="003160DE" w:rsidRDefault="00FF6E0E" w:rsidP="00C25652">
            <w:pPr>
              <w:pStyle w:val="TableText"/>
              <w:jc w:val="right"/>
            </w:pPr>
            <w:r w:rsidRPr="003160DE">
              <w:t>HR</w:t>
            </w:r>
            <w:r w:rsidRPr="003160DE">
              <w:rPr>
                <w:vertAlign w:val="subscript"/>
              </w:rPr>
              <w:t>5</w:t>
            </w:r>
          </w:p>
        </w:tc>
        <w:tc>
          <w:tcPr>
            <w:tcW w:w="1017" w:type="pct"/>
            <w:tcBorders>
              <w:left w:val="nil"/>
              <w:right w:val="nil"/>
            </w:tcBorders>
          </w:tcPr>
          <w:p w14:paraId="36CC2495" w14:textId="42FE0D3D" w:rsidR="00FF6E0E" w:rsidRDefault="00FF6E0E" w:rsidP="00C25652">
            <w:pPr>
              <w:pStyle w:val="TableText"/>
              <w:jc w:val="right"/>
            </w:pPr>
            <w:r>
              <w:t>15 g ac/ha</w:t>
            </w:r>
          </w:p>
          <w:p w14:paraId="50A43F58" w14:textId="0BAD9636" w:rsidR="00FF6E0E" w:rsidRDefault="00FF6E0E" w:rsidP="00C25652">
            <w:pPr>
              <w:pStyle w:val="TableText"/>
              <w:jc w:val="right"/>
            </w:pPr>
            <w:r>
              <w:t>(95% CI 3.1–43)</w:t>
            </w:r>
          </w:p>
        </w:tc>
        <w:tc>
          <w:tcPr>
            <w:tcW w:w="2282" w:type="pct"/>
            <w:tcBorders>
              <w:left w:val="nil"/>
            </w:tcBorders>
          </w:tcPr>
          <w:p w14:paraId="481EFD4B" w14:textId="638D914F" w:rsidR="00FF6E0E" w:rsidRDefault="00FF6E0E" w:rsidP="00E91A7B">
            <w:pPr>
              <w:pStyle w:val="TableText"/>
            </w:pPr>
            <w:r>
              <w:rPr>
                <w:lang w:eastAsia="en-AU"/>
              </w:rPr>
              <w:t>Model average result</w:t>
            </w:r>
            <w:r w:rsidR="00E61669">
              <w:rPr>
                <w:rFonts w:ascii="ZWAdobeF" w:hAnsi="ZWAdobeF" w:cs="ZWAdobeF"/>
                <w:spacing w:val="0"/>
                <w:sz w:val="2"/>
                <w:szCs w:val="2"/>
                <w:lang w:eastAsia="en-AU"/>
              </w:rPr>
              <w:t>25F</w:t>
            </w:r>
            <w:r w:rsidR="00602535">
              <w:rPr>
                <w:rFonts w:ascii="ZWAdobeF" w:hAnsi="ZWAdobeF" w:cs="ZWAdobeF"/>
                <w:spacing w:val="0"/>
                <w:sz w:val="2"/>
                <w:szCs w:val="2"/>
                <w:lang w:eastAsia="en-AU"/>
              </w:rPr>
              <w:t>26F</w:t>
            </w:r>
            <w:r>
              <w:rPr>
                <w:rStyle w:val="FootnoteReference"/>
                <w:lang w:eastAsia="en-AU"/>
              </w:rPr>
              <w:footnoteReference w:id="28"/>
            </w:r>
            <w:r>
              <w:rPr>
                <w:lang w:eastAsia="en-AU"/>
              </w:rPr>
              <w:t xml:space="preserve"> based on gamma, log-gumbel, log-logistic, log-normal, log-normal_log-normal, and Weibull distributions</w:t>
            </w:r>
            <w:r w:rsidRPr="005B2450">
              <w:rPr>
                <w:szCs w:val="17"/>
              </w:rPr>
              <w:t xml:space="preserve"> </w:t>
            </w:r>
            <w:r>
              <w:t>(10 species)</w:t>
            </w:r>
          </w:p>
        </w:tc>
      </w:tr>
    </w:tbl>
    <w:p w14:paraId="48E54E59" w14:textId="14D021C9" w:rsidR="00F86E95" w:rsidRPr="000179FF" w:rsidRDefault="00735B4F" w:rsidP="000179FF">
      <w:pPr>
        <w:pStyle w:val="Caption"/>
      </w:pPr>
      <w:bookmarkStart w:id="413" w:name="_Ref167441724"/>
      <w:bookmarkStart w:id="414" w:name="_Toc232589623"/>
      <w:bookmarkEnd w:id="409"/>
      <w:r w:rsidRPr="000179FF">
        <w:lastRenderedPageBreak/>
        <w:t xml:space="preserve">Table </w:t>
      </w:r>
      <w:fldSimple w:instr=" SEQ Table \* ARABIC ">
        <w:r w:rsidR="008E2515">
          <w:rPr>
            <w:noProof/>
          </w:rPr>
          <w:t>28</w:t>
        </w:r>
      </w:fldSimple>
      <w:bookmarkEnd w:id="410"/>
      <w:bookmarkEnd w:id="413"/>
      <w:r w:rsidR="00F86E95" w:rsidRPr="000179FF">
        <w:t>:</w:t>
      </w:r>
      <w:bookmarkEnd w:id="411"/>
      <w:r w:rsidRPr="000179FF">
        <w:t xml:space="preserve"> </w:t>
      </w:r>
      <w:r w:rsidR="00CD2A0F" w:rsidRPr="000179FF">
        <w:t>R</w:t>
      </w:r>
      <w:r w:rsidR="00F86E95" w:rsidRPr="000179FF">
        <w:t>egulatory</w:t>
      </w:r>
      <w:r w:rsidR="00CD2A0F" w:rsidRPr="000179FF">
        <w:t xml:space="preserve"> </w:t>
      </w:r>
      <w:r w:rsidR="00F86E95" w:rsidRPr="000179FF">
        <w:t>acceptable levels for non-target species</w:t>
      </w:r>
      <w:bookmarkEnd w:id="414"/>
    </w:p>
    <w:tbl>
      <w:tblPr>
        <w:tblW w:w="4999"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58"/>
        <w:gridCol w:w="1439"/>
        <w:gridCol w:w="2153"/>
        <w:gridCol w:w="433"/>
        <w:gridCol w:w="1453"/>
        <w:gridCol w:w="2414"/>
      </w:tblGrid>
      <w:tr w:rsidR="00F86E95" w:rsidRPr="003B5A86" w14:paraId="71DB9656" w14:textId="77777777" w:rsidTr="00E91A7B">
        <w:trPr>
          <w:cantSplit/>
          <w:tblHeader/>
        </w:trPr>
        <w:tc>
          <w:tcPr>
            <w:tcW w:w="953" w:type="pct"/>
            <w:tcBorders>
              <w:right w:val="nil"/>
            </w:tcBorders>
            <w:shd w:val="clear" w:color="auto" w:fill="5C2946"/>
          </w:tcPr>
          <w:p w14:paraId="1FFB8041" w14:textId="77777777" w:rsidR="00F86E95" w:rsidRPr="00E91A7B" w:rsidRDefault="00F86E95" w:rsidP="00E91A7B">
            <w:pPr>
              <w:pStyle w:val="TableHead"/>
            </w:pPr>
            <w:r w:rsidRPr="00E91A7B">
              <w:t>Group</w:t>
            </w:r>
          </w:p>
        </w:tc>
        <w:tc>
          <w:tcPr>
            <w:tcW w:w="738" w:type="pct"/>
            <w:tcBorders>
              <w:left w:val="nil"/>
              <w:right w:val="nil"/>
            </w:tcBorders>
            <w:shd w:val="clear" w:color="auto" w:fill="5C2946"/>
          </w:tcPr>
          <w:p w14:paraId="0E7401E0" w14:textId="77777777" w:rsidR="00F86E95" w:rsidRPr="00E91A7B" w:rsidRDefault="00F86E95" w:rsidP="00E91A7B">
            <w:pPr>
              <w:pStyle w:val="TableHead"/>
            </w:pPr>
            <w:r w:rsidRPr="00E91A7B">
              <w:t>Exposure</w:t>
            </w:r>
          </w:p>
        </w:tc>
        <w:tc>
          <w:tcPr>
            <w:tcW w:w="1104" w:type="pct"/>
            <w:tcBorders>
              <w:left w:val="nil"/>
              <w:right w:val="nil"/>
            </w:tcBorders>
            <w:shd w:val="clear" w:color="auto" w:fill="5C2946"/>
          </w:tcPr>
          <w:p w14:paraId="1378B410" w14:textId="77777777" w:rsidR="00F86E95" w:rsidRPr="00E91A7B" w:rsidRDefault="00F86E95" w:rsidP="00E91A7B">
            <w:pPr>
              <w:pStyle w:val="TableHead"/>
            </w:pPr>
            <w:r w:rsidRPr="00E91A7B">
              <w:t>Endpoint</w:t>
            </w:r>
          </w:p>
        </w:tc>
        <w:tc>
          <w:tcPr>
            <w:tcW w:w="222" w:type="pct"/>
            <w:tcBorders>
              <w:left w:val="nil"/>
              <w:right w:val="nil"/>
            </w:tcBorders>
            <w:shd w:val="clear" w:color="auto" w:fill="5C2946"/>
          </w:tcPr>
          <w:p w14:paraId="18A07A72" w14:textId="77777777" w:rsidR="00F86E95" w:rsidRPr="00E91A7B" w:rsidRDefault="00F86E95" w:rsidP="00E91A7B">
            <w:pPr>
              <w:pStyle w:val="TableHead"/>
            </w:pPr>
            <w:r w:rsidRPr="00E91A7B">
              <w:t>AF</w:t>
            </w:r>
          </w:p>
        </w:tc>
        <w:tc>
          <w:tcPr>
            <w:tcW w:w="745" w:type="pct"/>
            <w:tcBorders>
              <w:left w:val="nil"/>
              <w:right w:val="nil"/>
            </w:tcBorders>
            <w:shd w:val="clear" w:color="auto" w:fill="5C2946"/>
          </w:tcPr>
          <w:p w14:paraId="5F861678" w14:textId="77777777" w:rsidR="00F86E95" w:rsidRPr="00E91A7B" w:rsidRDefault="00F86E95" w:rsidP="00E91A7B">
            <w:pPr>
              <w:pStyle w:val="TableHead"/>
            </w:pPr>
            <w:r w:rsidRPr="00E91A7B">
              <w:t>RAL</w:t>
            </w:r>
          </w:p>
        </w:tc>
        <w:tc>
          <w:tcPr>
            <w:tcW w:w="1238" w:type="pct"/>
            <w:tcBorders>
              <w:left w:val="nil"/>
            </w:tcBorders>
            <w:shd w:val="clear" w:color="auto" w:fill="5C2946"/>
          </w:tcPr>
          <w:p w14:paraId="3618D622" w14:textId="77777777" w:rsidR="00F86E95" w:rsidRPr="00E91A7B" w:rsidRDefault="00F86E95" w:rsidP="00E91A7B">
            <w:pPr>
              <w:pStyle w:val="TableHead"/>
            </w:pPr>
            <w:r w:rsidRPr="00E91A7B">
              <w:t>Reference</w:t>
            </w:r>
          </w:p>
        </w:tc>
      </w:tr>
      <w:tr w:rsidR="00F86E95" w:rsidRPr="003B5A86" w14:paraId="0E1AF8DD" w14:textId="77777777" w:rsidTr="00E91A7B">
        <w:trPr>
          <w:cantSplit/>
        </w:trPr>
        <w:tc>
          <w:tcPr>
            <w:tcW w:w="953" w:type="pct"/>
            <w:vMerge w:val="restart"/>
            <w:tcBorders>
              <w:right w:val="nil"/>
            </w:tcBorders>
          </w:tcPr>
          <w:p w14:paraId="10236618" w14:textId="77777777" w:rsidR="00F86E95" w:rsidRPr="00E91A7B" w:rsidRDefault="00F86E95" w:rsidP="00E91A7B">
            <w:pPr>
              <w:pStyle w:val="TableText"/>
            </w:pPr>
            <w:r w:rsidRPr="00E91A7B">
              <w:t>Mammals</w:t>
            </w:r>
          </w:p>
        </w:tc>
        <w:tc>
          <w:tcPr>
            <w:tcW w:w="738" w:type="pct"/>
            <w:tcBorders>
              <w:left w:val="nil"/>
              <w:right w:val="nil"/>
            </w:tcBorders>
          </w:tcPr>
          <w:p w14:paraId="39105C25" w14:textId="77777777" w:rsidR="00F86E95" w:rsidRPr="00E91A7B" w:rsidRDefault="00F86E95" w:rsidP="00E91A7B">
            <w:pPr>
              <w:pStyle w:val="TableText"/>
            </w:pPr>
            <w:r w:rsidRPr="00E91A7B">
              <w:t>Acute</w:t>
            </w:r>
          </w:p>
        </w:tc>
        <w:tc>
          <w:tcPr>
            <w:tcW w:w="1104" w:type="pct"/>
            <w:tcBorders>
              <w:left w:val="nil"/>
              <w:right w:val="nil"/>
            </w:tcBorders>
          </w:tcPr>
          <w:p w14:paraId="43ABBE79" w14:textId="33736CB2" w:rsidR="00F86E95" w:rsidRPr="00E91A7B" w:rsidRDefault="00F86E95" w:rsidP="00E91A7B">
            <w:pPr>
              <w:pStyle w:val="TableText"/>
            </w:pPr>
            <w:r w:rsidRPr="00E91A7B">
              <w:t>LD</w:t>
            </w:r>
            <w:r w:rsidRPr="00E91A7B">
              <w:rPr>
                <w:vertAlign w:val="subscript"/>
              </w:rPr>
              <w:t>50</w:t>
            </w:r>
            <w:r w:rsidRPr="00E91A7B">
              <w:t xml:space="preserve"> </w:t>
            </w:r>
            <w:r w:rsidR="00FF6E0E">
              <w:t>208</w:t>
            </w:r>
            <w:r w:rsidR="00FF6E0E" w:rsidRPr="00E91A7B">
              <w:t xml:space="preserve"> </w:t>
            </w:r>
            <w:r w:rsidRPr="00E91A7B">
              <w:t>mg/kg bw</w:t>
            </w:r>
          </w:p>
        </w:tc>
        <w:tc>
          <w:tcPr>
            <w:tcW w:w="222" w:type="pct"/>
            <w:tcBorders>
              <w:left w:val="nil"/>
              <w:right w:val="nil"/>
            </w:tcBorders>
          </w:tcPr>
          <w:p w14:paraId="2EB7094A" w14:textId="77777777" w:rsidR="00F86E95" w:rsidRPr="00E91A7B" w:rsidRDefault="00F86E95" w:rsidP="00E91A7B">
            <w:pPr>
              <w:pStyle w:val="TableText"/>
            </w:pPr>
            <w:r w:rsidRPr="00E91A7B">
              <w:t>10</w:t>
            </w:r>
          </w:p>
        </w:tc>
        <w:tc>
          <w:tcPr>
            <w:tcW w:w="745" w:type="pct"/>
            <w:tcBorders>
              <w:left w:val="nil"/>
              <w:right w:val="nil"/>
            </w:tcBorders>
          </w:tcPr>
          <w:p w14:paraId="3EEC33D9" w14:textId="6AE3E566" w:rsidR="00F86E95" w:rsidRPr="00E91A7B" w:rsidRDefault="00FF6E0E" w:rsidP="00E91A7B">
            <w:pPr>
              <w:pStyle w:val="TableText"/>
            </w:pPr>
            <w:r>
              <w:t>21</w:t>
            </w:r>
            <w:r w:rsidRPr="00E91A7B">
              <w:t xml:space="preserve"> </w:t>
            </w:r>
            <w:r w:rsidR="00F86E95" w:rsidRPr="00E91A7B">
              <w:t>mg/kg bw</w:t>
            </w:r>
          </w:p>
        </w:tc>
        <w:tc>
          <w:tcPr>
            <w:tcW w:w="1238" w:type="pct"/>
            <w:tcBorders>
              <w:left w:val="nil"/>
            </w:tcBorders>
          </w:tcPr>
          <w:p w14:paraId="068DEF1E" w14:textId="6F3DE4E2" w:rsidR="00F86E95" w:rsidRPr="00E91A7B" w:rsidRDefault="00F86E95" w:rsidP="00E91A7B">
            <w:pPr>
              <w:pStyle w:val="TableText"/>
            </w:pPr>
            <w:r w:rsidRPr="00E91A7B">
              <w:t>Rittenhouse 1979</w:t>
            </w:r>
            <w:r w:rsidR="00FF6E0E">
              <w:rPr>
                <w:szCs w:val="17"/>
              </w:rPr>
              <w:t xml:space="preserve">, </w:t>
            </w:r>
            <w:r w:rsidR="00FF6E0E" w:rsidRPr="001A794F">
              <w:rPr>
                <w:szCs w:val="17"/>
              </w:rPr>
              <w:t>McCall &amp; Robinson 1990</w:t>
            </w:r>
          </w:p>
        </w:tc>
      </w:tr>
      <w:tr w:rsidR="00F86E95" w:rsidRPr="003B5A86" w14:paraId="73BDFB51" w14:textId="77777777" w:rsidTr="00E91A7B">
        <w:trPr>
          <w:cantSplit/>
        </w:trPr>
        <w:tc>
          <w:tcPr>
            <w:tcW w:w="953" w:type="pct"/>
            <w:vMerge/>
            <w:tcBorders>
              <w:right w:val="nil"/>
            </w:tcBorders>
          </w:tcPr>
          <w:p w14:paraId="3BC9FB25" w14:textId="77777777" w:rsidR="00F86E95" w:rsidRPr="00E91A7B" w:rsidRDefault="00F86E95" w:rsidP="00E91A7B">
            <w:pPr>
              <w:pStyle w:val="TableText"/>
            </w:pPr>
          </w:p>
        </w:tc>
        <w:tc>
          <w:tcPr>
            <w:tcW w:w="738" w:type="pct"/>
            <w:tcBorders>
              <w:left w:val="nil"/>
              <w:right w:val="nil"/>
            </w:tcBorders>
          </w:tcPr>
          <w:p w14:paraId="4EB49182" w14:textId="77777777" w:rsidR="00F86E95" w:rsidRPr="00E91A7B" w:rsidRDefault="00F86E95" w:rsidP="00E91A7B">
            <w:pPr>
              <w:pStyle w:val="TableText"/>
            </w:pPr>
            <w:r w:rsidRPr="00E91A7B">
              <w:t>Chronic</w:t>
            </w:r>
          </w:p>
        </w:tc>
        <w:tc>
          <w:tcPr>
            <w:tcW w:w="1104" w:type="pct"/>
            <w:tcBorders>
              <w:left w:val="nil"/>
              <w:right w:val="nil"/>
            </w:tcBorders>
          </w:tcPr>
          <w:p w14:paraId="003F049E" w14:textId="781ED0CA" w:rsidR="00F86E95" w:rsidRPr="00E91A7B" w:rsidRDefault="00F86E95" w:rsidP="00E91A7B">
            <w:pPr>
              <w:pStyle w:val="TableText"/>
            </w:pPr>
            <w:r w:rsidRPr="00E91A7B">
              <w:t>NOAEL 4.0 mg/kg bw/d</w:t>
            </w:r>
          </w:p>
        </w:tc>
        <w:tc>
          <w:tcPr>
            <w:tcW w:w="222" w:type="pct"/>
            <w:tcBorders>
              <w:left w:val="nil"/>
              <w:right w:val="nil"/>
            </w:tcBorders>
          </w:tcPr>
          <w:p w14:paraId="0CA0D374" w14:textId="77777777" w:rsidR="00F86E95" w:rsidRPr="00E91A7B" w:rsidRDefault="00F86E95" w:rsidP="00E91A7B">
            <w:pPr>
              <w:pStyle w:val="TableText"/>
            </w:pPr>
            <w:r w:rsidRPr="00E91A7B">
              <w:t>1</w:t>
            </w:r>
          </w:p>
        </w:tc>
        <w:tc>
          <w:tcPr>
            <w:tcW w:w="745" w:type="pct"/>
            <w:tcBorders>
              <w:left w:val="nil"/>
              <w:right w:val="nil"/>
            </w:tcBorders>
          </w:tcPr>
          <w:p w14:paraId="10DCC982" w14:textId="6981F23F" w:rsidR="00F86E95" w:rsidRPr="00E91A7B" w:rsidRDefault="00F86E95" w:rsidP="00E91A7B">
            <w:pPr>
              <w:pStyle w:val="TableText"/>
            </w:pPr>
            <w:r w:rsidRPr="00E91A7B">
              <w:t>4.0 mg/kg bw/d</w:t>
            </w:r>
          </w:p>
        </w:tc>
        <w:tc>
          <w:tcPr>
            <w:tcW w:w="1238" w:type="pct"/>
            <w:tcBorders>
              <w:left w:val="nil"/>
            </w:tcBorders>
          </w:tcPr>
          <w:p w14:paraId="012B4335" w14:textId="77777777" w:rsidR="00F86E95" w:rsidRPr="00E91A7B" w:rsidRDefault="00F86E95" w:rsidP="00E91A7B">
            <w:pPr>
              <w:pStyle w:val="TableText"/>
            </w:pPr>
            <w:r w:rsidRPr="00E91A7B">
              <w:t>Hodge 1990</w:t>
            </w:r>
          </w:p>
        </w:tc>
      </w:tr>
      <w:tr w:rsidR="00F86E95" w:rsidRPr="003B5A86" w14:paraId="4475D9B3" w14:textId="77777777" w:rsidTr="00E91A7B">
        <w:trPr>
          <w:cantSplit/>
        </w:trPr>
        <w:tc>
          <w:tcPr>
            <w:tcW w:w="953" w:type="pct"/>
            <w:vMerge w:val="restart"/>
            <w:tcBorders>
              <w:right w:val="nil"/>
            </w:tcBorders>
          </w:tcPr>
          <w:p w14:paraId="5A5F3751" w14:textId="77777777" w:rsidR="00F86E95" w:rsidRPr="00E91A7B" w:rsidRDefault="00F86E95" w:rsidP="00E91A7B">
            <w:pPr>
              <w:pStyle w:val="TableText"/>
            </w:pPr>
            <w:r w:rsidRPr="00E91A7B">
              <w:t>Birds</w:t>
            </w:r>
          </w:p>
        </w:tc>
        <w:tc>
          <w:tcPr>
            <w:tcW w:w="738" w:type="pct"/>
            <w:tcBorders>
              <w:left w:val="nil"/>
              <w:right w:val="nil"/>
            </w:tcBorders>
          </w:tcPr>
          <w:p w14:paraId="11DA06CE" w14:textId="77777777" w:rsidR="00F86E95" w:rsidRPr="00E91A7B" w:rsidRDefault="00F86E95" w:rsidP="00E91A7B">
            <w:pPr>
              <w:pStyle w:val="TableText"/>
            </w:pPr>
            <w:r w:rsidRPr="00E91A7B">
              <w:t>Acute</w:t>
            </w:r>
          </w:p>
        </w:tc>
        <w:tc>
          <w:tcPr>
            <w:tcW w:w="1104" w:type="pct"/>
            <w:tcBorders>
              <w:left w:val="nil"/>
              <w:right w:val="nil"/>
            </w:tcBorders>
          </w:tcPr>
          <w:p w14:paraId="7443C148" w14:textId="4680AD0C" w:rsidR="00F86E95" w:rsidRPr="00E91A7B" w:rsidRDefault="00F86E95" w:rsidP="00E91A7B">
            <w:pPr>
              <w:pStyle w:val="TableText"/>
            </w:pPr>
            <w:r w:rsidRPr="00E91A7B">
              <w:t>LD</w:t>
            </w:r>
            <w:r w:rsidRPr="00E91A7B">
              <w:rPr>
                <w:vertAlign w:val="subscript"/>
              </w:rPr>
              <w:t>50</w:t>
            </w:r>
            <w:r w:rsidRPr="00E91A7B">
              <w:t xml:space="preserve"> 70 mg</w:t>
            </w:r>
            <w:r w:rsidR="008E292A" w:rsidRPr="00E91A7B">
              <w:t>/</w:t>
            </w:r>
            <w:r w:rsidRPr="00E91A7B">
              <w:t>kg bw</w:t>
            </w:r>
          </w:p>
        </w:tc>
        <w:tc>
          <w:tcPr>
            <w:tcW w:w="222" w:type="pct"/>
            <w:tcBorders>
              <w:left w:val="nil"/>
              <w:right w:val="nil"/>
            </w:tcBorders>
          </w:tcPr>
          <w:p w14:paraId="665AED0D" w14:textId="77777777" w:rsidR="00F86E95" w:rsidRPr="00E91A7B" w:rsidRDefault="00F86E95" w:rsidP="00E91A7B">
            <w:pPr>
              <w:pStyle w:val="TableText"/>
            </w:pPr>
            <w:r w:rsidRPr="00E91A7B">
              <w:t>10</w:t>
            </w:r>
          </w:p>
        </w:tc>
        <w:tc>
          <w:tcPr>
            <w:tcW w:w="745" w:type="pct"/>
            <w:tcBorders>
              <w:left w:val="nil"/>
              <w:right w:val="nil"/>
            </w:tcBorders>
          </w:tcPr>
          <w:p w14:paraId="4944FC57" w14:textId="1C29C5F6" w:rsidR="00F86E95" w:rsidRPr="00E91A7B" w:rsidRDefault="00F86E95" w:rsidP="00E91A7B">
            <w:pPr>
              <w:pStyle w:val="TableText"/>
            </w:pPr>
            <w:r w:rsidRPr="00E91A7B">
              <w:t>7.0 mg/kg bw</w:t>
            </w:r>
          </w:p>
        </w:tc>
        <w:tc>
          <w:tcPr>
            <w:tcW w:w="1238" w:type="pct"/>
            <w:tcBorders>
              <w:left w:val="nil"/>
            </w:tcBorders>
          </w:tcPr>
          <w:p w14:paraId="76916FAB" w14:textId="77777777" w:rsidR="00F86E95" w:rsidRPr="00E91A7B" w:rsidRDefault="00F86E95" w:rsidP="00E91A7B">
            <w:pPr>
              <w:pStyle w:val="TableText"/>
            </w:pPr>
            <w:r w:rsidRPr="00E91A7B">
              <w:t>Fink et al. 1982, Hubbard 2013, Roberts &amp; Fairley 1980</w:t>
            </w:r>
          </w:p>
        </w:tc>
      </w:tr>
      <w:tr w:rsidR="00F86E95" w:rsidRPr="003B5A86" w14:paraId="44C8791A" w14:textId="77777777" w:rsidTr="00E91A7B">
        <w:trPr>
          <w:cantSplit/>
        </w:trPr>
        <w:tc>
          <w:tcPr>
            <w:tcW w:w="953" w:type="pct"/>
            <w:vMerge/>
            <w:tcBorders>
              <w:right w:val="nil"/>
            </w:tcBorders>
          </w:tcPr>
          <w:p w14:paraId="782D7520" w14:textId="77777777" w:rsidR="00F86E95" w:rsidRPr="00E91A7B" w:rsidRDefault="00F86E95" w:rsidP="00E91A7B">
            <w:pPr>
              <w:pStyle w:val="TableText"/>
            </w:pPr>
          </w:p>
        </w:tc>
        <w:tc>
          <w:tcPr>
            <w:tcW w:w="738" w:type="pct"/>
            <w:tcBorders>
              <w:left w:val="nil"/>
              <w:right w:val="nil"/>
            </w:tcBorders>
          </w:tcPr>
          <w:p w14:paraId="02F3494F" w14:textId="77777777" w:rsidR="00F86E95" w:rsidRPr="00E91A7B" w:rsidRDefault="00F86E95" w:rsidP="00E91A7B">
            <w:pPr>
              <w:pStyle w:val="TableText"/>
            </w:pPr>
            <w:r w:rsidRPr="00E91A7B">
              <w:t>Chronic</w:t>
            </w:r>
          </w:p>
        </w:tc>
        <w:tc>
          <w:tcPr>
            <w:tcW w:w="1104" w:type="pct"/>
            <w:tcBorders>
              <w:left w:val="nil"/>
              <w:right w:val="nil"/>
            </w:tcBorders>
          </w:tcPr>
          <w:p w14:paraId="4A5018C4" w14:textId="708DC3CA" w:rsidR="00F86E95" w:rsidRPr="00E91A7B" w:rsidRDefault="00F86E95" w:rsidP="00E91A7B">
            <w:pPr>
              <w:pStyle w:val="TableText"/>
            </w:pPr>
            <w:r w:rsidRPr="00E91A7B">
              <w:t>NOEL 3.2 mg/kg bw/d</w:t>
            </w:r>
          </w:p>
        </w:tc>
        <w:tc>
          <w:tcPr>
            <w:tcW w:w="222" w:type="pct"/>
            <w:tcBorders>
              <w:left w:val="nil"/>
              <w:right w:val="nil"/>
            </w:tcBorders>
          </w:tcPr>
          <w:p w14:paraId="7DD2F277" w14:textId="77777777" w:rsidR="00F86E95" w:rsidRPr="00E91A7B" w:rsidRDefault="00F86E95" w:rsidP="00E91A7B">
            <w:pPr>
              <w:pStyle w:val="TableText"/>
            </w:pPr>
            <w:r w:rsidRPr="00E91A7B">
              <w:t>1</w:t>
            </w:r>
          </w:p>
        </w:tc>
        <w:tc>
          <w:tcPr>
            <w:tcW w:w="745" w:type="pct"/>
            <w:tcBorders>
              <w:left w:val="nil"/>
              <w:right w:val="nil"/>
            </w:tcBorders>
          </w:tcPr>
          <w:p w14:paraId="20ACB937" w14:textId="6F23C46F" w:rsidR="00F86E95" w:rsidRPr="00E91A7B" w:rsidRDefault="00F86E95" w:rsidP="00E91A7B">
            <w:pPr>
              <w:pStyle w:val="TableText"/>
            </w:pPr>
            <w:r w:rsidRPr="00E91A7B">
              <w:t>3.2 mg/kg bw/d</w:t>
            </w:r>
          </w:p>
        </w:tc>
        <w:tc>
          <w:tcPr>
            <w:tcW w:w="1238" w:type="pct"/>
            <w:tcBorders>
              <w:left w:val="nil"/>
            </w:tcBorders>
          </w:tcPr>
          <w:p w14:paraId="1D4A41BC" w14:textId="77777777" w:rsidR="00F86E95" w:rsidRPr="00E91A7B" w:rsidRDefault="00F86E95" w:rsidP="00E91A7B">
            <w:pPr>
              <w:pStyle w:val="TableText"/>
            </w:pPr>
            <w:r w:rsidRPr="00E91A7B">
              <w:t>Temple et al. 2004a, 2004b</w:t>
            </w:r>
          </w:p>
        </w:tc>
      </w:tr>
      <w:tr w:rsidR="00F86E95" w:rsidRPr="003B5A86" w14:paraId="17E36A6B" w14:textId="77777777" w:rsidTr="00E91A7B">
        <w:trPr>
          <w:cantSplit/>
        </w:trPr>
        <w:tc>
          <w:tcPr>
            <w:tcW w:w="953" w:type="pct"/>
            <w:tcBorders>
              <w:right w:val="nil"/>
            </w:tcBorders>
          </w:tcPr>
          <w:p w14:paraId="59DAAFF0" w14:textId="77777777" w:rsidR="00F86E95" w:rsidRPr="00E91A7B" w:rsidRDefault="00F86E95" w:rsidP="00E91A7B">
            <w:pPr>
              <w:pStyle w:val="TableText"/>
            </w:pPr>
            <w:r w:rsidRPr="00E91A7B">
              <w:t>Aquatic animals</w:t>
            </w:r>
          </w:p>
        </w:tc>
        <w:tc>
          <w:tcPr>
            <w:tcW w:w="738" w:type="pct"/>
            <w:tcBorders>
              <w:left w:val="nil"/>
              <w:right w:val="nil"/>
            </w:tcBorders>
          </w:tcPr>
          <w:p w14:paraId="359C6DB1" w14:textId="77777777" w:rsidR="00F86E95" w:rsidRPr="00E91A7B" w:rsidRDefault="00F86E95" w:rsidP="00E91A7B">
            <w:pPr>
              <w:pStyle w:val="TableText"/>
            </w:pPr>
            <w:r w:rsidRPr="00E91A7B">
              <w:t>Acute</w:t>
            </w:r>
          </w:p>
        </w:tc>
        <w:tc>
          <w:tcPr>
            <w:tcW w:w="1104" w:type="pct"/>
            <w:tcBorders>
              <w:left w:val="nil"/>
              <w:right w:val="nil"/>
            </w:tcBorders>
          </w:tcPr>
          <w:p w14:paraId="4D290188" w14:textId="229213F8" w:rsidR="00F86E95" w:rsidRPr="00E91A7B" w:rsidRDefault="00F86E95" w:rsidP="00E91A7B">
            <w:pPr>
              <w:pStyle w:val="TableText"/>
            </w:pPr>
            <w:r w:rsidRPr="00E91A7B">
              <w:t>LC</w:t>
            </w:r>
            <w:r w:rsidRPr="00C25652">
              <w:rPr>
                <w:vertAlign w:val="subscript"/>
              </w:rPr>
              <w:t>50</w:t>
            </w:r>
            <w:r w:rsidRPr="00E91A7B">
              <w:t xml:space="preserve"> 468 µg/L*</w:t>
            </w:r>
          </w:p>
        </w:tc>
        <w:tc>
          <w:tcPr>
            <w:tcW w:w="222" w:type="pct"/>
            <w:tcBorders>
              <w:left w:val="nil"/>
              <w:right w:val="nil"/>
            </w:tcBorders>
          </w:tcPr>
          <w:p w14:paraId="392C9D44" w14:textId="08ACF4D6" w:rsidR="00F86E95" w:rsidRPr="00E91A7B" w:rsidRDefault="00F86E95" w:rsidP="00E91A7B">
            <w:pPr>
              <w:pStyle w:val="TableText"/>
            </w:pPr>
            <w:r w:rsidRPr="00E91A7B">
              <w:t>1</w:t>
            </w:r>
            <w:r w:rsidR="00FF6E0E">
              <w:t>0</w:t>
            </w:r>
          </w:p>
        </w:tc>
        <w:tc>
          <w:tcPr>
            <w:tcW w:w="745" w:type="pct"/>
            <w:tcBorders>
              <w:left w:val="nil"/>
              <w:right w:val="nil"/>
            </w:tcBorders>
          </w:tcPr>
          <w:p w14:paraId="7F9A11E4" w14:textId="5B282B4B" w:rsidR="00F86E95" w:rsidRPr="00E91A7B" w:rsidRDefault="00F86E95" w:rsidP="00E91A7B">
            <w:pPr>
              <w:pStyle w:val="TableText"/>
            </w:pPr>
            <w:r w:rsidRPr="00E91A7B">
              <w:t xml:space="preserve">47 µg/L </w:t>
            </w:r>
          </w:p>
        </w:tc>
        <w:tc>
          <w:tcPr>
            <w:tcW w:w="1238" w:type="pct"/>
            <w:tcBorders>
              <w:left w:val="nil"/>
            </w:tcBorders>
          </w:tcPr>
          <w:p w14:paraId="54AD5003" w14:textId="77777777" w:rsidR="00F86E95" w:rsidRPr="00E91A7B" w:rsidRDefault="00F86E95" w:rsidP="00E91A7B">
            <w:pPr>
              <w:pStyle w:val="TableText"/>
            </w:pPr>
            <w:r w:rsidRPr="00E91A7B">
              <w:t>Bender 2006a</w:t>
            </w:r>
          </w:p>
        </w:tc>
      </w:tr>
      <w:tr w:rsidR="00F86E95" w:rsidRPr="003B5A86" w14:paraId="5754FDA0" w14:textId="77777777" w:rsidTr="00E91A7B">
        <w:trPr>
          <w:cantSplit/>
        </w:trPr>
        <w:tc>
          <w:tcPr>
            <w:tcW w:w="953" w:type="pct"/>
            <w:tcBorders>
              <w:right w:val="nil"/>
            </w:tcBorders>
          </w:tcPr>
          <w:p w14:paraId="0A7650DC" w14:textId="77777777" w:rsidR="00F86E95" w:rsidRPr="00E91A7B" w:rsidRDefault="00F86E95" w:rsidP="00E91A7B">
            <w:pPr>
              <w:pStyle w:val="TableText"/>
            </w:pPr>
            <w:r w:rsidRPr="00E91A7B">
              <w:t>Aquatic primary producers</w:t>
            </w:r>
          </w:p>
        </w:tc>
        <w:tc>
          <w:tcPr>
            <w:tcW w:w="738" w:type="pct"/>
            <w:tcBorders>
              <w:left w:val="nil"/>
              <w:right w:val="nil"/>
            </w:tcBorders>
          </w:tcPr>
          <w:p w14:paraId="7808AE0F" w14:textId="77777777" w:rsidR="00F86E95" w:rsidRPr="00E91A7B" w:rsidRDefault="00F86E95" w:rsidP="00E91A7B">
            <w:pPr>
              <w:pStyle w:val="TableText"/>
            </w:pPr>
            <w:r w:rsidRPr="00E91A7B">
              <w:t>Chronic</w:t>
            </w:r>
          </w:p>
        </w:tc>
        <w:tc>
          <w:tcPr>
            <w:tcW w:w="1104" w:type="pct"/>
            <w:tcBorders>
              <w:left w:val="nil"/>
              <w:right w:val="nil"/>
            </w:tcBorders>
          </w:tcPr>
          <w:p w14:paraId="000A60C0" w14:textId="3B6187CB" w:rsidR="00F86E95" w:rsidRPr="00E91A7B" w:rsidRDefault="00F86E95" w:rsidP="00E91A7B">
            <w:pPr>
              <w:pStyle w:val="TableText"/>
            </w:pPr>
            <w:r w:rsidRPr="00E91A7B">
              <w:t>HC</w:t>
            </w:r>
            <w:r w:rsidRPr="00015F03">
              <w:rPr>
                <w:vertAlign w:val="subscript"/>
              </w:rPr>
              <w:t xml:space="preserve">5 </w:t>
            </w:r>
            <w:r w:rsidR="00FF6E0E">
              <w:t>4.2</w:t>
            </w:r>
            <w:r w:rsidRPr="00E91A7B">
              <w:t xml:space="preserve"> µg/L* </w:t>
            </w:r>
          </w:p>
        </w:tc>
        <w:tc>
          <w:tcPr>
            <w:tcW w:w="222" w:type="pct"/>
            <w:tcBorders>
              <w:left w:val="nil"/>
              <w:right w:val="nil"/>
            </w:tcBorders>
          </w:tcPr>
          <w:p w14:paraId="292E5D6C" w14:textId="76EE6BB2" w:rsidR="00F86E95" w:rsidRPr="00E91A7B" w:rsidRDefault="00FF6E0E" w:rsidP="00E91A7B">
            <w:pPr>
              <w:pStyle w:val="TableText"/>
            </w:pPr>
            <w:r>
              <w:t>3</w:t>
            </w:r>
          </w:p>
        </w:tc>
        <w:tc>
          <w:tcPr>
            <w:tcW w:w="745" w:type="pct"/>
            <w:tcBorders>
              <w:left w:val="nil"/>
              <w:right w:val="nil"/>
            </w:tcBorders>
          </w:tcPr>
          <w:p w14:paraId="72C2D080" w14:textId="4B0CFE53" w:rsidR="00F86E95" w:rsidRPr="00E91A7B" w:rsidRDefault="00FF6E0E" w:rsidP="00E91A7B">
            <w:pPr>
              <w:pStyle w:val="TableText"/>
            </w:pPr>
            <w:r>
              <w:t>1.4</w:t>
            </w:r>
            <w:r w:rsidR="00F86E95" w:rsidRPr="00E91A7B">
              <w:t xml:space="preserve"> µg/L </w:t>
            </w:r>
          </w:p>
        </w:tc>
        <w:tc>
          <w:tcPr>
            <w:tcW w:w="1238" w:type="pct"/>
            <w:tcBorders>
              <w:left w:val="nil"/>
            </w:tcBorders>
          </w:tcPr>
          <w:p w14:paraId="36C5A4EE" w14:textId="77777777" w:rsidR="00F86E95" w:rsidRPr="00E91A7B" w:rsidRDefault="00F86E95" w:rsidP="00E91A7B">
            <w:pPr>
              <w:pStyle w:val="TableText"/>
            </w:pPr>
            <w:bookmarkStart w:id="415" w:name="OLE_LINK1"/>
            <w:r w:rsidRPr="00E91A7B">
              <w:t>Magor &amp; Shillabeer 2001, Nagai 2019, Smyth et al. 1998a, 1998b, 1998c</w:t>
            </w:r>
            <w:bookmarkEnd w:id="415"/>
          </w:p>
        </w:tc>
      </w:tr>
      <w:tr w:rsidR="00F86E95" w:rsidRPr="003B5A86" w14:paraId="253049E7" w14:textId="77777777" w:rsidTr="00E91A7B">
        <w:trPr>
          <w:cantSplit/>
        </w:trPr>
        <w:tc>
          <w:tcPr>
            <w:tcW w:w="953" w:type="pct"/>
            <w:tcBorders>
              <w:right w:val="nil"/>
            </w:tcBorders>
          </w:tcPr>
          <w:p w14:paraId="7292C1AF" w14:textId="77777777" w:rsidR="00F86E95" w:rsidRPr="00E91A7B" w:rsidRDefault="00F86E95" w:rsidP="00E91A7B">
            <w:pPr>
              <w:pStyle w:val="TableText"/>
            </w:pPr>
            <w:r w:rsidRPr="00E91A7B">
              <w:t>Sediment dwellers</w:t>
            </w:r>
          </w:p>
        </w:tc>
        <w:tc>
          <w:tcPr>
            <w:tcW w:w="738" w:type="pct"/>
            <w:tcBorders>
              <w:left w:val="nil"/>
              <w:right w:val="nil"/>
            </w:tcBorders>
          </w:tcPr>
          <w:p w14:paraId="031D3942" w14:textId="77777777" w:rsidR="00F86E95" w:rsidRPr="00E91A7B" w:rsidRDefault="00F86E95" w:rsidP="00E91A7B">
            <w:pPr>
              <w:pStyle w:val="TableText"/>
            </w:pPr>
            <w:r w:rsidRPr="00E91A7B">
              <w:t>Chronic</w:t>
            </w:r>
          </w:p>
        </w:tc>
        <w:tc>
          <w:tcPr>
            <w:tcW w:w="1104" w:type="pct"/>
            <w:tcBorders>
              <w:left w:val="nil"/>
              <w:right w:val="nil"/>
            </w:tcBorders>
          </w:tcPr>
          <w:p w14:paraId="132A54FF" w14:textId="155B5B31" w:rsidR="00F86E95" w:rsidRPr="00E91A7B" w:rsidRDefault="00F86E95" w:rsidP="00E91A7B">
            <w:pPr>
              <w:pStyle w:val="TableText"/>
            </w:pPr>
            <w:r w:rsidRPr="00E91A7B">
              <w:t>NOEC 11 mg/kg ds</w:t>
            </w:r>
          </w:p>
        </w:tc>
        <w:tc>
          <w:tcPr>
            <w:tcW w:w="222" w:type="pct"/>
            <w:tcBorders>
              <w:left w:val="nil"/>
              <w:right w:val="nil"/>
            </w:tcBorders>
          </w:tcPr>
          <w:p w14:paraId="5A0B8112" w14:textId="77777777" w:rsidR="00F86E95" w:rsidRPr="00E91A7B" w:rsidRDefault="00F86E95" w:rsidP="00E91A7B">
            <w:pPr>
              <w:pStyle w:val="TableText"/>
            </w:pPr>
            <w:r w:rsidRPr="00E91A7B">
              <w:t>1</w:t>
            </w:r>
          </w:p>
        </w:tc>
        <w:tc>
          <w:tcPr>
            <w:tcW w:w="745" w:type="pct"/>
            <w:tcBorders>
              <w:left w:val="nil"/>
              <w:right w:val="nil"/>
            </w:tcBorders>
          </w:tcPr>
          <w:p w14:paraId="0663767F" w14:textId="42A56B63" w:rsidR="00F86E95" w:rsidRPr="00E91A7B" w:rsidRDefault="00F86E95" w:rsidP="00E91A7B">
            <w:pPr>
              <w:pStyle w:val="TableText"/>
            </w:pPr>
            <w:r w:rsidRPr="00E91A7B">
              <w:t>11 mg/kg ds</w:t>
            </w:r>
          </w:p>
        </w:tc>
        <w:tc>
          <w:tcPr>
            <w:tcW w:w="1238" w:type="pct"/>
            <w:tcBorders>
              <w:left w:val="nil"/>
            </w:tcBorders>
          </w:tcPr>
          <w:p w14:paraId="30C58948" w14:textId="77777777" w:rsidR="00F86E95" w:rsidRPr="00E91A7B" w:rsidRDefault="00F86E95" w:rsidP="00E91A7B">
            <w:pPr>
              <w:pStyle w:val="TableText"/>
            </w:pPr>
            <w:r w:rsidRPr="00E91A7B">
              <w:t>Bradley 2013a</w:t>
            </w:r>
          </w:p>
        </w:tc>
      </w:tr>
      <w:tr w:rsidR="00E91A7B" w:rsidRPr="003B5A86" w14:paraId="7F66283B" w14:textId="77777777" w:rsidTr="00E91A7B">
        <w:trPr>
          <w:cantSplit/>
        </w:trPr>
        <w:tc>
          <w:tcPr>
            <w:tcW w:w="953" w:type="pct"/>
            <w:vMerge w:val="restart"/>
            <w:tcBorders>
              <w:right w:val="nil"/>
            </w:tcBorders>
          </w:tcPr>
          <w:p w14:paraId="488FE5FB" w14:textId="77777777" w:rsidR="00E91A7B" w:rsidRPr="00E91A7B" w:rsidRDefault="00E91A7B" w:rsidP="00E91A7B">
            <w:pPr>
              <w:pStyle w:val="TableText"/>
            </w:pPr>
            <w:r w:rsidRPr="00E91A7B">
              <w:t>Adult bees</w:t>
            </w:r>
          </w:p>
        </w:tc>
        <w:tc>
          <w:tcPr>
            <w:tcW w:w="738" w:type="pct"/>
            <w:tcBorders>
              <w:left w:val="nil"/>
              <w:right w:val="nil"/>
            </w:tcBorders>
          </w:tcPr>
          <w:p w14:paraId="53769776" w14:textId="77777777" w:rsidR="00E91A7B" w:rsidRPr="00E91A7B" w:rsidRDefault="00E91A7B" w:rsidP="00E91A7B">
            <w:pPr>
              <w:pStyle w:val="TableText"/>
            </w:pPr>
            <w:r w:rsidRPr="00E91A7B">
              <w:t>Acute contact</w:t>
            </w:r>
          </w:p>
        </w:tc>
        <w:tc>
          <w:tcPr>
            <w:tcW w:w="1104" w:type="pct"/>
            <w:tcBorders>
              <w:left w:val="nil"/>
              <w:right w:val="nil"/>
            </w:tcBorders>
          </w:tcPr>
          <w:p w14:paraId="079D7C70" w14:textId="1690347D" w:rsidR="00E91A7B" w:rsidRPr="00E91A7B" w:rsidRDefault="00E91A7B" w:rsidP="00E91A7B">
            <w:pPr>
              <w:pStyle w:val="TableText"/>
            </w:pPr>
            <w:r w:rsidRPr="00E91A7B">
              <w:t>LD</w:t>
            </w:r>
            <w:r w:rsidRPr="00015F03">
              <w:rPr>
                <w:vertAlign w:val="subscript"/>
              </w:rPr>
              <w:t>50</w:t>
            </w:r>
            <w:r w:rsidRPr="00E91A7B">
              <w:t xml:space="preserve"> 105 µg/bee</w:t>
            </w:r>
          </w:p>
        </w:tc>
        <w:tc>
          <w:tcPr>
            <w:tcW w:w="222" w:type="pct"/>
            <w:tcBorders>
              <w:left w:val="nil"/>
              <w:right w:val="nil"/>
            </w:tcBorders>
          </w:tcPr>
          <w:p w14:paraId="3FBB7DC0" w14:textId="77777777" w:rsidR="00E91A7B" w:rsidRPr="00E91A7B" w:rsidRDefault="00E91A7B" w:rsidP="00E91A7B">
            <w:pPr>
              <w:pStyle w:val="TableText"/>
            </w:pPr>
            <w:r w:rsidRPr="00E91A7B">
              <w:t>2.5</w:t>
            </w:r>
          </w:p>
        </w:tc>
        <w:tc>
          <w:tcPr>
            <w:tcW w:w="745" w:type="pct"/>
            <w:tcBorders>
              <w:left w:val="nil"/>
              <w:right w:val="nil"/>
            </w:tcBorders>
          </w:tcPr>
          <w:p w14:paraId="16D3F6E9" w14:textId="2CAA0130" w:rsidR="00E91A7B" w:rsidRPr="00E91A7B" w:rsidRDefault="00E91A7B" w:rsidP="00E91A7B">
            <w:pPr>
              <w:pStyle w:val="TableText"/>
            </w:pPr>
            <w:r w:rsidRPr="00E91A7B">
              <w:t xml:space="preserve">42 µg/bee </w:t>
            </w:r>
          </w:p>
        </w:tc>
        <w:tc>
          <w:tcPr>
            <w:tcW w:w="1238" w:type="pct"/>
            <w:tcBorders>
              <w:left w:val="nil"/>
            </w:tcBorders>
          </w:tcPr>
          <w:p w14:paraId="5CB3F90C" w14:textId="77777777" w:rsidR="00E91A7B" w:rsidRPr="00E91A7B" w:rsidRDefault="00E91A7B" w:rsidP="00E91A7B">
            <w:pPr>
              <w:pStyle w:val="TableText"/>
            </w:pPr>
            <w:r w:rsidRPr="00E91A7B">
              <w:t>Gough et al. 1987</w:t>
            </w:r>
          </w:p>
        </w:tc>
      </w:tr>
      <w:tr w:rsidR="00E91A7B" w:rsidRPr="003B5A86" w14:paraId="1F755A3B" w14:textId="77777777" w:rsidTr="00E91A7B">
        <w:trPr>
          <w:cantSplit/>
        </w:trPr>
        <w:tc>
          <w:tcPr>
            <w:tcW w:w="953" w:type="pct"/>
            <w:vMerge/>
            <w:tcBorders>
              <w:right w:val="nil"/>
            </w:tcBorders>
          </w:tcPr>
          <w:p w14:paraId="0D226EB3" w14:textId="77777777" w:rsidR="00E91A7B" w:rsidRPr="00E91A7B" w:rsidRDefault="00E91A7B" w:rsidP="00E91A7B">
            <w:pPr>
              <w:pStyle w:val="TableText"/>
            </w:pPr>
          </w:p>
        </w:tc>
        <w:tc>
          <w:tcPr>
            <w:tcW w:w="738" w:type="pct"/>
            <w:tcBorders>
              <w:left w:val="nil"/>
              <w:right w:val="nil"/>
            </w:tcBorders>
          </w:tcPr>
          <w:p w14:paraId="7CFD87E4" w14:textId="77777777" w:rsidR="00E91A7B" w:rsidRPr="00E91A7B" w:rsidRDefault="00E91A7B" w:rsidP="00E91A7B">
            <w:pPr>
              <w:pStyle w:val="TableText"/>
            </w:pPr>
            <w:r w:rsidRPr="00E91A7B">
              <w:t>Acute oral</w:t>
            </w:r>
          </w:p>
        </w:tc>
        <w:tc>
          <w:tcPr>
            <w:tcW w:w="1104" w:type="pct"/>
            <w:tcBorders>
              <w:left w:val="nil"/>
              <w:right w:val="nil"/>
            </w:tcBorders>
          </w:tcPr>
          <w:p w14:paraId="25531EE1" w14:textId="5BE028E2" w:rsidR="00E91A7B" w:rsidRPr="00E91A7B" w:rsidRDefault="00E91A7B" w:rsidP="00E91A7B">
            <w:pPr>
              <w:pStyle w:val="TableText"/>
            </w:pPr>
            <w:r w:rsidRPr="00E91A7B">
              <w:t>LD</w:t>
            </w:r>
            <w:r w:rsidRPr="00015F03">
              <w:rPr>
                <w:vertAlign w:val="subscript"/>
              </w:rPr>
              <w:t>50</w:t>
            </w:r>
            <w:r w:rsidRPr="00E91A7B">
              <w:t xml:space="preserve"> 22 µg/bee</w:t>
            </w:r>
          </w:p>
        </w:tc>
        <w:tc>
          <w:tcPr>
            <w:tcW w:w="222" w:type="pct"/>
            <w:tcBorders>
              <w:left w:val="nil"/>
              <w:right w:val="nil"/>
            </w:tcBorders>
          </w:tcPr>
          <w:p w14:paraId="00D46AB2" w14:textId="77777777" w:rsidR="00E91A7B" w:rsidRPr="00E91A7B" w:rsidRDefault="00E91A7B" w:rsidP="00E91A7B">
            <w:pPr>
              <w:pStyle w:val="TableText"/>
            </w:pPr>
            <w:r w:rsidRPr="00E91A7B">
              <w:t>2.5</w:t>
            </w:r>
          </w:p>
        </w:tc>
        <w:tc>
          <w:tcPr>
            <w:tcW w:w="745" w:type="pct"/>
            <w:tcBorders>
              <w:left w:val="nil"/>
              <w:right w:val="nil"/>
            </w:tcBorders>
          </w:tcPr>
          <w:p w14:paraId="700DD0AE" w14:textId="612C89C9" w:rsidR="00E91A7B" w:rsidRPr="00E91A7B" w:rsidRDefault="00E91A7B" w:rsidP="00E91A7B">
            <w:pPr>
              <w:pStyle w:val="TableText"/>
            </w:pPr>
            <w:r w:rsidRPr="00E91A7B">
              <w:t>8.8 µg/bee</w:t>
            </w:r>
          </w:p>
        </w:tc>
        <w:tc>
          <w:tcPr>
            <w:tcW w:w="1238" w:type="pct"/>
            <w:tcBorders>
              <w:left w:val="nil"/>
            </w:tcBorders>
          </w:tcPr>
          <w:p w14:paraId="5D0B8EE2" w14:textId="77777777" w:rsidR="00E91A7B" w:rsidRPr="00E91A7B" w:rsidRDefault="00E91A7B" w:rsidP="00E91A7B">
            <w:pPr>
              <w:pStyle w:val="TableText"/>
            </w:pPr>
            <w:r w:rsidRPr="00E91A7B">
              <w:t>Gough et al. 1987</w:t>
            </w:r>
          </w:p>
        </w:tc>
      </w:tr>
      <w:tr w:rsidR="00F86E95" w:rsidRPr="003B5A86" w14:paraId="4FC88FEF" w14:textId="77777777" w:rsidTr="00E91A7B">
        <w:trPr>
          <w:cantSplit/>
        </w:trPr>
        <w:tc>
          <w:tcPr>
            <w:tcW w:w="953" w:type="pct"/>
            <w:tcBorders>
              <w:right w:val="nil"/>
            </w:tcBorders>
          </w:tcPr>
          <w:p w14:paraId="74135303" w14:textId="77777777" w:rsidR="00F86E95" w:rsidRPr="00E91A7B" w:rsidRDefault="00F86E95" w:rsidP="00E91A7B">
            <w:pPr>
              <w:pStyle w:val="TableText"/>
            </w:pPr>
            <w:r w:rsidRPr="00E91A7B">
              <w:t>Foliar arthropods</w:t>
            </w:r>
          </w:p>
        </w:tc>
        <w:tc>
          <w:tcPr>
            <w:tcW w:w="738" w:type="pct"/>
            <w:tcBorders>
              <w:left w:val="nil"/>
              <w:right w:val="nil"/>
            </w:tcBorders>
          </w:tcPr>
          <w:p w14:paraId="2464822B" w14:textId="77777777" w:rsidR="00F86E95" w:rsidRPr="00E91A7B" w:rsidRDefault="00F86E95" w:rsidP="00E91A7B">
            <w:pPr>
              <w:pStyle w:val="TableText"/>
            </w:pPr>
            <w:r w:rsidRPr="00E91A7B">
              <w:t>Contact</w:t>
            </w:r>
          </w:p>
        </w:tc>
        <w:tc>
          <w:tcPr>
            <w:tcW w:w="1104" w:type="pct"/>
            <w:tcBorders>
              <w:left w:val="nil"/>
              <w:right w:val="nil"/>
            </w:tcBorders>
          </w:tcPr>
          <w:p w14:paraId="3EE26AA3" w14:textId="05C206F8" w:rsidR="00F86E95" w:rsidRPr="00E91A7B" w:rsidRDefault="00F86E95" w:rsidP="00E91A7B">
            <w:pPr>
              <w:pStyle w:val="TableText"/>
            </w:pPr>
            <w:r w:rsidRPr="00E91A7B">
              <w:t>LR</w:t>
            </w:r>
            <w:r w:rsidRPr="00015F03">
              <w:rPr>
                <w:vertAlign w:val="subscript"/>
              </w:rPr>
              <w:t>50</w:t>
            </w:r>
            <w:r w:rsidRPr="00E91A7B">
              <w:t xml:space="preserve"> 4.1 g/ha</w:t>
            </w:r>
          </w:p>
        </w:tc>
        <w:tc>
          <w:tcPr>
            <w:tcW w:w="222" w:type="pct"/>
            <w:tcBorders>
              <w:left w:val="nil"/>
              <w:right w:val="nil"/>
            </w:tcBorders>
          </w:tcPr>
          <w:p w14:paraId="0F21BFD7" w14:textId="77777777" w:rsidR="00F86E95" w:rsidRPr="00E91A7B" w:rsidRDefault="00F86E95" w:rsidP="00E91A7B">
            <w:pPr>
              <w:pStyle w:val="TableText"/>
            </w:pPr>
            <w:r w:rsidRPr="00E91A7B">
              <w:t>1</w:t>
            </w:r>
          </w:p>
        </w:tc>
        <w:tc>
          <w:tcPr>
            <w:tcW w:w="745" w:type="pct"/>
            <w:tcBorders>
              <w:left w:val="nil"/>
              <w:right w:val="nil"/>
            </w:tcBorders>
          </w:tcPr>
          <w:p w14:paraId="1CC95FAB" w14:textId="578ECDA3" w:rsidR="00F86E95" w:rsidRPr="00E91A7B" w:rsidRDefault="00F86E95" w:rsidP="00E91A7B">
            <w:pPr>
              <w:pStyle w:val="TableText"/>
            </w:pPr>
            <w:r w:rsidRPr="00E91A7B">
              <w:t>4.1 g/ha</w:t>
            </w:r>
          </w:p>
        </w:tc>
        <w:tc>
          <w:tcPr>
            <w:tcW w:w="1238" w:type="pct"/>
            <w:tcBorders>
              <w:left w:val="nil"/>
            </w:tcBorders>
          </w:tcPr>
          <w:p w14:paraId="7467DE50" w14:textId="77777777" w:rsidR="00F86E95" w:rsidRPr="00E91A7B" w:rsidRDefault="00F86E95" w:rsidP="00E91A7B">
            <w:pPr>
              <w:pStyle w:val="TableText"/>
            </w:pPr>
            <w:r w:rsidRPr="00E91A7B">
              <w:t>Austin &amp; Elcock 1999b</w:t>
            </w:r>
          </w:p>
        </w:tc>
      </w:tr>
      <w:tr w:rsidR="00F86E95" w:rsidRPr="003B5A86" w14:paraId="2CC7D431" w14:textId="77777777" w:rsidTr="00E91A7B">
        <w:trPr>
          <w:cantSplit/>
        </w:trPr>
        <w:tc>
          <w:tcPr>
            <w:tcW w:w="953" w:type="pct"/>
            <w:tcBorders>
              <w:right w:val="nil"/>
            </w:tcBorders>
          </w:tcPr>
          <w:p w14:paraId="5C469AD1" w14:textId="77777777" w:rsidR="00F86E95" w:rsidRPr="00E91A7B" w:rsidRDefault="00F86E95" w:rsidP="00E91A7B">
            <w:pPr>
              <w:pStyle w:val="TableText"/>
            </w:pPr>
            <w:r w:rsidRPr="00E91A7B">
              <w:t>Ground arthropods</w:t>
            </w:r>
          </w:p>
        </w:tc>
        <w:tc>
          <w:tcPr>
            <w:tcW w:w="738" w:type="pct"/>
            <w:tcBorders>
              <w:left w:val="nil"/>
              <w:right w:val="nil"/>
            </w:tcBorders>
          </w:tcPr>
          <w:p w14:paraId="1BAE1959" w14:textId="77777777" w:rsidR="00F86E95" w:rsidRPr="00E91A7B" w:rsidRDefault="00F86E95" w:rsidP="00E91A7B">
            <w:pPr>
              <w:pStyle w:val="TableText"/>
            </w:pPr>
            <w:r w:rsidRPr="00E91A7B">
              <w:t>Contact</w:t>
            </w:r>
          </w:p>
        </w:tc>
        <w:tc>
          <w:tcPr>
            <w:tcW w:w="1104" w:type="pct"/>
            <w:tcBorders>
              <w:left w:val="nil"/>
              <w:right w:val="nil"/>
            </w:tcBorders>
          </w:tcPr>
          <w:p w14:paraId="010F2182" w14:textId="4C61D70B" w:rsidR="00F86E95" w:rsidRPr="00E91A7B" w:rsidRDefault="00F86E95" w:rsidP="00E91A7B">
            <w:pPr>
              <w:pStyle w:val="TableText"/>
            </w:pPr>
            <w:r w:rsidRPr="00E91A7B">
              <w:t>ER</w:t>
            </w:r>
            <w:r w:rsidRPr="00015F03">
              <w:rPr>
                <w:vertAlign w:val="subscript"/>
              </w:rPr>
              <w:t>50</w:t>
            </w:r>
            <w:r w:rsidRPr="00E91A7B">
              <w:t xml:space="preserve"> &gt;1000 g/ha</w:t>
            </w:r>
          </w:p>
        </w:tc>
        <w:tc>
          <w:tcPr>
            <w:tcW w:w="222" w:type="pct"/>
            <w:tcBorders>
              <w:left w:val="nil"/>
              <w:right w:val="nil"/>
            </w:tcBorders>
          </w:tcPr>
          <w:p w14:paraId="3C853837" w14:textId="77777777" w:rsidR="00F86E95" w:rsidRPr="00E91A7B" w:rsidRDefault="00F86E95" w:rsidP="00E91A7B">
            <w:pPr>
              <w:pStyle w:val="TableText"/>
            </w:pPr>
            <w:r w:rsidRPr="00E91A7B">
              <w:t>1</w:t>
            </w:r>
          </w:p>
        </w:tc>
        <w:tc>
          <w:tcPr>
            <w:tcW w:w="745" w:type="pct"/>
            <w:tcBorders>
              <w:left w:val="nil"/>
              <w:right w:val="nil"/>
            </w:tcBorders>
          </w:tcPr>
          <w:p w14:paraId="5DCA7477" w14:textId="41FF5159" w:rsidR="00F86E95" w:rsidRPr="00E91A7B" w:rsidRDefault="00F86E95" w:rsidP="00E91A7B">
            <w:pPr>
              <w:pStyle w:val="TableText"/>
            </w:pPr>
            <w:r w:rsidRPr="00E91A7B">
              <w:t>1000 g/ha</w:t>
            </w:r>
          </w:p>
        </w:tc>
        <w:tc>
          <w:tcPr>
            <w:tcW w:w="1238" w:type="pct"/>
            <w:tcBorders>
              <w:left w:val="nil"/>
            </w:tcBorders>
          </w:tcPr>
          <w:p w14:paraId="3AE2E068" w14:textId="77777777" w:rsidR="00F86E95" w:rsidRPr="00E91A7B" w:rsidRDefault="00F86E95" w:rsidP="00E91A7B">
            <w:pPr>
              <w:pStyle w:val="TableText"/>
            </w:pPr>
            <w:r w:rsidRPr="00E91A7B">
              <w:t>Beech 1997</w:t>
            </w:r>
          </w:p>
        </w:tc>
      </w:tr>
      <w:tr w:rsidR="00F86E95" w:rsidRPr="003B5A86" w14:paraId="58A27AC2" w14:textId="77777777" w:rsidTr="00E91A7B">
        <w:trPr>
          <w:cantSplit/>
        </w:trPr>
        <w:tc>
          <w:tcPr>
            <w:tcW w:w="953" w:type="pct"/>
            <w:vMerge w:val="restart"/>
            <w:tcBorders>
              <w:right w:val="nil"/>
            </w:tcBorders>
          </w:tcPr>
          <w:p w14:paraId="0924308C" w14:textId="77777777" w:rsidR="00F86E95" w:rsidRPr="00E91A7B" w:rsidRDefault="00F86E95" w:rsidP="00E91A7B">
            <w:pPr>
              <w:pStyle w:val="TableText"/>
            </w:pPr>
            <w:r w:rsidRPr="00E91A7B">
              <w:t>Soil macro-organisms</w:t>
            </w:r>
          </w:p>
        </w:tc>
        <w:tc>
          <w:tcPr>
            <w:tcW w:w="738" w:type="pct"/>
            <w:tcBorders>
              <w:left w:val="nil"/>
              <w:right w:val="nil"/>
            </w:tcBorders>
          </w:tcPr>
          <w:p w14:paraId="4C672F0B" w14:textId="77777777" w:rsidR="00F86E95" w:rsidRPr="00E91A7B" w:rsidRDefault="00F86E95" w:rsidP="00E91A7B">
            <w:pPr>
              <w:pStyle w:val="TableText"/>
            </w:pPr>
            <w:r w:rsidRPr="00E91A7B">
              <w:t>Acute</w:t>
            </w:r>
          </w:p>
        </w:tc>
        <w:tc>
          <w:tcPr>
            <w:tcW w:w="1104" w:type="pct"/>
            <w:tcBorders>
              <w:left w:val="nil"/>
              <w:right w:val="nil"/>
            </w:tcBorders>
          </w:tcPr>
          <w:p w14:paraId="2D849E13" w14:textId="394EC7F9" w:rsidR="00F86E95" w:rsidRPr="00E91A7B" w:rsidRDefault="00F86E95" w:rsidP="00E91A7B">
            <w:pPr>
              <w:pStyle w:val="TableText"/>
            </w:pPr>
            <w:r w:rsidRPr="00E91A7B">
              <w:t>LC</w:t>
            </w:r>
            <w:r w:rsidRPr="00015F03">
              <w:rPr>
                <w:vertAlign w:val="subscript"/>
              </w:rPr>
              <w:t>50</w:t>
            </w:r>
            <w:r w:rsidRPr="00E91A7B">
              <w:t xml:space="preserve"> 94 mg/kg ds</w:t>
            </w:r>
          </w:p>
        </w:tc>
        <w:tc>
          <w:tcPr>
            <w:tcW w:w="222" w:type="pct"/>
            <w:tcBorders>
              <w:left w:val="nil"/>
              <w:right w:val="nil"/>
            </w:tcBorders>
          </w:tcPr>
          <w:p w14:paraId="53B11A04" w14:textId="77777777" w:rsidR="00F86E95" w:rsidRPr="00E91A7B" w:rsidRDefault="00F86E95" w:rsidP="00E91A7B">
            <w:pPr>
              <w:pStyle w:val="TableText"/>
            </w:pPr>
            <w:r w:rsidRPr="00E91A7B">
              <w:t>10</w:t>
            </w:r>
          </w:p>
        </w:tc>
        <w:tc>
          <w:tcPr>
            <w:tcW w:w="745" w:type="pct"/>
            <w:tcBorders>
              <w:left w:val="nil"/>
              <w:right w:val="nil"/>
            </w:tcBorders>
          </w:tcPr>
          <w:p w14:paraId="4C3FE07F" w14:textId="0545A4A7" w:rsidR="00F86E95" w:rsidRPr="00E91A7B" w:rsidRDefault="00F86E95" w:rsidP="00E91A7B">
            <w:pPr>
              <w:pStyle w:val="TableText"/>
            </w:pPr>
            <w:r w:rsidRPr="00E91A7B">
              <w:t>9.4 mg/kg ds</w:t>
            </w:r>
          </w:p>
        </w:tc>
        <w:tc>
          <w:tcPr>
            <w:tcW w:w="1238" w:type="pct"/>
            <w:tcBorders>
              <w:left w:val="nil"/>
            </w:tcBorders>
          </w:tcPr>
          <w:p w14:paraId="49944832" w14:textId="77777777" w:rsidR="00F86E95" w:rsidRPr="00E91A7B" w:rsidRDefault="00F86E95" w:rsidP="00E91A7B">
            <w:pPr>
              <w:pStyle w:val="TableText"/>
            </w:pPr>
            <w:r w:rsidRPr="00E91A7B">
              <w:t>Bender 2006b</w:t>
            </w:r>
          </w:p>
        </w:tc>
      </w:tr>
      <w:tr w:rsidR="00F86E95" w:rsidRPr="003B5A86" w14:paraId="6E9C8B3D" w14:textId="77777777" w:rsidTr="00E91A7B">
        <w:trPr>
          <w:cantSplit/>
        </w:trPr>
        <w:tc>
          <w:tcPr>
            <w:tcW w:w="953" w:type="pct"/>
            <w:vMerge/>
            <w:tcBorders>
              <w:right w:val="nil"/>
            </w:tcBorders>
          </w:tcPr>
          <w:p w14:paraId="6C4C4116" w14:textId="77777777" w:rsidR="00F86E95" w:rsidRPr="00E91A7B" w:rsidRDefault="00F86E95" w:rsidP="00E91A7B">
            <w:pPr>
              <w:pStyle w:val="TableText"/>
            </w:pPr>
          </w:p>
        </w:tc>
        <w:tc>
          <w:tcPr>
            <w:tcW w:w="738" w:type="pct"/>
            <w:tcBorders>
              <w:left w:val="nil"/>
              <w:right w:val="nil"/>
            </w:tcBorders>
          </w:tcPr>
          <w:p w14:paraId="4469D650" w14:textId="77777777" w:rsidR="00F86E95" w:rsidRPr="00E91A7B" w:rsidRDefault="00F86E95" w:rsidP="00E91A7B">
            <w:pPr>
              <w:pStyle w:val="TableText"/>
            </w:pPr>
            <w:r w:rsidRPr="00E91A7B">
              <w:t>Chronic</w:t>
            </w:r>
          </w:p>
        </w:tc>
        <w:tc>
          <w:tcPr>
            <w:tcW w:w="1104" w:type="pct"/>
            <w:tcBorders>
              <w:left w:val="nil"/>
              <w:right w:val="nil"/>
            </w:tcBorders>
          </w:tcPr>
          <w:p w14:paraId="2B4F9581" w14:textId="7733C3E2" w:rsidR="00F86E95" w:rsidRPr="00E91A7B" w:rsidRDefault="00F86E95" w:rsidP="00E91A7B">
            <w:pPr>
              <w:pStyle w:val="TableText"/>
            </w:pPr>
            <w:r w:rsidRPr="00E91A7B">
              <w:t>NOEC 9.4 mg/kg ds</w:t>
            </w:r>
          </w:p>
        </w:tc>
        <w:tc>
          <w:tcPr>
            <w:tcW w:w="222" w:type="pct"/>
            <w:tcBorders>
              <w:left w:val="nil"/>
              <w:right w:val="nil"/>
            </w:tcBorders>
          </w:tcPr>
          <w:p w14:paraId="2727328F" w14:textId="77777777" w:rsidR="00F86E95" w:rsidRPr="00E91A7B" w:rsidRDefault="00F86E95" w:rsidP="00E91A7B">
            <w:pPr>
              <w:pStyle w:val="TableText"/>
            </w:pPr>
            <w:r w:rsidRPr="00E91A7B">
              <w:t>1</w:t>
            </w:r>
          </w:p>
        </w:tc>
        <w:tc>
          <w:tcPr>
            <w:tcW w:w="745" w:type="pct"/>
            <w:tcBorders>
              <w:left w:val="nil"/>
              <w:right w:val="nil"/>
            </w:tcBorders>
          </w:tcPr>
          <w:p w14:paraId="25CB505F" w14:textId="5BF27483" w:rsidR="00F86E95" w:rsidRPr="00E91A7B" w:rsidRDefault="00F86E95" w:rsidP="00E91A7B">
            <w:pPr>
              <w:pStyle w:val="TableText"/>
            </w:pPr>
            <w:r w:rsidRPr="00E91A7B">
              <w:t>9.4 mg/kg ds</w:t>
            </w:r>
          </w:p>
        </w:tc>
        <w:tc>
          <w:tcPr>
            <w:tcW w:w="1238" w:type="pct"/>
            <w:tcBorders>
              <w:left w:val="nil"/>
            </w:tcBorders>
          </w:tcPr>
          <w:p w14:paraId="03D71DBD" w14:textId="77777777" w:rsidR="00F86E95" w:rsidRPr="00E91A7B" w:rsidRDefault="00F86E95" w:rsidP="00E91A7B">
            <w:pPr>
              <w:pStyle w:val="TableText"/>
            </w:pPr>
            <w:r w:rsidRPr="00E91A7B">
              <w:t>Friedrich 2007b</w:t>
            </w:r>
          </w:p>
        </w:tc>
      </w:tr>
      <w:tr w:rsidR="00F86E95" w:rsidRPr="003B5A86" w14:paraId="3B111E17" w14:textId="77777777" w:rsidTr="00E91A7B">
        <w:trPr>
          <w:cantSplit/>
        </w:trPr>
        <w:tc>
          <w:tcPr>
            <w:tcW w:w="953" w:type="pct"/>
            <w:tcBorders>
              <w:right w:val="nil"/>
            </w:tcBorders>
          </w:tcPr>
          <w:p w14:paraId="06968A1E" w14:textId="77777777" w:rsidR="00F86E95" w:rsidRPr="00E91A7B" w:rsidRDefault="00F86E95" w:rsidP="00E91A7B">
            <w:pPr>
              <w:pStyle w:val="TableText"/>
            </w:pPr>
            <w:r w:rsidRPr="00E91A7B">
              <w:t>Soil micro-organisms</w:t>
            </w:r>
          </w:p>
        </w:tc>
        <w:tc>
          <w:tcPr>
            <w:tcW w:w="738" w:type="pct"/>
            <w:tcBorders>
              <w:left w:val="nil"/>
              <w:right w:val="nil"/>
            </w:tcBorders>
          </w:tcPr>
          <w:p w14:paraId="583D4430" w14:textId="77777777" w:rsidR="00F86E95" w:rsidRPr="00E91A7B" w:rsidRDefault="00F86E95" w:rsidP="00E91A7B">
            <w:pPr>
              <w:pStyle w:val="TableText"/>
            </w:pPr>
            <w:r w:rsidRPr="00E91A7B">
              <w:t>Chronic</w:t>
            </w:r>
          </w:p>
        </w:tc>
        <w:tc>
          <w:tcPr>
            <w:tcW w:w="1104" w:type="pct"/>
            <w:tcBorders>
              <w:left w:val="nil"/>
              <w:right w:val="nil"/>
            </w:tcBorders>
          </w:tcPr>
          <w:p w14:paraId="416DD47B" w14:textId="03C0F389" w:rsidR="00F86E95" w:rsidRPr="00E91A7B" w:rsidRDefault="00F86E95" w:rsidP="00E91A7B">
            <w:pPr>
              <w:pStyle w:val="TableText"/>
            </w:pPr>
            <w:r w:rsidRPr="00E91A7B">
              <w:t>NOEC 500 mg/kg ds</w:t>
            </w:r>
          </w:p>
        </w:tc>
        <w:tc>
          <w:tcPr>
            <w:tcW w:w="222" w:type="pct"/>
            <w:tcBorders>
              <w:left w:val="nil"/>
              <w:right w:val="nil"/>
            </w:tcBorders>
          </w:tcPr>
          <w:p w14:paraId="2D7D53DE" w14:textId="77777777" w:rsidR="00F86E95" w:rsidRPr="00E91A7B" w:rsidRDefault="00F86E95" w:rsidP="00E91A7B">
            <w:pPr>
              <w:pStyle w:val="TableText"/>
            </w:pPr>
            <w:r w:rsidRPr="00E91A7B">
              <w:t>1</w:t>
            </w:r>
          </w:p>
        </w:tc>
        <w:tc>
          <w:tcPr>
            <w:tcW w:w="745" w:type="pct"/>
            <w:tcBorders>
              <w:left w:val="nil"/>
              <w:right w:val="nil"/>
            </w:tcBorders>
          </w:tcPr>
          <w:p w14:paraId="3C0735AE" w14:textId="45D02B64" w:rsidR="00F86E95" w:rsidRPr="00E91A7B" w:rsidRDefault="00F86E95" w:rsidP="00E91A7B">
            <w:pPr>
              <w:pStyle w:val="TableText"/>
            </w:pPr>
            <w:r w:rsidRPr="00E91A7B">
              <w:t>500 mg/kg ds</w:t>
            </w:r>
          </w:p>
        </w:tc>
        <w:tc>
          <w:tcPr>
            <w:tcW w:w="1238" w:type="pct"/>
            <w:tcBorders>
              <w:left w:val="nil"/>
            </w:tcBorders>
          </w:tcPr>
          <w:p w14:paraId="7BA3195E" w14:textId="77777777" w:rsidR="00F86E95" w:rsidRPr="00E91A7B" w:rsidRDefault="00F86E95" w:rsidP="00E91A7B">
            <w:pPr>
              <w:pStyle w:val="TableText"/>
            </w:pPr>
            <w:r w:rsidRPr="00E91A7B">
              <w:t>Schultz 2007b</w:t>
            </w:r>
          </w:p>
        </w:tc>
      </w:tr>
      <w:tr w:rsidR="00F86E95" w:rsidRPr="003B5A86" w14:paraId="260C72DC" w14:textId="77777777" w:rsidTr="00E91A7B">
        <w:trPr>
          <w:cantSplit/>
        </w:trPr>
        <w:tc>
          <w:tcPr>
            <w:tcW w:w="953" w:type="pct"/>
            <w:tcBorders>
              <w:right w:val="nil"/>
            </w:tcBorders>
          </w:tcPr>
          <w:p w14:paraId="1ABC2469" w14:textId="77777777" w:rsidR="00F86E95" w:rsidRPr="00E91A7B" w:rsidRDefault="00F86E95" w:rsidP="00E91A7B">
            <w:pPr>
              <w:pStyle w:val="TableText"/>
            </w:pPr>
            <w:r w:rsidRPr="00E91A7B">
              <w:t>Terrestrial plants</w:t>
            </w:r>
          </w:p>
        </w:tc>
        <w:tc>
          <w:tcPr>
            <w:tcW w:w="738" w:type="pct"/>
            <w:tcBorders>
              <w:left w:val="nil"/>
              <w:right w:val="nil"/>
            </w:tcBorders>
          </w:tcPr>
          <w:p w14:paraId="3ECD91A2" w14:textId="77777777" w:rsidR="00F86E95" w:rsidRPr="00E91A7B" w:rsidRDefault="00F86E95" w:rsidP="00E91A7B">
            <w:pPr>
              <w:pStyle w:val="TableText"/>
            </w:pPr>
            <w:r w:rsidRPr="00E91A7B">
              <w:t>Post-emergent</w:t>
            </w:r>
          </w:p>
        </w:tc>
        <w:tc>
          <w:tcPr>
            <w:tcW w:w="1104" w:type="pct"/>
            <w:tcBorders>
              <w:left w:val="nil"/>
              <w:right w:val="nil"/>
            </w:tcBorders>
          </w:tcPr>
          <w:p w14:paraId="6F58C43F" w14:textId="25A40BC9" w:rsidR="00F86E95" w:rsidRPr="00E91A7B" w:rsidRDefault="00F86E95" w:rsidP="00E91A7B">
            <w:pPr>
              <w:pStyle w:val="TableText"/>
            </w:pPr>
            <w:r w:rsidRPr="00E91A7B">
              <w:t>HR</w:t>
            </w:r>
            <w:r w:rsidRPr="00015F03">
              <w:rPr>
                <w:vertAlign w:val="subscript"/>
              </w:rPr>
              <w:t>5</w:t>
            </w:r>
            <w:r w:rsidRPr="00E91A7B">
              <w:t xml:space="preserve"> </w:t>
            </w:r>
            <w:r w:rsidR="009A2810">
              <w:t>15</w:t>
            </w:r>
            <w:r w:rsidR="009A2810" w:rsidRPr="00E91A7B">
              <w:t xml:space="preserve"> </w:t>
            </w:r>
            <w:r w:rsidRPr="00E91A7B">
              <w:t>g ac/ha</w:t>
            </w:r>
          </w:p>
        </w:tc>
        <w:tc>
          <w:tcPr>
            <w:tcW w:w="222" w:type="pct"/>
            <w:tcBorders>
              <w:left w:val="nil"/>
              <w:right w:val="nil"/>
            </w:tcBorders>
          </w:tcPr>
          <w:p w14:paraId="3B6DA145" w14:textId="77777777" w:rsidR="00F86E95" w:rsidRPr="00E91A7B" w:rsidRDefault="00F86E95" w:rsidP="00E91A7B">
            <w:pPr>
              <w:pStyle w:val="TableText"/>
            </w:pPr>
            <w:r w:rsidRPr="00E91A7B">
              <w:t>1</w:t>
            </w:r>
          </w:p>
        </w:tc>
        <w:tc>
          <w:tcPr>
            <w:tcW w:w="745" w:type="pct"/>
            <w:tcBorders>
              <w:left w:val="nil"/>
              <w:right w:val="nil"/>
            </w:tcBorders>
          </w:tcPr>
          <w:p w14:paraId="77D09B9F" w14:textId="02A600CD" w:rsidR="00F86E95" w:rsidRPr="00E91A7B" w:rsidRDefault="009A2810" w:rsidP="00E91A7B">
            <w:pPr>
              <w:pStyle w:val="TableText"/>
            </w:pPr>
            <w:r>
              <w:t>15</w:t>
            </w:r>
            <w:r w:rsidRPr="00E91A7B">
              <w:t xml:space="preserve"> </w:t>
            </w:r>
            <w:r w:rsidR="00F86E95" w:rsidRPr="00E91A7B">
              <w:t>g/ha</w:t>
            </w:r>
          </w:p>
        </w:tc>
        <w:tc>
          <w:tcPr>
            <w:tcW w:w="1238" w:type="pct"/>
            <w:tcBorders>
              <w:left w:val="nil"/>
            </w:tcBorders>
          </w:tcPr>
          <w:p w14:paraId="18EF0E83" w14:textId="77777777" w:rsidR="00F86E95" w:rsidRPr="00E91A7B" w:rsidRDefault="00F86E95" w:rsidP="00E91A7B">
            <w:pPr>
              <w:pStyle w:val="TableText"/>
            </w:pPr>
            <w:r w:rsidRPr="00E91A7B">
              <w:t>Bellet 1990b, Martin 2013, Porch &amp; Krueger 1999</w:t>
            </w:r>
          </w:p>
        </w:tc>
      </w:tr>
    </w:tbl>
    <w:p w14:paraId="18380898" w14:textId="1BA1ABC3" w:rsidR="009240BD" w:rsidRDefault="00F86E95" w:rsidP="00E91A7B">
      <w:pPr>
        <w:pStyle w:val="SourceTableNote"/>
      </w:pPr>
      <w:r w:rsidRPr="00735B4F">
        <w:t xml:space="preserve">*Aquatic endpoints have been adjusted to account for rapid dissipation from the water column under natural conditions </w:t>
      </w:r>
      <w:bookmarkStart w:id="416" w:name="_Hlk157415681"/>
      <w:r w:rsidRPr="00735B4F">
        <w:t xml:space="preserve">(adjusted </w:t>
      </w:r>
      <w:bookmarkEnd w:id="416"/>
      <w:r w:rsidRPr="00735B4F">
        <w:t>endpoint = measured endpoint / (1</w:t>
      </w:r>
      <w:r w:rsidR="004C1210">
        <w:t>–</w:t>
      </w:r>
      <w:r w:rsidRPr="00735B4F">
        <w:t>EXP (exposure days * (-ln(2)/DT</w:t>
      </w:r>
      <w:r w:rsidRPr="00015F03">
        <w:rPr>
          <w:vertAlign w:val="subscript"/>
        </w:rPr>
        <w:t>50</w:t>
      </w:r>
      <w:r w:rsidRPr="00735B4F">
        <w:t xml:space="preserve"> 0.5 days))) * (exposure days * ln(2)/DT</w:t>
      </w:r>
      <w:r w:rsidRPr="00015F03">
        <w:rPr>
          <w:vertAlign w:val="subscript"/>
        </w:rPr>
        <w:t>50</w:t>
      </w:r>
      <w:r w:rsidRPr="00735B4F">
        <w:t xml:space="preserve"> 0.5 days)</w:t>
      </w:r>
    </w:p>
    <w:p w14:paraId="65AB534E" w14:textId="77777777" w:rsidR="00C271A0" w:rsidRPr="00C271A0" w:rsidRDefault="00C271A0" w:rsidP="00C271A0">
      <w:pPr>
        <w:pStyle w:val="Heading2"/>
      </w:pPr>
      <w:bookmarkStart w:id="417" w:name="_Toc156980626"/>
      <w:bookmarkStart w:id="418" w:name="_Toc233039030"/>
      <w:r w:rsidRPr="00C271A0">
        <w:lastRenderedPageBreak/>
        <w:t>Risks to non-target species</w:t>
      </w:r>
      <w:bookmarkEnd w:id="417"/>
      <w:bookmarkEnd w:id="418"/>
    </w:p>
    <w:p w14:paraId="78A7CADF" w14:textId="77777777" w:rsidR="00C271A0" w:rsidRPr="007F5112" w:rsidRDefault="00C271A0" w:rsidP="007F5112">
      <w:pPr>
        <w:pStyle w:val="Heading3"/>
      </w:pPr>
      <w:bookmarkStart w:id="419" w:name="_Toc156980627"/>
      <w:bookmarkStart w:id="420" w:name="_Toc233039031"/>
      <w:r w:rsidRPr="007F5112">
        <w:t>Terrestrial vertebrates</w:t>
      </w:r>
      <w:bookmarkEnd w:id="419"/>
      <w:bookmarkEnd w:id="420"/>
    </w:p>
    <w:p w14:paraId="2AB6C32F" w14:textId="37AB0399" w:rsidR="00E72036" w:rsidRPr="00E72036" w:rsidRDefault="00E72036" w:rsidP="00E72036">
      <w:pPr>
        <w:pStyle w:val="Caption"/>
        <w:rPr>
          <w:rFonts w:ascii="Arial" w:hAnsi="Arial" w:cs="Arial"/>
          <w:color w:val="auto"/>
          <w:kern w:val="20"/>
          <w:sz w:val="19"/>
          <w:u w:color="000000"/>
        </w:rPr>
      </w:pPr>
      <w:bookmarkStart w:id="421" w:name="_Ref167441646"/>
      <w:bookmarkStart w:id="422" w:name="_Toc232589624"/>
      <w:bookmarkStart w:id="423" w:name="_Hlk163814703"/>
      <w:r w:rsidRPr="00E72036">
        <w:rPr>
          <w:rFonts w:ascii="Arial" w:hAnsi="Arial" w:cs="Arial"/>
          <w:color w:val="auto"/>
          <w:kern w:val="20"/>
          <w:sz w:val="19"/>
          <w:u w:color="000000"/>
        </w:rPr>
        <w:t>Direct dietary exposure of terrestrial vertebrates to diquat is considered negligible following application to aquatic areas. Therefore, risks to terrestrial vertebrates are acceptable for application in aquatic areas. Direct dietary exposure is possible for uses of diquat as a pre-harvest crop desiccant or for general weed control. Use situations were divided into crop groups, based on EFSA 2009, that have similar growth patterns. Application techniques such as spot spraying and optical spot spraying were considered where relevant.</w:t>
      </w:r>
    </w:p>
    <w:p w14:paraId="56CF532D" w14:textId="36B5D8BA" w:rsidR="00E72036" w:rsidRPr="00E72036" w:rsidRDefault="00E72036" w:rsidP="00E72036">
      <w:pPr>
        <w:pStyle w:val="Caption"/>
        <w:rPr>
          <w:rFonts w:ascii="Arial" w:hAnsi="Arial" w:cs="Arial"/>
          <w:color w:val="auto"/>
          <w:kern w:val="20"/>
          <w:sz w:val="19"/>
          <w:u w:color="000000"/>
        </w:rPr>
      </w:pPr>
      <w:r w:rsidRPr="00E72036">
        <w:rPr>
          <w:rFonts w:ascii="Arial" w:hAnsi="Arial" w:cs="Arial"/>
          <w:color w:val="auto"/>
          <w:kern w:val="20"/>
          <w:sz w:val="19"/>
          <w:u w:color="000000"/>
        </w:rPr>
        <w:t>Terrestrial vertebrate risks from contaminated food are assessed using a tiered approach. Acute risk characterisation simulates a worst-case scenario assuming 100% dietary intake from the treated zone on the day of application, while chronic risk modelling integrates a proportion of diet obtained from the treated area over a period post-application. For Tier-1 assessment, the APVMA utilises EFSA (2009) generic focal species, which are considered protective of species that occur in Australia. The risk assessment was further refined using information provided during public consultation and weight-of-evidence arguments, where appropriate.</w:t>
      </w:r>
    </w:p>
    <w:p w14:paraId="7EBA92A7" w14:textId="794830BB" w:rsidR="00E72036" w:rsidRPr="00E72036" w:rsidRDefault="00E72036" w:rsidP="00E72036">
      <w:pPr>
        <w:pStyle w:val="Caption"/>
        <w:rPr>
          <w:rFonts w:ascii="Arial" w:hAnsi="Arial" w:cs="Arial"/>
          <w:color w:val="auto"/>
          <w:kern w:val="20"/>
          <w:sz w:val="19"/>
          <w:u w:color="000000"/>
        </w:rPr>
      </w:pPr>
      <w:r w:rsidRPr="00E72036">
        <w:rPr>
          <w:rFonts w:ascii="Arial" w:hAnsi="Arial" w:cs="Arial"/>
          <w:color w:val="auto"/>
          <w:kern w:val="20"/>
          <w:sz w:val="19"/>
          <w:u w:color="000000"/>
        </w:rPr>
        <w:t>For birds, based on the updated assessments, the maximum supported rates differ according to crops and situations within each use pattern:</w:t>
      </w:r>
    </w:p>
    <w:p w14:paraId="5698FA2A" w14:textId="65DB245F" w:rsidR="00E72036" w:rsidRPr="00E72036" w:rsidRDefault="00E72036" w:rsidP="00E72036">
      <w:pPr>
        <w:pStyle w:val="Bullet1"/>
      </w:pPr>
      <w:r w:rsidRPr="00E72036">
        <w:t>Pre-harvest crop desiccation: 122 to 1591 g ac/ha, depending on the crop (122 g ac/ha for cereals and rice; 278 g ac/ha for lucerne, lupins, potatoes, sweet potatoes, and pulses; 283 g ac/ha for oilseeds; 323 g ac/ha for sunflowers; 600 g ac/ha for sugarcane; 800 g ac/ha for poppies; and 1591 g ac/ha for cotton).</w:t>
      </w:r>
    </w:p>
    <w:p w14:paraId="41811A18" w14:textId="639DD927" w:rsidR="00E72036" w:rsidRPr="00E72036" w:rsidRDefault="00E72036" w:rsidP="00E72036">
      <w:pPr>
        <w:pStyle w:val="Bullet1"/>
      </w:pPr>
      <w:r w:rsidRPr="00E72036">
        <w:t>General weed control: 122 to 560 g ac/ha, depending on the situation (122 g ac/ha for pre-harvest cereals; 230 g ac/ha for pasture or cereals up to tillering; 261 g ac/ha for lucerne; 283 g ac/ha for asparagus, hops, market gardens, row crops, and vegetables; 300 g ac/ha for oilseeds; 464 g ac/ha for orchards and vineyards; and 560 g ac/ha for infested areas).</w:t>
      </w:r>
    </w:p>
    <w:p w14:paraId="0415E4F4" w14:textId="39A0AA4D" w:rsidR="00E72036" w:rsidRPr="00E72036" w:rsidRDefault="00E72036" w:rsidP="00E72036">
      <w:pPr>
        <w:pStyle w:val="Caption"/>
        <w:rPr>
          <w:rFonts w:ascii="Arial" w:hAnsi="Arial" w:cs="Arial"/>
          <w:color w:val="auto"/>
          <w:kern w:val="20"/>
          <w:sz w:val="19"/>
          <w:u w:color="000000"/>
        </w:rPr>
      </w:pPr>
      <w:r w:rsidRPr="00E72036">
        <w:rPr>
          <w:rFonts w:ascii="Arial" w:hAnsi="Arial" w:cs="Arial"/>
          <w:color w:val="auto"/>
          <w:kern w:val="20"/>
          <w:sz w:val="19"/>
          <w:u w:color="000000"/>
        </w:rPr>
        <w:t>For mammals, the acute RAL was adjusted to account for acute toxicity data, alongside quantitative refinements for non-eutherian daily energy expenditure, a 50 g small herbivore body weight adjustment to reflect Australian fauna, in addition to other modification to the risk assessment. Based on the updated assessments, the maximum supported rates differ according to crops and situations within each use pattern:</w:t>
      </w:r>
    </w:p>
    <w:p w14:paraId="56FD26CD" w14:textId="73E4DC1D" w:rsidR="00E72036" w:rsidRPr="00E72036" w:rsidRDefault="00E72036" w:rsidP="00E72036">
      <w:pPr>
        <w:pStyle w:val="Bullet1"/>
      </w:pPr>
      <w:r w:rsidRPr="00E72036">
        <w:t>Pre-harvest crop desiccation: 610 to 1875 g ac/ha, depending on the crop (610 g ac/ha for cotton, sugarcane, and sunflowers; 625 g ac/ha for pulses; 938 g ac/ha for oilseeds and poppies; 1250 g ac/ha for lucerne, lupins, potatoes, and sweet potatoes; and 1875 g ac/ha for cereals and rice).</w:t>
      </w:r>
    </w:p>
    <w:p w14:paraId="7FA5B4FF" w14:textId="1BDF6134" w:rsidR="00E72036" w:rsidRPr="00E72036" w:rsidRDefault="00E72036" w:rsidP="00E72036">
      <w:pPr>
        <w:pStyle w:val="Bullet1"/>
      </w:pPr>
      <w:r w:rsidRPr="00E72036">
        <w:t>General weed control: 188 to 1875 g ac/ha, depending on the situation (188 g ac/ha for pasture, orchards, and vineyards; 494 g ac/ha for cereals up to tillering; 560 g ac/ha for infested areas; 1209 g ac/ha for lucerne; 1455 g ac/ha for asparagus, hops, market gardens, oilseeds, row crops, and vegetables; and 1875 g ac/ha for pre-harvest cereals).</w:t>
      </w:r>
    </w:p>
    <w:p w14:paraId="6F8DF583" w14:textId="0D58FEA2" w:rsidR="00E72036" w:rsidRPr="00E72036" w:rsidRDefault="00E72036" w:rsidP="00E72036">
      <w:pPr>
        <w:pStyle w:val="Caption"/>
        <w:rPr>
          <w:rFonts w:ascii="Arial" w:hAnsi="Arial" w:cs="Arial"/>
          <w:color w:val="auto"/>
          <w:kern w:val="20"/>
          <w:sz w:val="19"/>
          <w:u w:color="000000"/>
        </w:rPr>
      </w:pPr>
      <w:r w:rsidRPr="00E72036">
        <w:rPr>
          <w:rFonts w:ascii="Arial" w:hAnsi="Arial" w:cs="Arial"/>
          <w:color w:val="auto"/>
          <w:kern w:val="20"/>
          <w:sz w:val="19"/>
          <w:u w:color="000000"/>
        </w:rPr>
        <w:lastRenderedPageBreak/>
        <w:t xml:space="preserve">A full assessment for terrestrial vertebrates for the different use patterns is presented in Appendix C. The risk assessment conclusions are summarised in </w:t>
      </w:r>
      <w:r w:rsidRPr="00E72036">
        <w:rPr>
          <w:rFonts w:ascii="Arial" w:hAnsi="Arial" w:cs="Arial"/>
          <w:color w:val="auto"/>
          <w:kern w:val="20"/>
          <w:sz w:val="19"/>
          <w:u w:color="000000"/>
        </w:rPr>
        <w:fldChar w:fldCharType="begin" w:fldLock="1"/>
      </w:r>
      <w:r w:rsidRPr="00E72036">
        <w:rPr>
          <w:rFonts w:ascii="Arial" w:hAnsi="Arial" w:cs="Arial"/>
          <w:color w:val="auto"/>
          <w:kern w:val="20"/>
          <w:sz w:val="19"/>
          <w:u w:color="000000"/>
        </w:rPr>
        <w:instrText xml:space="preserve"> REF _Ref232677021 \h </w:instrText>
      </w:r>
      <w:r>
        <w:rPr>
          <w:rFonts w:ascii="Arial" w:hAnsi="Arial" w:cs="Arial"/>
          <w:color w:val="auto"/>
          <w:kern w:val="20"/>
          <w:sz w:val="19"/>
          <w:u w:color="000000"/>
        </w:rPr>
        <w:instrText xml:space="preserve"> \* MERGEFORMAT </w:instrText>
      </w:r>
      <w:r w:rsidRPr="00E72036">
        <w:rPr>
          <w:rFonts w:ascii="Arial" w:hAnsi="Arial" w:cs="Arial"/>
          <w:color w:val="auto"/>
          <w:kern w:val="20"/>
          <w:sz w:val="19"/>
          <w:u w:color="000000"/>
        </w:rPr>
      </w:r>
      <w:r w:rsidRPr="00E72036">
        <w:rPr>
          <w:rFonts w:ascii="Arial" w:hAnsi="Arial" w:cs="Arial"/>
          <w:color w:val="auto"/>
          <w:kern w:val="20"/>
          <w:sz w:val="19"/>
          <w:u w:color="000000"/>
        </w:rPr>
        <w:fldChar w:fldCharType="separate"/>
      </w:r>
      <w:r w:rsidRPr="00E72036">
        <w:rPr>
          <w:rFonts w:ascii="Arial" w:hAnsi="Arial" w:cs="Arial"/>
          <w:color w:val="auto"/>
          <w:kern w:val="20"/>
          <w:sz w:val="19"/>
          <w:u w:color="000000"/>
        </w:rPr>
        <w:t>Table 29</w:t>
      </w:r>
      <w:r w:rsidRPr="00E72036">
        <w:rPr>
          <w:rFonts w:ascii="Arial" w:hAnsi="Arial" w:cs="Arial"/>
          <w:color w:val="auto"/>
          <w:kern w:val="20"/>
          <w:sz w:val="19"/>
          <w:u w:color="000000"/>
        </w:rPr>
        <w:fldChar w:fldCharType="end"/>
      </w:r>
      <w:r w:rsidRPr="00E72036">
        <w:rPr>
          <w:rFonts w:ascii="Arial" w:hAnsi="Arial" w:cs="Arial"/>
          <w:color w:val="auto"/>
          <w:kern w:val="20"/>
          <w:sz w:val="19"/>
          <w:u w:color="000000"/>
        </w:rPr>
        <w:t xml:space="preserve">. Uses are not supported unless the application rate is restricted to the maximum supported rate indicated in </w:t>
      </w:r>
      <w:r w:rsidRPr="00E72036">
        <w:rPr>
          <w:rFonts w:ascii="Arial" w:hAnsi="Arial" w:cs="Arial"/>
          <w:color w:val="auto"/>
          <w:kern w:val="20"/>
          <w:sz w:val="19"/>
          <w:u w:color="000000"/>
        </w:rPr>
        <w:fldChar w:fldCharType="begin" w:fldLock="1"/>
      </w:r>
      <w:r w:rsidRPr="00E72036">
        <w:rPr>
          <w:rFonts w:ascii="Arial" w:hAnsi="Arial" w:cs="Arial"/>
          <w:color w:val="auto"/>
          <w:kern w:val="20"/>
          <w:sz w:val="19"/>
          <w:u w:color="000000"/>
        </w:rPr>
        <w:instrText xml:space="preserve"> REF _Ref232677021 \h </w:instrText>
      </w:r>
      <w:r>
        <w:rPr>
          <w:rFonts w:ascii="Arial" w:hAnsi="Arial" w:cs="Arial"/>
          <w:color w:val="auto"/>
          <w:kern w:val="20"/>
          <w:sz w:val="19"/>
          <w:u w:color="000000"/>
        </w:rPr>
        <w:instrText xml:space="preserve"> \* MERGEFORMAT </w:instrText>
      </w:r>
      <w:r w:rsidRPr="00E72036">
        <w:rPr>
          <w:rFonts w:ascii="Arial" w:hAnsi="Arial" w:cs="Arial"/>
          <w:color w:val="auto"/>
          <w:kern w:val="20"/>
          <w:sz w:val="19"/>
          <w:u w:color="000000"/>
        </w:rPr>
      </w:r>
      <w:r w:rsidRPr="00E72036">
        <w:rPr>
          <w:rFonts w:ascii="Arial" w:hAnsi="Arial" w:cs="Arial"/>
          <w:color w:val="auto"/>
          <w:kern w:val="20"/>
          <w:sz w:val="19"/>
          <w:u w:color="000000"/>
        </w:rPr>
        <w:fldChar w:fldCharType="separate"/>
      </w:r>
      <w:r w:rsidRPr="00E72036">
        <w:rPr>
          <w:rFonts w:ascii="Arial" w:hAnsi="Arial" w:cs="Arial"/>
          <w:color w:val="auto"/>
          <w:kern w:val="20"/>
          <w:sz w:val="19"/>
          <w:u w:color="000000"/>
        </w:rPr>
        <w:t>Table 29</w:t>
      </w:r>
      <w:r w:rsidRPr="00E72036">
        <w:rPr>
          <w:rFonts w:ascii="Arial" w:hAnsi="Arial" w:cs="Arial"/>
          <w:color w:val="auto"/>
          <w:kern w:val="20"/>
          <w:sz w:val="19"/>
          <w:u w:color="000000"/>
        </w:rPr>
        <w:fldChar w:fldCharType="end"/>
      </w:r>
      <w:r w:rsidRPr="00E72036">
        <w:rPr>
          <w:rFonts w:ascii="Arial" w:hAnsi="Arial" w:cs="Arial"/>
          <w:color w:val="auto"/>
          <w:kern w:val="20"/>
          <w:sz w:val="19"/>
          <w:u w:color="000000"/>
        </w:rPr>
        <w:t>. For use patterns where an acceptable risk can be concluded the following protection labelling is appropriate.</w:t>
      </w:r>
    </w:p>
    <w:p w14:paraId="799BE198" w14:textId="4095D9F2" w:rsidR="00E72036" w:rsidRPr="008839C2" w:rsidRDefault="00E72036" w:rsidP="008839C2">
      <w:pPr>
        <w:pStyle w:val="Quotes"/>
        <w:rPr>
          <w:rFonts w:ascii="Arial" w:eastAsia="Times New Roman" w:hAnsi="Arial"/>
          <w:color w:val="1A1B1A" w:themeColor="text1" w:themeShade="80"/>
          <w:sz w:val="19"/>
          <w:szCs w:val="19"/>
        </w:rPr>
      </w:pPr>
      <w:r w:rsidRPr="008839C2">
        <w:rPr>
          <w:rFonts w:ascii="Arial" w:eastAsia="Times New Roman" w:hAnsi="Arial"/>
          <w:color w:val="1A1B1A" w:themeColor="text1" w:themeShade="80"/>
          <w:sz w:val="19"/>
          <w:szCs w:val="19"/>
        </w:rPr>
        <w:t>Toxic to birds. However, the use of this product as directed is not expected to have adverse effects on birds.</w:t>
      </w:r>
    </w:p>
    <w:p w14:paraId="46E3AF7C" w14:textId="77777777" w:rsidR="00E72036" w:rsidRDefault="00E72036" w:rsidP="00E72036">
      <w:pPr>
        <w:pStyle w:val="Caption"/>
        <w:rPr>
          <w:rFonts w:ascii="Arial" w:hAnsi="Arial" w:cs="Arial"/>
          <w:color w:val="auto"/>
          <w:kern w:val="20"/>
          <w:sz w:val="19"/>
          <w:u w:color="000000"/>
        </w:rPr>
      </w:pPr>
      <w:r w:rsidRPr="00E72036">
        <w:rPr>
          <w:rFonts w:ascii="Arial" w:hAnsi="Arial" w:cs="Arial"/>
          <w:color w:val="auto"/>
          <w:kern w:val="20"/>
          <w:sz w:val="19"/>
          <w:u w:color="000000"/>
        </w:rPr>
        <w:t>Diquat is not expected to bioaccumulate in biota based on its low octanol-water partition coefficient and low BCF in fish. Therefore, a food chain assessment was not necessary.</w:t>
      </w:r>
    </w:p>
    <w:p w14:paraId="486542EC" w14:textId="7D72B9A2" w:rsidR="00C271A0" w:rsidRPr="000179FF" w:rsidRDefault="009B30B8" w:rsidP="00E72036">
      <w:pPr>
        <w:pStyle w:val="Caption"/>
      </w:pPr>
      <w:bookmarkStart w:id="424" w:name="_Ref232677021"/>
      <w:r w:rsidRPr="000179FF">
        <w:t xml:space="preserve">Table </w:t>
      </w:r>
      <w:fldSimple w:instr=" SEQ Table \* ARABIC ">
        <w:r w:rsidR="009D7704">
          <w:rPr>
            <w:noProof/>
          </w:rPr>
          <w:t>29</w:t>
        </w:r>
      </w:fldSimple>
      <w:bookmarkEnd w:id="421"/>
      <w:bookmarkEnd w:id="424"/>
      <w:r w:rsidRPr="000179FF">
        <w:t xml:space="preserve">: </w:t>
      </w:r>
      <w:r w:rsidR="00C271A0" w:rsidRPr="000179FF">
        <w:t>Summary</w:t>
      </w:r>
      <w:r w:rsidR="00CD2A0F" w:rsidRPr="000179FF">
        <w:t xml:space="preserve"> </w:t>
      </w:r>
      <w:r w:rsidR="00C271A0" w:rsidRPr="000179FF">
        <w:t>of risk assessment outcomes for terrestrial vertebrates</w:t>
      </w:r>
      <w:bookmarkEnd w:id="422"/>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75"/>
        <w:gridCol w:w="1843"/>
        <w:gridCol w:w="1418"/>
        <w:gridCol w:w="1843"/>
        <w:gridCol w:w="1843"/>
        <w:gridCol w:w="1330"/>
      </w:tblGrid>
      <w:tr w:rsidR="003D088B" w:rsidRPr="006649E5" w14:paraId="39E2A2B8" w14:textId="77777777" w:rsidTr="007F5112">
        <w:trPr>
          <w:cantSplit/>
          <w:tblHeader/>
        </w:trPr>
        <w:tc>
          <w:tcPr>
            <w:tcW w:w="756" w:type="pct"/>
            <w:tcBorders>
              <w:right w:val="nil"/>
            </w:tcBorders>
            <w:shd w:val="clear" w:color="auto" w:fill="5C2946"/>
          </w:tcPr>
          <w:p w14:paraId="6FC523C9" w14:textId="77777777" w:rsidR="00C271A0" w:rsidRPr="00015F03" w:rsidRDefault="00C271A0" w:rsidP="00015F03">
            <w:pPr>
              <w:pStyle w:val="TableHead"/>
            </w:pPr>
            <w:bookmarkStart w:id="425" w:name="_Hlk163809534"/>
            <w:r w:rsidRPr="00015F03">
              <w:t>Category</w:t>
            </w:r>
          </w:p>
        </w:tc>
        <w:tc>
          <w:tcPr>
            <w:tcW w:w="945" w:type="pct"/>
            <w:tcBorders>
              <w:left w:val="nil"/>
              <w:right w:val="nil"/>
            </w:tcBorders>
            <w:shd w:val="clear" w:color="auto" w:fill="5C2946"/>
          </w:tcPr>
          <w:p w14:paraId="78FABDDE" w14:textId="77777777" w:rsidR="00C271A0" w:rsidRPr="00015F03" w:rsidRDefault="00C271A0" w:rsidP="00015F03">
            <w:pPr>
              <w:pStyle w:val="TableHead"/>
            </w:pPr>
            <w:r w:rsidRPr="00015F03">
              <w:t>Situation</w:t>
            </w:r>
          </w:p>
        </w:tc>
        <w:tc>
          <w:tcPr>
            <w:tcW w:w="727" w:type="pct"/>
            <w:tcBorders>
              <w:left w:val="nil"/>
              <w:right w:val="nil"/>
            </w:tcBorders>
            <w:shd w:val="clear" w:color="auto" w:fill="5C2946"/>
          </w:tcPr>
          <w:p w14:paraId="4652E48F" w14:textId="490C6FBF" w:rsidR="00170A40" w:rsidRPr="00015F03" w:rsidRDefault="00170A40" w:rsidP="00015F03">
            <w:pPr>
              <w:pStyle w:val="TableHead"/>
            </w:pPr>
            <w:r w:rsidRPr="00015F03">
              <w:t>Rate range</w:t>
            </w:r>
            <w:r w:rsidR="00015F03">
              <w:br/>
            </w:r>
            <w:r w:rsidRPr="00015F03">
              <w:t>(g ac/ha)</w:t>
            </w:r>
            <w:r w:rsidR="00E61669">
              <w:rPr>
                <w:rFonts w:ascii="ZWAdobeF" w:hAnsi="ZWAdobeF" w:cs="ZWAdobeF"/>
                <w:color w:val="auto"/>
                <w:spacing w:val="0"/>
                <w:sz w:val="2"/>
                <w:szCs w:val="2"/>
              </w:rPr>
              <w:t>26F</w:t>
            </w:r>
            <w:r w:rsidR="00602535">
              <w:rPr>
                <w:rFonts w:ascii="ZWAdobeF" w:hAnsi="ZWAdobeF" w:cs="ZWAdobeF"/>
                <w:color w:val="auto"/>
                <w:spacing w:val="0"/>
                <w:sz w:val="2"/>
                <w:szCs w:val="2"/>
              </w:rPr>
              <w:t>27F</w:t>
            </w:r>
            <w:r w:rsidR="00496172">
              <w:rPr>
                <w:rStyle w:val="FootnoteReference"/>
              </w:rPr>
              <w:footnoteReference w:id="29"/>
            </w:r>
          </w:p>
        </w:tc>
        <w:tc>
          <w:tcPr>
            <w:tcW w:w="945" w:type="pct"/>
            <w:tcBorders>
              <w:left w:val="nil"/>
              <w:right w:val="nil"/>
            </w:tcBorders>
            <w:shd w:val="clear" w:color="auto" w:fill="5C2946"/>
          </w:tcPr>
          <w:p w14:paraId="1418D478" w14:textId="67DEC22B" w:rsidR="00C271A0" w:rsidRPr="00015F03" w:rsidRDefault="00C271A0" w:rsidP="00015F03">
            <w:pPr>
              <w:pStyle w:val="TableHead"/>
            </w:pPr>
            <w:r w:rsidRPr="00015F03">
              <w:t>Wild mammal</w:t>
            </w:r>
            <w:r w:rsidR="00015F03">
              <w:t xml:space="preserve"> </w:t>
            </w:r>
            <w:r w:rsidRPr="00015F03">
              <w:t>assessment</w:t>
            </w:r>
          </w:p>
        </w:tc>
        <w:tc>
          <w:tcPr>
            <w:tcW w:w="945" w:type="pct"/>
            <w:tcBorders>
              <w:left w:val="nil"/>
              <w:right w:val="nil"/>
            </w:tcBorders>
            <w:shd w:val="clear" w:color="auto" w:fill="5C2946"/>
          </w:tcPr>
          <w:p w14:paraId="4D64F1DD" w14:textId="5597BF36" w:rsidR="00C271A0" w:rsidRPr="00015F03" w:rsidRDefault="00C271A0" w:rsidP="00015F03">
            <w:pPr>
              <w:pStyle w:val="TableHead"/>
            </w:pPr>
            <w:r w:rsidRPr="00015F03">
              <w:t>Bird</w:t>
            </w:r>
            <w:r w:rsidR="00015F03">
              <w:br/>
            </w:r>
            <w:r w:rsidRPr="00015F03">
              <w:t>assessment</w:t>
            </w:r>
          </w:p>
        </w:tc>
        <w:tc>
          <w:tcPr>
            <w:tcW w:w="682" w:type="pct"/>
            <w:tcBorders>
              <w:left w:val="nil"/>
            </w:tcBorders>
            <w:shd w:val="clear" w:color="auto" w:fill="5C2946"/>
          </w:tcPr>
          <w:p w14:paraId="666132B1" w14:textId="7D27C960" w:rsidR="00C271A0" w:rsidRPr="00015F03" w:rsidRDefault="00C271A0" w:rsidP="00015F03">
            <w:pPr>
              <w:pStyle w:val="TableHead"/>
            </w:pPr>
            <w:r w:rsidRPr="00015F03">
              <w:t>Max</w:t>
            </w:r>
            <w:r w:rsidR="00496172">
              <w:t>imum</w:t>
            </w:r>
            <w:r w:rsidRPr="00015F03">
              <w:t xml:space="preserve"> supported</w:t>
            </w:r>
            <w:r w:rsidR="00496172">
              <w:t xml:space="preserve"> rate</w:t>
            </w:r>
            <w:r w:rsidR="00E61669">
              <w:rPr>
                <w:rFonts w:ascii="ZWAdobeF" w:hAnsi="ZWAdobeF" w:cs="ZWAdobeF"/>
                <w:color w:val="auto"/>
                <w:spacing w:val="0"/>
                <w:sz w:val="2"/>
                <w:szCs w:val="2"/>
              </w:rPr>
              <w:t>27F</w:t>
            </w:r>
            <w:r w:rsidR="00602535">
              <w:rPr>
                <w:rFonts w:ascii="ZWAdobeF" w:hAnsi="ZWAdobeF" w:cs="ZWAdobeF"/>
                <w:color w:val="auto"/>
                <w:spacing w:val="0"/>
                <w:sz w:val="2"/>
                <w:szCs w:val="2"/>
              </w:rPr>
              <w:t>28F</w:t>
            </w:r>
            <w:r w:rsidR="00496172">
              <w:rPr>
                <w:rStyle w:val="FootnoteReference"/>
              </w:rPr>
              <w:footnoteReference w:id="30"/>
            </w:r>
          </w:p>
        </w:tc>
      </w:tr>
      <w:tr w:rsidR="003D088B" w:rsidRPr="006649E5" w14:paraId="227CBC05" w14:textId="77777777" w:rsidTr="007F5112">
        <w:trPr>
          <w:cantSplit/>
        </w:trPr>
        <w:tc>
          <w:tcPr>
            <w:tcW w:w="756" w:type="pct"/>
            <w:vMerge w:val="restart"/>
            <w:tcBorders>
              <w:right w:val="nil"/>
            </w:tcBorders>
          </w:tcPr>
          <w:p w14:paraId="3BE77158" w14:textId="4D6AC94B" w:rsidR="00496172" w:rsidRPr="00015F03" w:rsidRDefault="00496172" w:rsidP="00496172">
            <w:pPr>
              <w:pStyle w:val="TableText"/>
            </w:pPr>
            <w:r>
              <w:rPr>
                <w:szCs w:val="17"/>
              </w:rPr>
              <w:t>Pre-harvest crop desiccation</w:t>
            </w:r>
          </w:p>
        </w:tc>
        <w:tc>
          <w:tcPr>
            <w:tcW w:w="945" w:type="pct"/>
            <w:tcBorders>
              <w:left w:val="nil"/>
              <w:bottom w:val="nil"/>
              <w:right w:val="nil"/>
            </w:tcBorders>
          </w:tcPr>
          <w:p w14:paraId="38F42352" w14:textId="71465AE7" w:rsidR="00496172" w:rsidRPr="00015F03" w:rsidRDefault="00496172" w:rsidP="00496172">
            <w:pPr>
              <w:pStyle w:val="TableText"/>
            </w:pPr>
            <w:r w:rsidRPr="00CD311A">
              <w:rPr>
                <w:szCs w:val="17"/>
              </w:rPr>
              <w:t>Cereals, rice</w:t>
            </w:r>
          </w:p>
        </w:tc>
        <w:tc>
          <w:tcPr>
            <w:tcW w:w="727" w:type="pct"/>
            <w:tcBorders>
              <w:left w:val="nil"/>
              <w:bottom w:val="nil"/>
              <w:right w:val="nil"/>
            </w:tcBorders>
          </w:tcPr>
          <w:p w14:paraId="08FBDF47" w14:textId="1A430DC1" w:rsidR="00496172" w:rsidRPr="00015F03" w:rsidRDefault="00496172" w:rsidP="00496172">
            <w:pPr>
              <w:pStyle w:val="TableText"/>
            </w:pPr>
            <w:r w:rsidRPr="00CD311A">
              <w:rPr>
                <w:szCs w:val="17"/>
              </w:rPr>
              <w:t xml:space="preserve">1× </w:t>
            </w:r>
            <w:r w:rsidR="009D7B57">
              <w:rPr>
                <w:szCs w:val="17"/>
              </w:rPr>
              <w:t>400</w:t>
            </w:r>
            <w:r>
              <w:rPr>
                <w:szCs w:val="17"/>
              </w:rPr>
              <w:t>-</w:t>
            </w:r>
            <w:r w:rsidRPr="00CD311A">
              <w:rPr>
                <w:szCs w:val="17"/>
              </w:rPr>
              <w:t>600</w:t>
            </w:r>
          </w:p>
        </w:tc>
        <w:tc>
          <w:tcPr>
            <w:tcW w:w="945" w:type="pct"/>
            <w:tcBorders>
              <w:left w:val="nil"/>
              <w:bottom w:val="nil"/>
              <w:right w:val="nil"/>
            </w:tcBorders>
          </w:tcPr>
          <w:p w14:paraId="41B15C24" w14:textId="140F5283" w:rsidR="00496172" w:rsidRPr="00015F03" w:rsidRDefault="00496172" w:rsidP="00496172">
            <w:pPr>
              <w:pStyle w:val="TableText"/>
            </w:pPr>
            <w:r>
              <w:rPr>
                <w:szCs w:val="17"/>
              </w:rPr>
              <w:t>Acceptable up to 1875 g ac/ha</w:t>
            </w:r>
          </w:p>
        </w:tc>
        <w:tc>
          <w:tcPr>
            <w:tcW w:w="945" w:type="pct"/>
            <w:tcBorders>
              <w:left w:val="nil"/>
              <w:bottom w:val="nil"/>
              <w:right w:val="nil"/>
            </w:tcBorders>
          </w:tcPr>
          <w:p w14:paraId="4C28B781" w14:textId="3AFFD466" w:rsidR="00496172" w:rsidRPr="00735C60" w:rsidRDefault="00496172" w:rsidP="00496172">
            <w:pPr>
              <w:pStyle w:val="TableText"/>
            </w:pPr>
            <w:r w:rsidRPr="00735C60">
              <w:rPr>
                <w:szCs w:val="17"/>
              </w:rPr>
              <w:t>Acceptable up to 122 g ac/ha</w:t>
            </w:r>
          </w:p>
        </w:tc>
        <w:tc>
          <w:tcPr>
            <w:tcW w:w="682" w:type="pct"/>
            <w:tcBorders>
              <w:left w:val="nil"/>
              <w:bottom w:val="nil"/>
            </w:tcBorders>
          </w:tcPr>
          <w:p w14:paraId="5114B551" w14:textId="4964E8BB" w:rsidR="00496172" w:rsidRPr="00735C60" w:rsidRDefault="00496172" w:rsidP="00496172">
            <w:pPr>
              <w:pStyle w:val="TableText"/>
            </w:pPr>
            <w:r w:rsidRPr="00735C60">
              <w:t>122 g ac/ha</w:t>
            </w:r>
          </w:p>
        </w:tc>
      </w:tr>
      <w:tr w:rsidR="003D088B" w:rsidRPr="006649E5" w14:paraId="3D62FDC8" w14:textId="77777777" w:rsidTr="007F5112">
        <w:trPr>
          <w:cantSplit/>
        </w:trPr>
        <w:tc>
          <w:tcPr>
            <w:tcW w:w="756" w:type="pct"/>
            <w:vMerge/>
            <w:tcBorders>
              <w:right w:val="nil"/>
            </w:tcBorders>
          </w:tcPr>
          <w:p w14:paraId="019CF9CB" w14:textId="77777777" w:rsidR="00496172" w:rsidRPr="00015F03" w:rsidRDefault="00496172" w:rsidP="00496172">
            <w:pPr>
              <w:pStyle w:val="TableText"/>
            </w:pPr>
          </w:p>
        </w:tc>
        <w:tc>
          <w:tcPr>
            <w:tcW w:w="945" w:type="pct"/>
            <w:tcBorders>
              <w:top w:val="nil"/>
              <w:left w:val="nil"/>
              <w:bottom w:val="nil"/>
              <w:right w:val="nil"/>
            </w:tcBorders>
          </w:tcPr>
          <w:p w14:paraId="7E278861" w14:textId="11E299A2" w:rsidR="00496172" w:rsidRPr="00015F03" w:rsidRDefault="00496172" w:rsidP="00496172">
            <w:pPr>
              <w:pStyle w:val="TableText"/>
            </w:pPr>
            <w:r w:rsidRPr="008C6C1D">
              <w:rPr>
                <w:szCs w:val="17"/>
              </w:rPr>
              <w:t>Cotton</w:t>
            </w:r>
          </w:p>
        </w:tc>
        <w:tc>
          <w:tcPr>
            <w:tcW w:w="727" w:type="pct"/>
            <w:tcBorders>
              <w:top w:val="nil"/>
              <w:left w:val="nil"/>
              <w:bottom w:val="nil"/>
              <w:right w:val="nil"/>
            </w:tcBorders>
          </w:tcPr>
          <w:p w14:paraId="4DA7F4D0" w14:textId="1793E183" w:rsidR="00496172" w:rsidRPr="00015F03" w:rsidRDefault="00496172" w:rsidP="00496172">
            <w:pPr>
              <w:pStyle w:val="TableText"/>
            </w:pPr>
            <w:r w:rsidRPr="008C6C1D">
              <w:rPr>
                <w:szCs w:val="17"/>
              </w:rPr>
              <w:t xml:space="preserve">1× </w:t>
            </w:r>
            <w:r w:rsidR="009D7B57">
              <w:rPr>
                <w:szCs w:val="17"/>
              </w:rPr>
              <w:t>140</w:t>
            </w:r>
            <w:r>
              <w:rPr>
                <w:szCs w:val="17"/>
              </w:rPr>
              <w:t>-</w:t>
            </w:r>
            <w:r w:rsidRPr="008C6C1D">
              <w:rPr>
                <w:szCs w:val="17"/>
              </w:rPr>
              <w:t>600</w:t>
            </w:r>
          </w:p>
        </w:tc>
        <w:tc>
          <w:tcPr>
            <w:tcW w:w="945" w:type="pct"/>
            <w:tcBorders>
              <w:top w:val="nil"/>
              <w:left w:val="nil"/>
              <w:bottom w:val="nil"/>
              <w:right w:val="nil"/>
            </w:tcBorders>
          </w:tcPr>
          <w:p w14:paraId="3F67B371" w14:textId="6771DFD7" w:rsidR="00496172" w:rsidRPr="00E72036" w:rsidRDefault="00496172" w:rsidP="00496172">
            <w:pPr>
              <w:pStyle w:val="TableText"/>
              <w:rPr>
                <w:szCs w:val="17"/>
              </w:rPr>
            </w:pPr>
            <w:r>
              <w:rPr>
                <w:szCs w:val="17"/>
              </w:rPr>
              <w:t>Acceptable up to 6</w:t>
            </w:r>
            <w:r w:rsidR="008839C2">
              <w:rPr>
                <w:szCs w:val="17"/>
              </w:rPr>
              <w:t>1</w:t>
            </w:r>
            <w:r>
              <w:rPr>
                <w:szCs w:val="17"/>
              </w:rPr>
              <w:t>0 g ac/ha</w:t>
            </w:r>
          </w:p>
        </w:tc>
        <w:tc>
          <w:tcPr>
            <w:tcW w:w="945" w:type="pct"/>
            <w:tcBorders>
              <w:top w:val="nil"/>
              <w:left w:val="nil"/>
              <w:bottom w:val="nil"/>
              <w:right w:val="nil"/>
            </w:tcBorders>
          </w:tcPr>
          <w:p w14:paraId="085BD4C4" w14:textId="56502DC6" w:rsidR="00496172" w:rsidRPr="00E72036" w:rsidRDefault="00496172" w:rsidP="00496172">
            <w:pPr>
              <w:pStyle w:val="TableText"/>
              <w:rPr>
                <w:szCs w:val="17"/>
              </w:rPr>
            </w:pPr>
            <w:r w:rsidRPr="00735C60">
              <w:rPr>
                <w:szCs w:val="17"/>
              </w:rPr>
              <w:t>Acceptable up to 1591 g ac/ha</w:t>
            </w:r>
          </w:p>
        </w:tc>
        <w:tc>
          <w:tcPr>
            <w:tcW w:w="682" w:type="pct"/>
            <w:tcBorders>
              <w:top w:val="nil"/>
              <w:left w:val="nil"/>
              <w:bottom w:val="nil"/>
            </w:tcBorders>
          </w:tcPr>
          <w:p w14:paraId="45FE0718" w14:textId="6A628DF4" w:rsidR="00496172" w:rsidRPr="00E72036" w:rsidRDefault="00496172" w:rsidP="00496172">
            <w:pPr>
              <w:pStyle w:val="TableText"/>
              <w:rPr>
                <w:szCs w:val="17"/>
              </w:rPr>
            </w:pPr>
            <w:r w:rsidRPr="00E72036">
              <w:rPr>
                <w:szCs w:val="17"/>
              </w:rPr>
              <w:t>6</w:t>
            </w:r>
            <w:r w:rsidR="008839C2">
              <w:rPr>
                <w:szCs w:val="17"/>
              </w:rPr>
              <w:t>0</w:t>
            </w:r>
            <w:r w:rsidRPr="00E72036">
              <w:rPr>
                <w:szCs w:val="17"/>
              </w:rPr>
              <w:t>0 g ac/ha</w:t>
            </w:r>
          </w:p>
        </w:tc>
      </w:tr>
      <w:tr w:rsidR="003D088B" w:rsidRPr="006649E5" w14:paraId="0F4FA378" w14:textId="77777777" w:rsidTr="007F5112">
        <w:trPr>
          <w:cantSplit/>
        </w:trPr>
        <w:tc>
          <w:tcPr>
            <w:tcW w:w="756" w:type="pct"/>
            <w:vMerge/>
            <w:tcBorders>
              <w:right w:val="nil"/>
            </w:tcBorders>
          </w:tcPr>
          <w:p w14:paraId="2252C88A" w14:textId="77777777" w:rsidR="00496172" w:rsidRPr="00015F03" w:rsidRDefault="00496172" w:rsidP="00496172">
            <w:pPr>
              <w:pStyle w:val="TableText"/>
            </w:pPr>
          </w:p>
        </w:tc>
        <w:tc>
          <w:tcPr>
            <w:tcW w:w="945" w:type="pct"/>
            <w:tcBorders>
              <w:top w:val="nil"/>
              <w:left w:val="nil"/>
              <w:bottom w:val="nil"/>
              <w:right w:val="nil"/>
            </w:tcBorders>
          </w:tcPr>
          <w:p w14:paraId="5CE42C13" w14:textId="752F50E5" w:rsidR="00496172" w:rsidRPr="00015F03" w:rsidRDefault="00496172" w:rsidP="00496172">
            <w:pPr>
              <w:pStyle w:val="TableText"/>
            </w:pPr>
            <w:r w:rsidRPr="00CD311A">
              <w:rPr>
                <w:szCs w:val="17"/>
              </w:rPr>
              <w:t>Lu</w:t>
            </w:r>
            <w:r>
              <w:rPr>
                <w:szCs w:val="17"/>
              </w:rPr>
              <w:t>cerne, lup</w:t>
            </w:r>
            <w:r w:rsidRPr="00CD311A">
              <w:rPr>
                <w:szCs w:val="17"/>
              </w:rPr>
              <w:t>ins</w:t>
            </w:r>
          </w:p>
        </w:tc>
        <w:tc>
          <w:tcPr>
            <w:tcW w:w="727" w:type="pct"/>
            <w:tcBorders>
              <w:top w:val="nil"/>
              <w:left w:val="nil"/>
              <w:bottom w:val="nil"/>
              <w:right w:val="nil"/>
            </w:tcBorders>
          </w:tcPr>
          <w:p w14:paraId="387BBBDB" w14:textId="08AD2F30" w:rsidR="00496172" w:rsidRPr="00015F03" w:rsidRDefault="00496172" w:rsidP="00496172">
            <w:pPr>
              <w:pStyle w:val="TableText"/>
            </w:pPr>
            <w:r w:rsidRPr="008C6C1D">
              <w:rPr>
                <w:szCs w:val="17"/>
              </w:rPr>
              <w:t xml:space="preserve">1× </w:t>
            </w:r>
            <w:r w:rsidR="00C22EBF">
              <w:rPr>
                <w:szCs w:val="17"/>
              </w:rPr>
              <w:t>300</w:t>
            </w:r>
            <w:r>
              <w:rPr>
                <w:szCs w:val="17"/>
              </w:rPr>
              <w:t>-</w:t>
            </w:r>
            <w:r w:rsidRPr="008C6C1D">
              <w:rPr>
                <w:szCs w:val="17"/>
              </w:rPr>
              <w:t>600</w:t>
            </w:r>
          </w:p>
        </w:tc>
        <w:tc>
          <w:tcPr>
            <w:tcW w:w="945" w:type="pct"/>
            <w:tcBorders>
              <w:top w:val="nil"/>
              <w:left w:val="nil"/>
              <w:bottom w:val="nil"/>
              <w:right w:val="nil"/>
            </w:tcBorders>
          </w:tcPr>
          <w:p w14:paraId="7DE28A0F" w14:textId="707F7669" w:rsidR="00496172" w:rsidRPr="00E72036" w:rsidRDefault="00496172" w:rsidP="00496172">
            <w:pPr>
              <w:pStyle w:val="TableText"/>
              <w:rPr>
                <w:szCs w:val="17"/>
              </w:rPr>
            </w:pPr>
            <w:r>
              <w:rPr>
                <w:szCs w:val="17"/>
              </w:rPr>
              <w:t>Acceptable up to 1250 g ac/ha</w:t>
            </w:r>
          </w:p>
        </w:tc>
        <w:tc>
          <w:tcPr>
            <w:tcW w:w="945" w:type="pct"/>
            <w:tcBorders>
              <w:top w:val="nil"/>
              <w:left w:val="nil"/>
              <w:bottom w:val="nil"/>
              <w:right w:val="nil"/>
            </w:tcBorders>
          </w:tcPr>
          <w:p w14:paraId="76D768EB" w14:textId="17D9E082" w:rsidR="00496172" w:rsidRPr="00735C60" w:rsidRDefault="00496172" w:rsidP="00496172">
            <w:pPr>
              <w:pStyle w:val="TableText"/>
              <w:rPr>
                <w:szCs w:val="17"/>
              </w:rPr>
            </w:pPr>
            <w:r w:rsidRPr="00735C60">
              <w:rPr>
                <w:szCs w:val="17"/>
              </w:rPr>
              <w:t>Acceptable up to 278 g ac/ha</w:t>
            </w:r>
          </w:p>
        </w:tc>
        <w:tc>
          <w:tcPr>
            <w:tcW w:w="682" w:type="pct"/>
            <w:tcBorders>
              <w:top w:val="nil"/>
              <w:left w:val="nil"/>
              <w:bottom w:val="nil"/>
            </w:tcBorders>
          </w:tcPr>
          <w:p w14:paraId="40E0E8CC" w14:textId="57B2649B" w:rsidR="00496172" w:rsidRPr="00E72036" w:rsidRDefault="00496172" w:rsidP="00496172">
            <w:pPr>
              <w:pStyle w:val="TableText"/>
              <w:rPr>
                <w:szCs w:val="17"/>
              </w:rPr>
            </w:pPr>
            <w:r w:rsidRPr="00E72036">
              <w:rPr>
                <w:szCs w:val="17"/>
              </w:rPr>
              <w:t>278 g ac/ha</w:t>
            </w:r>
          </w:p>
        </w:tc>
      </w:tr>
      <w:tr w:rsidR="003D088B" w:rsidRPr="006649E5" w14:paraId="37089C20" w14:textId="77777777" w:rsidTr="007F5112">
        <w:trPr>
          <w:cantSplit/>
        </w:trPr>
        <w:tc>
          <w:tcPr>
            <w:tcW w:w="756" w:type="pct"/>
            <w:vMerge/>
            <w:tcBorders>
              <w:right w:val="nil"/>
            </w:tcBorders>
          </w:tcPr>
          <w:p w14:paraId="3D9E2A1C" w14:textId="77777777" w:rsidR="00496172" w:rsidRPr="00015F03" w:rsidRDefault="00496172" w:rsidP="00496172">
            <w:pPr>
              <w:pStyle w:val="TableText"/>
            </w:pPr>
          </w:p>
        </w:tc>
        <w:tc>
          <w:tcPr>
            <w:tcW w:w="945" w:type="pct"/>
            <w:tcBorders>
              <w:top w:val="nil"/>
              <w:left w:val="nil"/>
              <w:bottom w:val="nil"/>
              <w:right w:val="nil"/>
            </w:tcBorders>
          </w:tcPr>
          <w:p w14:paraId="77C2434B" w14:textId="20BC1A8C" w:rsidR="00496172" w:rsidRPr="00015F03" w:rsidRDefault="00496172" w:rsidP="00496172">
            <w:pPr>
              <w:pStyle w:val="TableText"/>
            </w:pPr>
            <w:r>
              <w:rPr>
                <w:szCs w:val="17"/>
              </w:rPr>
              <w:t>Sugarcane</w:t>
            </w:r>
          </w:p>
        </w:tc>
        <w:tc>
          <w:tcPr>
            <w:tcW w:w="727" w:type="pct"/>
            <w:tcBorders>
              <w:top w:val="nil"/>
              <w:left w:val="nil"/>
              <w:bottom w:val="nil"/>
              <w:right w:val="nil"/>
            </w:tcBorders>
          </w:tcPr>
          <w:p w14:paraId="729C8D41" w14:textId="399D5FDF" w:rsidR="00496172" w:rsidRPr="00015F03" w:rsidRDefault="00496172" w:rsidP="00496172">
            <w:pPr>
              <w:pStyle w:val="TableText"/>
            </w:pPr>
            <w:r w:rsidRPr="008C6C1D">
              <w:rPr>
                <w:szCs w:val="17"/>
              </w:rPr>
              <w:t xml:space="preserve">1× </w:t>
            </w:r>
            <w:r w:rsidR="00C22EBF">
              <w:rPr>
                <w:szCs w:val="17"/>
              </w:rPr>
              <w:t>400</w:t>
            </w:r>
            <w:r>
              <w:rPr>
                <w:szCs w:val="17"/>
              </w:rPr>
              <w:t>-</w:t>
            </w:r>
            <w:r w:rsidRPr="008C6C1D">
              <w:rPr>
                <w:szCs w:val="17"/>
              </w:rPr>
              <w:t>600</w:t>
            </w:r>
          </w:p>
        </w:tc>
        <w:tc>
          <w:tcPr>
            <w:tcW w:w="945" w:type="pct"/>
            <w:tcBorders>
              <w:top w:val="nil"/>
              <w:left w:val="nil"/>
              <w:bottom w:val="nil"/>
              <w:right w:val="nil"/>
            </w:tcBorders>
          </w:tcPr>
          <w:p w14:paraId="7AE3DDF0" w14:textId="590CB7F6" w:rsidR="00496172" w:rsidRPr="00E72036" w:rsidRDefault="00496172" w:rsidP="00496172">
            <w:pPr>
              <w:pStyle w:val="TableText"/>
              <w:rPr>
                <w:szCs w:val="17"/>
              </w:rPr>
            </w:pPr>
            <w:r>
              <w:rPr>
                <w:szCs w:val="17"/>
              </w:rPr>
              <w:t>Acceptable up to 6</w:t>
            </w:r>
            <w:r w:rsidR="008839C2">
              <w:rPr>
                <w:szCs w:val="17"/>
              </w:rPr>
              <w:t>1</w:t>
            </w:r>
            <w:r>
              <w:rPr>
                <w:szCs w:val="17"/>
              </w:rPr>
              <w:t>0 g ac/ha</w:t>
            </w:r>
          </w:p>
        </w:tc>
        <w:tc>
          <w:tcPr>
            <w:tcW w:w="945" w:type="pct"/>
            <w:tcBorders>
              <w:top w:val="nil"/>
              <w:left w:val="nil"/>
              <w:bottom w:val="nil"/>
              <w:right w:val="nil"/>
            </w:tcBorders>
          </w:tcPr>
          <w:p w14:paraId="12C62C9D" w14:textId="44A70B3C" w:rsidR="00496172" w:rsidRPr="00E72036" w:rsidRDefault="00496172" w:rsidP="00C25652">
            <w:pPr>
              <w:pStyle w:val="BodyText"/>
              <w:widowControl w:val="0"/>
              <w:spacing w:before="120" w:line="210" w:lineRule="exact"/>
              <w:rPr>
                <w:rFonts w:ascii="Arial" w:hAnsi="Arial" w:cs="Arial"/>
                <w:spacing w:val="6"/>
                <w:kern w:val="20"/>
                <w:sz w:val="17"/>
                <w:szCs w:val="17"/>
                <w:u w:color="000000"/>
              </w:rPr>
            </w:pPr>
            <w:r w:rsidRPr="00E72036">
              <w:rPr>
                <w:rFonts w:ascii="Arial" w:hAnsi="Arial" w:cs="Arial"/>
                <w:spacing w:val="6"/>
                <w:kern w:val="20"/>
                <w:sz w:val="17"/>
                <w:szCs w:val="17"/>
                <w:u w:color="000000"/>
              </w:rPr>
              <w:t>Acceptable up to 600 g ac/ha (WOE)</w:t>
            </w:r>
          </w:p>
        </w:tc>
        <w:tc>
          <w:tcPr>
            <w:tcW w:w="682" w:type="pct"/>
            <w:tcBorders>
              <w:top w:val="nil"/>
              <w:left w:val="nil"/>
              <w:bottom w:val="nil"/>
            </w:tcBorders>
          </w:tcPr>
          <w:p w14:paraId="57AA3037" w14:textId="223F9A7F" w:rsidR="00496172" w:rsidRPr="00E72036" w:rsidRDefault="00496172" w:rsidP="00496172">
            <w:pPr>
              <w:pStyle w:val="TableText"/>
              <w:rPr>
                <w:szCs w:val="17"/>
              </w:rPr>
            </w:pPr>
            <w:r w:rsidRPr="00E72036">
              <w:rPr>
                <w:szCs w:val="17"/>
              </w:rPr>
              <w:t>6</w:t>
            </w:r>
            <w:r w:rsidR="008839C2">
              <w:rPr>
                <w:szCs w:val="17"/>
              </w:rPr>
              <w:t>0</w:t>
            </w:r>
            <w:r w:rsidRPr="00E72036">
              <w:rPr>
                <w:szCs w:val="17"/>
              </w:rPr>
              <w:t>0 g ac/ha</w:t>
            </w:r>
          </w:p>
        </w:tc>
      </w:tr>
      <w:tr w:rsidR="003D088B" w:rsidRPr="006649E5" w14:paraId="0007BF1D" w14:textId="77777777" w:rsidTr="007F5112">
        <w:trPr>
          <w:cantSplit/>
        </w:trPr>
        <w:tc>
          <w:tcPr>
            <w:tcW w:w="756" w:type="pct"/>
            <w:vMerge/>
            <w:tcBorders>
              <w:right w:val="nil"/>
            </w:tcBorders>
          </w:tcPr>
          <w:p w14:paraId="778A82DE" w14:textId="77777777" w:rsidR="00496172" w:rsidRPr="00015F03" w:rsidRDefault="00496172" w:rsidP="00496172">
            <w:pPr>
              <w:pStyle w:val="TableText"/>
            </w:pPr>
          </w:p>
        </w:tc>
        <w:tc>
          <w:tcPr>
            <w:tcW w:w="945" w:type="pct"/>
            <w:tcBorders>
              <w:top w:val="nil"/>
              <w:left w:val="nil"/>
              <w:bottom w:val="nil"/>
              <w:right w:val="nil"/>
            </w:tcBorders>
          </w:tcPr>
          <w:p w14:paraId="17CB82C0" w14:textId="7295CC2C" w:rsidR="00496172" w:rsidRPr="00015F03" w:rsidRDefault="00496172" w:rsidP="00496172">
            <w:pPr>
              <w:pStyle w:val="TableText"/>
            </w:pPr>
            <w:r>
              <w:rPr>
                <w:szCs w:val="17"/>
              </w:rPr>
              <w:t>Sugarcane (hand spraying)</w:t>
            </w:r>
          </w:p>
        </w:tc>
        <w:tc>
          <w:tcPr>
            <w:tcW w:w="727" w:type="pct"/>
            <w:tcBorders>
              <w:top w:val="nil"/>
              <w:left w:val="nil"/>
              <w:bottom w:val="nil"/>
              <w:right w:val="nil"/>
            </w:tcBorders>
          </w:tcPr>
          <w:p w14:paraId="5101358B" w14:textId="685B408D" w:rsidR="00496172" w:rsidRDefault="00496172" w:rsidP="00496172">
            <w:pPr>
              <w:pStyle w:val="TableText"/>
              <w:rPr>
                <w:szCs w:val="17"/>
              </w:rPr>
            </w:pPr>
            <w:r w:rsidRPr="008C6C1D">
              <w:rPr>
                <w:szCs w:val="17"/>
              </w:rPr>
              <w:t xml:space="preserve">1× </w:t>
            </w:r>
            <w:r>
              <w:rPr>
                <w:szCs w:val="17"/>
              </w:rPr>
              <w:t>2</w:t>
            </w:r>
            <w:r w:rsidRPr="008C6C1D">
              <w:rPr>
                <w:szCs w:val="17"/>
              </w:rPr>
              <w:t>00</w:t>
            </w:r>
          </w:p>
          <w:p w14:paraId="7563BC37" w14:textId="48AD4693" w:rsidR="00C05DDB" w:rsidRPr="00015F03" w:rsidRDefault="00C05DDB" w:rsidP="00496172">
            <w:pPr>
              <w:pStyle w:val="TableText"/>
            </w:pPr>
            <w:r>
              <w:t>(</w:t>
            </w:r>
            <w:r w:rsidR="005575C0">
              <w:t>80</w:t>
            </w:r>
            <w:r>
              <w:t>, FFT 0.4)</w:t>
            </w:r>
          </w:p>
        </w:tc>
        <w:tc>
          <w:tcPr>
            <w:tcW w:w="945" w:type="pct"/>
            <w:tcBorders>
              <w:top w:val="nil"/>
              <w:left w:val="nil"/>
              <w:bottom w:val="nil"/>
              <w:right w:val="nil"/>
            </w:tcBorders>
          </w:tcPr>
          <w:p w14:paraId="0E387A3A" w14:textId="45A539DE" w:rsidR="00496172" w:rsidRPr="00016039" w:rsidRDefault="00496172" w:rsidP="00496172">
            <w:pPr>
              <w:pStyle w:val="TableText"/>
              <w:rPr>
                <w:szCs w:val="17"/>
              </w:rPr>
            </w:pPr>
            <w:r w:rsidRPr="00016039">
              <w:rPr>
                <w:szCs w:val="17"/>
              </w:rPr>
              <w:t>Acceptable up to 610 g ac/ha</w:t>
            </w:r>
          </w:p>
        </w:tc>
        <w:tc>
          <w:tcPr>
            <w:tcW w:w="945" w:type="pct"/>
            <w:tcBorders>
              <w:top w:val="nil"/>
              <w:left w:val="nil"/>
              <w:bottom w:val="nil"/>
              <w:right w:val="nil"/>
            </w:tcBorders>
          </w:tcPr>
          <w:p w14:paraId="27B5BA72" w14:textId="11214497" w:rsidR="00496172" w:rsidRPr="00016039" w:rsidRDefault="00496172" w:rsidP="00496172">
            <w:pPr>
              <w:pStyle w:val="TableText"/>
              <w:rPr>
                <w:szCs w:val="17"/>
              </w:rPr>
            </w:pPr>
            <w:r w:rsidRPr="00016039">
              <w:rPr>
                <w:szCs w:val="17"/>
              </w:rPr>
              <w:t xml:space="preserve">Acceptable up to </w:t>
            </w:r>
            <w:r w:rsidR="00016039" w:rsidRPr="00016039">
              <w:rPr>
                <w:szCs w:val="17"/>
              </w:rPr>
              <w:t>600</w:t>
            </w:r>
            <w:r w:rsidRPr="00016039">
              <w:rPr>
                <w:szCs w:val="17"/>
              </w:rPr>
              <w:t xml:space="preserve"> g ac/ha</w:t>
            </w:r>
          </w:p>
        </w:tc>
        <w:tc>
          <w:tcPr>
            <w:tcW w:w="682" w:type="pct"/>
            <w:tcBorders>
              <w:top w:val="nil"/>
              <w:left w:val="nil"/>
              <w:bottom w:val="nil"/>
            </w:tcBorders>
          </w:tcPr>
          <w:p w14:paraId="01BE63CF" w14:textId="4301BB6E" w:rsidR="00496172" w:rsidRPr="00016039" w:rsidRDefault="00496172" w:rsidP="00496172">
            <w:pPr>
              <w:pStyle w:val="TableText"/>
              <w:rPr>
                <w:szCs w:val="17"/>
                <w:highlight w:val="yellow"/>
              </w:rPr>
            </w:pPr>
            <w:r w:rsidRPr="00016039">
              <w:rPr>
                <w:szCs w:val="17"/>
              </w:rPr>
              <w:t>6</w:t>
            </w:r>
            <w:r w:rsidR="00016039" w:rsidRPr="00016039">
              <w:rPr>
                <w:szCs w:val="17"/>
              </w:rPr>
              <w:t>00</w:t>
            </w:r>
            <w:r w:rsidRPr="00016039">
              <w:rPr>
                <w:szCs w:val="17"/>
              </w:rPr>
              <w:t xml:space="preserve"> g ac/ha</w:t>
            </w:r>
          </w:p>
        </w:tc>
      </w:tr>
      <w:tr w:rsidR="003D088B" w:rsidRPr="006649E5" w14:paraId="03FFDABD" w14:textId="77777777" w:rsidTr="007F5112">
        <w:trPr>
          <w:cantSplit/>
        </w:trPr>
        <w:tc>
          <w:tcPr>
            <w:tcW w:w="756" w:type="pct"/>
            <w:vMerge/>
            <w:tcBorders>
              <w:right w:val="nil"/>
            </w:tcBorders>
          </w:tcPr>
          <w:p w14:paraId="2C9EB2D0" w14:textId="77777777" w:rsidR="00496172" w:rsidRPr="00015F03" w:rsidRDefault="00496172" w:rsidP="00496172">
            <w:pPr>
              <w:pStyle w:val="TableText"/>
            </w:pPr>
          </w:p>
        </w:tc>
        <w:tc>
          <w:tcPr>
            <w:tcW w:w="945" w:type="pct"/>
            <w:tcBorders>
              <w:top w:val="nil"/>
              <w:left w:val="nil"/>
              <w:bottom w:val="nil"/>
              <w:right w:val="nil"/>
            </w:tcBorders>
          </w:tcPr>
          <w:p w14:paraId="5F3EA669" w14:textId="1DDB9D19" w:rsidR="00496172" w:rsidRPr="00015F03" w:rsidRDefault="00496172" w:rsidP="00496172">
            <w:pPr>
              <w:pStyle w:val="TableText"/>
            </w:pPr>
            <w:r w:rsidRPr="00CD311A">
              <w:rPr>
                <w:szCs w:val="17"/>
              </w:rPr>
              <w:t>Poppies</w:t>
            </w:r>
          </w:p>
        </w:tc>
        <w:tc>
          <w:tcPr>
            <w:tcW w:w="727" w:type="pct"/>
            <w:tcBorders>
              <w:top w:val="nil"/>
              <w:left w:val="nil"/>
              <w:bottom w:val="nil"/>
              <w:right w:val="nil"/>
            </w:tcBorders>
          </w:tcPr>
          <w:p w14:paraId="0182E39D" w14:textId="5F00E7D4" w:rsidR="00496172" w:rsidRPr="00015F03" w:rsidRDefault="00496172" w:rsidP="00496172">
            <w:pPr>
              <w:pStyle w:val="TableText"/>
            </w:pPr>
            <w:r w:rsidRPr="008C6C1D">
              <w:rPr>
                <w:szCs w:val="17"/>
              </w:rPr>
              <w:t xml:space="preserve">1× </w:t>
            </w:r>
            <w:r w:rsidR="00C22EBF">
              <w:rPr>
                <w:szCs w:val="17"/>
              </w:rPr>
              <w:t>600</w:t>
            </w:r>
            <w:r>
              <w:rPr>
                <w:szCs w:val="17"/>
              </w:rPr>
              <w:t>-8</w:t>
            </w:r>
            <w:r w:rsidRPr="008C6C1D">
              <w:rPr>
                <w:szCs w:val="17"/>
              </w:rPr>
              <w:t>00</w:t>
            </w:r>
          </w:p>
        </w:tc>
        <w:tc>
          <w:tcPr>
            <w:tcW w:w="945" w:type="pct"/>
            <w:tcBorders>
              <w:top w:val="nil"/>
              <w:left w:val="nil"/>
              <w:bottom w:val="nil"/>
              <w:right w:val="nil"/>
            </w:tcBorders>
          </w:tcPr>
          <w:p w14:paraId="1562ACDE" w14:textId="0059DF4A" w:rsidR="00496172" w:rsidRPr="00E72036" w:rsidRDefault="00496172" w:rsidP="00496172">
            <w:pPr>
              <w:pStyle w:val="TableText"/>
              <w:rPr>
                <w:szCs w:val="17"/>
              </w:rPr>
            </w:pPr>
            <w:r>
              <w:rPr>
                <w:szCs w:val="17"/>
              </w:rPr>
              <w:t>Acceptable up to 938 g ac/ha</w:t>
            </w:r>
          </w:p>
        </w:tc>
        <w:tc>
          <w:tcPr>
            <w:tcW w:w="945" w:type="pct"/>
            <w:tcBorders>
              <w:top w:val="nil"/>
              <w:left w:val="nil"/>
              <w:bottom w:val="nil"/>
              <w:right w:val="nil"/>
            </w:tcBorders>
          </w:tcPr>
          <w:p w14:paraId="058E8849" w14:textId="5A3EE81A" w:rsidR="00496172" w:rsidRPr="00E72036" w:rsidRDefault="00496172" w:rsidP="00C25652">
            <w:pPr>
              <w:pStyle w:val="BodyText"/>
              <w:widowControl w:val="0"/>
              <w:spacing w:before="120" w:line="210" w:lineRule="exact"/>
              <w:rPr>
                <w:rFonts w:ascii="Arial" w:hAnsi="Arial" w:cs="Arial"/>
                <w:spacing w:val="6"/>
                <w:kern w:val="20"/>
                <w:sz w:val="17"/>
                <w:szCs w:val="17"/>
                <w:u w:color="000000"/>
              </w:rPr>
            </w:pPr>
            <w:r w:rsidRPr="00E72036">
              <w:rPr>
                <w:rFonts w:ascii="Arial" w:hAnsi="Arial" w:cs="Arial"/>
                <w:spacing w:val="6"/>
                <w:kern w:val="20"/>
                <w:sz w:val="17"/>
                <w:szCs w:val="17"/>
                <w:u w:color="000000"/>
              </w:rPr>
              <w:t>Acceptable up to 800 g ac/ha (WOE)</w:t>
            </w:r>
          </w:p>
        </w:tc>
        <w:tc>
          <w:tcPr>
            <w:tcW w:w="682" w:type="pct"/>
            <w:tcBorders>
              <w:top w:val="nil"/>
              <w:left w:val="nil"/>
              <w:bottom w:val="nil"/>
            </w:tcBorders>
          </w:tcPr>
          <w:p w14:paraId="480F0A02" w14:textId="149A1A57" w:rsidR="00496172" w:rsidRPr="00E72036" w:rsidRDefault="00496172" w:rsidP="00496172">
            <w:pPr>
              <w:pStyle w:val="TableText"/>
              <w:rPr>
                <w:szCs w:val="17"/>
              </w:rPr>
            </w:pPr>
            <w:r w:rsidRPr="00E72036">
              <w:rPr>
                <w:szCs w:val="17"/>
              </w:rPr>
              <w:t>800 g ac/ha (WOE)</w:t>
            </w:r>
          </w:p>
        </w:tc>
      </w:tr>
      <w:tr w:rsidR="003D088B" w:rsidRPr="006649E5" w14:paraId="7FCC770F" w14:textId="77777777" w:rsidTr="007F5112">
        <w:trPr>
          <w:cantSplit/>
        </w:trPr>
        <w:tc>
          <w:tcPr>
            <w:tcW w:w="756" w:type="pct"/>
            <w:vMerge/>
            <w:tcBorders>
              <w:right w:val="nil"/>
            </w:tcBorders>
          </w:tcPr>
          <w:p w14:paraId="2CDB0033" w14:textId="77777777" w:rsidR="00496172" w:rsidRPr="00015F03" w:rsidRDefault="00496172" w:rsidP="00496172">
            <w:pPr>
              <w:pStyle w:val="TableText"/>
            </w:pPr>
          </w:p>
        </w:tc>
        <w:tc>
          <w:tcPr>
            <w:tcW w:w="945" w:type="pct"/>
            <w:tcBorders>
              <w:top w:val="nil"/>
              <w:left w:val="nil"/>
              <w:bottom w:val="nil"/>
              <w:right w:val="nil"/>
            </w:tcBorders>
          </w:tcPr>
          <w:p w14:paraId="68A37FF0" w14:textId="1CEDFA1E" w:rsidR="00496172" w:rsidRPr="00015F03" w:rsidRDefault="00496172" w:rsidP="00496172">
            <w:pPr>
              <w:pStyle w:val="TableText"/>
            </w:pPr>
            <w:r w:rsidRPr="00CD311A">
              <w:rPr>
                <w:szCs w:val="17"/>
              </w:rPr>
              <w:t>Oilseeds</w:t>
            </w:r>
          </w:p>
        </w:tc>
        <w:tc>
          <w:tcPr>
            <w:tcW w:w="727" w:type="pct"/>
            <w:tcBorders>
              <w:top w:val="nil"/>
              <w:left w:val="nil"/>
              <w:bottom w:val="nil"/>
              <w:right w:val="nil"/>
            </w:tcBorders>
          </w:tcPr>
          <w:p w14:paraId="63700B1A" w14:textId="38BBCE0F" w:rsidR="00496172" w:rsidRPr="00015F03" w:rsidRDefault="00496172" w:rsidP="00496172">
            <w:pPr>
              <w:pStyle w:val="TableText"/>
            </w:pPr>
            <w:r w:rsidRPr="008C6C1D">
              <w:rPr>
                <w:szCs w:val="17"/>
              </w:rPr>
              <w:t xml:space="preserve">1× </w:t>
            </w:r>
            <w:r w:rsidR="00C22EBF">
              <w:rPr>
                <w:szCs w:val="17"/>
              </w:rPr>
              <w:t>300</w:t>
            </w:r>
            <w:r>
              <w:rPr>
                <w:szCs w:val="17"/>
              </w:rPr>
              <w:t>-</w:t>
            </w:r>
            <w:r w:rsidRPr="008C6C1D">
              <w:rPr>
                <w:szCs w:val="17"/>
              </w:rPr>
              <w:t>600</w:t>
            </w:r>
          </w:p>
        </w:tc>
        <w:tc>
          <w:tcPr>
            <w:tcW w:w="945" w:type="pct"/>
            <w:tcBorders>
              <w:top w:val="nil"/>
              <w:left w:val="nil"/>
              <w:bottom w:val="nil"/>
              <w:right w:val="nil"/>
            </w:tcBorders>
          </w:tcPr>
          <w:p w14:paraId="5C66DA62" w14:textId="0B2065A3" w:rsidR="00496172" w:rsidRPr="00E72036" w:rsidRDefault="00496172" w:rsidP="00496172">
            <w:pPr>
              <w:pStyle w:val="TableText"/>
              <w:rPr>
                <w:szCs w:val="17"/>
              </w:rPr>
            </w:pPr>
            <w:r>
              <w:rPr>
                <w:szCs w:val="17"/>
              </w:rPr>
              <w:t>Acceptable up to 938 g ac/ha</w:t>
            </w:r>
          </w:p>
        </w:tc>
        <w:tc>
          <w:tcPr>
            <w:tcW w:w="945" w:type="pct"/>
            <w:tcBorders>
              <w:top w:val="nil"/>
              <w:left w:val="nil"/>
              <w:bottom w:val="nil"/>
              <w:right w:val="nil"/>
            </w:tcBorders>
          </w:tcPr>
          <w:p w14:paraId="70D4B7B1" w14:textId="2E79E01A" w:rsidR="00496172" w:rsidRPr="00E72036" w:rsidRDefault="00496172" w:rsidP="00496172">
            <w:pPr>
              <w:pStyle w:val="TableText"/>
              <w:rPr>
                <w:szCs w:val="17"/>
              </w:rPr>
            </w:pPr>
            <w:r w:rsidRPr="00735C60">
              <w:rPr>
                <w:szCs w:val="17"/>
              </w:rPr>
              <w:t>Acceptable up to 283 g ac/ha</w:t>
            </w:r>
          </w:p>
        </w:tc>
        <w:tc>
          <w:tcPr>
            <w:tcW w:w="682" w:type="pct"/>
            <w:tcBorders>
              <w:top w:val="nil"/>
              <w:left w:val="nil"/>
              <w:bottom w:val="nil"/>
            </w:tcBorders>
          </w:tcPr>
          <w:p w14:paraId="2B97F631" w14:textId="302210BC" w:rsidR="00496172" w:rsidRPr="00E72036" w:rsidRDefault="00496172" w:rsidP="00496172">
            <w:pPr>
              <w:pStyle w:val="TableText"/>
              <w:rPr>
                <w:szCs w:val="17"/>
              </w:rPr>
            </w:pPr>
            <w:r w:rsidRPr="00E72036">
              <w:rPr>
                <w:szCs w:val="17"/>
              </w:rPr>
              <w:t>283 g ac/ha</w:t>
            </w:r>
          </w:p>
        </w:tc>
      </w:tr>
      <w:tr w:rsidR="003D088B" w:rsidRPr="006649E5" w14:paraId="1A274989" w14:textId="77777777" w:rsidTr="007F5112">
        <w:trPr>
          <w:cantSplit/>
        </w:trPr>
        <w:tc>
          <w:tcPr>
            <w:tcW w:w="756" w:type="pct"/>
            <w:vMerge/>
            <w:tcBorders>
              <w:right w:val="nil"/>
            </w:tcBorders>
          </w:tcPr>
          <w:p w14:paraId="5100713D" w14:textId="77777777" w:rsidR="00496172" w:rsidRPr="00015F03" w:rsidRDefault="00496172" w:rsidP="00496172">
            <w:pPr>
              <w:pStyle w:val="TableText"/>
            </w:pPr>
          </w:p>
        </w:tc>
        <w:tc>
          <w:tcPr>
            <w:tcW w:w="945" w:type="pct"/>
            <w:tcBorders>
              <w:top w:val="nil"/>
              <w:left w:val="nil"/>
              <w:bottom w:val="nil"/>
              <w:right w:val="nil"/>
            </w:tcBorders>
          </w:tcPr>
          <w:p w14:paraId="1904FF17" w14:textId="6E598FB7" w:rsidR="00496172" w:rsidRPr="00015F03" w:rsidRDefault="00496172" w:rsidP="00496172">
            <w:pPr>
              <w:pStyle w:val="TableText"/>
            </w:pPr>
            <w:r w:rsidRPr="008C6C1D">
              <w:rPr>
                <w:szCs w:val="17"/>
              </w:rPr>
              <w:t>Potatoes (haulm desiccation)</w:t>
            </w:r>
            <w:r>
              <w:rPr>
                <w:szCs w:val="17"/>
              </w:rPr>
              <w:t>, sweet potatoes</w:t>
            </w:r>
          </w:p>
        </w:tc>
        <w:tc>
          <w:tcPr>
            <w:tcW w:w="727" w:type="pct"/>
            <w:tcBorders>
              <w:top w:val="nil"/>
              <w:left w:val="nil"/>
              <w:bottom w:val="nil"/>
              <w:right w:val="nil"/>
            </w:tcBorders>
          </w:tcPr>
          <w:p w14:paraId="6FBAC53B" w14:textId="72C51D92" w:rsidR="00496172" w:rsidRPr="00015F03" w:rsidRDefault="00496172" w:rsidP="00496172">
            <w:pPr>
              <w:pStyle w:val="TableText"/>
            </w:pPr>
            <w:r w:rsidRPr="008C6C1D">
              <w:rPr>
                <w:szCs w:val="17"/>
              </w:rPr>
              <w:t xml:space="preserve">1× </w:t>
            </w:r>
            <w:r w:rsidR="00C22EBF">
              <w:rPr>
                <w:szCs w:val="17"/>
              </w:rPr>
              <w:t>600</w:t>
            </w:r>
            <w:r>
              <w:rPr>
                <w:szCs w:val="17"/>
              </w:rPr>
              <w:t>-8</w:t>
            </w:r>
            <w:r w:rsidRPr="008C6C1D">
              <w:rPr>
                <w:szCs w:val="17"/>
              </w:rPr>
              <w:t>00</w:t>
            </w:r>
          </w:p>
        </w:tc>
        <w:tc>
          <w:tcPr>
            <w:tcW w:w="945" w:type="pct"/>
            <w:tcBorders>
              <w:top w:val="nil"/>
              <w:left w:val="nil"/>
              <w:bottom w:val="nil"/>
              <w:right w:val="nil"/>
            </w:tcBorders>
          </w:tcPr>
          <w:p w14:paraId="6B2D6B42" w14:textId="46F056C5" w:rsidR="00496172" w:rsidRPr="00015F03" w:rsidRDefault="00496172" w:rsidP="00496172">
            <w:pPr>
              <w:pStyle w:val="TableText"/>
            </w:pPr>
            <w:r>
              <w:rPr>
                <w:szCs w:val="17"/>
              </w:rPr>
              <w:t>Acceptable up to 1250 g ac/ha</w:t>
            </w:r>
          </w:p>
        </w:tc>
        <w:tc>
          <w:tcPr>
            <w:tcW w:w="945" w:type="pct"/>
            <w:tcBorders>
              <w:top w:val="nil"/>
              <w:left w:val="nil"/>
              <w:bottom w:val="nil"/>
              <w:right w:val="nil"/>
            </w:tcBorders>
          </w:tcPr>
          <w:p w14:paraId="4878A283" w14:textId="20482C7D" w:rsidR="00496172" w:rsidRPr="00735C60" w:rsidRDefault="00496172" w:rsidP="00496172">
            <w:pPr>
              <w:pStyle w:val="TableText"/>
            </w:pPr>
            <w:r w:rsidRPr="00735C60">
              <w:rPr>
                <w:szCs w:val="17"/>
              </w:rPr>
              <w:t>Acceptable up to 278 g ac/ha</w:t>
            </w:r>
          </w:p>
        </w:tc>
        <w:tc>
          <w:tcPr>
            <w:tcW w:w="682" w:type="pct"/>
            <w:tcBorders>
              <w:top w:val="nil"/>
              <w:left w:val="nil"/>
              <w:bottom w:val="nil"/>
            </w:tcBorders>
          </w:tcPr>
          <w:p w14:paraId="56FF45D8" w14:textId="0CA2EC5F" w:rsidR="00496172" w:rsidRPr="00735C60" w:rsidRDefault="00496172" w:rsidP="00496172">
            <w:pPr>
              <w:pStyle w:val="TableText"/>
            </w:pPr>
            <w:r w:rsidRPr="00735C60">
              <w:t>278 g ac/ha</w:t>
            </w:r>
          </w:p>
        </w:tc>
      </w:tr>
      <w:tr w:rsidR="003D088B" w:rsidRPr="006649E5" w14:paraId="2F14AFF4" w14:textId="77777777" w:rsidTr="007F5112">
        <w:trPr>
          <w:cantSplit/>
        </w:trPr>
        <w:tc>
          <w:tcPr>
            <w:tcW w:w="756" w:type="pct"/>
            <w:vMerge/>
            <w:tcBorders>
              <w:right w:val="nil"/>
            </w:tcBorders>
          </w:tcPr>
          <w:p w14:paraId="4B0931EF" w14:textId="77777777" w:rsidR="00496172" w:rsidRPr="00015F03" w:rsidRDefault="00496172" w:rsidP="00496172">
            <w:pPr>
              <w:pStyle w:val="TableText"/>
            </w:pPr>
          </w:p>
        </w:tc>
        <w:tc>
          <w:tcPr>
            <w:tcW w:w="945" w:type="pct"/>
            <w:tcBorders>
              <w:top w:val="nil"/>
              <w:left w:val="nil"/>
              <w:bottom w:val="nil"/>
              <w:right w:val="nil"/>
            </w:tcBorders>
          </w:tcPr>
          <w:p w14:paraId="3ACD6CCD" w14:textId="691F3838" w:rsidR="00496172" w:rsidRPr="00015F03" w:rsidRDefault="00496172" w:rsidP="00496172">
            <w:pPr>
              <w:pStyle w:val="TableText"/>
            </w:pPr>
            <w:r w:rsidRPr="00C74059">
              <w:rPr>
                <w:szCs w:val="17"/>
              </w:rPr>
              <w:t>Potatoes</w:t>
            </w:r>
            <w:r>
              <w:rPr>
                <w:szCs w:val="17"/>
              </w:rPr>
              <w:t xml:space="preserve"> (pre-harvest)</w:t>
            </w:r>
          </w:p>
        </w:tc>
        <w:tc>
          <w:tcPr>
            <w:tcW w:w="727" w:type="pct"/>
            <w:tcBorders>
              <w:top w:val="nil"/>
              <w:left w:val="nil"/>
              <w:bottom w:val="nil"/>
              <w:right w:val="nil"/>
            </w:tcBorders>
          </w:tcPr>
          <w:p w14:paraId="75D3B92E" w14:textId="702B2F14" w:rsidR="00496172" w:rsidRPr="00015F03" w:rsidRDefault="00496172" w:rsidP="00496172">
            <w:pPr>
              <w:pStyle w:val="TableText"/>
            </w:pPr>
            <w:r w:rsidRPr="00CD311A">
              <w:rPr>
                <w:szCs w:val="17"/>
              </w:rPr>
              <w:t>1× 300</w:t>
            </w:r>
          </w:p>
        </w:tc>
        <w:tc>
          <w:tcPr>
            <w:tcW w:w="945" w:type="pct"/>
            <w:tcBorders>
              <w:top w:val="nil"/>
              <w:left w:val="nil"/>
              <w:bottom w:val="nil"/>
              <w:right w:val="nil"/>
            </w:tcBorders>
          </w:tcPr>
          <w:p w14:paraId="56740934" w14:textId="53760B0E" w:rsidR="00496172" w:rsidRPr="00015F03" w:rsidRDefault="00496172" w:rsidP="00496172">
            <w:pPr>
              <w:pStyle w:val="TableText"/>
            </w:pPr>
            <w:r>
              <w:rPr>
                <w:szCs w:val="17"/>
              </w:rPr>
              <w:t>Acceptable up to 1250 g ac/ha</w:t>
            </w:r>
          </w:p>
        </w:tc>
        <w:tc>
          <w:tcPr>
            <w:tcW w:w="945" w:type="pct"/>
            <w:tcBorders>
              <w:top w:val="nil"/>
              <w:left w:val="nil"/>
              <w:bottom w:val="nil"/>
              <w:right w:val="nil"/>
            </w:tcBorders>
          </w:tcPr>
          <w:p w14:paraId="3C91F485" w14:textId="66E48846" w:rsidR="00496172" w:rsidRPr="00735C60" w:rsidRDefault="00496172" w:rsidP="00496172">
            <w:pPr>
              <w:pStyle w:val="TableText"/>
            </w:pPr>
            <w:r w:rsidRPr="00735C60">
              <w:rPr>
                <w:szCs w:val="17"/>
              </w:rPr>
              <w:t>Acceptable up to 278 g ac/ha</w:t>
            </w:r>
          </w:p>
        </w:tc>
        <w:tc>
          <w:tcPr>
            <w:tcW w:w="682" w:type="pct"/>
            <w:tcBorders>
              <w:top w:val="nil"/>
              <w:left w:val="nil"/>
              <w:bottom w:val="nil"/>
            </w:tcBorders>
          </w:tcPr>
          <w:p w14:paraId="465E69FC" w14:textId="076B49E3" w:rsidR="00496172" w:rsidRPr="00735C60" w:rsidRDefault="00496172" w:rsidP="00496172">
            <w:pPr>
              <w:pStyle w:val="TableText"/>
            </w:pPr>
            <w:r w:rsidRPr="00735C60">
              <w:t>278 g ac/ha</w:t>
            </w:r>
          </w:p>
        </w:tc>
      </w:tr>
      <w:tr w:rsidR="003D088B" w:rsidRPr="006649E5" w14:paraId="0D60DB01" w14:textId="77777777" w:rsidTr="007F5112">
        <w:trPr>
          <w:cantSplit/>
        </w:trPr>
        <w:tc>
          <w:tcPr>
            <w:tcW w:w="756" w:type="pct"/>
            <w:vMerge/>
            <w:tcBorders>
              <w:right w:val="nil"/>
            </w:tcBorders>
          </w:tcPr>
          <w:p w14:paraId="388FEA05" w14:textId="77777777" w:rsidR="00496172" w:rsidRPr="00015F03" w:rsidRDefault="00496172" w:rsidP="00496172">
            <w:pPr>
              <w:pStyle w:val="TableText"/>
            </w:pPr>
          </w:p>
        </w:tc>
        <w:tc>
          <w:tcPr>
            <w:tcW w:w="945" w:type="pct"/>
            <w:tcBorders>
              <w:top w:val="nil"/>
              <w:left w:val="nil"/>
              <w:bottom w:val="nil"/>
              <w:right w:val="nil"/>
            </w:tcBorders>
          </w:tcPr>
          <w:p w14:paraId="041198E3" w14:textId="7C779A14" w:rsidR="00496172" w:rsidRPr="00015F03" w:rsidRDefault="00496172" w:rsidP="00496172">
            <w:pPr>
              <w:pStyle w:val="TableText"/>
            </w:pPr>
            <w:r w:rsidRPr="00CD311A">
              <w:rPr>
                <w:szCs w:val="17"/>
              </w:rPr>
              <w:t>Pulses</w:t>
            </w:r>
          </w:p>
        </w:tc>
        <w:tc>
          <w:tcPr>
            <w:tcW w:w="727" w:type="pct"/>
            <w:tcBorders>
              <w:top w:val="nil"/>
              <w:left w:val="nil"/>
              <w:bottom w:val="nil"/>
              <w:right w:val="nil"/>
            </w:tcBorders>
          </w:tcPr>
          <w:p w14:paraId="3222F27D" w14:textId="556C2C06" w:rsidR="00496172" w:rsidRPr="00015F03" w:rsidRDefault="00496172" w:rsidP="00496172">
            <w:pPr>
              <w:pStyle w:val="TableText"/>
            </w:pPr>
            <w:r w:rsidRPr="008C6C1D">
              <w:rPr>
                <w:szCs w:val="17"/>
              </w:rPr>
              <w:t xml:space="preserve">1× </w:t>
            </w:r>
            <w:r w:rsidR="00C22EBF">
              <w:rPr>
                <w:szCs w:val="17"/>
              </w:rPr>
              <w:t>400</w:t>
            </w:r>
            <w:r>
              <w:rPr>
                <w:szCs w:val="17"/>
              </w:rPr>
              <w:t>-</w:t>
            </w:r>
            <w:r w:rsidRPr="008C6C1D">
              <w:rPr>
                <w:szCs w:val="17"/>
              </w:rPr>
              <w:t>600</w:t>
            </w:r>
          </w:p>
        </w:tc>
        <w:tc>
          <w:tcPr>
            <w:tcW w:w="945" w:type="pct"/>
            <w:tcBorders>
              <w:top w:val="nil"/>
              <w:left w:val="nil"/>
              <w:bottom w:val="nil"/>
              <w:right w:val="nil"/>
            </w:tcBorders>
          </w:tcPr>
          <w:p w14:paraId="01BD7DD4" w14:textId="1AEC8232" w:rsidR="00496172" w:rsidRPr="00015F03" w:rsidRDefault="00496172" w:rsidP="00496172">
            <w:pPr>
              <w:pStyle w:val="TableText"/>
            </w:pPr>
            <w:r>
              <w:rPr>
                <w:szCs w:val="17"/>
              </w:rPr>
              <w:t>Acceptable up to 625 g ac/ha</w:t>
            </w:r>
          </w:p>
        </w:tc>
        <w:tc>
          <w:tcPr>
            <w:tcW w:w="945" w:type="pct"/>
            <w:tcBorders>
              <w:top w:val="nil"/>
              <w:left w:val="nil"/>
              <w:bottom w:val="nil"/>
              <w:right w:val="nil"/>
            </w:tcBorders>
          </w:tcPr>
          <w:p w14:paraId="5D90EE61" w14:textId="7486966B" w:rsidR="00496172" w:rsidRPr="00735C60" w:rsidRDefault="00496172" w:rsidP="00496172">
            <w:pPr>
              <w:pStyle w:val="TableText"/>
            </w:pPr>
            <w:r w:rsidRPr="00735C60">
              <w:rPr>
                <w:szCs w:val="17"/>
              </w:rPr>
              <w:t>Acceptable up to 278 g ac/ha</w:t>
            </w:r>
          </w:p>
        </w:tc>
        <w:tc>
          <w:tcPr>
            <w:tcW w:w="682" w:type="pct"/>
            <w:tcBorders>
              <w:top w:val="nil"/>
              <w:left w:val="nil"/>
              <w:bottom w:val="nil"/>
            </w:tcBorders>
          </w:tcPr>
          <w:p w14:paraId="1C15DA35" w14:textId="14C73227" w:rsidR="00496172" w:rsidRPr="00735C60" w:rsidRDefault="00496172" w:rsidP="00496172">
            <w:pPr>
              <w:pStyle w:val="TableText"/>
            </w:pPr>
            <w:r w:rsidRPr="00735C60">
              <w:t>278 g ac/ha</w:t>
            </w:r>
          </w:p>
        </w:tc>
      </w:tr>
      <w:tr w:rsidR="003D088B" w:rsidRPr="006649E5" w14:paraId="6D65B3DE" w14:textId="77777777" w:rsidTr="007F5112">
        <w:trPr>
          <w:cantSplit/>
        </w:trPr>
        <w:tc>
          <w:tcPr>
            <w:tcW w:w="756" w:type="pct"/>
            <w:vMerge/>
            <w:tcBorders>
              <w:right w:val="nil"/>
            </w:tcBorders>
          </w:tcPr>
          <w:p w14:paraId="0BA6AD90" w14:textId="77777777" w:rsidR="00496172" w:rsidRPr="00015F03" w:rsidRDefault="00496172" w:rsidP="00496172">
            <w:pPr>
              <w:pStyle w:val="TableText"/>
            </w:pPr>
          </w:p>
        </w:tc>
        <w:tc>
          <w:tcPr>
            <w:tcW w:w="945" w:type="pct"/>
            <w:tcBorders>
              <w:top w:val="nil"/>
              <w:left w:val="nil"/>
              <w:bottom w:val="single" w:sz="4" w:space="0" w:color="auto"/>
              <w:right w:val="nil"/>
            </w:tcBorders>
          </w:tcPr>
          <w:p w14:paraId="145D1A7F" w14:textId="3E0047B8" w:rsidR="00496172" w:rsidRPr="00015F03" w:rsidRDefault="00496172" w:rsidP="00496172">
            <w:pPr>
              <w:pStyle w:val="TableText"/>
            </w:pPr>
            <w:r w:rsidRPr="00CD311A">
              <w:rPr>
                <w:szCs w:val="17"/>
              </w:rPr>
              <w:t>Sunflower</w:t>
            </w:r>
          </w:p>
        </w:tc>
        <w:tc>
          <w:tcPr>
            <w:tcW w:w="727" w:type="pct"/>
            <w:tcBorders>
              <w:top w:val="nil"/>
              <w:left w:val="nil"/>
              <w:bottom w:val="single" w:sz="4" w:space="0" w:color="auto"/>
              <w:right w:val="nil"/>
            </w:tcBorders>
          </w:tcPr>
          <w:p w14:paraId="52CE41EB" w14:textId="1442AFCC" w:rsidR="00496172" w:rsidRPr="00015F03" w:rsidRDefault="00496172" w:rsidP="00496172">
            <w:pPr>
              <w:pStyle w:val="TableText"/>
            </w:pPr>
            <w:r w:rsidRPr="008C6C1D">
              <w:rPr>
                <w:szCs w:val="17"/>
              </w:rPr>
              <w:t xml:space="preserve">1× </w:t>
            </w:r>
            <w:r w:rsidR="007A6794">
              <w:rPr>
                <w:szCs w:val="17"/>
              </w:rPr>
              <w:t>400</w:t>
            </w:r>
            <w:r>
              <w:rPr>
                <w:szCs w:val="17"/>
              </w:rPr>
              <w:t>-</w:t>
            </w:r>
            <w:r w:rsidRPr="008C6C1D">
              <w:rPr>
                <w:szCs w:val="17"/>
              </w:rPr>
              <w:t>600</w:t>
            </w:r>
          </w:p>
        </w:tc>
        <w:tc>
          <w:tcPr>
            <w:tcW w:w="945" w:type="pct"/>
            <w:tcBorders>
              <w:top w:val="nil"/>
              <w:left w:val="nil"/>
              <w:bottom w:val="single" w:sz="4" w:space="0" w:color="auto"/>
              <w:right w:val="nil"/>
            </w:tcBorders>
          </w:tcPr>
          <w:p w14:paraId="4DC3AEA9" w14:textId="36192A7B" w:rsidR="00496172" w:rsidRPr="00015F03" w:rsidRDefault="00496172" w:rsidP="00496172">
            <w:pPr>
              <w:pStyle w:val="TableText"/>
            </w:pPr>
            <w:r>
              <w:rPr>
                <w:szCs w:val="17"/>
              </w:rPr>
              <w:t>Acceptable up to 610 g ac/ha</w:t>
            </w:r>
          </w:p>
        </w:tc>
        <w:tc>
          <w:tcPr>
            <w:tcW w:w="945" w:type="pct"/>
            <w:tcBorders>
              <w:top w:val="nil"/>
              <w:left w:val="nil"/>
              <w:bottom w:val="single" w:sz="4" w:space="0" w:color="auto"/>
              <w:right w:val="nil"/>
            </w:tcBorders>
          </w:tcPr>
          <w:p w14:paraId="67105E83" w14:textId="062D0FE2" w:rsidR="00496172" w:rsidRPr="00735C60" w:rsidRDefault="00496172" w:rsidP="00496172">
            <w:pPr>
              <w:pStyle w:val="TableText"/>
            </w:pPr>
            <w:r w:rsidRPr="00735C60">
              <w:rPr>
                <w:szCs w:val="17"/>
              </w:rPr>
              <w:t>Acceptable up to 323 g ac/ha</w:t>
            </w:r>
          </w:p>
        </w:tc>
        <w:tc>
          <w:tcPr>
            <w:tcW w:w="682" w:type="pct"/>
            <w:tcBorders>
              <w:top w:val="nil"/>
              <w:left w:val="nil"/>
              <w:bottom w:val="single" w:sz="4" w:space="0" w:color="auto"/>
            </w:tcBorders>
          </w:tcPr>
          <w:p w14:paraId="7A06AE9D" w14:textId="42960777" w:rsidR="00496172" w:rsidRPr="00735C60" w:rsidRDefault="00496172" w:rsidP="00496172">
            <w:pPr>
              <w:pStyle w:val="TableText"/>
            </w:pPr>
            <w:r w:rsidRPr="00735C60">
              <w:t>323 g ac/ha</w:t>
            </w:r>
          </w:p>
        </w:tc>
      </w:tr>
      <w:tr w:rsidR="003D088B" w:rsidRPr="006649E5" w14:paraId="3F1535A0" w14:textId="77777777" w:rsidTr="007F5112">
        <w:trPr>
          <w:cantSplit/>
        </w:trPr>
        <w:tc>
          <w:tcPr>
            <w:tcW w:w="756" w:type="pct"/>
            <w:vMerge w:val="restart"/>
            <w:tcBorders>
              <w:right w:val="nil"/>
            </w:tcBorders>
          </w:tcPr>
          <w:p w14:paraId="60ADE5F6" w14:textId="7FB173BE" w:rsidR="003D088B" w:rsidRPr="00015F03" w:rsidRDefault="003D088B" w:rsidP="003D088B">
            <w:pPr>
              <w:pStyle w:val="TableText"/>
            </w:pPr>
            <w:r>
              <w:rPr>
                <w:szCs w:val="17"/>
              </w:rPr>
              <w:t>General weed control</w:t>
            </w:r>
          </w:p>
        </w:tc>
        <w:tc>
          <w:tcPr>
            <w:tcW w:w="945" w:type="pct"/>
            <w:tcBorders>
              <w:left w:val="nil"/>
              <w:bottom w:val="nil"/>
              <w:right w:val="nil"/>
            </w:tcBorders>
          </w:tcPr>
          <w:p w14:paraId="0A5BEBEB" w14:textId="76946385" w:rsidR="003D088B" w:rsidRPr="00015F03" w:rsidRDefault="003D088B" w:rsidP="003D088B">
            <w:pPr>
              <w:pStyle w:val="TableText"/>
            </w:pPr>
            <w:r>
              <w:rPr>
                <w:szCs w:val="17"/>
              </w:rPr>
              <w:t>M</w:t>
            </w:r>
            <w:r w:rsidRPr="00CD311A">
              <w:rPr>
                <w:szCs w:val="17"/>
              </w:rPr>
              <w:t>arket gardens</w:t>
            </w:r>
            <w:r>
              <w:rPr>
                <w:szCs w:val="17"/>
              </w:rPr>
              <w:t>,</w:t>
            </w:r>
            <w:r w:rsidRPr="00CD311A">
              <w:rPr>
                <w:szCs w:val="17"/>
              </w:rPr>
              <w:t xml:space="preserve"> </w:t>
            </w:r>
            <w:r>
              <w:rPr>
                <w:szCs w:val="17"/>
              </w:rPr>
              <w:t>r</w:t>
            </w:r>
            <w:r w:rsidRPr="00CD311A">
              <w:rPr>
                <w:szCs w:val="17"/>
              </w:rPr>
              <w:t>ow crops, vegetables</w:t>
            </w:r>
          </w:p>
        </w:tc>
        <w:tc>
          <w:tcPr>
            <w:tcW w:w="727" w:type="pct"/>
            <w:tcBorders>
              <w:left w:val="nil"/>
              <w:bottom w:val="nil"/>
              <w:right w:val="nil"/>
            </w:tcBorders>
          </w:tcPr>
          <w:p w14:paraId="03765491" w14:textId="761D8A06" w:rsidR="003D088B" w:rsidRPr="00015F03" w:rsidRDefault="003D088B" w:rsidP="003D088B">
            <w:pPr>
              <w:pStyle w:val="TableText"/>
            </w:pPr>
            <w:r w:rsidRPr="00CD311A">
              <w:rPr>
                <w:szCs w:val="17"/>
              </w:rPr>
              <w:t xml:space="preserve">1× </w:t>
            </w:r>
            <w:r w:rsidR="00292887">
              <w:rPr>
                <w:szCs w:val="17"/>
              </w:rPr>
              <w:t>280</w:t>
            </w:r>
            <w:r>
              <w:rPr>
                <w:szCs w:val="17"/>
              </w:rPr>
              <w:t>-</w:t>
            </w:r>
            <w:r w:rsidRPr="00CD311A">
              <w:rPr>
                <w:szCs w:val="17"/>
              </w:rPr>
              <w:t>800</w:t>
            </w:r>
          </w:p>
        </w:tc>
        <w:tc>
          <w:tcPr>
            <w:tcW w:w="945" w:type="pct"/>
            <w:tcBorders>
              <w:left w:val="nil"/>
              <w:bottom w:val="nil"/>
              <w:right w:val="nil"/>
            </w:tcBorders>
          </w:tcPr>
          <w:p w14:paraId="6D96E902" w14:textId="1310C7F5" w:rsidR="003D088B" w:rsidRPr="00373D17" w:rsidRDefault="003D088B" w:rsidP="003D088B">
            <w:pPr>
              <w:pStyle w:val="TableText"/>
            </w:pPr>
            <w:r w:rsidRPr="00373D17">
              <w:rPr>
                <w:szCs w:val="17"/>
              </w:rPr>
              <w:t xml:space="preserve">Acceptable up to </w:t>
            </w:r>
            <w:r w:rsidR="00373D17" w:rsidRPr="00C25652">
              <w:rPr>
                <w:szCs w:val="17"/>
              </w:rPr>
              <w:t>1455</w:t>
            </w:r>
            <w:r w:rsidRPr="00373D17">
              <w:rPr>
                <w:szCs w:val="17"/>
              </w:rPr>
              <w:t xml:space="preserve"> g ac/ha</w:t>
            </w:r>
          </w:p>
        </w:tc>
        <w:tc>
          <w:tcPr>
            <w:tcW w:w="945" w:type="pct"/>
            <w:tcBorders>
              <w:left w:val="nil"/>
              <w:bottom w:val="nil"/>
              <w:right w:val="nil"/>
            </w:tcBorders>
          </w:tcPr>
          <w:p w14:paraId="5175E39E" w14:textId="6E093498" w:rsidR="003D088B" w:rsidRPr="00373D17" w:rsidRDefault="003D088B" w:rsidP="003D088B">
            <w:pPr>
              <w:pStyle w:val="TableText"/>
            </w:pPr>
            <w:r w:rsidRPr="00C25652">
              <w:rPr>
                <w:szCs w:val="17"/>
              </w:rPr>
              <w:t xml:space="preserve">Acceptable up to </w:t>
            </w:r>
            <w:r w:rsidR="00373D17" w:rsidRPr="00C25652">
              <w:rPr>
                <w:szCs w:val="17"/>
              </w:rPr>
              <w:t>283</w:t>
            </w:r>
            <w:r w:rsidRPr="00C25652">
              <w:rPr>
                <w:szCs w:val="17"/>
              </w:rPr>
              <w:t xml:space="preserve"> g ac/ha</w:t>
            </w:r>
          </w:p>
        </w:tc>
        <w:tc>
          <w:tcPr>
            <w:tcW w:w="682" w:type="pct"/>
            <w:tcBorders>
              <w:left w:val="nil"/>
              <w:bottom w:val="nil"/>
            </w:tcBorders>
          </w:tcPr>
          <w:p w14:paraId="32AA01D6" w14:textId="3D443781" w:rsidR="003D088B" w:rsidRPr="00735C60" w:rsidRDefault="00373D17" w:rsidP="003D088B">
            <w:pPr>
              <w:pStyle w:val="TableText"/>
            </w:pPr>
            <w:r w:rsidRPr="00735C60">
              <w:rPr>
                <w:szCs w:val="17"/>
              </w:rPr>
              <w:t>283</w:t>
            </w:r>
            <w:r w:rsidR="003D088B" w:rsidRPr="00735C60">
              <w:rPr>
                <w:szCs w:val="17"/>
              </w:rPr>
              <w:t xml:space="preserve"> g ac/ha</w:t>
            </w:r>
          </w:p>
        </w:tc>
      </w:tr>
      <w:tr w:rsidR="003D088B" w:rsidRPr="006649E5" w14:paraId="7FD8A4E0" w14:textId="77777777" w:rsidTr="007F5112">
        <w:trPr>
          <w:cantSplit/>
        </w:trPr>
        <w:tc>
          <w:tcPr>
            <w:tcW w:w="756" w:type="pct"/>
            <w:vMerge/>
            <w:tcBorders>
              <w:right w:val="nil"/>
            </w:tcBorders>
          </w:tcPr>
          <w:p w14:paraId="4A0E2D9C" w14:textId="77777777" w:rsidR="003D088B" w:rsidRPr="00015F03" w:rsidRDefault="003D088B" w:rsidP="003D088B">
            <w:pPr>
              <w:pStyle w:val="TableText"/>
            </w:pPr>
          </w:p>
        </w:tc>
        <w:tc>
          <w:tcPr>
            <w:tcW w:w="945" w:type="pct"/>
            <w:tcBorders>
              <w:top w:val="nil"/>
              <w:left w:val="nil"/>
              <w:bottom w:val="nil"/>
              <w:right w:val="nil"/>
            </w:tcBorders>
          </w:tcPr>
          <w:p w14:paraId="1CF894A3" w14:textId="5B3B1122" w:rsidR="003D088B" w:rsidRPr="00015F03" w:rsidRDefault="003D088B" w:rsidP="003D088B">
            <w:pPr>
              <w:pStyle w:val="TableText"/>
            </w:pPr>
            <w:r>
              <w:rPr>
                <w:szCs w:val="17"/>
              </w:rPr>
              <w:t>M</w:t>
            </w:r>
            <w:r w:rsidRPr="00CD311A">
              <w:rPr>
                <w:szCs w:val="17"/>
              </w:rPr>
              <w:t>arket gardens</w:t>
            </w:r>
            <w:r>
              <w:rPr>
                <w:szCs w:val="17"/>
              </w:rPr>
              <w:t>,</w:t>
            </w:r>
            <w:r w:rsidRPr="00CD311A">
              <w:rPr>
                <w:szCs w:val="17"/>
              </w:rPr>
              <w:t xml:space="preserve"> </w:t>
            </w:r>
            <w:r>
              <w:rPr>
                <w:szCs w:val="17"/>
              </w:rPr>
              <w:t>r</w:t>
            </w:r>
            <w:r w:rsidRPr="00CD311A">
              <w:rPr>
                <w:szCs w:val="17"/>
              </w:rPr>
              <w:t>ow crops, vegetables</w:t>
            </w:r>
            <w:r>
              <w:rPr>
                <w:szCs w:val="17"/>
              </w:rPr>
              <w:t xml:space="preserve"> (shielded inter-row spraying)</w:t>
            </w:r>
          </w:p>
        </w:tc>
        <w:tc>
          <w:tcPr>
            <w:tcW w:w="727" w:type="pct"/>
            <w:tcBorders>
              <w:top w:val="nil"/>
              <w:left w:val="nil"/>
              <w:bottom w:val="nil"/>
              <w:right w:val="nil"/>
            </w:tcBorders>
          </w:tcPr>
          <w:p w14:paraId="076AF853" w14:textId="10EB3CF1" w:rsidR="003D088B" w:rsidRPr="00015F03" w:rsidRDefault="003D088B" w:rsidP="003D088B">
            <w:pPr>
              <w:pStyle w:val="TableText"/>
            </w:pPr>
            <w:r w:rsidRPr="00CD311A">
              <w:rPr>
                <w:szCs w:val="17"/>
              </w:rPr>
              <w:t xml:space="preserve">1× </w:t>
            </w:r>
            <w:r w:rsidR="00292887">
              <w:rPr>
                <w:szCs w:val="17"/>
              </w:rPr>
              <w:t>280</w:t>
            </w:r>
            <w:r>
              <w:rPr>
                <w:szCs w:val="17"/>
              </w:rPr>
              <w:t>-</w:t>
            </w:r>
            <w:r w:rsidRPr="00CD311A">
              <w:rPr>
                <w:szCs w:val="17"/>
              </w:rPr>
              <w:t>800</w:t>
            </w:r>
          </w:p>
        </w:tc>
        <w:tc>
          <w:tcPr>
            <w:tcW w:w="945" w:type="pct"/>
            <w:tcBorders>
              <w:top w:val="nil"/>
              <w:left w:val="nil"/>
              <w:bottom w:val="nil"/>
              <w:right w:val="nil"/>
            </w:tcBorders>
          </w:tcPr>
          <w:p w14:paraId="2DC54A17" w14:textId="2B84E78E" w:rsidR="003D088B" w:rsidRPr="00373D17" w:rsidRDefault="003D088B" w:rsidP="003D088B">
            <w:pPr>
              <w:pStyle w:val="TableText"/>
            </w:pPr>
            <w:r w:rsidRPr="00C25652">
              <w:rPr>
                <w:szCs w:val="17"/>
              </w:rPr>
              <w:t xml:space="preserve">Acceptable up to </w:t>
            </w:r>
            <w:r w:rsidR="00373D17" w:rsidRPr="00C25652">
              <w:rPr>
                <w:szCs w:val="17"/>
              </w:rPr>
              <w:t>1455</w:t>
            </w:r>
            <w:r w:rsidRPr="00C25652">
              <w:rPr>
                <w:szCs w:val="17"/>
              </w:rPr>
              <w:t xml:space="preserve"> g ac/ha</w:t>
            </w:r>
          </w:p>
        </w:tc>
        <w:tc>
          <w:tcPr>
            <w:tcW w:w="945" w:type="pct"/>
            <w:tcBorders>
              <w:top w:val="nil"/>
              <w:left w:val="nil"/>
              <w:bottom w:val="nil"/>
              <w:right w:val="nil"/>
            </w:tcBorders>
          </w:tcPr>
          <w:p w14:paraId="04B82834" w14:textId="0B5E7646" w:rsidR="003D088B" w:rsidRPr="00373D17" w:rsidRDefault="003D088B" w:rsidP="003D088B">
            <w:pPr>
              <w:pStyle w:val="TableText"/>
            </w:pPr>
            <w:r w:rsidRPr="00C25652">
              <w:rPr>
                <w:szCs w:val="17"/>
              </w:rPr>
              <w:t xml:space="preserve">Acceptable up to </w:t>
            </w:r>
            <w:r w:rsidR="00373D17" w:rsidRPr="00C25652">
              <w:rPr>
                <w:szCs w:val="17"/>
              </w:rPr>
              <w:t>283</w:t>
            </w:r>
            <w:r w:rsidRPr="00C25652">
              <w:rPr>
                <w:szCs w:val="17"/>
              </w:rPr>
              <w:t xml:space="preserve"> g ac/ha</w:t>
            </w:r>
          </w:p>
        </w:tc>
        <w:tc>
          <w:tcPr>
            <w:tcW w:w="682" w:type="pct"/>
            <w:tcBorders>
              <w:top w:val="nil"/>
              <w:left w:val="nil"/>
              <w:bottom w:val="nil"/>
            </w:tcBorders>
          </w:tcPr>
          <w:p w14:paraId="27EB102F" w14:textId="31F1AB89" w:rsidR="003D088B" w:rsidRPr="00735C60" w:rsidRDefault="00373D17" w:rsidP="003D088B">
            <w:pPr>
              <w:pStyle w:val="TableText"/>
            </w:pPr>
            <w:r w:rsidRPr="00735C60">
              <w:rPr>
                <w:szCs w:val="17"/>
              </w:rPr>
              <w:t>283 g ac/ha</w:t>
            </w:r>
          </w:p>
        </w:tc>
      </w:tr>
      <w:tr w:rsidR="003D088B" w:rsidRPr="006649E5" w14:paraId="7406EA27" w14:textId="77777777" w:rsidTr="007F5112">
        <w:trPr>
          <w:cantSplit/>
        </w:trPr>
        <w:tc>
          <w:tcPr>
            <w:tcW w:w="756" w:type="pct"/>
            <w:vMerge/>
            <w:tcBorders>
              <w:right w:val="nil"/>
            </w:tcBorders>
          </w:tcPr>
          <w:p w14:paraId="33BA8922" w14:textId="77777777" w:rsidR="003D088B" w:rsidRPr="00015F03" w:rsidRDefault="003D088B" w:rsidP="003D088B">
            <w:pPr>
              <w:pStyle w:val="TableText"/>
            </w:pPr>
          </w:p>
        </w:tc>
        <w:tc>
          <w:tcPr>
            <w:tcW w:w="945" w:type="pct"/>
            <w:tcBorders>
              <w:top w:val="nil"/>
              <w:left w:val="nil"/>
              <w:bottom w:val="nil"/>
              <w:right w:val="nil"/>
            </w:tcBorders>
          </w:tcPr>
          <w:p w14:paraId="162BA0F1" w14:textId="0B1B56CE" w:rsidR="003D088B" w:rsidRPr="00015F03" w:rsidRDefault="003D088B" w:rsidP="003D088B">
            <w:pPr>
              <w:pStyle w:val="TableText"/>
            </w:pPr>
            <w:r w:rsidRPr="00CD311A">
              <w:rPr>
                <w:szCs w:val="17"/>
              </w:rPr>
              <w:t>Oilseeds</w:t>
            </w:r>
          </w:p>
        </w:tc>
        <w:tc>
          <w:tcPr>
            <w:tcW w:w="727" w:type="pct"/>
            <w:tcBorders>
              <w:top w:val="nil"/>
              <w:left w:val="nil"/>
              <w:bottom w:val="nil"/>
              <w:right w:val="nil"/>
            </w:tcBorders>
          </w:tcPr>
          <w:p w14:paraId="22C9EAE2" w14:textId="3B084B3D" w:rsidR="003D088B" w:rsidRPr="00015F03" w:rsidRDefault="003D088B" w:rsidP="003D088B">
            <w:pPr>
              <w:pStyle w:val="TableText"/>
            </w:pPr>
            <w:r w:rsidRPr="00CD311A">
              <w:rPr>
                <w:szCs w:val="17"/>
              </w:rPr>
              <w:t xml:space="preserve">1× </w:t>
            </w:r>
            <w:r w:rsidR="00292887">
              <w:rPr>
                <w:szCs w:val="17"/>
              </w:rPr>
              <w:t>60</w:t>
            </w:r>
            <w:r>
              <w:rPr>
                <w:szCs w:val="17"/>
              </w:rPr>
              <w:t>-3</w:t>
            </w:r>
            <w:r w:rsidRPr="00CD311A">
              <w:rPr>
                <w:szCs w:val="17"/>
              </w:rPr>
              <w:t>00</w:t>
            </w:r>
          </w:p>
        </w:tc>
        <w:tc>
          <w:tcPr>
            <w:tcW w:w="945" w:type="pct"/>
            <w:tcBorders>
              <w:top w:val="nil"/>
              <w:left w:val="nil"/>
              <w:bottom w:val="nil"/>
              <w:right w:val="nil"/>
            </w:tcBorders>
          </w:tcPr>
          <w:p w14:paraId="3744B5D2" w14:textId="7319FC59" w:rsidR="003D088B" w:rsidRPr="00373D17" w:rsidRDefault="003D088B" w:rsidP="003D088B">
            <w:pPr>
              <w:pStyle w:val="TableText"/>
            </w:pPr>
            <w:r w:rsidRPr="00C25652">
              <w:rPr>
                <w:szCs w:val="17"/>
              </w:rPr>
              <w:t xml:space="preserve">Acceptable up to </w:t>
            </w:r>
            <w:r w:rsidR="00373D17" w:rsidRPr="00C25652">
              <w:rPr>
                <w:szCs w:val="17"/>
              </w:rPr>
              <w:t>1455</w:t>
            </w:r>
            <w:r w:rsidRPr="00C25652">
              <w:rPr>
                <w:szCs w:val="17"/>
              </w:rPr>
              <w:t xml:space="preserve"> g ac/ha</w:t>
            </w:r>
          </w:p>
        </w:tc>
        <w:tc>
          <w:tcPr>
            <w:tcW w:w="945" w:type="pct"/>
            <w:tcBorders>
              <w:top w:val="nil"/>
              <w:left w:val="nil"/>
              <w:bottom w:val="nil"/>
              <w:right w:val="nil"/>
            </w:tcBorders>
          </w:tcPr>
          <w:p w14:paraId="62000B55" w14:textId="6FE89CE2" w:rsidR="003D088B" w:rsidRPr="00373D17" w:rsidRDefault="003D088B" w:rsidP="003D088B">
            <w:pPr>
              <w:pStyle w:val="TableText"/>
            </w:pPr>
            <w:r w:rsidRPr="00C25652">
              <w:rPr>
                <w:szCs w:val="17"/>
              </w:rPr>
              <w:t xml:space="preserve">Acceptable up to </w:t>
            </w:r>
            <w:r w:rsidR="00373D17" w:rsidRPr="00C25652">
              <w:rPr>
                <w:szCs w:val="17"/>
              </w:rPr>
              <w:t>300</w:t>
            </w:r>
            <w:r w:rsidRPr="00C25652">
              <w:rPr>
                <w:szCs w:val="17"/>
              </w:rPr>
              <w:t xml:space="preserve"> g ac/ha</w:t>
            </w:r>
            <w:r w:rsidR="00373D17" w:rsidRPr="00373D17">
              <w:rPr>
                <w:szCs w:val="17"/>
              </w:rPr>
              <w:t xml:space="preserve"> (WOE)</w:t>
            </w:r>
          </w:p>
        </w:tc>
        <w:tc>
          <w:tcPr>
            <w:tcW w:w="682" w:type="pct"/>
            <w:tcBorders>
              <w:top w:val="nil"/>
              <w:left w:val="nil"/>
              <w:bottom w:val="nil"/>
            </w:tcBorders>
          </w:tcPr>
          <w:p w14:paraId="36BFB81C" w14:textId="28644335" w:rsidR="003D088B" w:rsidRPr="00373D17" w:rsidRDefault="00373D17" w:rsidP="003D088B">
            <w:pPr>
              <w:pStyle w:val="TableText"/>
            </w:pPr>
            <w:r w:rsidRPr="00C25652">
              <w:rPr>
                <w:szCs w:val="17"/>
              </w:rPr>
              <w:t>30</w:t>
            </w:r>
            <w:r w:rsidR="003D088B" w:rsidRPr="00C25652">
              <w:rPr>
                <w:szCs w:val="17"/>
              </w:rPr>
              <w:t>0 g ac/ha</w:t>
            </w:r>
            <w:r w:rsidRPr="00373D17">
              <w:rPr>
                <w:szCs w:val="17"/>
              </w:rPr>
              <w:t xml:space="preserve"> (WOE)</w:t>
            </w:r>
          </w:p>
        </w:tc>
      </w:tr>
      <w:tr w:rsidR="00373D17" w:rsidRPr="006649E5" w14:paraId="3EACA24A" w14:textId="77777777" w:rsidTr="007F5112">
        <w:trPr>
          <w:cantSplit/>
        </w:trPr>
        <w:tc>
          <w:tcPr>
            <w:tcW w:w="756" w:type="pct"/>
            <w:vMerge/>
            <w:tcBorders>
              <w:right w:val="nil"/>
            </w:tcBorders>
          </w:tcPr>
          <w:p w14:paraId="6E1FC6A4" w14:textId="77777777" w:rsidR="00373D17" w:rsidRPr="00015F03" w:rsidRDefault="00373D17" w:rsidP="00373D17">
            <w:pPr>
              <w:pStyle w:val="TableText"/>
            </w:pPr>
          </w:p>
        </w:tc>
        <w:tc>
          <w:tcPr>
            <w:tcW w:w="945" w:type="pct"/>
            <w:tcBorders>
              <w:top w:val="nil"/>
              <w:left w:val="nil"/>
              <w:bottom w:val="nil"/>
              <w:right w:val="nil"/>
            </w:tcBorders>
          </w:tcPr>
          <w:p w14:paraId="5414623C" w14:textId="04E623B6" w:rsidR="00373D17" w:rsidRPr="00015F03" w:rsidRDefault="00373D17" w:rsidP="00373D17">
            <w:pPr>
              <w:pStyle w:val="TableText"/>
            </w:pPr>
            <w:r w:rsidRPr="00CD311A">
              <w:rPr>
                <w:szCs w:val="17"/>
              </w:rPr>
              <w:t>Hops</w:t>
            </w:r>
          </w:p>
        </w:tc>
        <w:tc>
          <w:tcPr>
            <w:tcW w:w="727" w:type="pct"/>
            <w:tcBorders>
              <w:top w:val="nil"/>
              <w:left w:val="nil"/>
              <w:bottom w:val="nil"/>
              <w:right w:val="nil"/>
            </w:tcBorders>
          </w:tcPr>
          <w:p w14:paraId="2D097DED" w14:textId="646BCF0F" w:rsidR="00373D17" w:rsidRPr="00015F03" w:rsidRDefault="00373D17" w:rsidP="00373D17">
            <w:pPr>
              <w:pStyle w:val="TableText"/>
            </w:pPr>
            <w:r w:rsidRPr="00CD311A">
              <w:rPr>
                <w:szCs w:val="17"/>
              </w:rPr>
              <w:t xml:space="preserve">1× </w:t>
            </w:r>
            <w:r w:rsidR="00292887">
              <w:rPr>
                <w:szCs w:val="17"/>
              </w:rPr>
              <w:t>140</w:t>
            </w:r>
            <w:r>
              <w:rPr>
                <w:szCs w:val="17"/>
              </w:rPr>
              <w:t>-28</w:t>
            </w:r>
            <w:r w:rsidRPr="00CD311A">
              <w:rPr>
                <w:szCs w:val="17"/>
              </w:rPr>
              <w:t>0</w:t>
            </w:r>
          </w:p>
        </w:tc>
        <w:tc>
          <w:tcPr>
            <w:tcW w:w="945" w:type="pct"/>
            <w:tcBorders>
              <w:top w:val="nil"/>
              <w:left w:val="nil"/>
              <w:bottom w:val="nil"/>
              <w:right w:val="nil"/>
            </w:tcBorders>
          </w:tcPr>
          <w:p w14:paraId="6030B6AD" w14:textId="44DFD62E" w:rsidR="00373D17" w:rsidRPr="00373D17" w:rsidRDefault="00373D17" w:rsidP="00373D17">
            <w:pPr>
              <w:pStyle w:val="TableText"/>
            </w:pPr>
            <w:r w:rsidRPr="00C25652">
              <w:rPr>
                <w:szCs w:val="17"/>
              </w:rPr>
              <w:t>Acceptable up to 1455 g ac/ha</w:t>
            </w:r>
          </w:p>
        </w:tc>
        <w:tc>
          <w:tcPr>
            <w:tcW w:w="945" w:type="pct"/>
            <w:tcBorders>
              <w:top w:val="nil"/>
              <w:left w:val="nil"/>
              <w:bottom w:val="nil"/>
              <w:right w:val="nil"/>
            </w:tcBorders>
          </w:tcPr>
          <w:p w14:paraId="47DCF2EC" w14:textId="651A0399" w:rsidR="00373D17" w:rsidRPr="00373D17" w:rsidRDefault="00373D17" w:rsidP="00373D17">
            <w:pPr>
              <w:pStyle w:val="TableText"/>
            </w:pPr>
            <w:r w:rsidRPr="00C25652">
              <w:rPr>
                <w:szCs w:val="17"/>
              </w:rPr>
              <w:t>Acceptable up to 283 g ac/ha</w:t>
            </w:r>
          </w:p>
        </w:tc>
        <w:tc>
          <w:tcPr>
            <w:tcW w:w="682" w:type="pct"/>
            <w:tcBorders>
              <w:top w:val="nil"/>
              <w:left w:val="nil"/>
              <w:bottom w:val="nil"/>
            </w:tcBorders>
          </w:tcPr>
          <w:p w14:paraId="02602D0B" w14:textId="5007C376" w:rsidR="00373D17" w:rsidRPr="00373D17" w:rsidRDefault="00373D17" w:rsidP="00373D17">
            <w:pPr>
              <w:pStyle w:val="TableText"/>
            </w:pPr>
            <w:r w:rsidRPr="00C25652">
              <w:rPr>
                <w:szCs w:val="17"/>
              </w:rPr>
              <w:t>283 g ac/ha</w:t>
            </w:r>
          </w:p>
        </w:tc>
      </w:tr>
      <w:tr w:rsidR="00373D17" w:rsidRPr="006649E5" w14:paraId="200D4BFA" w14:textId="77777777" w:rsidTr="007F5112">
        <w:trPr>
          <w:cantSplit/>
        </w:trPr>
        <w:tc>
          <w:tcPr>
            <w:tcW w:w="756" w:type="pct"/>
            <w:vMerge/>
            <w:tcBorders>
              <w:right w:val="nil"/>
            </w:tcBorders>
          </w:tcPr>
          <w:p w14:paraId="02479F39" w14:textId="77777777" w:rsidR="00373D17" w:rsidRPr="00015F03" w:rsidRDefault="00373D17" w:rsidP="00373D17">
            <w:pPr>
              <w:pStyle w:val="TableText"/>
            </w:pPr>
          </w:p>
        </w:tc>
        <w:tc>
          <w:tcPr>
            <w:tcW w:w="945" w:type="pct"/>
            <w:tcBorders>
              <w:top w:val="nil"/>
              <w:left w:val="nil"/>
              <w:bottom w:val="nil"/>
              <w:right w:val="nil"/>
            </w:tcBorders>
          </w:tcPr>
          <w:p w14:paraId="10B3F100" w14:textId="427E478A" w:rsidR="00373D17" w:rsidRPr="00015F03" w:rsidRDefault="00373D17" w:rsidP="00373D17">
            <w:pPr>
              <w:pStyle w:val="TableText"/>
            </w:pPr>
            <w:r w:rsidRPr="00CD311A">
              <w:rPr>
                <w:szCs w:val="17"/>
              </w:rPr>
              <w:t>Hops</w:t>
            </w:r>
            <w:r>
              <w:rPr>
                <w:szCs w:val="17"/>
              </w:rPr>
              <w:t xml:space="preserve"> (directed inter-row spraying)</w:t>
            </w:r>
          </w:p>
        </w:tc>
        <w:tc>
          <w:tcPr>
            <w:tcW w:w="727" w:type="pct"/>
            <w:tcBorders>
              <w:top w:val="nil"/>
              <w:left w:val="nil"/>
              <w:bottom w:val="nil"/>
              <w:right w:val="nil"/>
            </w:tcBorders>
          </w:tcPr>
          <w:p w14:paraId="097110F0" w14:textId="7BE0B8ED" w:rsidR="00CB4AD3" w:rsidRDefault="00373D17" w:rsidP="00373D17">
            <w:pPr>
              <w:pStyle w:val="TableText"/>
              <w:rPr>
                <w:szCs w:val="17"/>
              </w:rPr>
            </w:pPr>
            <w:r w:rsidRPr="00CD311A">
              <w:rPr>
                <w:szCs w:val="17"/>
              </w:rPr>
              <w:t xml:space="preserve">1× </w:t>
            </w:r>
            <w:r w:rsidR="00292887">
              <w:rPr>
                <w:szCs w:val="17"/>
              </w:rPr>
              <w:t>140</w:t>
            </w:r>
            <w:r>
              <w:rPr>
                <w:szCs w:val="17"/>
              </w:rPr>
              <w:t>-28</w:t>
            </w:r>
            <w:r w:rsidRPr="00CD311A">
              <w:rPr>
                <w:szCs w:val="17"/>
              </w:rPr>
              <w:t>0</w:t>
            </w:r>
          </w:p>
          <w:p w14:paraId="623155AE" w14:textId="6D8AF145" w:rsidR="00373D17" w:rsidRPr="00015F03" w:rsidRDefault="00373D17" w:rsidP="00373D17">
            <w:pPr>
              <w:pStyle w:val="TableText"/>
            </w:pPr>
            <w:r>
              <w:rPr>
                <w:szCs w:val="17"/>
              </w:rPr>
              <w:t>(</w:t>
            </w:r>
            <w:r w:rsidR="00292887">
              <w:rPr>
                <w:szCs w:val="17"/>
              </w:rPr>
              <w:t>56</w:t>
            </w:r>
            <w:r>
              <w:rPr>
                <w:szCs w:val="17"/>
              </w:rPr>
              <w:t xml:space="preserve">-112, FFT </w:t>
            </w:r>
            <w:r w:rsidR="00C05DDB">
              <w:rPr>
                <w:szCs w:val="17"/>
              </w:rPr>
              <w:t>0.4</w:t>
            </w:r>
            <w:r>
              <w:rPr>
                <w:szCs w:val="17"/>
              </w:rPr>
              <w:t>)</w:t>
            </w:r>
          </w:p>
        </w:tc>
        <w:tc>
          <w:tcPr>
            <w:tcW w:w="945" w:type="pct"/>
            <w:tcBorders>
              <w:top w:val="nil"/>
              <w:left w:val="nil"/>
              <w:bottom w:val="nil"/>
              <w:right w:val="nil"/>
            </w:tcBorders>
          </w:tcPr>
          <w:p w14:paraId="19B0EC66" w14:textId="2F04A2E2" w:rsidR="00373D17" w:rsidRPr="00373D17" w:rsidRDefault="00373D17" w:rsidP="00373D17">
            <w:pPr>
              <w:pStyle w:val="TableText"/>
            </w:pPr>
            <w:r w:rsidRPr="00C25652">
              <w:rPr>
                <w:szCs w:val="17"/>
              </w:rPr>
              <w:t>Acceptable up to 1455 g ac/ha</w:t>
            </w:r>
          </w:p>
        </w:tc>
        <w:tc>
          <w:tcPr>
            <w:tcW w:w="945" w:type="pct"/>
            <w:tcBorders>
              <w:top w:val="nil"/>
              <w:left w:val="nil"/>
              <w:bottom w:val="nil"/>
              <w:right w:val="nil"/>
            </w:tcBorders>
          </w:tcPr>
          <w:p w14:paraId="3369C605" w14:textId="09591CC6" w:rsidR="00373D17" w:rsidRPr="00373D17" w:rsidRDefault="00373D17" w:rsidP="00373D17">
            <w:pPr>
              <w:pStyle w:val="TableText"/>
            </w:pPr>
            <w:r w:rsidRPr="00C25652">
              <w:rPr>
                <w:szCs w:val="17"/>
              </w:rPr>
              <w:t>Acceptable up to 283 g ac/ha</w:t>
            </w:r>
          </w:p>
        </w:tc>
        <w:tc>
          <w:tcPr>
            <w:tcW w:w="682" w:type="pct"/>
            <w:tcBorders>
              <w:top w:val="nil"/>
              <w:left w:val="nil"/>
              <w:bottom w:val="nil"/>
            </w:tcBorders>
          </w:tcPr>
          <w:p w14:paraId="7BDE73CC" w14:textId="6B99EDB9" w:rsidR="00373D17" w:rsidRPr="00373D17" w:rsidRDefault="00373D17" w:rsidP="00373D17">
            <w:pPr>
              <w:pStyle w:val="TableText"/>
            </w:pPr>
            <w:r w:rsidRPr="00C25652">
              <w:rPr>
                <w:szCs w:val="17"/>
              </w:rPr>
              <w:t>283 g ac/ha</w:t>
            </w:r>
          </w:p>
        </w:tc>
      </w:tr>
      <w:tr w:rsidR="00373D17" w:rsidRPr="006649E5" w14:paraId="73C089A6" w14:textId="77777777" w:rsidTr="007F5112">
        <w:trPr>
          <w:cantSplit/>
        </w:trPr>
        <w:tc>
          <w:tcPr>
            <w:tcW w:w="756" w:type="pct"/>
            <w:vMerge/>
            <w:tcBorders>
              <w:right w:val="nil"/>
            </w:tcBorders>
          </w:tcPr>
          <w:p w14:paraId="458F77C2" w14:textId="77777777" w:rsidR="00373D17" w:rsidRPr="00015F03" w:rsidRDefault="00373D17" w:rsidP="00373D17">
            <w:pPr>
              <w:pStyle w:val="TableText"/>
            </w:pPr>
          </w:p>
        </w:tc>
        <w:tc>
          <w:tcPr>
            <w:tcW w:w="945" w:type="pct"/>
            <w:tcBorders>
              <w:top w:val="nil"/>
              <w:left w:val="nil"/>
              <w:bottom w:val="nil"/>
              <w:right w:val="nil"/>
            </w:tcBorders>
          </w:tcPr>
          <w:p w14:paraId="2BF22239" w14:textId="523E4057" w:rsidR="00373D17" w:rsidRPr="00015F03" w:rsidRDefault="00373D17" w:rsidP="00373D17">
            <w:pPr>
              <w:pStyle w:val="TableText"/>
            </w:pPr>
            <w:r>
              <w:rPr>
                <w:szCs w:val="17"/>
              </w:rPr>
              <w:t>Asparagus</w:t>
            </w:r>
          </w:p>
        </w:tc>
        <w:tc>
          <w:tcPr>
            <w:tcW w:w="727" w:type="pct"/>
            <w:tcBorders>
              <w:top w:val="nil"/>
              <w:left w:val="nil"/>
              <w:bottom w:val="nil"/>
              <w:right w:val="nil"/>
            </w:tcBorders>
          </w:tcPr>
          <w:p w14:paraId="0317A8E5" w14:textId="7F9B33C4" w:rsidR="00373D17" w:rsidRPr="00015F03" w:rsidRDefault="00373D17" w:rsidP="00373D17">
            <w:pPr>
              <w:pStyle w:val="TableText"/>
            </w:pPr>
            <w:r w:rsidRPr="00CD311A">
              <w:rPr>
                <w:szCs w:val="17"/>
              </w:rPr>
              <w:t xml:space="preserve">1× </w:t>
            </w:r>
            <w:r>
              <w:rPr>
                <w:szCs w:val="17"/>
              </w:rPr>
              <w:t>28</w:t>
            </w:r>
            <w:r w:rsidRPr="00CD311A">
              <w:rPr>
                <w:szCs w:val="17"/>
              </w:rPr>
              <w:t>0</w:t>
            </w:r>
          </w:p>
        </w:tc>
        <w:tc>
          <w:tcPr>
            <w:tcW w:w="945" w:type="pct"/>
            <w:tcBorders>
              <w:top w:val="nil"/>
              <w:left w:val="nil"/>
              <w:bottom w:val="nil"/>
              <w:right w:val="nil"/>
            </w:tcBorders>
          </w:tcPr>
          <w:p w14:paraId="3DB717E8" w14:textId="709154E7" w:rsidR="00373D17" w:rsidRPr="00373D17" w:rsidRDefault="00373D17" w:rsidP="00373D17">
            <w:pPr>
              <w:pStyle w:val="TableText"/>
            </w:pPr>
            <w:r w:rsidRPr="00C25652">
              <w:rPr>
                <w:szCs w:val="17"/>
              </w:rPr>
              <w:t>Acceptable up to 1455 g ac/ha</w:t>
            </w:r>
          </w:p>
        </w:tc>
        <w:tc>
          <w:tcPr>
            <w:tcW w:w="945" w:type="pct"/>
            <w:tcBorders>
              <w:top w:val="nil"/>
              <w:left w:val="nil"/>
              <w:bottom w:val="nil"/>
              <w:right w:val="nil"/>
            </w:tcBorders>
          </w:tcPr>
          <w:p w14:paraId="341CFA66" w14:textId="329B55FA" w:rsidR="00373D17" w:rsidRPr="00373D17" w:rsidRDefault="00373D17" w:rsidP="00373D17">
            <w:pPr>
              <w:pStyle w:val="TableText"/>
            </w:pPr>
            <w:r w:rsidRPr="00C25652">
              <w:rPr>
                <w:szCs w:val="17"/>
              </w:rPr>
              <w:t>Acceptable up to 283 g ac/ha</w:t>
            </w:r>
          </w:p>
        </w:tc>
        <w:tc>
          <w:tcPr>
            <w:tcW w:w="682" w:type="pct"/>
            <w:tcBorders>
              <w:top w:val="nil"/>
              <w:left w:val="nil"/>
              <w:bottom w:val="nil"/>
            </w:tcBorders>
          </w:tcPr>
          <w:p w14:paraId="56BEE0BD" w14:textId="546546CE" w:rsidR="00373D17" w:rsidRPr="00373D17" w:rsidRDefault="00373D17" w:rsidP="00373D17">
            <w:pPr>
              <w:pStyle w:val="TableText"/>
            </w:pPr>
            <w:r w:rsidRPr="00C25652">
              <w:rPr>
                <w:szCs w:val="17"/>
              </w:rPr>
              <w:t>283 g ac/ha</w:t>
            </w:r>
          </w:p>
        </w:tc>
      </w:tr>
      <w:tr w:rsidR="003D088B" w:rsidRPr="00735C60" w14:paraId="00CE0A81" w14:textId="77777777" w:rsidTr="007F5112">
        <w:trPr>
          <w:cantSplit/>
        </w:trPr>
        <w:tc>
          <w:tcPr>
            <w:tcW w:w="756" w:type="pct"/>
            <w:vMerge/>
            <w:tcBorders>
              <w:right w:val="nil"/>
            </w:tcBorders>
          </w:tcPr>
          <w:p w14:paraId="7F2313B1" w14:textId="77777777" w:rsidR="003D088B" w:rsidRPr="00015F03" w:rsidRDefault="003D088B" w:rsidP="003D088B">
            <w:pPr>
              <w:pStyle w:val="TableText"/>
            </w:pPr>
          </w:p>
        </w:tc>
        <w:tc>
          <w:tcPr>
            <w:tcW w:w="945" w:type="pct"/>
            <w:tcBorders>
              <w:top w:val="nil"/>
              <w:left w:val="nil"/>
              <w:bottom w:val="nil"/>
              <w:right w:val="nil"/>
            </w:tcBorders>
          </w:tcPr>
          <w:p w14:paraId="7FB76C4D" w14:textId="14ADAEB3" w:rsidR="003D088B" w:rsidRPr="00015F03" w:rsidRDefault="003D088B" w:rsidP="003D088B">
            <w:pPr>
              <w:pStyle w:val="TableText"/>
            </w:pPr>
            <w:r>
              <w:rPr>
                <w:szCs w:val="17"/>
              </w:rPr>
              <w:t>Cereals (pre-harvest)</w:t>
            </w:r>
          </w:p>
        </w:tc>
        <w:tc>
          <w:tcPr>
            <w:tcW w:w="727" w:type="pct"/>
            <w:tcBorders>
              <w:top w:val="nil"/>
              <w:left w:val="nil"/>
              <w:bottom w:val="nil"/>
              <w:right w:val="nil"/>
            </w:tcBorders>
          </w:tcPr>
          <w:p w14:paraId="3AC2C1AE" w14:textId="0E2BBAA3" w:rsidR="003D088B" w:rsidRPr="00015F03" w:rsidRDefault="003D088B" w:rsidP="003D088B">
            <w:pPr>
              <w:pStyle w:val="TableText"/>
            </w:pPr>
            <w:r w:rsidRPr="00CD311A">
              <w:rPr>
                <w:szCs w:val="17"/>
              </w:rPr>
              <w:t xml:space="preserve">1× </w:t>
            </w:r>
            <w:r w:rsidR="00292887">
              <w:rPr>
                <w:szCs w:val="17"/>
              </w:rPr>
              <w:t>200</w:t>
            </w:r>
            <w:r>
              <w:rPr>
                <w:szCs w:val="17"/>
              </w:rPr>
              <w:t>-60</w:t>
            </w:r>
            <w:r w:rsidRPr="00CD311A">
              <w:rPr>
                <w:szCs w:val="17"/>
              </w:rPr>
              <w:t>0</w:t>
            </w:r>
          </w:p>
        </w:tc>
        <w:tc>
          <w:tcPr>
            <w:tcW w:w="945" w:type="pct"/>
            <w:tcBorders>
              <w:top w:val="nil"/>
              <w:left w:val="nil"/>
              <w:bottom w:val="nil"/>
              <w:right w:val="nil"/>
            </w:tcBorders>
          </w:tcPr>
          <w:p w14:paraId="5C8D05DA" w14:textId="4CE0D87E" w:rsidR="003D088B" w:rsidRPr="002B6758" w:rsidRDefault="003D088B" w:rsidP="003D088B">
            <w:pPr>
              <w:pStyle w:val="TableText"/>
            </w:pPr>
            <w:r w:rsidRPr="00C25652">
              <w:rPr>
                <w:szCs w:val="17"/>
              </w:rPr>
              <w:t xml:space="preserve">Acceptable up to </w:t>
            </w:r>
            <w:r w:rsidR="00373D17" w:rsidRPr="00C25652">
              <w:rPr>
                <w:szCs w:val="17"/>
              </w:rPr>
              <w:t>1875</w:t>
            </w:r>
            <w:r w:rsidRPr="00C25652">
              <w:rPr>
                <w:szCs w:val="17"/>
              </w:rPr>
              <w:t xml:space="preserve"> g ac/ha</w:t>
            </w:r>
          </w:p>
        </w:tc>
        <w:tc>
          <w:tcPr>
            <w:tcW w:w="945" w:type="pct"/>
            <w:tcBorders>
              <w:top w:val="nil"/>
              <w:left w:val="nil"/>
              <w:bottom w:val="nil"/>
              <w:right w:val="nil"/>
            </w:tcBorders>
          </w:tcPr>
          <w:p w14:paraId="29266DA3" w14:textId="554CB9D8" w:rsidR="003D088B" w:rsidRPr="00735C60" w:rsidRDefault="003D088B" w:rsidP="003D088B">
            <w:pPr>
              <w:pStyle w:val="TableText"/>
            </w:pPr>
            <w:r w:rsidRPr="00735C60">
              <w:rPr>
                <w:szCs w:val="17"/>
              </w:rPr>
              <w:t xml:space="preserve">Acceptable up to </w:t>
            </w:r>
            <w:r w:rsidR="002B6758" w:rsidRPr="00735C60">
              <w:rPr>
                <w:szCs w:val="17"/>
              </w:rPr>
              <w:t>122</w:t>
            </w:r>
            <w:r w:rsidRPr="00735C60">
              <w:rPr>
                <w:szCs w:val="17"/>
              </w:rPr>
              <w:t xml:space="preserve"> g ac/ha</w:t>
            </w:r>
          </w:p>
        </w:tc>
        <w:tc>
          <w:tcPr>
            <w:tcW w:w="682" w:type="pct"/>
            <w:tcBorders>
              <w:top w:val="nil"/>
              <w:left w:val="nil"/>
              <w:bottom w:val="nil"/>
            </w:tcBorders>
          </w:tcPr>
          <w:p w14:paraId="4248E034" w14:textId="5D8C99DB" w:rsidR="003D088B" w:rsidRPr="00735C60" w:rsidRDefault="002B6758" w:rsidP="003D088B">
            <w:pPr>
              <w:pStyle w:val="TableText"/>
            </w:pPr>
            <w:r w:rsidRPr="00735C60">
              <w:rPr>
                <w:szCs w:val="17"/>
              </w:rPr>
              <w:t>122</w:t>
            </w:r>
            <w:r w:rsidR="003D088B" w:rsidRPr="00735C60">
              <w:rPr>
                <w:szCs w:val="17"/>
              </w:rPr>
              <w:t xml:space="preserve"> g ac/ha</w:t>
            </w:r>
          </w:p>
        </w:tc>
      </w:tr>
      <w:tr w:rsidR="003D088B" w:rsidRPr="006649E5" w14:paraId="47272E61" w14:textId="77777777" w:rsidTr="007F5112">
        <w:trPr>
          <w:cantSplit/>
        </w:trPr>
        <w:tc>
          <w:tcPr>
            <w:tcW w:w="756" w:type="pct"/>
            <w:vMerge/>
            <w:tcBorders>
              <w:right w:val="nil"/>
            </w:tcBorders>
          </w:tcPr>
          <w:p w14:paraId="0217B857" w14:textId="77777777" w:rsidR="003D088B" w:rsidRPr="00015F03" w:rsidRDefault="003D088B" w:rsidP="003D088B">
            <w:pPr>
              <w:pStyle w:val="TableText"/>
            </w:pPr>
          </w:p>
        </w:tc>
        <w:tc>
          <w:tcPr>
            <w:tcW w:w="945" w:type="pct"/>
            <w:tcBorders>
              <w:top w:val="nil"/>
              <w:left w:val="nil"/>
              <w:bottom w:val="nil"/>
              <w:right w:val="nil"/>
            </w:tcBorders>
          </w:tcPr>
          <w:p w14:paraId="630786EB" w14:textId="1F6144F5" w:rsidR="003D088B" w:rsidRPr="00015F03" w:rsidRDefault="003D088B" w:rsidP="003D088B">
            <w:pPr>
              <w:pStyle w:val="TableText"/>
            </w:pPr>
            <w:r w:rsidRPr="00CD311A">
              <w:rPr>
                <w:szCs w:val="17"/>
              </w:rPr>
              <w:t>Cereals</w:t>
            </w:r>
            <w:r>
              <w:rPr>
                <w:szCs w:val="17"/>
              </w:rPr>
              <w:t xml:space="preserve"> (up to tillering)</w:t>
            </w:r>
          </w:p>
        </w:tc>
        <w:tc>
          <w:tcPr>
            <w:tcW w:w="727" w:type="pct"/>
            <w:tcBorders>
              <w:top w:val="nil"/>
              <w:left w:val="nil"/>
              <w:bottom w:val="nil"/>
              <w:right w:val="nil"/>
            </w:tcBorders>
          </w:tcPr>
          <w:p w14:paraId="32CFD0BF" w14:textId="10E40B8E" w:rsidR="003D088B" w:rsidRPr="00015F03" w:rsidRDefault="003D088B" w:rsidP="003D088B">
            <w:pPr>
              <w:pStyle w:val="TableText"/>
            </w:pPr>
            <w:r w:rsidRPr="00CD311A">
              <w:rPr>
                <w:szCs w:val="17"/>
              </w:rPr>
              <w:t xml:space="preserve">1× </w:t>
            </w:r>
            <w:r w:rsidR="00292887">
              <w:rPr>
                <w:szCs w:val="17"/>
              </w:rPr>
              <w:t>110</w:t>
            </w:r>
            <w:r>
              <w:rPr>
                <w:szCs w:val="17"/>
              </w:rPr>
              <w:t>-14</w:t>
            </w:r>
            <w:r w:rsidRPr="00CD311A">
              <w:rPr>
                <w:szCs w:val="17"/>
              </w:rPr>
              <w:t>0</w:t>
            </w:r>
          </w:p>
        </w:tc>
        <w:tc>
          <w:tcPr>
            <w:tcW w:w="945" w:type="pct"/>
            <w:tcBorders>
              <w:top w:val="nil"/>
              <w:left w:val="nil"/>
              <w:bottom w:val="nil"/>
              <w:right w:val="nil"/>
            </w:tcBorders>
          </w:tcPr>
          <w:p w14:paraId="69880507" w14:textId="463D6D49" w:rsidR="003D088B" w:rsidRPr="002B6758" w:rsidRDefault="003D088B" w:rsidP="003D088B">
            <w:pPr>
              <w:pStyle w:val="TableText"/>
            </w:pPr>
            <w:r w:rsidRPr="00C25652">
              <w:rPr>
                <w:szCs w:val="17"/>
              </w:rPr>
              <w:t xml:space="preserve">Acceptable up to </w:t>
            </w:r>
            <w:r w:rsidR="00373D17" w:rsidRPr="00C25652">
              <w:rPr>
                <w:szCs w:val="17"/>
              </w:rPr>
              <w:t>494</w:t>
            </w:r>
            <w:r w:rsidRPr="00C25652">
              <w:rPr>
                <w:szCs w:val="17"/>
              </w:rPr>
              <w:t xml:space="preserve"> g ac/ha</w:t>
            </w:r>
          </w:p>
        </w:tc>
        <w:tc>
          <w:tcPr>
            <w:tcW w:w="945" w:type="pct"/>
            <w:tcBorders>
              <w:top w:val="nil"/>
              <w:left w:val="nil"/>
              <w:bottom w:val="nil"/>
              <w:right w:val="nil"/>
            </w:tcBorders>
          </w:tcPr>
          <w:p w14:paraId="2235CEFD" w14:textId="6D7778F3" w:rsidR="003D088B" w:rsidRPr="002B6758" w:rsidRDefault="003D088B" w:rsidP="003D088B">
            <w:pPr>
              <w:pStyle w:val="TableText"/>
            </w:pPr>
            <w:r w:rsidRPr="00C25652">
              <w:rPr>
                <w:szCs w:val="17"/>
              </w:rPr>
              <w:t xml:space="preserve">Acceptable up to </w:t>
            </w:r>
            <w:r w:rsidR="002B6758" w:rsidRPr="00C25652">
              <w:rPr>
                <w:szCs w:val="17"/>
              </w:rPr>
              <w:t>230</w:t>
            </w:r>
            <w:r w:rsidRPr="00C25652">
              <w:rPr>
                <w:szCs w:val="17"/>
              </w:rPr>
              <w:t xml:space="preserve"> g ac/ha</w:t>
            </w:r>
          </w:p>
        </w:tc>
        <w:tc>
          <w:tcPr>
            <w:tcW w:w="682" w:type="pct"/>
            <w:tcBorders>
              <w:top w:val="nil"/>
              <w:left w:val="nil"/>
              <w:bottom w:val="nil"/>
            </w:tcBorders>
          </w:tcPr>
          <w:p w14:paraId="0552738A" w14:textId="260054D8" w:rsidR="003D088B" w:rsidRPr="002B6758" w:rsidRDefault="002B6758" w:rsidP="003D088B">
            <w:pPr>
              <w:pStyle w:val="TableText"/>
            </w:pPr>
            <w:r w:rsidRPr="00C25652">
              <w:rPr>
                <w:szCs w:val="17"/>
              </w:rPr>
              <w:t>230</w:t>
            </w:r>
            <w:r w:rsidR="003D088B" w:rsidRPr="00C25652">
              <w:rPr>
                <w:szCs w:val="17"/>
              </w:rPr>
              <w:t xml:space="preserve"> g ac/ha</w:t>
            </w:r>
          </w:p>
        </w:tc>
      </w:tr>
      <w:tr w:rsidR="003D088B" w:rsidRPr="006649E5" w14:paraId="352F3D1D" w14:textId="77777777" w:rsidTr="007F5112">
        <w:trPr>
          <w:cantSplit/>
        </w:trPr>
        <w:tc>
          <w:tcPr>
            <w:tcW w:w="756" w:type="pct"/>
            <w:vMerge/>
            <w:tcBorders>
              <w:right w:val="nil"/>
            </w:tcBorders>
          </w:tcPr>
          <w:p w14:paraId="0556CDAA" w14:textId="77777777" w:rsidR="003D088B" w:rsidRPr="00015F03" w:rsidRDefault="003D088B" w:rsidP="003D088B">
            <w:pPr>
              <w:pStyle w:val="TableText"/>
            </w:pPr>
          </w:p>
        </w:tc>
        <w:tc>
          <w:tcPr>
            <w:tcW w:w="945" w:type="pct"/>
            <w:tcBorders>
              <w:top w:val="nil"/>
              <w:left w:val="nil"/>
              <w:bottom w:val="nil"/>
              <w:right w:val="nil"/>
            </w:tcBorders>
          </w:tcPr>
          <w:p w14:paraId="6E1CADF3" w14:textId="0474976A" w:rsidR="003D088B" w:rsidRPr="00015F03" w:rsidRDefault="003D088B" w:rsidP="003D088B">
            <w:pPr>
              <w:pStyle w:val="TableText"/>
            </w:pPr>
            <w:r w:rsidRPr="00CD311A">
              <w:rPr>
                <w:szCs w:val="17"/>
              </w:rPr>
              <w:t>Pasture</w:t>
            </w:r>
            <w:r>
              <w:rPr>
                <w:szCs w:val="17"/>
              </w:rPr>
              <w:t xml:space="preserve"> (grazed before spraying)</w:t>
            </w:r>
          </w:p>
        </w:tc>
        <w:tc>
          <w:tcPr>
            <w:tcW w:w="727" w:type="pct"/>
            <w:tcBorders>
              <w:top w:val="nil"/>
              <w:left w:val="nil"/>
              <w:bottom w:val="nil"/>
              <w:right w:val="nil"/>
            </w:tcBorders>
          </w:tcPr>
          <w:p w14:paraId="5D4A3026" w14:textId="6C27C8F6" w:rsidR="003D088B" w:rsidRPr="00015F03" w:rsidRDefault="003D088B" w:rsidP="003D088B">
            <w:pPr>
              <w:pStyle w:val="TableText"/>
            </w:pPr>
            <w:r w:rsidRPr="00CD311A">
              <w:rPr>
                <w:szCs w:val="17"/>
              </w:rPr>
              <w:t xml:space="preserve">1× </w:t>
            </w:r>
            <w:r w:rsidR="00292887">
              <w:rPr>
                <w:szCs w:val="17"/>
              </w:rPr>
              <w:t>150</w:t>
            </w:r>
            <w:r>
              <w:rPr>
                <w:szCs w:val="17"/>
              </w:rPr>
              <w:t>-30</w:t>
            </w:r>
            <w:r w:rsidRPr="00CD311A">
              <w:rPr>
                <w:szCs w:val="17"/>
              </w:rPr>
              <w:t>0</w:t>
            </w:r>
          </w:p>
        </w:tc>
        <w:tc>
          <w:tcPr>
            <w:tcW w:w="945" w:type="pct"/>
            <w:tcBorders>
              <w:top w:val="nil"/>
              <w:left w:val="nil"/>
              <w:bottom w:val="nil"/>
              <w:right w:val="nil"/>
            </w:tcBorders>
          </w:tcPr>
          <w:p w14:paraId="0225F8CD" w14:textId="17CA1770" w:rsidR="003D088B" w:rsidRPr="002B6758" w:rsidRDefault="003D088B" w:rsidP="003D088B">
            <w:pPr>
              <w:pStyle w:val="TableText"/>
            </w:pPr>
            <w:r w:rsidRPr="00C25652">
              <w:rPr>
                <w:szCs w:val="17"/>
              </w:rPr>
              <w:t xml:space="preserve">Acceptable up to </w:t>
            </w:r>
            <w:r w:rsidR="00373D17" w:rsidRPr="00C25652">
              <w:rPr>
                <w:szCs w:val="17"/>
              </w:rPr>
              <w:t>188</w:t>
            </w:r>
            <w:r w:rsidRPr="00C25652">
              <w:rPr>
                <w:szCs w:val="17"/>
              </w:rPr>
              <w:t xml:space="preserve"> g ac/ha</w:t>
            </w:r>
          </w:p>
        </w:tc>
        <w:tc>
          <w:tcPr>
            <w:tcW w:w="945" w:type="pct"/>
            <w:tcBorders>
              <w:top w:val="nil"/>
              <w:left w:val="nil"/>
              <w:bottom w:val="nil"/>
              <w:right w:val="nil"/>
            </w:tcBorders>
          </w:tcPr>
          <w:p w14:paraId="05C67F88" w14:textId="1AFDDBF0" w:rsidR="003D088B" w:rsidRPr="00735C60" w:rsidRDefault="003D088B" w:rsidP="003D088B">
            <w:pPr>
              <w:pStyle w:val="TableText"/>
            </w:pPr>
            <w:r w:rsidRPr="00735C60">
              <w:rPr>
                <w:szCs w:val="17"/>
              </w:rPr>
              <w:t xml:space="preserve">Acceptable up to </w:t>
            </w:r>
            <w:r w:rsidR="002B6758" w:rsidRPr="00735C60">
              <w:rPr>
                <w:szCs w:val="17"/>
              </w:rPr>
              <w:t>230</w:t>
            </w:r>
            <w:r w:rsidRPr="00735C60">
              <w:rPr>
                <w:szCs w:val="17"/>
              </w:rPr>
              <w:t xml:space="preserve"> g ac/ha</w:t>
            </w:r>
          </w:p>
        </w:tc>
        <w:tc>
          <w:tcPr>
            <w:tcW w:w="682" w:type="pct"/>
            <w:tcBorders>
              <w:top w:val="nil"/>
              <w:left w:val="nil"/>
              <w:bottom w:val="nil"/>
            </w:tcBorders>
          </w:tcPr>
          <w:p w14:paraId="2B173A95" w14:textId="5C2E0FCF" w:rsidR="003D088B" w:rsidRPr="00735C60" w:rsidRDefault="009E0BC4" w:rsidP="003D088B">
            <w:pPr>
              <w:pStyle w:val="TableText"/>
            </w:pPr>
            <w:r w:rsidRPr="00735C60">
              <w:rPr>
                <w:szCs w:val="17"/>
              </w:rPr>
              <w:t>188</w:t>
            </w:r>
            <w:r w:rsidR="003D088B" w:rsidRPr="00735C60">
              <w:rPr>
                <w:szCs w:val="17"/>
              </w:rPr>
              <w:t xml:space="preserve"> g ac/ha</w:t>
            </w:r>
          </w:p>
        </w:tc>
      </w:tr>
      <w:tr w:rsidR="003D088B" w:rsidRPr="006649E5" w14:paraId="22B3DC44" w14:textId="77777777" w:rsidTr="007F5112">
        <w:trPr>
          <w:cantSplit/>
        </w:trPr>
        <w:tc>
          <w:tcPr>
            <w:tcW w:w="756" w:type="pct"/>
            <w:vMerge/>
            <w:tcBorders>
              <w:right w:val="nil"/>
            </w:tcBorders>
          </w:tcPr>
          <w:p w14:paraId="49B957E5" w14:textId="77777777" w:rsidR="003D088B" w:rsidRPr="00015F03" w:rsidRDefault="003D088B" w:rsidP="003D088B">
            <w:pPr>
              <w:pStyle w:val="TableText"/>
            </w:pPr>
          </w:p>
        </w:tc>
        <w:tc>
          <w:tcPr>
            <w:tcW w:w="945" w:type="pct"/>
            <w:tcBorders>
              <w:top w:val="nil"/>
              <w:left w:val="nil"/>
              <w:bottom w:val="nil"/>
              <w:right w:val="nil"/>
            </w:tcBorders>
          </w:tcPr>
          <w:p w14:paraId="666DBF0F" w14:textId="6EB2857A" w:rsidR="003D088B" w:rsidRPr="00015F03" w:rsidRDefault="003D088B" w:rsidP="003D088B">
            <w:pPr>
              <w:pStyle w:val="TableText"/>
            </w:pPr>
            <w:r>
              <w:rPr>
                <w:szCs w:val="17"/>
              </w:rPr>
              <w:t>I</w:t>
            </w:r>
            <w:r w:rsidRPr="00CD311A">
              <w:rPr>
                <w:szCs w:val="17"/>
              </w:rPr>
              <w:t>nfested areas</w:t>
            </w:r>
          </w:p>
        </w:tc>
        <w:tc>
          <w:tcPr>
            <w:tcW w:w="727" w:type="pct"/>
            <w:tcBorders>
              <w:top w:val="nil"/>
              <w:left w:val="nil"/>
              <w:bottom w:val="nil"/>
              <w:right w:val="nil"/>
            </w:tcBorders>
          </w:tcPr>
          <w:p w14:paraId="1B479E9C" w14:textId="50DFEFBA" w:rsidR="003D088B" w:rsidRPr="00015F03" w:rsidRDefault="003D088B" w:rsidP="003D088B">
            <w:pPr>
              <w:pStyle w:val="TableText"/>
            </w:pPr>
            <w:r w:rsidRPr="00CD311A">
              <w:rPr>
                <w:szCs w:val="17"/>
              </w:rPr>
              <w:t xml:space="preserve">1× </w:t>
            </w:r>
            <w:r>
              <w:rPr>
                <w:szCs w:val="17"/>
              </w:rPr>
              <w:t>56</w:t>
            </w:r>
            <w:r w:rsidRPr="00CD311A">
              <w:rPr>
                <w:szCs w:val="17"/>
              </w:rPr>
              <w:t>0</w:t>
            </w:r>
          </w:p>
        </w:tc>
        <w:tc>
          <w:tcPr>
            <w:tcW w:w="945" w:type="pct"/>
            <w:tcBorders>
              <w:top w:val="nil"/>
              <w:left w:val="nil"/>
              <w:bottom w:val="nil"/>
              <w:right w:val="nil"/>
            </w:tcBorders>
          </w:tcPr>
          <w:p w14:paraId="259C7953" w14:textId="65C57DAF" w:rsidR="003D088B" w:rsidRPr="002B6758" w:rsidRDefault="003D088B" w:rsidP="003D088B">
            <w:pPr>
              <w:pStyle w:val="TableText"/>
            </w:pPr>
            <w:r w:rsidRPr="00C25652">
              <w:rPr>
                <w:szCs w:val="17"/>
              </w:rPr>
              <w:t xml:space="preserve">Acceptable up to </w:t>
            </w:r>
            <w:r w:rsidR="002B6758" w:rsidRPr="00C25652">
              <w:rPr>
                <w:szCs w:val="17"/>
              </w:rPr>
              <w:t>560</w:t>
            </w:r>
            <w:r w:rsidRPr="00C25652">
              <w:rPr>
                <w:szCs w:val="17"/>
              </w:rPr>
              <w:t xml:space="preserve"> g ac/ha</w:t>
            </w:r>
            <w:r w:rsidR="002B6758" w:rsidRPr="002B6758">
              <w:rPr>
                <w:szCs w:val="17"/>
              </w:rPr>
              <w:t xml:space="preserve"> (WOE)</w:t>
            </w:r>
          </w:p>
        </w:tc>
        <w:tc>
          <w:tcPr>
            <w:tcW w:w="945" w:type="pct"/>
            <w:tcBorders>
              <w:top w:val="nil"/>
              <w:left w:val="nil"/>
              <w:bottom w:val="nil"/>
              <w:right w:val="nil"/>
            </w:tcBorders>
          </w:tcPr>
          <w:p w14:paraId="7EE736E5" w14:textId="2842F867" w:rsidR="003D088B" w:rsidRPr="002B6758" w:rsidRDefault="003D088B" w:rsidP="003D088B">
            <w:pPr>
              <w:pStyle w:val="TableText"/>
            </w:pPr>
            <w:r w:rsidRPr="00C25652">
              <w:rPr>
                <w:szCs w:val="17"/>
              </w:rPr>
              <w:t xml:space="preserve">Acceptable up to </w:t>
            </w:r>
            <w:r w:rsidR="002B6758" w:rsidRPr="00C25652">
              <w:rPr>
                <w:szCs w:val="17"/>
              </w:rPr>
              <w:t>560</w:t>
            </w:r>
            <w:r w:rsidRPr="00C25652">
              <w:rPr>
                <w:szCs w:val="17"/>
              </w:rPr>
              <w:t xml:space="preserve"> g ac/ha</w:t>
            </w:r>
            <w:r w:rsidR="002B6758" w:rsidRPr="002B6758">
              <w:rPr>
                <w:szCs w:val="17"/>
              </w:rPr>
              <w:t xml:space="preserve"> (WOE)</w:t>
            </w:r>
          </w:p>
        </w:tc>
        <w:tc>
          <w:tcPr>
            <w:tcW w:w="682" w:type="pct"/>
            <w:tcBorders>
              <w:top w:val="nil"/>
              <w:left w:val="nil"/>
              <w:bottom w:val="nil"/>
            </w:tcBorders>
          </w:tcPr>
          <w:p w14:paraId="0731F5EB" w14:textId="1C78AA1B" w:rsidR="003D088B" w:rsidRPr="002B6758" w:rsidRDefault="002B6758" w:rsidP="003D088B">
            <w:pPr>
              <w:pStyle w:val="TableText"/>
            </w:pPr>
            <w:r w:rsidRPr="00C25652">
              <w:rPr>
                <w:szCs w:val="17"/>
              </w:rPr>
              <w:t>560</w:t>
            </w:r>
            <w:r w:rsidR="003D088B" w:rsidRPr="00C25652">
              <w:rPr>
                <w:szCs w:val="17"/>
              </w:rPr>
              <w:t xml:space="preserve"> g ac/ha</w:t>
            </w:r>
            <w:r w:rsidRPr="002B6758">
              <w:rPr>
                <w:szCs w:val="17"/>
              </w:rPr>
              <w:t xml:space="preserve"> (WOE)</w:t>
            </w:r>
          </w:p>
        </w:tc>
      </w:tr>
      <w:tr w:rsidR="003D088B" w:rsidRPr="006649E5" w14:paraId="5FC4EE2C" w14:textId="77777777" w:rsidTr="007F5112">
        <w:trPr>
          <w:cantSplit/>
        </w:trPr>
        <w:tc>
          <w:tcPr>
            <w:tcW w:w="756" w:type="pct"/>
            <w:vMerge/>
            <w:tcBorders>
              <w:right w:val="nil"/>
            </w:tcBorders>
          </w:tcPr>
          <w:p w14:paraId="2E24ED48" w14:textId="77777777" w:rsidR="003D088B" w:rsidRPr="00015F03" w:rsidRDefault="003D088B" w:rsidP="003D088B">
            <w:pPr>
              <w:pStyle w:val="TableText"/>
            </w:pPr>
          </w:p>
        </w:tc>
        <w:tc>
          <w:tcPr>
            <w:tcW w:w="945" w:type="pct"/>
            <w:tcBorders>
              <w:top w:val="nil"/>
              <w:left w:val="nil"/>
              <w:bottom w:val="nil"/>
              <w:right w:val="nil"/>
            </w:tcBorders>
          </w:tcPr>
          <w:p w14:paraId="59AFBCEB" w14:textId="06F4B032" w:rsidR="003D088B" w:rsidRPr="00015F03" w:rsidRDefault="003D088B" w:rsidP="00CB4AD3">
            <w:pPr>
              <w:pStyle w:val="TableText"/>
            </w:pPr>
            <w:r>
              <w:rPr>
                <w:szCs w:val="17"/>
              </w:rPr>
              <w:t>I</w:t>
            </w:r>
            <w:r w:rsidRPr="00CD311A">
              <w:rPr>
                <w:szCs w:val="17"/>
              </w:rPr>
              <w:t>nfested areas</w:t>
            </w:r>
            <w:r>
              <w:rPr>
                <w:szCs w:val="17"/>
              </w:rPr>
              <w:t xml:space="preserve"> (knapsack sprayer and spot spraying)</w:t>
            </w:r>
          </w:p>
        </w:tc>
        <w:tc>
          <w:tcPr>
            <w:tcW w:w="727" w:type="pct"/>
            <w:tcBorders>
              <w:top w:val="nil"/>
              <w:left w:val="nil"/>
              <w:bottom w:val="nil"/>
              <w:right w:val="nil"/>
            </w:tcBorders>
          </w:tcPr>
          <w:p w14:paraId="5EC4630C" w14:textId="6A3F9D59" w:rsidR="00CB4AD3" w:rsidRPr="003E0157" w:rsidRDefault="003D088B" w:rsidP="003E0157">
            <w:pPr>
              <w:pStyle w:val="TableText"/>
            </w:pPr>
            <w:r w:rsidRPr="003E0157">
              <w:t xml:space="preserve">1× </w:t>
            </w:r>
            <w:r w:rsidR="00292887" w:rsidRPr="003E0157">
              <w:t>60</w:t>
            </w:r>
            <w:r w:rsidRPr="003E0157">
              <w:t>-1333</w:t>
            </w:r>
          </w:p>
          <w:p w14:paraId="45EF7470" w14:textId="6FCA0364" w:rsidR="003D088B" w:rsidRPr="003E0157" w:rsidRDefault="003D088B" w:rsidP="003E0157">
            <w:pPr>
              <w:pStyle w:val="TableText"/>
              <w:rPr>
                <w:szCs w:val="17"/>
              </w:rPr>
            </w:pPr>
            <w:r w:rsidRPr="003E0157">
              <w:rPr>
                <w:szCs w:val="17"/>
              </w:rPr>
              <w:t>(</w:t>
            </w:r>
            <w:r w:rsidR="00292887" w:rsidRPr="003E0157">
              <w:rPr>
                <w:szCs w:val="17"/>
              </w:rPr>
              <w:t>24</w:t>
            </w:r>
            <w:r w:rsidRPr="003E0157">
              <w:rPr>
                <w:szCs w:val="17"/>
              </w:rPr>
              <w:t xml:space="preserve">-533, FFT </w:t>
            </w:r>
            <w:r w:rsidR="00CB4AD3" w:rsidRPr="003E0157">
              <w:rPr>
                <w:szCs w:val="17"/>
              </w:rPr>
              <w:t>0.4</w:t>
            </w:r>
            <w:r w:rsidRPr="003E0157">
              <w:rPr>
                <w:szCs w:val="17"/>
              </w:rPr>
              <w:t>)</w:t>
            </w:r>
          </w:p>
        </w:tc>
        <w:tc>
          <w:tcPr>
            <w:tcW w:w="945" w:type="pct"/>
            <w:tcBorders>
              <w:top w:val="nil"/>
              <w:left w:val="nil"/>
              <w:bottom w:val="nil"/>
              <w:right w:val="nil"/>
            </w:tcBorders>
          </w:tcPr>
          <w:p w14:paraId="0E52CA34" w14:textId="4097F08E" w:rsidR="003D088B" w:rsidRPr="002B6758" w:rsidRDefault="003D088B" w:rsidP="00CB4AD3">
            <w:pPr>
              <w:pStyle w:val="TableText"/>
            </w:pPr>
            <w:r w:rsidRPr="00C25652">
              <w:rPr>
                <w:szCs w:val="17"/>
              </w:rPr>
              <w:t xml:space="preserve">Acceptable up to </w:t>
            </w:r>
            <w:r w:rsidR="002B6758" w:rsidRPr="00C25652">
              <w:rPr>
                <w:szCs w:val="17"/>
              </w:rPr>
              <w:t>560</w:t>
            </w:r>
            <w:r w:rsidRPr="00C25652">
              <w:rPr>
                <w:szCs w:val="17"/>
              </w:rPr>
              <w:t xml:space="preserve"> g ac/ha</w:t>
            </w:r>
            <w:r w:rsidR="002B6758" w:rsidRPr="002B6758">
              <w:rPr>
                <w:szCs w:val="17"/>
              </w:rPr>
              <w:t xml:space="preserve"> (WOE)</w:t>
            </w:r>
          </w:p>
        </w:tc>
        <w:tc>
          <w:tcPr>
            <w:tcW w:w="945" w:type="pct"/>
            <w:tcBorders>
              <w:top w:val="nil"/>
              <w:left w:val="nil"/>
              <w:bottom w:val="nil"/>
              <w:right w:val="nil"/>
            </w:tcBorders>
          </w:tcPr>
          <w:p w14:paraId="1923D461" w14:textId="06888D21" w:rsidR="003D088B" w:rsidRPr="002B6758" w:rsidRDefault="003D088B" w:rsidP="00CB4AD3">
            <w:pPr>
              <w:pStyle w:val="TableText"/>
            </w:pPr>
            <w:r w:rsidRPr="00C25652">
              <w:rPr>
                <w:szCs w:val="17"/>
              </w:rPr>
              <w:t xml:space="preserve">Acceptable up to </w:t>
            </w:r>
            <w:r w:rsidR="002B6758" w:rsidRPr="00C25652">
              <w:rPr>
                <w:szCs w:val="17"/>
              </w:rPr>
              <w:t>560</w:t>
            </w:r>
            <w:r w:rsidRPr="00C25652">
              <w:rPr>
                <w:szCs w:val="17"/>
              </w:rPr>
              <w:t xml:space="preserve"> g ac/ha</w:t>
            </w:r>
            <w:r w:rsidR="002B6758" w:rsidRPr="002B6758">
              <w:rPr>
                <w:szCs w:val="17"/>
              </w:rPr>
              <w:t xml:space="preserve"> (WOE)</w:t>
            </w:r>
          </w:p>
        </w:tc>
        <w:tc>
          <w:tcPr>
            <w:tcW w:w="682" w:type="pct"/>
            <w:tcBorders>
              <w:top w:val="nil"/>
              <w:left w:val="nil"/>
              <w:bottom w:val="nil"/>
            </w:tcBorders>
          </w:tcPr>
          <w:p w14:paraId="0E975C84" w14:textId="1263CE6E" w:rsidR="003D088B" w:rsidRPr="002B6758" w:rsidRDefault="002B6758" w:rsidP="00CB4AD3">
            <w:pPr>
              <w:pStyle w:val="TableText"/>
            </w:pPr>
            <w:r w:rsidRPr="00C25652">
              <w:rPr>
                <w:szCs w:val="17"/>
              </w:rPr>
              <w:t>560</w:t>
            </w:r>
            <w:r w:rsidR="003D088B" w:rsidRPr="00C25652">
              <w:rPr>
                <w:szCs w:val="17"/>
              </w:rPr>
              <w:t xml:space="preserve"> g ac/ha</w:t>
            </w:r>
            <w:r w:rsidRPr="002B6758">
              <w:rPr>
                <w:szCs w:val="17"/>
              </w:rPr>
              <w:t xml:space="preserve"> (WOE)</w:t>
            </w:r>
          </w:p>
        </w:tc>
      </w:tr>
      <w:tr w:rsidR="003D088B" w:rsidRPr="006649E5" w14:paraId="6B5B69B4" w14:textId="77777777" w:rsidTr="007F5112">
        <w:trPr>
          <w:cantSplit/>
        </w:trPr>
        <w:tc>
          <w:tcPr>
            <w:tcW w:w="756" w:type="pct"/>
            <w:vMerge/>
            <w:tcBorders>
              <w:right w:val="nil"/>
            </w:tcBorders>
          </w:tcPr>
          <w:p w14:paraId="2C17BDBC" w14:textId="77777777" w:rsidR="003D088B" w:rsidRPr="00015F03" w:rsidRDefault="003D088B" w:rsidP="003D088B">
            <w:pPr>
              <w:pStyle w:val="TableText"/>
            </w:pPr>
          </w:p>
        </w:tc>
        <w:tc>
          <w:tcPr>
            <w:tcW w:w="945" w:type="pct"/>
            <w:tcBorders>
              <w:top w:val="nil"/>
              <w:left w:val="nil"/>
              <w:bottom w:val="nil"/>
              <w:right w:val="nil"/>
            </w:tcBorders>
          </w:tcPr>
          <w:p w14:paraId="25D6A94B" w14:textId="2CB2A0D3" w:rsidR="003D088B" w:rsidRPr="00015F03" w:rsidRDefault="003D088B" w:rsidP="003D088B">
            <w:pPr>
              <w:pStyle w:val="TableText"/>
            </w:pPr>
            <w:r w:rsidRPr="00E030E5">
              <w:rPr>
                <w:szCs w:val="17"/>
              </w:rPr>
              <w:t>Lucerne (</w:t>
            </w:r>
            <w:r>
              <w:rPr>
                <w:szCs w:val="17"/>
              </w:rPr>
              <w:t>grazed before spraying</w:t>
            </w:r>
            <w:r w:rsidRPr="00E030E5">
              <w:rPr>
                <w:szCs w:val="17"/>
              </w:rPr>
              <w:t>)</w:t>
            </w:r>
          </w:p>
        </w:tc>
        <w:tc>
          <w:tcPr>
            <w:tcW w:w="727" w:type="pct"/>
            <w:tcBorders>
              <w:top w:val="nil"/>
              <w:left w:val="nil"/>
              <w:bottom w:val="nil"/>
              <w:right w:val="nil"/>
            </w:tcBorders>
          </w:tcPr>
          <w:p w14:paraId="37296D7A" w14:textId="4AC10367" w:rsidR="003D088B" w:rsidRPr="00015F03" w:rsidRDefault="003D088B" w:rsidP="003D088B">
            <w:pPr>
              <w:pStyle w:val="TableText"/>
            </w:pPr>
            <w:r w:rsidRPr="00E030E5">
              <w:rPr>
                <w:szCs w:val="17"/>
              </w:rPr>
              <w:t xml:space="preserve">1× </w:t>
            </w:r>
            <w:r w:rsidR="00292887">
              <w:rPr>
                <w:szCs w:val="17"/>
              </w:rPr>
              <w:t>70</w:t>
            </w:r>
            <w:r>
              <w:rPr>
                <w:szCs w:val="17"/>
              </w:rPr>
              <w:t>-14</w:t>
            </w:r>
            <w:r w:rsidRPr="00E030E5">
              <w:rPr>
                <w:szCs w:val="17"/>
              </w:rPr>
              <w:t>0</w:t>
            </w:r>
          </w:p>
        </w:tc>
        <w:tc>
          <w:tcPr>
            <w:tcW w:w="945" w:type="pct"/>
            <w:tcBorders>
              <w:top w:val="nil"/>
              <w:left w:val="nil"/>
              <w:bottom w:val="nil"/>
              <w:right w:val="nil"/>
            </w:tcBorders>
          </w:tcPr>
          <w:p w14:paraId="4B59A2E2" w14:textId="78F6BC60" w:rsidR="003D088B" w:rsidRPr="002B6758" w:rsidRDefault="003D088B" w:rsidP="003D088B">
            <w:pPr>
              <w:pStyle w:val="TableText"/>
            </w:pPr>
            <w:r w:rsidRPr="00C25652">
              <w:rPr>
                <w:szCs w:val="17"/>
              </w:rPr>
              <w:t xml:space="preserve">Acceptable up to </w:t>
            </w:r>
            <w:r w:rsidR="002B6758" w:rsidRPr="00C25652">
              <w:rPr>
                <w:szCs w:val="17"/>
              </w:rPr>
              <w:t>1209</w:t>
            </w:r>
            <w:r w:rsidRPr="00C25652">
              <w:rPr>
                <w:szCs w:val="17"/>
              </w:rPr>
              <w:t xml:space="preserve"> g ac/ha</w:t>
            </w:r>
          </w:p>
        </w:tc>
        <w:tc>
          <w:tcPr>
            <w:tcW w:w="945" w:type="pct"/>
            <w:tcBorders>
              <w:top w:val="nil"/>
              <w:left w:val="nil"/>
              <w:bottom w:val="nil"/>
              <w:right w:val="nil"/>
            </w:tcBorders>
          </w:tcPr>
          <w:p w14:paraId="48CA8F78" w14:textId="3ABE381E" w:rsidR="003D088B" w:rsidRPr="002B6758" w:rsidRDefault="003D088B" w:rsidP="003D088B">
            <w:pPr>
              <w:pStyle w:val="TableText"/>
            </w:pPr>
            <w:r w:rsidRPr="00C25652">
              <w:rPr>
                <w:szCs w:val="17"/>
              </w:rPr>
              <w:t xml:space="preserve">Acceptable up to </w:t>
            </w:r>
            <w:r w:rsidR="002B6758" w:rsidRPr="00C25652">
              <w:rPr>
                <w:szCs w:val="17"/>
              </w:rPr>
              <w:t>261</w:t>
            </w:r>
            <w:r w:rsidRPr="00C25652">
              <w:rPr>
                <w:szCs w:val="17"/>
              </w:rPr>
              <w:t xml:space="preserve"> g ac/ha</w:t>
            </w:r>
          </w:p>
        </w:tc>
        <w:tc>
          <w:tcPr>
            <w:tcW w:w="682" w:type="pct"/>
            <w:tcBorders>
              <w:top w:val="nil"/>
              <w:left w:val="nil"/>
              <w:bottom w:val="nil"/>
            </w:tcBorders>
          </w:tcPr>
          <w:p w14:paraId="1DEEC07E" w14:textId="4DC144F0" w:rsidR="003D088B" w:rsidRPr="002B6758" w:rsidRDefault="002B6758" w:rsidP="003D088B">
            <w:pPr>
              <w:pStyle w:val="TableText"/>
            </w:pPr>
            <w:r w:rsidRPr="00C25652">
              <w:rPr>
                <w:szCs w:val="17"/>
              </w:rPr>
              <w:t>261</w:t>
            </w:r>
            <w:r w:rsidR="003D088B" w:rsidRPr="00C25652">
              <w:rPr>
                <w:szCs w:val="17"/>
              </w:rPr>
              <w:t xml:space="preserve"> g ac/ha</w:t>
            </w:r>
          </w:p>
        </w:tc>
      </w:tr>
      <w:tr w:rsidR="003D088B" w:rsidRPr="006649E5" w14:paraId="04B72542" w14:textId="77777777" w:rsidTr="007F5112">
        <w:trPr>
          <w:cantSplit/>
        </w:trPr>
        <w:tc>
          <w:tcPr>
            <w:tcW w:w="756" w:type="pct"/>
            <w:vMerge/>
            <w:tcBorders>
              <w:right w:val="nil"/>
            </w:tcBorders>
          </w:tcPr>
          <w:p w14:paraId="26015AC9" w14:textId="77777777" w:rsidR="003D088B" w:rsidRPr="00015F03" w:rsidRDefault="003D088B" w:rsidP="003D088B">
            <w:pPr>
              <w:pStyle w:val="TableText"/>
            </w:pPr>
          </w:p>
        </w:tc>
        <w:tc>
          <w:tcPr>
            <w:tcW w:w="945" w:type="pct"/>
            <w:tcBorders>
              <w:top w:val="nil"/>
              <w:left w:val="nil"/>
              <w:bottom w:val="nil"/>
              <w:right w:val="nil"/>
            </w:tcBorders>
          </w:tcPr>
          <w:p w14:paraId="1D048B2B" w14:textId="6BB6541C" w:rsidR="003D088B" w:rsidRPr="00015F03" w:rsidRDefault="003D088B" w:rsidP="003D088B">
            <w:pPr>
              <w:pStyle w:val="TableText"/>
            </w:pPr>
            <w:r w:rsidRPr="00CD311A">
              <w:rPr>
                <w:szCs w:val="17"/>
              </w:rPr>
              <w:t>Orchards</w:t>
            </w:r>
          </w:p>
        </w:tc>
        <w:tc>
          <w:tcPr>
            <w:tcW w:w="727" w:type="pct"/>
            <w:tcBorders>
              <w:top w:val="nil"/>
              <w:left w:val="nil"/>
              <w:bottom w:val="nil"/>
              <w:right w:val="nil"/>
            </w:tcBorders>
          </w:tcPr>
          <w:p w14:paraId="525BA24C" w14:textId="3BC5E5E5" w:rsidR="003D088B" w:rsidRPr="00015F03" w:rsidRDefault="003D088B" w:rsidP="003D088B">
            <w:pPr>
              <w:pStyle w:val="TableText"/>
            </w:pPr>
            <w:r w:rsidRPr="00CD311A">
              <w:rPr>
                <w:szCs w:val="17"/>
              </w:rPr>
              <w:t xml:space="preserve">1× </w:t>
            </w:r>
            <w:r>
              <w:rPr>
                <w:szCs w:val="17"/>
              </w:rPr>
              <w:t>30</w:t>
            </w:r>
            <w:r w:rsidRPr="00CD311A">
              <w:rPr>
                <w:szCs w:val="17"/>
              </w:rPr>
              <w:t>0</w:t>
            </w:r>
          </w:p>
        </w:tc>
        <w:tc>
          <w:tcPr>
            <w:tcW w:w="945" w:type="pct"/>
            <w:tcBorders>
              <w:top w:val="nil"/>
              <w:left w:val="nil"/>
              <w:bottom w:val="nil"/>
              <w:right w:val="nil"/>
            </w:tcBorders>
          </w:tcPr>
          <w:p w14:paraId="206E27DC" w14:textId="055F91BA" w:rsidR="003D088B" w:rsidRPr="002B6758" w:rsidRDefault="003D088B" w:rsidP="003D088B">
            <w:pPr>
              <w:pStyle w:val="TableText"/>
            </w:pPr>
            <w:r w:rsidRPr="00C25652">
              <w:rPr>
                <w:szCs w:val="17"/>
              </w:rPr>
              <w:t xml:space="preserve">Acceptable up to </w:t>
            </w:r>
            <w:r w:rsidR="002B6758" w:rsidRPr="00C25652">
              <w:rPr>
                <w:szCs w:val="17"/>
              </w:rPr>
              <w:t>188</w:t>
            </w:r>
            <w:r w:rsidRPr="00C25652">
              <w:rPr>
                <w:szCs w:val="17"/>
              </w:rPr>
              <w:t xml:space="preserve"> g ac/ha</w:t>
            </w:r>
          </w:p>
        </w:tc>
        <w:tc>
          <w:tcPr>
            <w:tcW w:w="945" w:type="pct"/>
            <w:tcBorders>
              <w:top w:val="nil"/>
              <w:left w:val="nil"/>
              <w:bottom w:val="nil"/>
              <w:right w:val="nil"/>
            </w:tcBorders>
          </w:tcPr>
          <w:p w14:paraId="3CFBEC21" w14:textId="25634854" w:rsidR="003D088B" w:rsidRPr="00735C60" w:rsidRDefault="003D088B" w:rsidP="003D088B">
            <w:pPr>
              <w:pStyle w:val="TableText"/>
            </w:pPr>
            <w:r w:rsidRPr="00735C60">
              <w:rPr>
                <w:szCs w:val="17"/>
              </w:rPr>
              <w:t xml:space="preserve">Acceptable up to </w:t>
            </w:r>
            <w:r w:rsidR="00E61E9B">
              <w:rPr>
                <w:szCs w:val="17"/>
              </w:rPr>
              <w:t>464</w:t>
            </w:r>
            <w:r w:rsidRPr="00735C60">
              <w:rPr>
                <w:szCs w:val="17"/>
              </w:rPr>
              <w:t xml:space="preserve"> g ac/ha</w:t>
            </w:r>
          </w:p>
        </w:tc>
        <w:tc>
          <w:tcPr>
            <w:tcW w:w="682" w:type="pct"/>
            <w:tcBorders>
              <w:top w:val="nil"/>
              <w:left w:val="nil"/>
              <w:bottom w:val="nil"/>
            </w:tcBorders>
          </w:tcPr>
          <w:p w14:paraId="279E7339" w14:textId="41DDA608" w:rsidR="003D088B" w:rsidRPr="00735C60" w:rsidRDefault="002B6758" w:rsidP="003D088B">
            <w:pPr>
              <w:pStyle w:val="TableText"/>
            </w:pPr>
            <w:r w:rsidRPr="00735C60">
              <w:rPr>
                <w:szCs w:val="17"/>
              </w:rPr>
              <w:t>188</w:t>
            </w:r>
            <w:r w:rsidR="003D088B" w:rsidRPr="00735C60">
              <w:rPr>
                <w:szCs w:val="17"/>
              </w:rPr>
              <w:t xml:space="preserve"> g ac/ha</w:t>
            </w:r>
          </w:p>
        </w:tc>
      </w:tr>
      <w:tr w:rsidR="003D088B" w:rsidRPr="006649E5" w14:paraId="1A1B0B06" w14:textId="77777777" w:rsidTr="007F5112">
        <w:trPr>
          <w:cantSplit/>
        </w:trPr>
        <w:tc>
          <w:tcPr>
            <w:tcW w:w="756" w:type="pct"/>
            <w:vMerge/>
            <w:tcBorders>
              <w:right w:val="nil"/>
            </w:tcBorders>
          </w:tcPr>
          <w:p w14:paraId="3B018177" w14:textId="77777777" w:rsidR="003D088B" w:rsidRPr="00015F03" w:rsidRDefault="003D088B" w:rsidP="003D088B">
            <w:pPr>
              <w:pStyle w:val="TableText"/>
            </w:pPr>
          </w:p>
        </w:tc>
        <w:tc>
          <w:tcPr>
            <w:tcW w:w="945" w:type="pct"/>
            <w:tcBorders>
              <w:top w:val="nil"/>
              <w:left w:val="nil"/>
              <w:bottom w:val="nil"/>
              <w:right w:val="nil"/>
            </w:tcBorders>
          </w:tcPr>
          <w:p w14:paraId="43D08EFE" w14:textId="5343A8A0" w:rsidR="003D088B" w:rsidRPr="003E0157" w:rsidRDefault="003D088B" w:rsidP="003D088B">
            <w:pPr>
              <w:pStyle w:val="TableText"/>
            </w:pPr>
            <w:r w:rsidRPr="003E0157">
              <w:rPr>
                <w:szCs w:val="17"/>
              </w:rPr>
              <w:t>Orchards (directed spray under trees and inter-row spraying)</w:t>
            </w:r>
          </w:p>
        </w:tc>
        <w:tc>
          <w:tcPr>
            <w:tcW w:w="727" w:type="pct"/>
            <w:tcBorders>
              <w:top w:val="nil"/>
              <w:left w:val="nil"/>
              <w:bottom w:val="nil"/>
              <w:right w:val="nil"/>
            </w:tcBorders>
          </w:tcPr>
          <w:p w14:paraId="03F6B4B8" w14:textId="240A27C8" w:rsidR="00CB4AD3" w:rsidRPr="003E0157" w:rsidRDefault="003D088B" w:rsidP="003D088B">
            <w:pPr>
              <w:pStyle w:val="BodyText"/>
              <w:widowControl w:val="0"/>
              <w:spacing w:after="0"/>
              <w:rPr>
                <w:rFonts w:ascii="Arial" w:hAnsi="Arial" w:cs="Arial"/>
                <w:sz w:val="17"/>
                <w:szCs w:val="17"/>
              </w:rPr>
            </w:pPr>
            <w:r w:rsidRPr="003E0157">
              <w:rPr>
                <w:rFonts w:ascii="Arial" w:hAnsi="Arial" w:cs="Arial"/>
                <w:sz w:val="17"/>
                <w:szCs w:val="17"/>
              </w:rPr>
              <w:t>1× 300</w:t>
            </w:r>
          </w:p>
          <w:p w14:paraId="330A7B2B" w14:textId="2CA22FC0" w:rsidR="003D088B" w:rsidRPr="003E0157" w:rsidRDefault="003D088B" w:rsidP="00C25652">
            <w:pPr>
              <w:pStyle w:val="BodyText"/>
              <w:widowControl w:val="0"/>
              <w:spacing w:after="0"/>
              <w:rPr>
                <w:rFonts w:ascii="Arial" w:hAnsi="Arial" w:cs="Arial"/>
              </w:rPr>
            </w:pPr>
            <w:r w:rsidRPr="003E0157">
              <w:rPr>
                <w:rFonts w:ascii="Arial" w:hAnsi="Arial" w:cs="Arial"/>
                <w:sz w:val="17"/>
                <w:szCs w:val="17"/>
              </w:rPr>
              <w:t xml:space="preserve">(120, FFT </w:t>
            </w:r>
            <w:r w:rsidR="00C05DDB" w:rsidRPr="003E0157">
              <w:rPr>
                <w:rFonts w:ascii="Arial" w:hAnsi="Arial" w:cs="Arial"/>
                <w:sz w:val="17"/>
                <w:szCs w:val="17"/>
              </w:rPr>
              <w:t>0.4</w:t>
            </w:r>
            <w:r w:rsidRPr="003E0157">
              <w:rPr>
                <w:rFonts w:ascii="Arial" w:hAnsi="Arial" w:cs="Arial"/>
                <w:sz w:val="17"/>
                <w:szCs w:val="17"/>
              </w:rPr>
              <w:t>)</w:t>
            </w:r>
          </w:p>
        </w:tc>
        <w:tc>
          <w:tcPr>
            <w:tcW w:w="945" w:type="pct"/>
            <w:tcBorders>
              <w:top w:val="nil"/>
              <w:left w:val="nil"/>
              <w:bottom w:val="nil"/>
              <w:right w:val="nil"/>
            </w:tcBorders>
          </w:tcPr>
          <w:p w14:paraId="3423F2BE" w14:textId="510DF065" w:rsidR="003D088B" w:rsidRPr="00E80A1E" w:rsidRDefault="003D088B" w:rsidP="003D088B">
            <w:pPr>
              <w:pStyle w:val="TableText"/>
            </w:pPr>
            <w:r w:rsidRPr="00E80A1E">
              <w:rPr>
                <w:szCs w:val="17"/>
              </w:rPr>
              <w:t xml:space="preserve">Acceptable up to </w:t>
            </w:r>
            <w:r w:rsidR="002B6758" w:rsidRPr="00E80A1E">
              <w:rPr>
                <w:szCs w:val="17"/>
              </w:rPr>
              <w:t>188</w:t>
            </w:r>
            <w:r w:rsidRPr="00E80A1E">
              <w:rPr>
                <w:szCs w:val="17"/>
              </w:rPr>
              <w:t xml:space="preserve"> g ac/ha</w:t>
            </w:r>
          </w:p>
        </w:tc>
        <w:tc>
          <w:tcPr>
            <w:tcW w:w="945" w:type="pct"/>
            <w:tcBorders>
              <w:top w:val="nil"/>
              <w:left w:val="nil"/>
              <w:bottom w:val="nil"/>
              <w:right w:val="nil"/>
            </w:tcBorders>
          </w:tcPr>
          <w:p w14:paraId="62243FDC" w14:textId="085D73E9" w:rsidR="003D088B" w:rsidRPr="00E80A1E" w:rsidRDefault="003D088B" w:rsidP="003D088B">
            <w:pPr>
              <w:pStyle w:val="TableText"/>
            </w:pPr>
            <w:r w:rsidRPr="00E80A1E">
              <w:rPr>
                <w:szCs w:val="17"/>
              </w:rPr>
              <w:t xml:space="preserve">Acceptable up to </w:t>
            </w:r>
            <w:r w:rsidR="002B6758" w:rsidRPr="00E80A1E">
              <w:rPr>
                <w:szCs w:val="17"/>
              </w:rPr>
              <w:t>464</w:t>
            </w:r>
            <w:r w:rsidRPr="00E80A1E">
              <w:rPr>
                <w:szCs w:val="17"/>
              </w:rPr>
              <w:t xml:space="preserve"> g ac/ha</w:t>
            </w:r>
          </w:p>
        </w:tc>
        <w:tc>
          <w:tcPr>
            <w:tcW w:w="682" w:type="pct"/>
            <w:tcBorders>
              <w:top w:val="nil"/>
              <w:left w:val="nil"/>
              <w:bottom w:val="nil"/>
            </w:tcBorders>
          </w:tcPr>
          <w:p w14:paraId="23B2B6C9" w14:textId="7A6563A7" w:rsidR="003D088B" w:rsidRPr="00E80A1E" w:rsidRDefault="002B6758" w:rsidP="003D088B">
            <w:pPr>
              <w:pStyle w:val="TableText"/>
            </w:pPr>
            <w:r w:rsidRPr="00E80A1E">
              <w:rPr>
                <w:szCs w:val="17"/>
              </w:rPr>
              <w:t>188</w:t>
            </w:r>
            <w:r w:rsidR="003D088B" w:rsidRPr="00E80A1E">
              <w:rPr>
                <w:szCs w:val="17"/>
              </w:rPr>
              <w:t xml:space="preserve"> g ac/ha</w:t>
            </w:r>
            <w:r w:rsidR="00602535">
              <w:rPr>
                <w:rFonts w:ascii="ZWAdobeF" w:hAnsi="ZWAdobeF" w:cs="ZWAdobeF"/>
                <w:spacing w:val="0"/>
                <w:sz w:val="2"/>
                <w:szCs w:val="2"/>
              </w:rPr>
              <w:t>29F</w:t>
            </w:r>
            <w:r w:rsidR="003E0157">
              <w:rPr>
                <w:rStyle w:val="FootnoteReference"/>
                <w:szCs w:val="17"/>
              </w:rPr>
              <w:footnoteReference w:id="31"/>
            </w:r>
          </w:p>
        </w:tc>
      </w:tr>
      <w:tr w:rsidR="003D088B" w:rsidRPr="006649E5" w14:paraId="42962629" w14:textId="77777777" w:rsidTr="007F5112">
        <w:trPr>
          <w:cantSplit/>
        </w:trPr>
        <w:tc>
          <w:tcPr>
            <w:tcW w:w="756" w:type="pct"/>
            <w:vMerge/>
            <w:tcBorders>
              <w:right w:val="nil"/>
            </w:tcBorders>
          </w:tcPr>
          <w:p w14:paraId="5AEFFF04" w14:textId="77777777" w:rsidR="003D088B" w:rsidRPr="00015F03" w:rsidRDefault="003D088B" w:rsidP="003D088B">
            <w:pPr>
              <w:pStyle w:val="TableText"/>
            </w:pPr>
          </w:p>
        </w:tc>
        <w:tc>
          <w:tcPr>
            <w:tcW w:w="945" w:type="pct"/>
            <w:tcBorders>
              <w:top w:val="nil"/>
              <w:left w:val="nil"/>
              <w:bottom w:val="nil"/>
              <w:right w:val="nil"/>
            </w:tcBorders>
          </w:tcPr>
          <w:p w14:paraId="44172354" w14:textId="10B8A29C" w:rsidR="003D088B" w:rsidRPr="00E80A1E" w:rsidRDefault="003D088B" w:rsidP="003D088B">
            <w:pPr>
              <w:pStyle w:val="TableText"/>
            </w:pPr>
            <w:r w:rsidRPr="00E80A1E">
              <w:rPr>
                <w:szCs w:val="17"/>
              </w:rPr>
              <w:t>Vineyards</w:t>
            </w:r>
          </w:p>
        </w:tc>
        <w:tc>
          <w:tcPr>
            <w:tcW w:w="727" w:type="pct"/>
            <w:tcBorders>
              <w:top w:val="nil"/>
              <w:left w:val="nil"/>
              <w:bottom w:val="nil"/>
              <w:right w:val="nil"/>
            </w:tcBorders>
          </w:tcPr>
          <w:p w14:paraId="46B3366A" w14:textId="798AD79B" w:rsidR="003D088B" w:rsidRPr="00E80A1E" w:rsidRDefault="003D088B" w:rsidP="003D088B">
            <w:pPr>
              <w:pStyle w:val="TableText"/>
            </w:pPr>
            <w:r w:rsidRPr="00E80A1E">
              <w:rPr>
                <w:szCs w:val="17"/>
              </w:rPr>
              <w:t>1× 300</w:t>
            </w:r>
          </w:p>
        </w:tc>
        <w:tc>
          <w:tcPr>
            <w:tcW w:w="945" w:type="pct"/>
            <w:tcBorders>
              <w:top w:val="nil"/>
              <w:left w:val="nil"/>
              <w:bottom w:val="nil"/>
              <w:right w:val="nil"/>
            </w:tcBorders>
          </w:tcPr>
          <w:p w14:paraId="643B65BC" w14:textId="15B6C99D" w:rsidR="003D088B" w:rsidRPr="00E80A1E" w:rsidRDefault="003D088B" w:rsidP="003D088B">
            <w:pPr>
              <w:pStyle w:val="TableText"/>
            </w:pPr>
            <w:r w:rsidRPr="00E80A1E">
              <w:rPr>
                <w:szCs w:val="17"/>
              </w:rPr>
              <w:t xml:space="preserve">Acceptable up to </w:t>
            </w:r>
            <w:r w:rsidR="002B6758" w:rsidRPr="00E80A1E">
              <w:rPr>
                <w:szCs w:val="17"/>
              </w:rPr>
              <w:t>188</w:t>
            </w:r>
            <w:r w:rsidRPr="00E80A1E">
              <w:rPr>
                <w:szCs w:val="17"/>
              </w:rPr>
              <w:t xml:space="preserve"> g ac/ha</w:t>
            </w:r>
          </w:p>
        </w:tc>
        <w:tc>
          <w:tcPr>
            <w:tcW w:w="945" w:type="pct"/>
            <w:tcBorders>
              <w:top w:val="nil"/>
              <w:left w:val="nil"/>
              <w:bottom w:val="nil"/>
              <w:right w:val="nil"/>
            </w:tcBorders>
          </w:tcPr>
          <w:p w14:paraId="55BAC658" w14:textId="225D93BC" w:rsidR="003D088B" w:rsidRPr="00735C60" w:rsidRDefault="003D088B" w:rsidP="003D088B">
            <w:pPr>
              <w:pStyle w:val="TableText"/>
            </w:pPr>
            <w:r w:rsidRPr="00735C60">
              <w:rPr>
                <w:szCs w:val="17"/>
              </w:rPr>
              <w:t xml:space="preserve">Acceptable up to </w:t>
            </w:r>
            <w:r w:rsidR="002B6758" w:rsidRPr="00735C60">
              <w:rPr>
                <w:szCs w:val="17"/>
              </w:rPr>
              <w:t>464</w:t>
            </w:r>
            <w:r w:rsidRPr="00735C60">
              <w:rPr>
                <w:szCs w:val="17"/>
              </w:rPr>
              <w:t xml:space="preserve"> g ac/ha</w:t>
            </w:r>
          </w:p>
        </w:tc>
        <w:tc>
          <w:tcPr>
            <w:tcW w:w="682" w:type="pct"/>
            <w:tcBorders>
              <w:top w:val="nil"/>
              <w:left w:val="nil"/>
              <w:bottom w:val="nil"/>
            </w:tcBorders>
          </w:tcPr>
          <w:p w14:paraId="79581121" w14:textId="00D958ED" w:rsidR="003D088B" w:rsidRPr="00735C60" w:rsidRDefault="002B6758" w:rsidP="003D088B">
            <w:pPr>
              <w:pStyle w:val="TableText"/>
            </w:pPr>
            <w:r w:rsidRPr="00735C60">
              <w:rPr>
                <w:szCs w:val="17"/>
              </w:rPr>
              <w:t>188</w:t>
            </w:r>
            <w:r w:rsidR="003D088B" w:rsidRPr="00735C60">
              <w:rPr>
                <w:szCs w:val="17"/>
              </w:rPr>
              <w:t xml:space="preserve"> g ac/ha</w:t>
            </w:r>
          </w:p>
        </w:tc>
      </w:tr>
      <w:tr w:rsidR="003D088B" w:rsidRPr="006649E5" w14:paraId="0626A114" w14:textId="77777777" w:rsidTr="007F5112">
        <w:trPr>
          <w:cantSplit/>
        </w:trPr>
        <w:tc>
          <w:tcPr>
            <w:tcW w:w="756" w:type="pct"/>
            <w:vMerge/>
            <w:tcBorders>
              <w:right w:val="nil"/>
            </w:tcBorders>
          </w:tcPr>
          <w:p w14:paraId="375B8B60" w14:textId="77777777" w:rsidR="003D088B" w:rsidRPr="00015F03" w:rsidRDefault="003D088B" w:rsidP="003D088B">
            <w:pPr>
              <w:pStyle w:val="TableText"/>
            </w:pPr>
          </w:p>
        </w:tc>
        <w:tc>
          <w:tcPr>
            <w:tcW w:w="945" w:type="pct"/>
            <w:tcBorders>
              <w:top w:val="nil"/>
              <w:left w:val="nil"/>
              <w:bottom w:val="single" w:sz="4" w:space="0" w:color="auto"/>
              <w:right w:val="nil"/>
            </w:tcBorders>
          </w:tcPr>
          <w:p w14:paraId="4DFEC59B" w14:textId="232F5D07" w:rsidR="003D088B" w:rsidRPr="00E80A1E" w:rsidRDefault="003D088B" w:rsidP="003D088B">
            <w:pPr>
              <w:pStyle w:val="TableText"/>
            </w:pPr>
            <w:r w:rsidRPr="00E80A1E">
              <w:rPr>
                <w:szCs w:val="17"/>
              </w:rPr>
              <w:t>Vineyards (directed spray under vines and inter-row spraying)</w:t>
            </w:r>
          </w:p>
        </w:tc>
        <w:tc>
          <w:tcPr>
            <w:tcW w:w="727" w:type="pct"/>
            <w:tcBorders>
              <w:top w:val="nil"/>
              <w:left w:val="nil"/>
              <w:bottom w:val="single" w:sz="4" w:space="0" w:color="auto"/>
              <w:right w:val="nil"/>
            </w:tcBorders>
          </w:tcPr>
          <w:p w14:paraId="2E393581" w14:textId="4FFDFECF" w:rsidR="00CB4AD3" w:rsidRPr="00E80A1E" w:rsidRDefault="003D088B" w:rsidP="003D088B">
            <w:pPr>
              <w:pStyle w:val="TableText"/>
              <w:rPr>
                <w:szCs w:val="17"/>
              </w:rPr>
            </w:pPr>
            <w:r w:rsidRPr="00E80A1E">
              <w:rPr>
                <w:szCs w:val="17"/>
              </w:rPr>
              <w:t>1× 300</w:t>
            </w:r>
          </w:p>
          <w:p w14:paraId="41EF9C15" w14:textId="401AD970" w:rsidR="003D088B" w:rsidRPr="00E80A1E" w:rsidRDefault="003D088B" w:rsidP="003D088B">
            <w:pPr>
              <w:pStyle w:val="TableText"/>
            </w:pPr>
            <w:r w:rsidRPr="00E80A1E">
              <w:rPr>
                <w:szCs w:val="17"/>
              </w:rPr>
              <w:t xml:space="preserve">(120, FFT </w:t>
            </w:r>
            <w:r w:rsidR="00C05DDB" w:rsidRPr="00E80A1E">
              <w:rPr>
                <w:szCs w:val="17"/>
              </w:rPr>
              <w:t>0.4</w:t>
            </w:r>
            <w:r w:rsidRPr="00E80A1E">
              <w:rPr>
                <w:szCs w:val="17"/>
              </w:rPr>
              <w:t>)</w:t>
            </w:r>
          </w:p>
        </w:tc>
        <w:tc>
          <w:tcPr>
            <w:tcW w:w="945" w:type="pct"/>
            <w:tcBorders>
              <w:top w:val="nil"/>
              <w:left w:val="nil"/>
              <w:bottom w:val="single" w:sz="4" w:space="0" w:color="auto"/>
              <w:right w:val="nil"/>
            </w:tcBorders>
          </w:tcPr>
          <w:p w14:paraId="2043A421" w14:textId="55A4C35B" w:rsidR="003D088B" w:rsidRPr="00E80A1E" w:rsidRDefault="003D088B" w:rsidP="003D088B">
            <w:pPr>
              <w:pStyle w:val="TableText"/>
            </w:pPr>
            <w:r w:rsidRPr="00E80A1E">
              <w:rPr>
                <w:szCs w:val="17"/>
              </w:rPr>
              <w:t xml:space="preserve">Acceptable up to </w:t>
            </w:r>
            <w:r w:rsidR="002B6758" w:rsidRPr="00E80A1E">
              <w:rPr>
                <w:szCs w:val="17"/>
              </w:rPr>
              <w:t>188</w:t>
            </w:r>
            <w:r w:rsidRPr="00E80A1E">
              <w:rPr>
                <w:szCs w:val="17"/>
              </w:rPr>
              <w:t xml:space="preserve"> g ac/ha</w:t>
            </w:r>
          </w:p>
        </w:tc>
        <w:tc>
          <w:tcPr>
            <w:tcW w:w="945" w:type="pct"/>
            <w:tcBorders>
              <w:top w:val="nil"/>
              <w:left w:val="nil"/>
              <w:bottom w:val="single" w:sz="4" w:space="0" w:color="auto"/>
              <w:right w:val="nil"/>
            </w:tcBorders>
          </w:tcPr>
          <w:p w14:paraId="5DFC38F0" w14:textId="2D920B6B" w:rsidR="003D088B" w:rsidRPr="00E80A1E" w:rsidRDefault="003D088B" w:rsidP="003D088B">
            <w:pPr>
              <w:pStyle w:val="TableText"/>
            </w:pPr>
            <w:r w:rsidRPr="00E80A1E">
              <w:rPr>
                <w:szCs w:val="17"/>
              </w:rPr>
              <w:t xml:space="preserve">Acceptable up to </w:t>
            </w:r>
            <w:r w:rsidR="002B6758" w:rsidRPr="00E80A1E">
              <w:rPr>
                <w:szCs w:val="17"/>
              </w:rPr>
              <w:t>464</w:t>
            </w:r>
            <w:r w:rsidRPr="00E80A1E">
              <w:rPr>
                <w:szCs w:val="17"/>
              </w:rPr>
              <w:t xml:space="preserve"> g ac/ha</w:t>
            </w:r>
          </w:p>
        </w:tc>
        <w:tc>
          <w:tcPr>
            <w:tcW w:w="682" w:type="pct"/>
            <w:tcBorders>
              <w:top w:val="nil"/>
              <w:left w:val="nil"/>
              <w:bottom w:val="single" w:sz="4" w:space="0" w:color="auto"/>
            </w:tcBorders>
          </w:tcPr>
          <w:p w14:paraId="30213CCF" w14:textId="1EAD0092" w:rsidR="003D088B" w:rsidRPr="00E80A1E" w:rsidRDefault="002B6758" w:rsidP="003D088B">
            <w:pPr>
              <w:pStyle w:val="TableText"/>
            </w:pPr>
            <w:r w:rsidRPr="00E80A1E">
              <w:rPr>
                <w:szCs w:val="17"/>
              </w:rPr>
              <w:t>188</w:t>
            </w:r>
            <w:r w:rsidR="003D088B" w:rsidRPr="00E80A1E">
              <w:rPr>
                <w:szCs w:val="17"/>
              </w:rPr>
              <w:t xml:space="preserve"> g ac/ha</w:t>
            </w:r>
            <w:r w:rsidR="00602535">
              <w:rPr>
                <w:rFonts w:ascii="ZWAdobeF" w:hAnsi="ZWAdobeF" w:cs="ZWAdobeF"/>
                <w:spacing w:val="0"/>
                <w:sz w:val="2"/>
                <w:szCs w:val="2"/>
              </w:rPr>
              <w:t>30F</w:t>
            </w:r>
            <w:r w:rsidR="003E0157">
              <w:rPr>
                <w:rStyle w:val="FootnoteReference"/>
                <w:szCs w:val="17"/>
              </w:rPr>
              <w:footnoteReference w:id="32"/>
            </w:r>
          </w:p>
        </w:tc>
      </w:tr>
    </w:tbl>
    <w:p w14:paraId="3A6E72D0" w14:textId="77777777" w:rsidR="00C271A0" w:rsidRPr="007F5112" w:rsidRDefault="00C271A0" w:rsidP="007F5112">
      <w:pPr>
        <w:pStyle w:val="Heading3"/>
      </w:pPr>
      <w:bookmarkStart w:id="426" w:name="_Toc156980628"/>
      <w:bookmarkStart w:id="427" w:name="_Toc233039032"/>
      <w:bookmarkEnd w:id="423"/>
      <w:bookmarkEnd w:id="425"/>
      <w:r w:rsidRPr="007F5112">
        <w:lastRenderedPageBreak/>
        <w:t>Aquatic species</w:t>
      </w:r>
      <w:bookmarkEnd w:id="426"/>
      <w:bookmarkEnd w:id="427"/>
    </w:p>
    <w:p w14:paraId="3A377000" w14:textId="58C47EB6" w:rsidR="00C271A0" w:rsidRPr="00C271A0" w:rsidRDefault="00C271A0" w:rsidP="007F5112">
      <w:pPr>
        <w:pStyle w:val="NormalText"/>
      </w:pPr>
      <w:r w:rsidRPr="00C271A0">
        <w:t xml:space="preserve">As indicated in </w:t>
      </w:r>
      <w:r w:rsidR="008E2515">
        <w:fldChar w:fldCharType="begin" w:fldLock="1"/>
      </w:r>
      <w:r w:rsidR="008E2515">
        <w:instrText xml:space="preserve"> REF _Ref167441724 \h </w:instrText>
      </w:r>
      <w:r w:rsidR="008E2515">
        <w:fldChar w:fldCharType="separate"/>
      </w:r>
      <w:r w:rsidR="008E2515" w:rsidRPr="000179FF">
        <w:t xml:space="preserve">Table </w:t>
      </w:r>
      <w:r w:rsidR="008E2515">
        <w:rPr>
          <w:noProof/>
        </w:rPr>
        <w:t>28</w:t>
      </w:r>
      <w:r w:rsidR="008E2515">
        <w:fldChar w:fldCharType="end"/>
      </w:r>
      <w:r w:rsidR="008E2515">
        <w:t xml:space="preserve"> </w:t>
      </w:r>
      <w:r w:rsidRPr="00C271A0">
        <w:t xml:space="preserve">the RAL for the spray drift assessment is </w:t>
      </w:r>
      <w:r w:rsidR="00AC69FF">
        <w:t>1.4</w:t>
      </w:r>
      <w:r w:rsidRPr="00C271A0">
        <w:t xml:space="preserve"> µg ac/L for the protection of natural aquatic areas. Risks of spray drift are addressed separately, as needed.</w:t>
      </w:r>
    </w:p>
    <w:p w14:paraId="4F8AD5BD" w14:textId="07190F5C" w:rsidR="00AC69FF" w:rsidRDefault="00AC69FF" w:rsidP="007F5112">
      <w:pPr>
        <w:pStyle w:val="NormalText"/>
        <w:rPr>
          <w:szCs w:val="19"/>
        </w:rPr>
      </w:pPr>
      <w:r w:rsidRPr="00D12308">
        <w:rPr>
          <w:szCs w:val="19"/>
        </w:rPr>
        <w:t xml:space="preserve">For uses in aquatic areas, the risk assessment considered direct treatment of a shallow aquatic habitat. For acceptable risk, there must be no concerns identified for aquatic animals (RAL 47 μg ac/L) under this scenario. Acceptable risks of diquat could not be concluded for water injection at 1.0 mg ac/L or spray applications at rates as low as 1000 g </w:t>
      </w:r>
      <w:r w:rsidRPr="006F4192">
        <w:rPr>
          <w:szCs w:val="19"/>
        </w:rPr>
        <w:t>ac/ha (</w:t>
      </w:r>
      <w:r>
        <w:rPr>
          <w:szCs w:val="19"/>
        </w:rPr>
        <w:fldChar w:fldCharType="begin" w:fldLock="1"/>
      </w:r>
      <w:r>
        <w:rPr>
          <w:szCs w:val="19"/>
        </w:rPr>
        <w:instrText xml:space="preserve"> REF _Ref167441962 \h </w:instrText>
      </w:r>
      <w:r>
        <w:rPr>
          <w:szCs w:val="19"/>
        </w:rPr>
      </w:r>
      <w:r>
        <w:rPr>
          <w:szCs w:val="19"/>
        </w:rPr>
        <w:fldChar w:fldCharType="separate"/>
      </w:r>
      <w:r w:rsidR="0033298E">
        <w:t xml:space="preserve">Table </w:t>
      </w:r>
      <w:r w:rsidR="0033298E">
        <w:rPr>
          <w:noProof/>
        </w:rPr>
        <w:t>30</w:t>
      </w:r>
      <w:r>
        <w:rPr>
          <w:szCs w:val="19"/>
        </w:rPr>
        <w:fldChar w:fldCharType="end"/>
      </w:r>
      <w:r w:rsidRPr="006F4192">
        <w:rPr>
          <w:szCs w:val="19"/>
        </w:rPr>
        <w:t>). A</w:t>
      </w:r>
      <w:r>
        <w:rPr>
          <w:szCs w:val="19"/>
        </w:rPr>
        <w:t xml:space="preserve"> </w:t>
      </w:r>
      <w:r w:rsidRPr="006F4192">
        <w:rPr>
          <w:szCs w:val="19"/>
        </w:rPr>
        <w:t>lower</w:t>
      </w:r>
      <w:r w:rsidRPr="00D12308">
        <w:rPr>
          <w:szCs w:val="19"/>
        </w:rPr>
        <w:t xml:space="preserve"> spray rate is registered when used in combination with Agral Spray Adjuvant (product no. 54116); however, this adjuvant contains ethoxylated nonylphenol which is considered to be harmful to aquatic life and should not be used in aquatic situations (Brooke 1993, ECHA 2014, Lussier et al. 2000). Therefore, use of diquat products in aquatic areas </w:t>
      </w:r>
      <w:r w:rsidR="00AD58BC">
        <w:rPr>
          <w:szCs w:val="19"/>
        </w:rPr>
        <w:t>was not</w:t>
      </w:r>
      <w:r w:rsidRPr="00D12308">
        <w:rPr>
          <w:szCs w:val="19"/>
        </w:rPr>
        <w:t xml:space="preserve"> supported</w:t>
      </w:r>
      <w:r w:rsidR="00AD58BC">
        <w:rPr>
          <w:szCs w:val="19"/>
        </w:rPr>
        <w:t xml:space="preserve"> in the proposed regulatory decision</w:t>
      </w:r>
      <w:r w:rsidRPr="00D12308">
        <w:rPr>
          <w:szCs w:val="19"/>
        </w:rPr>
        <w:t>.</w:t>
      </w:r>
    </w:p>
    <w:p w14:paraId="1C368B41" w14:textId="77777777" w:rsidR="00AC69FF" w:rsidRDefault="00AC69FF" w:rsidP="007F5112">
      <w:pPr>
        <w:pStyle w:val="NormalText"/>
      </w:pPr>
      <w:r>
        <w:t>During consultation the following options have been proposed to mitigate the risk for aquatic use situations:</w:t>
      </w:r>
    </w:p>
    <w:p w14:paraId="7388FD0C" w14:textId="3362359F" w:rsidR="00AC69FF" w:rsidRDefault="00AC69FF" w:rsidP="009B4975">
      <w:pPr>
        <w:pStyle w:val="Bullet1"/>
      </w:pPr>
      <w:r>
        <w:t xml:space="preserve">Restriction of use to </w:t>
      </w:r>
      <w:r w:rsidRPr="006A0A33">
        <w:t>farm dams, irrigation channels, artificial</w:t>
      </w:r>
      <w:r>
        <w:t xml:space="preserve"> </w:t>
      </w:r>
      <w:r w:rsidRPr="006A0A33">
        <w:t>watercourses, and managed waterways</w:t>
      </w:r>
      <w:r>
        <w:t>. Restriction of use to situations where exposure of natural aquatic areas will not occur could be used to resolve the risk</w:t>
      </w:r>
      <w:r w:rsidR="00AD58BC">
        <w:t xml:space="preserve"> (of both diquat and Agral Spray Adjuvant)</w:t>
      </w:r>
      <w:r>
        <w:t xml:space="preserve"> for use in aquatic situations. The on-label use description would need to be updated, and the following restraint </w:t>
      </w:r>
      <w:r w:rsidR="00574571">
        <w:t xml:space="preserve">statement </w:t>
      </w:r>
      <w:r w:rsidR="001040B2">
        <w:t>is recommended</w:t>
      </w:r>
      <w:r>
        <w:t>:</w:t>
      </w:r>
    </w:p>
    <w:p w14:paraId="6960BDA7" w14:textId="072E6EDD" w:rsidR="00AC69FF" w:rsidRDefault="00AC69FF" w:rsidP="009B4975">
      <w:pPr>
        <w:pStyle w:val="Bullet2"/>
      </w:pPr>
      <w:r>
        <w:t>DO NOT</w:t>
      </w:r>
      <w:r w:rsidRPr="00312903">
        <w:t xml:space="preserve"> apply to </w:t>
      </w:r>
      <w:r>
        <w:t xml:space="preserve">water bodies from which the product may contaminate </w:t>
      </w:r>
      <w:r w:rsidRPr="00312903">
        <w:t>natural aquatic areas</w:t>
      </w:r>
      <w:r>
        <w:t>.</w:t>
      </w:r>
    </w:p>
    <w:p w14:paraId="44F5F700" w14:textId="6DFBA11A" w:rsidR="00AC69FF" w:rsidRPr="009A6550" w:rsidRDefault="00AC69FF" w:rsidP="007F5112">
      <w:pPr>
        <w:pStyle w:val="NormalText"/>
      </w:pPr>
      <w:r w:rsidRPr="009A6550">
        <w:t>For terrestrial uses, a runoff assessment according to APVMA’s method to refine estimates of pesticide runoff to waterways</w:t>
      </w:r>
      <w:r w:rsidR="00E61669">
        <w:rPr>
          <w:rFonts w:ascii="ZWAdobeF" w:hAnsi="ZWAdobeF" w:cs="ZWAdobeF"/>
          <w:sz w:val="2"/>
          <w:szCs w:val="2"/>
        </w:rPr>
        <w:t>28F</w:t>
      </w:r>
      <w:r w:rsidR="00602535">
        <w:rPr>
          <w:rFonts w:ascii="ZWAdobeF" w:hAnsi="ZWAdobeF" w:cs="ZWAdobeF"/>
          <w:sz w:val="2"/>
          <w:szCs w:val="2"/>
        </w:rPr>
        <w:t>31F</w:t>
      </w:r>
      <w:r>
        <w:rPr>
          <w:rStyle w:val="FootnoteReference"/>
          <w:szCs w:val="19"/>
        </w:rPr>
        <w:footnoteReference w:id="33"/>
      </w:r>
      <w:r w:rsidRPr="009A6550">
        <w:t xml:space="preserve"> considered the lowest RAL values of </w:t>
      </w:r>
      <w:r>
        <w:t>1.4</w:t>
      </w:r>
      <w:r w:rsidRPr="009A6550">
        <w:t xml:space="preserve"> μg ac/L and 11 mg ac/kg dry sediment and assumed a runoff event occurs three days after the last application. Because the assessment assumes that a runoff event occurs 3 days after application, the following restraints are recommended for the supported uses.</w:t>
      </w:r>
    </w:p>
    <w:p w14:paraId="2B118734" w14:textId="77777777" w:rsidR="00AC69FF" w:rsidRPr="009A6550" w:rsidRDefault="00AC69FF" w:rsidP="009B4975">
      <w:pPr>
        <w:pStyle w:val="Bullet1"/>
      </w:pPr>
      <w:r w:rsidRPr="009A6550">
        <w:t>DO NOT apply if heavy rains or storms are forecast within 3 days.</w:t>
      </w:r>
    </w:p>
    <w:p w14:paraId="5A7CA550" w14:textId="77777777" w:rsidR="00AC69FF" w:rsidRPr="009A6550" w:rsidRDefault="00AC69FF" w:rsidP="009B4975">
      <w:pPr>
        <w:pStyle w:val="Bullet1"/>
      </w:pPr>
      <w:r w:rsidRPr="009A6550">
        <w:t>DO NOT irrigate to the point of field runoff for at least 3 days after application.</w:t>
      </w:r>
    </w:p>
    <w:p w14:paraId="7ADEDC94" w14:textId="77777777" w:rsidR="00AC69FF" w:rsidRPr="00234CC4" w:rsidRDefault="00AC69FF" w:rsidP="007F5112">
      <w:pPr>
        <w:pStyle w:val="NormalText"/>
      </w:pPr>
      <w:r w:rsidRPr="00234CC4">
        <w:t>The Tier 1 (screening) level of assessment is a worst-case scenario where slope is fixed at 8%, which is considered protective of 95% of agricultural activities in Australia. The rainfall value is set at 8 mm, with results in the maximum receiving water concentration using the standard water body of 1 ha and 15 cm initial depth when the worst-case Australian soil profile is used; the catchment is 10 ha. Further, for this worst-case scenario, a fallow/bare soil runoff profile is assessed.</w:t>
      </w:r>
    </w:p>
    <w:p w14:paraId="52C116E5" w14:textId="696047E5" w:rsidR="00AC69FF" w:rsidRPr="00234CC4" w:rsidRDefault="00AC69FF" w:rsidP="007F5112">
      <w:pPr>
        <w:pStyle w:val="NormalText"/>
      </w:pPr>
      <w:r w:rsidRPr="00234CC4">
        <w:t>For aquatic organisms, an acceptable risk can be concluded based on the geomean K</w:t>
      </w:r>
      <w:r w:rsidRPr="00234CC4">
        <w:rPr>
          <w:vertAlign w:val="subscript"/>
        </w:rPr>
        <w:t>f</w:t>
      </w:r>
      <w:r w:rsidRPr="00234CC4">
        <w:t xml:space="preserve"> and 1/n estimates (</w:t>
      </w:r>
      <w:r w:rsidRPr="00234CC4">
        <w:fldChar w:fldCharType="begin" w:fldLock="1"/>
      </w:r>
      <w:r w:rsidRPr="00234CC4">
        <w:instrText xml:space="preserve"> REF _Ref168054910 \h </w:instrText>
      </w:r>
      <w:r w:rsidR="00234CC4">
        <w:instrText xml:space="preserve"> \* MERGEFORMAT </w:instrText>
      </w:r>
      <w:r w:rsidRPr="00234CC4">
        <w:fldChar w:fldCharType="separate"/>
      </w:r>
      <w:r w:rsidR="0033298E" w:rsidRPr="0033298E">
        <w:t xml:space="preserve">Table </w:t>
      </w:r>
      <w:r w:rsidR="0033298E" w:rsidRPr="0033298E">
        <w:rPr>
          <w:noProof/>
        </w:rPr>
        <w:t>31</w:t>
      </w:r>
      <w:r w:rsidRPr="00234CC4">
        <w:fldChar w:fldCharType="end"/>
      </w:r>
      <w:r w:rsidRPr="00234CC4">
        <w:t>). For the 10</w:t>
      </w:r>
      <w:r w:rsidRPr="00234CC4">
        <w:rPr>
          <w:vertAlign w:val="superscript"/>
        </w:rPr>
        <w:t>th</w:t>
      </w:r>
      <w:r w:rsidRPr="00234CC4">
        <w:t xml:space="preserve"> percentile of all soils, the risk is not acceptable when a DT</w:t>
      </w:r>
      <w:r w:rsidRPr="00234CC4">
        <w:rPr>
          <w:vertAlign w:val="subscript"/>
        </w:rPr>
        <w:t>50</w:t>
      </w:r>
      <w:r w:rsidRPr="00234CC4">
        <w:t xml:space="preserve"> of 41 years is used to estimate </w:t>
      </w:r>
      <w:r w:rsidRPr="00234CC4">
        <w:lastRenderedPageBreak/>
        <w:t>accumulation of residues in soil</w:t>
      </w:r>
      <w:r w:rsidR="00E61669">
        <w:rPr>
          <w:rFonts w:ascii="ZWAdobeF" w:hAnsi="ZWAdobeF" w:cs="ZWAdobeF"/>
          <w:sz w:val="2"/>
          <w:szCs w:val="2"/>
        </w:rPr>
        <w:t>29F</w:t>
      </w:r>
      <w:r w:rsidR="00602535">
        <w:rPr>
          <w:rFonts w:ascii="ZWAdobeF" w:hAnsi="ZWAdobeF" w:cs="ZWAdobeF"/>
          <w:sz w:val="2"/>
          <w:szCs w:val="2"/>
        </w:rPr>
        <w:t>32F</w:t>
      </w:r>
      <w:r w:rsidRPr="00234CC4">
        <w:rPr>
          <w:rStyle w:val="FootnoteReference"/>
          <w:szCs w:val="19"/>
        </w:rPr>
        <w:footnoteReference w:id="34"/>
      </w:r>
      <w:r w:rsidRPr="00234CC4">
        <w:t>. However, it should be noted that using the 10</w:t>
      </w:r>
      <w:r w:rsidRPr="00234CC4">
        <w:rPr>
          <w:vertAlign w:val="superscript"/>
        </w:rPr>
        <w:t>th</w:t>
      </w:r>
      <w:r w:rsidRPr="00234CC4">
        <w:t xml:space="preserve"> percentile K</w:t>
      </w:r>
      <w:r w:rsidRPr="00234CC4">
        <w:rPr>
          <w:vertAlign w:val="subscript"/>
        </w:rPr>
        <w:t>f</w:t>
      </w:r>
      <w:r w:rsidRPr="00234CC4">
        <w:t xml:space="preserve"> and 1/n values, the concentration in solution would be 0.01 mg ac/L at a soil concentration of 7.1 mg ac/kg ds. This concentration in solution is equivalent to the predicted concentration in solution at the </w:t>
      </w:r>
      <w:r w:rsidR="00FE6F06" w:rsidRPr="00FE6F06">
        <w:t>strong adsorption capacity</w:t>
      </w:r>
      <w:r w:rsidR="00FE6F06">
        <w:t>-</w:t>
      </w:r>
      <w:r w:rsidR="00FE6F06" w:rsidRPr="00FE6F06">
        <w:t xml:space="preserve">wheat bioassay </w:t>
      </w:r>
      <w:r w:rsidR="00FE6F06">
        <w:t>(</w:t>
      </w:r>
      <w:r w:rsidRPr="00234CC4">
        <w:t>SAC-WB</w:t>
      </w:r>
      <w:r w:rsidR="00FE6F06">
        <w:t>)</w:t>
      </w:r>
      <w:r w:rsidRPr="00234CC4">
        <w:t xml:space="preserve"> value for a soil, which approximates the soil concentration at which the soil binding capacity has been reached.</w:t>
      </w:r>
    </w:p>
    <w:p w14:paraId="54983638" w14:textId="2DB31A4C" w:rsidR="00AC69FF" w:rsidRPr="00234CC4" w:rsidRDefault="00AC69FF" w:rsidP="007F5112">
      <w:pPr>
        <w:pStyle w:val="NormalText"/>
      </w:pPr>
      <w:r w:rsidRPr="00234CC4">
        <w:t>More rapid degradation of diquat is expected in solution due to microbial activity, and diquat in solution will be available for dissipation by environmental transport processes. Accumulation of residues is expected to be constrained by these factors, which are not reflected in the estimated accumulated peak soil concentration (18.3 mg ac/kg ds, assuming a DT</w:t>
      </w:r>
      <w:r w:rsidRPr="00234CC4">
        <w:rPr>
          <w:vertAlign w:val="subscript"/>
        </w:rPr>
        <w:t>50</w:t>
      </w:r>
      <w:r w:rsidRPr="00234CC4">
        <w:t xml:space="preserve"> of 41 years, </w:t>
      </w:r>
      <w:r w:rsidRPr="00234CC4">
        <w:fldChar w:fldCharType="begin" w:fldLock="1"/>
      </w:r>
      <w:r w:rsidRPr="00234CC4">
        <w:instrText xml:space="preserve"> REF _Ref168054910 \h </w:instrText>
      </w:r>
      <w:r w:rsidR="00234CC4">
        <w:instrText xml:space="preserve"> \* MERGEFORMAT </w:instrText>
      </w:r>
      <w:r w:rsidRPr="00234CC4">
        <w:fldChar w:fldCharType="separate"/>
      </w:r>
      <w:r w:rsidR="0033298E" w:rsidRPr="0033298E">
        <w:t xml:space="preserve">Table </w:t>
      </w:r>
      <w:r w:rsidR="0033298E" w:rsidRPr="0033298E">
        <w:rPr>
          <w:noProof/>
        </w:rPr>
        <w:t>31</w:t>
      </w:r>
      <w:r w:rsidRPr="00234CC4">
        <w:fldChar w:fldCharType="end"/>
      </w:r>
      <w:r w:rsidRPr="00234CC4">
        <w:t>). Accepting an application rate of 800 g ac/ha once per year and a DT</w:t>
      </w:r>
      <w:r w:rsidRPr="00234CC4">
        <w:rPr>
          <w:vertAlign w:val="subscript"/>
        </w:rPr>
        <w:t>50</w:t>
      </w:r>
      <w:r w:rsidRPr="00234CC4">
        <w:t xml:space="preserve"> of 41 years, a concentration of 7.1 mg ac/kg ds (i.e., the soil binding capacity) would be reached after approximately 7 years. As a simplistic and conservative approach, if for the next 13 years</w:t>
      </w:r>
      <w:r w:rsidR="00574571">
        <w:t>,</w:t>
      </w:r>
      <w:r w:rsidRPr="00234CC4">
        <w:t xml:space="preserve"> the DT</w:t>
      </w:r>
      <w:r w:rsidRPr="00234CC4">
        <w:rPr>
          <w:vertAlign w:val="subscript"/>
        </w:rPr>
        <w:t>50</w:t>
      </w:r>
      <w:r w:rsidRPr="00234CC4">
        <w:t xml:space="preserve"> w</w:t>
      </w:r>
      <w:r w:rsidR="00574571">
        <w:t>as</w:t>
      </w:r>
      <w:r w:rsidRPr="00234CC4">
        <w:t xml:space="preserve"> assumed to be 1000 days (since most of the applied diquat will not adsorb to soil)</w:t>
      </w:r>
      <w:r w:rsidR="00574571">
        <w:t>,</w:t>
      </w:r>
      <w:r w:rsidRPr="00234CC4">
        <w:t xml:space="preserve"> the peak concentration after 20 years would be 11.7 mg ac/kg ds</w:t>
      </w:r>
      <w:r w:rsidR="00E61669">
        <w:rPr>
          <w:rFonts w:ascii="ZWAdobeF" w:hAnsi="ZWAdobeF" w:cs="ZWAdobeF"/>
          <w:sz w:val="2"/>
          <w:szCs w:val="2"/>
        </w:rPr>
        <w:t>30F</w:t>
      </w:r>
      <w:r w:rsidR="00602535">
        <w:rPr>
          <w:rFonts w:ascii="ZWAdobeF" w:hAnsi="ZWAdobeF" w:cs="ZWAdobeF"/>
          <w:sz w:val="2"/>
          <w:szCs w:val="2"/>
        </w:rPr>
        <w:t>33F</w:t>
      </w:r>
      <w:r w:rsidRPr="00234CC4">
        <w:rPr>
          <w:rStyle w:val="FootnoteReference"/>
          <w:szCs w:val="19"/>
        </w:rPr>
        <w:footnoteReference w:id="35"/>
      </w:r>
      <w:r w:rsidRPr="00234CC4">
        <w:t>. This is still expected to overestimate the actual concentration that could be achieved as it uses a conservative estimate of the degradation of diquat in solution, does not account for any dissipation of residues due to environmental transport, and does not include a foliar interception factor.</w:t>
      </w:r>
    </w:p>
    <w:p w14:paraId="6E64D2D0" w14:textId="69873FB3" w:rsidR="00AC69FF" w:rsidRPr="00234CC4" w:rsidRDefault="00AC69FF" w:rsidP="009B4975">
      <w:pPr>
        <w:pStyle w:val="NormalText"/>
      </w:pPr>
      <w:r w:rsidRPr="00234CC4">
        <w:t>Using the revised soil concentration (11.7 mg ac/kg ds)</w:t>
      </w:r>
      <w:r w:rsidR="00574571">
        <w:t>,</w:t>
      </w:r>
      <w:r w:rsidRPr="00234CC4">
        <w:t xml:space="preserve"> the </w:t>
      </w:r>
      <w:r w:rsidR="00574571">
        <w:t>risk quotient (</w:t>
      </w:r>
      <w:r w:rsidRPr="00234CC4">
        <w:t>RQ</w:t>
      </w:r>
      <w:r w:rsidR="00574571">
        <w:t>)</w:t>
      </w:r>
      <w:r w:rsidRPr="00234CC4">
        <w:t xml:space="preserve"> would be 2.4 (with a default slope of 8%) or 0.70 (with a slope of 3% for dryland cropping situations). Whilst the risk is not fully resolved for an 8% slope further consideration of the risk at higher tier is not considered </w:t>
      </w:r>
      <w:r w:rsidR="00173C04">
        <w:t xml:space="preserve">to be </w:t>
      </w:r>
      <w:r w:rsidRPr="00234CC4">
        <w:t>required, and an acceptable risk is concluded</w:t>
      </w:r>
      <w:r w:rsidR="00173C04">
        <w:t xml:space="preserve">. This conclusion is based on consideration that </w:t>
      </w:r>
      <w:r w:rsidRPr="00234CC4">
        <w:t>the screening stage assessment is inherently conservative (such that it is expected that higher tier assessment would result in an acceptable risk</w:t>
      </w:r>
      <w:r w:rsidR="00173C04">
        <w:t>,</w:t>
      </w:r>
      <w:r w:rsidRPr="00234CC4">
        <w:t xml:space="preserve"> given the RQ), the assumptions regarding accumulation of diquat in soil are considered conservative, interception has not been accounted for in the exposure estimate</w:t>
      </w:r>
      <w:r w:rsidR="00173C04">
        <w:t>,</w:t>
      </w:r>
      <w:r w:rsidRPr="00234CC4">
        <w:t xml:space="preserve"> and for the majority of use cases a 3% slope is expected to be more reflective of actual use conditions.</w:t>
      </w:r>
    </w:p>
    <w:p w14:paraId="2CF878EA" w14:textId="4B04A3FC" w:rsidR="00AC69FF" w:rsidRPr="00234CC4" w:rsidRDefault="00AC69FF" w:rsidP="009B4975">
      <w:pPr>
        <w:pStyle w:val="NormalText"/>
      </w:pPr>
      <w:r w:rsidRPr="00234CC4">
        <w:t>For sediment dwelling organisms</w:t>
      </w:r>
      <w:r w:rsidR="00574571">
        <w:t>,</w:t>
      </w:r>
      <w:r w:rsidRPr="00234CC4">
        <w:t xml:space="preserve"> an acceptable risk has not been demonstrated (</w:t>
      </w:r>
      <w:r w:rsidR="00234CC4" w:rsidRPr="00234CC4">
        <w:fldChar w:fldCharType="begin" w:fldLock="1"/>
      </w:r>
      <w:r w:rsidR="00234CC4" w:rsidRPr="00234CC4">
        <w:instrText xml:space="preserve"> REF _Ref168054910 \h </w:instrText>
      </w:r>
      <w:r w:rsidR="00234CC4">
        <w:instrText xml:space="preserve"> \* MERGEFORMAT </w:instrText>
      </w:r>
      <w:r w:rsidR="00234CC4" w:rsidRPr="00234CC4">
        <w:fldChar w:fldCharType="separate"/>
      </w:r>
      <w:r w:rsidR="00E26AE5" w:rsidRPr="00E26AE5">
        <w:t xml:space="preserve">Table </w:t>
      </w:r>
      <w:r w:rsidR="00E26AE5" w:rsidRPr="00E26AE5">
        <w:rPr>
          <w:noProof/>
        </w:rPr>
        <w:t>31</w:t>
      </w:r>
      <w:r w:rsidR="00234CC4" w:rsidRPr="00234CC4">
        <w:fldChar w:fldCharType="end"/>
      </w:r>
      <w:r w:rsidRPr="00234CC4">
        <w:t>). However, the toxicological data (NOEC 11 mg ac/kg ds, Bradley 2013a) are limited in that they reflect the properties of the test system. More specifically</w:t>
      </w:r>
      <w:r w:rsidR="00310C90">
        <w:t>,</w:t>
      </w:r>
      <w:r w:rsidRPr="00234CC4">
        <w:t xml:space="preserve"> in large part the data reflect the capacity of the test sediment to absorb diquat and this will not necessarily be reflective of other sediments or the modelled exposure – on the basis that diquat strongly absorbed to clay particles will not be biologically available, and higher capacity to absorb diquat will lead to greater concentrations in the bulk sediment but not necessarily more adverse toxicological outcomes. Alternately, the toxicological data can be evaluated based on the concentration in the pore water, on the assumption that the pore water concentration will more reliably reflect the toxicological impact of diquat than the bulk concentration in the </w:t>
      </w:r>
      <w:r w:rsidRPr="00234CC4">
        <w:lastRenderedPageBreak/>
        <w:t>sediment. For the purposes of this assessment the NOEC in terms of the pore water concentration is estimated at 0.014 mg ac/L</w:t>
      </w:r>
      <w:r w:rsidR="00E61669">
        <w:rPr>
          <w:rFonts w:ascii="ZWAdobeF" w:hAnsi="ZWAdobeF" w:cs="ZWAdobeF"/>
          <w:sz w:val="2"/>
          <w:szCs w:val="2"/>
        </w:rPr>
        <w:t>31F</w:t>
      </w:r>
      <w:r w:rsidR="00602535">
        <w:rPr>
          <w:rFonts w:ascii="ZWAdobeF" w:hAnsi="ZWAdobeF" w:cs="ZWAdobeF"/>
          <w:sz w:val="2"/>
          <w:szCs w:val="2"/>
        </w:rPr>
        <w:t>34F</w:t>
      </w:r>
      <w:r w:rsidRPr="00234CC4">
        <w:rPr>
          <w:rStyle w:val="FootnoteReference"/>
          <w:szCs w:val="19"/>
        </w:rPr>
        <w:footnoteReference w:id="36"/>
      </w:r>
      <w:r w:rsidRPr="00234CC4">
        <w:t>.</w:t>
      </w:r>
      <w:r w:rsidR="009B4975">
        <w:t xml:space="preserve"> </w:t>
      </w:r>
      <w:r w:rsidRPr="00234CC4">
        <w:t>This is greater than the RAC for the water phase (i.e. 0.0014 mg ac/L) and the risk would also be considered acceptable for sediment dwelling organisms. Given the limitations of the available information the risk is concluded to be acceptable on this basis.</w:t>
      </w:r>
    </w:p>
    <w:p w14:paraId="0957AFD1" w14:textId="024F29A9" w:rsidR="00C271A0" w:rsidRPr="000179FF" w:rsidRDefault="009B30B8" w:rsidP="000179FF">
      <w:pPr>
        <w:pStyle w:val="Caption"/>
      </w:pPr>
      <w:bookmarkStart w:id="428" w:name="_Ref167441962"/>
      <w:bookmarkStart w:id="429" w:name="_Toc232589625"/>
      <w:r w:rsidRPr="000179FF">
        <w:t xml:space="preserve">Table </w:t>
      </w:r>
      <w:fldSimple w:instr=" SEQ Table \* ARABIC ">
        <w:r w:rsidR="000179FF">
          <w:rPr>
            <w:noProof/>
          </w:rPr>
          <w:t>30</w:t>
        </w:r>
      </w:fldSimple>
      <w:bookmarkEnd w:id="428"/>
      <w:r w:rsidRPr="000179FF">
        <w:t xml:space="preserve">: </w:t>
      </w:r>
      <w:r w:rsidR="00C271A0" w:rsidRPr="000179FF">
        <w:t>Assessment</w:t>
      </w:r>
      <w:r w:rsidR="00F60BD7" w:rsidRPr="000179FF">
        <w:t xml:space="preserve"> </w:t>
      </w:r>
      <w:r w:rsidR="00C271A0" w:rsidRPr="000179FF">
        <w:t>of risks to non-target aquatic species</w:t>
      </w:r>
      <w:r w:rsidR="00CD2A0F" w:rsidRPr="000179FF">
        <w:t xml:space="preserve"> for aquatic use situations</w:t>
      </w:r>
      <w:bookmarkEnd w:id="429"/>
    </w:p>
    <w:tbl>
      <w:tblPr>
        <w:tblW w:w="5000"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080"/>
        <w:gridCol w:w="1986"/>
        <w:gridCol w:w="1701"/>
        <w:gridCol w:w="985"/>
      </w:tblGrid>
      <w:tr w:rsidR="00C271A0" w:rsidRPr="000B2FA7" w14:paraId="60604533" w14:textId="77777777" w:rsidTr="00015F03">
        <w:trPr>
          <w:tblHeader/>
        </w:trPr>
        <w:tc>
          <w:tcPr>
            <w:tcW w:w="2605" w:type="pct"/>
            <w:tcBorders>
              <w:right w:val="nil"/>
            </w:tcBorders>
            <w:shd w:val="clear" w:color="auto" w:fill="5C2946"/>
          </w:tcPr>
          <w:p w14:paraId="0400AC30" w14:textId="77777777" w:rsidR="00C271A0" w:rsidRPr="00015F03" w:rsidRDefault="00C271A0" w:rsidP="00015F03">
            <w:pPr>
              <w:pStyle w:val="TableHead"/>
            </w:pPr>
            <w:r w:rsidRPr="00015F03">
              <w:t>Scenario</w:t>
            </w:r>
          </w:p>
        </w:tc>
        <w:tc>
          <w:tcPr>
            <w:tcW w:w="1018" w:type="pct"/>
            <w:tcBorders>
              <w:left w:val="nil"/>
              <w:right w:val="nil"/>
            </w:tcBorders>
            <w:shd w:val="clear" w:color="auto" w:fill="5C2946"/>
          </w:tcPr>
          <w:p w14:paraId="28DA56F3" w14:textId="77777777" w:rsidR="00C271A0" w:rsidRPr="00015F03" w:rsidRDefault="00C271A0" w:rsidP="00015F03">
            <w:pPr>
              <w:pStyle w:val="TableHead"/>
            </w:pPr>
            <w:r w:rsidRPr="00015F03">
              <w:t>PEC</w:t>
            </w:r>
          </w:p>
        </w:tc>
        <w:tc>
          <w:tcPr>
            <w:tcW w:w="872" w:type="pct"/>
            <w:tcBorders>
              <w:left w:val="nil"/>
              <w:right w:val="nil"/>
            </w:tcBorders>
            <w:shd w:val="clear" w:color="auto" w:fill="5C2946"/>
          </w:tcPr>
          <w:p w14:paraId="5B4673E1" w14:textId="77777777" w:rsidR="00C271A0" w:rsidRPr="00015F03" w:rsidRDefault="00C271A0" w:rsidP="00015F03">
            <w:pPr>
              <w:pStyle w:val="TableHead"/>
            </w:pPr>
            <w:r w:rsidRPr="00015F03">
              <w:t>RAL</w:t>
            </w:r>
          </w:p>
        </w:tc>
        <w:tc>
          <w:tcPr>
            <w:tcW w:w="505" w:type="pct"/>
            <w:tcBorders>
              <w:left w:val="nil"/>
            </w:tcBorders>
            <w:shd w:val="clear" w:color="auto" w:fill="5C2946"/>
          </w:tcPr>
          <w:p w14:paraId="38D86325" w14:textId="77777777" w:rsidR="00C271A0" w:rsidRPr="00015F03" w:rsidRDefault="00C271A0" w:rsidP="00015F03">
            <w:pPr>
              <w:pStyle w:val="TableHead"/>
            </w:pPr>
            <w:r w:rsidRPr="00015F03">
              <w:t>RQ</w:t>
            </w:r>
          </w:p>
        </w:tc>
      </w:tr>
      <w:tr w:rsidR="00C271A0" w:rsidRPr="000B2FA7" w14:paraId="403DC48D" w14:textId="77777777" w:rsidTr="00015F03">
        <w:tc>
          <w:tcPr>
            <w:tcW w:w="2605" w:type="pct"/>
            <w:tcBorders>
              <w:right w:val="nil"/>
            </w:tcBorders>
          </w:tcPr>
          <w:p w14:paraId="684BAFA9" w14:textId="77777777" w:rsidR="00C271A0" w:rsidRPr="00015F03" w:rsidRDefault="00C271A0" w:rsidP="00015F03">
            <w:pPr>
              <w:pStyle w:val="TableText"/>
            </w:pPr>
            <w:r w:rsidRPr="00015F03">
              <w:t>Water injection</w:t>
            </w:r>
          </w:p>
        </w:tc>
        <w:tc>
          <w:tcPr>
            <w:tcW w:w="1018" w:type="pct"/>
            <w:tcBorders>
              <w:left w:val="nil"/>
              <w:right w:val="nil"/>
            </w:tcBorders>
          </w:tcPr>
          <w:p w14:paraId="3A9EC315" w14:textId="307E3AF9" w:rsidR="00C271A0" w:rsidRPr="00015F03" w:rsidRDefault="00C271A0" w:rsidP="00015F03">
            <w:pPr>
              <w:pStyle w:val="TableText"/>
            </w:pPr>
            <w:r w:rsidRPr="00015F03">
              <w:t>1</w:t>
            </w:r>
            <w:r w:rsidR="00015F03">
              <w:t>,</w:t>
            </w:r>
            <w:r w:rsidRPr="00015F03">
              <w:t>000 µg ac/L</w:t>
            </w:r>
          </w:p>
        </w:tc>
        <w:tc>
          <w:tcPr>
            <w:tcW w:w="872" w:type="pct"/>
            <w:tcBorders>
              <w:left w:val="nil"/>
              <w:right w:val="nil"/>
            </w:tcBorders>
          </w:tcPr>
          <w:p w14:paraId="77AECA8D" w14:textId="77777777" w:rsidR="00C271A0" w:rsidRPr="00015F03" w:rsidRDefault="00C271A0" w:rsidP="00015F03">
            <w:pPr>
              <w:pStyle w:val="TableText"/>
            </w:pPr>
            <w:r w:rsidRPr="00015F03">
              <w:t>47 µg ac/L</w:t>
            </w:r>
          </w:p>
        </w:tc>
        <w:tc>
          <w:tcPr>
            <w:tcW w:w="505" w:type="pct"/>
            <w:tcBorders>
              <w:left w:val="nil"/>
            </w:tcBorders>
          </w:tcPr>
          <w:p w14:paraId="079D7FD5" w14:textId="77777777" w:rsidR="00C271A0" w:rsidRPr="00C25652" w:rsidRDefault="00C271A0" w:rsidP="00015F03">
            <w:pPr>
              <w:pStyle w:val="TableText"/>
              <w:rPr>
                <w:b/>
                <w:bCs/>
              </w:rPr>
            </w:pPr>
            <w:r w:rsidRPr="00C25652">
              <w:rPr>
                <w:b/>
                <w:bCs/>
              </w:rPr>
              <w:t>21</w:t>
            </w:r>
          </w:p>
        </w:tc>
      </w:tr>
      <w:tr w:rsidR="00C271A0" w:rsidRPr="000B2FA7" w14:paraId="3D20A962" w14:textId="77777777" w:rsidTr="00015F03">
        <w:tc>
          <w:tcPr>
            <w:tcW w:w="2605" w:type="pct"/>
            <w:tcBorders>
              <w:right w:val="nil"/>
            </w:tcBorders>
          </w:tcPr>
          <w:p w14:paraId="1CAA3B94" w14:textId="77777777" w:rsidR="00C271A0" w:rsidRPr="00015F03" w:rsidRDefault="00C271A0" w:rsidP="00015F03">
            <w:pPr>
              <w:pStyle w:val="TableText"/>
            </w:pPr>
            <w:r w:rsidRPr="00015F03">
              <w:t>One surface spray application (lowest rate)</w:t>
            </w:r>
          </w:p>
        </w:tc>
        <w:tc>
          <w:tcPr>
            <w:tcW w:w="1018" w:type="pct"/>
            <w:tcBorders>
              <w:left w:val="nil"/>
              <w:right w:val="nil"/>
            </w:tcBorders>
          </w:tcPr>
          <w:p w14:paraId="49BC54E3" w14:textId="77777777" w:rsidR="00C271A0" w:rsidRPr="00015F03" w:rsidRDefault="00C271A0" w:rsidP="00015F03">
            <w:pPr>
              <w:pStyle w:val="TableText"/>
            </w:pPr>
            <w:r w:rsidRPr="00015F03">
              <w:t>167 µg ac/L</w:t>
            </w:r>
          </w:p>
        </w:tc>
        <w:tc>
          <w:tcPr>
            <w:tcW w:w="872" w:type="pct"/>
            <w:tcBorders>
              <w:left w:val="nil"/>
              <w:right w:val="nil"/>
            </w:tcBorders>
          </w:tcPr>
          <w:p w14:paraId="5911642D" w14:textId="77777777" w:rsidR="00C271A0" w:rsidRPr="00015F03" w:rsidRDefault="00C271A0" w:rsidP="00015F03">
            <w:pPr>
              <w:pStyle w:val="TableText"/>
            </w:pPr>
            <w:r w:rsidRPr="00015F03">
              <w:t>47 µg ac/L</w:t>
            </w:r>
          </w:p>
        </w:tc>
        <w:tc>
          <w:tcPr>
            <w:tcW w:w="505" w:type="pct"/>
            <w:tcBorders>
              <w:left w:val="nil"/>
            </w:tcBorders>
          </w:tcPr>
          <w:p w14:paraId="0B3CF8C7" w14:textId="77777777" w:rsidR="00C271A0" w:rsidRPr="00C25652" w:rsidRDefault="00C271A0" w:rsidP="00015F03">
            <w:pPr>
              <w:pStyle w:val="TableText"/>
              <w:rPr>
                <w:b/>
                <w:bCs/>
              </w:rPr>
            </w:pPr>
            <w:r w:rsidRPr="00C25652">
              <w:rPr>
                <w:b/>
                <w:bCs/>
              </w:rPr>
              <w:t>3.5</w:t>
            </w:r>
          </w:p>
        </w:tc>
      </w:tr>
    </w:tbl>
    <w:p w14:paraId="290EEC32" w14:textId="77777777" w:rsidR="00C271A0" w:rsidRDefault="00C271A0" w:rsidP="00015F03">
      <w:pPr>
        <w:pStyle w:val="SourceTableNote"/>
      </w:pPr>
      <w:r>
        <w:t>Water injection PEC is based on target concentration of 1.0 mg ac/L</w:t>
      </w:r>
    </w:p>
    <w:p w14:paraId="3C87FA9A" w14:textId="77777777" w:rsidR="00C271A0" w:rsidRDefault="00C271A0" w:rsidP="00015F03">
      <w:pPr>
        <w:pStyle w:val="SourceTableNote"/>
      </w:pPr>
      <w:r>
        <w:t>Surface spray application is based on 250 g ac/ha across whole pond (25% of 1000 g ac/ha) and 15-cm water depth</w:t>
      </w:r>
    </w:p>
    <w:p w14:paraId="47A5C7E0" w14:textId="170818E1" w:rsidR="00C271A0" w:rsidRDefault="00C271A0" w:rsidP="00015F03">
      <w:pPr>
        <w:pStyle w:val="SourceTableNote"/>
      </w:pPr>
      <w:r w:rsidRPr="00E46876">
        <w:t xml:space="preserve">RAL = regulatory acceptable level </w:t>
      </w:r>
      <w:r>
        <w:t xml:space="preserve">for aquatic animals </w:t>
      </w:r>
      <w:r w:rsidRPr="005F517A">
        <w:rPr>
          <w:szCs w:val="16"/>
        </w:rPr>
        <w:t xml:space="preserve">(from </w:t>
      </w:r>
      <w:r w:rsidR="005B7DDF">
        <w:rPr>
          <w:szCs w:val="16"/>
        </w:rPr>
        <w:fldChar w:fldCharType="begin" w:fldLock="1"/>
      </w:r>
      <w:r w:rsidR="005B7DDF">
        <w:rPr>
          <w:szCs w:val="16"/>
        </w:rPr>
        <w:instrText xml:space="preserve"> REF _Ref167441724 \h </w:instrText>
      </w:r>
      <w:r w:rsidR="00015F03">
        <w:rPr>
          <w:szCs w:val="16"/>
        </w:rPr>
        <w:instrText xml:space="preserve"> \* MERGEFORMAT </w:instrText>
      </w:r>
      <w:r w:rsidR="005B7DDF">
        <w:rPr>
          <w:szCs w:val="16"/>
        </w:rPr>
      </w:r>
      <w:r w:rsidR="005B7DDF">
        <w:rPr>
          <w:szCs w:val="16"/>
        </w:rPr>
        <w:fldChar w:fldCharType="separate"/>
      </w:r>
      <w:r w:rsidR="0033298E">
        <w:t xml:space="preserve">Table </w:t>
      </w:r>
      <w:r w:rsidR="0033298E">
        <w:rPr>
          <w:noProof/>
        </w:rPr>
        <w:t>28</w:t>
      </w:r>
      <w:r w:rsidR="005B7DDF">
        <w:rPr>
          <w:szCs w:val="16"/>
        </w:rPr>
        <w:fldChar w:fldCharType="end"/>
      </w:r>
      <w:r w:rsidRPr="005F517A">
        <w:rPr>
          <w:szCs w:val="16"/>
        </w:rPr>
        <w:t>)</w:t>
      </w:r>
    </w:p>
    <w:p w14:paraId="3DF1C5BA" w14:textId="77777777" w:rsidR="00C271A0" w:rsidRDefault="00C271A0" w:rsidP="00015F03">
      <w:pPr>
        <w:pStyle w:val="SourceTableNote"/>
      </w:pPr>
      <w:r w:rsidRPr="00E46876">
        <w:t>RQ = risk quotient = PEC / RA</w:t>
      </w:r>
      <w:r>
        <w:t>L</w:t>
      </w:r>
      <w:r w:rsidRPr="00E46876">
        <w:t>, where acceptable RQ ≤1</w:t>
      </w:r>
    </w:p>
    <w:p w14:paraId="4F59731C" w14:textId="58D2319B" w:rsidR="00C271A0" w:rsidRPr="000179FF" w:rsidRDefault="009B30B8" w:rsidP="000179FF">
      <w:pPr>
        <w:pStyle w:val="Caption"/>
      </w:pPr>
      <w:bookmarkStart w:id="430" w:name="_Ref168054910"/>
      <w:bookmarkStart w:id="431" w:name="_Toc232589626"/>
      <w:r w:rsidRPr="000179FF">
        <w:t xml:space="preserve">Table </w:t>
      </w:r>
      <w:fldSimple w:instr=" SEQ Table \* ARABIC ">
        <w:r w:rsidR="008E2515">
          <w:rPr>
            <w:noProof/>
          </w:rPr>
          <w:t>31</w:t>
        </w:r>
      </w:fldSimple>
      <w:bookmarkEnd w:id="430"/>
      <w:r w:rsidRPr="000179FF">
        <w:t xml:space="preserve">: </w:t>
      </w:r>
      <w:r w:rsidR="00C271A0" w:rsidRPr="000179FF">
        <w:t>Assessment of runoff risks to aquatic species</w:t>
      </w:r>
      <w:r w:rsidR="00CD2A0F" w:rsidRPr="000179FF">
        <w:t xml:space="preserve"> for terrestrial use situations</w:t>
      </w:r>
      <w:bookmarkEnd w:id="4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87"/>
        <w:gridCol w:w="1006"/>
        <w:gridCol w:w="1792"/>
        <w:gridCol w:w="1792"/>
        <w:gridCol w:w="1792"/>
        <w:gridCol w:w="1783"/>
      </w:tblGrid>
      <w:tr w:rsidR="00AC69FF" w:rsidRPr="0099274D" w14:paraId="7C34EA71" w14:textId="77777777" w:rsidTr="009B4975">
        <w:trPr>
          <w:tblHeader/>
        </w:trPr>
        <w:tc>
          <w:tcPr>
            <w:tcW w:w="1328" w:type="pct"/>
            <w:gridSpan w:val="2"/>
            <w:vMerge w:val="restart"/>
            <w:shd w:val="clear" w:color="auto" w:fill="5C2946"/>
          </w:tcPr>
          <w:p w14:paraId="27DF5385" w14:textId="77777777" w:rsidR="00AC69FF" w:rsidRPr="0099274D" w:rsidRDefault="00AC69FF" w:rsidP="009B4975">
            <w:pPr>
              <w:pStyle w:val="TableHead"/>
            </w:pPr>
            <w:r w:rsidRPr="0099274D">
              <w:t>Parameter</w:t>
            </w:r>
          </w:p>
        </w:tc>
        <w:tc>
          <w:tcPr>
            <w:tcW w:w="1838" w:type="pct"/>
            <w:gridSpan w:val="2"/>
            <w:tcBorders>
              <w:bottom w:val="single" w:sz="4" w:space="0" w:color="auto"/>
            </w:tcBorders>
            <w:shd w:val="clear" w:color="auto" w:fill="5C2946"/>
          </w:tcPr>
          <w:p w14:paraId="3D93E364" w14:textId="77777777" w:rsidR="00AC69FF" w:rsidRPr="0099274D" w:rsidRDefault="00AC69FF" w:rsidP="009B4975">
            <w:pPr>
              <w:pStyle w:val="TableHead"/>
              <w:jc w:val="right"/>
            </w:pPr>
            <w:r w:rsidRPr="0099274D">
              <w:t>Sands (clay ≤10%)</w:t>
            </w:r>
          </w:p>
        </w:tc>
        <w:tc>
          <w:tcPr>
            <w:tcW w:w="1834" w:type="pct"/>
            <w:gridSpan w:val="2"/>
            <w:tcBorders>
              <w:bottom w:val="single" w:sz="4" w:space="0" w:color="auto"/>
            </w:tcBorders>
            <w:shd w:val="clear" w:color="auto" w:fill="5C2946"/>
          </w:tcPr>
          <w:p w14:paraId="6D875781" w14:textId="77777777" w:rsidR="00AC69FF" w:rsidRPr="0099274D" w:rsidRDefault="00AC69FF" w:rsidP="009B4975">
            <w:pPr>
              <w:pStyle w:val="TableHead"/>
              <w:jc w:val="right"/>
            </w:pPr>
            <w:r>
              <w:t>10</w:t>
            </w:r>
            <w:r w:rsidRPr="007C4672">
              <w:rPr>
                <w:vertAlign w:val="superscript"/>
              </w:rPr>
              <w:t>th</w:t>
            </w:r>
            <w:r>
              <w:t xml:space="preserve"> percentile of all soils</w:t>
            </w:r>
          </w:p>
        </w:tc>
      </w:tr>
      <w:tr w:rsidR="00AC69FF" w:rsidRPr="0099274D" w14:paraId="5BA69704" w14:textId="77777777" w:rsidTr="009B4975">
        <w:trPr>
          <w:tblHeader/>
        </w:trPr>
        <w:tc>
          <w:tcPr>
            <w:tcW w:w="1328" w:type="pct"/>
            <w:gridSpan w:val="2"/>
            <w:vMerge/>
            <w:shd w:val="clear" w:color="auto" w:fill="5C2946"/>
          </w:tcPr>
          <w:p w14:paraId="1512F78D" w14:textId="77777777" w:rsidR="00AC69FF" w:rsidRPr="0099274D" w:rsidRDefault="00AC69FF" w:rsidP="009B4975">
            <w:pPr>
              <w:pStyle w:val="TableHead"/>
            </w:pPr>
          </w:p>
        </w:tc>
        <w:tc>
          <w:tcPr>
            <w:tcW w:w="919" w:type="pct"/>
            <w:tcBorders>
              <w:bottom w:val="single" w:sz="4" w:space="0" w:color="auto"/>
            </w:tcBorders>
            <w:shd w:val="clear" w:color="auto" w:fill="5C2946"/>
          </w:tcPr>
          <w:p w14:paraId="13AF9180" w14:textId="77777777" w:rsidR="00AC69FF" w:rsidRDefault="00AC69FF" w:rsidP="009B4975">
            <w:pPr>
              <w:pStyle w:val="TableHead"/>
              <w:jc w:val="right"/>
            </w:pPr>
            <w:r>
              <w:t>DT</w:t>
            </w:r>
            <w:r w:rsidRPr="001038C8">
              <w:rPr>
                <w:vertAlign w:val="subscript"/>
              </w:rPr>
              <w:t>50</w:t>
            </w:r>
            <w:r>
              <w:t xml:space="preserve"> 1000 d </w:t>
            </w:r>
          </w:p>
          <w:p w14:paraId="516D9498" w14:textId="77777777" w:rsidR="00AC69FF" w:rsidRPr="0099274D" w:rsidRDefault="00AC69FF" w:rsidP="009B4975">
            <w:pPr>
              <w:pStyle w:val="TableHead"/>
              <w:jc w:val="right"/>
            </w:pPr>
            <w:r>
              <w:t>(default for persistent substances)</w:t>
            </w:r>
          </w:p>
        </w:tc>
        <w:tc>
          <w:tcPr>
            <w:tcW w:w="919" w:type="pct"/>
            <w:tcBorders>
              <w:bottom w:val="single" w:sz="4" w:space="0" w:color="auto"/>
            </w:tcBorders>
            <w:shd w:val="clear" w:color="auto" w:fill="5C2946"/>
          </w:tcPr>
          <w:p w14:paraId="73EA74CA" w14:textId="77777777" w:rsidR="00AC69FF" w:rsidRDefault="00AC69FF" w:rsidP="009B4975">
            <w:pPr>
              <w:pStyle w:val="TableHead"/>
              <w:jc w:val="right"/>
            </w:pPr>
            <w:r>
              <w:t>DT</w:t>
            </w:r>
            <w:r w:rsidRPr="001038C8">
              <w:rPr>
                <w:vertAlign w:val="subscript"/>
              </w:rPr>
              <w:t>50</w:t>
            </w:r>
            <w:r>
              <w:t xml:space="preserve"> 41 years</w:t>
            </w:r>
          </w:p>
          <w:p w14:paraId="048F66F7" w14:textId="77777777" w:rsidR="00AC69FF" w:rsidRPr="0099274D" w:rsidRDefault="00AC69FF" w:rsidP="009B4975">
            <w:pPr>
              <w:pStyle w:val="TableHead"/>
              <w:jc w:val="right"/>
            </w:pPr>
            <w:r>
              <w:t>(longest reported for field soil)</w:t>
            </w:r>
          </w:p>
        </w:tc>
        <w:tc>
          <w:tcPr>
            <w:tcW w:w="919" w:type="pct"/>
            <w:tcBorders>
              <w:bottom w:val="single" w:sz="4" w:space="0" w:color="auto"/>
            </w:tcBorders>
            <w:shd w:val="clear" w:color="auto" w:fill="5C2946"/>
          </w:tcPr>
          <w:p w14:paraId="0C6DD5B2" w14:textId="77777777" w:rsidR="00AC69FF" w:rsidRDefault="00AC69FF" w:rsidP="009B4975">
            <w:pPr>
              <w:pStyle w:val="TableHead"/>
              <w:jc w:val="right"/>
            </w:pPr>
            <w:r>
              <w:t>DT</w:t>
            </w:r>
            <w:r w:rsidRPr="001038C8">
              <w:rPr>
                <w:vertAlign w:val="subscript"/>
              </w:rPr>
              <w:t>50</w:t>
            </w:r>
            <w:r>
              <w:t xml:space="preserve"> 1000 d </w:t>
            </w:r>
          </w:p>
          <w:p w14:paraId="6CABB779" w14:textId="77777777" w:rsidR="00AC69FF" w:rsidRDefault="00AC69FF" w:rsidP="009B4975">
            <w:pPr>
              <w:pStyle w:val="TableHead"/>
              <w:jc w:val="right"/>
            </w:pPr>
            <w:r>
              <w:t>(default for persistent substances)</w:t>
            </w:r>
          </w:p>
        </w:tc>
        <w:tc>
          <w:tcPr>
            <w:tcW w:w="915" w:type="pct"/>
            <w:tcBorders>
              <w:bottom w:val="single" w:sz="4" w:space="0" w:color="auto"/>
            </w:tcBorders>
            <w:shd w:val="clear" w:color="auto" w:fill="5C2946"/>
          </w:tcPr>
          <w:p w14:paraId="12AA8470" w14:textId="77777777" w:rsidR="00AC69FF" w:rsidRDefault="00AC69FF" w:rsidP="009B4975">
            <w:pPr>
              <w:pStyle w:val="TableHead"/>
              <w:jc w:val="right"/>
            </w:pPr>
            <w:r>
              <w:t>DT</w:t>
            </w:r>
            <w:r w:rsidRPr="001038C8">
              <w:rPr>
                <w:vertAlign w:val="subscript"/>
              </w:rPr>
              <w:t>50</w:t>
            </w:r>
            <w:r>
              <w:t xml:space="preserve"> 41 years</w:t>
            </w:r>
          </w:p>
          <w:p w14:paraId="32A76A52" w14:textId="77777777" w:rsidR="00AC69FF" w:rsidRDefault="00AC69FF" w:rsidP="009B4975">
            <w:pPr>
              <w:pStyle w:val="TableHead"/>
              <w:jc w:val="right"/>
            </w:pPr>
            <w:r>
              <w:t>(longest reported for field soil)</w:t>
            </w:r>
          </w:p>
        </w:tc>
      </w:tr>
      <w:tr w:rsidR="00AC69FF" w:rsidRPr="0099274D" w14:paraId="0C70CC9C" w14:textId="77777777" w:rsidTr="00650447">
        <w:trPr>
          <w:trHeight w:val="561"/>
        </w:trPr>
        <w:tc>
          <w:tcPr>
            <w:tcW w:w="5000" w:type="pct"/>
            <w:gridSpan w:val="6"/>
            <w:tcBorders>
              <w:top w:val="single" w:sz="4" w:space="0" w:color="auto"/>
              <w:left w:val="nil"/>
              <w:bottom w:val="single" w:sz="4" w:space="0" w:color="auto"/>
              <w:right w:val="nil"/>
            </w:tcBorders>
            <w:vAlign w:val="center"/>
          </w:tcPr>
          <w:p w14:paraId="20FC5C62" w14:textId="77777777" w:rsidR="00AC69FF" w:rsidRPr="0099274D" w:rsidRDefault="00AC69FF" w:rsidP="00650447">
            <w:pPr>
              <w:pStyle w:val="TableSubHead0"/>
            </w:pPr>
            <w:r w:rsidRPr="0099274D">
              <w:t>Soil</w:t>
            </w:r>
          </w:p>
        </w:tc>
      </w:tr>
      <w:tr w:rsidR="00AC69FF" w:rsidRPr="0099274D" w14:paraId="40130B96" w14:textId="77777777" w:rsidTr="009B4975">
        <w:tc>
          <w:tcPr>
            <w:tcW w:w="813" w:type="pct"/>
            <w:tcBorders>
              <w:top w:val="single" w:sz="4" w:space="0" w:color="auto"/>
              <w:left w:val="nil"/>
              <w:bottom w:val="nil"/>
              <w:right w:val="nil"/>
            </w:tcBorders>
          </w:tcPr>
          <w:p w14:paraId="5E662834" w14:textId="77777777" w:rsidR="00AC69FF" w:rsidRPr="0099274D" w:rsidRDefault="00AC69FF" w:rsidP="009B4975">
            <w:pPr>
              <w:pStyle w:val="TableText"/>
            </w:pPr>
            <w:r w:rsidRPr="0099274D">
              <w:t xml:space="preserve">Exposure rate </w:t>
            </w:r>
          </w:p>
        </w:tc>
        <w:tc>
          <w:tcPr>
            <w:tcW w:w="516" w:type="pct"/>
            <w:tcBorders>
              <w:top w:val="single" w:sz="4" w:space="0" w:color="auto"/>
              <w:left w:val="nil"/>
              <w:bottom w:val="nil"/>
              <w:right w:val="nil"/>
            </w:tcBorders>
          </w:tcPr>
          <w:p w14:paraId="10214130" w14:textId="77777777" w:rsidR="00AC69FF" w:rsidRPr="0099274D" w:rsidRDefault="00AC69FF" w:rsidP="009B4975">
            <w:pPr>
              <w:pStyle w:val="TableText"/>
              <w:rPr>
                <w:sz w:val="16"/>
                <w:szCs w:val="16"/>
              </w:rPr>
            </w:pPr>
            <w:r w:rsidRPr="0099274D">
              <w:rPr>
                <w:sz w:val="16"/>
                <w:szCs w:val="16"/>
              </w:rPr>
              <w:t>(g/ha)</w:t>
            </w:r>
          </w:p>
        </w:tc>
        <w:tc>
          <w:tcPr>
            <w:tcW w:w="919" w:type="pct"/>
            <w:tcBorders>
              <w:top w:val="single" w:sz="4" w:space="0" w:color="auto"/>
              <w:left w:val="nil"/>
              <w:bottom w:val="nil"/>
              <w:right w:val="nil"/>
            </w:tcBorders>
          </w:tcPr>
          <w:p w14:paraId="66CE904C" w14:textId="77777777" w:rsidR="00AC69FF" w:rsidRPr="0099274D" w:rsidRDefault="00AC69FF" w:rsidP="009B4975">
            <w:pPr>
              <w:pStyle w:val="TableText"/>
              <w:jc w:val="right"/>
            </w:pPr>
            <w:r>
              <w:t>3525</w:t>
            </w:r>
          </w:p>
        </w:tc>
        <w:tc>
          <w:tcPr>
            <w:tcW w:w="919" w:type="pct"/>
            <w:tcBorders>
              <w:top w:val="single" w:sz="4" w:space="0" w:color="auto"/>
              <w:left w:val="nil"/>
              <w:bottom w:val="nil"/>
              <w:right w:val="nil"/>
            </w:tcBorders>
          </w:tcPr>
          <w:p w14:paraId="1D82A6DA" w14:textId="77777777" w:rsidR="00AC69FF" w:rsidRPr="001038C8" w:rsidRDefault="00AC69FF" w:rsidP="009B4975">
            <w:pPr>
              <w:pStyle w:val="TableText"/>
              <w:jc w:val="right"/>
            </w:pPr>
            <w:r w:rsidRPr="001038C8">
              <w:t>13725</w:t>
            </w:r>
          </w:p>
        </w:tc>
        <w:tc>
          <w:tcPr>
            <w:tcW w:w="919" w:type="pct"/>
            <w:tcBorders>
              <w:top w:val="single" w:sz="4" w:space="0" w:color="auto"/>
              <w:left w:val="nil"/>
              <w:bottom w:val="nil"/>
              <w:right w:val="nil"/>
            </w:tcBorders>
          </w:tcPr>
          <w:p w14:paraId="3847BA9C" w14:textId="77777777" w:rsidR="00AC69FF" w:rsidRPr="001038C8" w:rsidRDefault="00AC69FF" w:rsidP="009B4975">
            <w:pPr>
              <w:pStyle w:val="TableText"/>
              <w:jc w:val="right"/>
            </w:pPr>
            <w:r>
              <w:t>3525</w:t>
            </w:r>
          </w:p>
        </w:tc>
        <w:tc>
          <w:tcPr>
            <w:tcW w:w="915" w:type="pct"/>
            <w:tcBorders>
              <w:top w:val="single" w:sz="4" w:space="0" w:color="auto"/>
              <w:left w:val="nil"/>
              <w:bottom w:val="nil"/>
              <w:right w:val="nil"/>
            </w:tcBorders>
          </w:tcPr>
          <w:p w14:paraId="32CEBC1A" w14:textId="77777777" w:rsidR="00AC69FF" w:rsidRPr="001038C8" w:rsidRDefault="00AC69FF" w:rsidP="009B4975">
            <w:pPr>
              <w:pStyle w:val="TableText"/>
              <w:jc w:val="right"/>
            </w:pPr>
            <w:r>
              <w:t>13725</w:t>
            </w:r>
          </w:p>
        </w:tc>
      </w:tr>
      <w:tr w:rsidR="00AC69FF" w:rsidRPr="0099274D" w14:paraId="7DBA5516" w14:textId="77777777" w:rsidTr="009B4975">
        <w:tc>
          <w:tcPr>
            <w:tcW w:w="813" w:type="pct"/>
            <w:tcBorders>
              <w:top w:val="nil"/>
              <w:left w:val="nil"/>
              <w:bottom w:val="nil"/>
              <w:right w:val="nil"/>
            </w:tcBorders>
          </w:tcPr>
          <w:p w14:paraId="35B040AD" w14:textId="77777777" w:rsidR="00AC69FF" w:rsidRPr="0099274D" w:rsidRDefault="00AC69FF" w:rsidP="009B4975">
            <w:pPr>
              <w:pStyle w:val="TableText"/>
            </w:pPr>
            <w:r w:rsidRPr="0099274D">
              <w:t>Soil DT</w:t>
            </w:r>
            <w:r w:rsidRPr="0099274D">
              <w:rPr>
                <w:vertAlign w:val="subscript"/>
              </w:rPr>
              <w:t>50</w:t>
            </w:r>
          </w:p>
        </w:tc>
        <w:tc>
          <w:tcPr>
            <w:tcW w:w="516" w:type="pct"/>
            <w:tcBorders>
              <w:top w:val="nil"/>
              <w:left w:val="nil"/>
              <w:bottom w:val="nil"/>
              <w:right w:val="nil"/>
            </w:tcBorders>
          </w:tcPr>
          <w:p w14:paraId="45ADF5C1" w14:textId="77777777" w:rsidR="00AC69FF" w:rsidRPr="0099274D" w:rsidRDefault="00AC69FF" w:rsidP="009B4975">
            <w:pPr>
              <w:pStyle w:val="TableText"/>
              <w:rPr>
                <w:sz w:val="16"/>
                <w:szCs w:val="16"/>
              </w:rPr>
            </w:pPr>
            <w:r w:rsidRPr="0099274D">
              <w:rPr>
                <w:sz w:val="16"/>
                <w:szCs w:val="16"/>
              </w:rPr>
              <w:t>(d)</w:t>
            </w:r>
          </w:p>
        </w:tc>
        <w:tc>
          <w:tcPr>
            <w:tcW w:w="919" w:type="pct"/>
            <w:tcBorders>
              <w:top w:val="nil"/>
              <w:left w:val="nil"/>
              <w:bottom w:val="nil"/>
              <w:right w:val="nil"/>
            </w:tcBorders>
          </w:tcPr>
          <w:p w14:paraId="3DB9BCD6" w14:textId="77777777" w:rsidR="00AC69FF" w:rsidRPr="0099274D" w:rsidRDefault="00AC69FF" w:rsidP="009B4975">
            <w:pPr>
              <w:pStyle w:val="TableText"/>
              <w:jc w:val="right"/>
            </w:pPr>
            <w:r>
              <w:t>1000</w:t>
            </w:r>
          </w:p>
        </w:tc>
        <w:tc>
          <w:tcPr>
            <w:tcW w:w="919" w:type="pct"/>
            <w:tcBorders>
              <w:top w:val="nil"/>
              <w:left w:val="nil"/>
              <w:bottom w:val="nil"/>
              <w:right w:val="nil"/>
            </w:tcBorders>
          </w:tcPr>
          <w:p w14:paraId="198E41C6" w14:textId="77777777" w:rsidR="00AC69FF" w:rsidRPr="001038C8" w:rsidRDefault="00AC69FF" w:rsidP="009B4975">
            <w:pPr>
              <w:pStyle w:val="TableText"/>
              <w:jc w:val="right"/>
            </w:pPr>
            <w:r w:rsidRPr="001038C8">
              <w:t>14965</w:t>
            </w:r>
          </w:p>
        </w:tc>
        <w:tc>
          <w:tcPr>
            <w:tcW w:w="919" w:type="pct"/>
            <w:tcBorders>
              <w:top w:val="nil"/>
              <w:left w:val="nil"/>
              <w:bottom w:val="nil"/>
              <w:right w:val="nil"/>
            </w:tcBorders>
          </w:tcPr>
          <w:p w14:paraId="017E0F37" w14:textId="77777777" w:rsidR="00AC69FF" w:rsidRPr="001038C8" w:rsidRDefault="00AC69FF" w:rsidP="009B4975">
            <w:pPr>
              <w:pStyle w:val="TableText"/>
              <w:jc w:val="right"/>
            </w:pPr>
            <w:r>
              <w:t>1000</w:t>
            </w:r>
          </w:p>
        </w:tc>
        <w:tc>
          <w:tcPr>
            <w:tcW w:w="915" w:type="pct"/>
            <w:tcBorders>
              <w:top w:val="nil"/>
              <w:left w:val="nil"/>
              <w:bottom w:val="nil"/>
              <w:right w:val="nil"/>
            </w:tcBorders>
          </w:tcPr>
          <w:p w14:paraId="5C1A72FE" w14:textId="77777777" w:rsidR="00AC69FF" w:rsidRPr="001038C8" w:rsidRDefault="00AC69FF" w:rsidP="009B4975">
            <w:pPr>
              <w:pStyle w:val="TableText"/>
              <w:jc w:val="right"/>
            </w:pPr>
            <w:r>
              <w:t>14965</w:t>
            </w:r>
          </w:p>
        </w:tc>
      </w:tr>
      <w:tr w:rsidR="00AC69FF" w:rsidRPr="0099274D" w14:paraId="43817DC9" w14:textId="77777777" w:rsidTr="009B4975">
        <w:tc>
          <w:tcPr>
            <w:tcW w:w="813" w:type="pct"/>
            <w:tcBorders>
              <w:top w:val="nil"/>
              <w:left w:val="nil"/>
              <w:bottom w:val="nil"/>
              <w:right w:val="nil"/>
            </w:tcBorders>
          </w:tcPr>
          <w:p w14:paraId="705F17FD" w14:textId="77777777" w:rsidR="00AC69FF" w:rsidRPr="0099274D" w:rsidRDefault="00AC69FF" w:rsidP="009B4975">
            <w:pPr>
              <w:pStyle w:val="TableText"/>
            </w:pPr>
            <w:r w:rsidRPr="0099274D">
              <w:t>K</w:t>
            </w:r>
            <w:r w:rsidRPr="0099274D">
              <w:rPr>
                <w:vertAlign w:val="subscript"/>
              </w:rPr>
              <w:t>f</w:t>
            </w:r>
          </w:p>
        </w:tc>
        <w:tc>
          <w:tcPr>
            <w:tcW w:w="516" w:type="pct"/>
            <w:tcBorders>
              <w:top w:val="nil"/>
              <w:left w:val="nil"/>
              <w:bottom w:val="nil"/>
              <w:right w:val="nil"/>
            </w:tcBorders>
          </w:tcPr>
          <w:p w14:paraId="0B282D70" w14:textId="77777777" w:rsidR="00AC69FF" w:rsidRPr="0099274D" w:rsidRDefault="00AC69FF" w:rsidP="009B4975">
            <w:pPr>
              <w:pStyle w:val="TableText"/>
              <w:rPr>
                <w:sz w:val="16"/>
                <w:szCs w:val="16"/>
              </w:rPr>
            </w:pPr>
            <w:r w:rsidRPr="0099274D">
              <w:rPr>
                <w:sz w:val="16"/>
                <w:szCs w:val="16"/>
              </w:rPr>
              <w:t>(L/kg)</w:t>
            </w:r>
          </w:p>
        </w:tc>
        <w:tc>
          <w:tcPr>
            <w:tcW w:w="919" w:type="pct"/>
            <w:tcBorders>
              <w:top w:val="nil"/>
              <w:left w:val="nil"/>
              <w:bottom w:val="nil"/>
              <w:right w:val="nil"/>
            </w:tcBorders>
          </w:tcPr>
          <w:p w14:paraId="1F63E427" w14:textId="77777777" w:rsidR="00AC69FF" w:rsidRPr="0099274D" w:rsidRDefault="00AC69FF" w:rsidP="009B4975">
            <w:pPr>
              <w:pStyle w:val="TableText"/>
              <w:jc w:val="right"/>
            </w:pPr>
            <w:r>
              <w:t>349</w:t>
            </w:r>
          </w:p>
        </w:tc>
        <w:tc>
          <w:tcPr>
            <w:tcW w:w="919" w:type="pct"/>
            <w:tcBorders>
              <w:top w:val="nil"/>
              <w:left w:val="nil"/>
              <w:bottom w:val="nil"/>
              <w:right w:val="nil"/>
            </w:tcBorders>
          </w:tcPr>
          <w:p w14:paraId="56346410" w14:textId="77777777" w:rsidR="00AC69FF" w:rsidRPr="001038C8" w:rsidRDefault="00AC69FF" w:rsidP="009B4975">
            <w:pPr>
              <w:pStyle w:val="TableText"/>
              <w:jc w:val="right"/>
            </w:pPr>
            <w:r w:rsidRPr="001038C8">
              <w:t>3</w:t>
            </w:r>
            <w:r>
              <w:t>4</w:t>
            </w:r>
            <w:r w:rsidRPr="001038C8">
              <w:t>9</w:t>
            </w:r>
          </w:p>
        </w:tc>
        <w:tc>
          <w:tcPr>
            <w:tcW w:w="919" w:type="pct"/>
            <w:tcBorders>
              <w:top w:val="nil"/>
              <w:left w:val="nil"/>
              <w:bottom w:val="nil"/>
              <w:right w:val="nil"/>
            </w:tcBorders>
          </w:tcPr>
          <w:p w14:paraId="32EFA6FC" w14:textId="77777777" w:rsidR="00AC69FF" w:rsidRPr="001038C8" w:rsidRDefault="00AC69FF" w:rsidP="009B4975">
            <w:pPr>
              <w:pStyle w:val="TableText"/>
              <w:jc w:val="right"/>
            </w:pPr>
            <w:r>
              <w:t>62</w:t>
            </w:r>
          </w:p>
        </w:tc>
        <w:tc>
          <w:tcPr>
            <w:tcW w:w="915" w:type="pct"/>
            <w:tcBorders>
              <w:top w:val="nil"/>
              <w:left w:val="nil"/>
              <w:bottom w:val="nil"/>
              <w:right w:val="nil"/>
            </w:tcBorders>
          </w:tcPr>
          <w:p w14:paraId="2EE5DDFA" w14:textId="77777777" w:rsidR="00AC69FF" w:rsidRPr="001038C8" w:rsidRDefault="00AC69FF" w:rsidP="009B4975">
            <w:pPr>
              <w:pStyle w:val="TableText"/>
              <w:jc w:val="right"/>
            </w:pPr>
            <w:r>
              <w:t>62</w:t>
            </w:r>
          </w:p>
        </w:tc>
      </w:tr>
      <w:tr w:rsidR="00AC69FF" w:rsidRPr="0099274D" w14:paraId="34B5A7E0" w14:textId="77777777" w:rsidTr="009B4975">
        <w:tc>
          <w:tcPr>
            <w:tcW w:w="813" w:type="pct"/>
            <w:tcBorders>
              <w:top w:val="nil"/>
              <w:left w:val="nil"/>
              <w:bottom w:val="nil"/>
              <w:right w:val="nil"/>
            </w:tcBorders>
          </w:tcPr>
          <w:p w14:paraId="59C36A2D" w14:textId="77777777" w:rsidR="00AC69FF" w:rsidRPr="0099274D" w:rsidRDefault="00AC69FF" w:rsidP="009B4975">
            <w:pPr>
              <w:pStyle w:val="TableText"/>
            </w:pPr>
            <w:r w:rsidRPr="0099274D">
              <w:lastRenderedPageBreak/>
              <w:t>1/n</w:t>
            </w:r>
          </w:p>
        </w:tc>
        <w:tc>
          <w:tcPr>
            <w:tcW w:w="516" w:type="pct"/>
            <w:tcBorders>
              <w:top w:val="nil"/>
              <w:left w:val="nil"/>
              <w:bottom w:val="nil"/>
              <w:right w:val="nil"/>
            </w:tcBorders>
          </w:tcPr>
          <w:p w14:paraId="38CD183D" w14:textId="77777777" w:rsidR="00AC69FF" w:rsidRPr="0099274D" w:rsidRDefault="00AC69FF" w:rsidP="009B4975">
            <w:pPr>
              <w:pStyle w:val="TableText"/>
              <w:rPr>
                <w:sz w:val="16"/>
                <w:szCs w:val="16"/>
              </w:rPr>
            </w:pPr>
          </w:p>
        </w:tc>
        <w:tc>
          <w:tcPr>
            <w:tcW w:w="919" w:type="pct"/>
            <w:tcBorders>
              <w:top w:val="nil"/>
              <w:left w:val="nil"/>
              <w:bottom w:val="nil"/>
              <w:right w:val="nil"/>
            </w:tcBorders>
          </w:tcPr>
          <w:p w14:paraId="2F27B879" w14:textId="77777777" w:rsidR="00AC69FF" w:rsidRPr="0099274D" w:rsidRDefault="00AC69FF" w:rsidP="009B4975">
            <w:pPr>
              <w:pStyle w:val="TableText"/>
              <w:jc w:val="right"/>
            </w:pPr>
            <w:r>
              <w:t>0.59</w:t>
            </w:r>
          </w:p>
        </w:tc>
        <w:tc>
          <w:tcPr>
            <w:tcW w:w="919" w:type="pct"/>
            <w:tcBorders>
              <w:top w:val="nil"/>
              <w:left w:val="nil"/>
              <w:bottom w:val="nil"/>
              <w:right w:val="nil"/>
            </w:tcBorders>
          </w:tcPr>
          <w:p w14:paraId="21DCCB68" w14:textId="77777777" w:rsidR="00AC69FF" w:rsidRPr="001038C8" w:rsidRDefault="00AC69FF" w:rsidP="009B4975">
            <w:pPr>
              <w:pStyle w:val="TableText"/>
              <w:jc w:val="right"/>
            </w:pPr>
            <w:r w:rsidRPr="001038C8">
              <w:t>0.5</w:t>
            </w:r>
            <w:r>
              <w:t>9</w:t>
            </w:r>
          </w:p>
        </w:tc>
        <w:tc>
          <w:tcPr>
            <w:tcW w:w="919" w:type="pct"/>
            <w:tcBorders>
              <w:top w:val="nil"/>
              <w:left w:val="nil"/>
              <w:bottom w:val="nil"/>
              <w:right w:val="nil"/>
            </w:tcBorders>
          </w:tcPr>
          <w:p w14:paraId="2E741944" w14:textId="77777777" w:rsidR="00AC69FF" w:rsidRPr="001038C8" w:rsidRDefault="00AC69FF" w:rsidP="009B4975">
            <w:pPr>
              <w:pStyle w:val="TableText"/>
              <w:jc w:val="right"/>
            </w:pPr>
            <w:r>
              <w:t>0.47</w:t>
            </w:r>
          </w:p>
        </w:tc>
        <w:tc>
          <w:tcPr>
            <w:tcW w:w="915" w:type="pct"/>
            <w:tcBorders>
              <w:top w:val="nil"/>
              <w:left w:val="nil"/>
              <w:bottom w:val="nil"/>
              <w:right w:val="nil"/>
            </w:tcBorders>
          </w:tcPr>
          <w:p w14:paraId="36FA204B" w14:textId="77777777" w:rsidR="00AC69FF" w:rsidRPr="001038C8" w:rsidRDefault="00AC69FF" w:rsidP="009B4975">
            <w:pPr>
              <w:pStyle w:val="TableText"/>
              <w:jc w:val="right"/>
            </w:pPr>
            <w:r>
              <w:t>0.47</w:t>
            </w:r>
          </w:p>
        </w:tc>
      </w:tr>
      <w:tr w:rsidR="00AC69FF" w:rsidRPr="0099274D" w14:paraId="4F36387D" w14:textId="77777777" w:rsidTr="009B4975">
        <w:tc>
          <w:tcPr>
            <w:tcW w:w="813" w:type="pct"/>
            <w:tcBorders>
              <w:top w:val="nil"/>
              <w:left w:val="nil"/>
              <w:bottom w:val="nil"/>
              <w:right w:val="nil"/>
            </w:tcBorders>
          </w:tcPr>
          <w:p w14:paraId="37F612EB" w14:textId="77777777" w:rsidR="00AC69FF" w:rsidRPr="0099274D" w:rsidRDefault="00AC69FF" w:rsidP="009B4975">
            <w:pPr>
              <w:pStyle w:val="TableText"/>
            </w:pPr>
            <w:r w:rsidRPr="0099274D">
              <w:t>Rainfall – P</w:t>
            </w:r>
          </w:p>
        </w:tc>
        <w:tc>
          <w:tcPr>
            <w:tcW w:w="516" w:type="pct"/>
            <w:tcBorders>
              <w:top w:val="nil"/>
              <w:left w:val="nil"/>
              <w:bottom w:val="nil"/>
              <w:right w:val="nil"/>
            </w:tcBorders>
          </w:tcPr>
          <w:p w14:paraId="76409357" w14:textId="77777777" w:rsidR="00AC69FF" w:rsidRPr="0099274D" w:rsidRDefault="00AC69FF" w:rsidP="009B4975">
            <w:pPr>
              <w:pStyle w:val="TableText"/>
              <w:rPr>
                <w:sz w:val="16"/>
                <w:szCs w:val="16"/>
              </w:rPr>
            </w:pPr>
            <w:r w:rsidRPr="0099274D">
              <w:rPr>
                <w:sz w:val="16"/>
                <w:szCs w:val="16"/>
              </w:rPr>
              <w:t>(mm)</w:t>
            </w:r>
          </w:p>
        </w:tc>
        <w:tc>
          <w:tcPr>
            <w:tcW w:w="919" w:type="pct"/>
            <w:tcBorders>
              <w:top w:val="nil"/>
              <w:left w:val="nil"/>
              <w:bottom w:val="nil"/>
              <w:right w:val="nil"/>
            </w:tcBorders>
          </w:tcPr>
          <w:p w14:paraId="266165DF" w14:textId="77777777" w:rsidR="00AC69FF" w:rsidRPr="0099274D" w:rsidRDefault="00AC69FF" w:rsidP="009B4975">
            <w:pPr>
              <w:pStyle w:val="TableText"/>
              <w:jc w:val="right"/>
            </w:pPr>
            <w:r>
              <w:t>8.00</w:t>
            </w:r>
          </w:p>
        </w:tc>
        <w:tc>
          <w:tcPr>
            <w:tcW w:w="919" w:type="pct"/>
            <w:tcBorders>
              <w:top w:val="nil"/>
              <w:left w:val="nil"/>
              <w:bottom w:val="nil"/>
              <w:right w:val="nil"/>
            </w:tcBorders>
          </w:tcPr>
          <w:p w14:paraId="018DD9D5" w14:textId="77777777" w:rsidR="00AC69FF" w:rsidRPr="001038C8" w:rsidRDefault="00AC69FF" w:rsidP="009B4975">
            <w:pPr>
              <w:pStyle w:val="TableText"/>
              <w:jc w:val="right"/>
            </w:pPr>
            <w:r w:rsidRPr="001038C8">
              <w:t>8.00</w:t>
            </w:r>
          </w:p>
        </w:tc>
        <w:tc>
          <w:tcPr>
            <w:tcW w:w="919" w:type="pct"/>
            <w:tcBorders>
              <w:top w:val="nil"/>
              <w:left w:val="nil"/>
              <w:bottom w:val="nil"/>
              <w:right w:val="nil"/>
            </w:tcBorders>
          </w:tcPr>
          <w:p w14:paraId="39EA6E3C" w14:textId="77777777" w:rsidR="00AC69FF" w:rsidRPr="001038C8" w:rsidRDefault="00AC69FF" w:rsidP="009B4975">
            <w:pPr>
              <w:pStyle w:val="TableText"/>
              <w:jc w:val="right"/>
            </w:pPr>
            <w:r>
              <w:t>8.00</w:t>
            </w:r>
          </w:p>
        </w:tc>
        <w:tc>
          <w:tcPr>
            <w:tcW w:w="915" w:type="pct"/>
            <w:tcBorders>
              <w:top w:val="nil"/>
              <w:left w:val="nil"/>
              <w:bottom w:val="nil"/>
              <w:right w:val="nil"/>
            </w:tcBorders>
          </w:tcPr>
          <w:p w14:paraId="7193D3EE" w14:textId="77777777" w:rsidR="00AC69FF" w:rsidRPr="001038C8" w:rsidRDefault="00AC69FF" w:rsidP="009B4975">
            <w:pPr>
              <w:pStyle w:val="TableText"/>
              <w:jc w:val="right"/>
            </w:pPr>
            <w:r>
              <w:t>8.00</w:t>
            </w:r>
          </w:p>
        </w:tc>
      </w:tr>
      <w:tr w:rsidR="00AC69FF" w:rsidRPr="0099274D" w14:paraId="2F5EAEF4" w14:textId="77777777" w:rsidTr="009B4975">
        <w:tc>
          <w:tcPr>
            <w:tcW w:w="813" w:type="pct"/>
            <w:tcBorders>
              <w:top w:val="nil"/>
              <w:left w:val="nil"/>
              <w:bottom w:val="nil"/>
              <w:right w:val="nil"/>
            </w:tcBorders>
          </w:tcPr>
          <w:p w14:paraId="6E21E3F5" w14:textId="77777777" w:rsidR="00AC69FF" w:rsidRPr="0099274D" w:rsidRDefault="00AC69FF" w:rsidP="009B4975">
            <w:pPr>
              <w:pStyle w:val="TableText"/>
            </w:pPr>
            <w:r w:rsidRPr="0099274D">
              <w:t>Runoff – Q</w:t>
            </w:r>
          </w:p>
        </w:tc>
        <w:tc>
          <w:tcPr>
            <w:tcW w:w="516" w:type="pct"/>
            <w:tcBorders>
              <w:top w:val="nil"/>
              <w:left w:val="nil"/>
              <w:bottom w:val="nil"/>
              <w:right w:val="nil"/>
            </w:tcBorders>
          </w:tcPr>
          <w:p w14:paraId="253311F6" w14:textId="77777777" w:rsidR="00AC69FF" w:rsidRPr="0099274D" w:rsidRDefault="00AC69FF" w:rsidP="009B4975">
            <w:pPr>
              <w:pStyle w:val="TableText"/>
              <w:rPr>
                <w:sz w:val="16"/>
                <w:szCs w:val="16"/>
              </w:rPr>
            </w:pPr>
            <w:r w:rsidRPr="0099274D">
              <w:rPr>
                <w:sz w:val="16"/>
                <w:szCs w:val="16"/>
              </w:rPr>
              <w:t>(mm)</w:t>
            </w:r>
          </w:p>
        </w:tc>
        <w:tc>
          <w:tcPr>
            <w:tcW w:w="919" w:type="pct"/>
            <w:tcBorders>
              <w:top w:val="nil"/>
              <w:left w:val="nil"/>
              <w:bottom w:val="nil"/>
              <w:right w:val="nil"/>
            </w:tcBorders>
          </w:tcPr>
          <w:p w14:paraId="3344C9D5" w14:textId="77777777" w:rsidR="00AC69FF" w:rsidRPr="0099274D" w:rsidRDefault="00AC69FF" w:rsidP="009B4975">
            <w:pPr>
              <w:pStyle w:val="TableText"/>
              <w:jc w:val="right"/>
            </w:pPr>
            <w:r>
              <w:t>1.34</w:t>
            </w:r>
          </w:p>
        </w:tc>
        <w:tc>
          <w:tcPr>
            <w:tcW w:w="919" w:type="pct"/>
            <w:tcBorders>
              <w:top w:val="nil"/>
              <w:left w:val="nil"/>
              <w:bottom w:val="nil"/>
              <w:right w:val="nil"/>
            </w:tcBorders>
          </w:tcPr>
          <w:p w14:paraId="70FFC472" w14:textId="77777777" w:rsidR="00AC69FF" w:rsidRPr="001038C8" w:rsidRDefault="00AC69FF" w:rsidP="009B4975">
            <w:pPr>
              <w:pStyle w:val="TableText"/>
              <w:jc w:val="right"/>
            </w:pPr>
            <w:r w:rsidRPr="001038C8">
              <w:t>1.34</w:t>
            </w:r>
          </w:p>
        </w:tc>
        <w:tc>
          <w:tcPr>
            <w:tcW w:w="919" w:type="pct"/>
            <w:tcBorders>
              <w:top w:val="nil"/>
              <w:left w:val="nil"/>
              <w:bottom w:val="nil"/>
              <w:right w:val="nil"/>
            </w:tcBorders>
          </w:tcPr>
          <w:p w14:paraId="1F2041FA" w14:textId="77777777" w:rsidR="00AC69FF" w:rsidRPr="001038C8" w:rsidRDefault="00AC69FF" w:rsidP="009B4975">
            <w:pPr>
              <w:pStyle w:val="TableText"/>
              <w:jc w:val="right"/>
            </w:pPr>
            <w:r>
              <w:t>1.34</w:t>
            </w:r>
          </w:p>
        </w:tc>
        <w:tc>
          <w:tcPr>
            <w:tcW w:w="915" w:type="pct"/>
            <w:tcBorders>
              <w:top w:val="nil"/>
              <w:left w:val="nil"/>
              <w:bottom w:val="nil"/>
              <w:right w:val="nil"/>
            </w:tcBorders>
          </w:tcPr>
          <w:p w14:paraId="338FD156" w14:textId="77777777" w:rsidR="00AC69FF" w:rsidRPr="001038C8" w:rsidRDefault="00AC69FF" w:rsidP="009B4975">
            <w:pPr>
              <w:pStyle w:val="TableText"/>
              <w:jc w:val="right"/>
            </w:pPr>
            <w:r>
              <w:t>1.34</w:t>
            </w:r>
          </w:p>
        </w:tc>
      </w:tr>
      <w:tr w:rsidR="00AC69FF" w:rsidRPr="0099274D" w14:paraId="69AB8421" w14:textId="77777777" w:rsidTr="009B4975">
        <w:tc>
          <w:tcPr>
            <w:tcW w:w="813" w:type="pct"/>
            <w:tcBorders>
              <w:top w:val="nil"/>
              <w:left w:val="nil"/>
              <w:bottom w:val="nil"/>
              <w:right w:val="nil"/>
            </w:tcBorders>
          </w:tcPr>
          <w:p w14:paraId="5E6A90E5" w14:textId="77777777" w:rsidR="00AC69FF" w:rsidRPr="0099274D" w:rsidRDefault="00AC69FF" w:rsidP="009B4975">
            <w:pPr>
              <w:pStyle w:val="TableText"/>
            </w:pPr>
            <w:r w:rsidRPr="0099274D">
              <w:t>Cr</w:t>
            </w:r>
            <w:r w:rsidRPr="0099274D">
              <w:rPr>
                <w:vertAlign w:val="subscript"/>
              </w:rPr>
              <w:t>soil surface</w:t>
            </w:r>
          </w:p>
        </w:tc>
        <w:tc>
          <w:tcPr>
            <w:tcW w:w="516" w:type="pct"/>
            <w:tcBorders>
              <w:top w:val="nil"/>
              <w:left w:val="nil"/>
              <w:bottom w:val="nil"/>
              <w:right w:val="nil"/>
            </w:tcBorders>
          </w:tcPr>
          <w:p w14:paraId="39457B42" w14:textId="77777777" w:rsidR="00AC69FF" w:rsidRPr="0099274D" w:rsidRDefault="00AC69FF" w:rsidP="009B4975">
            <w:pPr>
              <w:pStyle w:val="TableText"/>
              <w:rPr>
                <w:sz w:val="16"/>
                <w:szCs w:val="16"/>
              </w:rPr>
            </w:pPr>
            <w:r w:rsidRPr="0099274D">
              <w:rPr>
                <w:sz w:val="16"/>
                <w:szCs w:val="16"/>
              </w:rPr>
              <w:t>(fraction)</w:t>
            </w:r>
          </w:p>
        </w:tc>
        <w:tc>
          <w:tcPr>
            <w:tcW w:w="919" w:type="pct"/>
            <w:tcBorders>
              <w:top w:val="nil"/>
              <w:left w:val="nil"/>
              <w:bottom w:val="nil"/>
              <w:right w:val="nil"/>
            </w:tcBorders>
          </w:tcPr>
          <w:p w14:paraId="39965331" w14:textId="77777777" w:rsidR="00AC69FF" w:rsidRPr="0099274D" w:rsidRDefault="00AC69FF" w:rsidP="009B4975">
            <w:pPr>
              <w:pStyle w:val="TableText"/>
              <w:jc w:val="right"/>
            </w:pPr>
            <w:r>
              <w:t>0.00014</w:t>
            </w:r>
          </w:p>
        </w:tc>
        <w:tc>
          <w:tcPr>
            <w:tcW w:w="919" w:type="pct"/>
            <w:tcBorders>
              <w:top w:val="nil"/>
              <w:left w:val="nil"/>
              <w:bottom w:val="nil"/>
              <w:right w:val="nil"/>
            </w:tcBorders>
          </w:tcPr>
          <w:p w14:paraId="57024BD3" w14:textId="77777777" w:rsidR="00AC69FF" w:rsidRPr="001038C8" w:rsidRDefault="00AC69FF" w:rsidP="009B4975">
            <w:pPr>
              <w:pStyle w:val="TableText"/>
              <w:jc w:val="right"/>
            </w:pPr>
            <w:r>
              <w:t>0.00037</w:t>
            </w:r>
          </w:p>
        </w:tc>
        <w:tc>
          <w:tcPr>
            <w:tcW w:w="919" w:type="pct"/>
            <w:tcBorders>
              <w:top w:val="nil"/>
              <w:left w:val="nil"/>
              <w:bottom w:val="nil"/>
              <w:right w:val="nil"/>
            </w:tcBorders>
          </w:tcPr>
          <w:p w14:paraId="0E23D35E" w14:textId="77777777" w:rsidR="00AC69FF" w:rsidRPr="001038C8" w:rsidRDefault="00AC69FF" w:rsidP="009B4975">
            <w:pPr>
              <w:pStyle w:val="TableText"/>
              <w:jc w:val="right"/>
            </w:pPr>
            <w:r>
              <w:t>0.00088</w:t>
            </w:r>
          </w:p>
        </w:tc>
        <w:tc>
          <w:tcPr>
            <w:tcW w:w="915" w:type="pct"/>
            <w:tcBorders>
              <w:top w:val="nil"/>
              <w:left w:val="nil"/>
              <w:bottom w:val="nil"/>
              <w:right w:val="nil"/>
            </w:tcBorders>
          </w:tcPr>
          <w:p w14:paraId="0F707E57" w14:textId="77777777" w:rsidR="00AC69FF" w:rsidRPr="001038C8" w:rsidRDefault="00AC69FF" w:rsidP="009B4975">
            <w:pPr>
              <w:pStyle w:val="TableText"/>
              <w:jc w:val="right"/>
            </w:pPr>
            <w:r>
              <w:t>0.0041</w:t>
            </w:r>
          </w:p>
        </w:tc>
      </w:tr>
      <w:tr w:rsidR="00AC69FF" w:rsidRPr="0099274D" w14:paraId="7B71B56B" w14:textId="77777777" w:rsidTr="009B4975">
        <w:tc>
          <w:tcPr>
            <w:tcW w:w="813" w:type="pct"/>
            <w:tcBorders>
              <w:top w:val="nil"/>
              <w:left w:val="nil"/>
              <w:bottom w:val="nil"/>
              <w:right w:val="nil"/>
            </w:tcBorders>
          </w:tcPr>
          <w:p w14:paraId="73F8CC7D" w14:textId="77777777" w:rsidR="00AC69FF" w:rsidRPr="0099274D" w:rsidRDefault="00AC69FF" w:rsidP="009B4975">
            <w:pPr>
              <w:pStyle w:val="TableText"/>
            </w:pPr>
            <w:r w:rsidRPr="0099274D">
              <w:t>slope factor – F</w:t>
            </w:r>
          </w:p>
        </w:tc>
        <w:tc>
          <w:tcPr>
            <w:tcW w:w="516" w:type="pct"/>
            <w:tcBorders>
              <w:top w:val="nil"/>
              <w:left w:val="nil"/>
              <w:bottom w:val="nil"/>
              <w:right w:val="nil"/>
            </w:tcBorders>
          </w:tcPr>
          <w:p w14:paraId="2AC9C3D5" w14:textId="77777777" w:rsidR="00AC69FF" w:rsidRPr="0099274D" w:rsidRDefault="00AC69FF" w:rsidP="009B4975">
            <w:pPr>
              <w:pStyle w:val="TableText"/>
              <w:rPr>
                <w:sz w:val="16"/>
                <w:szCs w:val="16"/>
              </w:rPr>
            </w:pPr>
            <w:r w:rsidRPr="0099274D">
              <w:rPr>
                <w:sz w:val="16"/>
                <w:szCs w:val="16"/>
              </w:rPr>
              <w:t>(fraction)</w:t>
            </w:r>
          </w:p>
        </w:tc>
        <w:tc>
          <w:tcPr>
            <w:tcW w:w="919" w:type="pct"/>
            <w:tcBorders>
              <w:top w:val="nil"/>
              <w:left w:val="nil"/>
              <w:bottom w:val="nil"/>
              <w:right w:val="nil"/>
            </w:tcBorders>
          </w:tcPr>
          <w:p w14:paraId="196A95ED" w14:textId="77777777" w:rsidR="00AC69FF" w:rsidRPr="0099274D" w:rsidRDefault="00AC69FF" w:rsidP="009B4975">
            <w:pPr>
              <w:pStyle w:val="TableText"/>
              <w:jc w:val="right"/>
            </w:pPr>
            <w:r>
              <w:t>0.26</w:t>
            </w:r>
          </w:p>
        </w:tc>
        <w:tc>
          <w:tcPr>
            <w:tcW w:w="919" w:type="pct"/>
            <w:tcBorders>
              <w:top w:val="nil"/>
              <w:left w:val="nil"/>
              <w:bottom w:val="nil"/>
              <w:right w:val="nil"/>
            </w:tcBorders>
          </w:tcPr>
          <w:p w14:paraId="29066CE1" w14:textId="77777777" w:rsidR="00AC69FF" w:rsidRPr="001038C8" w:rsidRDefault="00AC69FF" w:rsidP="009B4975">
            <w:pPr>
              <w:pStyle w:val="TableText"/>
              <w:jc w:val="right"/>
            </w:pPr>
            <w:r w:rsidRPr="001038C8">
              <w:t>0.26</w:t>
            </w:r>
          </w:p>
        </w:tc>
        <w:tc>
          <w:tcPr>
            <w:tcW w:w="919" w:type="pct"/>
            <w:tcBorders>
              <w:top w:val="nil"/>
              <w:left w:val="nil"/>
              <w:bottom w:val="nil"/>
              <w:right w:val="nil"/>
            </w:tcBorders>
          </w:tcPr>
          <w:p w14:paraId="768BCE06" w14:textId="77777777" w:rsidR="00AC69FF" w:rsidRPr="001038C8" w:rsidRDefault="00AC69FF" w:rsidP="009B4975">
            <w:pPr>
              <w:pStyle w:val="TableText"/>
              <w:jc w:val="right"/>
            </w:pPr>
            <w:r>
              <w:t>0.26</w:t>
            </w:r>
          </w:p>
        </w:tc>
        <w:tc>
          <w:tcPr>
            <w:tcW w:w="915" w:type="pct"/>
            <w:tcBorders>
              <w:top w:val="nil"/>
              <w:left w:val="nil"/>
              <w:bottom w:val="nil"/>
              <w:right w:val="nil"/>
            </w:tcBorders>
          </w:tcPr>
          <w:p w14:paraId="6C6BB7A9" w14:textId="77777777" w:rsidR="00AC69FF" w:rsidRPr="001038C8" w:rsidRDefault="00AC69FF" w:rsidP="009B4975">
            <w:pPr>
              <w:pStyle w:val="TableText"/>
              <w:jc w:val="right"/>
            </w:pPr>
            <w:r>
              <w:t>0.26</w:t>
            </w:r>
          </w:p>
        </w:tc>
      </w:tr>
      <w:tr w:rsidR="00AC69FF" w:rsidRPr="0099274D" w14:paraId="256F63DC" w14:textId="77777777" w:rsidTr="009B4975">
        <w:tc>
          <w:tcPr>
            <w:tcW w:w="813" w:type="pct"/>
            <w:tcBorders>
              <w:top w:val="nil"/>
              <w:left w:val="nil"/>
              <w:bottom w:val="single" w:sz="4" w:space="0" w:color="auto"/>
              <w:right w:val="nil"/>
            </w:tcBorders>
          </w:tcPr>
          <w:p w14:paraId="5449C0C8" w14:textId="77777777" w:rsidR="00AC69FF" w:rsidRPr="0099274D" w:rsidRDefault="00AC69FF" w:rsidP="009B4975">
            <w:pPr>
              <w:pStyle w:val="TableText"/>
            </w:pPr>
            <w:r w:rsidRPr="0099274D">
              <w:t>Runoff</w:t>
            </w:r>
          </w:p>
        </w:tc>
        <w:tc>
          <w:tcPr>
            <w:tcW w:w="516" w:type="pct"/>
            <w:tcBorders>
              <w:top w:val="nil"/>
              <w:left w:val="nil"/>
              <w:bottom w:val="single" w:sz="4" w:space="0" w:color="auto"/>
              <w:right w:val="nil"/>
            </w:tcBorders>
          </w:tcPr>
          <w:p w14:paraId="2C759CB0" w14:textId="77777777" w:rsidR="00AC69FF" w:rsidRPr="0099274D" w:rsidRDefault="00AC69FF" w:rsidP="009B4975">
            <w:pPr>
              <w:pStyle w:val="TableText"/>
              <w:rPr>
                <w:sz w:val="16"/>
                <w:szCs w:val="16"/>
              </w:rPr>
            </w:pPr>
            <w:r w:rsidRPr="0099274D">
              <w:rPr>
                <w:sz w:val="16"/>
                <w:szCs w:val="16"/>
              </w:rPr>
              <w:t>(% applied)</w:t>
            </w:r>
          </w:p>
        </w:tc>
        <w:tc>
          <w:tcPr>
            <w:tcW w:w="919" w:type="pct"/>
            <w:tcBorders>
              <w:top w:val="nil"/>
              <w:left w:val="nil"/>
              <w:bottom w:val="single" w:sz="4" w:space="0" w:color="auto"/>
              <w:right w:val="nil"/>
            </w:tcBorders>
          </w:tcPr>
          <w:p w14:paraId="3708D239" w14:textId="77777777" w:rsidR="00AC69FF" w:rsidRPr="0099274D" w:rsidRDefault="00AC69FF" w:rsidP="009B4975">
            <w:pPr>
              <w:pStyle w:val="TableText"/>
              <w:jc w:val="right"/>
            </w:pPr>
            <w:r>
              <w:t>0.0000032</w:t>
            </w:r>
          </w:p>
        </w:tc>
        <w:tc>
          <w:tcPr>
            <w:tcW w:w="919" w:type="pct"/>
            <w:tcBorders>
              <w:top w:val="nil"/>
              <w:left w:val="nil"/>
              <w:bottom w:val="single" w:sz="4" w:space="0" w:color="auto"/>
              <w:right w:val="nil"/>
            </w:tcBorders>
          </w:tcPr>
          <w:p w14:paraId="687596B7" w14:textId="77777777" w:rsidR="00AC69FF" w:rsidRPr="001038C8" w:rsidRDefault="00AC69FF" w:rsidP="009B4975">
            <w:pPr>
              <w:pStyle w:val="TableText"/>
              <w:jc w:val="right"/>
            </w:pPr>
            <w:r w:rsidRPr="001038C8">
              <w:t>0.00000</w:t>
            </w:r>
            <w:r>
              <w:t>81</w:t>
            </w:r>
          </w:p>
        </w:tc>
        <w:tc>
          <w:tcPr>
            <w:tcW w:w="919" w:type="pct"/>
            <w:tcBorders>
              <w:top w:val="nil"/>
              <w:left w:val="nil"/>
              <w:bottom w:val="single" w:sz="4" w:space="0" w:color="auto"/>
              <w:right w:val="nil"/>
            </w:tcBorders>
          </w:tcPr>
          <w:p w14:paraId="0223EBA9" w14:textId="77777777" w:rsidR="00AC69FF" w:rsidRPr="001038C8" w:rsidRDefault="00AC69FF" w:rsidP="009B4975">
            <w:pPr>
              <w:pStyle w:val="TableText"/>
              <w:jc w:val="right"/>
            </w:pPr>
            <w:r>
              <w:t>0.000019</w:t>
            </w:r>
          </w:p>
        </w:tc>
        <w:tc>
          <w:tcPr>
            <w:tcW w:w="915" w:type="pct"/>
            <w:tcBorders>
              <w:top w:val="nil"/>
              <w:left w:val="nil"/>
              <w:bottom w:val="single" w:sz="4" w:space="0" w:color="auto"/>
              <w:right w:val="nil"/>
            </w:tcBorders>
          </w:tcPr>
          <w:p w14:paraId="37146B91" w14:textId="77777777" w:rsidR="00AC69FF" w:rsidRPr="001038C8" w:rsidRDefault="00AC69FF" w:rsidP="009B4975">
            <w:pPr>
              <w:pStyle w:val="TableText"/>
              <w:jc w:val="right"/>
            </w:pPr>
            <w:r>
              <w:t>0.000089</w:t>
            </w:r>
          </w:p>
        </w:tc>
      </w:tr>
      <w:tr w:rsidR="00AC69FF" w:rsidRPr="0099274D" w14:paraId="4210B8AA" w14:textId="77777777" w:rsidTr="009A03E9">
        <w:trPr>
          <w:trHeight w:val="397"/>
        </w:trPr>
        <w:tc>
          <w:tcPr>
            <w:tcW w:w="5000" w:type="pct"/>
            <w:gridSpan w:val="6"/>
            <w:tcBorders>
              <w:top w:val="single" w:sz="4" w:space="0" w:color="auto"/>
              <w:left w:val="nil"/>
              <w:bottom w:val="single" w:sz="4" w:space="0" w:color="auto"/>
              <w:right w:val="nil"/>
            </w:tcBorders>
            <w:vAlign w:val="center"/>
          </w:tcPr>
          <w:p w14:paraId="3D56B2A8" w14:textId="77777777" w:rsidR="00AC69FF" w:rsidRPr="009A03E9" w:rsidRDefault="00AC69FF" w:rsidP="009A03E9">
            <w:pPr>
              <w:pStyle w:val="TableSubHead0"/>
            </w:pPr>
            <w:r w:rsidRPr="009A03E9">
              <w:t>Water</w:t>
            </w:r>
          </w:p>
        </w:tc>
      </w:tr>
      <w:tr w:rsidR="00AC69FF" w:rsidRPr="0099274D" w14:paraId="10C78072" w14:textId="77777777" w:rsidTr="009B4975">
        <w:tc>
          <w:tcPr>
            <w:tcW w:w="813" w:type="pct"/>
            <w:tcBorders>
              <w:top w:val="single" w:sz="4" w:space="0" w:color="auto"/>
              <w:left w:val="nil"/>
              <w:bottom w:val="nil"/>
              <w:right w:val="nil"/>
            </w:tcBorders>
          </w:tcPr>
          <w:p w14:paraId="16891F3D" w14:textId="77777777" w:rsidR="00AC69FF" w:rsidRPr="0099274D" w:rsidRDefault="00AC69FF" w:rsidP="009B4975">
            <w:pPr>
              <w:pStyle w:val="TableText"/>
            </w:pPr>
            <w:r w:rsidRPr="0099274D">
              <w:t xml:space="preserve">PEC </w:t>
            </w:r>
          </w:p>
        </w:tc>
        <w:tc>
          <w:tcPr>
            <w:tcW w:w="516" w:type="pct"/>
            <w:tcBorders>
              <w:top w:val="single" w:sz="4" w:space="0" w:color="auto"/>
              <w:left w:val="nil"/>
              <w:bottom w:val="nil"/>
              <w:right w:val="nil"/>
            </w:tcBorders>
          </w:tcPr>
          <w:p w14:paraId="25801398" w14:textId="77777777" w:rsidR="00AC69FF" w:rsidRPr="0099274D" w:rsidRDefault="00AC69FF" w:rsidP="009B4975">
            <w:pPr>
              <w:pStyle w:val="TableText"/>
              <w:rPr>
                <w:sz w:val="16"/>
                <w:szCs w:val="16"/>
              </w:rPr>
            </w:pPr>
            <w:r w:rsidRPr="0099274D">
              <w:rPr>
                <w:sz w:val="16"/>
                <w:szCs w:val="16"/>
              </w:rPr>
              <w:t>(</w:t>
            </w:r>
            <w:r w:rsidRPr="0099274D">
              <w:rPr>
                <w:sz w:val="16"/>
                <w:szCs w:val="16"/>
                <w:lang w:eastAsia="en-AU"/>
              </w:rPr>
              <w:t>µg/L</w:t>
            </w:r>
            <w:r w:rsidRPr="0099274D">
              <w:rPr>
                <w:sz w:val="16"/>
                <w:szCs w:val="16"/>
              </w:rPr>
              <w:t>)</w:t>
            </w:r>
          </w:p>
        </w:tc>
        <w:tc>
          <w:tcPr>
            <w:tcW w:w="919" w:type="pct"/>
            <w:tcBorders>
              <w:top w:val="single" w:sz="4" w:space="0" w:color="auto"/>
              <w:left w:val="nil"/>
              <w:bottom w:val="nil"/>
              <w:right w:val="nil"/>
            </w:tcBorders>
          </w:tcPr>
          <w:p w14:paraId="3D7C7D0B" w14:textId="77777777" w:rsidR="00AC69FF" w:rsidRPr="0099274D" w:rsidRDefault="00AC69FF" w:rsidP="009B4975">
            <w:pPr>
              <w:pStyle w:val="TableText"/>
            </w:pPr>
            <w:r>
              <w:t>0.065</w:t>
            </w:r>
          </w:p>
        </w:tc>
        <w:tc>
          <w:tcPr>
            <w:tcW w:w="919" w:type="pct"/>
            <w:tcBorders>
              <w:top w:val="single" w:sz="4" w:space="0" w:color="auto"/>
              <w:left w:val="nil"/>
              <w:bottom w:val="nil"/>
              <w:right w:val="nil"/>
            </w:tcBorders>
          </w:tcPr>
          <w:p w14:paraId="6BD5EC21" w14:textId="77777777" w:rsidR="00AC69FF" w:rsidRPr="001038C8" w:rsidRDefault="00AC69FF" w:rsidP="009B4975">
            <w:pPr>
              <w:pStyle w:val="TableText"/>
            </w:pPr>
            <w:r w:rsidRPr="001038C8">
              <w:t>0.</w:t>
            </w:r>
            <w:r>
              <w:t>65</w:t>
            </w:r>
          </w:p>
        </w:tc>
        <w:tc>
          <w:tcPr>
            <w:tcW w:w="919" w:type="pct"/>
            <w:tcBorders>
              <w:top w:val="single" w:sz="4" w:space="0" w:color="auto"/>
              <w:left w:val="nil"/>
              <w:bottom w:val="nil"/>
              <w:right w:val="nil"/>
            </w:tcBorders>
          </w:tcPr>
          <w:p w14:paraId="08D0A5BA" w14:textId="77777777" w:rsidR="00AC69FF" w:rsidRPr="001038C8" w:rsidRDefault="00AC69FF" w:rsidP="009B4975">
            <w:pPr>
              <w:pStyle w:val="TableText"/>
            </w:pPr>
            <w:r>
              <w:t>0.40</w:t>
            </w:r>
          </w:p>
        </w:tc>
        <w:tc>
          <w:tcPr>
            <w:tcW w:w="915" w:type="pct"/>
            <w:tcBorders>
              <w:top w:val="single" w:sz="4" w:space="0" w:color="auto"/>
              <w:left w:val="nil"/>
              <w:bottom w:val="nil"/>
              <w:right w:val="nil"/>
            </w:tcBorders>
          </w:tcPr>
          <w:p w14:paraId="47728E3C" w14:textId="77777777" w:rsidR="00AC69FF" w:rsidRPr="001038C8" w:rsidRDefault="00AC69FF" w:rsidP="009B4975">
            <w:pPr>
              <w:pStyle w:val="TableText"/>
            </w:pPr>
            <w:r>
              <w:t>7.2</w:t>
            </w:r>
          </w:p>
        </w:tc>
      </w:tr>
      <w:tr w:rsidR="00AC69FF" w:rsidRPr="0099274D" w14:paraId="4A00047A" w14:textId="77777777" w:rsidTr="009B4975">
        <w:tc>
          <w:tcPr>
            <w:tcW w:w="813" w:type="pct"/>
            <w:tcBorders>
              <w:top w:val="nil"/>
              <w:left w:val="nil"/>
              <w:bottom w:val="nil"/>
              <w:right w:val="nil"/>
            </w:tcBorders>
          </w:tcPr>
          <w:p w14:paraId="5097576D" w14:textId="77777777" w:rsidR="00AC69FF" w:rsidRPr="0099274D" w:rsidRDefault="00AC69FF" w:rsidP="009B4975">
            <w:pPr>
              <w:pStyle w:val="TableText"/>
            </w:pPr>
            <w:r w:rsidRPr="0099274D">
              <w:t>RAL</w:t>
            </w:r>
          </w:p>
        </w:tc>
        <w:tc>
          <w:tcPr>
            <w:tcW w:w="516" w:type="pct"/>
            <w:tcBorders>
              <w:top w:val="nil"/>
              <w:left w:val="nil"/>
              <w:bottom w:val="nil"/>
              <w:right w:val="nil"/>
            </w:tcBorders>
          </w:tcPr>
          <w:p w14:paraId="5901CB69" w14:textId="77777777" w:rsidR="00AC69FF" w:rsidRPr="0099274D" w:rsidRDefault="00AC69FF" w:rsidP="009B4975">
            <w:pPr>
              <w:pStyle w:val="TableText"/>
              <w:rPr>
                <w:sz w:val="16"/>
                <w:szCs w:val="16"/>
              </w:rPr>
            </w:pPr>
            <w:r w:rsidRPr="0099274D">
              <w:rPr>
                <w:sz w:val="16"/>
                <w:szCs w:val="16"/>
              </w:rPr>
              <w:t>(</w:t>
            </w:r>
            <w:r w:rsidRPr="0099274D">
              <w:rPr>
                <w:sz w:val="16"/>
                <w:szCs w:val="16"/>
                <w:lang w:eastAsia="en-AU"/>
              </w:rPr>
              <w:t>µg/L</w:t>
            </w:r>
            <w:r w:rsidRPr="0099274D">
              <w:rPr>
                <w:sz w:val="16"/>
                <w:szCs w:val="16"/>
              </w:rPr>
              <w:t>)</w:t>
            </w:r>
          </w:p>
        </w:tc>
        <w:tc>
          <w:tcPr>
            <w:tcW w:w="919" w:type="pct"/>
            <w:tcBorders>
              <w:top w:val="nil"/>
              <w:left w:val="nil"/>
              <w:bottom w:val="nil"/>
              <w:right w:val="nil"/>
            </w:tcBorders>
          </w:tcPr>
          <w:p w14:paraId="34E55AAE" w14:textId="77777777" w:rsidR="00AC69FF" w:rsidRPr="0099274D" w:rsidRDefault="00AC69FF" w:rsidP="009B4975">
            <w:pPr>
              <w:pStyle w:val="TableText"/>
            </w:pPr>
            <w:r>
              <w:t>1.4</w:t>
            </w:r>
          </w:p>
        </w:tc>
        <w:tc>
          <w:tcPr>
            <w:tcW w:w="919" w:type="pct"/>
            <w:tcBorders>
              <w:top w:val="nil"/>
              <w:left w:val="nil"/>
              <w:bottom w:val="nil"/>
              <w:right w:val="nil"/>
            </w:tcBorders>
          </w:tcPr>
          <w:p w14:paraId="5DD48F63" w14:textId="77777777" w:rsidR="00AC69FF" w:rsidRPr="001038C8" w:rsidRDefault="00AC69FF" w:rsidP="009B4975">
            <w:pPr>
              <w:pStyle w:val="TableText"/>
            </w:pPr>
            <w:r w:rsidRPr="006B1E83">
              <w:t>1.</w:t>
            </w:r>
            <w:r>
              <w:t>4</w:t>
            </w:r>
          </w:p>
        </w:tc>
        <w:tc>
          <w:tcPr>
            <w:tcW w:w="919" w:type="pct"/>
            <w:tcBorders>
              <w:top w:val="nil"/>
              <w:left w:val="nil"/>
              <w:bottom w:val="nil"/>
              <w:right w:val="nil"/>
            </w:tcBorders>
          </w:tcPr>
          <w:p w14:paraId="3E8DC26D" w14:textId="77777777" w:rsidR="00AC69FF" w:rsidRPr="001038C8" w:rsidRDefault="00AC69FF" w:rsidP="009B4975">
            <w:pPr>
              <w:pStyle w:val="TableText"/>
            </w:pPr>
            <w:r w:rsidRPr="006B1E83">
              <w:t>1.</w:t>
            </w:r>
            <w:r>
              <w:t>4</w:t>
            </w:r>
          </w:p>
        </w:tc>
        <w:tc>
          <w:tcPr>
            <w:tcW w:w="915" w:type="pct"/>
            <w:tcBorders>
              <w:top w:val="nil"/>
              <w:left w:val="nil"/>
              <w:bottom w:val="nil"/>
              <w:right w:val="nil"/>
            </w:tcBorders>
          </w:tcPr>
          <w:p w14:paraId="5F6893EE" w14:textId="77777777" w:rsidR="00AC69FF" w:rsidRPr="001038C8" w:rsidRDefault="00AC69FF" w:rsidP="009B4975">
            <w:pPr>
              <w:pStyle w:val="TableText"/>
            </w:pPr>
            <w:r w:rsidRPr="006B1E83">
              <w:t>1.</w:t>
            </w:r>
            <w:r>
              <w:t>4</w:t>
            </w:r>
          </w:p>
        </w:tc>
      </w:tr>
      <w:tr w:rsidR="00AC69FF" w:rsidRPr="0099274D" w14:paraId="6C41EB1F" w14:textId="77777777" w:rsidTr="009B4975">
        <w:tc>
          <w:tcPr>
            <w:tcW w:w="813" w:type="pct"/>
            <w:tcBorders>
              <w:top w:val="nil"/>
              <w:left w:val="nil"/>
              <w:bottom w:val="single" w:sz="4" w:space="0" w:color="auto"/>
              <w:right w:val="nil"/>
            </w:tcBorders>
          </w:tcPr>
          <w:p w14:paraId="7DB88F30" w14:textId="77777777" w:rsidR="00AC69FF" w:rsidRPr="0099274D" w:rsidRDefault="00AC69FF" w:rsidP="009B4975">
            <w:pPr>
              <w:pStyle w:val="TableText"/>
            </w:pPr>
            <w:r w:rsidRPr="0099274D">
              <w:t>Risk quotient</w:t>
            </w:r>
          </w:p>
        </w:tc>
        <w:tc>
          <w:tcPr>
            <w:tcW w:w="516" w:type="pct"/>
            <w:tcBorders>
              <w:top w:val="nil"/>
              <w:left w:val="nil"/>
              <w:bottom w:val="single" w:sz="4" w:space="0" w:color="auto"/>
              <w:right w:val="nil"/>
            </w:tcBorders>
          </w:tcPr>
          <w:p w14:paraId="2C5A2098" w14:textId="77777777" w:rsidR="00AC69FF" w:rsidRPr="0099274D" w:rsidRDefault="00AC69FF" w:rsidP="009B4975">
            <w:pPr>
              <w:pStyle w:val="TableText"/>
              <w:rPr>
                <w:sz w:val="16"/>
                <w:szCs w:val="16"/>
              </w:rPr>
            </w:pPr>
            <w:r w:rsidRPr="0099274D">
              <w:rPr>
                <w:sz w:val="16"/>
                <w:szCs w:val="16"/>
              </w:rPr>
              <w:t>(fraction)</w:t>
            </w:r>
          </w:p>
        </w:tc>
        <w:tc>
          <w:tcPr>
            <w:tcW w:w="919" w:type="pct"/>
            <w:tcBorders>
              <w:top w:val="nil"/>
              <w:left w:val="nil"/>
              <w:bottom w:val="single" w:sz="4" w:space="0" w:color="auto"/>
              <w:right w:val="nil"/>
            </w:tcBorders>
          </w:tcPr>
          <w:p w14:paraId="18A14050" w14:textId="77777777" w:rsidR="00AC69FF" w:rsidRPr="0099274D" w:rsidRDefault="00AC69FF" w:rsidP="009B4975">
            <w:pPr>
              <w:pStyle w:val="TableText"/>
            </w:pPr>
            <w:r>
              <w:t>0.046</w:t>
            </w:r>
          </w:p>
        </w:tc>
        <w:tc>
          <w:tcPr>
            <w:tcW w:w="919" w:type="pct"/>
            <w:tcBorders>
              <w:top w:val="nil"/>
              <w:left w:val="nil"/>
              <w:bottom w:val="single" w:sz="4" w:space="0" w:color="auto"/>
              <w:right w:val="nil"/>
            </w:tcBorders>
          </w:tcPr>
          <w:p w14:paraId="7D2CEF69" w14:textId="77777777" w:rsidR="00AC69FF" w:rsidRPr="001038C8" w:rsidRDefault="00AC69FF" w:rsidP="009B4975">
            <w:pPr>
              <w:pStyle w:val="TableText"/>
            </w:pPr>
            <w:r>
              <w:t>0.47</w:t>
            </w:r>
          </w:p>
        </w:tc>
        <w:tc>
          <w:tcPr>
            <w:tcW w:w="919" w:type="pct"/>
            <w:tcBorders>
              <w:top w:val="nil"/>
              <w:left w:val="nil"/>
              <w:bottom w:val="single" w:sz="4" w:space="0" w:color="auto"/>
              <w:right w:val="nil"/>
            </w:tcBorders>
          </w:tcPr>
          <w:p w14:paraId="3FE991BF" w14:textId="77777777" w:rsidR="00AC69FF" w:rsidRPr="001038C8" w:rsidRDefault="00AC69FF" w:rsidP="009B4975">
            <w:pPr>
              <w:pStyle w:val="TableText"/>
            </w:pPr>
            <w:r>
              <w:t>0.28</w:t>
            </w:r>
          </w:p>
        </w:tc>
        <w:tc>
          <w:tcPr>
            <w:tcW w:w="915" w:type="pct"/>
            <w:tcBorders>
              <w:top w:val="nil"/>
              <w:left w:val="nil"/>
              <w:bottom w:val="single" w:sz="4" w:space="0" w:color="auto"/>
              <w:right w:val="nil"/>
            </w:tcBorders>
            <w:shd w:val="clear" w:color="auto" w:fill="FF0000"/>
          </w:tcPr>
          <w:p w14:paraId="7E8916F0" w14:textId="77777777" w:rsidR="00AC69FF" w:rsidRPr="009163BD" w:rsidRDefault="00AC69FF" w:rsidP="009B4975">
            <w:pPr>
              <w:pStyle w:val="TableText"/>
              <w:rPr>
                <w:b/>
                <w:bCs/>
              </w:rPr>
            </w:pPr>
            <w:r>
              <w:rPr>
                <w:b/>
                <w:bCs/>
              </w:rPr>
              <w:t>5.1</w:t>
            </w:r>
          </w:p>
        </w:tc>
      </w:tr>
      <w:tr w:rsidR="00AC69FF" w:rsidRPr="0099274D" w14:paraId="0DBC2130" w14:textId="77777777" w:rsidTr="009A03E9">
        <w:trPr>
          <w:trHeight w:val="397"/>
        </w:trPr>
        <w:tc>
          <w:tcPr>
            <w:tcW w:w="5000" w:type="pct"/>
            <w:gridSpan w:val="6"/>
            <w:tcBorders>
              <w:top w:val="single" w:sz="4" w:space="0" w:color="auto"/>
              <w:left w:val="nil"/>
              <w:bottom w:val="single" w:sz="4" w:space="0" w:color="auto"/>
              <w:right w:val="nil"/>
            </w:tcBorders>
            <w:vAlign w:val="center"/>
          </w:tcPr>
          <w:p w14:paraId="37E600DE" w14:textId="77777777" w:rsidR="00AC69FF" w:rsidRPr="001038C8" w:rsidRDefault="00AC69FF" w:rsidP="00650447">
            <w:pPr>
              <w:pStyle w:val="TableSubHead0"/>
            </w:pPr>
            <w:r w:rsidRPr="001038C8">
              <w:t>Sediment</w:t>
            </w:r>
          </w:p>
        </w:tc>
      </w:tr>
      <w:tr w:rsidR="00AC69FF" w:rsidRPr="0099274D" w14:paraId="597B91E4" w14:textId="77777777" w:rsidTr="009B4975">
        <w:tc>
          <w:tcPr>
            <w:tcW w:w="813" w:type="pct"/>
            <w:tcBorders>
              <w:top w:val="single" w:sz="4" w:space="0" w:color="auto"/>
              <w:left w:val="nil"/>
              <w:bottom w:val="nil"/>
              <w:right w:val="nil"/>
            </w:tcBorders>
          </w:tcPr>
          <w:p w14:paraId="0551EE6E" w14:textId="77777777" w:rsidR="00AC69FF" w:rsidRPr="0099274D" w:rsidRDefault="00AC69FF" w:rsidP="009B4975">
            <w:pPr>
              <w:pStyle w:val="TableText"/>
            </w:pPr>
            <w:r w:rsidRPr="0099274D">
              <w:t xml:space="preserve">PEC </w:t>
            </w:r>
          </w:p>
        </w:tc>
        <w:tc>
          <w:tcPr>
            <w:tcW w:w="516" w:type="pct"/>
            <w:tcBorders>
              <w:top w:val="single" w:sz="4" w:space="0" w:color="auto"/>
              <w:left w:val="nil"/>
              <w:bottom w:val="nil"/>
              <w:right w:val="nil"/>
            </w:tcBorders>
          </w:tcPr>
          <w:p w14:paraId="3334AA15" w14:textId="77777777" w:rsidR="00AC69FF" w:rsidRPr="0099274D" w:rsidRDefault="00AC69FF" w:rsidP="009B4975">
            <w:pPr>
              <w:pStyle w:val="TableText"/>
              <w:rPr>
                <w:sz w:val="16"/>
                <w:szCs w:val="16"/>
              </w:rPr>
            </w:pPr>
            <w:r w:rsidRPr="0099274D">
              <w:rPr>
                <w:sz w:val="16"/>
                <w:szCs w:val="16"/>
              </w:rPr>
              <w:t>(</w:t>
            </w:r>
            <w:r w:rsidRPr="0099274D">
              <w:rPr>
                <w:sz w:val="16"/>
                <w:szCs w:val="16"/>
                <w:lang w:eastAsia="en-AU"/>
              </w:rPr>
              <w:t>mg/kg</w:t>
            </w:r>
            <w:r w:rsidRPr="0099274D">
              <w:rPr>
                <w:sz w:val="16"/>
                <w:szCs w:val="16"/>
              </w:rPr>
              <w:t>)</w:t>
            </w:r>
          </w:p>
        </w:tc>
        <w:tc>
          <w:tcPr>
            <w:tcW w:w="919" w:type="pct"/>
            <w:tcBorders>
              <w:top w:val="single" w:sz="4" w:space="0" w:color="auto"/>
              <w:left w:val="nil"/>
              <w:bottom w:val="nil"/>
              <w:right w:val="nil"/>
            </w:tcBorders>
          </w:tcPr>
          <w:p w14:paraId="066DC358" w14:textId="77777777" w:rsidR="00AC69FF" w:rsidRPr="0099274D" w:rsidRDefault="00AC69FF" w:rsidP="009B4975">
            <w:pPr>
              <w:pStyle w:val="TableText"/>
            </w:pPr>
            <w:r>
              <w:t>3.3</w:t>
            </w:r>
          </w:p>
        </w:tc>
        <w:tc>
          <w:tcPr>
            <w:tcW w:w="919" w:type="pct"/>
            <w:tcBorders>
              <w:top w:val="single" w:sz="4" w:space="0" w:color="auto"/>
              <w:left w:val="nil"/>
              <w:bottom w:val="nil"/>
              <w:right w:val="nil"/>
            </w:tcBorders>
          </w:tcPr>
          <w:p w14:paraId="3BEBC708" w14:textId="77777777" w:rsidR="00AC69FF" w:rsidRPr="001038C8" w:rsidRDefault="00AC69FF" w:rsidP="009B4975">
            <w:pPr>
              <w:pStyle w:val="TableText"/>
            </w:pPr>
            <w:r>
              <w:t>33</w:t>
            </w:r>
          </w:p>
        </w:tc>
        <w:tc>
          <w:tcPr>
            <w:tcW w:w="919" w:type="pct"/>
            <w:tcBorders>
              <w:top w:val="single" w:sz="4" w:space="0" w:color="auto"/>
              <w:left w:val="nil"/>
              <w:bottom w:val="nil"/>
              <w:right w:val="nil"/>
            </w:tcBorders>
          </w:tcPr>
          <w:p w14:paraId="5F3F635C" w14:textId="77777777" w:rsidR="00AC69FF" w:rsidRPr="001038C8" w:rsidRDefault="00AC69FF" w:rsidP="009B4975">
            <w:pPr>
              <w:pStyle w:val="TableText"/>
            </w:pPr>
            <w:r>
              <w:t>20</w:t>
            </w:r>
          </w:p>
        </w:tc>
        <w:tc>
          <w:tcPr>
            <w:tcW w:w="915" w:type="pct"/>
            <w:tcBorders>
              <w:top w:val="single" w:sz="4" w:space="0" w:color="auto"/>
              <w:left w:val="nil"/>
              <w:bottom w:val="nil"/>
              <w:right w:val="nil"/>
            </w:tcBorders>
          </w:tcPr>
          <w:p w14:paraId="1DD39804" w14:textId="77777777" w:rsidR="00AC69FF" w:rsidRPr="001038C8" w:rsidRDefault="00AC69FF" w:rsidP="009B4975">
            <w:pPr>
              <w:pStyle w:val="TableText"/>
            </w:pPr>
            <w:r>
              <w:t>367</w:t>
            </w:r>
          </w:p>
        </w:tc>
      </w:tr>
      <w:tr w:rsidR="00AC69FF" w:rsidRPr="0099274D" w14:paraId="2AF1115E" w14:textId="77777777" w:rsidTr="009B4975">
        <w:tc>
          <w:tcPr>
            <w:tcW w:w="813" w:type="pct"/>
            <w:tcBorders>
              <w:top w:val="nil"/>
              <w:left w:val="nil"/>
              <w:bottom w:val="nil"/>
              <w:right w:val="nil"/>
            </w:tcBorders>
          </w:tcPr>
          <w:p w14:paraId="7498B9C2" w14:textId="77777777" w:rsidR="00AC69FF" w:rsidRPr="0099274D" w:rsidRDefault="00AC69FF" w:rsidP="009B4975">
            <w:pPr>
              <w:pStyle w:val="TableText"/>
            </w:pPr>
            <w:r w:rsidRPr="0099274D">
              <w:t>RAL</w:t>
            </w:r>
          </w:p>
        </w:tc>
        <w:tc>
          <w:tcPr>
            <w:tcW w:w="516" w:type="pct"/>
            <w:tcBorders>
              <w:top w:val="nil"/>
              <w:left w:val="nil"/>
              <w:bottom w:val="nil"/>
              <w:right w:val="nil"/>
            </w:tcBorders>
          </w:tcPr>
          <w:p w14:paraId="221B30D4" w14:textId="77777777" w:rsidR="00AC69FF" w:rsidRPr="0099274D" w:rsidRDefault="00AC69FF" w:rsidP="009B4975">
            <w:pPr>
              <w:pStyle w:val="TableText"/>
              <w:rPr>
                <w:sz w:val="16"/>
                <w:szCs w:val="16"/>
              </w:rPr>
            </w:pPr>
            <w:r w:rsidRPr="0099274D">
              <w:rPr>
                <w:sz w:val="16"/>
                <w:szCs w:val="16"/>
              </w:rPr>
              <w:t>(</w:t>
            </w:r>
            <w:r w:rsidRPr="0099274D">
              <w:rPr>
                <w:sz w:val="16"/>
                <w:szCs w:val="16"/>
                <w:lang w:eastAsia="en-AU"/>
              </w:rPr>
              <w:t>mg/kg</w:t>
            </w:r>
            <w:r w:rsidRPr="0099274D">
              <w:rPr>
                <w:sz w:val="16"/>
                <w:szCs w:val="16"/>
              </w:rPr>
              <w:t>)</w:t>
            </w:r>
          </w:p>
        </w:tc>
        <w:tc>
          <w:tcPr>
            <w:tcW w:w="919" w:type="pct"/>
            <w:tcBorders>
              <w:top w:val="nil"/>
              <w:left w:val="nil"/>
              <w:bottom w:val="nil"/>
              <w:right w:val="nil"/>
            </w:tcBorders>
          </w:tcPr>
          <w:p w14:paraId="082CF77B" w14:textId="77777777" w:rsidR="00AC69FF" w:rsidRPr="0099274D" w:rsidRDefault="00AC69FF" w:rsidP="009B4975">
            <w:pPr>
              <w:pStyle w:val="TableText"/>
            </w:pPr>
            <w:r>
              <w:t>11</w:t>
            </w:r>
          </w:p>
        </w:tc>
        <w:tc>
          <w:tcPr>
            <w:tcW w:w="919" w:type="pct"/>
            <w:tcBorders>
              <w:top w:val="nil"/>
              <w:left w:val="nil"/>
              <w:bottom w:val="nil"/>
              <w:right w:val="nil"/>
            </w:tcBorders>
          </w:tcPr>
          <w:p w14:paraId="401EE195" w14:textId="77777777" w:rsidR="00AC69FF" w:rsidRPr="001038C8" w:rsidRDefault="00AC69FF" w:rsidP="009B4975">
            <w:pPr>
              <w:pStyle w:val="TableText"/>
            </w:pPr>
            <w:r w:rsidRPr="001038C8">
              <w:t>11</w:t>
            </w:r>
          </w:p>
        </w:tc>
        <w:tc>
          <w:tcPr>
            <w:tcW w:w="919" w:type="pct"/>
            <w:tcBorders>
              <w:top w:val="nil"/>
              <w:left w:val="nil"/>
              <w:bottom w:val="nil"/>
              <w:right w:val="nil"/>
            </w:tcBorders>
          </w:tcPr>
          <w:p w14:paraId="7BC0D7EF" w14:textId="77777777" w:rsidR="00AC69FF" w:rsidRPr="001038C8" w:rsidRDefault="00AC69FF" w:rsidP="009B4975">
            <w:pPr>
              <w:pStyle w:val="TableText"/>
            </w:pPr>
            <w:r>
              <w:t>11</w:t>
            </w:r>
          </w:p>
        </w:tc>
        <w:tc>
          <w:tcPr>
            <w:tcW w:w="915" w:type="pct"/>
            <w:tcBorders>
              <w:top w:val="nil"/>
              <w:left w:val="nil"/>
              <w:bottom w:val="nil"/>
              <w:right w:val="nil"/>
            </w:tcBorders>
          </w:tcPr>
          <w:p w14:paraId="3028DE9E" w14:textId="77777777" w:rsidR="00AC69FF" w:rsidRPr="001038C8" w:rsidRDefault="00AC69FF" w:rsidP="009B4975">
            <w:pPr>
              <w:pStyle w:val="TableText"/>
            </w:pPr>
            <w:r>
              <w:t>11</w:t>
            </w:r>
          </w:p>
        </w:tc>
      </w:tr>
      <w:tr w:rsidR="00AC69FF" w:rsidRPr="0099274D" w14:paraId="24084663" w14:textId="77777777" w:rsidTr="009B4975">
        <w:tc>
          <w:tcPr>
            <w:tcW w:w="813" w:type="pct"/>
            <w:tcBorders>
              <w:top w:val="nil"/>
              <w:left w:val="nil"/>
              <w:bottom w:val="single" w:sz="4" w:space="0" w:color="auto"/>
              <w:right w:val="nil"/>
            </w:tcBorders>
          </w:tcPr>
          <w:p w14:paraId="7D33FEF0" w14:textId="77777777" w:rsidR="00AC69FF" w:rsidRPr="0099274D" w:rsidRDefault="00AC69FF" w:rsidP="009B4975">
            <w:pPr>
              <w:pStyle w:val="TableText"/>
            </w:pPr>
            <w:r w:rsidRPr="0099274D">
              <w:t>Risk quotient</w:t>
            </w:r>
          </w:p>
        </w:tc>
        <w:tc>
          <w:tcPr>
            <w:tcW w:w="516" w:type="pct"/>
            <w:tcBorders>
              <w:top w:val="nil"/>
              <w:left w:val="nil"/>
              <w:bottom w:val="single" w:sz="4" w:space="0" w:color="auto"/>
              <w:right w:val="nil"/>
            </w:tcBorders>
          </w:tcPr>
          <w:p w14:paraId="4EC83B71" w14:textId="77777777" w:rsidR="00AC69FF" w:rsidRPr="0099274D" w:rsidRDefault="00AC69FF" w:rsidP="009B4975">
            <w:pPr>
              <w:pStyle w:val="TableText"/>
              <w:rPr>
                <w:sz w:val="16"/>
                <w:szCs w:val="16"/>
              </w:rPr>
            </w:pPr>
            <w:r w:rsidRPr="0099274D">
              <w:rPr>
                <w:sz w:val="16"/>
                <w:szCs w:val="16"/>
              </w:rPr>
              <w:t>(fraction)</w:t>
            </w:r>
          </w:p>
        </w:tc>
        <w:tc>
          <w:tcPr>
            <w:tcW w:w="919" w:type="pct"/>
            <w:tcBorders>
              <w:top w:val="nil"/>
              <w:left w:val="nil"/>
              <w:bottom w:val="single" w:sz="4" w:space="0" w:color="auto"/>
              <w:right w:val="nil"/>
            </w:tcBorders>
          </w:tcPr>
          <w:p w14:paraId="729D3A6F" w14:textId="77777777" w:rsidR="00AC69FF" w:rsidRPr="0099274D" w:rsidRDefault="00AC69FF" w:rsidP="009B4975">
            <w:pPr>
              <w:pStyle w:val="TableText"/>
            </w:pPr>
            <w:r>
              <w:t>0.30</w:t>
            </w:r>
          </w:p>
        </w:tc>
        <w:tc>
          <w:tcPr>
            <w:tcW w:w="919" w:type="pct"/>
            <w:tcBorders>
              <w:top w:val="nil"/>
              <w:left w:val="nil"/>
              <w:bottom w:val="single" w:sz="4" w:space="0" w:color="auto"/>
              <w:right w:val="nil"/>
            </w:tcBorders>
            <w:shd w:val="clear" w:color="auto" w:fill="FF0000"/>
          </w:tcPr>
          <w:p w14:paraId="14D7B31B" w14:textId="77777777" w:rsidR="00AC69FF" w:rsidRPr="00C643AA" w:rsidRDefault="00AC69FF" w:rsidP="009B4975">
            <w:pPr>
              <w:pStyle w:val="TableText"/>
              <w:rPr>
                <w:b/>
                <w:bCs/>
              </w:rPr>
            </w:pPr>
            <w:r>
              <w:rPr>
                <w:b/>
                <w:bCs/>
              </w:rPr>
              <w:t>3.0</w:t>
            </w:r>
          </w:p>
        </w:tc>
        <w:tc>
          <w:tcPr>
            <w:tcW w:w="919" w:type="pct"/>
            <w:tcBorders>
              <w:top w:val="nil"/>
              <w:left w:val="nil"/>
              <w:bottom w:val="single" w:sz="4" w:space="0" w:color="auto"/>
              <w:right w:val="nil"/>
            </w:tcBorders>
            <w:shd w:val="clear" w:color="auto" w:fill="FF0000"/>
          </w:tcPr>
          <w:p w14:paraId="31FED32C" w14:textId="77777777" w:rsidR="00AC69FF" w:rsidRPr="009163BD" w:rsidRDefault="00AC69FF" w:rsidP="009B4975">
            <w:pPr>
              <w:pStyle w:val="TableText"/>
              <w:rPr>
                <w:b/>
                <w:bCs/>
              </w:rPr>
            </w:pPr>
            <w:r w:rsidRPr="009163BD">
              <w:rPr>
                <w:b/>
                <w:bCs/>
              </w:rPr>
              <w:t>1.9</w:t>
            </w:r>
          </w:p>
        </w:tc>
        <w:tc>
          <w:tcPr>
            <w:tcW w:w="915" w:type="pct"/>
            <w:tcBorders>
              <w:top w:val="nil"/>
              <w:left w:val="nil"/>
              <w:bottom w:val="single" w:sz="4" w:space="0" w:color="auto"/>
              <w:right w:val="nil"/>
            </w:tcBorders>
            <w:shd w:val="clear" w:color="auto" w:fill="FF0000"/>
          </w:tcPr>
          <w:p w14:paraId="17F819F3" w14:textId="77777777" w:rsidR="00AC69FF" w:rsidRPr="00C643AA" w:rsidRDefault="00AC69FF" w:rsidP="009B4975">
            <w:pPr>
              <w:pStyle w:val="TableText"/>
              <w:rPr>
                <w:b/>
                <w:bCs/>
              </w:rPr>
            </w:pPr>
            <w:r>
              <w:rPr>
                <w:b/>
                <w:bCs/>
              </w:rPr>
              <w:t>33</w:t>
            </w:r>
          </w:p>
        </w:tc>
      </w:tr>
    </w:tbl>
    <w:p w14:paraId="2CCC42C4" w14:textId="77777777" w:rsidR="00AC69FF" w:rsidRPr="00C643AA" w:rsidRDefault="00AC69FF" w:rsidP="009B4975">
      <w:pPr>
        <w:pStyle w:val="SourceTableNote"/>
      </w:pPr>
      <w:r w:rsidRPr="00C643AA">
        <w:t>Scenarios are based on annual applications of 1 × 800 g ac/ha for 20 years with no interception and soil DT</w:t>
      </w:r>
      <w:r w:rsidRPr="00C643AA">
        <w:rPr>
          <w:vertAlign w:val="subscript"/>
        </w:rPr>
        <w:t>50</w:t>
      </w:r>
      <w:r w:rsidRPr="00C643AA">
        <w:t xml:space="preserve"> of 1000 d or 41 years. Exposure rate is back-calculated from maximum predicted annual peak concentration in top 5-cm of soil (i.e. peak soil concentration * 750 = exposure rate). The peak accumulated soil concentrations are:</w:t>
      </w:r>
    </w:p>
    <w:p w14:paraId="332A1692" w14:textId="77777777" w:rsidR="00AC69FF" w:rsidRPr="00AC69FF" w:rsidRDefault="00AC69FF" w:rsidP="009B4975">
      <w:pPr>
        <w:pStyle w:val="SourceTableNote"/>
      </w:pPr>
      <w:r w:rsidRPr="00AC69FF">
        <w:tab/>
        <w:t>4.7 mg ac/kg ds with DT</w:t>
      </w:r>
      <w:r w:rsidRPr="00AC69FF">
        <w:rPr>
          <w:vertAlign w:val="subscript"/>
        </w:rPr>
        <w:t>50</w:t>
      </w:r>
      <w:r w:rsidRPr="00AC69FF">
        <w:t xml:space="preserve"> of 1000 days</w:t>
      </w:r>
    </w:p>
    <w:p w14:paraId="70B0AFCF" w14:textId="77777777" w:rsidR="00AC69FF" w:rsidRPr="00AC69FF" w:rsidRDefault="00AC69FF" w:rsidP="009B4975">
      <w:pPr>
        <w:pStyle w:val="SourceTableNote"/>
      </w:pPr>
      <w:r w:rsidRPr="00AC69FF">
        <w:tab/>
        <w:t>18.3 mg ac/kg ds with DT</w:t>
      </w:r>
      <w:r w:rsidRPr="00AC69FF">
        <w:rPr>
          <w:vertAlign w:val="subscript"/>
        </w:rPr>
        <w:t>50</w:t>
      </w:r>
      <w:r w:rsidRPr="00AC69FF">
        <w:t xml:space="preserve"> of 41 years</w:t>
      </w:r>
    </w:p>
    <w:p w14:paraId="4555910F" w14:textId="1CD14F05" w:rsidR="00AC69FF" w:rsidRPr="00AC69FF" w:rsidRDefault="00AC69FF" w:rsidP="009B4975">
      <w:pPr>
        <w:pStyle w:val="SourceTableNote"/>
      </w:pPr>
      <w:r w:rsidRPr="00AC69FF">
        <w:t>Soil DT</w:t>
      </w:r>
      <w:r w:rsidRPr="00AC69FF">
        <w:rPr>
          <w:vertAlign w:val="subscript"/>
        </w:rPr>
        <w:t>50</w:t>
      </w:r>
      <w:r w:rsidRPr="00AC69FF">
        <w:t>, K</w:t>
      </w:r>
      <w:r w:rsidRPr="00AC69FF">
        <w:rPr>
          <w:vertAlign w:val="subscript"/>
        </w:rPr>
        <w:t>f</w:t>
      </w:r>
      <w:r w:rsidRPr="00AC69FF">
        <w:t xml:space="preserve"> and 1/n from </w:t>
      </w:r>
      <w:r w:rsidRPr="00AC69FF">
        <w:fldChar w:fldCharType="begin" w:fldLock="1"/>
      </w:r>
      <w:r w:rsidRPr="00AC69FF">
        <w:instrText xml:space="preserve"> REF _Ref167444464 \h </w:instrText>
      </w:r>
      <w:r>
        <w:instrText xml:space="preserve"> \* MERGEFORMAT </w:instrText>
      </w:r>
      <w:r w:rsidRPr="00AC69FF">
        <w:fldChar w:fldCharType="separate"/>
      </w:r>
      <w:r w:rsidR="0033298E" w:rsidRPr="0033298E">
        <w:t xml:space="preserve">Table </w:t>
      </w:r>
      <w:r w:rsidR="0033298E" w:rsidRPr="0033298E">
        <w:rPr>
          <w:noProof/>
        </w:rPr>
        <w:t>25</w:t>
      </w:r>
      <w:r w:rsidRPr="00AC69FF">
        <w:fldChar w:fldCharType="end"/>
      </w:r>
    </w:p>
    <w:p w14:paraId="7EAAC5D6" w14:textId="77777777" w:rsidR="00AC69FF" w:rsidRPr="00AC69FF" w:rsidRDefault="00AC69FF" w:rsidP="009B4975">
      <w:pPr>
        <w:pStyle w:val="SourceTableNote"/>
      </w:pPr>
      <w:r w:rsidRPr="00AC69FF">
        <w:t>Rainfall P value is default for Tier 1</w:t>
      </w:r>
    </w:p>
    <w:p w14:paraId="78749754" w14:textId="77777777" w:rsidR="00AC69FF" w:rsidRPr="00AC69FF" w:rsidRDefault="00AC69FF" w:rsidP="009B4975">
      <w:pPr>
        <w:pStyle w:val="SourceTableNote"/>
      </w:pPr>
      <w:r w:rsidRPr="00AC69FF">
        <w:t>Runoff Q value = (((-0.000196 × (rain</w:t>
      </w:r>
      <w:r w:rsidRPr="00AC69FF">
        <w:rPr>
          <w:vertAlign w:val="superscript"/>
        </w:rPr>
        <w:t>3</w:t>
      </w:r>
      <w:r w:rsidRPr="00AC69FF">
        <w:t>)) + (0.0232 × (rain</w:t>
      </w:r>
      <w:r w:rsidRPr="00AC69FF">
        <w:rPr>
          <w:vertAlign w:val="superscript"/>
        </w:rPr>
        <w:t>2</w:t>
      </w:r>
      <w:r w:rsidRPr="00AC69FF">
        <w:t>))) + (-0.00520 × rain)); runoff curve for worst-case Australian soil profile</w:t>
      </w:r>
    </w:p>
    <w:p w14:paraId="2BDE63A2" w14:textId="77777777" w:rsidR="00AC69FF" w:rsidRPr="00AC69FF" w:rsidRDefault="00AC69FF" w:rsidP="009B4975">
      <w:pPr>
        <w:pStyle w:val="SourceTableNote"/>
      </w:pPr>
      <w:r w:rsidRPr="00AC69FF">
        <w:t>Cr</w:t>
      </w:r>
      <w:r w:rsidRPr="00AC69FF">
        <w:rPr>
          <w:vertAlign w:val="subscript"/>
        </w:rPr>
        <w:t>soil surface</w:t>
      </w:r>
      <w:r w:rsidRPr="00AC69FF">
        <w:t xml:space="preserve"> = EXP(-3 × ln(2) ∕ DT</w:t>
      </w:r>
      <w:r w:rsidRPr="00AC69FF">
        <w:rPr>
          <w:vertAlign w:val="subscript"/>
        </w:rPr>
        <w:t>50soil</w:t>
      </w:r>
      <w:r w:rsidRPr="00AC69FF">
        <w:t>) × (1 ∕ (1 + (application rate ∕ 750) ∕ (10^((Log</w:t>
      </w:r>
      <w:r w:rsidRPr="00AC69FF">
        <w:rPr>
          <w:vertAlign w:val="subscript"/>
        </w:rPr>
        <w:t>10</w:t>
      </w:r>
      <w:r w:rsidRPr="00AC69FF">
        <w:t>(application rate ∕ 750) – Log</w:t>
      </w:r>
      <w:r w:rsidRPr="00AC69FF">
        <w:rPr>
          <w:vertAlign w:val="subscript"/>
        </w:rPr>
        <w:t>10</w:t>
      </w:r>
      <w:r w:rsidRPr="00AC69FF">
        <w:t>(K</w:t>
      </w:r>
      <w:r w:rsidRPr="00AC69FF">
        <w:rPr>
          <w:vertAlign w:val="subscript"/>
        </w:rPr>
        <w:t>f</w:t>
      </w:r>
      <w:r w:rsidRPr="00AC69FF">
        <w:t>)) ∕ 1/n))))</w:t>
      </w:r>
    </w:p>
    <w:p w14:paraId="0DA109E8" w14:textId="77777777" w:rsidR="00AC69FF" w:rsidRPr="00AC69FF" w:rsidRDefault="00AC69FF" w:rsidP="009B4975">
      <w:pPr>
        <w:pStyle w:val="SourceTableNote"/>
      </w:pPr>
      <w:r w:rsidRPr="00AC69FF">
        <w:t>Slope factor F = (0.02153 × slope + 0.001423 × slope</w:t>
      </w:r>
      <w:r w:rsidRPr="00AC69FF">
        <w:rPr>
          <w:vertAlign w:val="superscript"/>
        </w:rPr>
        <w:t>2</w:t>
      </w:r>
      <w:r w:rsidRPr="00AC69FF">
        <w:t>), where the slope is 8% (default)</w:t>
      </w:r>
    </w:p>
    <w:p w14:paraId="7605CAC4" w14:textId="77777777" w:rsidR="00AC69FF" w:rsidRPr="00AC69FF" w:rsidRDefault="00AC69FF" w:rsidP="009B4975">
      <w:pPr>
        <w:pStyle w:val="SourceTableNote"/>
      </w:pPr>
      <w:r w:rsidRPr="00AC69FF">
        <w:lastRenderedPageBreak/>
        <w:t>Runoff (% applied) = Q ∕ P × F × Cr</w:t>
      </w:r>
      <w:r w:rsidRPr="00AC69FF">
        <w:rPr>
          <w:vertAlign w:val="subscript"/>
        </w:rPr>
        <w:t>soil surface</w:t>
      </w:r>
      <w:r w:rsidRPr="00AC69FF">
        <w:t xml:space="preserve"> × 0.5</w:t>
      </w:r>
    </w:p>
    <w:p w14:paraId="5740B7F7" w14:textId="77777777" w:rsidR="00AC69FF" w:rsidRPr="00AC69FF" w:rsidRDefault="00AC69FF" w:rsidP="009B4975">
      <w:pPr>
        <w:pStyle w:val="SourceTableNote"/>
      </w:pPr>
      <w:r w:rsidRPr="00AC69FF">
        <w:t>PEC (water) = application rate × %runoff ∕ 100 × 10 ∕ (1500 + 134)</w:t>
      </w:r>
    </w:p>
    <w:p w14:paraId="68DE54D2" w14:textId="0B60B61B" w:rsidR="00AC69FF" w:rsidRPr="00AC69FF" w:rsidRDefault="00AC69FF" w:rsidP="009B4975">
      <w:pPr>
        <w:pStyle w:val="SourceTableNote"/>
      </w:pPr>
      <w:r w:rsidRPr="00AC69FF">
        <w:t>PEC (sediment) = PEC (water) × (0.8 + (0.2 × K</w:t>
      </w:r>
      <w:r w:rsidRPr="00AC69FF">
        <w:rPr>
          <w:vertAlign w:val="subscript"/>
        </w:rPr>
        <w:t>P</w:t>
      </w:r>
      <w:r w:rsidRPr="00AC69FF">
        <w:t xml:space="preserve"> ∕ 1000 × 2400)) ∕ 1280, where K</w:t>
      </w:r>
      <w:r w:rsidRPr="00AC69FF">
        <w:rPr>
          <w:vertAlign w:val="subscript"/>
        </w:rPr>
        <w:t>P</w:t>
      </w:r>
      <w:r w:rsidRPr="00AC69FF">
        <w:t xml:space="preserve"> 136759 (from </w:t>
      </w:r>
      <w:r w:rsidRPr="00AC69FF">
        <w:fldChar w:fldCharType="begin" w:fldLock="1"/>
      </w:r>
      <w:r w:rsidRPr="00AC69FF">
        <w:instrText xml:space="preserve"> REF _Ref167444464 \h </w:instrText>
      </w:r>
      <w:r>
        <w:instrText xml:space="preserve"> \* MERGEFORMAT </w:instrText>
      </w:r>
      <w:r w:rsidRPr="00AC69FF">
        <w:fldChar w:fldCharType="separate"/>
      </w:r>
      <w:r w:rsidR="0033298E" w:rsidRPr="0033298E">
        <w:t xml:space="preserve">Table </w:t>
      </w:r>
      <w:r w:rsidR="0033298E" w:rsidRPr="0033298E">
        <w:rPr>
          <w:noProof/>
        </w:rPr>
        <w:t>25</w:t>
      </w:r>
      <w:r w:rsidRPr="00AC69FF">
        <w:fldChar w:fldCharType="end"/>
      </w:r>
      <w:r w:rsidRPr="00AC69FF">
        <w:t>)</w:t>
      </w:r>
    </w:p>
    <w:p w14:paraId="3468F12E" w14:textId="60F17F60" w:rsidR="00AC69FF" w:rsidRPr="00AC69FF" w:rsidRDefault="00AC69FF" w:rsidP="009B4975">
      <w:pPr>
        <w:pStyle w:val="SourceTableNote"/>
      </w:pPr>
      <w:r w:rsidRPr="00AC69FF">
        <w:t xml:space="preserve">RAL = regulatory acceptable level (from </w:t>
      </w:r>
      <w:r w:rsidRPr="00AC69FF">
        <w:fldChar w:fldCharType="begin" w:fldLock="1"/>
      </w:r>
      <w:r w:rsidRPr="00AC69FF">
        <w:instrText xml:space="preserve"> REF _Ref167441724 \h </w:instrText>
      </w:r>
      <w:r>
        <w:instrText xml:space="preserve"> \* MERGEFORMAT </w:instrText>
      </w:r>
      <w:r w:rsidRPr="00AC69FF">
        <w:fldChar w:fldCharType="separate"/>
      </w:r>
      <w:r w:rsidR="0033298E" w:rsidRPr="0033298E">
        <w:t xml:space="preserve">Table </w:t>
      </w:r>
      <w:r w:rsidR="0033298E" w:rsidRPr="0033298E">
        <w:rPr>
          <w:noProof/>
        </w:rPr>
        <w:t>28</w:t>
      </w:r>
      <w:r w:rsidRPr="00AC69FF">
        <w:fldChar w:fldCharType="end"/>
      </w:r>
      <w:r w:rsidRPr="00AC69FF">
        <w:t>)</w:t>
      </w:r>
    </w:p>
    <w:p w14:paraId="334A21EF" w14:textId="0EFDFAE4" w:rsidR="00AC69FF" w:rsidRPr="00CB2C77" w:rsidRDefault="00AC69FF" w:rsidP="009B4975">
      <w:pPr>
        <w:pStyle w:val="SourceTableNote"/>
      </w:pPr>
      <w:r w:rsidRPr="0099274D">
        <w:t>RQ = risk quotient = PEC ∕ RAL, where acceptable RQ ≤1</w:t>
      </w:r>
    </w:p>
    <w:p w14:paraId="265F893B" w14:textId="77777777" w:rsidR="00C271A0" w:rsidRPr="009B4975" w:rsidRDefault="00C271A0" w:rsidP="009B4975">
      <w:pPr>
        <w:pStyle w:val="Heading3"/>
      </w:pPr>
      <w:bookmarkStart w:id="432" w:name="_Toc233039033"/>
      <w:r w:rsidRPr="009B4975">
        <w:t>Bees</w:t>
      </w:r>
      <w:bookmarkEnd w:id="432"/>
    </w:p>
    <w:p w14:paraId="6F92C3AB" w14:textId="77777777" w:rsidR="00234CC4" w:rsidRPr="00234CC4" w:rsidRDefault="00234CC4" w:rsidP="009B4975">
      <w:pPr>
        <w:pStyle w:val="NormalText"/>
      </w:pPr>
      <w:r w:rsidRPr="00234CC4">
        <w:t>Exposure of bees is expected to be negligible for water injection and surface spray in aquatic areas. Therefore, risks to bees are acceptable for this use pattern.</w:t>
      </w:r>
    </w:p>
    <w:p w14:paraId="6C696723" w14:textId="29D60D5C" w:rsidR="00234CC4" w:rsidRPr="00234CC4" w:rsidRDefault="00234CC4" w:rsidP="009B4975">
      <w:pPr>
        <w:pStyle w:val="NormalText"/>
      </w:pPr>
      <w:r w:rsidRPr="00234CC4">
        <w:t>For spray applications, risks to bees foraging in treated areas are assessed using a tiered approach. A screening level risk assessment assumes the worst-case scenario of a direct overspray of blooming plants that are frequented by bees in order to identify those substances and associated uses that do not pose a risk. Risks of exposure to foliar residues (contact exposure) were acceptable at the highest application rate of 800 g ac/ha (</w:t>
      </w:r>
      <w:r w:rsidRPr="00234CC4">
        <w:fldChar w:fldCharType="begin" w:fldLock="1"/>
      </w:r>
      <w:r w:rsidRPr="00234CC4">
        <w:instrText xml:space="preserve"> REF _Ref221109717 \h </w:instrText>
      </w:r>
      <w:r>
        <w:instrText xml:space="preserve"> \* MERGEFORMAT </w:instrText>
      </w:r>
      <w:r w:rsidRPr="00234CC4">
        <w:fldChar w:fldCharType="separate"/>
      </w:r>
      <w:r w:rsidR="009205E5" w:rsidRPr="009205E5">
        <w:t xml:space="preserve">Table </w:t>
      </w:r>
      <w:r w:rsidR="009205E5" w:rsidRPr="009205E5">
        <w:rPr>
          <w:noProof/>
        </w:rPr>
        <w:t>32</w:t>
      </w:r>
      <w:r w:rsidRPr="00234CC4">
        <w:fldChar w:fldCharType="end"/>
      </w:r>
      <w:r w:rsidRPr="00234CC4">
        <w:t>). Acceptable risks of oral exposure (via pollen and nectar) to foraging bees could only be concluded at rates up to 300 g ac/ha. To refine the risk assessment 90</w:t>
      </w:r>
      <w:r w:rsidRPr="00234CC4">
        <w:rPr>
          <w:vertAlign w:val="superscript"/>
        </w:rPr>
        <w:t>th</w:t>
      </w:r>
      <w:r w:rsidRPr="00234CC4">
        <w:t xml:space="preserve"> percentile RUD values for nectar and pollen (from EFSA 2013b) were used to calculate estimated exposure concentrations (EECs). Based on the refined assessment an acceptable risk can be concluded at rates up to 800 g ac/ha. No protection statement is required.</w:t>
      </w:r>
    </w:p>
    <w:p w14:paraId="2BCBA5D7" w14:textId="6EEA307E" w:rsidR="00C271A0" w:rsidRPr="000179FF" w:rsidRDefault="009B30B8" w:rsidP="000179FF">
      <w:pPr>
        <w:pStyle w:val="Caption"/>
      </w:pPr>
      <w:bookmarkStart w:id="433" w:name="_Ref221109717"/>
      <w:bookmarkStart w:id="434" w:name="_Toc232589627"/>
      <w:r w:rsidRPr="000179FF">
        <w:t xml:space="preserve">Table </w:t>
      </w:r>
      <w:fldSimple w:instr=" SEQ Table \* ARABIC ">
        <w:r w:rsidR="000179FF">
          <w:rPr>
            <w:noProof/>
          </w:rPr>
          <w:t>32</w:t>
        </w:r>
      </w:fldSimple>
      <w:bookmarkEnd w:id="433"/>
      <w:r w:rsidRPr="000179FF">
        <w:t xml:space="preserve">: </w:t>
      </w:r>
      <w:r w:rsidR="00C271A0" w:rsidRPr="000179FF">
        <w:t>Screening</w:t>
      </w:r>
      <w:r w:rsidR="00CD2A0F" w:rsidRPr="000179FF">
        <w:t xml:space="preserve"> </w:t>
      </w:r>
      <w:r w:rsidR="00C271A0" w:rsidRPr="000179FF">
        <w:t>level assessment of risks to bees</w:t>
      </w:r>
      <w:bookmarkEnd w:id="434"/>
    </w:p>
    <w:tbl>
      <w:tblPr>
        <w:tblW w:w="5000" w:type="pct"/>
        <w:tblLook w:val="04A0" w:firstRow="1" w:lastRow="0" w:firstColumn="1" w:lastColumn="0" w:noHBand="0" w:noVBand="1"/>
      </w:tblPr>
      <w:tblGrid>
        <w:gridCol w:w="1264"/>
        <w:gridCol w:w="1393"/>
        <w:gridCol w:w="1393"/>
        <w:gridCol w:w="1687"/>
        <w:gridCol w:w="1689"/>
        <w:gridCol w:w="1689"/>
        <w:gridCol w:w="739"/>
      </w:tblGrid>
      <w:tr w:rsidR="00234CC4" w:rsidRPr="00D63217" w14:paraId="67E0DFEF" w14:textId="77777777" w:rsidTr="00C87F17">
        <w:trPr>
          <w:tblHeader/>
        </w:trPr>
        <w:tc>
          <w:tcPr>
            <w:tcW w:w="641" w:type="pct"/>
            <w:tcBorders>
              <w:top w:val="single" w:sz="4" w:space="0" w:color="auto"/>
              <w:left w:val="single" w:sz="4" w:space="0" w:color="auto"/>
              <w:bottom w:val="single" w:sz="4" w:space="0" w:color="auto"/>
              <w:right w:val="single" w:sz="4" w:space="0" w:color="auto"/>
            </w:tcBorders>
            <w:shd w:val="clear" w:color="auto" w:fill="5C2946"/>
          </w:tcPr>
          <w:p w14:paraId="474FB995" w14:textId="77777777" w:rsidR="00234CC4" w:rsidRPr="009B4975" w:rsidRDefault="00234CC4" w:rsidP="009B4975">
            <w:pPr>
              <w:pStyle w:val="TableHead"/>
            </w:pPr>
            <w:r w:rsidRPr="009B4975">
              <w:t>Life stage</w:t>
            </w:r>
          </w:p>
        </w:tc>
        <w:tc>
          <w:tcPr>
            <w:tcW w:w="707" w:type="pct"/>
            <w:tcBorders>
              <w:top w:val="single" w:sz="4" w:space="0" w:color="auto"/>
              <w:left w:val="single" w:sz="4" w:space="0" w:color="auto"/>
              <w:bottom w:val="single" w:sz="4" w:space="0" w:color="auto"/>
              <w:right w:val="single" w:sz="4" w:space="0" w:color="auto"/>
            </w:tcBorders>
            <w:shd w:val="clear" w:color="auto" w:fill="5C2946"/>
          </w:tcPr>
          <w:p w14:paraId="588F7579" w14:textId="77777777" w:rsidR="00234CC4" w:rsidRPr="009B4975" w:rsidRDefault="00234CC4" w:rsidP="009B4975">
            <w:pPr>
              <w:pStyle w:val="TableHead"/>
            </w:pPr>
            <w:r w:rsidRPr="009B4975">
              <w:t>Scenario</w:t>
            </w:r>
          </w:p>
        </w:tc>
        <w:tc>
          <w:tcPr>
            <w:tcW w:w="707" w:type="pct"/>
            <w:tcBorders>
              <w:top w:val="single" w:sz="4" w:space="0" w:color="auto"/>
              <w:left w:val="single" w:sz="4" w:space="0" w:color="auto"/>
              <w:bottom w:val="single" w:sz="4" w:space="0" w:color="auto"/>
              <w:right w:val="single" w:sz="4" w:space="0" w:color="auto"/>
            </w:tcBorders>
            <w:shd w:val="clear" w:color="auto" w:fill="5C2946"/>
          </w:tcPr>
          <w:p w14:paraId="129A95D3" w14:textId="77777777" w:rsidR="00234CC4" w:rsidRPr="009B4975" w:rsidRDefault="00234CC4" w:rsidP="009B4975">
            <w:pPr>
              <w:pStyle w:val="TableHead"/>
            </w:pPr>
            <w:r w:rsidRPr="009B4975">
              <w:t>Exposure</w:t>
            </w:r>
          </w:p>
        </w:tc>
        <w:tc>
          <w:tcPr>
            <w:tcW w:w="856" w:type="pct"/>
            <w:tcBorders>
              <w:top w:val="single" w:sz="4" w:space="0" w:color="auto"/>
              <w:left w:val="single" w:sz="4" w:space="0" w:color="auto"/>
              <w:bottom w:val="single" w:sz="4" w:space="0" w:color="auto"/>
              <w:right w:val="single" w:sz="4" w:space="0" w:color="auto"/>
            </w:tcBorders>
            <w:shd w:val="clear" w:color="auto" w:fill="5C2946"/>
          </w:tcPr>
          <w:p w14:paraId="4F728496" w14:textId="77777777" w:rsidR="00234CC4" w:rsidRPr="009B4975" w:rsidRDefault="00234CC4" w:rsidP="00650447">
            <w:pPr>
              <w:pStyle w:val="TableHead"/>
              <w:jc w:val="right"/>
            </w:pPr>
            <w:r w:rsidRPr="009B4975">
              <w:t>Rate</w:t>
            </w:r>
          </w:p>
          <w:p w14:paraId="77554C86" w14:textId="77777777" w:rsidR="00234CC4" w:rsidRPr="009B4975" w:rsidRDefault="00234CC4" w:rsidP="00650447">
            <w:pPr>
              <w:pStyle w:val="TableHead"/>
              <w:jc w:val="right"/>
            </w:pPr>
            <w:r w:rsidRPr="009B4975">
              <w:t>(g ac/ha)</w:t>
            </w:r>
          </w:p>
        </w:tc>
        <w:tc>
          <w:tcPr>
            <w:tcW w:w="857" w:type="pct"/>
            <w:tcBorders>
              <w:top w:val="single" w:sz="4" w:space="0" w:color="auto"/>
              <w:left w:val="single" w:sz="4" w:space="0" w:color="auto"/>
              <w:bottom w:val="single" w:sz="4" w:space="0" w:color="auto"/>
              <w:right w:val="single" w:sz="4" w:space="0" w:color="auto"/>
            </w:tcBorders>
            <w:shd w:val="clear" w:color="auto" w:fill="5C2946"/>
          </w:tcPr>
          <w:p w14:paraId="1E65AF50" w14:textId="77777777" w:rsidR="00234CC4" w:rsidRPr="009B4975" w:rsidRDefault="00234CC4" w:rsidP="00650447">
            <w:pPr>
              <w:pStyle w:val="TableHead"/>
              <w:jc w:val="right"/>
            </w:pPr>
            <w:r w:rsidRPr="009B4975">
              <w:t>Predicted total dose</w:t>
            </w:r>
          </w:p>
          <w:p w14:paraId="3E0342A4" w14:textId="77777777" w:rsidR="00234CC4" w:rsidRPr="009B4975" w:rsidRDefault="00234CC4" w:rsidP="00650447">
            <w:pPr>
              <w:pStyle w:val="TableHead"/>
              <w:jc w:val="right"/>
            </w:pPr>
            <w:r w:rsidRPr="009B4975">
              <w:t>(µg ac/bee)</w:t>
            </w:r>
          </w:p>
        </w:tc>
        <w:tc>
          <w:tcPr>
            <w:tcW w:w="857" w:type="pct"/>
            <w:tcBorders>
              <w:top w:val="single" w:sz="4" w:space="0" w:color="auto"/>
              <w:left w:val="single" w:sz="4" w:space="0" w:color="auto"/>
              <w:bottom w:val="single" w:sz="4" w:space="0" w:color="auto"/>
              <w:right w:val="single" w:sz="4" w:space="0" w:color="auto"/>
            </w:tcBorders>
            <w:shd w:val="clear" w:color="auto" w:fill="5C2946"/>
          </w:tcPr>
          <w:p w14:paraId="1E20585C" w14:textId="77777777" w:rsidR="00234CC4" w:rsidRPr="009B4975" w:rsidRDefault="00234CC4" w:rsidP="00650447">
            <w:pPr>
              <w:pStyle w:val="TableHead"/>
              <w:jc w:val="right"/>
            </w:pPr>
            <w:r w:rsidRPr="009B4975">
              <w:t>RAL</w:t>
            </w:r>
          </w:p>
          <w:p w14:paraId="59EA7F89" w14:textId="77777777" w:rsidR="00234CC4" w:rsidRPr="009B4975" w:rsidRDefault="00234CC4" w:rsidP="00650447">
            <w:pPr>
              <w:pStyle w:val="TableHead"/>
              <w:jc w:val="right"/>
            </w:pPr>
            <w:r w:rsidRPr="009B4975">
              <w:t>(µg ac/bee)</w:t>
            </w:r>
          </w:p>
        </w:tc>
        <w:tc>
          <w:tcPr>
            <w:tcW w:w="375" w:type="pct"/>
            <w:tcBorders>
              <w:top w:val="single" w:sz="4" w:space="0" w:color="auto"/>
              <w:left w:val="single" w:sz="4" w:space="0" w:color="auto"/>
              <w:bottom w:val="single" w:sz="4" w:space="0" w:color="auto"/>
              <w:right w:val="single" w:sz="4" w:space="0" w:color="auto"/>
            </w:tcBorders>
            <w:shd w:val="clear" w:color="auto" w:fill="5C2946"/>
          </w:tcPr>
          <w:p w14:paraId="142B9ADE" w14:textId="77777777" w:rsidR="00234CC4" w:rsidRPr="009B4975" w:rsidRDefault="00234CC4" w:rsidP="00650447">
            <w:pPr>
              <w:pStyle w:val="TableHead"/>
              <w:jc w:val="right"/>
            </w:pPr>
            <w:r w:rsidRPr="009B4975">
              <w:t>RQ</w:t>
            </w:r>
          </w:p>
        </w:tc>
      </w:tr>
      <w:tr w:rsidR="00234CC4" w:rsidRPr="00D63217" w14:paraId="2ABDBEDF" w14:textId="77777777" w:rsidTr="00650447">
        <w:trPr>
          <w:trHeight w:val="561"/>
        </w:trPr>
        <w:tc>
          <w:tcPr>
            <w:tcW w:w="5000" w:type="pct"/>
            <w:gridSpan w:val="7"/>
            <w:tcBorders>
              <w:top w:val="single" w:sz="4" w:space="0" w:color="auto"/>
              <w:bottom w:val="single" w:sz="4" w:space="0" w:color="auto"/>
            </w:tcBorders>
            <w:vAlign w:val="center"/>
          </w:tcPr>
          <w:p w14:paraId="38FBB0E3" w14:textId="77777777" w:rsidR="00234CC4" w:rsidRPr="009B4975" w:rsidRDefault="00234CC4" w:rsidP="00650447">
            <w:pPr>
              <w:pStyle w:val="TableSubHead0"/>
            </w:pPr>
            <w:r w:rsidRPr="009B4975">
              <w:t>Screening level assessment (pollen &amp; nectar EEC (mg/kg) = rate × 98 / 1000)</w:t>
            </w:r>
          </w:p>
        </w:tc>
      </w:tr>
      <w:tr w:rsidR="00234CC4" w:rsidRPr="00D63217" w14:paraId="0924B955" w14:textId="77777777" w:rsidTr="00C87F17">
        <w:tc>
          <w:tcPr>
            <w:tcW w:w="641" w:type="pct"/>
            <w:tcBorders>
              <w:top w:val="single" w:sz="4" w:space="0" w:color="auto"/>
            </w:tcBorders>
          </w:tcPr>
          <w:p w14:paraId="4C5032A6" w14:textId="77777777" w:rsidR="00234CC4" w:rsidRPr="009B4975" w:rsidRDefault="00234CC4" w:rsidP="009B4975">
            <w:pPr>
              <w:pStyle w:val="TableText"/>
            </w:pPr>
            <w:r w:rsidRPr="009B4975">
              <w:t>Adults</w:t>
            </w:r>
          </w:p>
        </w:tc>
        <w:tc>
          <w:tcPr>
            <w:tcW w:w="707" w:type="pct"/>
            <w:vMerge w:val="restart"/>
            <w:tcBorders>
              <w:top w:val="single" w:sz="4" w:space="0" w:color="auto"/>
            </w:tcBorders>
          </w:tcPr>
          <w:p w14:paraId="3BB3E8A4" w14:textId="77777777" w:rsidR="00234CC4" w:rsidRPr="009B4975" w:rsidRDefault="00234CC4" w:rsidP="009B4975">
            <w:pPr>
              <w:pStyle w:val="TableText"/>
            </w:pPr>
            <w:r w:rsidRPr="009B4975">
              <w:t>Aquatic areas (surface spray)</w:t>
            </w:r>
          </w:p>
        </w:tc>
        <w:tc>
          <w:tcPr>
            <w:tcW w:w="707" w:type="pct"/>
            <w:tcBorders>
              <w:top w:val="single" w:sz="4" w:space="0" w:color="auto"/>
            </w:tcBorders>
          </w:tcPr>
          <w:p w14:paraId="7FF0A95A" w14:textId="77777777" w:rsidR="00234CC4" w:rsidRPr="009B4975" w:rsidRDefault="00234CC4" w:rsidP="009B4975">
            <w:pPr>
              <w:pStyle w:val="TableText"/>
            </w:pPr>
            <w:r w:rsidRPr="009B4975">
              <w:t>Acute contact</w:t>
            </w:r>
          </w:p>
        </w:tc>
        <w:tc>
          <w:tcPr>
            <w:tcW w:w="856" w:type="pct"/>
            <w:tcBorders>
              <w:top w:val="single" w:sz="4" w:space="0" w:color="auto"/>
            </w:tcBorders>
          </w:tcPr>
          <w:p w14:paraId="4E9DD05D" w14:textId="77777777" w:rsidR="00234CC4" w:rsidRPr="009B4975" w:rsidRDefault="00234CC4" w:rsidP="00650447">
            <w:pPr>
              <w:pStyle w:val="TableText"/>
              <w:jc w:val="right"/>
            </w:pPr>
            <w:r w:rsidRPr="009B4975">
              <w:t>2000</w:t>
            </w:r>
          </w:p>
        </w:tc>
        <w:tc>
          <w:tcPr>
            <w:tcW w:w="857" w:type="pct"/>
            <w:tcBorders>
              <w:top w:val="single" w:sz="4" w:space="0" w:color="auto"/>
            </w:tcBorders>
          </w:tcPr>
          <w:p w14:paraId="174F6491" w14:textId="77777777" w:rsidR="00234CC4" w:rsidRPr="009B4975" w:rsidRDefault="00234CC4" w:rsidP="00650447">
            <w:pPr>
              <w:pStyle w:val="TableText"/>
              <w:jc w:val="right"/>
            </w:pPr>
            <w:r w:rsidRPr="009B4975">
              <w:t>4.8</w:t>
            </w:r>
          </w:p>
        </w:tc>
        <w:tc>
          <w:tcPr>
            <w:tcW w:w="857" w:type="pct"/>
            <w:tcBorders>
              <w:top w:val="single" w:sz="4" w:space="0" w:color="auto"/>
            </w:tcBorders>
          </w:tcPr>
          <w:p w14:paraId="5BD1CDEA" w14:textId="77777777" w:rsidR="00234CC4" w:rsidRPr="009B4975" w:rsidRDefault="00234CC4" w:rsidP="00650447">
            <w:pPr>
              <w:pStyle w:val="TableText"/>
              <w:jc w:val="right"/>
            </w:pPr>
            <w:r w:rsidRPr="009B4975">
              <w:t>42</w:t>
            </w:r>
          </w:p>
        </w:tc>
        <w:tc>
          <w:tcPr>
            <w:tcW w:w="375" w:type="pct"/>
            <w:tcBorders>
              <w:top w:val="single" w:sz="4" w:space="0" w:color="auto"/>
            </w:tcBorders>
          </w:tcPr>
          <w:p w14:paraId="1AD56F8A" w14:textId="77777777" w:rsidR="00234CC4" w:rsidRPr="009B4975" w:rsidRDefault="00234CC4" w:rsidP="00650447">
            <w:pPr>
              <w:pStyle w:val="TableText"/>
              <w:jc w:val="right"/>
            </w:pPr>
            <w:r w:rsidRPr="009B4975">
              <w:t>0.11</w:t>
            </w:r>
          </w:p>
        </w:tc>
      </w:tr>
      <w:tr w:rsidR="00234CC4" w:rsidRPr="00D63217" w14:paraId="41E5D18F" w14:textId="77777777" w:rsidTr="00C87F17">
        <w:tc>
          <w:tcPr>
            <w:tcW w:w="641" w:type="pct"/>
          </w:tcPr>
          <w:p w14:paraId="60E6AE32" w14:textId="77777777" w:rsidR="00234CC4" w:rsidRPr="009B4975" w:rsidRDefault="00234CC4" w:rsidP="009B4975">
            <w:pPr>
              <w:pStyle w:val="TableText"/>
            </w:pPr>
          </w:p>
        </w:tc>
        <w:tc>
          <w:tcPr>
            <w:tcW w:w="707" w:type="pct"/>
            <w:vMerge/>
            <w:tcBorders>
              <w:bottom w:val="single" w:sz="4" w:space="0" w:color="auto"/>
            </w:tcBorders>
          </w:tcPr>
          <w:p w14:paraId="0CB59679" w14:textId="77777777" w:rsidR="00234CC4" w:rsidRPr="009B4975" w:rsidRDefault="00234CC4" w:rsidP="009B4975">
            <w:pPr>
              <w:pStyle w:val="TableText"/>
            </w:pPr>
          </w:p>
        </w:tc>
        <w:tc>
          <w:tcPr>
            <w:tcW w:w="707" w:type="pct"/>
            <w:tcBorders>
              <w:bottom w:val="single" w:sz="4" w:space="0" w:color="auto"/>
            </w:tcBorders>
          </w:tcPr>
          <w:p w14:paraId="2D5A5F6C" w14:textId="77777777" w:rsidR="00234CC4" w:rsidRPr="009B4975" w:rsidRDefault="00234CC4" w:rsidP="009B4975">
            <w:pPr>
              <w:pStyle w:val="TableText"/>
            </w:pPr>
            <w:r w:rsidRPr="009B4975">
              <w:t>Acute oral</w:t>
            </w:r>
          </w:p>
        </w:tc>
        <w:tc>
          <w:tcPr>
            <w:tcW w:w="856" w:type="pct"/>
            <w:tcBorders>
              <w:bottom w:val="single" w:sz="4" w:space="0" w:color="auto"/>
            </w:tcBorders>
          </w:tcPr>
          <w:p w14:paraId="7F0B864D" w14:textId="77777777" w:rsidR="00234CC4" w:rsidRPr="009B4975" w:rsidRDefault="00234CC4" w:rsidP="00650447">
            <w:pPr>
              <w:pStyle w:val="TableText"/>
              <w:jc w:val="right"/>
            </w:pPr>
            <w:r w:rsidRPr="009B4975">
              <w:t>2000</w:t>
            </w:r>
          </w:p>
        </w:tc>
        <w:tc>
          <w:tcPr>
            <w:tcW w:w="857" w:type="pct"/>
            <w:tcBorders>
              <w:bottom w:val="single" w:sz="4" w:space="0" w:color="auto"/>
            </w:tcBorders>
          </w:tcPr>
          <w:p w14:paraId="782C3087" w14:textId="77777777" w:rsidR="00234CC4" w:rsidRPr="009B4975" w:rsidRDefault="00234CC4" w:rsidP="00650447">
            <w:pPr>
              <w:pStyle w:val="TableText"/>
              <w:jc w:val="right"/>
            </w:pPr>
            <w:r w:rsidRPr="009B4975">
              <w:t>57</w:t>
            </w:r>
          </w:p>
        </w:tc>
        <w:tc>
          <w:tcPr>
            <w:tcW w:w="857" w:type="pct"/>
            <w:tcBorders>
              <w:bottom w:val="single" w:sz="4" w:space="0" w:color="auto"/>
            </w:tcBorders>
          </w:tcPr>
          <w:p w14:paraId="524EB549" w14:textId="77777777" w:rsidR="00234CC4" w:rsidRPr="009B4975" w:rsidRDefault="00234CC4" w:rsidP="00650447">
            <w:pPr>
              <w:pStyle w:val="TableText"/>
              <w:jc w:val="right"/>
            </w:pPr>
            <w:r w:rsidRPr="009B4975">
              <w:t>8.8</w:t>
            </w:r>
          </w:p>
        </w:tc>
        <w:tc>
          <w:tcPr>
            <w:tcW w:w="375" w:type="pct"/>
            <w:tcBorders>
              <w:bottom w:val="single" w:sz="4" w:space="0" w:color="auto"/>
            </w:tcBorders>
            <w:shd w:val="clear" w:color="auto" w:fill="FF0000"/>
          </w:tcPr>
          <w:p w14:paraId="308D904E" w14:textId="77777777" w:rsidR="00234CC4" w:rsidRPr="009B4975" w:rsidRDefault="00234CC4" w:rsidP="00650447">
            <w:pPr>
              <w:pStyle w:val="TableText"/>
              <w:jc w:val="right"/>
            </w:pPr>
            <w:r w:rsidRPr="009B4975">
              <w:t>6.5</w:t>
            </w:r>
          </w:p>
        </w:tc>
      </w:tr>
      <w:tr w:rsidR="00234CC4" w:rsidRPr="00D63217" w14:paraId="2C508430" w14:textId="77777777" w:rsidTr="00C87F17">
        <w:tc>
          <w:tcPr>
            <w:tcW w:w="641" w:type="pct"/>
          </w:tcPr>
          <w:p w14:paraId="28A530E5" w14:textId="77777777" w:rsidR="00234CC4" w:rsidRPr="009B4975" w:rsidRDefault="00234CC4" w:rsidP="009B4975">
            <w:pPr>
              <w:pStyle w:val="TableText"/>
            </w:pPr>
          </w:p>
        </w:tc>
        <w:tc>
          <w:tcPr>
            <w:tcW w:w="707" w:type="pct"/>
            <w:vMerge w:val="restart"/>
            <w:tcBorders>
              <w:top w:val="single" w:sz="4" w:space="0" w:color="auto"/>
            </w:tcBorders>
          </w:tcPr>
          <w:p w14:paraId="645181C7" w14:textId="77777777" w:rsidR="00234CC4" w:rsidRPr="009B4975" w:rsidRDefault="00234CC4" w:rsidP="009B4975">
            <w:pPr>
              <w:pStyle w:val="TableText"/>
            </w:pPr>
            <w:r w:rsidRPr="009B4975">
              <w:t>Desiccation or general weed control</w:t>
            </w:r>
          </w:p>
        </w:tc>
        <w:tc>
          <w:tcPr>
            <w:tcW w:w="707" w:type="pct"/>
            <w:tcBorders>
              <w:top w:val="single" w:sz="4" w:space="0" w:color="auto"/>
            </w:tcBorders>
          </w:tcPr>
          <w:p w14:paraId="25EC9F2A" w14:textId="77777777" w:rsidR="00234CC4" w:rsidRPr="009B4975" w:rsidRDefault="00234CC4" w:rsidP="009B4975">
            <w:pPr>
              <w:pStyle w:val="TableText"/>
            </w:pPr>
            <w:r w:rsidRPr="009B4975">
              <w:t>Acute contact</w:t>
            </w:r>
          </w:p>
        </w:tc>
        <w:tc>
          <w:tcPr>
            <w:tcW w:w="856" w:type="pct"/>
            <w:tcBorders>
              <w:top w:val="single" w:sz="4" w:space="0" w:color="auto"/>
            </w:tcBorders>
          </w:tcPr>
          <w:p w14:paraId="01A2C901" w14:textId="77777777" w:rsidR="00234CC4" w:rsidRPr="009B4975" w:rsidRDefault="00234CC4" w:rsidP="00650447">
            <w:pPr>
              <w:pStyle w:val="TableText"/>
              <w:jc w:val="right"/>
            </w:pPr>
            <w:r w:rsidRPr="009B4975">
              <w:t>800</w:t>
            </w:r>
          </w:p>
        </w:tc>
        <w:tc>
          <w:tcPr>
            <w:tcW w:w="857" w:type="pct"/>
            <w:tcBorders>
              <w:top w:val="single" w:sz="4" w:space="0" w:color="auto"/>
            </w:tcBorders>
          </w:tcPr>
          <w:p w14:paraId="5D05EE6C" w14:textId="77777777" w:rsidR="00234CC4" w:rsidRPr="009B4975" w:rsidRDefault="00234CC4" w:rsidP="00650447">
            <w:pPr>
              <w:pStyle w:val="TableText"/>
              <w:jc w:val="right"/>
            </w:pPr>
            <w:r w:rsidRPr="009B4975">
              <w:t>1.9</w:t>
            </w:r>
          </w:p>
        </w:tc>
        <w:tc>
          <w:tcPr>
            <w:tcW w:w="857" w:type="pct"/>
            <w:tcBorders>
              <w:top w:val="single" w:sz="4" w:space="0" w:color="auto"/>
            </w:tcBorders>
          </w:tcPr>
          <w:p w14:paraId="479894E1" w14:textId="77777777" w:rsidR="00234CC4" w:rsidRPr="009B4975" w:rsidRDefault="00234CC4" w:rsidP="00650447">
            <w:pPr>
              <w:pStyle w:val="TableText"/>
              <w:jc w:val="right"/>
            </w:pPr>
            <w:r w:rsidRPr="009B4975">
              <w:t>42</w:t>
            </w:r>
          </w:p>
        </w:tc>
        <w:tc>
          <w:tcPr>
            <w:tcW w:w="375" w:type="pct"/>
            <w:tcBorders>
              <w:top w:val="single" w:sz="4" w:space="0" w:color="auto"/>
            </w:tcBorders>
          </w:tcPr>
          <w:p w14:paraId="43945368" w14:textId="77777777" w:rsidR="00234CC4" w:rsidRPr="009B4975" w:rsidRDefault="00234CC4" w:rsidP="00650447">
            <w:pPr>
              <w:pStyle w:val="TableText"/>
              <w:jc w:val="right"/>
            </w:pPr>
            <w:r w:rsidRPr="009B4975">
              <w:t>0.046</w:t>
            </w:r>
          </w:p>
        </w:tc>
      </w:tr>
      <w:tr w:rsidR="00234CC4" w:rsidRPr="00D63217" w14:paraId="00D1D429" w14:textId="77777777" w:rsidTr="00C87F17">
        <w:tc>
          <w:tcPr>
            <w:tcW w:w="641" w:type="pct"/>
          </w:tcPr>
          <w:p w14:paraId="27EC0340" w14:textId="77777777" w:rsidR="00234CC4" w:rsidRPr="009B4975" w:rsidRDefault="00234CC4" w:rsidP="009B4975">
            <w:pPr>
              <w:pStyle w:val="TableText"/>
            </w:pPr>
          </w:p>
        </w:tc>
        <w:tc>
          <w:tcPr>
            <w:tcW w:w="707" w:type="pct"/>
            <w:vMerge/>
          </w:tcPr>
          <w:p w14:paraId="2445719D" w14:textId="77777777" w:rsidR="00234CC4" w:rsidRPr="009B4975" w:rsidRDefault="00234CC4" w:rsidP="009B4975">
            <w:pPr>
              <w:pStyle w:val="TableText"/>
            </w:pPr>
          </w:p>
        </w:tc>
        <w:tc>
          <w:tcPr>
            <w:tcW w:w="707" w:type="pct"/>
          </w:tcPr>
          <w:p w14:paraId="172452D4" w14:textId="77777777" w:rsidR="00234CC4" w:rsidRPr="009B4975" w:rsidRDefault="00234CC4" w:rsidP="009B4975">
            <w:pPr>
              <w:pStyle w:val="TableText"/>
            </w:pPr>
            <w:r w:rsidRPr="009B4975">
              <w:t>Acute oral</w:t>
            </w:r>
          </w:p>
        </w:tc>
        <w:tc>
          <w:tcPr>
            <w:tcW w:w="856" w:type="pct"/>
          </w:tcPr>
          <w:p w14:paraId="678A4ABB" w14:textId="77777777" w:rsidR="00234CC4" w:rsidRPr="009B4975" w:rsidRDefault="00234CC4" w:rsidP="00650447">
            <w:pPr>
              <w:pStyle w:val="TableText"/>
              <w:jc w:val="right"/>
            </w:pPr>
            <w:r w:rsidRPr="009B4975">
              <w:t>800</w:t>
            </w:r>
          </w:p>
        </w:tc>
        <w:tc>
          <w:tcPr>
            <w:tcW w:w="857" w:type="pct"/>
          </w:tcPr>
          <w:p w14:paraId="3F61DF38" w14:textId="77777777" w:rsidR="00234CC4" w:rsidRPr="009B4975" w:rsidRDefault="00234CC4" w:rsidP="00650447">
            <w:pPr>
              <w:pStyle w:val="TableText"/>
              <w:jc w:val="right"/>
            </w:pPr>
            <w:r w:rsidRPr="009B4975">
              <w:t>23</w:t>
            </w:r>
          </w:p>
        </w:tc>
        <w:tc>
          <w:tcPr>
            <w:tcW w:w="857" w:type="pct"/>
          </w:tcPr>
          <w:p w14:paraId="28BD47C7" w14:textId="77777777" w:rsidR="00234CC4" w:rsidRPr="009B4975" w:rsidRDefault="00234CC4" w:rsidP="00650447">
            <w:pPr>
              <w:pStyle w:val="TableText"/>
              <w:jc w:val="right"/>
            </w:pPr>
            <w:r w:rsidRPr="009B4975">
              <w:t>8.8</w:t>
            </w:r>
          </w:p>
        </w:tc>
        <w:tc>
          <w:tcPr>
            <w:tcW w:w="375" w:type="pct"/>
            <w:shd w:val="clear" w:color="auto" w:fill="FF0000"/>
          </w:tcPr>
          <w:p w14:paraId="00776E5F" w14:textId="77777777" w:rsidR="00234CC4" w:rsidRPr="009B4975" w:rsidRDefault="00234CC4" w:rsidP="00650447">
            <w:pPr>
              <w:pStyle w:val="TableText"/>
              <w:jc w:val="right"/>
            </w:pPr>
            <w:r w:rsidRPr="009B4975">
              <w:t>2.6</w:t>
            </w:r>
          </w:p>
        </w:tc>
      </w:tr>
      <w:tr w:rsidR="00234CC4" w:rsidRPr="00D63217" w14:paraId="4D7A9444" w14:textId="77777777" w:rsidTr="00C87F17">
        <w:tc>
          <w:tcPr>
            <w:tcW w:w="641" w:type="pct"/>
          </w:tcPr>
          <w:p w14:paraId="0CC4CB5E" w14:textId="77777777" w:rsidR="00234CC4" w:rsidRPr="009B4975" w:rsidRDefault="00234CC4" w:rsidP="009B4975">
            <w:pPr>
              <w:pStyle w:val="TableText"/>
            </w:pPr>
          </w:p>
        </w:tc>
        <w:tc>
          <w:tcPr>
            <w:tcW w:w="707" w:type="pct"/>
            <w:vMerge/>
          </w:tcPr>
          <w:p w14:paraId="74BA8309" w14:textId="77777777" w:rsidR="00234CC4" w:rsidRPr="009B4975" w:rsidRDefault="00234CC4" w:rsidP="009B4975">
            <w:pPr>
              <w:pStyle w:val="TableText"/>
            </w:pPr>
          </w:p>
        </w:tc>
        <w:tc>
          <w:tcPr>
            <w:tcW w:w="707" w:type="pct"/>
          </w:tcPr>
          <w:p w14:paraId="3241F670" w14:textId="77777777" w:rsidR="00234CC4" w:rsidRPr="009B4975" w:rsidRDefault="00234CC4" w:rsidP="009B4975">
            <w:pPr>
              <w:pStyle w:val="TableText"/>
            </w:pPr>
          </w:p>
        </w:tc>
        <w:tc>
          <w:tcPr>
            <w:tcW w:w="856" w:type="pct"/>
          </w:tcPr>
          <w:p w14:paraId="27980579" w14:textId="77777777" w:rsidR="00234CC4" w:rsidRPr="009B4975" w:rsidRDefault="00234CC4" w:rsidP="00650447">
            <w:pPr>
              <w:pStyle w:val="TableText"/>
              <w:jc w:val="right"/>
            </w:pPr>
            <w:r w:rsidRPr="009B4975">
              <w:t>600</w:t>
            </w:r>
          </w:p>
        </w:tc>
        <w:tc>
          <w:tcPr>
            <w:tcW w:w="857" w:type="pct"/>
          </w:tcPr>
          <w:p w14:paraId="0E16C42F" w14:textId="77777777" w:rsidR="00234CC4" w:rsidRPr="009B4975" w:rsidRDefault="00234CC4" w:rsidP="00650447">
            <w:pPr>
              <w:pStyle w:val="TableText"/>
              <w:jc w:val="right"/>
            </w:pPr>
            <w:r w:rsidRPr="009B4975">
              <w:t>17</w:t>
            </w:r>
          </w:p>
        </w:tc>
        <w:tc>
          <w:tcPr>
            <w:tcW w:w="857" w:type="pct"/>
          </w:tcPr>
          <w:p w14:paraId="1A70EEA8" w14:textId="77777777" w:rsidR="00234CC4" w:rsidRPr="009B4975" w:rsidRDefault="00234CC4" w:rsidP="00650447">
            <w:pPr>
              <w:pStyle w:val="TableText"/>
              <w:jc w:val="right"/>
            </w:pPr>
            <w:r w:rsidRPr="009B4975">
              <w:t>8.8</w:t>
            </w:r>
          </w:p>
        </w:tc>
        <w:tc>
          <w:tcPr>
            <w:tcW w:w="375" w:type="pct"/>
            <w:shd w:val="clear" w:color="auto" w:fill="FF0000"/>
          </w:tcPr>
          <w:p w14:paraId="7980639E" w14:textId="77777777" w:rsidR="00234CC4" w:rsidRPr="009B4975" w:rsidRDefault="00234CC4" w:rsidP="00650447">
            <w:pPr>
              <w:pStyle w:val="TableText"/>
              <w:jc w:val="right"/>
            </w:pPr>
            <w:r w:rsidRPr="009B4975">
              <w:t>2.0</w:t>
            </w:r>
          </w:p>
        </w:tc>
      </w:tr>
      <w:tr w:rsidR="00234CC4" w:rsidRPr="00D63217" w14:paraId="0E8C4D47" w14:textId="77777777" w:rsidTr="00C87F17">
        <w:tc>
          <w:tcPr>
            <w:tcW w:w="641" w:type="pct"/>
          </w:tcPr>
          <w:p w14:paraId="7296D5E2" w14:textId="77777777" w:rsidR="00234CC4" w:rsidRPr="009B4975" w:rsidRDefault="00234CC4" w:rsidP="009B4975">
            <w:pPr>
              <w:pStyle w:val="TableText"/>
            </w:pPr>
          </w:p>
        </w:tc>
        <w:tc>
          <w:tcPr>
            <w:tcW w:w="707" w:type="pct"/>
            <w:vMerge/>
          </w:tcPr>
          <w:p w14:paraId="1F982F7F" w14:textId="77777777" w:rsidR="00234CC4" w:rsidRPr="009B4975" w:rsidRDefault="00234CC4" w:rsidP="009B4975">
            <w:pPr>
              <w:pStyle w:val="TableText"/>
            </w:pPr>
          </w:p>
        </w:tc>
        <w:tc>
          <w:tcPr>
            <w:tcW w:w="707" w:type="pct"/>
          </w:tcPr>
          <w:p w14:paraId="2C62E04C" w14:textId="77777777" w:rsidR="00234CC4" w:rsidRPr="009B4975" w:rsidRDefault="00234CC4" w:rsidP="009B4975">
            <w:pPr>
              <w:pStyle w:val="TableText"/>
            </w:pPr>
          </w:p>
        </w:tc>
        <w:tc>
          <w:tcPr>
            <w:tcW w:w="856" w:type="pct"/>
          </w:tcPr>
          <w:p w14:paraId="6843902F" w14:textId="77777777" w:rsidR="00234CC4" w:rsidRPr="009B4975" w:rsidRDefault="00234CC4" w:rsidP="00650447">
            <w:pPr>
              <w:pStyle w:val="TableText"/>
              <w:jc w:val="right"/>
            </w:pPr>
            <w:r w:rsidRPr="009B4975">
              <w:t>560</w:t>
            </w:r>
          </w:p>
        </w:tc>
        <w:tc>
          <w:tcPr>
            <w:tcW w:w="857" w:type="pct"/>
          </w:tcPr>
          <w:p w14:paraId="02FF4D58" w14:textId="77777777" w:rsidR="00234CC4" w:rsidRPr="009B4975" w:rsidRDefault="00234CC4" w:rsidP="00650447">
            <w:pPr>
              <w:pStyle w:val="TableText"/>
              <w:jc w:val="right"/>
            </w:pPr>
            <w:r w:rsidRPr="009B4975">
              <w:t>16</w:t>
            </w:r>
          </w:p>
        </w:tc>
        <w:tc>
          <w:tcPr>
            <w:tcW w:w="857" w:type="pct"/>
          </w:tcPr>
          <w:p w14:paraId="1746DC86" w14:textId="77777777" w:rsidR="00234CC4" w:rsidRPr="009B4975" w:rsidRDefault="00234CC4" w:rsidP="00650447">
            <w:pPr>
              <w:pStyle w:val="TableText"/>
              <w:jc w:val="right"/>
            </w:pPr>
            <w:r w:rsidRPr="009B4975">
              <w:t>8.8</w:t>
            </w:r>
          </w:p>
        </w:tc>
        <w:tc>
          <w:tcPr>
            <w:tcW w:w="375" w:type="pct"/>
            <w:shd w:val="clear" w:color="auto" w:fill="FF0000"/>
          </w:tcPr>
          <w:p w14:paraId="1486B2F6" w14:textId="77777777" w:rsidR="00234CC4" w:rsidRPr="009B4975" w:rsidRDefault="00234CC4" w:rsidP="00650447">
            <w:pPr>
              <w:pStyle w:val="TableText"/>
              <w:jc w:val="right"/>
            </w:pPr>
            <w:r w:rsidRPr="009B4975">
              <w:t>1.8</w:t>
            </w:r>
          </w:p>
        </w:tc>
      </w:tr>
      <w:tr w:rsidR="00234CC4" w:rsidRPr="00D63217" w14:paraId="6F8B28CF" w14:textId="77777777" w:rsidTr="00C87F17">
        <w:tc>
          <w:tcPr>
            <w:tcW w:w="641" w:type="pct"/>
          </w:tcPr>
          <w:p w14:paraId="377D6254" w14:textId="77777777" w:rsidR="00234CC4" w:rsidRPr="009B4975" w:rsidRDefault="00234CC4" w:rsidP="009B4975">
            <w:pPr>
              <w:pStyle w:val="TableText"/>
            </w:pPr>
          </w:p>
        </w:tc>
        <w:tc>
          <w:tcPr>
            <w:tcW w:w="707" w:type="pct"/>
            <w:vMerge/>
          </w:tcPr>
          <w:p w14:paraId="6031F992" w14:textId="77777777" w:rsidR="00234CC4" w:rsidRPr="009B4975" w:rsidRDefault="00234CC4" w:rsidP="009B4975">
            <w:pPr>
              <w:pStyle w:val="TableText"/>
            </w:pPr>
          </w:p>
        </w:tc>
        <w:tc>
          <w:tcPr>
            <w:tcW w:w="707" w:type="pct"/>
          </w:tcPr>
          <w:p w14:paraId="784033B2" w14:textId="77777777" w:rsidR="00234CC4" w:rsidRPr="009B4975" w:rsidRDefault="00234CC4" w:rsidP="009B4975">
            <w:pPr>
              <w:pStyle w:val="TableText"/>
            </w:pPr>
          </w:p>
        </w:tc>
        <w:tc>
          <w:tcPr>
            <w:tcW w:w="856" w:type="pct"/>
          </w:tcPr>
          <w:p w14:paraId="520C35D0" w14:textId="77777777" w:rsidR="00234CC4" w:rsidRPr="009B4975" w:rsidRDefault="00234CC4" w:rsidP="00650447">
            <w:pPr>
              <w:pStyle w:val="TableText"/>
              <w:jc w:val="right"/>
            </w:pPr>
            <w:r w:rsidRPr="009B4975">
              <w:t>368</w:t>
            </w:r>
          </w:p>
        </w:tc>
        <w:tc>
          <w:tcPr>
            <w:tcW w:w="857" w:type="pct"/>
          </w:tcPr>
          <w:p w14:paraId="39795A09" w14:textId="77777777" w:rsidR="00234CC4" w:rsidRPr="009B4975" w:rsidRDefault="00234CC4" w:rsidP="00650447">
            <w:pPr>
              <w:pStyle w:val="TableText"/>
              <w:jc w:val="right"/>
            </w:pPr>
            <w:r w:rsidRPr="009B4975">
              <w:t>11</w:t>
            </w:r>
          </w:p>
        </w:tc>
        <w:tc>
          <w:tcPr>
            <w:tcW w:w="857" w:type="pct"/>
          </w:tcPr>
          <w:p w14:paraId="7F7FCD34" w14:textId="77777777" w:rsidR="00234CC4" w:rsidRPr="009B4975" w:rsidRDefault="00234CC4" w:rsidP="00650447">
            <w:pPr>
              <w:pStyle w:val="TableText"/>
              <w:jc w:val="right"/>
            </w:pPr>
            <w:r w:rsidRPr="009B4975">
              <w:t>8.8</w:t>
            </w:r>
          </w:p>
        </w:tc>
        <w:tc>
          <w:tcPr>
            <w:tcW w:w="375" w:type="pct"/>
            <w:shd w:val="clear" w:color="auto" w:fill="FF0000"/>
          </w:tcPr>
          <w:p w14:paraId="64F03E19" w14:textId="77777777" w:rsidR="00234CC4" w:rsidRPr="009B4975" w:rsidRDefault="00234CC4" w:rsidP="00650447">
            <w:pPr>
              <w:pStyle w:val="TableText"/>
              <w:jc w:val="right"/>
            </w:pPr>
            <w:r w:rsidRPr="009B4975">
              <w:t>1.2</w:t>
            </w:r>
          </w:p>
        </w:tc>
      </w:tr>
      <w:tr w:rsidR="00234CC4" w:rsidRPr="00D63217" w14:paraId="5408A4AC" w14:textId="77777777" w:rsidTr="00C87F17">
        <w:tc>
          <w:tcPr>
            <w:tcW w:w="641" w:type="pct"/>
            <w:tcBorders>
              <w:bottom w:val="single" w:sz="4" w:space="0" w:color="auto"/>
            </w:tcBorders>
          </w:tcPr>
          <w:p w14:paraId="48A98456" w14:textId="77777777" w:rsidR="00234CC4" w:rsidRPr="009B4975" w:rsidRDefault="00234CC4" w:rsidP="009B4975">
            <w:pPr>
              <w:pStyle w:val="TableText"/>
            </w:pPr>
          </w:p>
        </w:tc>
        <w:tc>
          <w:tcPr>
            <w:tcW w:w="707" w:type="pct"/>
            <w:vMerge/>
            <w:tcBorders>
              <w:bottom w:val="single" w:sz="4" w:space="0" w:color="auto"/>
            </w:tcBorders>
          </w:tcPr>
          <w:p w14:paraId="2A46A9E4" w14:textId="77777777" w:rsidR="00234CC4" w:rsidRPr="009B4975" w:rsidRDefault="00234CC4" w:rsidP="009B4975">
            <w:pPr>
              <w:pStyle w:val="TableText"/>
            </w:pPr>
          </w:p>
        </w:tc>
        <w:tc>
          <w:tcPr>
            <w:tcW w:w="707" w:type="pct"/>
            <w:tcBorders>
              <w:bottom w:val="single" w:sz="4" w:space="0" w:color="auto"/>
            </w:tcBorders>
          </w:tcPr>
          <w:p w14:paraId="73F050B7" w14:textId="77777777" w:rsidR="00234CC4" w:rsidRPr="009B4975" w:rsidRDefault="00234CC4" w:rsidP="009B4975">
            <w:pPr>
              <w:pStyle w:val="TableText"/>
            </w:pPr>
          </w:p>
        </w:tc>
        <w:tc>
          <w:tcPr>
            <w:tcW w:w="856" w:type="pct"/>
            <w:tcBorders>
              <w:bottom w:val="single" w:sz="4" w:space="0" w:color="auto"/>
            </w:tcBorders>
          </w:tcPr>
          <w:p w14:paraId="655561DB" w14:textId="77777777" w:rsidR="00234CC4" w:rsidRPr="009B4975" w:rsidRDefault="00234CC4" w:rsidP="00650447">
            <w:pPr>
              <w:pStyle w:val="TableText"/>
              <w:jc w:val="right"/>
            </w:pPr>
            <w:r w:rsidRPr="009B4975">
              <w:t>300</w:t>
            </w:r>
          </w:p>
        </w:tc>
        <w:tc>
          <w:tcPr>
            <w:tcW w:w="857" w:type="pct"/>
            <w:tcBorders>
              <w:bottom w:val="single" w:sz="4" w:space="0" w:color="auto"/>
            </w:tcBorders>
          </w:tcPr>
          <w:p w14:paraId="1798059F" w14:textId="77777777" w:rsidR="00234CC4" w:rsidRPr="009B4975" w:rsidRDefault="00234CC4" w:rsidP="00650447">
            <w:pPr>
              <w:pStyle w:val="TableText"/>
              <w:jc w:val="right"/>
            </w:pPr>
            <w:r w:rsidRPr="009B4975">
              <w:t>8.6</w:t>
            </w:r>
          </w:p>
        </w:tc>
        <w:tc>
          <w:tcPr>
            <w:tcW w:w="857" w:type="pct"/>
            <w:tcBorders>
              <w:bottom w:val="single" w:sz="4" w:space="0" w:color="auto"/>
            </w:tcBorders>
          </w:tcPr>
          <w:p w14:paraId="3E1C704A" w14:textId="77777777" w:rsidR="00234CC4" w:rsidRPr="009B4975" w:rsidRDefault="00234CC4" w:rsidP="00650447">
            <w:pPr>
              <w:pStyle w:val="TableText"/>
              <w:jc w:val="right"/>
            </w:pPr>
            <w:r w:rsidRPr="009B4975">
              <w:t>8.8</w:t>
            </w:r>
          </w:p>
        </w:tc>
        <w:tc>
          <w:tcPr>
            <w:tcW w:w="375" w:type="pct"/>
            <w:tcBorders>
              <w:bottom w:val="single" w:sz="4" w:space="0" w:color="auto"/>
            </w:tcBorders>
          </w:tcPr>
          <w:p w14:paraId="640CA451" w14:textId="77777777" w:rsidR="00234CC4" w:rsidRPr="009B4975" w:rsidRDefault="00234CC4" w:rsidP="00650447">
            <w:pPr>
              <w:pStyle w:val="TableText"/>
              <w:jc w:val="right"/>
            </w:pPr>
            <w:r w:rsidRPr="009B4975">
              <w:t>0.98</w:t>
            </w:r>
          </w:p>
        </w:tc>
      </w:tr>
      <w:tr w:rsidR="00234CC4" w:rsidRPr="00D63217" w14:paraId="6AC6F0F2" w14:textId="77777777" w:rsidTr="00650447">
        <w:trPr>
          <w:trHeight w:val="561"/>
        </w:trPr>
        <w:tc>
          <w:tcPr>
            <w:tcW w:w="5000" w:type="pct"/>
            <w:gridSpan w:val="7"/>
            <w:tcBorders>
              <w:top w:val="single" w:sz="4" w:space="0" w:color="auto"/>
              <w:bottom w:val="single" w:sz="4" w:space="0" w:color="auto"/>
            </w:tcBorders>
            <w:vAlign w:val="center"/>
          </w:tcPr>
          <w:p w14:paraId="6AA22DE1" w14:textId="77777777" w:rsidR="00234CC4" w:rsidRPr="009B4975" w:rsidRDefault="00234CC4" w:rsidP="00650447">
            <w:pPr>
              <w:pStyle w:val="TableSubHead0"/>
            </w:pPr>
            <w:r w:rsidRPr="009B4975">
              <w:t>Refined assessment (pollen EEC (mg/kg) = rate × 52 / 1000 + nectar EEC (mg/kg) = rate × 11 / 1000)</w:t>
            </w:r>
          </w:p>
        </w:tc>
      </w:tr>
      <w:tr w:rsidR="00234CC4" w:rsidRPr="00D63217" w14:paraId="2D1EE545" w14:textId="77777777" w:rsidTr="00C25652">
        <w:tc>
          <w:tcPr>
            <w:tcW w:w="641" w:type="pct"/>
            <w:tcBorders>
              <w:top w:val="single" w:sz="4" w:space="0" w:color="auto"/>
              <w:bottom w:val="single" w:sz="4" w:space="0" w:color="auto"/>
            </w:tcBorders>
          </w:tcPr>
          <w:p w14:paraId="6D165671" w14:textId="77777777" w:rsidR="00234CC4" w:rsidRPr="009B4975" w:rsidRDefault="00234CC4" w:rsidP="009B4975">
            <w:pPr>
              <w:pStyle w:val="TableText"/>
            </w:pPr>
            <w:r w:rsidRPr="009B4975">
              <w:t>Adults</w:t>
            </w:r>
          </w:p>
        </w:tc>
        <w:tc>
          <w:tcPr>
            <w:tcW w:w="707" w:type="pct"/>
            <w:tcBorders>
              <w:top w:val="single" w:sz="4" w:space="0" w:color="auto"/>
              <w:bottom w:val="single" w:sz="4" w:space="0" w:color="auto"/>
            </w:tcBorders>
          </w:tcPr>
          <w:p w14:paraId="0CFF27DD" w14:textId="77777777" w:rsidR="00234CC4" w:rsidRPr="009B4975" w:rsidRDefault="00234CC4" w:rsidP="009B4975">
            <w:pPr>
              <w:pStyle w:val="TableText"/>
            </w:pPr>
            <w:r w:rsidRPr="009B4975">
              <w:t>Desiccation or general weed control</w:t>
            </w:r>
          </w:p>
        </w:tc>
        <w:tc>
          <w:tcPr>
            <w:tcW w:w="707" w:type="pct"/>
            <w:tcBorders>
              <w:top w:val="single" w:sz="4" w:space="0" w:color="auto"/>
              <w:bottom w:val="single" w:sz="4" w:space="0" w:color="auto"/>
            </w:tcBorders>
          </w:tcPr>
          <w:p w14:paraId="33A8F1AC" w14:textId="77777777" w:rsidR="00234CC4" w:rsidRPr="009B4975" w:rsidRDefault="00234CC4" w:rsidP="009B4975">
            <w:pPr>
              <w:pStyle w:val="TableText"/>
            </w:pPr>
            <w:r w:rsidRPr="009B4975">
              <w:t>Acute oral</w:t>
            </w:r>
          </w:p>
        </w:tc>
        <w:tc>
          <w:tcPr>
            <w:tcW w:w="856" w:type="pct"/>
            <w:tcBorders>
              <w:top w:val="single" w:sz="4" w:space="0" w:color="auto"/>
              <w:bottom w:val="single" w:sz="4" w:space="0" w:color="auto"/>
            </w:tcBorders>
          </w:tcPr>
          <w:p w14:paraId="734C29A6" w14:textId="77777777" w:rsidR="00234CC4" w:rsidRPr="009B4975" w:rsidRDefault="00234CC4" w:rsidP="00650447">
            <w:pPr>
              <w:pStyle w:val="TableText"/>
              <w:jc w:val="right"/>
            </w:pPr>
            <w:r w:rsidRPr="009B4975">
              <w:t>800</w:t>
            </w:r>
          </w:p>
        </w:tc>
        <w:tc>
          <w:tcPr>
            <w:tcW w:w="857" w:type="pct"/>
            <w:tcBorders>
              <w:top w:val="single" w:sz="4" w:space="0" w:color="auto"/>
              <w:bottom w:val="single" w:sz="4" w:space="0" w:color="auto"/>
            </w:tcBorders>
          </w:tcPr>
          <w:p w14:paraId="4BE6C129" w14:textId="77777777" w:rsidR="00234CC4" w:rsidRPr="009B4975" w:rsidRDefault="00234CC4" w:rsidP="00650447">
            <w:pPr>
              <w:pStyle w:val="TableText"/>
              <w:jc w:val="right"/>
            </w:pPr>
            <w:r w:rsidRPr="009B4975">
              <w:t>2.6</w:t>
            </w:r>
          </w:p>
        </w:tc>
        <w:tc>
          <w:tcPr>
            <w:tcW w:w="857" w:type="pct"/>
            <w:tcBorders>
              <w:top w:val="single" w:sz="4" w:space="0" w:color="auto"/>
              <w:bottom w:val="single" w:sz="4" w:space="0" w:color="auto"/>
            </w:tcBorders>
          </w:tcPr>
          <w:p w14:paraId="6E8D2579" w14:textId="77777777" w:rsidR="00234CC4" w:rsidRPr="009B4975" w:rsidRDefault="00234CC4" w:rsidP="00650447">
            <w:pPr>
              <w:pStyle w:val="TableText"/>
              <w:jc w:val="right"/>
            </w:pPr>
            <w:r w:rsidRPr="009B4975">
              <w:t>8.8</w:t>
            </w:r>
          </w:p>
        </w:tc>
        <w:tc>
          <w:tcPr>
            <w:tcW w:w="375" w:type="pct"/>
            <w:tcBorders>
              <w:top w:val="single" w:sz="4" w:space="0" w:color="auto"/>
              <w:bottom w:val="single" w:sz="4" w:space="0" w:color="auto"/>
            </w:tcBorders>
          </w:tcPr>
          <w:p w14:paraId="37E37C28" w14:textId="77777777" w:rsidR="00234CC4" w:rsidRPr="009B4975" w:rsidRDefault="00234CC4" w:rsidP="00650447">
            <w:pPr>
              <w:pStyle w:val="TableText"/>
              <w:jc w:val="right"/>
            </w:pPr>
            <w:r w:rsidRPr="009B4975">
              <w:t>0.29</w:t>
            </w:r>
          </w:p>
        </w:tc>
      </w:tr>
    </w:tbl>
    <w:p w14:paraId="7ADDF526" w14:textId="77777777" w:rsidR="00234CC4" w:rsidRPr="00234CC4" w:rsidRDefault="00234CC4" w:rsidP="00650447">
      <w:pPr>
        <w:pStyle w:val="SourceTableNote"/>
      </w:pPr>
      <w:r w:rsidRPr="00234CC4">
        <w:t>Screening level pollen &amp; nectar EEC based on default RUD 98 mg/kg</w:t>
      </w:r>
    </w:p>
    <w:p w14:paraId="3012ABE4" w14:textId="77777777" w:rsidR="00234CC4" w:rsidRPr="00234CC4" w:rsidRDefault="00234CC4" w:rsidP="00650447">
      <w:pPr>
        <w:pStyle w:val="SourceTableNote"/>
      </w:pPr>
      <w:r w:rsidRPr="00234CC4">
        <w:lastRenderedPageBreak/>
        <w:t>Refined assessment based on 90</w:t>
      </w:r>
      <w:r w:rsidRPr="00234CC4">
        <w:rPr>
          <w:vertAlign w:val="superscript"/>
        </w:rPr>
        <w:t>th</w:t>
      </w:r>
      <w:r w:rsidRPr="00234CC4">
        <w:t xml:space="preserve"> percentile RUD values of 52 mg/kg for pollen and 11 mg/kg for nectar from EFSA (2013b)</w:t>
      </w:r>
    </w:p>
    <w:p w14:paraId="575911AF" w14:textId="77777777" w:rsidR="00234CC4" w:rsidRPr="00234CC4" w:rsidRDefault="00234CC4" w:rsidP="00650447">
      <w:pPr>
        <w:pStyle w:val="SourceTableNote"/>
      </w:pPr>
      <w:r w:rsidRPr="00234CC4">
        <w:t>Predicted total dose calculated using USEPA BeeREX tool for adult worker bee foraging for nectar and larval drone within the hive</w:t>
      </w:r>
    </w:p>
    <w:p w14:paraId="0F0847D6" w14:textId="19B06464" w:rsidR="00234CC4" w:rsidRPr="00234CC4" w:rsidRDefault="00234CC4" w:rsidP="00650447">
      <w:pPr>
        <w:pStyle w:val="SourceTableNote"/>
      </w:pPr>
      <w:r w:rsidRPr="00234CC4">
        <w:t xml:space="preserve">RAL = regulatory acceptable dose (from </w:t>
      </w:r>
      <w:r w:rsidRPr="00234CC4">
        <w:fldChar w:fldCharType="begin" w:fldLock="1"/>
      </w:r>
      <w:r w:rsidRPr="00234CC4">
        <w:instrText xml:space="preserve"> REF _Ref167441724 \h </w:instrText>
      </w:r>
      <w:r>
        <w:instrText xml:space="preserve"> \* MERGEFORMAT </w:instrText>
      </w:r>
      <w:r w:rsidRPr="00234CC4">
        <w:fldChar w:fldCharType="separate"/>
      </w:r>
      <w:r w:rsidR="0033298E" w:rsidRPr="0033298E">
        <w:t xml:space="preserve">Table </w:t>
      </w:r>
      <w:r w:rsidR="0033298E" w:rsidRPr="0033298E">
        <w:rPr>
          <w:noProof/>
        </w:rPr>
        <w:t>28</w:t>
      </w:r>
      <w:r w:rsidRPr="00234CC4">
        <w:fldChar w:fldCharType="end"/>
      </w:r>
      <w:r w:rsidRPr="00234CC4">
        <w:t>)</w:t>
      </w:r>
    </w:p>
    <w:p w14:paraId="086D795F" w14:textId="1E3D7547" w:rsidR="00234CC4" w:rsidRPr="001666F0" w:rsidRDefault="00234CC4" w:rsidP="00650447">
      <w:pPr>
        <w:pStyle w:val="SourceTableNote"/>
      </w:pPr>
      <w:r w:rsidRPr="00234CC4">
        <w:t>RQ = risk quotient = predicted total dose/RAL, where acceptable RQ ≤1</w:t>
      </w:r>
    </w:p>
    <w:p w14:paraId="4BBD8B74" w14:textId="77777777" w:rsidR="00C271A0" w:rsidRPr="00650447" w:rsidRDefault="00C271A0" w:rsidP="00650447">
      <w:pPr>
        <w:pStyle w:val="Heading3"/>
      </w:pPr>
      <w:bookmarkStart w:id="435" w:name="_Toc156980630"/>
      <w:bookmarkStart w:id="436" w:name="_Toc233039034"/>
      <w:r w:rsidRPr="00650447">
        <w:t>Other arthropod species</w:t>
      </w:r>
      <w:bookmarkEnd w:id="435"/>
      <w:bookmarkEnd w:id="436"/>
    </w:p>
    <w:p w14:paraId="419BBAC1" w14:textId="7C719CEE" w:rsidR="00C271A0" w:rsidRDefault="00C271A0" w:rsidP="00C271A0">
      <w:pPr>
        <w:pStyle w:val="NormalText"/>
      </w:pPr>
      <w:r>
        <w:t>E</w:t>
      </w:r>
      <w:r w:rsidRPr="00274F43">
        <w:t xml:space="preserve">xposure of </w:t>
      </w:r>
      <w:r>
        <w:t>other terrestrial arthropod species</w:t>
      </w:r>
      <w:r w:rsidRPr="00274F43">
        <w:t xml:space="preserve"> to diquat is considered </w:t>
      </w:r>
      <w:r w:rsidR="004A43AF">
        <w:t xml:space="preserve">to be </w:t>
      </w:r>
      <w:r w:rsidRPr="00274F43">
        <w:t xml:space="preserve">negligible following application to aquatic areas. Therefore, risks </w:t>
      </w:r>
      <w:r>
        <w:t xml:space="preserve">of diquat </w:t>
      </w:r>
      <w:r w:rsidRPr="00274F43">
        <w:t xml:space="preserve">to </w:t>
      </w:r>
      <w:r>
        <w:t>other terrestrial arthropods</w:t>
      </w:r>
      <w:r w:rsidRPr="00274F43">
        <w:t xml:space="preserve"> are acceptable for aquatic use </w:t>
      </w:r>
      <w:r>
        <w:t>situations.</w:t>
      </w:r>
    </w:p>
    <w:p w14:paraId="0E58613F" w14:textId="48DFD12B" w:rsidR="00C271A0" w:rsidRPr="0048484D" w:rsidRDefault="00C271A0" w:rsidP="00C271A0">
      <w:pPr>
        <w:pStyle w:val="NormalText"/>
        <w:rPr>
          <w:szCs w:val="19"/>
        </w:rPr>
      </w:pPr>
      <w:r>
        <w:t>Commercial use of predatory or parasitic arthropods in integrated pest management programs can occur in a wide range of agricultural industries. For broad-spectrum herbicides such as diquat, exposure of natural populations of arthropod species that are beneficial to agricultural systems is also possible. The risk assessment</w:t>
      </w:r>
      <w:r w:rsidRPr="00920B53">
        <w:t xml:space="preserve"> assumes th</w:t>
      </w:r>
      <w:r>
        <w:t>at</w:t>
      </w:r>
      <w:r w:rsidRPr="00920B53">
        <w:t xml:space="preserve"> arthropods are exposed to fresh-dried residues within the treatment area immediately after </w:t>
      </w:r>
      <w:r>
        <w:t xml:space="preserve">the last </w:t>
      </w:r>
      <w:r w:rsidRPr="00920B53">
        <w:t>application.</w:t>
      </w:r>
      <w:r>
        <w:t xml:space="preserve"> R</w:t>
      </w:r>
      <w:r w:rsidRPr="00212E4D">
        <w:t xml:space="preserve">isks to </w:t>
      </w:r>
      <w:r>
        <w:t>ground-dwelling arthropods are acceptable</w:t>
      </w:r>
      <w:r w:rsidRPr="00212E4D">
        <w:t xml:space="preserve"> </w:t>
      </w:r>
      <w:r>
        <w:t>for all desiccation and general weed control scenarios; however, acceptable risks to foliar-dwelling arthropods could not be concluded for any of these scenarios</w:t>
      </w:r>
      <w:r w:rsidRPr="00212E4D">
        <w:t xml:space="preserve">. </w:t>
      </w:r>
      <w:r>
        <w:t xml:space="preserve">Therefore, the following protection statement is </w:t>
      </w:r>
      <w:r w:rsidR="00FE6F06">
        <w:t xml:space="preserve">recommended </w:t>
      </w:r>
      <w:r>
        <w:t xml:space="preserve">for products used for pre-harvest crop desiccation or </w:t>
      </w:r>
      <w:r w:rsidRPr="0048484D">
        <w:rPr>
          <w:szCs w:val="19"/>
        </w:rPr>
        <w:t>general weed control.</w:t>
      </w:r>
    </w:p>
    <w:p w14:paraId="6F976D46" w14:textId="3C08EA1A" w:rsidR="00C271A0" w:rsidRPr="00C25652" w:rsidRDefault="00C271A0" w:rsidP="001666F0">
      <w:pPr>
        <w:pStyle w:val="Quotes"/>
        <w:ind w:left="0"/>
        <w:rPr>
          <w:rFonts w:ascii="Arial" w:hAnsi="Arial"/>
          <w:sz w:val="19"/>
          <w:szCs w:val="19"/>
        </w:rPr>
      </w:pPr>
      <w:r w:rsidRPr="00C25652">
        <w:rPr>
          <w:rFonts w:ascii="Arial" w:hAnsi="Arial"/>
          <w:sz w:val="19"/>
          <w:szCs w:val="19"/>
        </w:rPr>
        <w:t>Toxic to beneficial foliar arthropods. Not compatible with integrated pest management (IPM) programs utilising beneficial foliar arthropods. Minimise spray drift to reduce harmful effects on beneficial foliar arthropods in non-crop areas.</w:t>
      </w:r>
    </w:p>
    <w:p w14:paraId="1F57FAD4" w14:textId="3977C291" w:rsidR="00C271A0" w:rsidRPr="000179FF" w:rsidRDefault="009B30B8" w:rsidP="000179FF">
      <w:pPr>
        <w:pStyle w:val="Caption"/>
      </w:pPr>
      <w:bookmarkStart w:id="437" w:name="_Toc232589628"/>
      <w:r w:rsidRPr="000179FF">
        <w:t xml:space="preserve">Table </w:t>
      </w:r>
      <w:fldSimple w:instr=" SEQ Table \* ARABIC ">
        <w:r w:rsidR="000179FF">
          <w:rPr>
            <w:noProof/>
          </w:rPr>
          <w:t>33</w:t>
        </w:r>
      </w:fldSimple>
      <w:r w:rsidRPr="000179FF">
        <w:t xml:space="preserve">: </w:t>
      </w:r>
      <w:r w:rsidR="00C271A0" w:rsidRPr="000179FF">
        <w:t>Assessment</w:t>
      </w:r>
      <w:r w:rsidR="00CD2A0F" w:rsidRPr="000179FF">
        <w:t xml:space="preserve"> </w:t>
      </w:r>
      <w:r w:rsidR="00C271A0" w:rsidRPr="000179FF">
        <w:t>of risks to other non-target arthropods</w:t>
      </w:r>
      <w:bookmarkEnd w:id="437"/>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448"/>
        <w:gridCol w:w="1722"/>
        <w:gridCol w:w="1147"/>
        <w:gridCol w:w="1147"/>
        <w:gridCol w:w="1147"/>
        <w:gridCol w:w="1141"/>
      </w:tblGrid>
      <w:tr w:rsidR="00C271A0" w:rsidRPr="000B2FA7" w14:paraId="61274C5A" w14:textId="77777777" w:rsidTr="00D713C5">
        <w:trPr>
          <w:tblHeader/>
        </w:trPr>
        <w:tc>
          <w:tcPr>
            <w:tcW w:w="1768" w:type="pct"/>
            <w:tcBorders>
              <w:right w:val="nil"/>
            </w:tcBorders>
            <w:shd w:val="clear" w:color="auto" w:fill="5C2946"/>
          </w:tcPr>
          <w:p w14:paraId="0D3E556F" w14:textId="77777777" w:rsidR="00C271A0" w:rsidRPr="004C11EF" w:rsidRDefault="00C271A0" w:rsidP="004C11EF">
            <w:pPr>
              <w:pStyle w:val="TableHead"/>
            </w:pPr>
            <w:r w:rsidRPr="004C11EF">
              <w:t>Scenario</w:t>
            </w:r>
          </w:p>
        </w:tc>
        <w:tc>
          <w:tcPr>
            <w:tcW w:w="883" w:type="pct"/>
            <w:tcBorders>
              <w:left w:val="nil"/>
              <w:right w:val="nil"/>
            </w:tcBorders>
            <w:shd w:val="clear" w:color="auto" w:fill="5C2946"/>
          </w:tcPr>
          <w:p w14:paraId="2B604291" w14:textId="77777777" w:rsidR="00C271A0" w:rsidRPr="004C11EF" w:rsidRDefault="00C271A0" w:rsidP="004C11EF">
            <w:pPr>
              <w:pStyle w:val="TableHead"/>
            </w:pPr>
            <w:r w:rsidRPr="004C11EF">
              <w:t>Group</w:t>
            </w:r>
          </w:p>
        </w:tc>
        <w:tc>
          <w:tcPr>
            <w:tcW w:w="588" w:type="pct"/>
            <w:tcBorders>
              <w:left w:val="nil"/>
              <w:right w:val="nil"/>
            </w:tcBorders>
            <w:shd w:val="clear" w:color="auto" w:fill="5C2946"/>
          </w:tcPr>
          <w:p w14:paraId="26E673D8" w14:textId="77777777" w:rsidR="00C271A0" w:rsidRPr="004C11EF" w:rsidRDefault="00C271A0" w:rsidP="004C11EF">
            <w:pPr>
              <w:pStyle w:val="TableHead"/>
            </w:pPr>
            <w:r w:rsidRPr="004C11EF">
              <w:t>Exposure</w:t>
            </w:r>
          </w:p>
        </w:tc>
        <w:tc>
          <w:tcPr>
            <w:tcW w:w="588" w:type="pct"/>
            <w:tcBorders>
              <w:left w:val="nil"/>
              <w:right w:val="nil"/>
            </w:tcBorders>
            <w:shd w:val="clear" w:color="auto" w:fill="5C2946"/>
          </w:tcPr>
          <w:p w14:paraId="26A2A571" w14:textId="5426E7CF" w:rsidR="00C271A0" w:rsidRPr="004C11EF" w:rsidRDefault="00C271A0" w:rsidP="00D713C5">
            <w:pPr>
              <w:pStyle w:val="TableHead"/>
              <w:jc w:val="right"/>
            </w:pPr>
            <w:r w:rsidRPr="004C11EF">
              <w:t>Rate</w:t>
            </w:r>
            <w:r w:rsidR="004C11EF">
              <w:br/>
            </w:r>
            <w:r w:rsidRPr="004C11EF">
              <w:t>(g/ha)</w:t>
            </w:r>
          </w:p>
        </w:tc>
        <w:tc>
          <w:tcPr>
            <w:tcW w:w="588" w:type="pct"/>
            <w:tcBorders>
              <w:left w:val="nil"/>
              <w:right w:val="nil"/>
            </w:tcBorders>
            <w:shd w:val="clear" w:color="auto" w:fill="5C2946"/>
          </w:tcPr>
          <w:p w14:paraId="60BD24F8" w14:textId="22E39FA6" w:rsidR="00C271A0" w:rsidRPr="004C11EF" w:rsidRDefault="00C271A0" w:rsidP="00D713C5">
            <w:pPr>
              <w:pStyle w:val="TableHead"/>
              <w:jc w:val="right"/>
            </w:pPr>
            <w:r w:rsidRPr="004C11EF">
              <w:t>RAL</w:t>
            </w:r>
            <w:r w:rsidR="004C11EF">
              <w:br/>
            </w:r>
            <w:r w:rsidRPr="004C11EF">
              <w:t>(g/ha)</w:t>
            </w:r>
          </w:p>
        </w:tc>
        <w:tc>
          <w:tcPr>
            <w:tcW w:w="585" w:type="pct"/>
            <w:tcBorders>
              <w:left w:val="nil"/>
            </w:tcBorders>
            <w:shd w:val="clear" w:color="auto" w:fill="5C2946"/>
          </w:tcPr>
          <w:p w14:paraId="53403468" w14:textId="77777777" w:rsidR="00C271A0" w:rsidRPr="004C11EF" w:rsidRDefault="00C271A0" w:rsidP="00D713C5">
            <w:pPr>
              <w:pStyle w:val="TableHead"/>
              <w:jc w:val="right"/>
            </w:pPr>
            <w:r w:rsidRPr="004C11EF">
              <w:t>RQ</w:t>
            </w:r>
          </w:p>
        </w:tc>
      </w:tr>
      <w:tr w:rsidR="00C271A0" w:rsidRPr="005F517A" w14:paraId="4A8A74DA" w14:textId="77777777" w:rsidTr="00C25652">
        <w:tc>
          <w:tcPr>
            <w:tcW w:w="1768" w:type="pct"/>
            <w:vMerge w:val="restart"/>
            <w:tcBorders>
              <w:right w:val="nil"/>
            </w:tcBorders>
          </w:tcPr>
          <w:p w14:paraId="3BA8F8FB" w14:textId="77777777" w:rsidR="00C271A0" w:rsidRPr="004C11EF" w:rsidRDefault="00C271A0" w:rsidP="004C11EF">
            <w:pPr>
              <w:pStyle w:val="TableText"/>
            </w:pPr>
            <w:r w:rsidRPr="004C11EF">
              <w:t>Worst-case (1× 800 g ac/ha)</w:t>
            </w:r>
          </w:p>
        </w:tc>
        <w:tc>
          <w:tcPr>
            <w:tcW w:w="883" w:type="pct"/>
            <w:tcBorders>
              <w:left w:val="nil"/>
              <w:right w:val="nil"/>
            </w:tcBorders>
          </w:tcPr>
          <w:p w14:paraId="5C647851" w14:textId="77777777" w:rsidR="00C271A0" w:rsidRPr="004C11EF" w:rsidRDefault="00C271A0" w:rsidP="004C11EF">
            <w:pPr>
              <w:pStyle w:val="TableText"/>
            </w:pPr>
            <w:r w:rsidRPr="004C11EF">
              <w:t>Foliar arthropods</w:t>
            </w:r>
          </w:p>
        </w:tc>
        <w:tc>
          <w:tcPr>
            <w:tcW w:w="588" w:type="pct"/>
            <w:tcBorders>
              <w:left w:val="nil"/>
              <w:right w:val="nil"/>
            </w:tcBorders>
          </w:tcPr>
          <w:p w14:paraId="1568B20A" w14:textId="77777777" w:rsidR="00C271A0" w:rsidRPr="004C11EF" w:rsidRDefault="00C271A0" w:rsidP="004C11EF">
            <w:pPr>
              <w:pStyle w:val="TableText"/>
            </w:pPr>
            <w:r w:rsidRPr="004C11EF">
              <w:t>Contact</w:t>
            </w:r>
          </w:p>
        </w:tc>
        <w:tc>
          <w:tcPr>
            <w:tcW w:w="588" w:type="pct"/>
            <w:tcBorders>
              <w:left w:val="nil"/>
              <w:right w:val="nil"/>
            </w:tcBorders>
          </w:tcPr>
          <w:p w14:paraId="6C82F1B6" w14:textId="77777777" w:rsidR="00C271A0" w:rsidRPr="004C11EF" w:rsidRDefault="00C271A0" w:rsidP="00D713C5">
            <w:pPr>
              <w:pStyle w:val="TableText"/>
              <w:jc w:val="right"/>
            </w:pPr>
            <w:r w:rsidRPr="004C11EF">
              <w:t>800</w:t>
            </w:r>
          </w:p>
        </w:tc>
        <w:tc>
          <w:tcPr>
            <w:tcW w:w="588" w:type="pct"/>
            <w:tcBorders>
              <w:left w:val="nil"/>
              <w:right w:val="nil"/>
            </w:tcBorders>
          </w:tcPr>
          <w:p w14:paraId="767FC947" w14:textId="77777777" w:rsidR="00C271A0" w:rsidRPr="004C11EF" w:rsidRDefault="00C271A0" w:rsidP="00D713C5">
            <w:pPr>
              <w:pStyle w:val="TableText"/>
              <w:jc w:val="right"/>
            </w:pPr>
            <w:r w:rsidRPr="004C11EF">
              <w:t>4.1</w:t>
            </w:r>
          </w:p>
        </w:tc>
        <w:tc>
          <w:tcPr>
            <w:tcW w:w="585" w:type="pct"/>
            <w:tcBorders>
              <w:left w:val="nil"/>
            </w:tcBorders>
            <w:shd w:val="clear" w:color="auto" w:fill="FF0000"/>
          </w:tcPr>
          <w:p w14:paraId="1F5993DE" w14:textId="77777777" w:rsidR="00C271A0" w:rsidRPr="00C25652" w:rsidRDefault="00C271A0" w:rsidP="00D713C5">
            <w:pPr>
              <w:pStyle w:val="TableText"/>
              <w:jc w:val="right"/>
              <w:rPr>
                <w:b/>
                <w:bCs/>
              </w:rPr>
            </w:pPr>
            <w:r w:rsidRPr="00C25652">
              <w:rPr>
                <w:b/>
                <w:bCs/>
              </w:rPr>
              <w:t>195</w:t>
            </w:r>
          </w:p>
        </w:tc>
      </w:tr>
      <w:tr w:rsidR="00C271A0" w:rsidRPr="005F517A" w14:paraId="6266BEBB" w14:textId="77777777" w:rsidTr="00D713C5">
        <w:tc>
          <w:tcPr>
            <w:tcW w:w="1768" w:type="pct"/>
            <w:vMerge/>
            <w:tcBorders>
              <w:right w:val="nil"/>
            </w:tcBorders>
          </w:tcPr>
          <w:p w14:paraId="3CB1BACB" w14:textId="77777777" w:rsidR="00C271A0" w:rsidRPr="004C11EF" w:rsidRDefault="00C271A0" w:rsidP="004C11EF">
            <w:pPr>
              <w:pStyle w:val="TableText"/>
            </w:pPr>
          </w:p>
        </w:tc>
        <w:tc>
          <w:tcPr>
            <w:tcW w:w="883" w:type="pct"/>
            <w:tcBorders>
              <w:left w:val="nil"/>
              <w:right w:val="nil"/>
            </w:tcBorders>
          </w:tcPr>
          <w:p w14:paraId="0957D14B" w14:textId="77777777" w:rsidR="00C271A0" w:rsidRPr="004C11EF" w:rsidRDefault="00C271A0" w:rsidP="004C11EF">
            <w:pPr>
              <w:pStyle w:val="TableText"/>
            </w:pPr>
            <w:r w:rsidRPr="004C11EF">
              <w:t>Ground arthropods</w:t>
            </w:r>
          </w:p>
        </w:tc>
        <w:tc>
          <w:tcPr>
            <w:tcW w:w="588" w:type="pct"/>
            <w:tcBorders>
              <w:left w:val="nil"/>
              <w:right w:val="nil"/>
            </w:tcBorders>
          </w:tcPr>
          <w:p w14:paraId="0904F208" w14:textId="77777777" w:rsidR="00C271A0" w:rsidRPr="004C11EF" w:rsidRDefault="00C271A0" w:rsidP="004C11EF">
            <w:pPr>
              <w:pStyle w:val="TableText"/>
            </w:pPr>
            <w:r w:rsidRPr="004C11EF">
              <w:t>Contact</w:t>
            </w:r>
          </w:p>
        </w:tc>
        <w:tc>
          <w:tcPr>
            <w:tcW w:w="588" w:type="pct"/>
            <w:tcBorders>
              <w:left w:val="nil"/>
              <w:right w:val="nil"/>
            </w:tcBorders>
          </w:tcPr>
          <w:p w14:paraId="1DC5D0D5" w14:textId="77777777" w:rsidR="00C271A0" w:rsidRPr="004C11EF" w:rsidRDefault="00C271A0" w:rsidP="00D713C5">
            <w:pPr>
              <w:pStyle w:val="TableText"/>
              <w:jc w:val="right"/>
            </w:pPr>
            <w:r w:rsidRPr="004C11EF">
              <w:t>800</w:t>
            </w:r>
          </w:p>
        </w:tc>
        <w:tc>
          <w:tcPr>
            <w:tcW w:w="588" w:type="pct"/>
            <w:tcBorders>
              <w:left w:val="nil"/>
              <w:right w:val="nil"/>
            </w:tcBorders>
          </w:tcPr>
          <w:p w14:paraId="48E9507F" w14:textId="0FC0ADBF" w:rsidR="00C271A0" w:rsidRPr="004C11EF" w:rsidRDefault="00C271A0" w:rsidP="00D713C5">
            <w:pPr>
              <w:pStyle w:val="TableText"/>
              <w:jc w:val="right"/>
            </w:pPr>
            <w:r w:rsidRPr="004C11EF">
              <w:t>1</w:t>
            </w:r>
            <w:r w:rsidR="00D713C5">
              <w:t xml:space="preserve"> </w:t>
            </w:r>
            <w:r w:rsidRPr="004C11EF">
              <w:t>000</w:t>
            </w:r>
          </w:p>
        </w:tc>
        <w:tc>
          <w:tcPr>
            <w:tcW w:w="585" w:type="pct"/>
            <w:tcBorders>
              <w:left w:val="nil"/>
            </w:tcBorders>
          </w:tcPr>
          <w:p w14:paraId="39C1FF2A" w14:textId="77777777" w:rsidR="00C271A0" w:rsidRPr="004C11EF" w:rsidRDefault="00C271A0" w:rsidP="00D713C5">
            <w:pPr>
              <w:pStyle w:val="TableText"/>
              <w:jc w:val="right"/>
            </w:pPr>
            <w:r w:rsidRPr="004C11EF">
              <w:t>0.80</w:t>
            </w:r>
          </w:p>
        </w:tc>
      </w:tr>
      <w:tr w:rsidR="00C271A0" w:rsidRPr="002C67C4" w14:paraId="0AF9BF05" w14:textId="77777777" w:rsidTr="00C25652">
        <w:tc>
          <w:tcPr>
            <w:tcW w:w="1768" w:type="pct"/>
            <w:vMerge w:val="restart"/>
            <w:tcBorders>
              <w:right w:val="nil"/>
            </w:tcBorders>
          </w:tcPr>
          <w:p w14:paraId="1AAFE8EC" w14:textId="77777777" w:rsidR="00C271A0" w:rsidRPr="004C11EF" w:rsidRDefault="00C271A0" w:rsidP="004C11EF">
            <w:pPr>
              <w:pStyle w:val="TableText"/>
            </w:pPr>
            <w:r w:rsidRPr="004C11EF">
              <w:t>Best-case (1× 140 g ac/ha)</w:t>
            </w:r>
          </w:p>
        </w:tc>
        <w:tc>
          <w:tcPr>
            <w:tcW w:w="883" w:type="pct"/>
            <w:tcBorders>
              <w:left w:val="nil"/>
              <w:right w:val="nil"/>
            </w:tcBorders>
          </w:tcPr>
          <w:p w14:paraId="6987692B" w14:textId="77777777" w:rsidR="00C271A0" w:rsidRPr="004C11EF" w:rsidRDefault="00C271A0" w:rsidP="004C11EF">
            <w:pPr>
              <w:pStyle w:val="TableText"/>
            </w:pPr>
            <w:r w:rsidRPr="004C11EF">
              <w:t>Foliar arthropods</w:t>
            </w:r>
          </w:p>
        </w:tc>
        <w:tc>
          <w:tcPr>
            <w:tcW w:w="588" w:type="pct"/>
            <w:tcBorders>
              <w:left w:val="nil"/>
              <w:right w:val="nil"/>
            </w:tcBorders>
          </w:tcPr>
          <w:p w14:paraId="0ADA82BF" w14:textId="77777777" w:rsidR="00C271A0" w:rsidRPr="004C11EF" w:rsidRDefault="00C271A0" w:rsidP="004C11EF">
            <w:pPr>
              <w:pStyle w:val="TableText"/>
            </w:pPr>
            <w:r w:rsidRPr="004C11EF">
              <w:t>Contact</w:t>
            </w:r>
          </w:p>
        </w:tc>
        <w:tc>
          <w:tcPr>
            <w:tcW w:w="588" w:type="pct"/>
            <w:tcBorders>
              <w:left w:val="nil"/>
              <w:right w:val="nil"/>
            </w:tcBorders>
          </w:tcPr>
          <w:p w14:paraId="7BD690FB" w14:textId="77777777" w:rsidR="00C271A0" w:rsidRPr="004C11EF" w:rsidRDefault="00C271A0" w:rsidP="00D713C5">
            <w:pPr>
              <w:pStyle w:val="TableText"/>
              <w:jc w:val="right"/>
            </w:pPr>
            <w:r w:rsidRPr="004C11EF">
              <w:t>140</w:t>
            </w:r>
          </w:p>
        </w:tc>
        <w:tc>
          <w:tcPr>
            <w:tcW w:w="588" w:type="pct"/>
            <w:tcBorders>
              <w:left w:val="nil"/>
              <w:right w:val="nil"/>
            </w:tcBorders>
          </w:tcPr>
          <w:p w14:paraId="7184E4D7" w14:textId="77777777" w:rsidR="00C271A0" w:rsidRPr="004C11EF" w:rsidRDefault="00C271A0" w:rsidP="00D713C5">
            <w:pPr>
              <w:pStyle w:val="TableText"/>
              <w:jc w:val="right"/>
            </w:pPr>
            <w:r w:rsidRPr="004C11EF">
              <w:t>4.1</w:t>
            </w:r>
          </w:p>
        </w:tc>
        <w:tc>
          <w:tcPr>
            <w:tcW w:w="585" w:type="pct"/>
            <w:tcBorders>
              <w:left w:val="nil"/>
            </w:tcBorders>
            <w:shd w:val="clear" w:color="auto" w:fill="FF0000"/>
          </w:tcPr>
          <w:p w14:paraId="124C0F75" w14:textId="77777777" w:rsidR="00C271A0" w:rsidRPr="00C25652" w:rsidRDefault="00C271A0" w:rsidP="00D713C5">
            <w:pPr>
              <w:pStyle w:val="TableText"/>
              <w:jc w:val="right"/>
              <w:rPr>
                <w:b/>
                <w:bCs/>
              </w:rPr>
            </w:pPr>
            <w:r w:rsidRPr="00C25652">
              <w:rPr>
                <w:b/>
                <w:bCs/>
              </w:rPr>
              <w:t>34</w:t>
            </w:r>
          </w:p>
        </w:tc>
      </w:tr>
      <w:tr w:rsidR="00C271A0" w:rsidRPr="00920B53" w14:paraId="43A3EAB0" w14:textId="77777777" w:rsidTr="00D713C5">
        <w:tc>
          <w:tcPr>
            <w:tcW w:w="1768" w:type="pct"/>
            <w:vMerge/>
            <w:tcBorders>
              <w:right w:val="nil"/>
            </w:tcBorders>
          </w:tcPr>
          <w:p w14:paraId="2A21C92E" w14:textId="77777777" w:rsidR="00C271A0" w:rsidRPr="004C11EF" w:rsidRDefault="00C271A0" w:rsidP="004C11EF">
            <w:pPr>
              <w:pStyle w:val="TableText"/>
            </w:pPr>
          </w:p>
        </w:tc>
        <w:tc>
          <w:tcPr>
            <w:tcW w:w="883" w:type="pct"/>
            <w:tcBorders>
              <w:left w:val="nil"/>
              <w:right w:val="nil"/>
            </w:tcBorders>
          </w:tcPr>
          <w:p w14:paraId="6D2FC38C" w14:textId="77777777" w:rsidR="00C271A0" w:rsidRPr="004C11EF" w:rsidRDefault="00C271A0" w:rsidP="004C11EF">
            <w:pPr>
              <w:pStyle w:val="TableText"/>
            </w:pPr>
            <w:r w:rsidRPr="004C11EF">
              <w:t>Ground arthropods</w:t>
            </w:r>
          </w:p>
        </w:tc>
        <w:tc>
          <w:tcPr>
            <w:tcW w:w="588" w:type="pct"/>
            <w:tcBorders>
              <w:left w:val="nil"/>
              <w:right w:val="nil"/>
            </w:tcBorders>
          </w:tcPr>
          <w:p w14:paraId="5C6DC9E5" w14:textId="77777777" w:rsidR="00C271A0" w:rsidRPr="004C11EF" w:rsidRDefault="00C271A0" w:rsidP="004C11EF">
            <w:pPr>
              <w:pStyle w:val="TableText"/>
            </w:pPr>
            <w:r w:rsidRPr="004C11EF">
              <w:t>Contact</w:t>
            </w:r>
          </w:p>
        </w:tc>
        <w:tc>
          <w:tcPr>
            <w:tcW w:w="588" w:type="pct"/>
            <w:tcBorders>
              <w:left w:val="nil"/>
              <w:right w:val="nil"/>
            </w:tcBorders>
          </w:tcPr>
          <w:p w14:paraId="7AE72FBA" w14:textId="77777777" w:rsidR="00C271A0" w:rsidRPr="004C11EF" w:rsidRDefault="00C271A0" w:rsidP="00D713C5">
            <w:pPr>
              <w:pStyle w:val="TableText"/>
              <w:jc w:val="right"/>
            </w:pPr>
            <w:r w:rsidRPr="004C11EF">
              <w:t>140</w:t>
            </w:r>
          </w:p>
        </w:tc>
        <w:tc>
          <w:tcPr>
            <w:tcW w:w="588" w:type="pct"/>
            <w:tcBorders>
              <w:left w:val="nil"/>
              <w:right w:val="nil"/>
            </w:tcBorders>
          </w:tcPr>
          <w:p w14:paraId="121EF519" w14:textId="6DD62B56" w:rsidR="00C271A0" w:rsidRPr="004C11EF" w:rsidRDefault="00C271A0" w:rsidP="00D713C5">
            <w:pPr>
              <w:pStyle w:val="TableText"/>
              <w:jc w:val="right"/>
            </w:pPr>
            <w:r w:rsidRPr="004C11EF">
              <w:t>1</w:t>
            </w:r>
            <w:r w:rsidR="00D713C5">
              <w:t xml:space="preserve"> </w:t>
            </w:r>
            <w:r w:rsidRPr="004C11EF">
              <w:t>000</w:t>
            </w:r>
          </w:p>
        </w:tc>
        <w:tc>
          <w:tcPr>
            <w:tcW w:w="585" w:type="pct"/>
            <w:tcBorders>
              <w:left w:val="nil"/>
            </w:tcBorders>
          </w:tcPr>
          <w:p w14:paraId="48AD83BE" w14:textId="77777777" w:rsidR="00C271A0" w:rsidRPr="004C11EF" w:rsidRDefault="00C271A0" w:rsidP="00D713C5">
            <w:pPr>
              <w:pStyle w:val="TableText"/>
              <w:jc w:val="right"/>
            </w:pPr>
            <w:r w:rsidRPr="004C11EF">
              <w:t>0.14</w:t>
            </w:r>
          </w:p>
        </w:tc>
      </w:tr>
    </w:tbl>
    <w:p w14:paraId="026F338A" w14:textId="7387AD11" w:rsidR="00C271A0" w:rsidRPr="00E845D4" w:rsidRDefault="00C271A0" w:rsidP="004C11EF">
      <w:pPr>
        <w:pStyle w:val="SourceTableNote"/>
      </w:pPr>
      <w:r w:rsidRPr="005F517A">
        <w:t>RA</w:t>
      </w:r>
      <w:r>
        <w:t>L</w:t>
      </w:r>
      <w:r w:rsidRPr="005F517A">
        <w:t xml:space="preserve"> = regulatory acceptable </w:t>
      </w:r>
      <w:r>
        <w:t>level</w:t>
      </w:r>
      <w:r w:rsidRPr="005F517A">
        <w:t xml:space="preserve"> (from </w:t>
      </w:r>
      <w:r w:rsidR="00A14B41">
        <w:fldChar w:fldCharType="begin" w:fldLock="1"/>
      </w:r>
      <w:r w:rsidR="00A14B41">
        <w:instrText xml:space="preserve"> REF _Ref167441724 \h </w:instrText>
      </w:r>
      <w:r w:rsidR="004C11EF">
        <w:instrText xml:space="preserve"> \* MERGEFORMAT </w:instrText>
      </w:r>
      <w:r w:rsidR="00A14B41">
        <w:fldChar w:fldCharType="separate"/>
      </w:r>
      <w:r w:rsidR="0033298E">
        <w:t xml:space="preserve">Table </w:t>
      </w:r>
      <w:r w:rsidR="0033298E">
        <w:rPr>
          <w:noProof/>
        </w:rPr>
        <w:t>28</w:t>
      </w:r>
      <w:r w:rsidR="00A14B41">
        <w:fldChar w:fldCharType="end"/>
      </w:r>
      <w:r w:rsidRPr="00E845D4">
        <w:t>)</w:t>
      </w:r>
    </w:p>
    <w:p w14:paraId="7F18E130" w14:textId="77777777" w:rsidR="00C271A0" w:rsidRPr="004B3FB7" w:rsidRDefault="00C271A0" w:rsidP="004C11EF">
      <w:pPr>
        <w:pStyle w:val="SourceTableNote"/>
        <w:rPr>
          <w:sz w:val="19"/>
        </w:rPr>
      </w:pPr>
      <w:r w:rsidRPr="005F517A">
        <w:t>RQ = risk quotient = PEC / RA</w:t>
      </w:r>
      <w:r>
        <w:t>L</w:t>
      </w:r>
      <w:r w:rsidRPr="005F517A">
        <w:t>, where acceptable RQ ≤1</w:t>
      </w:r>
    </w:p>
    <w:p w14:paraId="1C7399CB" w14:textId="77777777" w:rsidR="00C271A0" w:rsidRPr="00650447" w:rsidRDefault="00C271A0" w:rsidP="00650447">
      <w:pPr>
        <w:pStyle w:val="Heading3"/>
      </w:pPr>
      <w:bookmarkStart w:id="438" w:name="_Toc156980631"/>
      <w:bookmarkStart w:id="439" w:name="_Toc233039035"/>
      <w:r w:rsidRPr="00650447">
        <w:t>Soil organisms</w:t>
      </w:r>
      <w:bookmarkEnd w:id="438"/>
      <w:bookmarkEnd w:id="439"/>
    </w:p>
    <w:p w14:paraId="19DFCC5A" w14:textId="77777777" w:rsidR="00C271A0" w:rsidRPr="00C271A0" w:rsidRDefault="00C271A0" w:rsidP="00C271A0">
      <w:pPr>
        <w:pStyle w:val="NormalText"/>
      </w:pPr>
      <w:r w:rsidRPr="00C271A0">
        <w:t>Exposure of soil organisms to diquat is considered negligible following application to aquatic areas. Therefore, risks of diquat to soil organisms are acceptable for aquatic use situations.</w:t>
      </w:r>
    </w:p>
    <w:p w14:paraId="39AF56BD" w14:textId="33C6858B" w:rsidR="00650447" w:rsidRDefault="00C271A0" w:rsidP="00C271A0">
      <w:pPr>
        <w:pStyle w:val="NormalText"/>
      </w:pPr>
      <w:r w:rsidRPr="00C271A0">
        <w:t>For desiccation and general weed control uses, the risk assessment assumes soil organisms are exposed to accumulated residues in the top 5</w:t>
      </w:r>
      <w:r w:rsidR="00D713C5">
        <w:t xml:space="preserve"> </w:t>
      </w:r>
      <w:r w:rsidRPr="00C271A0">
        <w:t xml:space="preserve">cm after 20 years of use. Assuming annual use at the highest rate of </w:t>
      </w:r>
      <w:r w:rsidRPr="00C271A0">
        <w:lastRenderedPageBreak/>
        <w:t>800</w:t>
      </w:r>
      <w:r w:rsidR="00D713C5">
        <w:t> </w:t>
      </w:r>
      <w:r w:rsidRPr="00C271A0">
        <w:t>g</w:t>
      </w:r>
      <w:r w:rsidR="00D713C5">
        <w:t> </w:t>
      </w:r>
      <w:r w:rsidRPr="00C271A0">
        <w:t>ac/ha with no foliar interception, the peak concentration was predicted to be 4.7 mg ac/kg dry soil (acute exposure scenario), while the steady state concentration was predicted to be 3.7 mg ac/kg dry soil (chronic exposure scenario). Risks to soil organisms were determined to be acceptable under this worst-case scenario (</w:t>
      </w:r>
      <w:r w:rsidR="00A14B41">
        <w:fldChar w:fldCharType="begin" w:fldLock="1"/>
      </w:r>
      <w:r w:rsidR="00A14B41">
        <w:instrText xml:space="preserve"> REF _Ref167443720 \h </w:instrText>
      </w:r>
      <w:r w:rsidR="00A14B41">
        <w:fldChar w:fldCharType="separate"/>
      </w:r>
      <w:r w:rsidR="0033298E">
        <w:t xml:space="preserve">Table </w:t>
      </w:r>
      <w:r w:rsidR="0033298E">
        <w:rPr>
          <w:noProof/>
        </w:rPr>
        <w:t>34</w:t>
      </w:r>
      <w:r w:rsidR="00A14B41">
        <w:fldChar w:fldCharType="end"/>
      </w:r>
      <w:r w:rsidRPr="00C271A0">
        <w:t>), and no protection statements are therefore required.</w:t>
      </w:r>
    </w:p>
    <w:p w14:paraId="565F496A" w14:textId="354EC914" w:rsidR="00C271A0" w:rsidRPr="000179FF" w:rsidRDefault="009B30B8" w:rsidP="000179FF">
      <w:pPr>
        <w:pStyle w:val="Caption"/>
      </w:pPr>
      <w:bookmarkStart w:id="440" w:name="_Ref167443720"/>
      <w:bookmarkStart w:id="441" w:name="_Toc232589629"/>
      <w:r w:rsidRPr="000179FF">
        <w:t xml:space="preserve">Table </w:t>
      </w:r>
      <w:fldSimple w:instr=" SEQ Table \* ARABIC ">
        <w:r w:rsidR="000179FF">
          <w:rPr>
            <w:noProof/>
          </w:rPr>
          <w:t>34</w:t>
        </w:r>
      </w:fldSimple>
      <w:bookmarkEnd w:id="440"/>
      <w:r w:rsidRPr="000179FF">
        <w:t xml:space="preserve">: </w:t>
      </w:r>
      <w:r w:rsidR="00C271A0" w:rsidRPr="000179FF">
        <w:t>Screening</w:t>
      </w:r>
      <w:r w:rsidR="00CD2A0F" w:rsidRPr="000179FF">
        <w:t xml:space="preserve"> </w:t>
      </w:r>
      <w:r w:rsidR="00C271A0" w:rsidRPr="000179FF">
        <w:t>level assessment of risks</w:t>
      </w:r>
      <w:r w:rsidR="00745704" w:rsidRPr="000179FF">
        <w:t xml:space="preserve"> </w:t>
      </w:r>
      <w:r w:rsidR="00C271A0" w:rsidRPr="000179FF">
        <w:t>to soil organisms (worst-case scenario)</w:t>
      </w:r>
      <w:bookmarkEnd w:id="44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80"/>
        <w:gridCol w:w="1241"/>
        <w:gridCol w:w="1546"/>
        <w:gridCol w:w="2056"/>
        <w:gridCol w:w="2056"/>
        <w:gridCol w:w="673"/>
      </w:tblGrid>
      <w:tr w:rsidR="00D713C5" w:rsidRPr="000B2FA7" w14:paraId="61374F8C" w14:textId="77777777" w:rsidTr="00D713C5">
        <w:trPr>
          <w:tblHeader/>
        </w:trPr>
        <w:tc>
          <w:tcPr>
            <w:tcW w:w="0" w:type="auto"/>
            <w:tcBorders>
              <w:right w:val="nil"/>
            </w:tcBorders>
            <w:shd w:val="clear" w:color="auto" w:fill="5C2946"/>
          </w:tcPr>
          <w:p w14:paraId="20905821" w14:textId="77777777" w:rsidR="00C271A0" w:rsidRPr="00D713C5" w:rsidRDefault="00C271A0" w:rsidP="00D713C5">
            <w:pPr>
              <w:pStyle w:val="TableHead"/>
            </w:pPr>
            <w:r w:rsidRPr="00D713C5">
              <w:t>Group</w:t>
            </w:r>
          </w:p>
        </w:tc>
        <w:tc>
          <w:tcPr>
            <w:tcW w:w="0" w:type="auto"/>
            <w:tcBorders>
              <w:left w:val="nil"/>
              <w:right w:val="nil"/>
            </w:tcBorders>
            <w:shd w:val="clear" w:color="auto" w:fill="5C2946"/>
          </w:tcPr>
          <w:p w14:paraId="5C919DB0" w14:textId="77777777" w:rsidR="00C271A0" w:rsidRPr="00D713C5" w:rsidRDefault="00C271A0" w:rsidP="00D713C5">
            <w:pPr>
              <w:pStyle w:val="TableHead"/>
            </w:pPr>
            <w:r w:rsidRPr="00D713C5">
              <w:t>Exposure</w:t>
            </w:r>
          </w:p>
        </w:tc>
        <w:tc>
          <w:tcPr>
            <w:tcW w:w="0" w:type="auto"/>
            <w:tcBorders>
              <w:left w:val="nil"/>
              <w:right w:val="nil"/>
            </w:tcBorders>
            <w:shd w:val="clear" w:color="auto" w:fill="5C2946"/>
          </w:tcPr>
          <w:p w14:paraId="1F0647FB" w14:textId="7BBC54C5" w:rsidR="00C271A0" w:rsidRPr="00D713C5" w:rsidRDefault="00C271A0" w:rsidP="00D713C5">
            <w:pPr>
              <w:pStyle w:val="TableHead"/>
              <w:jc w:val="right"/>
            </w:pPr>
            <w:r w:rsidRPr="00D713C5">
              <w:t>Annual rate</w:t>
            </w:r>
            <w:r w:rsidR="00D713C5">
              <w:br/>
            </w:r>
            <w:r w:rsidRPr="00D713C5">
              <w:t>(g/ha)</w:t>
            </w:r>
          </w:p>
        </w:tc>
        <w:tc>
          <w:tcPr>
            <w:tcW w:w="0" w:type="auto"/>
            <w:tcBorders>
              <w:left w:val="nil"/>
              <w:right w:val="nil"/>
            </w:tcBorders>
            <w:shd w:val="clear" w:color="auto" w:fill="5C2946"/>
          </w:tcPr>
          <w:p w14:paraId="6FD343F4" w14:textId="25E0A074" w:rsidR="00C271A0" w:rsidRPr="00D713C5" w:rsidRDefault="00C271A0" w:rsidP="00D713C5">
            <w:pPr>
              <w:pStyle w:val="TableHead"/>
              <w:jc w:val="right"/>
            </w:pPr>
            <w:r w:rsidRPr="00D713C5">
              <w:t>PEC</w:t>
            </w:r>
            <w:r w:rsidR="00D713C5">
              <w:br/>
            </w:r>
            <w:r w:rsidRPr="00D713C5">
              <w:t>(mg/kg dry soil)</w:t>
            </w:r>
          </w:p>
        </w:tc>
        <w:tc>
          <w:tcPr>
            <w:tcW w:w="0" w:type="auto"/>
            <w:tcBorders>
              <w:left w:val="nil"/>
              <w:right w:val="nil"/>
            </w:tcBorders>
            <w:shd w:val="clear" w:color="auto" w:fill="5C2946"/>
          </w:tcPr>
          <w:p w14:paraId="1A0D5968" w14:textId="632BCEDA" w:rsidR="00C271A0" w:rsidRPr="00D713C5" w:rsidRDefault="00C271A0" w:rsidP="00D713C5">
            <w:pPr>
              <w:pStyle w:val="TableHead"/>
              <w:jc w:val="right"/>
            </w:pPr>
            <w:r w:rsidRPr="00D713C5">
              <w:t>RAL</w:t>
            </w:r>
            <w:r w:rsidR="00D713C5">
              <w:br/>
            </w:r>
            <w:r w:rsidRPr="00D713C5">
              <w:t>(mg/kg dry soil)</w:t>
            </w:r>
          </w:p>
        </w:tc>
        <w:tc>
          <w:tcPr>
            <w:tcW w:w="0" w:type="auto"/>
            <w:tcBorders>
              <w:left w:val="nil"/>
            </w:tcBorders>
            <w:shd w:val="clear" w:color="auto" w:fill="5C2946"/>
          </w:tcPr>
          <w:p w14:paraId="0D2BB7D0" w14:textId="77777777" w:rsidR="00C271A0" w:rsidRPr="00D713C5" w:rsidRDefault="00C271A0" w:rsidP="00D713C5">
            <w:pPr>
              <w:pStyle w:val="TableHead"/>
              <w:jc w:val="right"/>
            </w:pPr>
            <w:r w:rsidRPr="00D713C5">
              <w:t>RQ</w:t>
            </w:r>
          </w:p>
        </w:tc>
      </w:tr>
      <w:tr w:rsidR="00D713C5" w:rsidRPr="000B2FA7" w14:paraId="7AB114FD" w14:textId="77777777" w:rsidTr="00D713C5">
        <w:tc>
          <w:tcPr>
            <w:tcW w:w="0" w:type="auto"/>
            <w:vMerge w:val="restart"/>
            <w:tcBorders>
              <w:right w:val="nil"/>
            </w:tcBorders>
          </w:tcPr>
          <w:p w14:paraId="21F3956A" w14:textId="77777777" w:rsidR="00D713C5" w:rsidRPr="00D713C5" w:rsidRDefault="00D713C5" w:rsidP="00D713C5">
            <w:pPr>
              <w:pStyle w:val="TableText"/>
            </w:pPr>
            <w:r w:rsidRPr="00D713C5">
              <w:t>Macro-organisms</w:t>
            </w:r>
          </w:p>
        </w:tc>
        <w:tc>
          <w:tcPr>
            <w:tcW w:w="0" w:type="auto"/>
            <w:tcBorders>
              <w:left w:val="nil"/>
              <w:right w:val="nil"/>
            </w:tcBorders>
          </w:tcPr>
          <w:p w14:paraId="18B7B809" w14:textId="77777777" w:rsidR="00D713C5" w:rsidRPr="00D713C5" w:rsidRDefault="00D713C5" w:rsidP="00D713C5">
            <w:pPr>
              <w:pStyle w:val="TableText"/>
            </w:pPr>
            <w:r w:rsidRPr="00D713C5">
              <w:t>Acute</w:t>
            </w:r>
          </w:p>
        </w:tc>
        <w:tc>
          <w:tcPr>
            <w:tcW w:w="0" w:type="auto"/>
            <w:tcBorders>
              <w:left w:val="nil"/>
              <w:right w:val="nil"/>
            </w:tcBorders>
          </w:tcPr>
          <w:p w14:paraId="5B1BF168" w14:textId="77777777" w:rsidR="00D713C5" w:rsidRPr="00D713C5" w:rsidRDefault="00D713C5" w:rsidP="00D713C5">
            <w:pPr>
              <w:pStyle w:val="TableText"/>
              <w:jc w:val="right"/>
            </w:pPr>
            <w:r w:rsidRPr="00D713C5">
              <w:t>800</w:t>
            </w:r>
          </w:p>
        </w:tc>
        <w:tc>
          <w:tcPr>
            <w:tcW w:w="0" w:type="auto"/>
            <w:tcBorders>
              <w:left w:val="nil"/>
              <w:right w:val="nil"/>
            </w:tcBorders>
          </w:tcPr>
          <w:p w14:paraId="5A090F34" w14:textId="77777777" w:rsidR="00D713C5" w:rsidRPr="00D713C5" w:rsidRDefault="00D713C5" w:rsidP="00D713C5">
            <w:pPr>
              <w:pStyle w:val="TableText"/>
              <w:jc w:val="right"/>
            </w:pPr>
            <w:r w:rsidRPr="00D713C5">
              <w:t>4.7</w:t>
            </w:r>
          </w:p>
        </w:tc>
        <w:tc>
          <w:tcPr>
            <w:tcW w:w="0" w:type="auto"/>
            <w:tcBorders>
              <w:left w:val="nil"/>
              <w:right w:val="nil"/>
            </w:tcBorders>
          </w:tcPr>
          <w:p w14:paraId="2899115D" w14:textId="77777777" w:rsidR="00D713C5" w:rsidRPr="00D713C5" w:rsidRDefault="00D713C5" w:rsidP="00D713C5">
            <w:pPr>
              <w:pStyle w:val="TableText"/>
              <w:jc w:val="right"/>
            </w:pPr>
            <w:r w:rsidRPr="00D713C5">
              <w:t>9.4</w:t>
            </w:r>
          </w:p>
        </w:tc>
        <w:tc>
          <w:tcPr>
            <w:tcW w:w="0" w:type="auto"/>
            <w:tcBorders>
              <w:left w:val="nil"/>
            </w:tcBorders>
          </w:tcPr>
          <w:p w14:paraId="133BDD9A" w14:textId="77777777" w:rsidR="00D713C5" w:rsidRPr="00D713C5" w:rsidRDefault="00D713C5" w:rsidP="00D713C5">
            <w:pPr>
              <w:pStyle w:val="TableText"/>
              <w:jc w:val="right"/>
            </w:pPr>
            <w:r w:rsidRPr="00D713C5">
              <w:t>0.50</w:t>
            </w:r>
          </w:p>
        </w:tc>
      </w:tr>
      <w:tr w:rsidR="00D713C5" w:rsidRPr="000B2FA7" w14:paraId="1EDADC81" w14:textId="77777777" w:rsidTr="00D713C5">
        <w:tc>
          <w:tcPr>
            <w:tcW w:w="0" w:type="auto"/>
            <w:vMerge/>
            <w:tcBorders>
              <w:right w:val="nil"/>
            </w:tcBorders>
          </w:tcPr>
          <w:p w14:paraId="767F2904" w14:textId="77777777" w:rsidR="00D713C5" w:rsidRPr="00D713C5" w:rsidRDefault="00D713C5" w:rsidP="00D713C5">
            <w:pPr>
              <w:pStyle w:val="TableText"/>
            </w:pPr>
          </w:p>
        </w:tc>
        <w:tc>
          <w:tcPr>
            <w:tcW w:w="0" w:type="auto"/>
            <w:tcBorders>
              <w:left w:val="nil"/>
              <w:right w:val="nil"/>
            </w:tcBorders>
          </w:tcPr>
          <w:p w14:paraId="07556914" w14:textId="77777777" w:rsidR="00D713C5" w:rsidRPr="00D713C5" w:rsidRDefault="00D713C5" w:rsidP="00D713C5">
            <w:pPr>
              <w:pStyle w:val="TableText"/>
            </w:pPr>
            <w:r w:rsidRPr="00D713C5">
              <w:t>Chronic</w:t>
            </w:r>
          </w:p>
        </w:tc>
        <w:tc>
          <w:tcPr>
            <w:tcW w:w="0" w:type="auto"/>
            <w:tcBorders>
              <w:left w:val="nil"/>
              <w:right w:val="nil"/>
            </w:tcBorders>
          </w:tcPr>
          <w:p w14:paraId="72ACEA05" w14:textId="77777777" w:rsidR="00D713C5" w:rsidRPr="00D713C5" w:rsidRDefault="00D713C5" w:rsidP="00D713C5">
            <w:pPr>
              <w:pStyle w:val="TableText"/>
              <w:jc w:val="right"/>
            </w:pPr>
            <w:r w:rsidRPr="00D713C5">
              <w:t>800</w:t>
            </w:r>
          </w:p>
        </w:tc>
        <w:tc>
          <w:tcPr>
            <w:tcW w:w="0" w:type="auto"/>
            <w:tcBorders>
              <w:left w:val="nil"/>
              <w:right w:val="nil"/>
            </w:tcBorders>
          </w:tcPr>
          <w:p w14:paraId="6E9AC623" w14:textId="77777777" w:rsidR="00D713C5" w:rsidRPr="00D713C5" w:rsidRDefault="00D713C5" w:rsidP="00D713C5">
            <w:pPr>
              <w:pStyle w:val="TableText"/>
              <w:jc w:val="right"/>
            </w:pPr>
            <w:r w:rsidRPr="00D713C5">
              <w:t>3.7</w:t>
            </w:r>
          </w:p>
        </w:tc>
        <w:tc>
          <w:tcPr>
            <w:tcW w:w="0" w:type="auto"/>
            <w:tcBorders>
              <w:left w:val="nil"/>
              <w:right w:val="nil"/>
            </w:tcBorders>
          </w:tcPr>
          <w:p w14:paraId="42B02486" w14:textId="77777777" w:rsidR="00D713C5" w:rsidRPr="00D713C5" w:rsidRDefault="00D713C5" w:rsidP="00D713C5">
            <w:pPr>
              <w:pStyle w:val="TableText"/>
              <w:jc w:val="right"/>
            </w:pPr>
            <w:r w:rsidRPr="00D713C5">
              <w:t>9.4</w:t>
            </w:r>
          </w:p>
        </w:tc>
        <w:tc>
          <w:tcPr>
            <w:tcW w:w="0" w:type="auto"/>
            <w:tcBorders>
              <w:left w:val="nil"/>
            </w:tcBorders>
          </w:tcPr>
          <w:p w14:paraId="7A761399" w14:textId="77777777" w:rsidR="00D713C5" w:rsidRPr="00D713C5" w:rsidRDefault="00D713C5" w:rsidP="00D713C5">
            <w:pPr>
              <w:pStyle w:val="TableText"/>
              <w:jc w:val="right"/>
            </w:pPr>
            <w:r w:rsidRPr="00D713C5">
              <w:t>0.39</w:t>
            </w:r>
          </w:p>
        </w:tc>
      </w:tr>
      <w:tr w:rsidR="00C271A0" w:rsidRPr="000B2FA7" w14:paraId="2885BC6F" w14:textId="77777777" w:rsidTr="00D713C5">
        <w:trPr>
          <w:trHeight w:val="195"/>
        </w:trPr>
        <w:tc>
          <w:tcPr>
            <w:tcW w:w="0" w:type="auto"/>
            <w:tcBorders>
              <w:right w:val="nil"/>
            </w:tcBorders>
          </w:tcPr>
          <w:p w14:paraId="4D4A0785" w14:textId="77777777" w:rsidR="00C271A0" w:rsidRPr="00D713C5" w:rsidRDefault="00C271A0" w:rsidP="00D713C5">
            <w:pPr>
              <w:pStyle w:val="TableText"/>
            </w:pPr>
            <w:r w:rsidRPr="00D713C5">
              <w:t>Micro-organisms</w:t>
            </w:r>
          </w:p>
        </w:tc>
        <w:tc>
          <w:tcPr>
            <w:tcW w:w="0" w:type="auto"/>
            <w:tcBorders>
              <w:left w:val="nil"/>
              <w:right w:val="nil"/>
            </w:tcBorders>
          </w:tcPr>
          <w:p w14:paraId="2C0F5E2C" w14:textId="77777777" w:rsidR="00C271A0" w:rsidRPr="00D713C5" w:rsidRDefault="00C271A0" w:rsidP="00D713C5">
            <w:pPr>
              <w:pStyle w:val="TableText"/>
            </w:pPr>
            <w:r w:rsidRPr="00D713C5">
              <w:t>Chronic</w:t>
            </w:r>
          </w:p>
        </w:tc>
        <w:tc>
          <w:tcPr>
            <w:tcW w:w="0" w:type="auto"/>
            <w:tcBorders>
              <w:left w:val="nil"/>
              <w:right w:val="nil"/>
            </w:tcBorders>
          </w:tcPr>
          <w:p w14:paraId="649C8431" w14:textId="77777777" w:rsidR="00C271A0" w:rsidRPr="00D713C5" w:rsidRDefault="00C271A0" w:rsidP="00D713C5">
            <w:pPr>
              <w:pStyle w:val="TableText"/>
              <w:jc w:val="right"/>
            </w:pPr>
            <w:r w:rsidRPr="00D713C5">
              <w:t>800</w:t>
            </w:r>
          </w:p>
        </w:tc>
        <w:tc>
          <w:tcPr>
            <w:tcW w:w="0" w:type="auto"/>
            <w:tcBorders>
              <w:left w:val="nil"/>
              <w:right w:val="nil"/>
            </w:tcBorders>
          </w:tcPr>
          <w:p w14:paraId="63882D35" w14:textId="77777777" w:rsidR="00C271A0" w:rsidRPr="00D713C5" w:rsidRDefault="00C271A0" w:rsidP="00D713C5">
            <w:pPr>
              <w:pStyle w:val="TableText"/>
              <w:jc w:val="right"/>
            </w:pPr>
            <w:r w:rsidRPr="00D713C5">
              <w:t>3.7</w:t>
            </w:r>
          </w:p>
        </w:tc>
        <w:tc>
          <w:tcPr>
            <w:tcW w:w="0" w:type="auto"/>
            <w:tcBorders>
              <w:left w:val="nil"/>
              <w:right w:val="nil"/>
            </w:tcBorders>
          </w:tcPr>
          <w:p w14:paraId="7A3B292F" w14:textId="77777777" w:rsidR="00C271A0" w:rsidRPr="00D713C5" w:rsidRDefault="00C271A0" w:rsidP="00D713C5">
            <w:pPr>
              <w:pStyle w:val="TableText"/>
              <w:jc w:val="right"/>
            </w:pPr>
            <w:r w:rsidRPr="00D713C5">
              <w:t>500</w:t>
            </w:r>
          </w:p>
        </w:tc>
        <w:tc>
          <w:tcPr>
            <w:tcW w:w="0" w:type="auto"/>
            <w:tcBorders>
              <w:left w:val="nil"/>
            </w:tcBorders>
          </w:tcPr>
          <w:p w14:paraId="4AA7F599" w14:textId="77777777" w:rsidR="00C271A0" w:rsidRPr="00D713C5" w:rsidRDefault="00C271A0" w:rsidP="00D713C5">
            <w:pPr>
              <w:pStyle w:val="TableText"/>
              <w:jc w:val="right"/>
            </w:pPr>
            <w:r w:rsidRPr="00D713C5">
              <w:t>0.01</w:t>
            </w:r>
          </w:p>
        </w:tc>
      </w:tr>
    </w:tbl>
    <w:p w14:paraId="2D9ABD9A" w14:textId="77777777" w:rsidR="00C271A0" w:rsidRDefault="00C271A0" w:rsidP="00D713C5">
      <w:pPr>
        <w:pStyle w:val="SourceTableNote"/>
      </w:pPr>
      <w:r>
        <w:t>Worst-case scenario based on 1× 800 g ac/ha applied annually for 20 years with no interception and soil DT</w:t>
      </w:r>
      <w:r w:rsidRPr="00101F12">
        <w:rPr>
          <w:vertAlign w:val="subscript"/>
        </w:rPr>
        <w:t>50</w:t>
      </w:r>
      <w:r>
        <w:t xml:space="preserve"> 1000 d</w:t>
      </w:r>
    </w:p>
    <w:p w14:paraId="2468772B" w14:textId="77777777" w:rsidR="00C271A0" w:rsidRPr="00101F12" w:rsidRDefault="00C271A0" w:rsidP="00D713C5">
      <w:pPr>
        <w:pStyle w:val="SourceTableNote"/>
      </w:pPr>
      <w:r w:rsidRPr="00101F12">
        <w:t xml:space="preserve">Acute PEC is based on maximum predicted annual peak concentration </w:t>
      </w:r>
      <w:r>
        <w:t>in top 5-cm</w:t>
      </w:r>
    </w:p>
    <w:p w14:paraId="56B06544" w14:textId="77777777" w:rsidR="00C271A0" w:rsidRPr="005F517A" w:rsidRDefault="00C271A0" w:rsidP="00D713C5">
      <w:pPr>
        <w:pStyle w:val="SourceTableNote"/>
      </w:pPr>
      <w:r w:rsidRPr="00101F12">
        <w:t xml:space="preserve">Chronic PEC is based on steady state concentration predicted </w:t>
      </w:r>
      <w:r>
        <w:t>in top 5-cm</w:t>
      </w:r>
    </w:p>
    <w:p w14:paraId="4829C7D5" w14:textId="1C968DAB" w:rsidR="00C271A0" w:rsidRDefault="00C271A0" w:rsidP="00D713C5">
      <w:pPr>
        <w:pStyle w:val="SourceTableNote"/>
      </w:pPr>
      <w:r w:rsidRPr="005F517A">
        <w:t>RA</w:t>
      </w:r>
      <w:r>
        <w:t>L</w:t>
      </w:r>
      <w:r w:rsidRPr="005F517A">
        <w:t xml:space="preserve"> = regulatory acceptable </w:t>
      </w:r>
      <w:r>
        <w:t>level</w:t>
      </w:r>
      <w:r w:rsidRPr="005F517A">
        <w:t xml:space="preserve"> (from </w:t>
      </w:r>
      <w:r w:rsidR="00A14B41">
        <w:fldChar w:fldCharType="begin" w:fldLock="1"/>
      </w:r>
      <w:r w:rsidR="00A14B41">
        <w:instrText xml:space="preserve"> REF _Ref167441724 \h </w:instrText>
      </w:r>
      <w:r w:rsidR="00D713C5">
        <w:instrText xml:space="preserve"> \* MERGEFORMAT </w:instrText>
      </w:r>
      <w:r w:rsidR="00A14B41">
        <w:fldChar w:fldCharType="separate"/>
      </w:r>
      <w:r w:rsidR="0033298E">
        <w:t xml:space="preserve">Table </w:t>
      </w:r>
      <w:r w:rsidR="0033298E">
        <w:rPr>
          <w:noProof/>
        </w:rPr>
        <w:t>28</w:t>
      </w:r>
      <w:r w:rsidR="00A14B41">
        <w:fldChar w:fldCharType="end"/>
      </w:r>
      <w:r w:rsidRPr="005F517A">
        <w:t>)</w:t>
      </w:r>
    </w:p>
    <w:p w14:paraId="05E3FFF6" w14:textId="77777777" w:rsidR="00C271A0" w:rsidRPr="004B3FB7" w:rsidRDefault="00C271A0" w:rsidP="00D713C5">
      <w:pPr>
        <w:pStyle w:val="SourceTableNote"/>
        <w:rPr>
          <w:rFonts w:ascii="Times New Roman" w:hAnsi="Times New Roman"/>
          <w:color w:val="000000"/>
          <w:lang w:eastAsia="en-AU"/>
        </w:rPr>
      </w:pPr>
      <w:r w:rsidRPr="005F517A">
        <w:t>RQ = risk quotient = PEC / RAC, where acceptable RQ ≤1</w:t>
      </w:r>
    </w:p>
    <w:p w14:paraId="1C0B6BF1" w14:textId="77777777" w:rsidR="00C271A0" w:rsidRPr="00A707DB" w:rsidRDefault="00C271A0" w:rsidP="00C271A0">
      <w:pPr>
        <w:pStyle w:val="Heading3"/>
      </w:pPr>
      <w:bookmarkStart w:id="442" w:name="_Toc156980632"/>
      <w:bookmarkStart w:id="443" w:name="_Toc233039036"/>
      <w:r>
        <w:t>Non-target t</w:t>
      </w:r>
      <w:r w:rsidRPr="00A707DB">
        <w:t>errestrial plants</w:t>
      </w:r>
      <w:bookmarkEnd w:id="442"/>
      <w:bookmarkEnd w:id="443"/>
    </w:p>
    <w:p w14:paraId="46DAD273" w14:textId="3CCF61AB" w:rsidR="00C54232" w:rsidRDefault="00C271A0" w:rsidP="00F20DD8">
      <w:pPr>
        <w:pStyle w:val="NormalText"/>
      </w:pPr>
      <w:r w:rsidRPr="00C271A0">
        <w:t xml:space="preserve">As indicated in </w:t>
      </w:r>
      <w:r w:rsidR="00A14B41">
        <w:fldChar w:fldCharType="begin" w:fldLock="1"/>
      </w:r>
      <w:r w:rsidR="00A14B41">
        <w:instrText xml:space="preserve"> REF _Ref167441724 \h </w:instrText>
      </w:r>
      <w:r w:rsidR="00A14B41">
        <w:fldChar w:fldCharType="separate"/>
      </w:r>
      <w:r w:rsidR="0033298E">
        <w:t xml:space="preserve">Table </w:t>
      </w:r>
      <w:r w:rsidR="0033298E">
        <w:rPr>
          <w:noProof/>
        </w:rPr>
        <w:t>28</w:t>
      </w:r>
      <w:r w:rsidR="00A14B41">
        <w:fldChar w:fldCharType="end"/>
      </w:r>
      <w:r w:rsidR="00A14B41">
        <w:t>,</w:t>
      </w:r>
      <w:r w:rsidRPr="00C271A0">
        <w:t xml:space="preserve"> the RAL for the spray drift assessment is </w:t>
      </w:r>
      <w:r w:rsidR="00A308AC">
        <w:t>15</w:t>
      </w:r>
      <w:r w:rsidR="00A308AC" w:rsidRPr="00C271A0">
        <w:t xml:space="preserve"> </w:t>
      </w:r>
      <w:r w:rsidRPr="00C271A0">
        <w:t>g ac/ha for the protection of vegetation areas. Risks of spray drift are addressed separately, as needed.</w:t>
      </w:r>
      <w:bookmarkStart w:id="444" w:name="_Toc156980633"/>
    </w:p>
    <w:p w14:paraId="063566A5" w14:textId="29589863" w:rsidR="00C271A0" w:rsidRPr="00464A59" w:rsidRDefault="00C271A0" w:rsidP="00C54232">
      <w:pPr>
        <w:pStyle w:val="Heading2"/>
      </w:pPr>
      <w:bookmarkStart w:id="445" w:name="_Toc233039037"/>
      <w:r w:rsidRPr="00464A59">
        <w:t>Recommendations</w:t>
      </w:r>
      <w:bookmarkEnd w:id="444"/>
      <w:bookmarkEnd w:id="445"/>
    </w:p>
    <w:p w14:paraId="49AF7FEA" w14:textId="556BE7E8" w:rsidR="00C271A0" w:rsidRPr="00C271A0" w:rsidRDefault="00C271A0" w:rsidP="00C271A0">
      <w:pPr>
        <w:pStyle w:val="NormalText"/>
      </w:pPr>
      <w:r w:rsidRPr="00C271A0">
        <w:t xml:space="preserve">Uses supported from the viewpoint of environmental safety are listed in </w:t>
      </w:r>
      <w:r w:rsidR="009B30B8">
        <w:fldChar w:fldCharType="begin" w:fldLock="1"/>
      </w:r>
      <w:r w:rsidR="009B30B8">
        <w:instrText xml:space="preserve"> REF _Ref167439819 \h </w:instrText>
      </w:r>
      <w:r w:rsidR="009B30B8">
        <w:fldChar w:fldCharType="separate"/>
      </w:r>
      <w:r w:rsidR="0033298E">
        <w:t xml:space="preserve">Table </w:t>
      </w:r>
      <w:r w:rsidR="0033298E">
        <w:rPr>
          <w:noProof/>
        </w:rPr>
        <w:t>35</w:t>
      </w:r>
      <w:r w:rsidR="009B30B8">
        <w:fldChar w:fldCharType="end"/>
      </w:r>
      <w:r w:rsidRPr="00C271A0">
        <w:t xml:space="preserve"> with the required protection statements and restraints. Uses that are not supported from the viewpoint of environmental safety are listed in </w:t>
      </w:r>
      <w:r w:rsidR="009B30B8">
        <w:fldChar w:fldCharType="begin" w:fldLock="1"/>
      </w:r>
      <w:r w:rsidR="009B30B8">
        <w:instrText xml:space="preserve"> REF _Ref167439842 \h </w:instrText>
      </w:r>
      <w:r w:rsidR="009B30B8">
        <w:fldChar w:fldCharType="separate"/>
      </w:r>
      <w:r w:rsidR="0033298E" w:rsidRPr="00C01003">
        <w:t xml:space="preserve">Table </w:t>
      </w:r>
      <w:r w:rsidR="0033298E">
        <w:rPr>
          <w:noProof/>
        </w:rPr>
        <w:t>36</w:t>
      </w:r>
      <w:r w:rsidR="009B30B8">
        <w:fldChar w:fldCharType="end"/>
      </w:r>
      <w:r w:rsidRPr="00C271A0">
        <w:t>.</w:t>
      </w:r>
    </w:p>
    <w:p w14:paraId="5A3508EE" w14:textId="3617B3A7" w:rsidR="00C271A0" w:rsidRPr="000179FF" w:rsidRDefault="009B30B8" w:rsidP="000179FF">
      <w:pPr>
        <w:pStyle w:val="Caption"/>
      </w:pPr>
      <w:bookmarkStart w:id="446" w:name="_Ref167439819"/>
      <w:bookmarkStart w:id="447" w:name="_Toc156383611"/>
      <w:bookmarkStart w:id="448" w:name="_Toc232589630"/>
      <w:r w:rsidRPr="000179FF">
        <w:t xml:space="preserve">Table </w:t>
      </w:r>
      <w:fldSimple w:instr=" SEQ Table \* ARABIC ">
        <w:r w:rsidR="000179FF">
          <w:rPr>
            <w:noProof/>
          </w:rPr>
          <w:t>35</w:t>
        </w:r>
      </w:fldSimple>
      <w:bookmarkEnd w:id="446"/>
      <w:r w:rsidR="00C271A0" w:rsidRPr="000179FF">
        <w:t>:</w:t>
      </w:r>
      <w:r w:rsidRPr="000179FF">
        <w:t xml:space="preserve"> </w:t>
      </w:r>
      <w:r w:rsidR="00C271A0" w:rsidRPr="000179FF">
        <w:t xml:space="preserve">Supported uses </w:t>
      </w:r>
      <w:r w:rsidR="00283186" w:rsidRPr="000179FF">
        <w:t xml:space="preserve">of diquat </w:t>
      </w:r>
      <w:r w:rsidR="00C271A0" w:rsidRPr="000179FF">
        <w:t>from the viewpoint of environmental safety</w:t>
      </w:r>
      <w:bookmarkEnd w:id="447"/>
      <w:bookmarkEnd w:id="448"/>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99"/>
        <w:gridCol w:w="3511"/>
        <w:gridCol w:w="4342"/>
      </w:tblGrid>
      <w:tr w:rsidR="00155BE5" w:rsidRPr="003A41F8" w14:paraId="7FE3264F" w14:textId="77777777" w:rsidTr="0085429A">
        <w:trPr>
          <w:tblHeader/>
        </w:trPr>
        <w:tc>
          <w:tcPr>
            <w:tcW w:w="974" w:type="pct"/>
            <w:tcBorders>
              <w:bottom w:val="single" w:sz="4" w:space="0" w:color="auto"/>
            </w:tcBorders>
            <w:shd w:val="clear" w:color="auto" w:fill="5C2946"/>
          </w:tcPr>
          <w:p w14:paraId="6E40C51C" w14:textId="68A6796F" w:rsidR="00155BE5" w:rsidRPr="00B8539D" w:rsidRDefault="00155BE5" w:rsidP="00D14082">
            <w:pPr>
              <w:pStyle w:val="TableHead"/>
            </w:pPr>
            <w:r>
              <w:t>Product type</w:t>
            </w:r>
          </w:p>
        </w:tc>
        <w:tc>
          <w:tcPr>
            <w:tcW w:w="1800" w:type="pct"/>
            <w:tcBorders>
              <w:right w:val="nil"/>
            </w:tcBorders>
            <w:shd w:val="clear" w:color="auto" w:fill="5C2946"/>
          </w:tcPr>
          <w:p w14:paraId="6A8EB00F" w14:textId="45E7F221" w:rsidR="00155BE5" w:rsidRPr="00B8539D" w:rsidRDefault="00155BE5" w:rsidP="00D14082">
            <w:pPr>
              <w:pStyle w:val="TableHead"/>
            </w:pPr>
            <w:r w:rsidRPr="00B8539D">
              <w:t>Situation</w:t>
            </w:r>
          </w:p>
        </w:tc>
        <w:tc>
          <w:tcPr>
            <w:tcW w:w="2226" w:type="pct"/>
            <w:tcBorders>
              <w:left w:val="nil"/>
              <w:bottom w:val="single" w:sz="4" w:space="0" w:color="auto"/>
            </w:tcBorders>
            <w:shd w:val="clear" w:color="auto" w:fill="5C2946"/>
          </w:tcPr>
          <w:p w14:paraId="7F050D7B" w14:textId="77777777" w:rsidR="00155BE5" w:rsidRPr="00B8539D" w:rsidRDefault="00155BE5" w:rsidP="00D14082">
            <w:pPr>
              <w:pStyle w:val="TableHead"/>
            </w:pPr>
            <w:r w:rsidRPr="00B8539D">
              <w:t>Protection statements and restraints</w:t>
            </w:r>
          </w:p>
        </w:tc>
      </w:tr>
      <w:tr w:rsidR="00155BE5" w:rsidRPr="003A41F8" w14:paraId="0D619393" w14:textId="77777777" w:rsidTr="00127683">
        <w:trPr>
          <w:trHeight w:val="1147"/>
        </w:trPr>
        <w:tc>
          <w:tcPr>
            <w:tcW w:w="974" w:type="pct"/>
            <w:tcBorders>
              <w:bottom w:val="nil"/>
              <w:right w:val="nil"/>
            </w:tcBorders>
          </w:tcPr>
          <w:p w14:paraId="5A29362C" w14:textId="5D834421" w:rsidR="00155BE5" w:rsidRDefault="00155BE5" w:rsidP="00D14082">
            <w:pPr>
              <w:pStyle w:val="TableText"/>
            </w:pPr>
            <w:r>
              <w:t>n/a</w:t>
            </w:r>
          </w:p>
        </w:tc>
        <w:tc>
          <w:tcPr>
            <w:tcW w:w="1800" w:type="pct"/>
            <w:vMerge w:val="restart"/>
            <w:tcBorders>
              <w:left w:val="nil"/>
              <w:right w:val="nil"/>
            </w:tcBorders>
          </w:tcPr>
          <w:p w14:paraId="4841A401" w14:textId="45D6BD4E" w:rsidR="00155BE5" w:rsidRDefault="00155BE5" w:rsidP="00D14082">
            <w:pPr>
              <w:pStyle w:val="TableText"/>
            </w:pPr>
            <w:r>
              <w:t>All supported situations</w:t>
            </w:r>
          </w:p>
        </w:tc>
        <w:tc>
          <w:tcPr>
            <w:tcW w:w="2226" w:type="pct"/>
            <w:tcBorders>
              <w:left w:val="nil"/>
              <w:bottom w:val="nil"/>
            </w:tcBorders>
          </w:tcPr>
          <w:p w14:paraId="193D8538" w14:textId="77777777" w:rsidR="00155BE5" w:rsidRPr="00235630" w:rsidRDefault="00155BE5" w:rsidP="00D14082">
            <w:pPr>
              <w:pStyle w:val="TableText"/>
              <w:rPr>
                <w:szCs w:val="17"/>
                <w:lang w:eastAsia="en-AU"/>
              </w:rPr>
            </w:pPr>
            <w:r w:rsidRPr="00235630">
              <w:rPr>
                <w:szCs w:val="17"/>
                <w:lang w:eastAsia="en-AU"/>
              </w:rPr>
              <w:t>DO NOT apply if heavy rains or storms are forecast within 3 days.</w:t>
            </w:r>
          </w:p>
          <w:p w14:paraId="682C7A6D" w14:textId="77777777" w:rsidR="00155BE5" w:rsidRPr="00BF0558" w:rsidRDefault="00155BE5" w:rsidP="00D14082">
            <w:pPr>
              <w:pStyle w:val="TableText"/>
            </w:pPr>
            <w:r w:rsidRPr="00235630">
              <w:rPr>
                <w:szCs w:val="17"/>
                <w:lang w:eastAsia="en-AU"/>
              </w:rPr>
              <w:t>DO NOT irrigate to the point of field runoff for at least 3 days after application</w:t>
            </w:r>
            <w:r>
              <w:rPr>
                <w:szCs w:val="17"/>
                <w:lang w:eastAsia="en-AU"/>
              </w:rPr>
              <w:t>.</w:t>
            </w:r>
          </w:p>
        </w:tc>
      </w:tr>
      <w:tr w:rsidR="00713B98" w:rsidRPr="003A41F8" w14:paraId="7AECEA3B" w14:textId="77777777" w:rsidTr="00127683">
        <w:trPr>
          <w:trHeight w:val="669"/>
        </w:trPr>
        <w:tc>
          <w:tcPr>
            <w:tcW w:w="974" w:type="pct"/>
            <w:tcBorders>
              <w:top w:val="nil"/>
              <w:bottom w:val="nil"/>
              <w:right w:val="nil"/>
            </w:tcBorders>
          </w:tcPr>
          <w:p w14:paraId="060802C9" w14:textId="77777777" w:rsidR="00713B98" w:rsidRDefault="00713B98" w:rsidP="00D14082">
            <w:pPr>
              <w:pStyle w:val="TableText"/>
            </w:pPr>
          </w:p>
        </w:tc>
        <w:tc>
          <w:tcPr>
            <w:tcW w:w="1800" w:type="pct"/>
            <w:vMerge/>
            <w:tcBorders>
              <w:left w:val="nil"/>
              <w:right w:val="nil"/>
            </w:tcBorders>
          </w:tcPr>
          <w:p w14:paraId="7C5F854C" w14:textId="77777777" w:rsidR="00713B98" w:rsidRDefault="00713B98" w:rsidP="00D14082">
            <w:pPr>
              <w:pStyle w:val="TableText"/>
            </w:pPr>
          </w:p>
        </w:tc>
        <w:tc>
          <w:tcPr>
            <w:tcW w:w="2226" w:type="pct"/>
            <w:tcBorders>
              <w:top w:val="nil"/>
              <w:left w:val="nil"/>
              <w:bottom w:val="nil"/>
            </w:tcBorders>
          </w:tcPr>
          <w:p w14:paraId="7789C239" w14:textId="076DA429" w:rsidR="00713B98" w:rsidRPr="00235630" w:rsidRDefault="00713B98" w:rsidP="00D14082">
            <w:pPr>
              <w:pStyle w:val="TableText"/>
              <w:rPr>
                <w:szCs w:val="17"/>
                <w:lang w:eastAsia="en-AU"/>
              </w:rPr>
            </w:pPr>
            <w:r w:rsidRPr="00713B98">
              <w:rPr>
                <w:szCs w:val="17"/>
                <w:lang w:eastAsia="en-AU"/>
              </w:rPr>
              <w:t>Toxic to birds. However, the use of this product as directed is not expected to have adverse effects on birds.</w:t>
            </w:r>
          </w:p>
        </w:tc>
      </w:tr>
      <w:tr w:rsidR="00155BE5" w:rsidRPr="003A41F8" w14:paraId="53A813EE" w14:textId="77777777" w:rsidTr="00127683">
        <w:trPr>
          <w:trHeight w:val="528"/>
        </w:trPr>
        <w:tc>
          <w:tcPr>
            <w:tcW w:w="974" w:type="pct"/>
            <w:tcBorders>
              <w:top w:val="nil"/>
              <w:bottom w:val="nil"/>
              <w:right w:val="nil"/>
            </w:tcBorders>
          </w:tcPr>
          <w:p w14:paraId="55897FD5" w14:textId="77777777" w:rsidR="00155BE5" w:rsidRDefault="00155BE5" w:rsidP="00D14082">
            <w:pPr>
              <w:pStyle w:val="TableText"/>
            </w:pPr>
          </w:p>
        </w:tc>
        <w:tc>
          <w:tcPr>
            <w:tcW w:w="1800" w:type="pct"/>
            <w:vMerge/>
            <w:tcBorders>
              <w:left w:val="nil"/>
              <w:right w:val="nil"/>
            </w:tcBorders>
          </w:tcPr>
          <w:p w14:paraId="7367180F" w14:textId="7A1011D8" w:rsidR="00155BE5" w:rsidRDefault="00155BE5" w:rsidP="00D14082">
            <w:pPr>
              <w:pStyle w:val="TableText"/>
            </w:pPr>
          </w:p>
        </w:tc>
        <w:tc>
          <w:tcPr>
            <w:tcW w:w="2226" w:type="pct"/>
            <w:tcBorders>
              <w:top w:val="nil"/>
              <w:left w:val="nil"/>
              <w:bottom w:val="nil"/>
            </w:tcBorders>
          </w:tcPr>
          <w:p w14:paraId="5512F75A" w14:textId="77777777" w:rsidR="00155BE5" w:rsidRPr="00BF0558" w:rsidRDefault="00155BE5" w:rsidP="00D14082">
            <w:pPr>
              <w:pStyle w:val="TableText"/>
            </w:pPr>
            <w:r w:rsidRPr="00235630">
              <w:rPr>
                <w:szCs w:val="17"/>
                <w:lang w:eastAsia="en-AU"/>
              </w:rPr>
              <w:t>Very toxic to aquatic life. DO NOT contaminate wetlands or watercourses with this product or used containers.</w:t>
            </w:r>
          </w:p>
        </w:tc>
      </w:tr>
      <w:tr w:rsidR="00155BE5" w:rsidRPr="003A41F8" w14:paraId="0F9DA1D8" w14:textId="77777777" w:rsidTr="0085429A">
        <w:trPr>
          <w:trHeight w:val="13"/>
        </w:trPr>
        <w:tc>
          <w:tcPr>
            <w:tcW w:w="974" w:type="pct"/>
            <w:tcBorders>
              <w:top w:val="nil"/>
              <w:bottom w:val="single" w:sz="4" w:space="0" w:color="auto"/>
              <w:right w:val="nil"/>
            </w:tcBorders>
          </w:tcPr>
          <w:p w14:paraId="0CD2B812" w14:textId="77777777" w:rsidR="00155BE5" w:rsidRDefault="00155BE5" w:rsidP="00D14082">
            <w:pPr>
              <w:pStyle w:val="TableText"/>
            </w:pPr>
          </w:p>
        </w:tc>
        <w:tc>
          <w:tcPr>
            <w:tcW w:w="1800" w:type="pct"/>
            <w:vMerge/>
            <w:tcBorders>
              <w:left w:val="nil"/>
              <w:bottom w:val="single" w:sz="4" w:space="0" w:color="auto"/>
              <w:right w:val="nil"/>
            </w:tcBorders>
          </w:tcPr>
          <w:p w14:paraId="7211824D" w14:textId="16F9EBAB" w:rsidR="00155BE5" w:rsidRDefault="00155BE5" w:rsidP="00D14082">
            <w:pPr>
              <w:pStyle w:val="TableText"/>
            </w:pPr>
          </w:p>
        </w:tc>
        <w:tc>
          <w:tcPr>
            <w:tcW w:w="2226" w:type="pct"/>
            <w:tcBorders>
              <w:top w:val="nil"/>
              <w:left w:val="nil"/>
              <w:bottom w:val="single" w:sz="4" w:space="0" w:color="auto"/>
            </w:tcBorders>
          </w:tcPr>
          <w:p w14:paraId="24C0B2F2" w14:textId="77777777" w:rsidR="00155BE5" w:rsidRPr="00BF0558" w:rsidRDefault="00155BE5" w:rsidP="00D14082">
            <w:pPr>
              <w:pStyle w:val="TableText"/>
            </w:pPr>
            <w:r w:rsidRPr="00235630">
              <w:rPr>
                <w:szCs w:val="17"/>
                <w:lang w:eastAsia="en-AU"/>
              </w:rPr>
              <w:t>Toxic to beneficial arthropods. Not compatible with integrated pest management (IPM) programs utilising beneficial arthropods. Minimise spray drift to reduce harmful effects on beneficial arthropods in non-crop areas.</w:t>
            </w:r>
          </w:p>
        </w:tc>
      </w:tr>
      <w:tr w:rsidR="00155BE5" w:rsidRPr="003A41F8" w14:paraId="6A55B926" w14:textId="77777777" w:rsidTr="0085429A">
        <w:trPr>
          <w:trHeight w:val="13"/>
        </w:trPr>
        <w:tc>
          <w:tcPr>
            <w:tcW w:w="974" w:type="pct"/>
            <w:tcBorders>
              <w:top w:val="single" w:sz="4" w:space="0" w:color="auto"/>
              <w:bottom w:val="nil"/>
              <w:right w:val="nil"/>
            </w:tcBorders>
          </w:tcPr>
          <w:p w14:paraId="57B0F199" w14:textId="1B66771E" w:rsidR="00155BE5" w:rsidRDefault="00155BE5" w:rsidP="00D14082">
            <w:pPr>
              <w:pStyle w:val="TableText"/>
            </w:pPr>
            <w:r>
              <w:t>Diquat products</w:t>
            </w:r>
          </w:p>
        </w:tc>
        <w:tc>
          <w:tcPr>
            <w:tcW w:w="1800" w:type="pct"/>
            <w:tcBorders>
              <w:left w:val="nil"/>
              <w:bottom w:val="single" w:sz="4" w:space="0" w:color="auto"/>
              <w:right w:val="nil"/>
            </w:tcBorders>
          </w:tcPr>
          <w:p w14:paraId="3A316D73" w14:textId="44F47D42" w:rsidR="00155BE5" w:rsidRDefault="00713B98" w:rsidP="00D14082">
            <w:pPr>
              <w:pStyle w:val="TableText"/>
            </w:pPr>
            <w:r>
              <w:t>Aquatic areas (boomspray, surface spray and injection below surface)</w:t>
            </w:r>
          </w:p>
        </w:tc>
        <w:tc>
          <w:tcPr>
            <w:tcW w:w="2226" w:type="pct"/>
            <w:tcBorders>
              <w:left w:val="nil"/>
              <w:bottom w:val="single" w:sz="4" w:space="0" w:color="auto"/>
            </w:tcBorders>
          </w:tcPr>
          <w:p w14:paraId="154099B7" w14:textId="7EA2511D" w:rsidR="00155BE5" w:rsidRPr="00235630" w:rsidRDefault="00713B98" w:rsidP="00D14082">
            <w:pPr>
              <w:pStyle w:val="TableText"/>
              <w:rPr>
                <w:szCs w:val="17"/>
                <w:lang w:eastAsia="en-AU"/>
              </w:rPr>
            </w:pPr>
            <w:r w:rsidRPr="00713B98">
              <w:rPr>
                <w:szCs w:val="17"/>
                <w:lang w:eastAsia="en-AU"/>
              </w:rPr>
              <w:t>DO NOT apply to water bodies from which the product may contaminate natural aquatic areas.</w:t>
            </w:r>
          </w:p>
        </w:tc>
      </w:tr>
      <w:tr w:rsidR="00155BE5" w:rsidRPr="003A41F8" w14:paraId="2F612B70" w14:textId="77777777" w:rsidTr="0085429A">
        <w:trPr>
          <w:trHeight w:val="13"/>
        </w:trPr>
        <w:tc>
          <w:tcPr>
            <w:tcW w:w="974" w:type="pct"/>
            <w:tcBorders>
              <w:top w:val="nil"/>
              <w:bottom w:val="nil"/>
              <w:right w:val="nil"/>
            </w:tcBorders>
          </w:tcPr>
          <w:p w14:paraId="706D9A40" w14:textId="77777777" w:rsidR="00155BE5" w:rsidRDefault="00155BE5" w:rsidP="00D14082">
            <w:pPr>
              <w:pStyle w:val="TableText"/>
            </w:pPr>
          </w:p>
        </w:tc>
        <w:tc>
          <w:tcPr>
            <w:tcW w:w="1800" w:type="pct"/>
            <w:tcBorders>
              <w:top w:val="single" w:sz="4" w:space="0" w:color="auto"/>
              <w:left w:val="nil"/>
              <w:bottom w:val="nil"/>
              <w:right w:val="nil"/>
            </w:tcBorders>
          </w:tcPr>
          <w:p w14:paraId="37C37479" w14:textId="0C13CE16" w:rsidR="00155BE5" w:rsidRDefault="00370E81" w:rsidP="00D14082">
            <w:pPr>
              <w:pStyle w:val="TableText"/>
            </w:pPr>
            <w:r>
              <w:t>General weed control: p</w:t>
            </w:r>
            <w:r w:rsidR="00713B98">
              <w:t>asture at rates up to 188 g ac/ha; row crops, market gardens, vegetables at rates up to 283 g ac/ha</w:t>
            </w:r>
          </w:p>
        </w:tc>
        <w:tc>
          <w:tcPr>
            <w:tcW w:w="2226" w:type="pct"/>
            <w:tcBorders>
              <w:top w:val="single" w:sz="4" w:space="0" w:color="auto"/>
              <w:left w:val="nil"/>
              <w:bottom w:val="nil"/>
            </w:tcBorders>
          </w:tcPr>
          <w:p w14:paraId="60581D19" w14:textId="68E92126" w:rsidR="00155BE5" w:rsidRPr="00235630" w:rsidRDefault="00713B98" w:rsidP="00D14082">
            <w:pPr>
              <w:pStyle w:val="TableText"/>
              <w:rPr>
                <w:szCs w:val="17"/>
                <w:lang w:eastAsia="en-AU"/>
              </w:rPr>
            </w:pPr>
            <w:r>
              <w:rPr>
                <w:szCs w:val="17"/>
              </w:rPr>
              <w:t>No additional protection statements or restraints required</w:t>
            </w:r>
          </w:p>
        </w:tc>
      </w:tr>
      <w:tr w:rsidR="00155BE5" w:rsidRPr="003A41F8" w14:paraId="1FD9CE9F" w14:textId="77777777" w:rsidTr="0085429A">
        <w:trPr>
          <w:trHeight w:val="13"/>
        </w:trPr>
        <w:tc>
          <w:tcPr>
            <w:tcW w:w="974" w:type="pct"/>
            <w:tcBorders>
              <w:top w:val="nil"/>
              <w:bottom w:val="single" w:sz="4" w:space="0" w:color="auto"/>
              <w:right w:val="nil"/>
            </w:tcBorders>
          </w:tcPr>
          <w:p w14:paraId="16336F6C" w14:textId="77777777" w:rsidR="00155BE5" w:rsidRDefault="00155BE5" w:rsidP="00D14082">
            <w:pPr>
              <w:pStyle w:val="TableText"/>
            </w:pPr>
          </w:p>
        </w:tc>
        <w:tc>
          <w:tcPr>
            <w:tcW w:w="1800" w:type="pct"/>
            <w:tcBorders>
              <w:top w:val="nil"/>
              <w:left w:val="nil"/>
              <w:bottom w:val="single" w:sz="4" w:space="0" w:color="auto"/>
              <w:right w:val="nil"/>
            </w:tcBorders>
          </w:tcPr>
          <w:p w14:paraId="5C04FEEB" w14:textId="17A3F51C" w:rsidR="00370E81" w:rsidRDefault="00370E81" w:rsidP="00D14082">
            <w:pPr>
              <w:pStyle w:val="TableText"/>
            </w:pPr>
            <w:r>
              <w:t>Pre-harvest crop desiccation: cotton, poppies, sugarcane</w:t>
            </w:r>
          </w:p>
          <w:p w14:paraId="4E46388F" w14:textId="283983CD" w:rsidR="00155BE5" w:rsidRDefault="00370E81" w:rsidP="00370E81">
            <w:pPr>
              <w:pStyle w:val="TableText"/>
            </w:pPr>
            <w:r>
              <w:t xml:space="preserve">General weed control: </w:t>
            </w:r>
            <w:r w:rsidR="00713B98">
              <w:t>asparagus, hops, infested areas, lucerne, oil seed poppies, oats, wheat</w:t>
            </w:r>
          </w:p>
        </w:tc>
        <w:tc>
          <w:tcPr>
            <w:tcW w:w="2226" w:type="pct"/>
            <w:tcBorders>
              <w:top w:val="nil"/>
              <w:left w:val="nil"/>
              <w:bottom w:val="single" w:sz="4" w:space="0" w:color="auto"/>
            </w:tcBorders>
          </w:tcPr>
          <w:p w14:paraId="76F493DF" w14:textId="77777777" w:rsidR="00155BE5" w:rsidRPr="00235630" w:rsidRDefault="00155BE5" w:rsidP="00D14082">
            <w:pPr>
              <w:pStyle w:val="TableText"/>
              <w:rPr>
                <w:szCs w:val="17"/>
                <w:lang w:eastAsia="en-AU"/>
              </w:rPr>
            </w:pPr>
          </w:p>
        </w:tc>
      </w:tr>
    </w:tbl>
    <w:p w14:paraId="0989B23C" w14:textId="22BDA652" w:rsidR="00C271A0" w:rsidRPr="000179FF" w:rsidRDefault="00C271A0" w:rsidP="000179FF">
      <w:pPr>
        <w:pStyle w:val="Caption"/>
      </w:pPr>
      <w:bookmarkStart w:id="449" w:name="_Ref167439842"/>
      <w:bookmarkStart w:id="450" w:name="_Toc156383612"/>
      <w:bookmarkStart w:id="451" w:name="_Toc232589631"/>
      <w:r w:rsidRPr="000179FF">
        <w:t xml:space="preserve">Table </w:t>
      </w:r>
      <w:fldSimple w:instr=" SEQ Table \* ARABIC ">
        <w:r w:rsidR="000179FF">
          <w:rPr>
            <w:noProof/>
          </w:rPr>
          <w:t>36</w:t>
        </w:r>
      </w:fldSimple>
      <w:bookmarkEnd w:id="449"/>
      <w:r w:rsidRPr="000179FF">
        <w:t>:</w:t>
      </w:r>
      <w:r w:rsidR="009B30B8" w:rsidRPr="000179FF">
        <w:t xml:space="preserve"> </w:t>
      </w:r>
      <w:r w:rsidRPr="000179FF">
        <w:t xml:space="preserve">Uses </w:t>
      </w:r>
      <w:r w:rsidR="00283186" w:rsidRPr="000179FF">
        <w:t xml:space="preserve">of diquat </w:t>
      </w:r>
      <w:r w:rsidRPr="000179FF">
        <w:t>not supported from the viewpoint of environmental safety</w:t>
      </w:r>
      <w:bookmarkEnd w:id="450"/>
      <w:bookmarkEnd w:id="4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00"/>
        <w:gridCol w:w="4409"/>
        <w:gridCol w:w="3443"/>
      </w:tblGrid>
      <w:tr w:rsidR="00155BE5" w:rsidRPr="000B2FA7" w14:paraId="2D16E3C7" w14:textId="77777777" w:rsidTr="0085429A">
        <w:trPr>
          <w:cantSplit/>
          <w:tblHeader/>
        </w:trPr>
        <w:tc>
          <w:tcPr>
            <w:tcW w:w="1900" w:type="dxa"/>
            <w:tcBorders>
              <w:bottom w:val="single" w:sz="4" w:space="0" w:color="auto"/>
            </w:tcBorders>
            <w:shd w:val="clear" w:color="auto" w:fill="5C2946"/>
          </w:tcPr>
          <w:p w14:paraId="10D8729D" w14:textId="5104EAE4" w:rsidR="00155BE5" w:rsidRPr="00FD4455" w:rsidRDefault="00155BE5" w:rsidP="00D14082">
            <w:pPr>
              <w:pStyle w:val="TableHead"/>
            </w:pPr>
            <w:r>
              <w:t>Product type</w:t>
            </w:r>
          </w:p>
        </w:tc>
        <w:tc>
          <w:tcPr>
            <w:tcW w:w="4409" w:type="dxa"/>
            <w:tcBorders>
              <w:left w:val="nil"/>
              <w:bottom w:val="single" w:sz="4" w:space="0" w:color="auto"/>
              <w:right w:val="nil"/>
            </w:tcBorders>
            <w:shd w:val="clear" w:color="auto" w:fill="5C2946"/>
          </w:tcPr>
          <w:p w14:paraId="71195955" w14:textId="29ED54BC" w:rsidR="00155BE5" w:rsidRPr="00FD4455" w:rsidRDefault="00155BE5" w:rsidP="00D14082">
            <w:pPr>
              <w:pStyle w:val="TableHead"/>
            </w:pPr>
            <w:r w:rsidRPr="00FD4455">
              <w:t>Situation</w:t>
            </w:r>
          </w:p>
        </w:tc>
        <w:tc>
          <w:tcPr>
            <w:tcW w:w="3443" w:type="dxa"/>
            <w:tcBorders>
              <w:left w:val="nil"/>
              <w:bottom w:val="single" w:sz="4" w:space="0" w:color="auto"/>
              <w:right w:val="nil"/>
            </w:tcBorders>
            <w:shd w:val="clear" w:color="auto" w:fill="5C2946"/>
          </w:tcPr>
          <w:p w14:paraId="7484FE26" w14:textId="77777777" w:rsidR="00155BE5" w:rsidRPr="00FD4455" w:rsidRDefault="00155BE5" w:rsidP="00D14082">
            <w:pPr>
              <w:pStyle w:val="TableHead"/>
            </w:pPr>
            <w:r w:rsidRPr="00FD4455">
              <w:t>Basis</w:t>
            </w:r>
          </w:p>
        </w:tc>
      </w:tr>
      <w:tr w:rsidR="00127683" w:rsidRPr="000B2FA7" w14:paraId="1ED176C9" w14:textId="77777777" w:rsidTr="00E72436">
        <w:trPr>
          <w:cantSplit/>
        </w:trPr>
        <w:tc>
          <w:tcPr>
            <w:tcW w:w="1900" w:type="dxa"/>
            <w:vMerge w:val="restart"/>
            <w:tcBorders>
              <w:left w:val="nil"/>
              <w:right w:val="nil"/>
            </w:tcBorders>
          </w:tcPr>
          <w:p w14:paraId="6A93F7AF" w14:textId="715791C0" w:rsidR="00127683" w:rsidRPr="00FD4455" w:rsidRDefault="00127683" w:rsidP="0075446E">
            <w:pPr>
              <w:pStyle w:val="TableText"/>
            </w:pPr>
            <w:r>
              <w:rPr>
                <w:szCs w:val="17"/>
              </w:rPr>
              <w:t>Diquat products</w:t>
            </w:r>
          </w:p>
        </w:tc>
        <w:tc>
          <w:tcPr>
            <w:tcW w:w="4409" w:type="dxa"/>
            <w:tcBorders>
              <w:top w:val="single" w:sz="4" w:space="0" w:color="auto"/>
              <w:left w:val="nil"/>
              <w:bottom w:val="single" w:sz="4" w:space="0" w:color="auto"/>
              <w:right w:val="nil"/>
            </w:tcBorders>
          </w:tcPr>
          <w:p w14:paraId="6B8E61D0" w14:textId="77777777" w:rsidR="00127683" w:rsidRDefault="00127683" w:rsidP="0075446E">
            <w:pPr>
              <w:pStyle w:val="TableText"/>
            </w:pPr>
            <w:r>
              <w:t>Pre-harvest crop desiccation: rice, sorghum at rates &gt;122 g ac/ha; legume seed crops, lupins, potatoes, pulses, sweet potatoes at rates &gt;278 g ac/ha; canola, linseed at rates &gt;283 g ac/ha; sunflower at rates &gt;323 g ac/ha</w:t>
            </w:r>
          </w:p>
          <w:p w14:paraId="622D1964" w14:textId="504B573B" w:rsidR="00127683" w:rsidRPr="00FD4455" w:rsidRDefault="00127683" w:rsidP="0075446E">
            <w:pPr>
              <w:pStyle w:val="TableText"/>
            </w:pPr>
            <w:r>
              <w:t>General weed control: wheat, winter cereals at rates &gt;122 g ac/ha; market gardens, row crops, vegetables at rates &gt;283 g ac/ha</w:t>
            </w:r>
          </w:p>
        </w:tc>
        <w:tc>
          <w:tcPr>
            <w:tcW w:w="3443" w:type="dxa"/>
            <w:tcBorders>
              <w:top w:val="single" w:sz="4" w:space="0" w:color="auto"/>
              <w:left w:val="nil"/>
              <w:bottom w:val="single" w:sz="4" w:space="0" w:color="auto"/>
              <w:right w:val="nil"/>
            </w:tcBorders>
          </w:tcPr>
          <w:p w14:paraId="7733F1D5" w14:textId="3F449838" w:rsidR="00127683" w:rsidRPr="00FD4455" w:rsidRDefault="00127683" w:rsidP="0075446E">
            <w:pPr>
              <w:pStyle w:val="TableText"/>
            </w:pPr>
            <w:r w:rsidRPr="00FD4455">
              <w:t>Unacceptable risk to birds</w:t>
            </w:r>
          </w:p>
        </w:tc>
      </w:tr>
      <w:tr w:rsidR="00127683" w:rsidRPr="000B2FA7" w14:paraId="22106AF9" w14:textId="77777777" w:rsidTr="0085429A">
        <w:trPr>
          <w:cantSplit/>
        </w:trPr>
        <w:tc>
          <w:tcPr>
            <w:tcW w:w="1900" w:type="dxa"/>
            <w:vMerge/>
            <w:tcBorders>
              <w:left w:val="nil"/>
              <w:bottom w:val="nil"/>
              <w:right w:val="nil"/>
            </w:tcBorders>
          </w:tcPr>
          <w:p w14:paraId="04EA48D2" w14:textId="77777777" w:rsidR="00127683" w:rsidRDefault="00127683" w:rsidP="0075446E">
            <w:pPr>
              <w:pStyle w:val="TableText"/>
              <w:rPr>
                <w:szCs w:val="17"/>
              </w:rPr>
            </w:pPr>
          </w:p>
        </w:tc>
        <w:tc>
          <w:tcPr>
            <w:tcW w:w="4409" w:type="dxa"/>
            <w:tcBorders>
              <w:top w:val="single" w:sz="4" w:space="0" w:color="auto"/>
              <w:left w:val="nil"/>
              <w:bottom w:val="single" w:sz="4" w:space="0" w:color="auto"/>
              <w:right w:val="nil"/>
            </w:tcBorders>
          </w:tcPr>
          <w:p w14:paraId="2AF85C88" w14:textId="7375625F" w:rsidR="00127683" w:rsidRDefault="00127683" w:rsidP="0075446E">
            <w:pPr>
              <w:pStyle w:val="TableText"/>
            </w:pPr>
            <w:r>
              <w:t>General weed control in orchards</w:t>
            </w:r>
            <w:r w:rsidRPr="00127683">
              <w:t xml:space="preserve"> (including bananas, citrus, pome fruit, stone fruit, tree nuts tropical fruit edible/inedible peel)</w:t>
            </w:r>
            <w:r>
              <w:t xml:space="preserve"> and vineyards where there is a</w:t>
            </w:r>
            <w:r w:rsidR="002B1568">
              <w:t>n</w:t>
            </w:r>
            <w:r>
              <w:t xml:space="preserve"> obligatory tank mix with paraquat</w:t>
            </w:r>
          </w:p>
        </w:tc>
        <w:tc>
          <w:tcPr>
            <w:tcW w:w="3443" w:type="dxa"/>
            <w:tcBorders>
              <w:top w:val="single" w:sz="4" w:space="0" w:color="auto"/>
              <w:left w:val="nil"/>
              <w:bottom w:val="single" w:sz="4" w:space="0" w:color="auto"/>
              <w:right w:val="nil"/>
            </w:tcBorders>
          </w:tcPr>
          <w:p w14:paraId="1502A8BF" w14:textId="0E2913FB" w:rsidR="00127683" w:rsidRPr="00FD4455" w:rsidRDefault="00127683" w:rsidP="0075446E">
            <w:pPr>
              <w:pStyle w:val="TableText"/>
            </w:pPr>
            <w:r w:rsidRPr="00FD4455">
              <w:t>Unacceptable risk to mammals</w:t>
            </w:r>
          </w:p>
        </w:tc>
      </w:tr>
      <w:tr w:rsidR="0075446E" w:rsidRPr="000B2FA7" w14:paraId="7E36DB6F" w14:textId="77777777" w:rsidTr="0085429A">
        <w:trPr>
          <w:cantSplit/>
        </w:trPr>
        <w:tc>
          <w:tcPr>
            <w:tcW w:w="1900" w:type="dxa"/>
            <w:tcBorders>
              <w:top w:val="nil"/>
              <w:left w:val="nil"/>
              <w:bottom w:val="nil"/>
              <w:right w:val="nil"/>
            </w:tcBorders>
          </w:tcPr>
          <w:p w14:paraId="36F2BA5C" w14:textId="77777777" w:rsidR="0075446E" w:rsidRPr="00FD4455" w:rsidRDefault="0075446E" w:rsidP="0075446E">
            <w:pPr>
              <w:pStyle w:val="TableText"/>
            </w:pPr>
          </w:p>
        </w:tc>
        <w:tc>
          <w:tcPr>
            <w:tcW w:w="4409" w:type="dxa"/>
            <w:tcBorders>
              <w:top w:val="single" w:sz="4" w:space="0" w:color="auto"/>
              <w:left w:val="nil"/>
              <w:bottom w:val="single" w:sz="4" w:space="0" w:color="auto"/>
              <w:right w:val="nil"/>
            </w:tcBorders>
          </w:tcPr>
          <w:p w14:paraId="6AAE8A72" w14:textId="4C85D403" w:rsidR="0075446E" w:rsidRPr="00FD4455" w:rsidRDefault="0075446E" w:rsidP="0075446E">
            <w:pPr>
              <w:pStyle w:val="TableText"/>
            </w:pPr>
            <w:r>
              <w:t>General weed control: pasture at rates &gt;188 g ac/ha</w:t>
            </w:r>
          </w:p>
        </w:tc>
        <w:tc>
          <w:tcPr>
            <w:tcW w:w="3443" w:type="dxa"/>
            <w:tcBorders>
              <w:top w:val="single" w:sz="4" w:space="0" w:color="auto"/>
              <w:left w:val="nil"/>
              <w:right w:val="nil"/>
            </w:tcBorders>
          </w:tcPr>
          <w:p w14:paraId="45022449" w14:textId="3C579B22" w:rsidR="0075446E" w:rsidRPr="00FD4455" w:rsidRDefault="0075446E" w:rsidP="0075446E">
            <w:pPr>
              <w:pStyle w:val="TableText"/>
            </w:pPr>
            <w:r w:rsidRPr="00FD4455">
              <w:t>Unacceptable risk to mammals</w:t>
            </w:r>
          </w:p>
        </w:tc>
      </w:tr>
      <w:tr w:rsidR="0075446E" w:rsidRPr="000B2FA7" w14:paraId="5E60E48C" w14:textId="77777777" w:rsidTr="0085429A">
        <w:trPr>
          <w:cantSplit/>
        </w:trPr>
        <w:tc>
          <w:tcPr>
            <w:tcW w:w="1900" w:type="dxa"/>
            <w:tcBorders>
              <w:top w:val="nil"/>
              <w:left w:val="nil"/>
              <w:bottom w:val="single" w:sz="4" w:space="0" w:color="auto"/>
              <w:right w:val="nil"/>
            </w:tcBorders>
          </w:tcPr>
          <w:p w14:paraId="1993ECB0" w14:textId="77777777" w:rsidR="0075446E" w:rsidRPr="00FD4455" w:rsidRDefault="0075446E" w:rsidP="0075446E">
            <w:pPr>
              <w:pStyle w:val="TableText"/>
            </w:pPr>
          </w:p>
        </w:tc>
        <w:tc>
          <w:tcPr>
            <w:tcW w:w="4409" w:type="dxa"/>
            <w:tcBorders>
              <w:top w:val="single" w:sz="4" w:space="0" w:color="auto"/>
              <w:left w:val="nil"/>
              <w:bottom w:val="single" w:sz="4" w:space="0" w:color="auto"/>
              <w:right w:val="nil"/>
            </w:tcBorders>
          </w:tcPr>
          <w:p w14:paraId="23AC7956" w14:textId="46A8F4AD" w:rsidR="0075446E" w:rsidRPr="00FD4455" w:rsidRDefault="0075446E" w:rsidP="0075446E">
            <w:pPr>
              <w:pStyle w:val="TableText"/>
            </w:pPr>
            <w:r>
              <w:t>General weed control: pasture at rates &gt;230 g ac/ha</w:t>
            </w:r>
          </w:p>
        </w:tc>
        <w:tc>
          <w:tcPr>
            <w:tcW w:w="3443" w:type="dxa"/>
            <w:tcBorders>
              <w:top w:val="single" w:sz="4" w:space="0" w:color="auto"/>
              <w:left w:val="nil"/>
              <w:bottom w:val="single" w:sz="4" w:space="0" w:color="auto"/>
              <w:right w:val="nil"/>
            </w:tcBorders>
          </w:tcPr>
          <w:p w14:paraId="2AB78B1F" w14:textId="31EBB53E" w:rsidR="0075446E" w:rsidRPr="00FD4455" w:rsidRDefault="0075446E" w:rsidP="0075446E">
            <w:pPr>
              <w:pStyle w:val="TableText"/>
            </w:pPr>
            <w:r w:rsidRPr="00FD4455">
              <w:t>Unacceptable risk to birds</w:t>
            </w:r>
            <w:r>
              <w:t xml:space="preserve"> and mammals</w:t>
            </w:r>
          </w:p>
        </w:tc>
      </w:tr>
    </w:tbl>
    <w:p w14:paraId="1FE1E937" w14:textId="77777777" w:rsidR="00FD4455" w:rsidRDefault="00FD4455" w:rsidP="00FD4455">
      <w:pPr>
        <w:pStyle w:val="NormalText"/>
        <w:sectPr w:rsidR="00FD4455" w:rsidSect="009A2AA4">
          <w:headerReference w:type="even" r:id="rId43"/>
          <w:pgSz w:w="11906" w:h="16838" w:code="9"/>
          <w:pgMar w:top="2835" w:right="1134" w:bottom="1134" w:left="1134" w:header="1701" w:footer="680" w:gutter="0"/>
          <w:cols w:space="708"/>
          <w:docGrid w:linePitch="360"/>
        </w:sectPr>
      </w:pPr>
    </w:p>
    <w:p w14:paraId="5EF92806" w14:textId="77777777" w:rsidR="00296F32" w:rsidRPr="00650447" w:rsidRDefault="00296F32" w:rsidP="00650447">
      <w:pPr>
        <w:pStyle w:val="Heading1"/>
      </w:pPr>
      <w:bookmarkStart w:id="452" w:name="_Toc144468331"/>
      <w:bookmarkStart w:id="453" w:name="_Toc156980637"/>
      <w:bookmarkStart w:id="454" w:name="_Toc233039038"/>
      <w:r w:rsidRPr="00650447">
        <w:lastRenderedPageBreak/>
        <w:t>Spray drift</w:t>
      </w:r>
      <w:bookmarkEnd w:id="452"/>
      <w:bookmarkEnd w:id="453"/>
      <w:bookmarkEnd w:id="454"/>
    </w:p>
    <w:p w14:paraId="178153DC" w14:textId="3549873B" w:rsidR="00296F32" w:rsidRPr="001F6FB1" w:rsidRDefault="00296F32" w:rsidP="00296F32">
      <w:pPr>
        <w:pStyle w:val="NormalText"/>
      </w:pPr>
      <w:r w:rsidRPr="001F6FB1">
        <w:t xml:space="preserve">The APVMA’s approach to spray drift management set out in the </w:t>
      </w:r>
      <w:hyperlink r:id="rId44" w:history="1">
        <w:r w:rsidRPr="00C2270C">
          <w:rPr>
            <w:rStyle w:val="Hyperlink"/>
          </w:rPr>
          <w:t>APVMA Spray Drift Policy</w:t>
        </w:r>
        <w:r w:rsidR="00FD4455">
          <w:rPr>
            <w:rStyle w:val="Hyperlink"/>
          </w:rPr>
          <w:t>,</w:t>
        </w:r>
        <w:r w:rsidRPr="00C2270C">
          <w:rPr>
            <w:rStyle w:val="Hyperlink"/>
          </w:rPr>
          <w:t xml:space="preserve"> July 2019</w:t>
        </w:r>
      </w:hyperlink>
      <w:r w:rsidRPr="001F6FB1">
        <w:t xml:space="preserve"> specifies consideration of spray drift in bystander areas, livestock areas, natural aquatic areas, pollinator areas and vegetation areas. The regulatory acceptable levels (RALs) for each area are summarised in</w:t>
      </w:r>
      <w:r>
        <w:t xml:space="preserve"> </w:t>
      </w:r>
      <w:r w:rsidR="00FD4455">
        <w:fldChar w:fldCharType="begin" w:fldLock="1"/>
      </w:r>
      <w:r w:rsidR="00FD4455">
        <w:instrText xml:space="preserve"> REF _Ref170213912 \h </w:instrText>
      </w:r>
      <w:r w:rsidR="00FD4455">
        <w:fldChar w:fldCharType="separate"/>
      </w:r>
      <w:r w:rsidR="0033298E" w:rsidRPr="00794DF0">
        <w:t xml:space="preserve">Table </w:t>
      </w:r>
      <w:r w:rsidR="0033298E">
        <w:rPr>
          <w:noProof/>
        </w:rPr>
        <w:t>37</w:t>
      </w:r>
      <w:r w:rsidR="00FD4455">
        <w:fldChar w:fldCharType="end"/>
      </w:r>
      <w:r w:rsidRPr="001F6FB1">
        <w:t xml:space="preserve">, which </w:t>
      </w:r>
      <w:r>
        <w:t>is</w:t>
      </w:r>
      <w:r w:rsidRPr="001F6FB1">
        <w:t xml:space="preserve"> the maximum amount of spray drift exposure that is not expected to cause undue harm to sensitive areas.</w:t>
      </w:r>
    </w:p>
    <w:p w14:paraId="577AE50E" w14:textId="1FC5A97E" w:rsidR="00296F32" w:rsidRPr="000179FF" w:rsidRDefault="00296F32" w:rsidP="000179FF">
      <w:pPr>
        <w:pStyle w:val="Caption"/>
      </w:pPr>
      <w:bookmarkStart w:id="455" w:name="_Ref170213912"/>
      <w:bookmarkStart w:id="456" w:name="_Toc232589632"/>
      <w:r w:rsidRPr="000179FF">
        <w:t xml:space="preserve">Table </w:t>
      </w:r>
      <w:fldSimple w:instr=" SEQ Table \* ARABIC ">
        <w:r w:rsidR="000179FF">
          <w:rPr>
            <w:noProof/>
          </w:rPr>
          <w:t>37</w:t>
        </w:r>
      </w:fldSimple>
      <w:bookmarkEnd w:id="455"/>
      <w:r w:rsidRPr="000179FF">
        <w:t>: Regulatory acceptable levels of diquat resulting from spray drift</w:t>
      </w:r>
      <w:bookmarkEnd w:id="456"/>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218"/>
        <w:gridCol w:w="5636"/>
      </w:tblGrid>
      <w:tr w:rsidR="00296F32" w:rsidRPr="00835CB9" w14:paraId="673F0A14" w14:textId="77777777" w:rsidTr="00FD4455">
        <w:trPr>
          <w:trHeight w:val="466"/>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20B22487" w14:textId="77777777" w:rsidR="00296F32" w:rsidRPr="00650447" w:rsidRDefault="00296F32" w:rsidP="00650447">
            <w:pPr>
              <w:pStyle w:val="TableHead"/>
            </w:pPr>
            <w:r w:rsidRPr="00650447">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6D300BBC" w14:textId="77777777" w:rsidR="00296F32" w:rsidRPr="00650447" w:rsidRDefault="00296F32" w:rsidP="00650447">
            <w:pPr>
              <w:pStyle w:val="TableHead"/>
            </w:pPr>
            <w:r w:rsidRPr="00650447">
              <w:t>Regulatory acceptable level</w:t>
            </w:r>
          </w:p>
        </w:tc>
      </w:tr>
      <w:tr w:rsidR="00296F32" w:rsidRPr="00835CB9" w14:paraId="3E37C48F" w14:textId="77777777" w:rsidTr="00FD4455">
        <w:tc>
          <w:tcPr>
            <w:tcW w:w="2140" w:type="pct"/>
            <w:tcBorders>
              <w:top w:val="single" w:sz="4" w:space="0" w:color="auto"/>
              <w:bottom w:val="single" w:sz="4" w:space="0" w:color="auto"/>
            </w:tcBorders>
            <w:tcMar>
              <w:top w:w="0" w:type="dxa"/>
              <w:left w:w="108" w:type="dxa"/>
              <w:bottom w:w="0" w:type="dxa"/>
              <w:right w:w="108" w:type="dxa"/>
            </w:tcMar>
            <w:hideMark/>
          </w:tcPr>
          <w:p w14:paraId="787298EC" w14:textId="77777777" w:rsidR="00296F32" w:rsidRPr="00FD4455" w:rsidRDefault="00296F32" w:rsidP="00FD4455">
            <w:pPr>
              <w:pStyle w:val="TableText"/>
            </w:pPr>
            <w:r w:rsidRPr="00FD4455">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F619902" w14:textId="7B13C1CC" w:rsidR="00296F32" w:rsidRPr="00FD4455" w:rsidRDefault="00A57BA3" w:rsidP="00FD4455">
            <w:pPr>
              <w:pStyle w:val="TableText"/>
            </w:pPr>
            <w:r>
              <w:t>1.4</w:t>
            </w:r>
            <w:r w:rsidR="00296F32" w:rsidRPr="00FD4455">
              <w:t xml:space="preserve"> µg ac/L</w:t>
            </w:r>
          </w:p>
        </w:tc>
      </w:tr>
      <w:tr w:rsidR="00296F32" w:rsidRPr="00835CB9" w14:paraId="0815C5D8" w14:textId="77777777" w:rsidTr="00FD4455">
        <w:tc>
          <w:tcPr>
            <w:tcW w:w="2140" w:type="pct"/>
            <w:tcBorders>
              <w:top w:val="single" w:sz="4" w:space="0" w:color="auto"/>
              <w:bottom w:val="single" w:sz="4" w:space="0" w:color="auto"/>
            </w:tcBorders>
            <w:tcMar>
              <w:top w:w="0" w:type="dxa"/>
              <w:left w:w="108" w:type="dxa"/>
              <w:bottom w:w="0" w:type="dxa"/>
              <w:right w:w="108" w:type="dxa"/>
            </w:tcMar>
            <w:hideMark/>
          </w:tcPr>
          <w:p w14:paraId="7C7C6BD3" w14:textId="77777777" w:rsidR="00296F32" w:rsidRPr="00FD4455" w:rsidRDefault="00296F32" w:rsidP="00FD4455">
            <w:pPr>
              <w:pStyle w:val="TableText"/>
            </w:pPr>
            <w:r w:rsidRPr="00FD4455">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C41819A" w14:textId="7FEC970C" w:rsidR="00296F32" w:rsidRPr="00FD4455" w:rsidRDefault="00296F32" w:rsidP="00FD4455">
            <w:pPr>
              <w:pStyle w:val="TableText"/>
            </w:pPr>
            <w:r w:rsidRPr="00FD4455">
              <w:t>17</w:t>
            </w:r>
            <w:r w:rsidR="00FD4455">
              <w:t>,</w:t>
            </w:r>
            <w:r w:rsidRPr="00FD4455">
              <w:t>500 g ac/ha</w:t>
            </w:r>
          </w:p>
        </w:tc>
      </w:tr>
      <w:tr w:rsidR="00296F32" w:rsidRPr="00835CB9" w14:paraId="3B058C25" w14:textId="77777777" w:rsidTr="00FD4455">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46539B3A" w14:textId="77777777" w:rsidR="00296F32" w:rsidRPr="00FD4455" w:rsidRDefault="00296F32" w:rsidP="00FD4455">
            <w:pPr>
              <w:pStyle w:val="TableText"/>
            </w:pPr>
            <w:r w:rsidRPr="00FD4455">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1076DCE9" w14:textId="4E480B1D" w:rsidR="00296F32" w:rsidRPr="00FD4455" w:rsidRDefault="00A57BA3" w:rsidP="00FD4455">
            <w:pPr>
              <w:pStyle w:val="TableText"/>
            </w:pPr>
            <w:r w:rsidRPr="00FD4455">
              <w:t>1</w:t>
            </w:r>
            <w:r>
              <w:t>5</w:t>
            </w:r>
            <w:r w:rsidRPr="00FD4455">
              <w:t xml:space="preserve"> </w:t>
            </w:r>
            <w:r w:rsidR="00296F32" w:rsidRPr="00FD4455">
              <w:t>g ac/ha</w:t>
            </w:r>
          </w:p>
        </w:tc>
      </w:tr>
      <w:tr w:rsidR="00296F32" w:rsidRPr="00835CB9" w14:paraId="75CA9BAD" w14:textId="77777777" w:rsidTr="00FD4455">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5EDE3571" w14:textId="77777777" w:rsidR="00296F32" w:rsidRPr="00FD4455" w:rsidRDefault="00296F32" w:rsidP="00FD4455">
            <w:pPr>
              <w:pStyle w:val="TableText"/>
            </w:pPr>
            <w:r w:rsidRPr="00FD4455">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0DB50D44" w14:textId="431A25F5" w:rsidR="00296F32" w:rsidRPr="00FD4455" w:rsidRDefault="00454599" w:rsidP="00FD4455">
            <w:pPr>
              <w:pStyle w:val="TableText"/>
            </w:pPr>
            <w:r w:rsidRPr="00FD4455">
              <w:t>3.87</w:t>
            </w:r>
            <w:r w:rsidR="00296F32" w:rsidRPr="00FD4455">
              <w:t xml:space="preserve"> g ac/ha</w:t>
            </w:r>
          </w:p>
        </w:tc>
      </w:tr>
      <w:tr w:rsidR="00296F32" w:rsidRPr="00835CB9" w14:paraId="60E7B942" w14:textId="77777777" w:rsidTr="00FD4455">
        <w:tc>
          <w:tcPr>
            <w:tcW w:w="2140" w:type="pct"/>
            <w:tcBorders>
              <w:top w:val="single" w:sz="4" w:space="0" w:color="auto"/>
            </w:tcBorders>
            <w:tcMar>
              <w:top w:w="0" w:type="dxa"/>
              <w:left w:w="108" w:type="dxa"/>
              <w:bottom w:w="0" w:type="dxa"/>
              <w:right w:w="108" w:type="dxa"/>
            </w:tcMar>
            <w:hideMark/>
          </w:tcPr>
          <w:p w14:paraId="78C341F7" w14:textId="77777777" w:rsidR="00296F32" w:rsidRPr="00FD4455" w:rsidRDefault="00296F32" w:rsidP="00FD4455">
            <w:pPr>
              <w:pStyle w:val="TableText"/>
            </w:pPr>
            <w:r w:rsidRPr="00FD4455">
              <w:t>Livestock areas</w:t>
            </w:r>
          </w:p>
        </w:tc>
        <w:tc>
          <w:tcPr>
            <w:tcW w:w="2860" w:type="pct"/>
            <w:tcBorders>
              <w:top w:val="single" w:sz="4" w:space="0" w:color="auto"/>
            </w:tcBorders>
            <w:tcMar>
              <w:top w:w="0" w:type="dxa"/>
              <w:left w:w="108" w:type="dxa"/>
              <w:bottom w:w="0" w:type="dxa"/>
              <w:right w:w="108" w:type="dxa"/>
            </w:tcMar>
            <w:hideMark/>
          </w:tcPr>
          <w:p w14:paraId="75C6A653" w14:textId="664CA13D" w:rsidR="00296F32" w:rsidRPr="00FD4455" w:rsidRDefault="00350894" w:rsidP="00FD4455">
            <w:pPr>
              <w:pStyle w:val="TableText"/>
            </w:pPr>
            <w:r w:rsidRPr="00FD4455">
              <w:t>100</w:t>
            </w:r>
            <w:r w:rsidR="00296F32" w:rsidRPr="00FD4455">
              <w:t xml:space="preserve"> mg/kg</w:t>
            </w:r>
          </w:p>
        </w:tc>
      </w:tr>
    </w:tbl>
    <w:p w14:paraId="34BB039A" w14:textId="064D541F" w:rsidR="00296F32" w:rsidRDefault="00296F32" w:rsidP="00296F32">
      <w:pPr>
        <w:pStyle w:val="NormalText"/>
      </w:pPr>
      <w:r>
        <w:t>The APVMA has only considered spray drift implications for uses of diquat that are supported by worker health and safety, residues, trade and environmental risk assessments.</w:t>
      </w:r>
    </w:p>
    <w:p w14:paraId="0C64B350" w14:textId="78AB2A36" w:rsidR="00350894" w:rsidRDefault="00350894" w:rsidP="00350894">
      <w:pPr>
        <w:pStyle w:val="NormalText"/>
      </w:pPr>
      <w:r>
        <w:t>Based on the acceptable uses</w:t>
      </w:r>
      <w:r w:rsidR="00F51D5D">
        <w:t>,</w:t>
      </w:r>
      <w:r>
        <w:t xml:space="preserve"> the following spray drift restraints and downwind buffer zones would be required for application of diquat products at the rates listed below.</w:t>
      </w:r>
    </w:p>
    <w:p w14:paraId="0E3FCA33" w14:textId="655A9753" w:rsidR="00350894" w:rsidRDefault="00350894" w:rsidP="00350894">
      <w:pPr>
        <w:pStyle w:val="NormalText"/>
      </w:pPr>
      <w:r>
        <w:t>SPRAY DRIFT RESTRAINTS</w:t>
      </w:r>
    </w:p>
    <w:p w14:paraId="403CBA9A" w14:textId="5F6C2DE8" w:rsidR="00350894" w:rsidRDefault="00350894" w:rsidP="00350894">
      <w:pPr>
        <w:pStyle w:val="NormalText"/>
      </w:pPr>
      <w:r>
        <w:t>Specific definitions for terms used in this section of the label can be found at apvma.gov.au/spraydrift</w:t>
      </w:r>
      <w:r>
        <w:tab/>
      </w:r>
    </w:p>
    <w:p w14:paraId="74CF88FF" w14:textId="2052C153" w:rsidR="00350894" w:rsidRDefault="00350894" w:rsidP="00350894">
      <w:pPr>
        <w:pStyle w:val="NormalText"/>
      </w:pPr>
      <w:r>
        <w:t>DO NOT allow bystanders to come into contact with the spray cloud.</w:t>
      </w:r>
    </w:p>
    <w:p w14:paraId="58C7A3C8" w14:textId="2862017B" w:rsidR="00350894" w:rsidRDefault="00350894" w:rsidP="00350894">
      <w:pPr>
        <w:pStyle w:val="NormalText"/>
      </w:pPr>
      <w: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DE32750" w14:textId="014B2C91" w:rsidR="00350894" w:rsidRDefault="00350894" w:rsidP="00350894">
      <w:pPr>
        <w:pStyle w:val="NormalText"/>
      </w:pPr>
      <w:r>
        <w:t>DO NOT apply unless the wind speed is between 3 and 20 kilometres per hour at the application site during the time of application.</w:t>
      </w:r>
    </w:p>
    <w:p w14:paraId="0E682B57" w14:textId="2D937B0F" w:rsidR="00350894" w:rsidRDefault="00350894" w:rsidP="00350894">
      <w:pPr>
        <w:pStyle w:val="NormalText"/>
      </w:pPr>
      <w:r>
        <w:t xml:space="preserve">DO NOT apply if there are surface temperature inversion conditions present at the application site during the time of application. These conditions exist most evenings one to </w:t>
      </w:r>
      <w:r w:rsidR="00C164F7">
        <w:t>2</w:t>
      </w:r>
      <w:r>
        <w:t xml:space="preserve"> hours before sunset and persist until one to </w:t>
      </w:r>
      <w:r w:rsidR="00FD4455">
        <w:t>2 </w:t>
      </w:r>
      <w:r>
        <w:t>hours after sunrise.</w:t>
      </w:r>
    </w:p>
    <w:p w14:paraId="4D536512" w14:textId="1A262C44" w:rsidR="00350894" w:rsidRDefault="00350894" w:rsidP="00350894">
      <w:pPr>
        <w:pStyle w:val="NormalText"/>
      </w:pPr>
      <w:r>
        <w:t>DO NOT apply by a boom sprayer unless the following requirements are met:</w:t>
      </w:r>
    </w:p>
    <w:p w14:paraId="135953C9" w14:textId="7660353F" w:rsidR="00350894" w:rsidRDefault="00FD4455" w:rsidP="00FD4455">
      <w:pPr>
        <w:pStyle w:val="Bullet2"/>
      </w:pPr>
      <w:r>
        <w:t>S</w:t>
      </w:r>
      <w:r w:rsidR="00350894">
        <w:t>pray droplets not smaller than a MEDIUM spray droplet size category</w:t>
      </w:r>
      <w:r>
        <w:t>.</w:t>
      </w:r>
    </w:p>
    <w:p w14:paraId="3DB36684" w14:textId="6507C6BD" w:rsidR="00D32A72" w:rsidRDefault="00FD4455" w:rsidP="00FD4455">
      <w:pPr>
        <w:pStyle w:val="Bullet2"/>
      </w:pPr>
      <w:r>
        <w:lastRenderedPageBreak/>
        <w:t>M</w:t>
      </w:r>
      <w:r w:rsidR="00350894">
        <w:t>inimum distances between the application site and downwind sensitive areas (see ‘Mandatory buffer zones’ section of the following table titled ‘Buffer zones for boom sprayers’) are observed.</w:t>
      </w:r>
    </w:p>
    <w:p w14:paraId="64EFFD3D" w14:textId="204E456F" w:rsidR="00350894" w:rsidRPr="000179FF" w:rsidRDefault="00D32A72" w:rsidP="000179FF">
      <w:pPr>
        <w:pStyle w:val="Caption"/>
      </w:pPr>
      <w:bookmarkStart w:id="457" w:name="_Toc232589633"/>
      <w:r w:rsidRPr="000179FF">
        <w:t xml:space="preserve">Table </w:t>
      </w:r>
      <w:fldSimple w:instr=" SEQ Table \* ARABIC ">
        <w:r w:rsidR="000179FF">
          <w:rPr>
            <w:noProof/>
          </w:rPr>
          <w:t>38</w:t>
        </w:r>
      </w:fldSimple>
      <w:r w:rsidRPr="000179FF">
        <w:t>: Diquat</w:t>
      </w:r>
      <w:r w:rsidR="00FD4455" w:rsidRPr="000179FF">
        <w:t xml:space="preserve"> – </w:t>
      </w:r>
      <w:r w:rsidRPr="000179FF">
        <w:t>buffer zones for boom sprayers</w:t>
      </w:r>
      <w:bookmarkEnd w:id="457"/>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63"/>
        <w:gridCol w:w="2357"/>
        <w:gridCol w:w="1275"/>
        <w:gridCol w:w="991"/>
        <w:gridCol w:w="1131"/>
        <w:gridCol w:w="1133"/>
        <w:gridCol w:w="1104"/>
      </w:tblGrid>
      <w:tr w:rsidR="00350894" w:rsidRPr="00883134" w14:paraId="6BF3E31F" w14:textId="77777777" w:rsidTr="004D3A0E">
        <w:trPr>
          <w:trHeight w:val="300"/>
        </w:trPr>
        <w:tc>
          <w:tcPr>
            <w:tcW w:w="5000" w:type="pct"/>
            <w:gridSpan w:val="7"/>
            <w:shd w:val="clear" w:color="auto" w:fill="5C2946"/>
            <w:hideMark/>
          </w:tcPr>
          <w:p w14:paraId="65D30857" w14:textId="68C01266" w:rsidR="00350894" w:rsidRPr="00FD4455" w:rsidRDefault="00943D40">
            <w:pPr>
              <w:pStyle w:val="TableHead"/>
              <w:rPr>
                <w:color w:val="FFFFFF"/>
                <w:lang w:eastAsia="en-AU"/>
              </w:rPr>
            </w:pPr>
            <w:r w:rsidRPr="00FD4455">
              <w:rPr>
                <w:color w:val="FFFFFF"/>
                <w:lang w:eastAsia="en-AU"/>
              </w:rPr>
              <w:t>Diquat</w:t>
            </w:r>
            <w:r w:rsidR="004C1210">
              <w:rPr>
                <w:color w:val="FFFFFF"/>
                <w:lang w:eastAsia="en-AU"/>
              </w:rPr>
              <w:t>–</w:t>
            </w:r>
            <w:r w:rsidRPr="00FD4455">
              <w:rPr>
                <w:color w:val="FFFFFF"/>
                <w:lang w:eastAsia="en-AU"/>
              </w:rPr>
              <w:t>b</w:t>
            </w:r>
            <w:r w:rsidR="00350894" w:rsidRPr="00FD4455">
              <w:rPr>
                <w:color w:val="FFFFFF"/>
                <w:lang w:eastAsia="en-AU"/>
              </w:rPr>
              <w:t>uffer zones for boom sprayers (</w:t>
            </w:r>
            <w:r w:rsidRPr="00FD4455">
              <w:rPr>
                <w:color w:val="FFFFFF"/>
                <w:lang w:eastAsia="en-AU"/>
              </w:rPr>
              <w:t xml:space="preserve">metres; </w:t>
            </w:r>
            <w:r w:rsidR="00350894" w:rsidRPr="00FD4455">
              <w:rPr>
                <w:color w:val="FFFFFF"/>
                <w:lang w:eastAsia="en-AU"/>
              </w:rPr>
              <w:t>MEDIUM droplet size)</w:t>
            </w:r>
          </w:p>
        </w:tc>
      </w:tr>
      <w:tr w:rsidR="004D3A0E" w:rsidRPr="00883134" w14:paraId="55F3CBB7" w14:textId="77777777" w:rsidTr="0085429A">
        <w:trPr>
          <w:trHeight w:val="735"/>
        </w:trPr>
        <w:tc>
          <w:tcPr>
            <w:tcW w:w="945" w:type="pct"/>
            <w:tcBorders>
              <w:right w:val="nil"/>
            </w:tcBorders>
            <w:shd w:val="clear" w:color="auto" w:fill="5C2946"/>
            <w:hideMark/>
          </w:tcPr>
          <w:p w14:paraId="065CFD39" w14:textId="77777777" w:rsidR="00350894" w:rsidRPr="00883134" w:rsidRDefault="00350894">
            <w:pPr>
              <w:pStyle w:val="TableHead"/>
              <w:rPr>
                <w:lang w:eastAsia="en-AU"/>
              </w:rPr>
            </w:pPr>
            <w:r w:rsidRPr="00883134">
              <w:rPr>
                <w:lang w:eastAsia="en-AU"/>
              </w:rPr>
              <w:t>Application rate</w:t>
            </w:r>
          </w:p>
        </w:tc>
        <w:tc>
          <w:tcPr>
            <w:tcW w:w="1196" w:type="pct"/>
            <w:tcBorders>
              <w:left w:val="nil"/>
              <w:bottom w:val="single" w:sz="4" w:space="0" w:color="auto"/>
              <w:right w:val="nil"/>
            </w:tcBorders>
            <w:shd w:val="clear" w:color="auto" w:fill="5C2946"/>
            <w:hideMark/>
          </w:tcPr>
          <w:p w14:paraId="386B28FB" w14:textId="77777777" w:rsidR="00350894" w:rsidRPr="00883134" w:rsidRDefault="00350894">
            <w:pPr>
              <w:pStyle w:val="TableHead"/>
              <w:rPr>
                <w:lang w:eastAsia="en-AU"/>
              </w:rPr>
            </w:pPr>
            <w:r w:rsidRPr="00883134">
              <w:rPr>
                <w:lang w:eastAsia="en-AU"/>
              </w:rPr>
              <w:t>Boom height above the target canopy</w:t>
            </w:r>
          </w:p>
        </w:tc>
        <w:tc>
          <w:tcPr>
            <w:tcW w:w="647" w:type="pct"/>
            <w:tcBorders>
              <w:left w:val="nil"/>
              <w:bottom w:val="single" w:sz="4" w:space="0" w:color="auto"/>
              <w:right w:val="nil"/>
            </w:tcBorders>
            <w:shd w:val="clear" w:color="auto" w:fill="5C2946"/>
            <w:hideMark/>
          </w:tcPr>
          <w:p w14:paraId="021004A5" w14:textId="77777777" w:rsidR="00350894" w:rsidRPr="00883134" w:rsidRDefault="00350894" w:rsidP="00FD4455">
            <w:pPr>
              <w:pStyle w:val="TableHead"/>
              <w:jc w:val="right"/>
              <w:rPr>
                <w:lang w:eastAsia="en-AU"/>
              </w:rPr>
            </w:pPr>
            <w:r w:rsidRPr="00883134">
              <w:rPr>
                <w:lang w:eastAsia="en-AU"/>
              </w:rPr>
              <w:t>Bystander areas</w:t>
            </w:r>
          </w:p>
        </w:tc>
        <w:tc>
          <w:tcPr>
            <w:tcW w:w="503" w:type="pct"/>
            <w:tcBorders>
              <w:left w:val="nil"/>
              <w:bottom w:val="single" w:sz="4" w:space="0" w:color="auto"/>
              <w:right w:val="nil"/>
            </w:tcBorders>
            <w:shd w:val="clear" w:color="auto" w:fill="5C2946"/>
            <w:hideMark/>
          </w:tcPr>
          <w:p w14:paraId="3B8EF127" w14:textId="77777777" w:rsidR="00350894" w:rsidRPr="00883134" w:rsidRDefault="00350894" w:rsidP="00FD4455">
            <w:pPr>
              <w:pStyle w:val="TableHead"/>
              <w:jc w:val="right"/>
              <w:rPr>
                <w:lang w:eastAsia="en-AU"/>
              </w:rPr>
            </w:pPr>
            <w:r w:rsidRPr="00883134">
              <w:rPr>
                <w:lang w:eastAsia="en-AU"/>
              </w:rPr>
              <w:t>Natural aquatic areas</w:t>
            </w:r>
          </w:p>
        </w:tc>
        <w:tc>
          <w:tcPr>
            <w:tcW w:w="574" w:type="pct"/>
            <w:tcBorders>
              <w:left w:val="nil"/>
              <w:bottom w:val="single" w:sz="4" w:space="0" w:color="auto"/>
              <w:right w:val="nil"/>
            </w:tcBorders>
            <w:shd w:val="clear" w:color="auto" w:fill="5C2946"/>
            <w:hideMark/>
          </w:tcPr>
          <w:p w14:paraId="75C63C62" w14:textId="77777777" w:rsidR="00350894" w:rsidRPr="00883134" w:rsidRDefault="00350894" w:rsidP="00FD4455">
            <w:pPr>
              <w:pStyle w:val="TableHead"/>
              <w:jc w:val="right"/>
              <w:rPr>
                <w:lang w:eastAsia="en-AU"/>
              </w:rPr>
            </w:pPr>
            <w:r w:rsidRPr="00883134">
              <w:rPr>
                <w:lang w:eastAsia="en-AU"/>
              </w:rPr>
              <w:t>Pollinator areas</w:t>
            </w:r>
          </w:p>
        </w:tc>
        <w:tc>
          <w:tcPr>
            <w:tcW w:w="575" w:type="pct"/>
            <w:tcBorders>
              <w:left w:val="nil"/>
              <w:bottom w:val="single" w:sz="4" w:space="0" w:color="auto"/>
              <w:right w:val="nil"/>
            </w:tcBorders>
            <w:shd w:val="clear" w:color="auto" w:fill="5C2946"/>
            <w:hideMark/>
          </w:tcPr>
          <w:p w14:paraId="51077CED" w14:textId="77777777" w:rsidR="00350894" w:rsidRPr="00883134" w:rsidRDefault="00350894" w:rsidP="00FD4455">
            <w:pPr>
              <w:pStyle w:val="TableHead"/>
              <w:jc w:val="right"/>
              <w:rPr>
                <w:lang w:eastAsia="en-AU"/>
              </w:rPr>
            </w:pPr>
            <w:r w:rsidRPr="00883134">
              <w:rPr>
                <w:lang w:eastAsia="en-AU"/>
              </w:rPr>
              <w:t>Vegetation areas</w:t>
            </w:r>
          </w:p>
        </w:tc>
        <w:tc>
          <w:tcPr>
            <w:tcW w:w="560" w:type="pct"/>
            <w:tcBorders>
              <w:left w:val="nil"/>
              <w:bottom w:val="single" w:sz="4" w:space="0" w:color="auto"/>
            </w:tcBorders>
            <w:shd w:val="clear" w:color="auto" w:fill="5C2946"/>
            <w:hideMark/>
          </w:tcPr>
          <w:p w14:paraId="27507DB8" w14:textId="77777777" w:rsidR="00350894" w:rsidRPr="00883134" w:rsidRDefault="00350894" w:rsidP="00FD4455">
            <w:pPr>
              <w:pStyle w:val="TableHead"/>
              <w:jc w:val="right"/>
              <w:rPr>
                <w:lang w:eastAsia="en-AU"/>
              </w:rPr>
            </w:pPr>
            <w:r w:rsidRPr="00883134">
              <w:rPr>
                <w:lang w:eastAsia="en-AU"/>
              </w:rPr>
              <w:t>Livestock areas</w:t>
            </w:r>
          </w:p>
        </w:tc>
      </w:tr>
      <w:tr w:rsidR="000B793A" w:rsidRPr="00883134" w14:paraId="2769460D" w14:textId="77777777" w:rsidTr="0085429A">
        <w:trPr>
          <w:trHeight w:val="211"/>
        </w:trPr>
        <w:tc>
          <w:tcPr>
            <w:tcW w:w="945" w:type="pct"/>
            <w:vMerge w:val="restart"/>
            <w:tcBorders>
              <w:right w:val="nil"/>
            </w:tcBorders>
          </w:tcPr>
          <w:p w14:paraId="78BD1A9F" w14:textId="1DF0BE8C" w:rsidR="000B793A" w:rsidRPr="0085429A" w:rsidRDefault="000B793A" w:rsidP="0085429A">
            <w:pPr>
              <w:pStyle w:val="TableText"/>
              <w:keepNext/>
              <w:keepLines/>
              <w:rPr>
                <w:color w:val="000000"/>
                <w:szCs w:val="17"/>
                <w:lang w:eastAsia="en-AU"/>
              </w:rPr>
            </w:pPr>
            <w:r w:rsidRPr="0085429A">
              <w:rPr>
                <w:color w:val="000000"/>
                <w:szCs w:val="17"/>
                <w:lang w:eastAsia="en-AU"/>
              </w:rPr>
              <w:t>2 kg ac/ha or lower</w:t>
            </w:r>
          </w:p>
        </w:tc>
        <w:tc>
          <w:tcPr>
            <w:tcW w:w="1196" w:type="pct"/>
            <w:tcBorders>
              <w:left w:val="nil"/>
              <w:right w:val="nil"/>
            </w:tcBorders>
          </w:tcPr>
          <w:p w14:paraId="09B33F99" w14:textId="10EA0A81" w:rsidR="000B793A" w:rsidRPr="0085429A" w:rsidRDefault="000B793A">
            <w:pPr>
              <w:pStyle w:val="TableHead"/>
              <w:rPr>
                <w:rFonts w:ascii="Arial" w:hAnsi="Arial"/>
                <w:color w:val="000000"/>
                <w:sz w:val="17"/>
                <w:szCs w:val="17"/>
                <w:lang w:eastAsia="en-AU"/>
              </w:rPr>
            </w:pPr>
            <w:r w:rsidRPr="0085429A">
              <w:rPr>
                <w:rFonts w:ascii="Arial" w:hAnsi="Arial"/>
                <w:color w:val="000000"/>
                <w:sz w:val="17"/>
                <w:szCs w:val="17"/>
                <w:lang w:eastAsia="en-AU"/>
              </w:rPr>
              <w:t>0.5 m or lower</w:t>
            </w:r>
          </w:p>
        </w:tc>
        <w:tc>
          <w:tcPr>
            <w:tcW w:w="647" w:type="pct"/>
            <w:tcBorders>
              <w:left w:val="nil"/>
              <w:bottom w:val="single" w:sz="4" w:space="0" w:color="auto"/>
              <w:right w:val="nil"/>
            </w:tcBorders>
          </w:tcPr>
          <w:p w14:paraId="3C9B918C" w14:textId="7B7EB0B4" w:rsidR="000B793A" w:rsidRPr="0085429A" w:rsidRDefault="000B793A" w:rsidP="000B793A">
            <w:pPr>
              <w:pStyle w:val="TableHead"/>
              <w:jc w:val="right"/>
              <w:rPr>
                <w:rFonts w:ascii="Arial" w:hAnsi="Arial"/>
                <w:color w:val="000000"/>
                <w:sz w:val="17"/>
                <w:szCs w:val="17"/>
                <w:lang w:eastAsia="en-AU"/>
              </w:rPr>
            </w:pPr>
            <w:r w:rsidRPr="0085429A">
              <w:rPr>
                <w:rFonts w:ascii="Arial" w:hAnsi="Arial"/>
                <w:color w:val="000000"/>
                <w:sz w:val="17"/>
                <w:szCs w:val="17"/>
                <w:lang w:eastAsia="en-AU"/>
              </w:rPr>
              <w:t>1</w:t>
            </w:r>
            <w:r w:rsidR="00412A70" w:rsidRPr="0085429A">
              <w:rPr>
                <w:rFonts w:ascii="Arial" w:hAnsi="Arial"/>
                <w:color w:val="000000"/>
                <w:sz w:val="17"/>
                <w:szCs w:val="17"/>
                <w:lang w:eastAsia="en-AU"/>
              </w:rPr>
              <w:t>10</w:t>
            </w:r>
          </w:p>
        </w:tc>
        <w:tc>
          <w:tcPr>
            <w:tcW w:w="503" w:type="pct"/>
            <w:tcBorders>
              <w:top w:val="single" w:sz="4" w:space="0" w:color="auto"/>
              <w:left w:val="nil"/>
              <w:bottom w:val="single" w:sz="4" w:space="0" w:color="auto"/>
              <w:right w:val="nil"/>
            </w:tcBorders>
            <w:vAlign w:val="bottom"/>
          </w:tcPr>
          <w:p w14:paraId="372B6DD8" w14:textId="459AD6F9" w:rsidR="000B793A" w:rsidRPr="0085429A" w:rsidRDefault="000B793A" w:rsidP="000B793A">
            <w:pPr>
              <w:pStyle w:val="TableHead"/>
              <w:jc w:val="right"/>
              <w:rPr>
                <w:rFonts w:ascii="Arial" w:hAnsi="Arial"/>
                <w:color w:val="000000"/>
                <w:sz w:val="17"/>
                <w:szCs w:val="17"/>
                <w:lang w:eastAsia="en-AU"/>
              </w:rPr>
            </w:pPr>
            <w:r w:rsidRPr="0085429A">
              <w:rPr>
                <w:rFonts w:ascii="Arial" w:hAnsi="Arial"/>
                <w:color w:val="000000"/>
                <w:sz w:val="17"/>
                <w:szCs w:val="17"/>
              </w:rPr>
              <w:t xml:space="preserve">275 </w:t>
            </w:r>
          </w:p>
        </w:tc>
        <w:tc>
          <w:tcPr>
            <w:tcW w:w="574" w:type="pct"/>
            <w:tcBorders>
              <w:left w:val="nil"/>
              <w:bottom w:val="single" w:sz="4" w:space="0" w:color="auto"/>
              <w:right w:val="nil"/>
            </w:tcBorders>
          </w:tcPr>
          <w:p w14:paraId="1821C3F9" w14:textId="3C2F672C" w:rsidR="000B793A" w:rsidRPr="0085429A" w:rsidRDefault="000B793A" w:rsidP="000B793A">
            <w:pPr>
              <w:pStyle w:val="TableHead"/>
              <w:jc w:val="right"/>
              <w:rPr>
                <w:rFonts w:ascii="Arial" w:hAnsi="Arial"/>
                <w:color w:val="000000"/>
                <w:sz w:val="17"/>
                <w:szCs w:val="17"/>
                <w:lang w:eastAsia="en-AU"/>
              </w:rPr>
            </w:pPr>
            <w:r w:rsidRPr="0085429A">
              <w:rPr>
                <w:rFonts w:ascii="Arial" w:hAnsi="Arial"/>
                <w:color w:val="000000"/>
                <w:sz w:val="17"/>
                <w:szCs w:val="17"/>
                <w:lang w:eastAsia="en-AU"/>
              </w:rPr>
              <w:t>0</w:t>
            </w:r>
          </w:p>
        </w:tc>
        <w:tc>
          <w:tcPr>
            <w:tcW w:w="575" w:type="pct"/>
            <w:tcBorders>
              <w:top w:val="single" w:sz="4" w:space="0" w:color="auto"/>
              <w:left w:val="nil"/>
              <w:bottom w:val="single" w:sz="4" w:space="0" w:color="auto"/>
              <w:right w:val="nil"/>
            </w:tcBorders>
            <w:vAlign w:val="bottom"/>
          </w:tcPr>
          <w:p w14:paraId="6267EC64" w14:textId="1055E642" w:rsidR="000B793A" w:rsidRPr="0085429A" w:rsidRDefault="000B793A" w:rsidP="000B793A">
            <w:pPr>
              <w:pStyle w:val="TableHead"/>
              <w:jc w:val="right"/>
              <w:rPr>
                <w:rFonts w:ascii="Arial" w:hAnsi="Arial"/>
                <w:color w:val="000000"/>
                <w:sz w:val="17"/>
                <w:szCs w:val="17"/>
                <w:lang w:eastAsia="en-AU"/>
              </w:rPr>
            </w:pPr>
            <w:r w:rsidRPr="0085429A">
              <w:rPr>
                <w:rFonts w:ascii="Arial" w:hAnsi="Arial"/>
                <w:color w:val="000000"/>
                <w:sz w:val="17"/>
                <w:szCs w:val="17"/>
              </w:rPr>
              <w:t xml:space="preserve">35 </w:t>
            </w:r>
          </w:p>
        </w:tc>
        <w:tc>
          <w:tcPr>
            <w:tcW w:w="560" w:type="pct"/>
            <w:tcBorders>
              <w:left w:val="nil"/>
              <w:bottom w:val="single" w:sz="4" w:space="0" w:color="auto"/>
            </w:tcBorders>
          </w:tcPr>
          <w:p w14:paraId="47E4965D" w14:textId="3D8CE7FF" w:rsidR="000B793A" w:rsidRPr="0085429A" w:rsidRDefault="000B793A" w:rsidP="000B793A">
            <w:pPr>
              <w:pStyle w:val="TableHead"/>
              <w:jc w:val="right"/>
              <w:rPr>
                <w:rFonts w:ascii="Arial" w:hAnsi="Arial"/>
                <w:color w:val="000000"/>
                <w:sz w:val="17"/>
                <w:szCs w:val="17"/>
                <w:lang w:eastAsia="en-AU"/>
              </w:rPr>
            </w:pPr>
            <w:r w:rsidRPr="0085429A">
              <w:rPr>
                <w:rFonts w:ascii="Arial" w:hAnsi="Arial"/>
                <w:color w:val="000000"/>
                <w:sz w:val="17"/>
                <w:szCs w:val="17"/>
                <w:lang w:eastAsia="en-AU"/>
              </w:rPr>
              <w:t>0</w:t>
            </w:r>
          </w:p>
        </w:tc>
      </w:tr>
      <w:tr w:rsidR="000B793A" w:rsidRPr="00883134" w14:paraId="6EFC7377" w14:textId="77777777" w:rsidTr="000B793A">
        <w:trPr>
          <w:trHeight w:val="300"/>
        </w:trPr>
        <w:tc>
          <w:tcPr>
            <w:tcW w:w="945" w:type="pct"/>
            <w:vMerge/>
            <w:tcBorders>
              <w:right w:val="nil"/>
            </w:tcBorders>
            <w:vAlign w:val="center"/>
          </w:tcPr>
          <w:p w14:paraId="45E03A4D" w14:textId="1F01AA58" w:rsidR="000B793A" w:rsidRPr="0085429A" w:rsidRDefault="000B793A" w:rsidP="0085429A">
            <w:pPr>
              <w:pStyle w:val="TableText"/>
              <w:keepNext/>
              <w:keepLines/>
              <w:rPr>
                <w:color w:val="000000"/>
                <w:szCs w:val="17"/>
                <w:lang w:eastAsia="en-AU"/>
              </w:rPr>
            </w:pPr>
          </w:p>
        </w:tc>
        <w:tc>
          <w:tcPr>
            <w:tcW w:w="1196" w:type="pct"/>
            <w:tcBorders>
              <w:top w:val="single" w:sz="4" w:space="0" w:color="auto"/>
              <w:left w:val="nil"/>
              <w:right w:val="nil"/>
            </w:tcBorders>
            <w:vAlign w:val="center"/>
          </w:tcPr>
          <w:p w14:paraId="46296B06" w14:textId="5E6A6B16" w:rsidR="000B793A" w:rsidRPr="0085429A" w:rsidRDefault="000B793A" w:rsidP="0085429A">
            <w:pPr>
              <w:pStyle w:val="TableText"/>
              <w:keepNext/>
              <w:keepLines/>
              <w:rPr>
                <w:color w:val="000000"/>
                <w:szCs w:val="17"/>
              </w:rPr>
            </w:pPr>
            <w:r w:rsidRPr="0085429A">
              <w:rPr>
                <w:color w:val="000000"/>
                <w:szCs w:val="17"/>
              </w:rPr>
              <w:t>1.0 m or lower</w:t>
            </w:r>
          </w:p>
        </w:tc>
        <w:tc>
          <w:tcPr>
            <w:tcW w:w="2859" w:type="pct"/>
            <w:gridSpan w:val="5"/>
            <w:tcBorders>
              <w:top w:val="single" w:sz="4" w:space="0" w:color="auto"/>
              <w:left w:val="nil"/>
              <w:bottom w:val="single" w:sz="4" w:space="0" w:color="auto"/>
            </w:tcBorders>
          </w:tcPr>
          <w:p w14:paraId="6E1D240A" w14:textId="094EEF14" w:rsidR="000B793A" w:rsidRPr="0085429A" w:rsidRDefault="000B793A" w:rsidP="0085429A">
            <w:pPr>
              <w:pStyle w:val="TableText"/>
              <w:jc w:val="center"/>
              <w:rPr>
                <w:color w:val="000000"/>
                <w:szCs w:val="17"/>
              </w:rPr>
            </w:pPr>
            <w:r w:rsidRPr="0085429A">
              <w:rPr>
                <w:color w:val="000000"/>
                <w:szCs w:val="17"/>
              </w:rPr>
              <w:t>Not supported</w:t>
            </w:r>
          </w:p>
        </w:tc>
      </w:tr>
      <w:tr w:rsidR="000B793A" w:rsidRPr="00883134" w14:paraId="3AF63784" w14:textId="77777777" w:rsidTr="0085429A">
        <w:trPr>
          <w:trHeight w:val="300"/>
        </w:trPr>
        <w:tc>
          <w:tcPr>
            <w:tcW w:w="945" w:type="pct"/>
            <w:vMerge w:val="restart"/>
            <w:tcBorders>
              <w:right w:val="nil"/>
            </w:tcBorders>
            <w:vAlign w:val="center"/>
          </w:tcPr>
          <w:p w14:paraId="6B7A8086" w14:textId="4A5F1AC3" w:rsidR="000B793A" w:rsidRPr="0085429A" w:rsidRDefault="000B793A" w:rsidP="0085429A">
            <w:pPr>
              <w:pStyle w:val="TableText"/>
              <w:keepNext/>
              <w:keepLines/>
              <w:rPr>
                <w:color w:val="000000"/>
                <w:szCs w:val="17"/>
                <w:lang w:eastAsia="en-AU"/>
              </w:rPr>
            </w:pPr>
            <w:r w:rsidRPr="0085429A">
              <w:rPr>
                <w:color w:val="000000"/>
                <w:szCs w:val="17"/>
                <w:lang w:eastAsia="en-AU"/>
              </w:rPr>
              <w:t>1 kg ac/ha or lower</w:t>
            </w:r>
          </w:p>
        </w:tc>
        <w:tc>
          <w:tcPr>
            <w:tcW w:w="1196" w:type="pct"/>
            <w:tcBorders>
              <w:top w:val="single" w:sz="4" w:space="0" w:color="auto"/>
              <w:left w:val="nil"/>
              <w:right w:val="nil"/>
            </w:tcBorders>
            <w:vAlign w:val="center"/>
          </w:tcPr>
          <w:p w14:paraId="55A176E9" w14:textId="32D1CF63" w:rsidR="000B793A" w:rsidRPr="0085429A" w:rsidRDefault="000B793A" w:rsidP="0085429A">
            <w:pPr>
              <w:pStyle w:val="TableText"/>
              <w:keepNext/>
              <w:keepLines/>
              <w:rPr>
                <w:color w:val="000000"/>
                <w:szCs w:val="17"/>
              </w:rPr>
            </w:pPr>
            <w:r w:rsidRPr="0085429A">
              <w:rPr>
                <w:color w:val="000000"/>
                <w:szCs w:val="17"/>
                <w:lang w:eastAsia="en-AU"/>
              </w:rPr>
              <w:t>0.5 m or lower</w:t>
            </w:r>
          </w:p>
        </w:tc>
        <w:tc>
          <w:tcPr>
            <w:tcW w:w="647" w:type="pct"/>
            <w:tcBorders>
              <w:top w:val="single" w:sz="4" w:space="0" w:color="auto"/>
              <w:left w:val="nil"/>
              <w:bottom w:val="single" w:sz="4" w:space="0" w:color="auto"/>
              <w:right w:val="nil"/>
            </w:tcBorders>
          </w:tcPr>
          <w:p w14:paraId="2E5BA795" w14:textId="72ABE57F" w:rsidR="000B793A" w:rsidRPr="0085429A" w:rsidRDefault="000B793A" w:rsidP="000B793A">
            <w:pPr>
              <w:pStyle w:val="TableText"/>
              <w:jc w:val="right"/>
              <w:rPr>
                <w:color w:val="000000"/>
                <w:szCs w:val="17"/>
              </w:rPr>
            </w:pPr>
            <w:r w:rsidRPr="0085429A">
              <w:rPr>
                <w:color w:val="000000"/>
                <w:szCs w:val="17"/>
              </w:rPr>
              <w:t>50</w:t>
            </w:r>
          </w:p>
        </w:tc>
        <w:tc>
          <w:tcPr>
            <w:tcW w:w="503" w:type="pct"/>
            <w:tcBorders>
              <w:top w:val="single" w:sz="4" w:space="0" w:color="auto"/>
              <w:left w:val="nil"/>
              <w:bottom w:val="single" w:sz="4" w:space="0" w:color="auto"/>
              <w:right w:val="nil"/>
            </w:tcBorders>
            <w:vAlign w:val="bottom"/>
          </w:tcPr>
          <w:p w14:paraId="0D38B7EE" w14:textId="6BAC7D6F" w:rsidR="000B793A" w:rsidRPr="0085429A" w:rsidRDefault="000B793A" w:rsidP="000B793A">
            <w:pPr>
              <w:pStyle w:val="TableText"/>
              <w:jc w:val="right"/>
              <w:rPr>
                <w:color w:val="000000"/>
                <w:szCs w:val="17"/>
              </w:rPr>
            </w:pPr>
            <w:r w:rsidRPr="0085429A">
              <w:rPr>
                <w:color w:val="000000"/>
                <w:szCs w:val="17"/>
              </w:rPr>
              <w:t xml:space="preserve">110 </w:t>
            </w:r>
          </w:p>
        </w:tc>
        <w:tc>
          <w:tcPr>
            <w:tcW w:w="574" w:type="pct"/>
            <w:tcBorders>
              <w:top w:val="single" w:sz="4" w:space="0" w:color="auto"/>
              <w:left w:val="nil"/>
              <w:bottom w:val="single" w:sz="4" w:space="0" w:color="auto"/>
              <w:right w:val="nil"/>
            </w:tcBorders>
          </w:tcPr>
          <w:p w14:paraId="53F4CCCC" w14:textId="695C00B3" w:rsidR="000B793A" w:rsidRPr="0085429A" w:rsidRDefault="000B793A" w:rsidP="000B793A">
            <w:pPr>
              <w:pStyle w:val="TableText"/>
              <w:jc w:val="right"/>
              <w:rPr>
                <w:color w:val="000000"/>
                <w:szCs w:val="17"/>
              </w:rPr>
            </w:pPr>
            <w:r w:rsidRPr="0085429A">
              <w:rPr>
                <w:color w:val="000000"/>
                <w:szCs w:val="17"/>
              </w:rPr>
              <w:t>0</w:t>
            </w:r>
          </w:p>
        </w:tc>
        <w:tc>
          <w:tcPr>
            <w:tcW w:w="575" w:type="pct"/>
            <w:tcBorders>
              <w:top w:val="single" w:sz="4" w:space="0" w:color="auto"/>
              <w:left w:val="nil"/>
              <w:bottom w:val="single" w:sz="4" w:space="0" w:color="auto"/>
              <w:right w:val="nil"/>
            </w:tcBorders>
            <w:vAlign w:val="bottom"/>
          </w:tcPr>
          <w:p w14:paraId="716195CF" w14:textId="1B2389E4" w:rsidR="000B793A" w:rsidRPr="0085429A" w:rsidRDefault="000B793A" w:rsidP="000B793A">
            <w:pPr>
              <w:pStyle w:val="TableText"/>
              <w:jc w:val="right"/>
              <w:rPr>
                <w:color w:val="000000"/>
                <w:szCs w:val="17"/>
              </w:rPr>
            </w:pPr>
            <w:r w:rsidRPr="0085429A">
              <w:rPr>
                <w:color w:val="000000"/>
                <w:szCs w:val="17"/>
              </w:rPr>
              <w:t xml:space="preserve">20 </w:t>
            </w:r>
          </w:p>
        </w:tc>
        <w:tc>
          <w:tcPr>
            <w:tcW w:w="560" w:type="pct"/>
            <w:tcBorders>
              <w:top w:val="single" w:sz="4" w:space="0" w:color="auto"/>
              <w:left w:val="nil"/>
              <w:bottom w:val="single" w:sz="4" w:space="0" w:color="auto"/>
            </w:tcBorders>
          </w:tcPr>
          <w:p w14:paraId="47BD0F06" w14:textId="7CFB5B14" w:rsidR="000B793A" w:rsidRPr="0085429A" w:rsidRDefault="000B793A" w:rsidP="000B793A">
            <w:pPr>
              <w:pStyle w:val="TableText"/>
              <w:jc w:val="right"/>
              <w:rPr>
                <w:color w:val="000000"/>
                <w:szCs w:val="17"/>
              </w:rPr>
            </w:pPr>
            <w:r w:rsidRPr="0085429A">
              <w:rPr>
                <w:color w:val="000000"/>
                <w:szCs w:val="17"/>
              </w:rPr>
              <w:t>0</w:t>
            </w:r>
          </w:p>
        </w:tc>
      </w:tr>
      <w:tr w:rsidR="000B793A" w:rsidRPr="00883134" w14:paraId="74A3F866" w14:textId="77777777" w:rsidTr="0085429A">
        <w:trPr>
          <w:trHeight w:val="300"/>
        </w:trPr>
        <w:tc>
          <w:tcPr>
            <w:tcW w:w="945" w:type="pct"/>
            <w:vMerge/>
            <w:tcBorders>
              <w:right w:val="nil"/>
            </w:tcBorders>
            <w:vAlign w:val="center"/>
          </w:tcPr>
          <w:p w14:paraId="7003C5E1" w14:textId="19F0EA74" w:rsidR="000B793A" w:rsidRPr="0085429A" w:rsidRDefault="000B793A" w:rsidP="0085429A">
            <w:pPr>
              <w:pStyle w:val="TableText"/>
              <w:keepNext/>
              <w:keepLines/>
              <w:rPr>
                <w:color w:val="000000"/>
                <w:szCs w:val="17"/>
                <w:lang w:eastAsia="en-AU"/>
              </w:rPr>
            </w:pPr>
          </w:p>
        </w:tc>
        <w:tc>
          <w:tcPr>
            <w:tcW w:w="1196" w:type="pct"/>
            <w:tcBorders>
              <w:top w:val="single" w:sz="4" w:space="0" w:color="auto"/>
              <w:left w:val="nil"/>
              <w:right w:val="nil"/>
            </w:tcBorders>
            <w:vAlign w:val="center"/>
          </w:tcPr>
          <w:p w14:paraId="5BCB3382" w14:textId="6D1AC242" w:rsidR="000B793A" w:rsidRPr="0085429A" w:rsidRDefault="000B793A" w:rsidP="0085429A">
            <w:pPr>
              <w:pStyle w:val="TableText"/>
              <w:keepNext/>
              <w:keepLines/>
              <w:rPr>
                <w:color w:val="000000"/>
                <w:szCs w:val="17"/>
              </w:rPr>
            </w:pPr>
            <w:r w:rsidRPr="0085429A">
              <w:rPr>
                <w:color w:val="000000"/>
                <w:szCs w:val="17"/>
              </w:rPr>
              <w:t>1.0 m or lower</w:t>
            </w:r>
          </w:p>
        </w:tc>
        <w:tc>
          <w:tcPr>
            <w:tcW w:w="647" w:type="pct"/>
            <w:tcBorders>
              <w:top w:val="single" w:sz="4" w:space="0" w:color="auto"/>
              <w:left w:val="nil"/>
              <w:bottom w:val="single" w:sz="4" w:space="0" w:color="auto"/>
              <w:right w:val="nil"/>
            </w:tcBorders>
          </w:tcPr>
          <w:p w14:paraId="1D83FC4A" w14:textId="2FBF4D77" w:rsidR="000B793A" w:rsidRPr="0085429A" w:rsidRDefault="000B793A" w:rsidP="000B793A">
            <w:pPr>
              <w:pStyle w:val="TableText"/>
              <w:jc w:val="right"/>
              <w:rPr>
                <w:color w:val="000000"/>
                <w:szCs w:val="17"/>
              </w:rPr>
            </w:pPr>
            <w:r w:rsidRPr="0085429A">
              <w:rPr>
                <w:color w:val="000000"/>
                <w:szCs w:val="17"/>
              </w:rPr>
              <w:t>160</w:t>
            </w:r>
          </w:p>
        </w:tc>
        <w:tc>
          <w:tcPr>
            <w:tcW w:w="503" w:type="pct"/>
            <w:tcBorders>
              <w:top w:val="single" w:sz="4" w:space="0" w:color="auto"/>
              <w:left w:val="nil"/>
              <w:bottom w:val="single" w:sz="4" w:space="0" w:color="auto"/>
              <w:right w:val="nil"/>
            </w:tcBorders>
            <w:vAlign w:val="bottom"/>
          </w:tcPr>
          <w:p w14:paraId="6B72523C" w14:textId="7D01D5E4" w:rsidR="000B793A" w:rsidRPr="0085429A" w:rsidRDefault="000B793A" w:rsidP="000B793A">
            <w:pPr>
              <w:pStyle w:val="TableText"/>
              <w:jc w:val="right"/>
              <w:rPr>
                <w:color w:val="000000"/>
                <w:szCs w:val="17"/>
              </w:rPr>
            </w:pPr>
            <w:r w:rsidRPr="0085429A">
              <w:rPr>
                <w:color w:val="000000"/>
                <w:szCs w:val="17"/>
              </w:rPr>
              <w:t xml:space="preserve">350 </w:t>
            </w:r>
          </w:p>
        </w:tc>
        <w:tc>
          <w:tcPr>
            <w:tcW w:w="574" w:type="pct"/>
            <w:tcBorders>
              <w:top w:val="single" w:sz="4" w:space="0" w:color="auto"/>
              <w:left w:val="nil"/>
              <w:bottom w:val="single" w:sz="4" w:space="0" w:color="auto"/>
              <w:right w:val="nil"/>
            </w:tcBorders>
          </w:tcPr>
          <w:p w14:paraId="1BC9C036" w14:textId="2DE6A945" w:rsidR="000B793A" w:rsidRPr="0085429A" w:rsidRDefault="000B793A" w:rsidP="000B793A">
            <w:pPr>
              <w:pStyle w:val="TableText"/>
              <w:jc w:val="right"/>
              <w:rPr>
                <w:color w:val="000000"/>
                <w:szCs w:val="17"/>
              </w:rPr>
            </w:pPr>
            <w:r w:rsidRPr="0085429A">
              <w:rPr>
                <w:color w:val="000000"/>
                <w:szCs w:val="17"/>
              </w:rPr>
              <w:t>0</w:t>
            </w:r>
          </w:p>
        </w:tc>
        <w:tc>
          <w:tcPr>
            <w:tcW w:w="575" w:type="pct"/>
            <w:tcBorders>
              <w:top w:val="single" w:sz="4" w:space="0" w:color="auto"/>
              <w:left w:val="nil"/>
              <w:bottom w:val="single" w:sz="4" w:space="0" w:color="auto"/>
              <w:right w:val="nil"/>
            </w:tcBorders>
            <w:vAlign w:val="bottom"/>
          </w:tcPr>
          <w:p w14:paraId="25DF8733" w14:textId="350A1762" w:rsidR="000B793A" w:rsidRPr="0085429A" w:rsidRDefault="000B793A" w:rsidP="000B793A">
            <w:pPr>
              <w:pStyle w:val="TableText"/>
              <w:jc w:val="right"/>
              <w:rPr>
                <w:color w:val="000000"/>
                <w:szCs w:val="17"/>
              </w:rPr>
            </w:pPr>
            <w:r w:rsidRPr="0085429A">
              <w:rPr>
                <w:color w:val="000000"/>
                <w:szCs w:val="17"/>
              </w:rPr>
              <w:t xml:space="preserve">60 </w:t>
            </w:r>
          </w:p>
        </w:tc>
        <w:tc>
          <w:tcPr>
            <w:tcW w:w="560" w:type="pct"/>
            <w:tcBorders>
              <w:top w:val="single" w:sz="4" w:space="0" w:color="auto"/>
              <w:left w:val="nil"/>
              <w:bottom w:val="single" w:sz="4" w:space="0" w:color="auto"/>
            </w:tcBorders>
          </w:tcPr>
          <w:p w14:paraId="0B52701E" w14:textId="5A8C484A" w:rsidR="000B793A" w:rsidRPr="0085429A" w:rsidRDefault="000B793A" w:rsidP="000B793A">
            <w:pPr>
              <w:pStyle w:val="TableText"/>
              <w:jc w:val="right"/>
              <w:rPr>
                <w:color w:val="000000"/>
                <w:szCs w:val="17"/>
              </w:rPr>
            </w:pPr>
            <w:r w:rsidRPr="0085429A">
              <w:rPr>
                <w:color w:val="000000"/>
                <w:szCs w:val="17"/>
              </w:rPr>
              <w:t>0</w:t>
            </w:r>
          </w:p>
        </w:tc>
      </w:tr>
      <w:tr w:rsidR="004C1FCD" w:rsidRPr="00883134" w14:paraId="1D3FD3C9" w14:textId="77777777" w:rsidTr="00A57916">
        <w:trPr>
          <w:trHeight w:val="300"/>
        </w:trPr>
        <w:tc>
          <w:tcPr>
            <w:tcW w:w="945" w:type="pct"/>
            <w:vMerge w:val="restart"/>
            <w:tcBorders>
              <w:right w:val="nil"/>
            </w:tcBorders>
            <w:vAlign w:val="center"/>
          </w:tcPr>
          <w:p w14:paraId="671CD877" w14:textId="0DA4D449" w:rsidR="004C1FCD" w:rsidRPr="0085429A" w:rsidRDefault="004C1FCD" w:rsidP="004C1FCD">
            <w:pPr>
              <w:pStyle w:val="TableText"/>
              <w:keepNext/>
              <w:keepLines/>
              <w:rPr>
                <w:color w:val="000000"/>
                <w:szCs w:val="17"/>
                <w:lang w:eastAsia="en-AU"/>
              </w:rPr>
            </w:pPr>
            <w:r>
              <w:rPr>
                <w:color w:val="000000"/>
                <w:szCs w:val="17"/>
                <w:lang w:eastAsia="en-AU"/>
              </w:rPr>
              <w:t>800 g ac/ha or lower</w:t>
            </w:r>
          </w:p>
        </w:tc>
        <w:tc>
          <w:tcPr>
            <w:tcW w:w="1196" w:type="pct"/>
            <w:tcBorders>
              <w:left w:val="nil"/>
              <w:right w:val="nil"/>
            </w:tcBorders>
          </w:tcPr>
          <w:p w14:paraId="58A92C2A" w14:textId="1D4A2EAA" w:rsidR="004C1FCD" w:rsidRPr="0085429A" w:rsidRDefault="004C1FCD" w:rsidP="004C1FCD">
            <w:pPr>
              <w:pStyle w:val="TableText"/>
              <w:keepNext/>
              <w:keepLines/>
              <w:rPr>
                <w:color w:val="000000"/>
                <w:szCs w:val="17"/>
              </w:rPr>
            </w:pPr>
            <w:r w:rsidRPr="0085429A">
              <w:rPr>
                <w:color w:val="000000"/>
                <w:szCs w:val="17"/>
                <w:lang w:eastAsia="en-AU"/>
              </w:rPr>
              <w:t>0.5 m or lower</w:t>
            </w:r>
          </w:p>
        </w:tc>
        <w:tc>
          <w:tcPr>
            <w:tcW w:w="647" w:type="pct"/>
            <w:tcBorders>
              <w:top w:val="single" w:sz="4" w:space="0" w:color="auto"/>
              <w:left w:val="nil"/>
              <w:bottom w:val="single" w:sz="4" w:space="0" w:color="auto"/>
              <w:right w:val="nil"/>
            </w:tcBorders>
          </w:tcPr>
          <w:p w14:paraId="6D10266A" w14:textId="06E0435D" w:rsidR="004C1FCD" w:rsidRPr="0085429A" w:rsidRDefault="004C1FCD" w:rsidP="004C1FCD">
            <w:pPr>
              <w:pStyle w:val="TableText"/>
              <w:jc w:val="right"/>
              <w:rPr>
                <w:color w:val="000000"/>
                <w:szCs w:val="17"/>
              </w:rPr>
            </w:pPr>
            <w:r w:rsidRPr="001C6D20">
              <w:t xml:space="preserve">40 </w:t>
            </w:r>
          </w:p>
        </w:tc>
        <w:tc>
          <w:tcPr>
            <w:tcW w:w="503" w:type="pct"/>
            <w:tcBorders>
              <w:top w:val="single" w:sz="4" w:space="0" w:color="auto"/>
              <w:left w:val="nil"/>
              <w:bottom w:val="single" w:sz="4" w:space="0" w:color="auto"/>
              <w:right w:val="nil"/>
            </w:tcBorders>
          </w:tcPr>
          <w:p w14:paraId="1F9EA493" w14:textId="45239B70" w:rsidR="004C1FCD" w:rsidRPr="0085429A" w:rsidRDefault="004C1FCD" w:rsidP="004C1FCD">
            <w:pPr>
              <w:pStyle w:val="TableText"/>
              <w:jc w:val="right"/>
              <w:rPr>
                <w:color w:val="000000"/>
                <w:szCs w:val="17"/>
              </w:rPr>
            </w:pPr>
            <w:r w:rsidRPr="00036C40">
              <w:t xml:space="preserve">85 </w:t>
            </w:r>
          </w:p>
        </w:tc>
        <w:tc>
          <w:tcPr>
            <w:tcW w:w="574" w:type="pct"/>
            <w:tcBorders>
              <w:top w:val="single" w:sz="4" w:space="0" w:color="auto"/>
              <w:left w:val="nil"/>
              <w:bottom w:val="single" w:sz="4" w:space="0" w:color="auto"/>
              <w:right w:val="nil"/>
            </w:tcBorders>
          </w:tcPr>
          <w:p w14:paraId="241C5CD1" w14:textId="69149263" w:rsidR="004C1FCD" w:rsidRPr="0085429A" w:rsidRDefault="004C1FCD" w:rsidP="004C1FCD">
            <w:pPr>
              <w:pStyle w:val="TableText"/>
              <w:jc w:val="right"/>
              <w:rPr>
                <w:color w:val="000000"/>
                <w:szCs w:val="17"/>
              </w:rPr>
            </w:pPr>
            <w:r>
              <w:rPr>
                <w:color w:val="000000"/>
                <w:szCs w:val="17"/>
              </w:rPr>
              <w:t>0</w:t>
            </w:r>
          </w:p>
        </w:tc>
        <w:tc>
          <w:tcPr>
            <w:tcW w:w="575" w:type="pct"/>
            <w:tcBorders>
              <w:top w:val="single" w:sz="4" w:space="0" w:color="auto"/>
              <w:left w:val="nil"/>
              <w:bottom w:val="single" w:sz="4" w:space="0" w:color="auto"/>
              <w:right w:val="nil"/>
            </w:tcBorders>
          </w:tcPr>
          <w:p w14:paraId="6F21875A" w14:textId="0E16A3FF" w:rsidR="004C1FCD" w:rsidRPr="0085429A" w:rsidRDefault="004C1FCD" w:rsidP="004C1FCD">
            <w:pPr>
              <w:pStyle w:val="TableText"/>
              <w:jc w:val="right"/>
              <w:rPr>
                <w:color w:val="000000"/>
                <w:szCs w:val="17"/>
              </w:rPr>
            </w:pPr>
            <w:r w:rsidRPr="00184AF5">
              <w:t xml:space="preserve">20 </w:t>
            </w:r>
          </w:p>
        </w:tc>
        <w:tc>
          <w:tcPr>
            <w:tcW w:w="560" w:type="pct"/>
            <w:tcBorders>
              <w:top w:val="single" w:sz="4" w:space="0" w:color="auto"/>
              <w:left w:val="nil"/>
              <w:bottom w:val="single" w:sz="4" w:space="0" w:color="auto"/>
            </w:tcBorders>
          </w:tcPr>
          <w:p w14:paraId="74528832" w14:textId="2DA5D228" w:rsidR="004C1FCD" w:rsidRPr="0085429A" w:rsidRDefault="004C1FCD" w:rsidP="004C1FCD">
            <w:pPr>
              <w:pStyle w:val="TableText"/>
              <w:jc w:val="right"/>
              <w:rPr>
                <w:color w:val="000000"/>
                <w:szCs w:val="17"/>
              </w:rPr>
            </w:pPr>
            <w:r>
              <w:rPr>
                <w:color w:val="000000"/>
                <w:szCs w:val="17"/>
              </w:rPr>
              <w:t>0</w:t>
            </w:r>
          </w:p>
        </w:tc>
      </w:tr>
      <w:tr w:rsidR="004C1FCD" w:rsidRPr="00883134" w14:paraId="142087A1" w14:textId="77777777" w:rsidTr="00A57916">
        <w:trPr>
          <w:trHeight w:val="300"/>
        </w:trPr>
        <w:tc>
          <w:tcPr>
            <w:tcW w:w="945" w:type="pct"/>
            <w:vMerge/>
            <w:tcBorders>
              <w:right w:val="nil"/>
            </w:tcBorders>
            <w:vAlign w:val="center"/>
          </w:tcPr>
          <w:p w14:paraId="381962E4" w14:textId="77777777" w:rsidR="004C1FCD" w:rsidRPr="0085429A" w:rsidRDefault="004C1FCD" w:rsidP="004C1FCD">
            <w:pPr>
              <w:pStyle w:val="TableText"/>
              <w:keepNext/>
              <w:keepLines/>
              <w:rPr>
                <w:color w:val="000000"/>
                <w:szCs w:val="17"/>
                <w:lang w:eastAsia="en-AU"/>
              </w:rPr>
            </w:pPr>
          </w:p>
        </w:tc>
        <w:tc>
          <w:tcPr>
            <w:tcW w:w="1196" w:type="pct"/>
            <w:tcBorders>
              <w:top w:val="single" w:sz="4" w:space="0" w:color="auto"/>
              <w:left w:val="nil"/>
              <w:right w:val="nil"/>
            </w:tcBorders>
            <w:vAlign w:val="center"/>
          </w:tcPr>
          <w:p w14:paraId="40F3A6C2" w14:textId="41ECE748" w:rsidR="004C1FCD" w:rsidRPr="0085429A" w:rsidRDefault="004C1FCD" w:rsidP="004C1FCD">
            <w:pPr>
              <w:pStyle w:val="TableText"/>
              <w:keepNext/>
              <w:keepLines/>
              <w:rPr>
                <w:color w:val="000000"/>
                <w:szCs w:val="17"/>
              </w:rPr>
            </w:pPr>
            <w:r w:rsidRPr="0085429A">
              <w:rPr>
                <w:color w:val="000000"/>
                <w:szCs w:val="17"/>
              </w:rPr>
              <w:t>1.0 m or lower</w:t>
            </w:r>
          </w:p>
        </w:tc>
        <w:tc>
          <w:tcPr>
            <w:tcW w:w="647" w:type="pct"/>
            <w:tcBorders>
              <w:top w:val="single" w:sz="4" w:space="0" w:color="auto"/>
              <w:left w:val="nil"/>
              <w:bottom w:val="single" w:sz="4" w:space="0" w:color="auto"/>
              <w:right w:val="nil"/>
            </w:tcBorders>
          </w:tcPr>
          <w:p w14:paraId="5E5149D3" w14:textId="6484EF65" w:rsidR="004C1FCD" w:rsidRPr="0085429A" w:rsidRDefault="004C1FCD" w:rsidP="004C1FCD">
            <w:pPr>
              <w:pStyle w:val="TableText"/>
              <w:jc w:val="right"/>
              <w:rPr>
                <w:color w:val="000000"/>
                <w:szCs w:val="17"/>
              </w:rPr>
            </w:pPr>
            <w:r w:rsidRPr="001C6D20">
              <w:t xml:space="preserve">130 </w:t>
            </w:r>
          </w:p>
        </w:tc>
        <w:tc>
          <w:tcPr>
            <w:tcW w:w="503" w:type="pct"/>
            <w:tcBorders>
              <w:top w:val="single" w:sz="4" w:space="0" w:color="auto"/>
              <w:left w:val="nil"/>
              <w:bottom w:val="single" w:sz="4" w:space="0" w:color="auto"/>
              <w:right w:val="nil"/>
            </w:tcBorders>
          </w:tcPr>
          <w:p w14:paraId="6F8A0C53" w14:textId="020EDFD9" w:rsidR="004C1FCD" w:rsidRPr="0085429A" w:rsidRDefault="004C1FCD" w:rsidP="004C1FCD">
            <w:pPr>
              <w:pStyle w:val="TableText"/>
              <w:jc w:val="right"/>
              <w:rPr>
                <w:color w:val="000000"/>
                <w:szCs w:val="17"/>
              </w:rPr>
            </w:pPr>
            <w:r w:rsidRPr="00036C40">
              <w:t xml:space="preserve">250 </w:t>
            </w:r>
          </w:p>
        </w:tc>
        <w:tc>
          <w:tcPr>
            <w:tcW w:w="574" w:type="pct"/>
            <w:tcBorders>
              <w:top w:val="single" w:sz="4" w:space="0" w:color="auto"/>
              <w:left w:val="nil"/>
              <w:bottom w:val="single" w:sz="4" w:space="0" w:color="auto"/>
              <w:right w:val="nil"/>
            </w:tcBorders>
          </w:tcPr>
          <w:p w14:paraId="1E07C2D7" w14:textId="100C583B" w:rsidR="004C1FCD" w:rsidRPr="0085429A" w:rsidRDefault="004C1FCD" w:rsidP="004C1FCD">
            <w:pPr>
              <w:pStyle w:val="TableText"/>
              <w:jc w:val="right"/>
              <w:rPr>
                <w:color w:val="000000"/>
                <w:szCs w:val="17"/>
              </w:rPr>
            </w:pPr>
            <w:r>
              <w:rPr>
                <w:color w:val="000000"/>
                <w:szCs w:val="17"/>
              </w:rPr>
              <w:t>0</w:t>
            </w:r>
          </w:p>
        </w:tc>
        <w:tc>
          <w:tcPr>
            <w:tcW w:w="575" w:type="pct"/>
            <w:tcBorders>
              <w:top w:val="single" w:sz="4" w:space="0" w:color="auto"/>
              <w:left w:val="nil"/>
              <w:bottom w:val="single" w:sz="4" w:space="0" w:color="auto"/>
              <w:right w:val="nil"/>
            </w:tcBorders>
          </w:tcPr>
          <w:p w14:paraId="2ACA8128" w14:textId="159E2802" w:rsidR="004C1FCD" w:rsidRPr="0085429A" w:rsidRDefault="004C1FCD" w:rsidP="004C1FCD">
            <w:pPr>
              <w:pStyle w:val="TableText"/>
              <w:jc w:val="right"/>
              <w:rPr>
                <w:color w:val="000000"/>
                <w:szCs w:val="17"/>
              </w:rPr>
            </w:pPr>
            <w:r w:rsidRPr="00184AF5">
              <w:t xml:space="preserve">55 </w:t>
            </w:r>
          </w:p>
        </w:tc>
        <w:tc>
          <w:tcPr>
            <w:tcW w:w="560" w:type="pct"/>
            <w:tcBorders>
              <w:top w:val="single" w:sz="4" w:space="0" w:color="auto"/>
              <w:left w:val="nil"/>
              <w:bottom w:val="single" w:sz="4" w:space="0" w:color="auto"/>
            </w:tcBorders>
          </w:tcPr>
          <w:p w14:paraId="35C9A736" w14:textId="44A182E9" w:rsidR="004C1FCD" w:rsidRPr="0085429A" w:rsidRDefault="004C1FCD" w:rsidP="004C1FCD">
            <w:pPr>
              <w:pStyle w:val="TableText"/>
              <w:jc w:val="right"/>
              <w:rPr>
                <w:color w:val="000000"/>
                <w:szCs w:val="17"/>
              </w:rPr>
            </w:pPr>
            <w:r>
              <w:rPr>
                <w:color w:val="000000"/>
                <w:szCs w:val="17"/>
              </w:rPr>
              <w:t>0</w:t>
            </w:r>
          </w:p>
        </w:tc>
      </w:tr>
      <w:tr w:rsidR="004C1FCD" w:rsidRPr="00883134" w14:paraId="3F41F2F7" w14:textId="77777777" w:rsidTr="00A57916">
        <w:trPr>
          <w:trHeight w:val="300"/>
        </w:trPr>
        <w:tc>
          <w:tcPr>
            <w:tcW w:w="945" w:type="pct"/>
            <w:vMerge w:val="restart"/>
            <w:tcBorders>
              <w:right w:val="nil"/>
            </w:tcBorders>
            <w:vAlign w:val="center"/>
          </w:tcPr>
          <w:p w14:paraId="429D04F3" w14:textId="13DC5853" w:rsidR="004C1FCD" w:rsidRPr="0085429A" w:rsidRDefault="004C1FCD" w:rsidP="004C1FCD">
            <w:pPr>
              <w:pStyle w:val="TableText"/>
              <w:keepNext/>
              <w:keepLines/>
              <w:rPr>
                <w:color w:val="000000"/>
                <w:szCs w:val="17"/>
                <w:lang w:eastAsia="en-AU"/>
              </w:rPr>
            </w:pPr>
            <w:r>
              <w:rPr>
                <w:color w:val="000000"/>
                <w:szCs w:val="17"/>
                <w:lang w:eastAsia="en-AU"/>
              </w:rPr>
              <w:t>600 g ac/ha or lower</w:t>
            </w:r>
          </w:p>
        </w:tc>
        <w:tc>
          <w:tcPr>
            <w:tcW w:w="1196" w:type="pct"/>
            <w:tcBorders>
              <w:top w:val="single" w:sz="4" w:space="0" w:color="auto"/>
              <w:left w:val="nil"/>
              <w:right w:val="nil"/>
            </w:tcBorders>
            <w:vAlign w:val="center"/>
          </w:tcPr>
          <w:p w14:paraId="1CD3AB75" w14:textId="38717F7C" w:rsidR="004C1FCD" w:rsidRPr="0085429A" w:rsidRDefault="004C1FCD" w:rsidP="004C1FCD">
            <w:pPr>
              <w:pStyle w:val="TableText"/>
              <w:keepNext/>
              <w:keepLines/>
              <w:rPr>
                <w:color w:val="000000"/>
                <w:szCs w:val="17"/>
              </w:rPr>
            </w:pPr>
            <w:r w:rsidRPr="0085429A">
              <w:rPr>
                <w:color w:val="000000"/>
                <w:szCs w:val="17"/>
                <w:lang w:eastAsia="en-AU"/>
              </w:rPr>
              <w:t>0.5 m or lower</w:t>
            </w:r>
          </w:p>
        </w:tc>
        <w:tc>
          <w:tcPr>
            <w:tcW w:w="647" w:type="pct"/>
            <w:tcBorders>
              <w:top w:val="single" w:sz="4" w:space="0" w:color="auto"/>
              <w:left w:val="nil"/>
              <w:bottom w:val="single" w:sz="4" w:space="0" w:color="auto"/>
              <w:right w:val="nil"/>
            </w:tcBorders>
          </w:tcPr>
          <w:p w14:paraId="7F655E6C" w14:textId="5AE0E0C3" w:rsidR="004C1FCD" w:rsidRPr="0085429A" w:rsidRDefault="004C1FCD" w:rsidP="004C1FCD">
            <w:pPr>
              <w:pStyle w:val="TableText"/>
              <w:jc w:val="right"/>
              <w:rPr>
                <w:color w:val="000000"/>
                <w:szCs w:val="17"/>
              </w:rPr>
            </w:pPr>
            <w:r w:rsidRPr="001C6D20">
              <w:t xml:space="preserve">35 </w:t>
            </w:r>
          </w:p>
        </w:tc>
        <w:tc>
          <w:tcPr>
            <w:tcW w:w="503" w:type="pct"/>
            <w:tcBorders>
              <w:top w:val="single" w:sz="4" w:space="0" w:color="auto"/>
              <w:left w:val="nil"/>
              <w:bottom w:val="single" w:sz="4" w:space="0" w:color="auto"/>
              <w:right w:val="nil"/>
            </w:tcBorders>
          </w:tcPr>
          <w:p w14:paraId="6EE45AE7" w14:textId="0FAE383D" w:rsidR="004C1FCD" w:rsidRPr="0085429A" w:rsidRDefault="004C1FCD" w:rsidP="004C1FCD">
            <w:pPr>
              <w:pStyle w:val="TableText"/>
              <w:jc w:val="right"/>
              <w:rPr>
                <w:color w:val="000000"/>
                <w:szCs w:val="17"/>
              </w:rPr>
            </w:pPr>
            <w:r w:rsidRPr="00036C40">
              <w:t xml:space="preserve">65 </w:t>
            </w:r>
          </w:p>
        </w:tc>
        <w:tc>
          <w:tcPr>
            <w:tcW w:w="574" w:type="pct"/>
            <w:tcBorders>
              <w:top w:val="single" w:sz="4" w:space="0" w:color="auto"/>
              <w:left w:val="nil"/>
              <w:bottom w:val="single" w:sz="4" w:space="0" w:color="auto"/>
              <w:right w:val="nil"/>
            </w:tcBorders>
          </w:tcPr>
          <w:p w14:paraId="498051EB" w14:textId="5540BC20" w:rsidR="004C1FCD" w:rsidRPr="0085429A" w:rsidRDefault="004C1FCD" w:rsidP="004C1FCD">
            <w:pPr>
              <w:pStyle w:val="TableText"/>
              <w:jc w:val="right"/>
              <w:rPr>
                <w:color w:val="000000"/>
                <w:szCs w:val="17"/>
              </w:rPr>
            </w:pPr>
            <w:r>
              <w:rPr>
                <w:color w:val="000000"/>
                <w:szCs w:val="17"/>
              </w:rPr>
              <w:t>0</w:t>
            </w:r>
          </w:p>
        </w:tc>
        <w:tc>
          <w:tcPr>
            <w:tcW w:w="575" w:type="pct"/>
            <w:tcBorders>
              <w:top w:val="single" w:sz="4" w:space="0" w:color="auto"/>
              <w:left w:val="nil"/>
              <w:bottom w:val="single" w:sz="4" w:space="0" w:color="auto"/>
              <w:right w:val="nil"/>
            </w:tcBorders>
          </w:tcPr>
          <w:p w14:paraId="5AD383E7" w14:textId="6F719B4E" w:rsidR="004C1FCD" w:rsidRPr="0085429A" w:rsidRDefault="004C1FCD" w:rsidP="004C1FCD">
            <w:pPr>
              <w:pStyle w:val="TableText"/>
              <w:jc w:val="right"/>
              <w:rPr>
                <w:color w:val="000000"/>
                <w:szCs w:val="17"/>
              </w:rPr>
            </w:pPr>
            <w:r w:rsidRPr="00184AF5">
              <w:t xml:space="preserve">10 </w:t>
            </w:r>
          </w:p>
        </w:tc>
        <w:tc>
          <w:tcPr>
            <w:tcW w:w="560" w:type="pct"/>
            <w:tcBorders>
              <w:top w:val="single" w:sz="4" w:space="0" w:color="auto"/>
              <w:left w:val="nil"/>
              <w:bottom w:val="single" w:sz="4" w:space="0" w:color="auto"/>
            </w:tcBorders>
          </w:tcPr>
          <w:p w14:paraId="7F782575" w14:textId="0327F652" w:rsidR="004C1FCD" w:rsidRPr="0085429A" w:rsidRDefault="004C1FCD" w:rsidP="004C1FCD">
            <w:pPr>
              <w:pStyle w:val="TableText"/>
              <w:jc w:val="right"/>
              <w:rPr>
                <w:color w:val="000000"/>
                <w:szCs w:val="17"/>
              </w:rPr>
            </w:pPr>
            <w:r>
              <w:rPr>
                <w:color w:val="000000"/>
                <w:szCs w:val="17"/>
              </w:rPr>
              <w:t>0</w:t>
            </w:r>
          </w:p>
        </w:tc>
      </w:tr>
      <w:tr w:rsidR="004C1FCD" w:rsidRPr="00883134" w14:paraId="467A81A4" w14:textId="77777777" w:rsidTr="00A57916">
        <w:trPr>
          <w:trHeight w:val="300"/>
        </w:trPr>
        <w:tc>
          <w:tcPr>
            <w:tcW w:w="945" w:type="pct"/>
            <w:vMerge/>
            <w:tcBorders>
              <w:right w:val="nil"/>
            </w:tcBorders>
            <w:vAlign w:val="center"/>
          </w:tcPr>
          <w:p w14:paraId="568D6A73" w14:textId="77777777" w:rsidR="004C1FCD" w:rsidRPr="0085429A" w:rsidRDefault="004C1FCD" w:rsidP="004C1FCD">
            <w:pPr>
              <w:pStyle w:val="TableText"/>
              <w:keepNext/>
              <w:keepLines/>
              <w:rPr>
                <w:color w:val="000000"/>
                <w:szCs w:val="17"/>
                <w:lang w:eastAsia="en-AU"/>
              </w:rPr>
            </w:pPr>
          </w:p>
        </w:tc>
        <w:tc>
          <w:tcPr>
            <w:tcW w:w="1196" w:type="pct"/>
            <w:tcBorders>
              <w:top w:val="single" w:sz="4" w:space="0" w:color="auto"/>
              <w:left w:val="nil"/>
              <w:right w:val="nil"/>
            </w:tcBorders>
            <w:vAlign w:val="center"/>
          </w:tcPr>
          <w:p w14:paraId="0A399CF1" w14:textId="75349913" w:rsidR="004C1FCD" w:rsidRPr="0085429A" w:rsidRDefault="004C1FCD" w:rsidP="004C1FCD">
            <w:pPr>
              <w:pStyle w:val="TableText"/>
              <w:keepNext/>
              <w:keepLines/>
              <w:rPr>
                <w:color w:val="000000"/>
                <w:szCs w:val="17"/>
              </w:rPr>
            </w:pPr>
            <w:r w:rsidRPr="0085429A">
              <w:rPr>
                <w:color w:val="000000"/>
                <w:szCs w:val="17"/>
              </w:rPr>
              <w:t>1.0 m or lower</w:t>
            </w:r>
          </w:p>
        </w:tc>
        <w:tc>
          <w:tcPr>
            <w:tcW w:w="647" w:type="pct"/>
            <w:tcBorders>
              <w:top w:val="single" w:sz="4" w:space="0" w:color="auto"/>
              <w:left w:val="nil"/>
              <w:bottom w:val="single" w:sz="4" w:space="0" w:color="auto"/>
              <w:right w:val="nil"/>
            </w:tcBorders>
          </w:tcPr>
          <w:p w14:paraId="5F4670E3" w14:textId="001B8856" w:rsidR="004C1FCD" w:rsidRPr="0085429A" w:rsidRDefault="004C1FCD" w:rsidP="004C1FCD">
            <w:pPr>
              <w:pStyle w:val="TableText"/>
              <w:jc w:val="right"/>
              <w:rPr>
                <w:color w:val="000000"/>
                <w:szCs w:val="17"/>
              </w:rPr>
            </w:pPr>
            <w:r w:rsidRPr="001C6D20">
              <w:t xml:space="preserve">100 </w:t>
            </w:r>
          </w:p>
        </w:tc>
        <w:tc>
          <w:tcPr>
            <w:tcW w:w="503" w:type="pct"/>
            <w:tcBorders>
              <w:top w:val="single" w:sz="4" w:space="0" w:color="auto"/>
              <w:left w:val="nil"/>
              <w:bottom w:val="single" w:sz="4" w:space="0" w:color="auto"/>
              <w:right w:val="nil"/>
            </w:tcBorders>
          </w:tcPr>
          <w:p w14:paraId="2C659C2B" w14:textId="29B03CAD" w:rsidR="004C1FCD" w:rsidRPr="0085429A" w:rsidRDefault="004C1FCD" w:rsidP="004C1FCD">
            <w:pPr>
              <w:pStyle w:val="TableText"/>
              <w:jc w:val="right"/>
              <w:rPr>
                <w:color w:val="000000"/>
                <w:szCs w:val="17"/>
              </w:rPr>
            </w:pPr>
            <w:r w:rsidRPr="00036C40">
              <w:t xml:space="preserve">180 </w:t>
            </w:r>
          </w:p>
        </w:tc>
        <w:tc>
          <w:tcPr>
            <w:tcW w:w="574" w:type="pct"/>
            <w:tcBorders>
              <w:top w:val="single" w:sz="4" w:space="0" w:color="auto"/>
              <w:left w:val="nil"/>
              <w:bottom w:val="single" w:sz="4" w:space="0" w:color="auto"/>
              <w:right w:val="nil"/>
            </w:tcBorders>
          </w:tcPr>
          <w:p w14:paraId="5124E015" w14:textId="2F7E0180" w:rsidR="004C1FCD" w:rsidRPr="0085429A" w:rsidRDefault="004C1FCD" w:rsidP="004C1FCD">
            <w:pPr>
              <w:pStyle w:val="TableText"/>
              <w:jc w:val="right"/>
              <w:rPr>
                <w:color w:val="000000"/>
                <w:szCs w:val="17"/>
              </w:rPr>
            </w:pPr>
            <w:r>
              <w:rPr>
                <w:color w:val="000000"/>
                <w:szCs w:val="17"/>
              </w:rPr>
              <w:t>0</w:t>
            </w:r>
          </w:p>
        </w:tc>
        <w:tc>
          <w:tcPr>
            <w:tcW w:w="575" w:type="pct"/>
            <w:tcBorders>
              <w:top w:val="single" w:sz="4" w:space="0" w:color="auto"/>
              <w:left w:val="nil"/>
              <w:bottom w:val="single" w:sz="4" w:space="0" w:color="auto"/>
              <w:right w:val="nil"/>
            </w:tcBorders>
          </w:tcPr>
          <w:p w14:paraId="0EB563E4" w14:textId="74600395" w:rsidR="004C1FCD" w:rsidRPr="0085429A" w:rsidRDefault="004C1FCD" w:rsidP="004C1FCD">
            <w:pPr>
              <w:pStyle w:val="TableText"/>
              <w:jc w:val="right"/>
              <w:rPr>
                <w:color w:val="000000"/>
                <w:szCs w:val="17"/>
              </w:rPr>
            </w:pPr>
            <w:r w:rsidRPr="00184AF5">
              <w:t xml:space="preserve">45 </w:t>
            </w:r>
          </w:p>
        </w:tc>
        <w:tc>
          <w:tcPr>
            <w:tcW w:w="560" w:type="pct"/>
            <w:tcBorders>
              <w:top w:val="single" w:sz="4" w:space="0" w:color="auto"/>
              <w:left w:val="nil"/>
              <w:bottom w:val="single" w:sz="4" w:space="0" w:color="auto"/>
            </w:tcBorders>
          </w:tcPr>
          <w:p w14:paraId="5FC5E8A2" w14:textId="2F215AD1" w:rsidR="004C1FCD" w:rsidRPr="0085429A" w:rsidRDefault="004C1FCD" w:rsidP="004C1FCD">
            <w:pPr>
              <w:pStyle w:val="TableText"/>
              <w:jc w:val="right"/>
              <w:rPr>
                <w:color w:val="000000"/>
                <w:szCs w:val="17"/>
              </w:rPr>
            </w:pPr>
            <w:r>
              <w:rPr>
                <w:color w:val="000000"/>
                <w:szCs w:val="17"/>
              </w:rPr>
              <w:t>0</w:t>
            </w:r>
          </w:p>
        </w:tc>
      </w:tr>
      <w:tr w:rsidR="000B793A" w:rsidRPr="00883134" w14:paraId="5D08C03F" w14:textId="77777777" w:rsidTr="0085429A">
        <w:trPr>
          <w:trHeight w:val="300"/>
        </w:trPr>
        <w:tc>
          <w:tcPr>
            <w:tcW w:w="945" w:type="pct"/>
            <w:vMerge w:val="restart"/>
            <w:tcBorders>
              <w:right w:val="nil"/>
            </w:tcBorders>
            <w:vAlign w:val="center"/>
          </w:tcPr>
          <w:p w14:paraId="2D9C9053" w14:textId="3D3D37CA" w:rsidR="000B793A" w:rsidRPr="0085429A" w:rsidRDefault="000B793A" w:rsidP="0085429A">
            <w:pPr>
              <w:pStyle w:val="TableText"/>
              <w:keepNext/>
              <w:keepLines/>
              <w:rPr>
                <w:color w:val="000000"/>
                <w:szCs w:val="17"/>
                <w:lang w:eastAsia="en-AU"/>
              </w:rPr>
            </w:pPr>
            <w:r w:rsidRPr="0085429A">
              <w:rPr>
                <w:color w:val="000000"/>
                <w:szCs w:val="17"/>
                <w:lang w:eastAsia="en-AU"/>
              </w:rPr>
              <w:t>300 g ac/ha or lower</w:t>
            </w:r>
          </w:p>
        </w:tc>
        <w:tc>
          <w:tcPr>
            <w:tcW w:w="1196" w:type="pct"/>
            <w:tcBorders>
              <w:top w:val="single" w:sz="4" w:space="0" w:color="auto"/>
              <w:left w:val="nil"/>
              <w:right w:val="nil"/>
            </w:tcBorders>
            <w:vAlign w:val="center"/>
          </w:tcPr>
          <w:p w14:paraId="6A5995B8" w14:textId="252024D0" w:rsidR="000B793A" w:rsidRPr="0085429A" w:rsidRDefault="000B793A" w:rsidP="0085429A">
            <w:pPr>
              <w:pStyle w:val="TableText"/>
              <w:keepNext/>
              <w:keepLines/>
              <w:rPr>
                <w:color w:val="000000"/>
                <w:szCs w:val="17"/>
              </w:rPr>
            </w:pPr>
            <w:r w:rsidRPr="0085429A">
              <w:rPr>
                <w:color w:val="000000"/>
                <w:szCs w:val="17"/>
                <w:lang w:eastAsia="en-AU"/>
              </w:rPr>
              <w:t>0.5 m or lower</w:t>
            </w:r>
          </w:p>
        </w:tc>
        <w:tc>
          <w:tcPr>
            <w:tcW w:w="647" w:type="pct"/>
            <w:tcBorders>
              <w:top w:val="single" w:sz="4" w:space="0" w:color="auto"/>
              <w:left w:val="nil"/>
              <w:bottom w:val="single" w:sz="4" w:space="0" w:color="auto"/>
              <w:right w:val="nil"/>
            </w:tcBorders>
          </w:tcPr>
          <w:p w14:paraId="09D19E52" w14:textId="0ED7E083" w:rsidR="000B793A" w:rsidRPr="0085429A" w:rsidRDefault="000B793A" w:rsidP="000B793A">
            <w:pPr>
              <w:pStyle w:val="TableText"/>
              <w:jc w:val="right"/>
              <w:rPr>
                <w:color w:val="000000"/>
                <w:szCs w:val="17"/>
              </w:rPr>
            </w:pPr>
            <w:r w:rsidRPr="0085429A">
              <w:rPr>
                <w:color w:val="000000"/>
                <w:szCs w:val="17"/>
              </w:rPr>
              <w:t>20</w:t>
            </w:r>
          </w:p>
        </w:tc>
        <w:tc>
          <w:tcPr>
            <w:tcW w:w="503" w:type="pct"/>
            <w:tcBorders>
              <w:top w:val="single" w:sz="4" w:space="0" w:color="auto"/>
              <w:left w:val="nil"/>
              <w:bottom w:val="single" w:sz="4" w:space="0" w:color="auto"/>
              <w:right w:val="nil"/>
            </w:tcBorders>
            <w:vAlign w:val="bottom"/>
          </w:tcPr>
          <w:p w14:paraId="49B36789" w14:textId="68C7EF44" w:rsidR="000B793A" w:rsidRPr="0085429A" w:rsidRDefault="000B793A" w:rsidP="000B793A">
            <w:pPr>
              <w:pStyle w:val="TableText"/>
              <w:jc w:val="right"/>
              <w:rPr>
                <w:color w:val="000000"/>
                <w:szCs w:val="17"/>
              </w:rPr>
            </w:pPr>
            <w:r w:rsidRPr="0085429A">
              <w:rPr>
                <w:color w:val="000000"/>
                <w:szCs w:val="17"/>
              </w:rPr>
              <w:t xml:space="preserve">40 </w:t>
            </w:r>
          </w:p>
        </w:tc>
        <w:tc>
          <w:tcPr>
            <w:tcW w:w="574" w:type="pct"/>
            <w:tcBorders>
              <w:top w:val="single" w:sz="4" w:space="0" w:color="auto"/>
              <w:left w:val="nil"/>
              <w:bottom w:val="single" w:sz="4" w:space="0" w:color="auto"/>
              <w:right w:val="nil"/>
            </w:tcBorders>
          </w:tcPr>
          <w:p w14:paraId="0297D202" w14:textId="636F8BAF" w:rsidR="000B793A" w:rsidRPr="0085429A" w:rsidRDefault="000B793A" w:rsidP="000B793A">
            <w:pPr>
              <w:pStyle w:val="TableText"/>
              <w:jc w:val="right"/>
              <w:rPr>
                <w:color w:val="000000"/>
                <w:szCs w:val="17"/>
              </w:rPr>
            </w:pPr>
            <w:r w:rsidRPr="0085429A">
              <w:rPr>
                <w:color w:val="000000"/>
                <w:szCs w:val="17"/>
              </w:rPr>
              <w:t>0</w:t>
            </w:r>
          </w:p>
        </w:tc>
        <w:tc>
          <w:tcPr>
            <w:tcW w:w="575" w:type="pct"/>
            <w:tcBorders>
              <w:top w:val="single" w:sz="4" w:space="0" w:color="auto"/>
              <w:left w:val="nil"/>
              <w:bottom w:val="single" w:sz="4" w:space="0" w:color="auto"/>
              <w:right w:val="nil"/>
            </w:tcBorders>
            <w:vAlign w:val="bottom"/>
          </w:tcPr>
          <w:p w14:paraId="15604509" w14:textId="4BB1D0D8" w:rsidR="000B793A" w:rsidRPr="0085429A" w:rsidRDefault="000B793A" w:rsidP="000B793A">
            <w:pPr>
              <w:pStyle w:val="TableText"/>
              <w:jc w:val="right"/>
              <w:rPr>
                <w:color w:val="000000"/>
                <w:szCs w:val="17"/>
              </w:rPr>
            </w:pPr>
            <w:r w:rsidRPr="0085429A">
              <w:rPr>
                <w:color w:val="000000"/>
                <w:szCs w:val="17"/>
              </w:rPr>
              <w:t xml:space="preserve">5 </w:t>
            </w:r>
          </w:p>
        </w:tc>
        <w:tc>
          <w:tcPr>
            <w:tcW w:w="560" w:type="pct"/>
            <w:tcBorders>
              <w:top w:val="single" w:sz="4" w:space="0" w:color="auto"/>
              <w:left w:val="nil"/>
              <w:bottom w:val="single" w:sz="4" w:space="0" w:color="auto"/>
            </w:tcBorders>
          </w:tcPr>
          <w:p w14:paraId="2945277D" w14:textId="2B9B2DFA" w:rsidR="000B793A" w:rsidRPr="0085429A" w:rsidRDefault="000B793A" w:rsidP="000B793A">
            <w:pPr>
              <w:pStyle w:val="TableText"/>
              <w:jc w:val="right"/>
              <w:rPr>
                <w:color w:val="000000"/>
                <w:szCs w:val="17"/>
              </w:rPr>
            </w:pPr>
            <w:r w:rsidRPr="0085429A">
              <w:rPr>
                <w:color w:val="000000"/>
                <w:szCs w:val="17"/>
              </w:rPr>
              <w:t>0</w:t>
            </w:r>
          </w:p>
        </w:tc>
      </w:tr>
      <w:tr w:rsidR="000B793A" w:rsidRPr="00883134" w14:paraId="6815951F" w14:textId="77777777" w:rsidTr="0085429A">
        <w:trPr>
          <w:trHeight w:val="300"/>
        </w:trPr>
        <w:tc>
          <w:tcPr>
            <w:tcW w:w="945" w:type="pct"/>
            <w:vMerge/>
            <w:tcBorders>
              <w:right w:val="nil"/>
            </w:tcBorders>
            <w:vAlign w:val="center"/>
          </w:tcPr>
          <w:p w14:paraId="5E5B3467" w14:textId="61596324" w:rsidR="000B793A" w:rsidRPr="0085429A" w:rsidRDefault="000B793A" w:rsidP="0085429A">
            <w:pPr>
              <w:pStyle w:val="TableText"/>
              <w:keepNext/>
              <w:keepLines/>
              <w:rPr>
                <w:color w:val="000000"/>
                <w:szCs w:val="17"/>
                <w:lang w:eastAsia="en-AU"/>
              </w:rPr>
            </w:pPr>
          </w:p>
        </w:tc>
        <w:tc>
          <w:tcPr>
            <w:tcW w:w="1196" w:type="pct"/>
            <w:tcBorders>
              <w:top w:val="single" w:sz="4" w:space="0" w:color="auto"/>
              <w:left w:val="nil"/>
              <w:right w:val="nil"/>
            </w:tcBorders>
            <w:vAlign w:val="center"/>
          </w:tcPr>
          <w:p w14:paraId="6BF62CA8" w14:textId="031B4925" w:rsidR="000B793A" w:rsidRPr="0085429A" w:rsidRDefault="000B793A" w:rsidP="0085429A">
            <w:pPr>
              <w:pStyle w:val="TableText"/>
              <w:keepNext/>
              <w:keepLines/>
              <w:rPr>
                <w:color w:val="000000"/>
                <w:szCs w:val="17"/>
              </w:rPr>
            </w:pPr>
            <w:r w:rsidRPr="0085429A">
              <w:rPr>
                <w:color w:val="000000"/>
                <w:szCs w:val="17"/>
              </w:rPr>
              <w:t>1.0 m or lower</w:t>
            </w:r>
          </w:p>
        </w:tc>
        <w:tc>
          <w:tcPr>
            <w:tcW w:w="647" w:type="pct"/>
            <w:tcBorders>
              <w:top w:val="single" w:sz="4" w:space="0" w:color="auto"/>
              <w:left w:val="nil"/>
              <w:bottom w:val="single" w:sz="4" w:space="0" w:color="auto"/>
              <w:right w:val="nil"/>
            </w:tcBorders>
          </w:tcPr>
          <w:p w14:paraId="5E1C0FAE" w14:textId="3690C3D7" w:rsidR="000B793A" w:rsidRPr="0085429A" w:rsidRDefault="000B793A" w:rsidP="000B793A">
            <w:pPr>
              <w:pStyle w:val="TableText"/>
              <w:jc w:val="right"/>
              <w:rPr>
                <w:color w:val="000000"/>
                <w:szCs w:val="17"/>
              </w:rPr>
            </w:pPr>
            <w:r w:rsidRPr="0085429A">
              <w:rPr>
                <w:color w:val="000000"/>
                <w:szCs w:val="17"/>
              </w:rPr>
              <w:t>60</w:t>
            </w:r>
          </w:p>
        </w:tc>
        <w:tc>
          <w:tcPr>
            <w:tcW w:w="503" w:type="pct"/>
            <w:tcBorders>
              <w:top w:val="single" w:sz="4" w:space="0" w:color="auto"/>
              <w:left w:val="nil"/>
              <w:bottom w:val="single" w:sz="4" w:space="0" w:color="auto"/>
              <w:right w:val="nil"/>
            </w:tcBorders>
            <w:vAlign w:val="bottom"/>
          </w:tcPr>
          <w:p w14:paraId="759280B7" w14:textId="144C56EA" w:rsidR="000B793A" w:rsidRPr="0085429A" w:rsidRDefault="000B793A" w:rsidP="000B793A">
            <w:pPr>
              <w:pStyle w:val="TableText"/>
              <w:jc w:val="right"/>
              <w:rPr>
                <w:color w:val="000000"/>
                <w:szCs w:val="17"/>
              </w:rPr>
            </w:pPr>
            <w:r w:rsidRPr="0085429A">
              <w:rPr>
                <w:color w:val="000000"/>
                <w:szCs w:val="17"/>
              </w:rPr>
              <w:t xml:space="preserve">110 </w:t>
            </w:r>
          </w:p>
        </w:tc>
        <w:tc>
          <w:tcPr>
            <w:tcW w:w="574" w:type="pct"/>
            <w:tcBorders>
              <w:top w:val="single" w:sz="4" w:space="0" w:color="auto"/>
              <w:left w:val="nil"/>
              <w:bottom w:val="single" w:sz="4" w:space="0" w:color="auto"/>
              <w:right w:val="nil"/>
            </w:tcBorders>
          </w:tcPr>
          <w:p w14:paraId="1060EC03" w14:textId="449663B7" w:rsidR="000B793A" w:rsidRPr="0085429A" w:rsidRDefault="000B793A" w:rsidP="000B793A">
            <w:pPr>
              <w:pStyle w:val="TableText"/>
              <w:jc w:val="right"/>
              <w:rPr>
                <w:color w:val="000000"/>
                <w:szCs w:val="17"/>
              </w:rPr>
            </w:pPr>
            <w:r w:rsidRPr="0085429A">
              <w:rPr>
                <w:color w:val="000000"/>
                <w:szCs w:val="17"/>
              </w:rPr>
              <w:t>0</w:t>
            </w:r>
          </w:p>
        </w:tc>
        <w:tc>
          <w:tcPr>
            <w:tcW w:w="575" w:type="pct"/>
            <w:tcBorders>
              <w:top w:val="single" w:sz="4" w:space="0" w:color="auto"/>
              <w:left w:val="nil"/>
              <w:bottom w:val="single" w:sz="4" w:space="0" w:color="auto"/>
              <w:right w:val="nil"/>
            </w:tcBorders>
            <w:vAlign w:val="bottom"/>
          </w:tcPr>
          <w:p w14:paraId="714AE88F" w14:textId="14A95FE5" w:rsidR="000B793A" w:rsidRPr="0085429A" w:rsidRDefault="000B793A" w:rsidP="000B793A">
            <w:pPr>
              <w:pStyle w:val="TableText"/>
              <w:jc w:val="right"/>
              <w:rPr>
                <w:color w:val="000000"/>
                <w:szCs w:val="17"/>
              </w:rPr>
            </w:pPr>
            <w:r w:rsidRPr="0085429A">
              <w:rPr>
                <w:color w:val="000000"/>
                <w:szCs w:val="17"/>
              </w:rPr>
              <w:t xml:space="preserve">25 </w:t>
            </w:r>
          </w:p>
        </w:tc>
        <w:tc>
          <w:tcPr>
            <w:tcW w:w="560" w:type="pct"/>
            <w:tcBorders>
              <w:top w:val="single" w:sz="4" w:space="0" w:color="auto"/>
              <w:left w:val="nil"/>
              <w:bottom w:val="single" w:sz="4" w:space="0" w:color="auto"/>
            </w:tcBorders>
          </w:tcPr>
          <w:p w14:paraId="61C89C00" w14:textId="38FDA1BB" w:rsidR="000B793A" w:rsidRPr="0085429A" w:rsidRDefault="000B793A" w:rsidP="000B793A">
            <w:pPr>
              <w:pStyle w:val="TableText"/>
              <w:jc w:val="right"/>
              <w:rPr>
                <w:color w:val="000000"/>
                <w:szCs w:val="17"/>
              </w:rPr>
            </w:pPr>
            <w:r w:rsidRPr="0085429A">
              <w:rPr>
                <w:color w:val="000000"/>
                <w:szCs w:val="17"/>
              </w:rPr>
              <w:t>0</w:t>
            </w:r>
          </w:p>
        </w:tc>
      </w:tr>
      <w:tr w:rsidR="000B793A" w:rsidRPr="00883134" w14:paraId="5572B7FB" w14:textId="77777777" w:rsidTr="0085429A">
        <w:trPr>
          <w:trHeight w:val="300"/>
        </w:trPr>
        <w:tc>
          <w:tcPr>
            <w:tcW w:w="945" w:type="pct"/>
            <w:vMerge w:val="restart"/>
            <w:tcBorders>
              <w:right w:val="nil"/>
            </w:tcBorders>
            <w:vAlign w:val="center"/>
          </w:tcPr>
          <w:p w14:paraId="5384FCA7" w14:textId="75FDAAE7" w:rsidR="000B793A" w:rsidRPr="0085429A" w:rsidRDefault="000B793A" w:rsidP="0085429A">
            <w:pPr>
              <w:pStyle w:val="TableText"/>
              <w:keepNext/>
              <w:keepLines/>
              <w:rPr>
                <w:color w:val="000000"/>
                <w:szCs w:val="17"/>
                <w:lang w:eastAsia="en-AU"/>
              </w:rPr>
            </w:pPr>
            <w:r w:rsidRPr="0085429A">
              <w:rPr>
                <w:color w:val="000000"/>
                <w:szCs w:val="17"/>
                <w:lang w:eastAsia="en-AU"/>
              </w:rPr>
              <w:t>140 g ac/ha or lower</w:t>
            </w:r>
          </w:p>
        </w:tc>
        <w:tc>
          <w:tcPr>
            <w:tcW w:w="1196" w:type="pct"/>
            <w:tcBorders>
              <w:top w:val="single" w:sz="4" w:space="0" w:color="auto"/>
              <w:left w:val="nil"/>
              <w:right w:val="nil"/>
            </w:tcBorders>
            <w:vAlign w:val="center"/>
          </w:tcPr>
          <w:p w14:paraId="2FDD682A" w14:textId="27CE9FE6" w:rsidR="000B793A" w:rsidRPr="0085429A" w:rsidRDefault="000B793A" w:rsidP="0085429A">
            <w:pPr>
              <w:pStyle w:val="TableText"/>
              <w:keepNext/>
              <w:keepLines/>
              <w:rPr>
                <w:color w:val="000000"/>
                <w:szCs w:val="17"/>
              </w:rPr>
            </w:pPr>
            <w:r w:rsidRPr="0085429A">
              <w:rPr>
                <w:color w:val="000000"/>
                <w:szCs w:val="17"/>
                <w:lang w:eastAsia="en-AU"/>
              </w:rPr>
              <w:t>0.5 m or lower</w:t>
            </w:r>
          </w:p>
        </w:tc>
        <w:tc>
          <w:tcPr>
            <w:tcW w:w="647" w:type="pct"/>
            <w:tcBorders>
              <w:top w:val="single" w:sz="4" w:space="0" w:color="auto"/>
              <w:left w:val="nil"/>
              <w:bottom w:val="single" w:sz="4" w:space="0" w:color="auto"/>
              <w:right w:val="nil"/>
            </w:tcBorders>
          </w:tcPr>
          <w:p w14:paraId="5BF1D066" w14:textId="152B2D24" w:rsidR="000B793A" w:rsidRPr="0085429A" w:rsidRDefault="000B793A" w:rsidP="000B793A">
            <w:pPr>
              <w:pStyle w:val="TableText"/>
              <w:jc w:val="right"/>
              <w:rPr>
                <w:color w:val="000000"/>
                <w:szCs w:val="17"/>
              </w:rPr>
            </w:pPr>
            <w:r w:rsidRPr="0085429A">
              <w:rPr>
                <w:color w:val="000000"/>
                <w:szCs w:val="17"/>
              </w:rPr>
              <w:t>5</w:t>
            </w:r>
          </w:p>
        </w:tc>
        <w:tc>
          <w:tcPr>
            <w:tcW w:w="503" w:type="pct"/>
            <w:tcBorders>
              <w:top w:val="single" w:sz="4" w:space="0" w:color="auto"/>
              <w:left w:val="nil"/>
              <w:bottom w:val="single" w:sz="4" w:space="0" w:color="auto"/>
              <w:right w:val="nil"/>
            </w:tcBorders>
            <w:vAlign w:val="bottom"/>
          </w:tcPr>
          <w:p w14:paraId="66D4BB49" w14:textId="097D6F86" w:rsidR="000B793A" w:rsidRPr="0085429A" w:rsidRDefault="000B793A" w:rsidP="000B793A">
            <w:pPr>
              <w:pStyle w:val="TableText"/>
              <w:jc w:val="right"/>
              <w:rPr>
                <w:color w:val="000000"/>
                <w:szCs w:val="17"/>
              </w:rPr>
            </w:pPr>
            <w:r w:rsidRPr="0085429A">
              <w:rPr>
                <w:color w:val="000000"/>
                <w:szCs w:val="17"/>
              </w:rPr>
              <w:t xml:space="preserve">20 </w:t>
            </w:r>
          </w:p>
        </w:tc>
        <w:tc>
          <w:tcPr>
            <w:tcW w:w="574" w:type="pct"/>
            <w:tcBorders>
              <w:top w:val="single" w:sz="4" w:space="0" w:color="auto"/>
              <w:left w:val="nil"/>
              <w:bottom w:val="single" w:sz="4" w:space="0" w:color="auto"/>
              <w:right w:val="nil"/>
            </w:tcBorders>
          </w:tcPr>
          <w:p w14:paraId="0A21BE62" w14:textId="41246F4A" w:rsidR="000B793A" w:rsidRPr="0085429A" w:rsidRDefault="000B793A" w:rsidP="000B793A">
            <w:pPr>
              <w:pStyle w:val="TableText"/>
              <w:jc w:val="right"/>
              <w:rPr>
                <w:color w:val="000000"/>
                <w:szCs w:val="17"/>
              </w:rPr>
            </w:pPr>
            <w:r w:rsidRPr="0085429A">
              <w:rPr>
                <w:color w:val="000000"/>
                <w:szCs w:val="17"/>
              </w:rPr>
              <w:t>0</w:t>
            </w:r>
          </w:p>
        </w:tc>
        <w:tc>
          <w:tcPr>
            <w:tcW w:w="575" w:type="pct"/>
            <w:tcBorders>
              <w:top w:val="single" w:sz="4" w:space="0" w:color="auto"/>
              <w:left w:val="nil"/>
              <w:bottom w:val="single" w:sz="4" w:space="0" w:color="auto"/>
              <w:right w:val="nil"/>
            </w:tcBorders>
            <w:vAlign w:val="bottom"/>
          </w:tcPr>
          <w:p w14:paraId="4B91676E" w14:textId="1A45048E" w:rsidR="000B793A" w:rsidRPr="0085429A" w:rsidRDefault="000B793A" w:rsidP="000B793A">
            <w:pPr>
              <w:pStyle w:val="TableText"/>
              <w:jc w:val="right"/>
              <w:rPr>
                <w:color w:val="000000"/>
                <w:szCs w:val="17"/>
              </w:rPr>
            </w:pPr>
            <w:r w:rsidRPr="0085429A">
              <w:rPr>
                <w:color w:val="000000"/>
                <w:szCs w:val="17"/>
              </w:rPr>
              <w:t xml:space="preserve">0 </w:t>
            </w:r>
          </w:p>
        </w:tc>
        <w:tc>
          <w:tcPr>
            <w:tcW w:w="560" w:type="pct"/>
            <w:tcBorders>
              <w:top w:val="single" w:sz="4" w:space="0" w:color="auto"/>
              <w:left w:val="nil"/>
              <w:bottom w:val="single" w:sz="4" w:space="0" w:color="auto"/>
            </w:tcBorders>
          </w:tcPr>
          <w:p w14:paraId="2439B8C9" w14:textId="29CC5E07" w:rsidR="000B793A" w:rsidRPr="0085429A" w:rsidRDefault="000B793A" w:rsidP="000B793A">
            <w:pPr>
              <w:pStyle w:val="TableText"/>
              <w:jc w:val="right"/>
              <w:rPr>
                <w:color w:val="000000"/>
                <w:szCs w:val="17"/>
              </w:rPr>
            </w:pPr>
            <w:r w:rsidRPr="0085429A">
              <w:rPr>
                <w:color w:val="000000"/>
                <w:szCs w:val="17"/>
              </w:rPr>
              <w:t>0</w:t>
            </w:r>
          </w:p>
        </w:tc>
      </w:tr>
      <w:tr w:rsidR="000B793A" w:rsidRPr="00883134" w14:paraId="5515D982" w14:textId="77777777" w:rsidTr="0085429A">
        <w:trPr>
          <w:trHeight w:val="300"/>
        </w:trPr>
        <w:tc>
          <w:tcPr>
            <w:tcW w:w="945" w:type="pct"/>
            <w:vMerge/>
            <w:tcBorders>
              <w:right w:val="nil"/>
            </w:tcBorders>
            <w:vAlign w:val="center"/>
          </w:tcPr>
          <w:p w14:paraId="26848D7B" w14:textId="3185D308" w:rsidR="000B793A" w:rsidRPr="00514EF5" w:rsidRDefault="000B793A" w:rsidP="00514EF5">
            <w:pPr>
              <w:pStyle w:val="TableText"/>
              <w:keepNext/>
              <w:keepLines/>
              <w:rPr>
                <w:color w:val="000000"/>
                <w:szCs w:val="17"/>
                <w:lang w:eastAsia="en-AU"/>
              </w:rPr>
            </w:pPr>
          </w:p>
        </w:tc>
        <w:tc>
          <w:tcPr>
            <w:tcW w:w="1196" w:type="pct"/>
            <w:tcBorders>
              <w:top w:val="single" w:sz="4" w:space="0" w:color="auto"/>
              <w:left w:val="nil"/>
              <w:right w:val="nil"/>
            </w:tcBorders>
            <w:vAlign w:val="center"/>
          </w:tcPr>
          <w:p w14:paraId="463467E6" w14:textId="32D857B9" w:rsidR="000B793A" w:rsidRPr="00514EF5" w:rsidRDefault="000B793A" w:rsidP="00514EF5">
            <w:pPr>
              <w:pStyle w:val="TableText"/>
              <w:keepNext/>
              <w:keepLines/>
              <w:rPr>
                <w:color w:val="000000"/>
                <w:szCs w:val="17"/>
              </w:rPr>
            </w:pPr>
            <w:r w:rsidRPr="00514EF5">
              <w:rPr>
                <w:color w:val="000000"/>
                <w:szCs w:val="17"/>
              </w:rPr>
              <w:t>1.0 m or lower</w:t>
            </w:r>
          </w:p>
        </w:tc>
        <w:tc>
          <w:tcPr>
            <w:tcW w:w="647" w:type="pct"/>
            <w:tcBorders>
              <w:top w:val="single" w:sz="4" w:space="0" w:color="auto"/>
              <w:left w:val="nil"/>
              <w:bottom w:val="single" w:sz="4" w:space="0" w:color="auto"/>
              <w:right w:val="nil"/>
            </w:tcBorders>
          </w:tcPr>
          <w:p w14:paraId="6382AF94" w14:textId="44B84B6E" w:rsidR="000B793A" w:rsidRPr="00514EF5" w:rsidRDefault="000B793A" w:rsidP="000B793A">
            <w:pPr>
              <w:pStyle w:val="TableText"/>
              <w:jc w:val="right"/>
              <w:rPr>
                <w:color w:val="000000"/>
                <w:szCs w:val="17"/>
              </w:rPr>
            </w:pPr>
            <w:r w:rsidRPr="00514EF5">
              <w:rPr>
                <w:color w:val="000000"/>
                <w:szCs w:val="17"/>
              </w:rPr>
              <w:t>35</w:t>
            </w:r>
          </w:p>
        </w:tc>
        <w:tc>
          <w:tcPr>
            <w:tcW w:w="503" w:type="pct"/>
            <w:tcBorders>
              <w:top w:val="single" w:sz="4" w:space="0" w:color="auto"/>
              <w:left w:val="nil"/>
              <w:bottom w:val="single" w:sz="4" w:space="0" w:color="auto"/>
              <w:right w:val="nil"/>
            </w:tcBorders>
            <w:vAlign w:val="bottom"/>
          </w:tcPr>
          <w:p w14:paraId="2796B67B" w14:textId="3162D2FE" w:rsidR="000B793A" w:rsidRPr="00514EF5" w:rsidRDefault="000B793A" w:rsidP="000B793A">
            <w:pPr>
              <w:pStyle w:val="TableText"/>
              <w:jc w:val="right"/>
              <w:rPr>
                <w:color w:val="000000"/>
                <w:szCs w:val="17"/>
              </w:rPr>
            </w:pPr>
            <w:r w:rsidRPr="00514EF5">
              <w:rPr>
                <w:color w:val="000000"/>
                <w:szCs w:val="17"/>
              </w:rPr>
              <w:t xml:space="preserve">60 </w:t>
            </w:r>
          </w:p>
        </w:tc>
        <w:tc>
          <w:tcPr>
            <w:tcW w:w="574" w:type="pct"/>
            <w:tcBorders>
              <w:top w:val="single" w:sz="4" w:space="0" w:color="auto"/>
              <w:left w:val="nil"/>
              <w:bottom w:val="single" w:sz="4" w:space="0" w:color="auto"/>
              <w:right w:val="nil"/>
            </w:tcBorders>
          </w:tcPr>
          <w:p w14:paraId="5BE34DDF" w14:textId="51BB100E" w:rsidR="000B793A" w:rsidRPr="00514EF5" w:rsidRDefault="000B793A" w:rsidP="000B793A">
            <w:pPr>
              <w:pStyle w:val="TableText"/>
              <w:jc w:val="right"/>
              <w:rPr>
                <w:color w:val="000000"/>
                <w:szCs w:val="17"/>
              </w:rPr>
            </w:pPr>
            <w:r w:rsidRPr="00514EF5">
              <w:rPr>
                <w:color w:val="000000"/>
                <w:szCs w:val="17"/>
              </w:rPr>
              <w:t>0</w:t>
            </w:r>
          </w:p>
        </w:tc>
        <w:tc>
          <w:tcPr>
            <w:tcW w:w="575" w:type="pct"/>
            <w:tcBorders>
              <w:top w:val="single" w:sz="4" w:space="0" w:color="auto"/>
              <w:left w:val="nil"/>
              <w:bottom w:val="single" w:sz="4" w:space="0" w:color="auto"/>
              <w:right w:val="nil"/>
            </w:tcBorders>
            <w:vAlign w:val="bottom"/>
          </w:tcPr>
          <w:p w14:paraId="3A2F3EE7" w14:textId="144BADC7" w:rsidR="000B793A" w:rsidRPr="00514EF5" w:rsidRDefault="000B793A" w:rsidP="000B793A">
            <w:pPr>
              <w:pStyle w:val="TableText"/>
              <w:jc w:val="right"/>
              <w:rPr>
                <w:color w:val="000000"/>
                <w:szCs w:val="17"/>
              </w:rPr>
            </w:pPr>
            <w:r w:rsidRPr="00514EF5">
              <w:rPr>
                <w:color w:val="000000"/>
                <w:szCs w:val="17"/>
              </w:rPr>
              <w:t xml:space="preserve">15 </w:t>
            </w:r>
          </w:p>
        </w:tc>
        <w:tc>
          <w:tcPr>
            <w:tcW w:w="560" w:type="pct"/>
            <w:tcBorders>
              <w:top w:val="single" w:sz="4" w:space="0" w:color="auto"/>
              <w:left w:val="nil"/>
              <w:bottom w:val="single" w:sz="4" w:space="0" w:color="auto"/>
            </w:tcBorders>
          </w:tcPr>
          <w:p w14:paraId="418CE40F" w14:textId="63177172" w:rsidR="000B793A" w:rsidRPr="00514EF5" w:rsidRDefault="000B793A" w:rsidP="000B793A">
            <w:pPr>
              <w:pStyle w:val="TableText"/>
              <w:jc w:val="right"/>
              <w:rPr>
                <w:color w:val="000000"/>
                <w:szCs w:val="17"/>
              </w:rPr>
            </w:pPr>
            <w:r w:rsidRPr="00514EF5">
              <w:rPr>
                <w:color w:val="000000"/>
                <w:szCs w:val="17"/>
              </w:rPr>
              <w:t>0</w:t>
            </w:r>
          </w:p>
        </w:tc>
      </w:tr>
      <w:tr w:rsidR="000B793A" w:rsidRPr="00883134" w14:paraId="7218EDC9" w14:textId="77777777" w:rsidTr="0085429A">
        <w:trPr>
          <w:trHeight w:val="300"/>
        </w:trPr>
        <w:tc>
          <w:tcPr>
            <w:tcW w:w="945" w:type="pct"/>
            <w:vMerge w:val="restart"/>
            <w:tcBorders>
              <w:right w:val="nil"/>
            </w:tcBorders>
            <w:vAlign w:val="center"/>
          </w:tcPr>
          <w:p w14:paraId="025499A5" w14:textId="44242E8B" w:rsidR="000B793A" w:rsidRPr="00514EF5" w:rsidRDefault="000B793A" w:rsidP="00514EF5">
            <w:pPr>
              <w:pStyle w:val="TableText"/>
              <w:keepNext/>
              <w:keepLines/>
              <w:rPr>
                <w:color w:val="000000"/>
                <w:szCs w:val="17"/>
                <w:lang w:eastAsia="en-AU"/>
              </w:rPr>
            </w:pPr>
            <w:r w:rsidRPr="00514EF5">
              <w:rPr>
                <w:color w:val="000000"/>
                <w:szCs w:val="17"/>
                <w:lang w:eastAsia="en-AU"/>
              </w:rPr>
              <w:t>80 g ac/ha or lower</w:t>
            </w:r>
          </w:p>
        </w:tc>
        <w:tc>
          <w:tcPr>
            <w:tcW w:w="1196" w:type="pct"/>
            <w:tcBorders>
              <w:top w:val="single" w:sz="4" w:space="0" w:color="auto"/>
              <w:left w:val="nil"/>
              <w:right w:val="nil"/>
            </w:tcBorders>
            <w:vAlign w:val="center"/>
          </w:tcPr>
          <w:p w14:paraId="0296EDAB" w14:textId="0A4706B2" w:rsidR="000B793A" w:rsidRPr="00514EF5" w:rsidRDefault="000B793A" w:rsidP="00514EF5">
            <w:pPr>
              <w:pStyle w:val="TableText"/>
              <w:keepNext/>
              <w:keepLines/>
              <w:rPr>
                <w:color w:val="000000"/>
                <w:szCs w:val="17"/>
              </w:rPr>
            </w:pPr>
            <w:r w:rsidRPr="00514EF5">
              <w:rPr>
                <w:color w:val="000000"/>
                <w:szCs w:val="17"/>
                <w:lang w:eastAsia="en-AU"/>
              </w:rPr>
              <w:t>0.5 m or lower</w:t>
            </w:r>
          </w:p>
        </w:tc>
        <w:tc>
          <w:tcPr>
            <w:tcW w:w="647" w:type="pct"/>
            <w:tcBorders>
              <w:top w:val="single" w:sz="4" w:space="0" w:color="auto"/>
              <w:left w:val="nil"/>
              <w:right w:val="nil"/>
            </w:tcBorders>
          </w:tcPr>
          <w:p w14:paraId="7328585E" w14:textId="78B4C88C" w:rsidR="000B793A" w:rsidRPr="00514EF5" w:rsidRDefault="000B793A" w:rsidP="000B793A">
            <w:pPr>
              <w:pStyle w:val="TableText"/>
              <w:jc w:val="right"/>
              <w:rPr>
                <w:color w:val="000000"/>
                <w:szCs w:val="17"/>
              </w:rPr>
            </w:pPr>
            <w:r w:rsidRPr="00514EF5">
              <w:rPr>
                <w:color w:val="000000"/>
                <w:szCs w:val="17"/>
              </w:rPr>
              <w:t>0</w:t>
            </w:r>
          </w:p>
        </w:tc>
        <w:tc>
          <w:tcPr>
            <w:tcW w:w="503" w:type="pct"/>
            <w:tcBorders>
              <w:top w:val="single" w:sz="4" w:space="0" w:color="auto"/>
              <w:left w:val="nil"/>
              <w:bottom w:val="single" w:sz="4" w:space="0" w:color="auto"/>
              <w:right w:val="nil"/>
            </w:tcBorders>
            <w:vAlign w:val="bottom"/>
          </w:tcPr>
          <w:p w14:paraId="6DD2F52B" w14:textId="719D145B" w:rsidR="000B793A" w:rsidRPr="00514EF5" w:rsidRDefault="000B793A" w:rsidP="000B793A">
            <w:pPr>
              <w:pStyle w:val="TableText"/>
              <w:jc w:val="right"/>
              <w:rPr>
                <w:color w:val="000000"/>
                <w:szCs w:val="17"/>
              </w:rPr>
            </w:pPr>
            <w:r w:rsidRPr="00514EF5">
              <w:rPr>
                <w:color w:val="000000"/>
                <w:szCs w:val="17"/>
              </w:rPr>
              <w:t xml:space="preserve">10 </w:t>
            </w:r>
          </w:p>
        </w:tc>
        <w:tc>
          <w:tcPr>
            <w:tcW w:w="574" w:type="pct"/>
            <w:tcBorders>
              <w:top w:val="single" w:sz="4" w:space="0" w:color="auto"/>
              <w:left w:val="nil"/>
              <w:right w:val="nil"/>
            </w:tcBorders>
          </w:tcPr>
          <w:p w14:paraId="511461E4" w14:textId="0DF4B03A" w:rsidR="000B793A" w:rsidRPr="00514EF5" w:rsidRDefault="000B793A" w:rsidP="000B793A">
            <w:pPr>
              <w:pStyle w:val="TableText"/>
              <w:jc w:val="right"/>
              <w:rPr>
                <w:color w:val="000000"/>
                <w:szCs w:val="17"/>
              </w:rPr>
            </w:pPr>
            <w:r w:rsidRPr="00514EF5">
              <w:rPr>
                <w:color w:val="000000"/>
                <w:szCs w:val="17"/>
              </w:rPr>
              <w:t>0</w:t>
            </w:r>
          </w:p>
        </w:tc>
        <w:tc>
          <w:tcPr>
            <w:tcW w:w="575" w:type="pct"/>
            <w:tcBorders>
              <w:top w:val="single" w:sz="4" w:space="0" w:color="auto"/>
              <w:left w:val="nil"/>
              <w:bottom w:val="single" w:sz="4" w:space="0" w:color="auto"/>
              <w:right w:val="nil"/>
            </w:tcBorders>
            <w:vAlign w:val="bottom"/>
          </w:tcPr>
          <w:p w14:paraId="15FC37A1" w14:textId="2B4D73EE" w:rsidR="000B793A" w:rsidRPr="00514EF5" w:rsidRDefault="000B793A" w:rsidP="000B793A">
            <w:pPr>
              <w:pStyle w:val="TableText"/>
              <w:jc w:val="right"/>
              <w:rPr>
                <w:color w:val="000000"/>
                <w:szCs w:val="17"/>
              </w:rPr>
            </w:pPr>
            <w:r w:rsidRPr="00514EF5">
              <w:rPr>
                <w:color w:val="000000"/>
                <w:szCs w:val="17"/>
              </w:rPr>
              <w:t xml:space="preserve">0 </w:t>
            </w:r>
          </w:p>
        </w:tc>
        <w:tc>
          <w:tcPr>
            <w:tcW w:w="560" w:type="pct"/>
            <w:tcBorders>
              <w:top w:val="single" w:sz="4" w:space="0" w:color="auto"/>
              <w:left w:val="nil"/>
            </w:tcBorders>
          </w:tcPr>
          <w:p w14:paraId="07EEE020" w14:textId="055CBECF" w:rsidR="000B793A" w:rsidRPr="00514EF5" w:rsidRDefault="000B793A" w:rsidP="000B793A">
            <w:pPr>
              <w:pStyle w:val="TableText"/>
              <w:jc w:val="right"/>
              <w:rPr>
                <w:color w:val="000000"/>
                <w:szCs w:val="17"/>
              </w:rPr>
            </w:pPr>
            <w:r w:rsidRPr="00514EF5">
              <w:rPr>
                <w:color w:val="000000"/>
                <w:szCs w:val="17"/>
              </w:rPr>
              <w:t>0</w:t>
            </w:r>
          </w:p>
        </w:tc>
      </w:tr>
      <w:tr w:rsidR="0035150F" w:rsidRPr="00883134" w14:paraId="39FFDA9D" w14:textId="77777777" w:rsidTr="000B793A">
        <w:trPr>
          <w:trHeight w:val="300"/>
        </w:trPr>
        <w:tc>
          <w:tcPr>
            <w:tcW w:w="945" w:type="pct"/>
            <w:vMerge/>
            <w:tcBorders>
              <w:right w:val="nil"/>
            </w:tcBorders>
            <w:vAlign w:val="center"/>
          </w:tcPr>
          <w:p w14:paraId="4206E72C" w14:textId="361AFB37" w:rsidR="0035150F" w:rsidRPr="00514EF5" w:rsidRDefault="0035150F" w:rsidP="00514EF5">
            <w:pPr>
              <w:pStyle w:val="TableText"/>
              <w:keepNext/>
              <w:keepLines/>
              <w:rPr>
                <w:color w:val="000000"/>
                <w:lang w:eastAsia="en-AU"/>
              </w:rPr>
            </w:pPr>
          </w:p>
        </w:tc>
        <w:tc>
          <w:tcPr>
            <w:tcW w:w="1196" w:type="pct"/>
            <w:tcBorders>
              <w:left w:val="nil"/>
              <w:right w:val="nil"/>
            </w:tcBorders>
            <w:vAlign w:val="center"/>
          </w:tcPr>
          <w:p w14:paraId="1DDF6571" w14:textId="24174ED5" w:rsidR="0035150F" w:rsidRPr="00514EF5" w:rsidRDefault="0035150F" w:rsidP="00514EF5">
            <w:pPr>
              <w:pStyle w:val="TableText"/>
              <w:keepNext/>
              <w:keepLines/>
              <w:rPr>
                <w:color w:val="000000"/>
              </w:rPr>
            </w:pPr>
            <w:r w:rsidRPr="00514EF5">
              <w:rPr>
                <w:color w:val="000000"/>
              </w:rPr>
              <w:t>1.0 m or lower</w:t>
            </w:r>
          </w:p>
        </w:tc>
        <w:tc>
          <w:tcPr>
            <w:tcW w:w="647" w:type="pct"/>
            <w:tcBorders>
              <w:left w:val="nil"/>
              <w:right w:val="nil"/>
            </w:tcBorders>
          </w:tcPr>
          <w:p w14:paraId="1E436D74" w14:textId="5FEF4B61" w:rsidR="0035150F" w:rsidRPr="00514EF5" w:rsidRDefault="001C507B" w:rsidP="00FD4455">
            <w:pPr>
              <w:pStyle w:val="TableText"/>
              <w:jc w:val="right"/>
              <w:rPr>
                <w:color w:val="000000"/>
              </w:rPr>
            </w:pPr>
            <w:r w:rsidRPr="00514EF5">
              <w:rPr>
                <w:color w:val="000000"/>
              </w:rPr>
              <w:t>20</w:t>
            </w:r>
          </w:p>
        </w:tc>
        <w:tc>
          <w:tcPr>
            <w:tcW w:w="503" w:type="pct"/>
            <w:tcBorders>
              <w:left w:val="nil"/>
              <w:right w:val="nil"/>
            </w:tcBorders>
          </w:tcPr>
          <w:p w14:paraId="1BCAC6F8" w14:textId="3D341E83" w:rsidR="0035150F" w:rsidRPr="00514EF5" w:rsidRDefault="001C507B" w:rsidP="00FD4455">
            <w:pPr>
              <w:pStyle w:val="TableText"/>
              <w:jc w:val="right"/>
              <w:rPr>
                <w:color w:val="000000"/>
              </w:rPr>
            </w:pPr>
            <w:r w:rsidRPr="00514EF5">
              <w:rPr>
                <w:color w:val="000000"/>
              </w:rPr>
              <w:t>10</w:t>
            </w:r>
          </w:p>
        </w:tc>
        <w:tc>
          <w:tcPr>
            <w:tcW w:w="574" w:type="pct"/>
            <w:tcBorders>
              <w:left w:val="nil"/>
              <w:right w:val="nil"/>
            </w:tcBorders>
          </w:tcPr>
          <w:p w14:paraId="4D3FEB0A" w14:textId="49023279" w:rsidR="0035150F" w:rsidRPr="00514EF5" w:rsidRDefault="001C507B" w:rsidP="00FD4455">
            <w:pPr>
              <w:pStyle w:val="TableText"/>
              <w:jc w:val="right"/>
              <w:rPr>
                <w:color w:val="000000"/>
              </w:rPr>
            </w:pPr>
            <w:r w:rsidRPr="00514EF5">
              <w:rPr>
                <w:color w:val="000000"/>
              </w:rPr>
              <w:t>0</w:t>
            </w:r>
          </w:p>
        </w:tc>
        <w:tc>
          <w:tcPr>
            <w:tcW w:w="575" w:type="pct"/>
            <w:tcBorders>
              <w:left w:val="nil"/>
              <w:right w:val="nil"/>
            </w:tcBorders>
          </w:tcPr>
          <w:p w14:paraId="2828BB65" w14:textId="57465FA6" w:rsidR="0035150F" w:rsidRPr="00514EF5" w:rsidRDefault="001C507B" w:rsidP="00FD4455">
            <w:pPr>
              <w:pStyle w:val="TableText"/>
              <w:jc w:val="right"/>
              <w:rPr>
                <w:color w:val="000000"/>
              </w:rPr>
            </w:pPr>
            <w:r w:rsidRPr="00514EF5">
              <w:rPr>
                <w:color w:val="000000"/>
              </w:rPr>
              <w:t>10</w:t>
            </w:r>
          </w:p>
        </w:tc>
        <w:tc>
          <w:tcPr>
            <w:tcW w:w="560" w:type="pct"/>
            <w:tcBorders>
              <w:left w:val="nil"/>
            </w:tcBorders>
          </w:tcPr>
          <w:p w14:paraId="3DA9E696" w14:textId="74C6174D" w:rsidR="0035150F" w:rsidRPr="00514EF5" w:rsidRDefault="001C507B" w:rsidP="00FD4455">
            <w:pPr>
              <w:pStyle w:val="TableText"/>
              <w:jc w:val="right"/>
              <w:rPr>
                <w:color w:val="000000"/>
              </w:rPr>
            </w:pPr>
            <w:r w:rsidRPr="00514EF5">
              <w:rPr>
                <w:color w:val="000000"/>
              </w:rPr>
              <w:t>0</w:t>
            </w:r>
          </w:p>
        </w:tc>
      </w:tr>
    </w:tbl>
    <w:p w14:paraId="2431CA7E" w14:textId="1C17D549" w:rsidR="00AB5B7D" w:rsidRDefault="00AB5B7D" w:rsidP="00AB5B7D">
      <w:pPr>
        <w:pStyle w:val="NormalText"/>
      </w:pPr>
      <w:r>
        <w:t>DO NOT apply by a vertical sprayer.</w:t>
      </w:r>
    </w:p>
    <w:p w14:paraId="0CEF157F" w14:textId="62515F12" w:rsidR="00AB5B7D" w:rsidRDefault="00AB5B7D" w:rsidP="00AB5B7D">
      <w:pPr>
        <w:pStyle w:val="NormalText"/>
      </w:pPr>
      <w:r>
        <w:t>DO NOT apply by aircraft unless the following requirements are met:</w:t>
      </w:r>
    </w:p>
    <w:p w14:paraId="4B186CDF" w14:textId="07AD055D" w:rsidR="00AB5B7D" w:rsidRPr="00AB5B7D" w:rsidRDefault="004D3A0E" w:rsidP="00AB5B7D">
      <w:pPr>
        <w:pStyle w:val="Bullet2"/>
      </w:pPr>
      <w:r>
        <w:t>S</w:t>
      </w:r>
      <w:r w:rsidR="00AB5B7D" w:rsidRPr="00AB5B7D">
        <w:t>pray droplets not smaller than a MEDIUM spray droplet size category</w:t>
      </w:r>
      <w:r>
        <w:t>.</w:t>
      </w:r>
    </w:p>
    <w:p w14:paraId="19E07924" w14:textId="6799B356" w:rsidR="00AB5B7D" w:rsidRDefault="004D3A0E" w:rsidP="00AB5B7D">
      <w:pPr>
        <w:pStyle w:val="Bullet2"/>
      </w:pPr>
      <w:r>
        <w:t>F</w:t>
      </w:r>
      <w:r w:rsidR="00AB5B7D" w:rsidRPr="00AB5B7D">
        <w:t>or maximum release heights above the target canopy of 3m or 25% of wingspan or 25% of rotor diameter whichever is the greatest, minimum distances between the application site and downwind sensitive areas (see ‘Mandatory buffer zones’ section of the following table titled ‘Buffer zones for aircraft’) are observed.</w:t>
      </w:r>
    </w:p>
    <w:p w14:paraId="6ACF05DF" w14:textId="31BF7E37" w:rsidR="00D32A72" w:rsidRPr="00247DE6" w:rsidRDefault="00D32A72" w:rsidP="00247DE6">
      <w:pPr>
        <w:pStyle w:val="Caption"/>
      </w:pPr>
      <w:bookmarkStart w:id="458" w:name="_Toc232589634"/>
      <w:r w:rsidRPr="00247DE6">
        <w:lastRenderedPageBreak/>
        <w:t xml:space="preserve">Table </w:t>
      </w:r>
      <w:fldSimple w:instr=" SEQ Table \* ARABIC ">
        <w:r w:rsidR="00247DE6">
          <w:rPr>
            <w:noProof/>
          </w:rPr>
          <w:t>39</w:t>
        </w:r>
      </w:fldSimple>
      <w:r w:rsidRPr="00247DE6">
        <w:t>: Diquat</w:t>
      </w:r>
      <w:r w:rsidR="008C579E" w:rsidRPr="00247DE6">
        <w:t xml:space="preserve"> – </w:t>
      </w:r>
      <w:r w:rsidRPr="00247DE6">
        <w:t>buffer zones for aircraft (metres; MEDIUM droplet size)</w:t>
      </w:r>
      <w:bookmarkEnd w:id="458"/>
    </w:p>
    <w:tbl>
      <w:tblPr>
        <w:tblStyle w:val="TableGrid"/>
        <w:tblW w:w="5000" w:type="pct"/>
        <w:tblBorders>
          <w:left w:val="none" w:sz="0" w:space="0" w:color="auto"/>
          <w:right w:val="none" w:sz="0" w:space="0" w:color="auto"/>
        </w:tblBorders>
        <w:tblLook w:val="04A0" w:firstRow="1" w:lastRow="0" w:firstColumn="1" w:lastColumn="0" w:noHBand="0" w:noVBand="1"/>
      </w:tblPr>
      <w:tblGrid>
        <w:gridCol w:w="2895"/>
        <w:gridCol w:w="1596"/>
        <w:gridCol w:w="1449"/>
        <w:gridCol w:w="1324"/>
        <w:gridCol w:w="1159"/>
        <w:gridCol w:w="1431"/>
      </w:tblGrid>
      <w:tr w:rsidR="00943D40" w:rsidRPr="00AB5B7D" w14:paraId="3A815722" w14:textId="77777777" w:rsidTr="008C579E">
        <w:trPr>
          <w:trHeight w:val="288"/>
          <w:tblHeader/>
        </w:trPr>
        <w:tc>
          <w:tcPr>
            <w:tcW w:w="5000" w:type="pct"/>
            <w:gridSpan w:val="6"/>
            <w:shd w:val="clear" w:color="auto" w:fill="5C2946"/>
            <w:hideMark/>
          </w:tcPr>
          <w:p w14:paraId="2C62C26B" w14:textId="1C661509" w:rsidR="00943D40" w:rsidRPr="00943D40" w:rsidRDefault="00943D40" w:rsidP="008C579E">
            <w:pPr>
              <w:pStyle w:val="TableHead"/>
              <w:rPr>
                <w:lang w:eastAsia="en-AU"/>
              </w:rPr>
            </w:pPr>
            <w:r>
              <w:rPr>
                <w:lang w:eastAsia="en-AU"/>
              </w:rPr>
              <w:t>Diquat</w:t>
            </w:r>
            <w:r w:rsidR="004C1210">
              <w:rPr>
                <w:lang w:eastAsia="en-AU"/>
              </w:rPr>
              <w:t>–</w:t>
            </w:r>
            <w:r>
              <w:rPr>
                <w:lang w:eastAsia="en-AU"/>
              </w:rPr>
              <w:t>b</w:t>
            </w:r>
            <w:r w:rsidRPr="00943D40">
              <w:rPr>
                <w:lang w:eastAsia="en-AU"/>
              </w:rPr>
              <w:t>uffer zones for aircraft</w:t>
            </w:r>
            <w:r>
              <w:rPr>
                <w:lang w:eastAsia="en-AU"/>
              </w:rPr>
              <w:t xml:space="preserve"> (metres; MEDIUM droplet size)</w:t>
            </w:r>
          </w:p>
        </w:tc>
      </w:tr>
      <w:tr w:rsidR="00943D40" w:rsidRPr="00AB5B7D" w14:paraId="72343F8A" w14:textId="77777777" w:rsidTr="00514EF5">
        <w:trPr>
          <w:trHeight w:val="480"/>
          <w:tblHeader/>
        </w:trPr>
        <w:tc>
          <w:tcPr>
            <w:tcW w:w="1469" w:type="pct"/>
            <w:tcBorders>
              <w:right w:val="nil"/>
            </w:tcBorders>
            <w:shd w:val="clear" w:color="auto" w:fill="5C2946"/>
            <w:hideMark/>
          </w:tcPr>
          <w:p w14:paraId="0EF87F2F" w14:textId="02C7B257" w:rsidR="00943D40" w:rsidRPr="00943D40" w:rsidRDefault="00943D40" w:rsidP="008C579E">
            <w:pPr>
              <w:pStyle w:val="TableHead"/>
              <w:rPr>
                <w:lang w:eastAsia="en-AU"/>
              </w:rPr>
            </w:pPr>
            <w:r w:rsidRPr="00943D40">
              <w:rPr>
                <w:lang w:eastAsia="en-AU"/>
              </w:rPr>
              <w:t>Type of aircraft</w:t>
            </w:r>
            <w:r w:rsidR="00763CB7">
              <w:rPr>
                <w:lang w:eastAsia="en-AU"/>
              </w:rPr>
              <w:t xml:space="preserve"> (rate)</w:t>
            </w:r>
          </w:p>
        </w:tc>
        <w:tc>
          <w:tcPr>
            <w:tcW w:w="810" w:type="pct"/>
            <w:tcBorders>
              <w:left w:val="nil"/>
              <w:right w:val="nil"/>
            </w:tcBorders>
            <w:shd w:val="clear" w:color="auto" w:fill="5C2946"/>
            <w:hideMark/>
          </w:tcPr>
          <w:p w14:paraId="6E33DAA7" w14:textId="77777777" w:rsidR="00943D40" w:rsidRPr="00943D40" w:rsidRDefault="00943D40" w:rsidP="008C579E">
            <w:pPr>
              <w:pStyle w:val="TableHead"/>
              <w:jc w:val="right"/>
              <w:rPr>
                <w:lang w:eastAsia="en-AU"/>
              </w:rPr>
            </w:pPr>
            <w:r w:rsidRPr="00943D40">
              <w:rPr>
                <w:lang w:eastAsia="en-AU"/>
              </w:rPr>
              <w:t>Bystander areas</w:t>
            </w:r>
          </w:p>
        </w:tc>
        <w:tc>
          <w:tcPr>
            <w:tcW w:w="735" w:type="pct"/>
            <w:tcBorders>
              <w:left w:val="nil"/>
              <w:right w:val="nil"/>
            </w:tcBorders>
            <w:shd w:val="clear" w:color="auto" w:fill="5C2946"/>
            <w:hideMark/>
          </w:tcPr>
          <w:p w14:paraId="56583BCB" w14:textId="77777777" w:rsidR="00943D40" w:rsidRPr="00943D40" w:rsidRDefault="00943D40" w:rsidP="008C579E">
            <w:pPr>
              <w:pStyle w:val="TableHead"/>
              <w:jc w:val="right"/>
              <w:rPr>
                <w:lang w:eastAsia="en-AU"/>
              </w:rPr>
            </w:pPr>
            <w:r w:rsidRPr="00943D40">
              <w:rPr>
                <w:lang w:eastAsia="en-AU"/>
              </w:rPr>
              <w:t>Natural aquatic areas</w:t>
            </w:r>
          </w:p>
        </w:tc>
        <w:tc>
          <w:tcPr>
            <w:tcW w:w="672" w:type="pct"/>
            <w:tcBorders>
              <w:left w:val="nil"/>
              <w:right w:val="nil"/>
            </w:tcBorders>
            <w:shd w:val="clear" w:color="auto" w:fill="5C2946"/>
            <w:hideMark/>
          </w:tcPr>
          <w:p w14:paraId="11FAAFCB" w14:textId="77777777" w:rsidR="00943D40" w:rsidRPr="00943D40" w:rsidRDefault="00943D40" w:rsidP="008C579E">
            <w:pPr>
              <w:pStyle w:val="TableHead"/>
              <w:jc w:val="right"/>
              <w:rPr>
                <w:lang w:eastAsia="en-AU"/>
              </w:rPr>
            </w:pPr>
            <w:r w:rsidRPr="00943D40">
              <w:rPr>
                <w:lang w:eastAsia="en-AU"/>
              </w:rPr>
              <w:t>Pollinator areas</w:t>
            </w:r>
          </w:p>
        </w:tc>
        <w:tc>
          <w:tcPr>
            <w:tcW w:w="588" w:type="pct"/>
            <w:tcBorders>
              <w:left w:val="nil"/>
              <w:right w:val="nil"/>
            </w:tcBorders>
            <w:shd w:val="clear" w:color="auto" w:fill="5C2946"/>
            <w:hideMark/>
          </w:tcPr>
          <w:p w14:paraId="5936B871" w14:textId="77777777" w:rsidR="00943D40" w:rsidRPr="00943D40" w:rsidRDefault="00943D40" w:rsidP="008C579E">
            <w:pPr>
              <w:pStyle w:val="TableHead"/>
              <w:jc w:val="right"/>
              <w:rPr>
                <w:lang w:eastAsia="en-AU"/>
              </w:rPr>
            </w:pPr>
            <w:r w:rsidRPr="00943D40">
              <w:rPr>
                <w:lang w:eastAsia="en-AU"/>
              </w:rPr>
              <w:t>Vegetation areas</w:t>
            </w:r>
          </w:p>
        </w:tc>
        <w:tc>
          <w:tcPr>
            <w:tcW w:w="726" w:type="pct"/>
            <w:tcBorders>
              <w:left w:val="nil"/>
            </w:tcBorders>
            <w:shd w:val="clear" w:color="auto" w:fill="5C2946"/>
            <w:hideMark/>
          </w:tcPr>
          <w:p w14:paraId="234E9BA6" w14:textId="77777777" w:rsidR="00943D40" w:rsidRPr="00943D40" w:rsidRDefault="00943D40" w:rsidP="008C579E">
            <w:pPr>
              <w:pStyle w:val="TableHead"/>
              <w:jc w:val="right"/>
              <w:rPr>
                <w:lang w:eastAsia="en-AU"/>
              </w:rPr>
            </w:pPr>
            <w:r w:rsidRPr="00943D40">
              <w:rPr>
                <w:lang w:eastAsia="en-AU"/>
              </w:rPr>
              <w:t>Livestock areas</w:t>
            </w:r>
          </w:p>
        </w:tc>
      </w:tr>
      <w:tr w:rsidR="001C507B" w:rsidRPr="00AB5B7D" w14:paraId="4A30F21C" w14:textId="77777777" w:rsidTr="00514EF5">
        <w:trPr>
          <w:trHeight w:val="480"/>
          <w:tblHeader/>
        </w:trPr>
        <w:tc>
          <w:tcPr>
            <w:tcW w:w="1469" w:type="pct"/>
            <w:tcBorders>
              <w:right w:val="nil"/>
            </w:tcBorders>
          </w:tcPr>
          <w:p w14:paraId="6E35C93F" w14:textId="27B2CA31" w:rsidR="001C507B" w:rsidRPr="00514EF5" w:rsidRDefault="001C507B" w:rsidP="008C579E">
            <w:pPr>
              <w:pStyle w:val="TableHead"/>
              <w:rPr>
                <w:rFonts w:ascii="Arial" w:hAnsi="Arial"/>
                <w:color w:val="000000"/>
                <w:sz w:val="17"/>
                <w:szCs w:val="17"/>
                <w:lang w:eastAsia="en-AU"/>
              </w:rPr>
            </w:pPr>
            <w:r w:rsidRPr="00514EF5">
              <w:rPr>
                <w:rFonts w:ascii="Arial" w:hAnsi="Arial"/>
                <w:color w:val="000000"/>
                <w:sz w:val="17"/>
                <w:szCs w:val="17"/>
                <w:lang w:eastAsia="en-AU"/>
              </w:rPr>
              <w:t>Fixed-wing (280 g ac/ha)</w:t>
            </w:r>
          </w:p>
        </w:tc>
        <w:tc>
          <w:tcPr>
            <w:tcW w:w="810" w:type="pct"/>
            <w:tcBorders>
              <w:left w:val="nil"/>
              <w:right w:val="nil"/>
            </w:tcBorders>
          </w:tcPr>
          <w:p w14:paraId="207678F0" w14:textId="6F953A37"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275</w:t>
            </w:r>
          </w:p>
        </w:tc>
        <w:tc>
          <w:tcPr>
            <w:tcW w:w="735" w:type="pct"/>
            <w:tcBorders>
              <w:left w:val="nil"/>
              <w:right w:val="nil"/>
            </w:tcBorders>
          </w:tcPr>
          <w:p w14:paraId="7C0A5D2F" w14:textId="166B4BB1"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525</w:t>
            </w:r>
          </w:p>
        </w:tc>
        <w:tc>
          <w:tcPr>
            <w:tcW w:w="672" w:type="pct"/>
            <w:tcBorders>
              <w:left w:val="nil"/>
              <w:right w:val="nil"/>
            </w:tcBorders>
          </w:tcPr>
          <w:p w14:paraId="34A5D7A6" w14:textId="70E5B2ED"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c>
          <w:tcPr>
            <w:tcW w:w="588" w:type="pct"/>
            <w:tcBorders>
              <w:left w:val="nil"/>
              <w:right w:val="nil"/>
            </w:tcBorders>
          </w:tcPr>
          <w:p w14:paraId="594ED3A5" w14:textId="2A1213EA"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1</w:t>
            </w:r>
            <w:r w:rsidR="000B793A" w:rsidRPr="00514EF5">
              <w:rPr>
                <w:rFonts w:ascii="Arial" w:hAnsi="Arial"/>
                <w:color w:val="000000"/>
                <w:sz w:val="17"/>
                <w:szCs w:val="17"/>
                <w:lang w:eastAsia="en-AU"/>
              </w:rPr>
              <w:t>00</w:t>
            </w:r>
          </w:p>
        </w:tc>
        <w:tc>
          <w:tcPr>
            <w:tcW w:w="726" w:type="pct"/>
            <w:tcBorders>
              <w:left w:val="nil"/>
            </w:tcBorders>
          </w:tcPr>
          <w:p w14:paraId="401A40B3" w14:textId="4A1CB970"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r>
      <w:tr w:rsidR="001C507B" w:rsidRPr="00AB5B7D" w14:paraId="356A5710" w14:textId="77777777" w:rsidTr="00514EF5">
        <w:trPr>
          <w:trHeight w:val="480"/>
          <w:tblHeader/>
        </w:trPr>
        <w:tc>
          <w:tcPr>
            <w:tcW w:w="1469" w:type="pct"/>
            <w:tcBorders>
              <w:right w:val="nil"/>
            </w:tcBorders>
          </w:tcPr>
          <w:p w14:paraId="104AF1A7" w14:textId="02C85200" w:rsidR="001C507B" w:rsidRPr="00514EF5" w:rsidRDefault="001C507B" w:rsidP="008C579E">
            <w:pPr>
              <w:pStyle w:val="TableHead"/>
              <w:rPr>
                <w:rFonts w:ascii="Arial" w:hAnsi="Arial"/>
                <w:color w:val="000000"/>
                <w:sz w:val="17"/>
                <w:szCs w:val="17"/>
                <w:lang w:eastAsia="en-AU"/>
              </w:rPr>
            </w:pPr>
            <w:r w:rsidRPr="00514EF5">
              <w:rPr>
                <w:rFonts w:ascii="Arial" w:hAnsi="Arial"/>
                <w:color w:val="000000"/>
                <w:sz w:val="17"/>
                <w:szCs w:val="17"/>
                <w:lang w:eastAsia="en-AU"/>
              </w:rPr>
              <w:t>Fixed-wing (150 g ac/ha)</w:t>
            </w:r>
          </w:p>
        </w:tc>
        <w:tc>
          <w:tcPr>
            <w:tcW w:w="810" w:type="pct"/>
            <w:tcBorders>
              <w:left w:val="nil"/>
              <w:right w:val="nil"/>
            </w:tcBorders>
          </w:tcPr>
          <w:p w14:paraId="26253CCE" w14:textId="0911E69D"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170</w:t>
            </w:r>
          </w:p>
        </w:tc>
        <w:tc>
          <w:tcPr>
            <w:tcW w:w="735" w:type="pct"/>
            <w:tcBorders>
              <w:left w:val="nil"/>
              <w:right w:val="nil"/>
            </w:tcBorders>
          </w:tcPr>
          <w:p w14:paraId="7D9A79F5" w14:textId="3470C5A9"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275</w:t>
            </w:r>
          </w:p>
        </w:tc>
        <w:tc>
          <w:tcPr>
            <w:tcW w:w="672" w:type="pct"/>
            <w:tcBorders>
              <w:left w:val="nil"/>
              <w:right w:val="nil"/>
            </w:tcBorders>
          </w:tcPr>
          <w:p w14:paraId="2A45A504" w14:textId="02E7D574"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c>
          <w:tcPr>
            <w:tcW w:w="588" w:type="pct"/>
            <w:tcBorders>
              <w:left w:val="nil"/>
              <w:right w:val="nil"/>
            </w:tcBorders>
          </w:tcPr>
          <w:p w14:paraId="4CD84B6A" w14:textId="25C880A9"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6</w:t>
            </w:r>
            <w:r w:rsidR="009115C1" w:rsidRPr="00514EF5">
              <w:rPr>
                <w:rFonts w:ascii="Arial" w:hAnsi="Arial"/>
                <w:color w:val="000000"/>
                <w:sz w:val="17"/>
                <w:szCs w:val="17"/>
                <w:lang w:eastAsia="en-AU"/>
              </w:rPr>
              <w:t>5</w:t>
            </w:r>
          </w:p>
        </w:tc>
        <w:tc>
          <w:tcPr>
            <w:tcW w:w="726" w:type="pct"/>
            <w:tcBorders>
              <w:left w:val="nil"/>
            </w:tcBorders>
          </w:tcPr>
          <w:p w14:paraId="20D20DDB" w14:textId="4B02CE76"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r>
      <w:tr w:rsidR="001C507B" w:rsidRPr="00AB5B7D" w14:paraId="73C06B87" w14:textId="77777777" w:rsidTr="00514EF5">
        <w:trPr>
          <w:trHeight w:val="480"/>
          <w:tblHeader/>
        </w:trPr>
        <w:tc>
          <w:tcPr>
            <w:tcW w:w="1469" w:type="pct"/>
            <w:tcBorders>
              <w:right w:val="nil"/>
            </w:tcBorders>
          </w:tcPr>
          <w:p w14:paraId="542EA8AC" w14:textId="5CF9D5EF" w:rsidR="001C507B" w:rsidRPr="00514EF5" w:rsidRDefault="001C507B" w:rsidP="008C579E">
            <w:pPr>
              <w:pStyle w:val="TableHead"/>
              <w:rPr>
                <w:rFonts w:ascii="Arial" w:hAnsi="Arial"/>
                <w:color w:val="000000"/>
                <w:sz w:val="17"/>
                <w:szCs w:val="17"/>
                <w:lang w:eastAsia="en-AU"/>
              </w:rPr>
            </w:pPr>
            <w:r w:rsidRPr="00514EF5">
              <w:rPr>
                <w:rFonts w:ascii="Arial" w:hAnsi="Arial"/>
                <w:color w:val="000000"/>
                <w:sz w:val="17"/>
                <w:szCs w:val="17"/>
                <w:lang w:eastAsia="en-AU"/>
              </w:rPr>
              <w:t>Helicopter (280 g ac/ha)</w:t>
            </w:r>
          </w:p>
        </w:tc>
        <w:tc>
          <w:tcPr>
            <w:tcW w:w="810" w:type="pct"/>
            <w:tcBorders>
              <w:left w:val="nil"/>
              <w:right w:val="nil"/>
            </w:tcBorders>
          </w:tcPr>
          <w:p w14:paraId="1D09C09A" w14:textId="639A382B"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180</w:t>
            </w:r>
          </w:p>
        </w:tc>
        <w:tc>
          <w:tcPr>
            <w:tcW w:w="735" w:type="pct"/>
            <w:tcBorders>
              <w:left w:val="nil"/>
              <w:right w:val="nil"/>
            </w:tcBorders>
          </w:tcPr>
          <w:p w14:paraId="1A2E9FED" w14:textId="6502D6A1"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300</w:t>
            </w:r>
          </w:p>
        </w:tc>
        <w:tc>
          <w:tcPr>
            <w:tcW w:w="672" w:type="pct"/>
            <w:tcBorders>
              <w:left w:val="nil"/>
              <w:right w:val="nil"/>
            </w:tcBorders>
          </w:tcPr>
          <w:p w14:paraId="09BA019F" w14:textId="4BF28D0C"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c>
          <w:tcPr>
            <w:tcW w:w="588" w:type="pct"/>
            <w:tcBorders>
              <w:left w:val="nil"/>
              <w:right w:val="nil"/>
            </w:tcBorders>
          </w:tcPr>
          <w:p w14:paraId="3FDCDEEB" w14:textId="6E1271F9"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65</w:t>
            </w:r>
          </w:p>
        </w:tc>
        <w:tc>
          <w:tcPr>
            <w:tcW w:w="726" w:type="pct"/>
            <w:tcBorders>
              <w:left w:val="nil"/>
            </w:tcBorders>
          </w:tcPr>
          <w:p w14:paraId="1760B304" w14:textId="259F641A"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r>
      <w:tr w:rsidR="001C507B" w:rsidRPr="00AB5B7D" w14:paraId="23FA78E0" w14:textId="77777777" w:rsidTr="00514EF5">
        <w:trPr>
          <w:trHeight w:val="480"/>
          <w:tblHeader/>
        </w:trPr>
        <w:tc>
          <w:tcPr>
            <w:tcW w:w="1469" w:type="pct"/>
            <w:tcBorders>
              <w:right w:val="nil"/>
            </w:tcBorders>
          </w:tcPr>
          <w:p w14:paraId="5E116792" w14:textId="6E4CF035" w:rsidR="001C507B" w:rsidRPr="00514EF5" w:rsidRDefault="001C507B" w:rsidP="008C579E">
            <w:pPr>
              <w:pStyle w:val="TableHead"/>
              <w:rPr>
                <w:rFonts w:ascii="Arial" w:hAnsi="Arial"/>
                <w:color w:val="000000"/>
                <w:sz w:val="17"/>
                <w:szCs w:val="17"/>
                <w:lang w:eastAsia="en-AU"/>
              </w:rPr>
            </w:pPr>
            <w:r w:rsidRPr="00514EF5">
              <w:rPr>
                <w:rFonts w:ascii="Arial" w:hAnsi="Arial"/>
                <w:color w:val="000000"/>
                <w:sz w:val="17"/>
                <w:szCs w:val="17"/>
                <w:lang w:eastAsia="en-AU"/>
              </w:rPr>
              <w:t>Helicopter (150 g ac/ha)</w:t>
            </w:r>
          </w:p>
        </w:tc>
        <w:tc>
          <w:tcPr>
            <w:tcW w:w="810" w:type="pct"/>
            <w:tcBorders>
              <w:left w:val="nil"/>
              <w:right w:val="nil"/>
            </w:tcBorders>
          </w:tcPr>
          <w:p w14:paraId="5CBF323D" w14:textId="022DA869"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120</w:t>
            </w:r>
          </w:p>
        </w:tc>
        <w:tc>
          <w:tcPr>
            <w:tcW w:w="735" w:type="pct"/>
            <w:tcBorders>
              <w:left w:val="nil"/>
              <w:right w:val="nil"/>
            </w:tcBorders>
          </w:tcPr>
          <w:p w14:paraId="2DF74513" w14:textId="4A48B3A3"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190</w:t>
            </w:r>
          </w:p>
        </w:tc>
        <w:tc>
          <w:tcPr>
            <w:tcW w:w="672" w:type="pct"/>
            <w:tcBorders>
              <w:left w:val="nil"/>
              <w:right w:val="nil"/>
            </w:tcBorders>
          </w:tcPr>
          <w:p w14:paraId="0221A77F" w14:textId="3CBA238C"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c>
          <w:tcPr>
            <w:tcW w:w="588" w:type="pct"/>
            <w:tcBorders>
              <w:left w:val="nil"/>
              <w:right w:val="nil"/>
            </w:tcBorders>
          </w:tcPr>
          <w:p w14:paraId="60237273" w14:textId="4F963784" w:rsidR="001C507B" w:rsidRPr="00514EF5" w:rsidRDefault="000B793A"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50</w:t>
            </w:r>
          </w:p>
        </w:tc>
        <w:tc>
          <w:tcPr>
            <w:tcW w:w="726" w:type="pct"/>
            <w:tcBorders>
              <w:left w:val="nil"/>
            </w:tcBorders>
          </w:tcPr>
          <w:p w14:paraId="4AEA9247" w14:textId="6ED000B3" w:rsidR="001C507B" w:rsidRPr="00514EF5" w:rsidRDefault="009115C1" w:rsidP="008C579E">
            <w:pPr>
              <w:pStyle w:val="TableHead"/>
              <w:jc w:val="right"/>
              <w:rPr>
                <w:rFonts w:ascii="Arial" w:hAnsi="Arial"/>
                <w:color w:val="000000"/>
                <w:sz w:val="17"/>
                <w:szCs w:val="17"/>
                <w:lang w:eastAsia="en-AU"/>
              </w:rPr>
            </w:pPr>
            <w:r w:rsidRPr="00514EF5">
              <w:rPr>
                <w:rFonts w:ascii="Arial" w:hAnsi="Arial"/>
                <w:color w:val="000000"/>
                <w:sz w:val="17"/>
                <w:szCs w:val="17"/>
                <w:lang w:eastAsia="en-AU"/>
              </w:rPr>
              <w:t>0</w:t>
            </w:r>
          </w:p>
        </w:tc>
      </w:tr>
    </w:tbl>
    <w:p w14:paraId="5BB05587" w14:textId="77777777" w:rsidR="008C579E" w:rsidRDefault="008C579E" w:rsidP="006E7C95">
      <w:pPr>
        <w:pStyle w:val="NormalText"/>
        <w:sectPr w:rsidR="008C579E" w:rsidSect="009A2AA4">
          <w:headerReference w:type="even" r:id="rId45"/>
          <w:pgSz w:w="11906" w:h="16838" w:code="9"/>
          <w:pgMar w:top="2835" w:right="1134" w:bottom="1134" w:left="1134" w:header="1701" w:footer="680" w:gutter="0"/>
          <w:cols w:space="708"/>
          <w:docGrid w:linePitch="360"/>
        </w:sectPr>
      </w:pPr>
    </w:p>
    <w:p w14:paraId="3C906F1A" w14:textId="77777777" w:rsidR="00296F32" w:rsidRPr="00AA5DC7" w:rsidRDefault="00296F32" w:rsidP="00650447">
      <w:pPr>
        <w:pStyle w:val="Heading1"/>
      </w:pPr>
      <w:bookmarkStart w:id="459" w:name="_Toc144468335"/>
      <w:bookmarkStart w:id="460" w:name="_Toc156980638"/>
      <w:bookmarkStart w:id="461" w:name="_Toc233039039"/>
      <w:r w:rsidRPr="00650447">
        <w:lastRenderedPageBreak/>
        <w:t>Storage</w:t>
      </w:r>
      <w:r w:rsidRPr="00AA5DC7">
        <w:t xml:space="preserve"> and disposal</w:t>
      </w:r>
      <w:bookmarkEnd w:id="459"/>
      <w:bookmarkEnd w:id="460"/>
      <w:bookmarkEnd w:id="461"/>
    </w:p>
    <w:p w14:paraId="0C0314FC" w14:textId="0CD5F017" w:rsidR="00296F32" w:rsidRPr="00650447" w:rsidRDefault="00516C19" w:rsidP="00650447">
      <w:pPr>
        <w:pStyle w:val="Heading2"/>
      </w:pPr>
      <w:bookmarkStart w:id="462" w:name="_Toc144468336"/>
      <w:bookmarkStart w:id="463" w:name="_Toc156980639"/>
      <w:r w:rsidRPr="00650447">
        <w:t xml:space="preserve"> </w:t>
      </w:r>
      <w:bookmarkStart w:id="464" w:name="_Toc233039040"/>
      <w:r w:rsidR="00296F32" w:rsidRPr="00650447">
        <w:t>Storage</w:t>
      </w:r>
      <w:bookmarkEnd w:id="462"/>
      <w:bookmarkEnd w:id="463"/>
      <w:bookmarkEnd w:id="464"/>
    </w:p>
    <w:p w14:paraId="2A0F5C8F" w14:textId="19BEE126" w:rsidR="00CE3BBF" w:rsidRPr="00CE3BBF" w:rsidRDefault="00CE3BBF" w:rsidP="00CE3BBF">
      <w:pPr>
        <w:pStyle w:val="NormalText"/>
      </w:pPr>
      <w:r>
        <w:t>Products containing diquat</w:t>
      </w:r>
      <w:r w:rsidR="008C3967">
        <w:t xml:space="preserve"> alone</w:t>
      </w:r>
      <w:r>
        <w:t xml:space="preserve"> require the following storage statement.</w:t>
      </w:r>
    </w:p>
    <w:p w14:paraId="28E7CC60" w14:textId="58D9794D" w:rsidR="00CE3BBF" w:rsidRPr="00650447" w:rsidRDefault="00CE3BBF" w:rsidP="008C579E">
      <w:pPr>
        <w:pStyle w:val="Quotes"/>
        <w:rPr>
          <w:lang w:eastAsia="en-AU"/>
        </w:rPr>
      </w:pPr>
      <w:r w:rsidRPr="005F5A38">
        <w:t xml:space="preserve">Store in the closed, original container in </w:t>
      </w:r>
      <w:r w:rsidRPr="00650447">
        <w:t>a cool, well-ventilated area. DO NOT store for prolonged periods in direct sunlight.</w:t>
      </w:r>
    </w:p>
    <w:p w14:paraId="7CE0A3B7" w14:textId="732EAB79" w:rsidR="00CE3BBF" w:rsidRPr="00650447" w:rsidRDefault="00CE3BBF" w:rsidP="00650447">
      <w:pPr>
        <w:pStyle w:val="Heading2"/>
      </w:pPr>
      <w:bookmarkStart w:id="465" w:name="_Toc233039041"/>
      <w:r w:rsidRPr="00650447">
        <w:t>Disposal</w:t>
      </w:r>
      <w:bookmarkEnd w:id="465"/>
    </w:p>
    <w:p w14:paraId="50F590CD" w14:textId="7F91F8D5" w:rsidR="00CE3BBF" w:rsidRPr="00CE3BBF" w:rsidRDefault="00CE3BBF" w:rsidP="00CE3BBF">
      <w:pPr>
        <w:pStyle w:val="NormalText"/>
        <w:rPr>
          <w:rFonts w:eastAsia="Arial Unicode MS"/>
          <w:bdr w:val="nil"/>
          <w:lang w:eastAsia="en-AU"/>
        </w:rPr>
      </w:pPr>
      <w:r w:rsidRPr="00CE3BBF">
        <w:rPr>
          <w:rFonts w:eastAsia="Arial Unicode MS"/>
          <w:bdr w:val="nil"/>
          <w:lang w:eastAsia="en-AU"/>
        </w:rPr>
        <w:t>Disposal statements are matched against the specification of the product and container. As the worker health and safety advised that the products should only be used through closed mixing and loading, containers suitable for closed mixing and loading would require the following disposal instructions:</w:t>
      </w:r>
    </w:p>
    <w:p w14:paraId="06CEC2DA" w14:textId="77C0E2E8" w:rsidR="009240BD" w:rsidRPr="00CE3BBF" w:rsidRDefault="00CE3BBF" w:rsidP="008C579E">
      <w:pPr>
        <w:pStyle w:val="Quotes"/>
      </w:pPr>
      <w:r w:rsidRPr="00CE3BBF">
        <w:rPr>
          <w:rFonts w:eastAsia="Arial Unicode MS"/>
          <w:bdr w:val="nil"/>
          <w:lang w:eastAsia="en-AU"/>
        </w:rPr>
        <w:t>Empty contents fully into application equipment. Close all valves and return to [point of supply/designated collection point/other specific collection details] for refill or storage.</w:t>
      </w:r>
    </w:p>
    <w:p w14:paraId="756F8F01" w14:textId="77777777" w:rsidR="008C579E" w:rsidRDefault="008C579E" w:rsidP="00E43460">
      <w:pPr>
        <w:pStyle w:val="NormalText"/>
        <w:sectPr w:rsidR="008C579E" w:rsidSect="009A2AA4">
          <w:headerReference w:type="even" r:id="rId46"/>
          <w:pgSz w:w="11906" w:h="16838" w:code="9"/>
          <w:pgMar w:top="2835" w:right="1134" w:bottom="1134" w:left="1134" w:header="1701" w:footer="680" w:gutter="0"/>
          <w:cols w:space="708"/>
          <w:docGrid w:linePitch="360"/>
        </w:sectPr>
      </w:pPr>
    </w:p>
    <w:p w14:paraId="11FE14F7" w14:textId="77777777" w:rsidR="002F4591" w:rsidRDefault="002A3239" w:rsidP="002F4591">
      <w:pPr>
        <w:pStyle w:val="CoverTitle"/>
        <w:spacing w:before="7200"/>
        <w:jc w:val="center"/>
      </w:pPr>
      <w:bookmarkStart w:id="466" w:name="_Toc414373842"/>
      <w:bookmarkStart w:id="467" w:name="_Toc231963183"/>
      <w:bookmarkStart w:id="468" w:name="_Toc231963195"/>
      <w:r>
        <w:rPr>
          <w:noProof/>
          <w:lang w:eastAsia="en-AU"/>
        </w:rPr>
        <w:lastRenderedPageBreak/>
        <w:drawing>
          <wp:inline distT="0" distB="0" distL="0" distR="0" wp14:anchorId="593A465C" wp14:editId="58711F74">
            <wp:extent cx="2754000" cy="2508218"/>
            <wp:effectExtent l="0" t="0" r="0" b="0"/>
            <wp:docPr id="7" name="Picture 7" descr="P414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4149#yI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6199CBC3" w:rsidR="009D452E" w:rsidRDefault="009D452E" w:rsidP="002F4591">
      <w:pPr>
        <w:pStyle w:val="CoverTitle"/>
        <w:spacing w:before="1920"/>
        <w:jc w:val="center"/>
        <w:sectPr w:rsidR="009D452E" w:rsidSect="009A2AA4">
          <w:pgSz w:w="11906" w:h="16838" w:code="9"/>
          <w:pgMar w:top="2835" w:right="1134" w:bottom="1134" w:left="1134" w:header="1701" w:footer="680" w:gutter="0"/>
          <w:cols w:space="708"/>
          <w:docGrid w:linePitch="360"/>
        </w:sectPr>
      </w:pPr>
      <w:r>
        <w:t>Appendi</w:t>
      </w:r>
      <w:r w:rsidR="008366B7">
        <w:t>ces</w:t>
      </w:r>
    </w:p>
    <w:p w14:paraId="3D649765" w14:textId="77777777" w:rsidR="005A361E" w:rsidRDefault="005A361E" w:rsidP="00C97A0F">
      <w:pPr>
        <w:pStyle w:val="Heading1"/>
        <w:numPr>
          <w:ilvl w:val="0"/>
          <w:numId w:val="0"/>
        </w:numPr>
        <w:ind w:left="432" w:hanging="432"/>
      </w:pPr>
      <w:bookmarkStart w:id="469" w:name="_Appendix_A_–"/>
      <w:bookmarkStart w:id="470" w:name="_Toc156980641"/>
      <w:bookmarkStart w:id="471" w:name="_Ref166501714"/>
      <w:bookmarkEnd w:id="466"/>
      <w:bookmarkEnd w:id="469"/>
    </w:p>
    <w:p w14:paraId="38B2E1B0" w14:textId="541ED1D4" w:rsidR="00296F32" w:rsidRDefault="00296F32" w:rsidP="00C97A0F">
      <w:pPr>
        <w:pStyle w:val="Heading1"/>
        <w:numPr>
          <w:ilvl w:val="0"/>
          <w:numId w:val="0"/>
        </w:numPr>
        <w:ind w:left="432" w:hanging="432"/>
      </w:pPr>
      <w:bookmarkStart w:id="472" w:name="_Toc233039042"/>
      <w:r>
        <w:lastRenderedPageBreak/>
        <w:t>Appendix A</w:t>
      </w:r>
      <w:r w:rsidR="00644FE9">
        <w:t xml:space="preserve"> –</w:t>
      </w:r>
      <w:r>
        <w:t xml:space="preserve"> Summary of assess</w:t>
      </w:r>
      <w:r w:rsidRPr="005F4848">
        <w:t>ment</w:t>
      </w:r>
      <w:r>
        <w:t xml:space="preserve"> o</w:t>
      </w:r>
      <w:r w:rsidRPr="005F4848">
        <w:t>utcomes</w:t>
      </w:r>
      <w:bookmarkEnd w:id="470"/>
      <w:bookmarkEnd w:id="471"/>
      <w:bookmarkEnd w:id="472"/>
    </w:p>
    <w:p w14:paraId="750519BA" w14:textId="2FC961F2" w:rsidR="00CF504F" w:rsidRPr="00247DE6" w:rsidRDefault="007508E6" w:rsidP="00247DE6">
      <w:pPr>
        <w:pStyle w:val="Caption"/>
      </w:pPr>
      <w:bookmarkStart w:id="473" w:name="_Toc232589635"/>
      <w:r w:rsidRPr="00247DE6">
        <w:t xml:space="preserve">Table </w:t>
      </w:r>
      <w:fldSimple w:instr=" SEQ Table \* ARABIC ">
        <w:r w:rsidR="00247DE6">
          <w:rPr>
            <w:noProof/>
          </w:rPr>
          <w:t>40</w:t>
        </w:r>
      </w:fldSimple>
      <w:r w:rsidRPr="00247DE6">
        <w:t>: Risk assessment outcomes for products containing diquat</w:t>
      </w:r>
      <w:bookmarkEnd w:id="473"/>
    </w:p>
    <w:tbl>
      <w:tblPr>
        <w:tblW w:w="9790" w:type="dxa"/>
        <w:tblLook w:val="04A0" w:firstRow="1" w:lastRow="0" w:firstColumn="1" w:lastColumn="0" w:noHBand="0" w:noVBand="1"/>
      </w:tblPr>
      <w:tblGrid>
        <w:gridCol w:w="1343"/>
        <w:gridCol w:w="1231"/>
        <w:gridCol w:w="1256"/>
        <w:gridCol w:w="1807"/>
        <w:gridCol w:w="1484"/>
        <w:gridCol w:w="1213"/>
        <w:gridCol w:w="1456"/>
      </w:tblGrid>
      <w:tr w:rsidR="00CF504F" w:rsidRPr="00CF504F" w14:paraId="0697A6BE" w14:textId="77777777" w:rsidTr="003F537D">
        <w:trPr>
          <w:cantSplit/>
          <w:trHeight w:val="288"/>
          <w:tblHeader/>
        </w:trPr>
        <w:tc>
          <w:tcPr>
            <w:tcW w:w="1343"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5FB8D873" w14:textId="77777777" w:rsidR="00CF504F" w:rsidRPr="00514EF5" w:rsidRDefault="00CF504F" w:rsidP="00FD15E2">
            <w:pPr>
              <w:pStyle w:val="TableHead"/>
            </w:pPr>
            <w:r w:rsidRPr="00514EF5">
              <w:t>Crop Use or Situation</w:t>
            </w:r>
          </w:p>
        </w:tc>
        <w:tc>
          <w:tcPr>
            <w:tcW w:w="1231" w:type="dxa"/>
            <w:tcBorders>
              <w:top w:val="single" w:sz="4" w:space="0" w:color="auto"/>
              <w:left w:val="nil"/>
              <w:bottom w:val="single" w:sz="4" w:space="0" w:color="auto"/>
              <w:right w:val="single" w:sz="4" w:space="0" w:color="auto"/>
            </w:tcBorders>
            <w:shd w:val="clear" w:color="auto" w:fill="5C2946"/>
            <w:vAlign w:val="center"/>
            <w:hideMark/>
          </w:tcPr>
          <w:p w14:paraId="51549290" w14:textId="77777777" w:rsidR="00CF504F" w:rsidRPr="00514EF5" w:rsidRDefault="00CF504F" w:rsidP="00FD15E2">
            <w:pPr>
              <w:pStyle w:val="TableHead"/>
            </w:pPr>
            <w:r w:rsidRPr="00514EF5">
              <w:t>Weeds controlled</w:t>
            </w:r>
          </w:p>
        </w:tc>
        <w:tc>
          <w:tcPr>
            <w:tcW w:w="1256" w:type="dxa"/>
            <w:tcBorders>
              <w:top w:val="single" w:sz="4" w:space="0" w:color="auto"/>
              <w:left w:val="nil"/>
              <w:bottom w:val="single" w:sz="4" w:space="0" w:color="auto"/>
              <w:right w:val="single" w:sz="4" w:space="0" w:color="auto"/>
            </w:tcBorders>
            <w:shd w:val="clear" w:color="auto" w:fill="5C2946"/>
            <w:vAlign w:val="center"/>
            <w:hideMark/>
          </w:tcPr>
          <w:p w14:paraId="34876F89" w14:textId="77777777" w:rsidR="00CF504F" w:rsidRPr="00514EF5" w:rsidRDefault="00CF504F" w:rsidP="00FD15E2">
            <w:pPr>
              <w:pStyle w:val="TableHead"/>
            </w:pPr>
            <w:r w:rsidRPr="00514EF5">
              <w:t>Rate (Application Method)</w:t>
            </w:r>
          </w:p>
        </w:tc>
        <w:tc>
          <w:tcPr>
            <w:tcW w:w="1807" w:type="dxa"/>
            <w:tcBorders>
              <w:top w:val="single" w:sz="4" w:space="0" w:color="auto"/>
              <w:left w:val="nil"/>
              <w:bottom w:val="single" w:sz="4" w:space="0" w:color="auto"/>
              <w:right w:val="single" w:sz="4" w:space="0" w:color="auto"/>
            </w:tcBorders>
            <w:shd w:val="clear" w:color="auto" w:fill="5C2946"/>
            <w:noWrap/>
            <w:vAlign w:val="center"/>
            <w:hideMark/>
          </w:tcPr>
          <w:p w14:paraId="4ACEB0B6" w14:textId="77777777" w:rsidR="00CF504F" w:rsidRPr="00514EF5" w:rsidRDefault="00CF504F" w:rsidP="00FD15E2">
            <w:pPr>
              <w:pStyle w:val="TableHead"/>
            </w:pPr>
            <w:r w:rsidRPr="00514EF5">
              <w:t xml:space="preserve">Environment Risk Assessment Outcome </w:t>
            </w:r>
          </w:p>
        </w:tc>
        <w:tc>
          <w:tcPr>
            <w:tcW w:w="1484" w:type="dxa"/>
            <w:tcBorders>
              <w:top w:val="single" w:sz="4" w:space="0" w:color="auto"/>
              <w:bottom w:val="single" w:sz="4" w:space="0" w:color="auto"/>
              <w:right w:val="single" w:sz="4" w:space="0" w:color="auto"/>
            </w:tcBorders>
            <w:shd w:val="clear" w:color="auto" w:fill="5C2946"/>
            <w:vAlign w:val="center"/>
          </w:tcPr>
          <w:p w14:paraId="765E1D11" w14:textId="77777777" w:rsidR="00CF504F" w:rsidRPr="00514EF5" w:rsidRDefault="00CF504F" w:rsidP="00FD15E2">
            <w:pPr>
              <w:pStyle w:val="TableHead"/>
            </w:pPr>
            <w:r w:rsidRPr="00514EF5">
              <w:t>Residues and Trade Risk Assessment Outcome</w:t>
            </w:r>
          </w:p>
        </w:tc>
        <w:tc>
          <w:tcPr>
            <w:tcW w:w="1213" w:type="dxa"/>
            <w:tcBorders>
              <w:top w:val="single" w:sz="4" w:space="0" w:color="auto"/>
              <w:bottom w:val="single" w:sz="4" w:space="0" w:color="auto"/>
              <w:right w:val="single" w:sz="4" w:space="0" w:color="auto"/>
            </w:tcBorders>
            <w:shd w:val="clear" w:color="auto" w:fill="5C2946"/>
            <w:vAlign w:val="center"/>
          </w:tcPr>
          <w:p w14:paraId="138E050C" w14:textId="0C13D43D" w:rsidR="00CF504F" w:rsidRPr="00514EF5" w:rsidRDefault="00CF504F" w:rsidP="00FD15E2">
            <w:pPr>
              <w:pStyle w:val="TableHead"/>
            </w:pPr>
            <w:r w:rsidRPr="00514EF5">
              <w:t>Human Health Risk Assessment Outcome</w:t>
            </w:r>
            <w:bookmarkStart w:id="474" w:name="_Ref222816464"/>
            <w:r w:rsidR="00E61669">
              <w:rPr>
                <w:rFonts w:ascii="ZWAdobeF" w:hAnsi="ZWAdobeF" w:cs="ZWAdobeF"/>
                <w:color w:val="auto"/>
                <w:sz w:val="2"/>
                <w:szCs w:val="2"/>
              </w:rPr>
              <w:t>32F</w:t>
            </w:r>
            <w:r w:rsidR="00602535">
              <w:rPr>
                <w:rFonts w:ascii="ZWAdobeF" w:hAnsi="ZWAdobeF" w:cs="ZWAdobeF"/>
                <w:color w:val="auto"/>
                <w:spacing w:val="0"/>
                <w:sz w:val="2"/>
                <w:szCs w:val="2"/>
              </w:rPr>
              <w:t>35F</w:t>
            </w:r>
            <w:r w:rsidRPr="00514EF5">
              <w:rPr>
                <w:vertAlign w:val="superscript"/>
              </w:rPr>
              <w:footnoteReference w:id="37"/>
            </w:r>
            <w:bookmarkEnd w:id="474"/>
          </w:p>
        </w:tc>
        <w:tc>
          <w:tcPr>
            <w:tcW w:w="1456" w:type="dxa"/>
            <w:tcBorders>
              <w:top w:val="single" w:sz="4" w:space="0" w:color="auto"/>
              <w:left w:val="single" w:sz="4" w:space="0" w:color="auto"/>
              <w:bottom w:val="single" w:sz="4" w:space="0" w:color="auto"/>
              <w:right w:val="single" w:sz="4" w:space="0" w:color="auto"/>
            </w:tcBorders>
            <w:shd w:val="clear" w:color="auto" w:fill="5C2946"/>
            <w:vAlign w:val="center"/>
          </w:tcPr>
          <w:p w14:paraId="4A64582E" w14:textId="77777777" w:rsidR="00CF504F" w:rsidRPr="00514EF5" w:rsidRDefault="00CF504F" w:rsidP="00FD15E2">
            <w:pPr>
              <w:pStyle w:val="TableHead"/>
            </w:pPr>
            <w:r w:rsidRPr="00514EF5">
              <w:t>Overall Outcome</w:t>
            </w:r>
          </w:p>
        </w:tc>
      </w:tr>
      <w:tr w:rsidR="00FD15E2" w:rsidRPr="00CF504F" w14:paraId="65DDE37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2E48C30" w14:textId="77777777" w:rsidR="00FD15E2" w:rsidRPr="00355D83" w:rsidRDefault="00FD15E2" w:rsidP="00FD15E2">
            <w:pPr>
              <w:pStyle w:val="TableText"/>
              <w:rPr>
                <w:bCs/>
              </w:rPr>
            </w:pPr>
            <w:r w:rsidRPr="00355D83">
              <w:t>Cotton (short stapled varieties only)</w:t>
            </w:r>
          </w:p>
        </w:tc>
        <w:tc>
          <w:tcPr>
            <w:tcW w:w="1231" w:type="dxa"/>
            <w:tcBorders>
              <w:top w:val="single" w:sz="4" w:space="0" w:color="auto"/>
              <w:left w:val="nil"/>
              <w:bottom w:val="single" w:sz="4" w:space="0" w:color="auto"/>
              <w:right w:val="single" w:sz="4" w:space="0" w:color="auto"/>
            </w:tcBorders>
            <w:vAlign w:val="center"/>
          </w:tcPr>
          <w:p w14:paraId="14E2B3A7" w14:textId="78870752"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5812D992" w14:textId="77777777" w:rsidR="00FD15E2" w:rsidRPr="00355D83" w:rsidRDefault="00FD15E2" w:rsidP="00FD15E2">
            <w:pPr>
              <w:pStyle w:val="TableText"/>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6631A6F4" w14:textId="41D17E5F" w:rsidR="00FD15E2" w:rsidRPr="00355D83" w:rsidRDefault="00FD15E2" w:rsidP="00FD15E2">
            <w:pPr>
              <w:pStyle w:val="TableText"/>
            </w:pPr>
            <w:r w:rsidRPr="00355D83">
              <w:t>Supported</w:t>
            </w:r>
          </w:p>
        </w:tc>
        <w:tc>
          <w:tcPr>
            <w:tcW w:w="1484" w:type="dxa"/>
            <w:tcBorders>
              <w:top w:val="single" w:sz="4" w:space="0" w:color="auto"/>
              <w:bottom w:val="single" w:sz="4" w:space="0" w:color="auto"/>
              <w:right w:val="single" w:sz="4" w:space="0" w:color="auto"/>
            </w:tcBorders>
            <w:vAlign w:val="center"/>
          </w:tcPr>
          <w:p w14:paraId="19DED495" w14:textId="77777777" w:rsidR="00FD15E2" w:rsidRPr="00355D83" w:rsidRDefault="00FD15E2" w:rsidP="00FD15E2">
            <w:pPr>
              <w:pStyle w:val="TableText"/>
              <w:rPr>
                <w:bCs/>
              </w:rPr>
            </w:pPr>
            <w:r w:rsidRPr="00355D83">
              <w:rPr>
                <w:bCs/>
              </w:rPr>
              <w:t>Not supported</w:t>
            </w:r>
          </w:p>
        </w:tc>
        <w:tc>
          <w:tcPr>
            <w:tcW w:w="1213" w:type="dxa"/>
            <w:vMerge w:val="restart"/>
            <w:tcBorders>
              <w:top w:val="single" w:sz="4" w:space="0" w:color="auto"/>
              <w:right w:val="single" w:sz="4" w:space="0" w:color="auto"/>
            </w:tcBorders>
            <w:vAlign w:val="center"/>
          </w:tcPr>
          <w:p w14:paraId="27D05173" w14:textId="640E7220" w:rsidR="00FD15E2" w:rsidRPr="00355D83" w:rsidRDefault="00FD15E2" w:rsidP="00FD15E2">
            <w:pPr>
              <w:pStyle w:val="TableText"/>
              <w:rPr>
                <w:bCs/>
              </w:rPr>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7DD16A09" w14:textId="6E2BD2B0" w:rsidR="00FD15E2" w:rsidRPr="00355D83" w:rsidRDefault="00FD15E2" w:rsidP="00FD15E2">
            <w:pPr>
              <w:pStyle w:val="TableText"/>
              <w:rPr>
                <w:b/>
              </w:rPr>
            </w:pPr>
            <w:r w:rsidRPr="00355D83">
              <w:rPr>
                <w:b/>
              </w:rPr>
              <w:t>Not</w:t>
            </w:r>
            <w:r w:rsidR="003F537D">
              <w:rPr>
                <w:b/>
              </w:rPr>
              <w:t> </w:t>
            </w:r>
            <w:r w:rsidRPr="00355D83">
              <w:rPr>
                <w:b/>
              </w:rPr>
              <w:t>supported</w:t>
            </w:r>
          </w:p>
        </w:tc>
      </w:tr>
      <w:tr w:rsidR="00FD15E2" w:rsidRPr="00CF504F" w14:paraId="68C449BC"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C6D14F2" w14:textId="77777777" w:rsidR="00FD15E2" w:rsidRPr="00355D83" w:rsidRDefault="00FD15E2" w:rsidP="00FD15E2">
            <w:pPr>
              <w:pStyle w:val="TableText"/>
            </w:pPr>
            <w:r w:rsidRPr="00355D83">
              <w:t>Cotton (short stapled varieties only)</w:t>
            </w:r>
          </w:p>
        </w:tc>
        <w:tc>
          <w:tcPr>
            <w:tcW w:w="1231" w:type="dxa"/>
            <w:tcBorders>
              <w:top w:val="single" w:sz="4" w:space="0" w:color="auto"/>
              <w:left w:val="nil"/>
              <w:bottom w:val="single" w:sz="4" w:space="0" w:color="auto"/>
              <w:right w:val="single" w:sz="4" w:space="0" w:color="auto"/>
            </w:tcBorders>
            <w:vAlign w:val="center"/>
          </w:tcPr>
          <w:p w14:paraId="4FC935EB" w14:textId="3E4872F4" w:rsidR="00FD15E2" w:rsidRPr="00355D83" w:rsidRDefault="00FD15E2" w:rsidP="00FD15E2">
            <w:pPr>
              <w:pStyle w:val="TableText"/>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75266670" w14:textId="77777777" w:rsidR="00FD15E2" w:rsidRPr="00355D83" w:rsidRDefault="00FD15E2" w:rsidP="00FD15E2">
            <w:pPr>
              <w:pStyle w:val="TableText"/>
            </w:pPr>
            <w:r w:rsidRPr="00355D83">
              <w:t>140 g ac/ha plus 16.5 L/ha Leafex* (boomspray)</w:t>
            </w:r>
          </w:p>
        </w:tc>
        <w:tc>
          <w:tcPr>
            <w:tcW w:w="1807" w:type="dxa"/>
            <w:tcBorders>
              <w:top w:val="single" w:sz="4" w:space="0" w:color="auto"/>
              <w:left w:val="nil"/>
              <w:bottom w:val="single" w:sz="4" w:space="0" w:color="auto"/>
              <w:right w:val="single" w:sz="4" w:space="0" w:color="auto"/>
            </w:tcBorders>
            <w:noWrap/>
            <w:vAlign w:val="center"/>
          </w:tcPr>
          <w:p w14:paraId="5D34D05F" w14:textId="2D0C0967" w:rsidR="00FD15E2" w:rsidRPr="00355D83" w:rsidRDefault="00FD15E2" w:rsidP="00FD15E2">
            <w:pPr>
              <w:pStyle w:val="TableText"/>
            </w:pPr>
            <w:r w:rsidRPr="00355D83">
              <w:t>Supported</w:t>
            </w:r>
          </w:p>
        </w:tc>
        <w:tc>
          <w:tcPr>
            <w:tcW w:w="1484" w:type="dxa"/>
            <w:tcBorders>
              <w:top w:val="single" w:sz="4" w:space="0" w:color="auto"/>
              <w:bottom w:val="single" w:sz="4" w:space="0" w:color="auto"/>
              <w:right w:val="single" w:sz="4" w:space="0" w:color="auto"/>
            </w:tcBorders>
            <w:vAlign w:val="center"/>
          </w:tcPr>
          <w:p w14:paraId="4E2AA5C0" w14:textId="77777777" w:rsidR="00FD15E2" w:rsidRPr="00355D83" w:rsidRDefault="00FD15E2" w:rsidP="00FD15E2">
            <w:pPr>
              <w:pStyle w:val="TableText"/>
              <w:rPr>
                <w:bCs/>
              </w:rPr>
            </w:pPr>
            <w:r w:rsidRPr="00355D83">
              <w:rPr>
                <w:bCs/>
              </w:rPr>
              <w:t>Not supported</w:t>
            </w:r>
          </w:p>
        </w:tc>
        <w:tc>
          <w:tcPr>
            <w:tcW w:w="1213" w:type="dxa"/>
            <w:vMerge/>
            <w:tcBorders>
              <w:right w:val="single" w:sz="4" w:space="0" w:color="auto"/>
            </w:tcBorders>
            <w:vAlign w:val="center"/>
          </w:tcPr>
          <w:p w14:paraId="55259D67" w14:textId="77777777" w:rsidR="00FD15E2" w:rsidRPr="00355D83" w:rsidRDefault="00FD15E2" w:rsidP="00FD15E2">
            <w:pPr>
              <w:pStyle w:val="TableText"/>
              <w:rPr>
                <w:bCs/>
              </w:rPr>
            </w:pPr>
          </w:p>
        </w:tc>
        <w:tc>
          <w:tcPr>
            <w:tcW w:w="1456" w:type="dxa"/>
            <w:tcBorders>
              <w:top w:val="single" w:sz="4" w:space="0" w:color="auto"/>
              <w:left w:val="single" w:sz="4" w:space="0" w:color="auto"/>
              <w:bottom w:val="single" w:sz="4" w:space="0" w:color="auto"/>
              <w:right w:val="single" w:sz="4" w:space="0" w:color="auto"/>
            </w:tcBorders>
            <w:vAlign w:val="center"/>
          </w:tcPr>
          <w:p w14:paraId="1F144C6A" w14:textId="77777777" w:rsidR="00FD15E2" w:rsidRPr="00355D83" w:rsidRDefault="00FD15E2" w:rsidP="00FD15E2">
            <w:pPr>
              <w:pStyle w:val="TableText"/>
              <w:rPr>
                <w:b/>
              </w:rPr>
            </w:pPr>
            <w:r w:rsidRPr="00355D83">
              <w:rPr>
                <w:b/>
              </w:rPr>
              <w:t>Not supported</w:t>
            </w:r>
          </w:p>
        </w:tc>
      </w:tr>
      <w:tr w:rsidR="00FD15E2" w:rsidRPr="00CF504F" w14:paraId="6B3F61D2"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4D4D9939" w14:textId="4070DFBE" w:rsidR="00FD15E2" w:rsidRPr="00355D83" w:rsidRDefault="00FD15E2" w:rsidP="00FD15E2">
            <w:pPr>
              <w:pStyle w:val="TableText"/>
              <w:rPr>
                <w:bCs/>
              </w:rPr>
            </w:pPr>
            <w:r w:rsidRPr="00355D83">
              <w:t>Dry Beans (Pulses)</w:t>
            </w:r>
          </w:p>
        </w:tc>
        <w:tc>
          <w:tcPr>
            <w:tcW w:w="1231" w:type="dxa"/>
            <w:tcBorders>
              <w:top w:val="single" w:sz="4" w:space="0" w:color="auto"/>
              <w:left w:val="nil"/>
              <w:bottom w:val="single" w:sz="4" w:space="0" w:color="auto"/>
              <w:right w:val="single" w:sz="4" w:space="0" w:color="auto"/>
            </w:tcBorders>
            <w:vAlign w:val="center"/>
          </w:tcPr>
          <w:p w14:paraId="34FBF713" w14:textId="425BCA0C"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414265CD"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2B483168" w14:textId="77777777"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0B9C24A6" w14:textId="77777777" w:rsidR="00FD15E2" w:rsidRPr="00355D83" w:rsidRDefault="00FD15E2" w:rsidP="00FD15E2">
            <w:pPr>
              <w:pStyle w:val="TableText"/>
            </w:pPr>
            <w:r w:rsidRPr="00355D83">
              <w:t>Supported (4 day WHP)</w:t>
            </w:r>
          </w:p>
        </w:tc>
        <w:tc>
          <w:tcPr>
            <w:tcW w:w="1213" w:type="dxa"/>
            <w:vMerge/>
            <w:tcBorders>
              <w:right w:val="single" w:sz="4" w:space="0" w:color="auto"/>
            </w:tcBorders>
            <w:vAlign w:val="center"/>
          </w:tcPr>
          <w:p w14:paraId="00369AD2"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49DE2BB4" w14:textId="77777777" w:rsidR="00FD15E2" w:rsidRPr="00355D83" w:rsidRDefault="00FD15E2" w:rsidP="00FD15E2">
            <w:pPr>
              <w:pStyle w:val="TableText"/>
              <w:rPr>
                <w:b/>
              </w:rPr>
            </w:pPr>
            <w:r w:rsidRPr="00355D83">
              <w:rPr>
                <w:b/>
              </w:rPr>
              <w:t>Not supported</w:t>
            </w:r>
          </w:p>
        </w:tc>
      </w:tr>
      <w:tr w:rsidR="00FD15E2" w:rsidRPr="00CF504F" w14:paraId="033B597A"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79989DD0" w14:textId="6216E873" w:rsidR="00FD15E2" w:rsidRPr="00355D83" w:rsidRDefault="00FD15E2" w:rsidP="00FD15E2">
            <w:pPr>
              <w:pStyle w:val="TableText"/>
              <w:rPr>
                <w:bCs/>
              </w:rPr>
            </w:pPr>
            <w:r w:rsidRPr="00355D83">
              <w:t>Dry Peas (Pulses)</w:t>
            </w:r>
          </w:p>
        </w:tc>
        <w:tc>
          <w:tcPr>
            <w:tcW w:w="1231" w:type="dxa"/>
            <w:tcBorders>
              <w:top w:val="single" w:sz="4" w:space="0" w:color="auto"/>
              <w:left w:val="nil"/>
              <w:bottom w:val="single" w:sz="4" w:space="0" w:color="auto"/>
              <w:right w:val="single" w:sz="4" w:space="0" w:color="auto"/>
            </w:tcBorders>
            <w:vAlign w:val="center"/>
          </w:tcPr>
          <w:p w14:paraId="6EEB1D62" w14:textId="2EA070D3"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4CD33D4D"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5EE380D2" w14:textId="77777777"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58D1EDED" w14:textId="77777777" w:rsidR="00FD15E2" w:rsidRPr="00355D83" w:rsidRDefault="00FD15E2" w:rsidP="00FD15E2">
            <w:pPr>
              <w:pStyle w:val="TableText"/>
            </w:pPr>
            <w:r w:rsidRPr="00355D83">
              <w:t>Supported (4 day WHP)</w:t>
            </w:r>
          </w:p>
        </w:tc>
        <w:tc>
          <w:tcPr>
            <w:tcW w:w="1213" w:type="dxa"/>
            <w:vMerge/>
            <w:tcBorders>
              <w:right w:val="single" w:sz="4" w:space="0" w:color="auto"/>
            </w:tcBorders>
            <w:vAlign w:val="center"/>
          </w:tcPr>
          <w:p w14:paraId="08A17DAF"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365F5B39" w14:textId="77777777" w:rsidR="00FD15E2" w:rsidRPr="00355D83" w:rsidRDefault="00FD15E2" w:rsidP="00FD15E2">
            <w:pPr>
              <w:pStyle w:val="TableText"/>
              <w:rPr>
                <w:b/>
              </w:rPr>
            </w:pPr>
            <w:r w:rsidRPr="00355D83">
              <w:rPr>
                <w:b/>
              </w:rPr>
              <w:t>Not supported</w:t>
            </w:r>
          </w:p>
        </w:tc>
      </w:tr>
      <w:tr w:rsidR="00FD15E2" w:rsidRPr="00CF504F" w14:paraId="73F26A1A"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16E4408A" w14:textId="2E5C0BDF" w:rsidR="00FD15E2" w:rsidRPr="00355D83" w:rsidRDefault="00FD15E2" w:rsidP="00FD15E2">
            <w:pPr>
              <w:pStyle w:val="TableText"/>
              <w:rPr>
                <w:bCs/>
              </w:rPr>
            </w:pPr>
            <w:r w:rsidRPr="00355D83">
              <w:t>Lentils (Pulses)</w:t>
            </w:r>
          </w:p>
        </w:tc>
        <w:tc>
          <w:tcPr>
            <w:tcW w:w="1231" w:type="dxa"/>
            <w:tcBorders>
              <w:top w:val="single" w:sz="4" w:space="0" w:color="auto"/>
              <w:left w:val="nil"/>
              <w:bottom w:val="single" w:sz="4" w:space="0" w:color="auto"/>
              <w:right w:val="single" w:sz="4" w:space="0" w:color="auto"/>
            </w:tcBorders>
            <w:vAlign w:val="center"/>
          </w:tcPr>
          <w:p w14:paraId="4D8CAFD9" w14:textId="2FA01F66"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2942EDC7"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07A8ABE3" w14:textId="482826D8"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6CD6C69B" w14:textId="77777777" w:rsidR="00FD15E2" w:rsidRPr="00355D83" w:rsidRDefault="00FD15E2" w:rsidP="00FD15E2">
            <w:pPr>
              <w:pStyle w:val="TableText"/>
            </w:pPr>
            <w:r w:rsidRPr="00355D83">
              <w:t>Supported (4 day WHP)</w:t>
            </w:r>
          </w:p>
        </w:tc>
        <w:tc>
          <w:tcPr>
            <w:tcW w:w="1213" w:type="dxa"/>
            <w:vMerge/>
            <w:tcBorders>
              <w:right w:val="single" w:sz="4" w:space="0" w:color="auto"/>
            </w:tcBorders>
            <w:vAlign w:val="center"/>
          </w:tcPr>
          <w:p w14:paraId="068E096B"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120C10EF" w14:textId="77777777" w:rsidR="00FD15E2" w:rsidRPr="00355D83" w:rsidRDefault="00FD15E2" w:rsidP="00FD15E2">
            <w:pPr>
              <w:pStyle w:val="TableText"/>
              <w:rPr>
                <w:b/>
              </w:rPr>
            </w:pPr>
            <w:r w:rsidRPr="00355D83">
              <w:rPr>
                <w:b/>
              </w:rPr>
              <w:t>Not supported</w:t>
            </w:r>
          </w:p>
        </w:tc>
      </w:tr>
      <w:tr w:rsidR="00FD15E2" w:rsidRPr="00CF504F" w14:paraId="1F05B82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35DD5A03" w14:textId="67BFDC24" w:rsidR="00FD15E2" w:rsidRPr="00355D83" w:rsidRDefault="00FD15E2" w:rsidP="00FD15E2">
            <w:pPr>
              <w:pStyle w:val="TableText"/>
              <w:rPr>
                <w:bCs/>
              </w:rPr>
            </w:pPr>
            <w:r w:rsidRPr="00355D83">
              <w:t>Chickpeas (Pulses)</w:t>
            </w:r>
          </w:p>
        </w:tc>
        <w:tc>
          <w:tcPr>
            <w:tcW w:w="1231" w:type="dxa"/>
            <w:tcBorders>
              <w:top w:val="single" w:sz="4" w:space="0" w:color="auto"/>
              <w:left w:val="nil"/>
              <w:bottom w:val="single" w:sz="4" w:space="0" w:color="auto"/>
              <w:right w:val="single" w:sz="4" w:space="0" w:color="auto"/>
            </w:tcBorders>
            <w:vAlign w:val="center"/>
          </w:tcPr>
          <w:p w14:paraId="07D2F498" w14:textId="5D345DB1"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42FE13FB"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285156D5" w14:textId="58669F7B"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537CEA44" w14:textId="77777777" w:rsidR="00FD15E2" w:rsidRPr="00355D83" w:rsidRDefault="00FD15E2" w:rsidP="00FD15E2">
            <w:pPr>
              <w:pStyle w:val="TableText"/>
            </w:pPr>
            <w:r w:rsidRPr="00355D83">
              <w:t>Supported (4 day WHP)</w:t>
            </w:r>
          </w:p>
        </w:tc>
        <w:tc>
          <w:tcPr>
            <w:tcW w:w="1213" w:type="dxa"/>
            <w:vMerge/>
            <w:tcBorders>
              <w:right w:val="single" w:sz="4" w:space="0" w:color="auto"/>
            </w:tcBorders>
            <w:vAlign w:val="center"/>
          </w:tcPr>
          <w:p w14:paraId="7A341814"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3B8CAE41" w14:textId="77777777" w:rsidR="00FD15E2" w:rsidRPr="00355D83" w:rsidRDefault="00FD15E2" w:rsidP="00FD15E2">
            <w:pPr>
              <w:pStyle w:val="TableText"/>
              <w:rPr>
                <w:b/>
              </w:rPr>
            </w:pPr>
            <w:r w:rsidRPr="00355D83">
              <w:rPr>
                <w:b/>
              </w:rPr>
              <w:t>Not supported</w:t>
            </w:r>
          </w:p>
        </w:tc>
      </w:tr>
      <w:tr w:rsidR="00FD15E2" w:rsidRPr="00CF504F" w14:paraId="484FEBCB"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3977518B" w14:textId="6A0AD1E1" w:rsidR="00FD15E2" w:rsidRPr="00355D83" w:rsidRDefault="00FD15E2" w:rsidP="00FD15E2">
            <w:pPr>
              <w:pStyle w:val="TableText"/>
              <w:rPr>
                <w:bCs/>
              </w:rPr>
            </w:pPr>
            <w:r w:rsidRPr="00355D83">
              <w:t>Faba Beans (Pulses)</w:t>
            </w:r>
          </w:p>
        </w:tc>
        <w:tc>
          <w:tcPr>
            <w:tcW w:w="1231" w:type="dxa"/>
            <w:tcBorders>
              <w:top w:val="single" w:sz="4" w:space="0" w:color="auto"/>
              <w:left w:val="nil"/>
              <w:bottom w:val="single" w:sz="4" w:space="0" w:color="auto"/>
              <w:right w:val="single" w:sz="4" w:space="0" w:color="auto"/>
            </w:tcBorders>
            <w:vAlign w:val="center"/>
          </w:tcPr>
          <w:p w14:paraId="31800801" w14:textId="0B4651AB"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17BFE548"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37CBC99B" w14:textId="66FE8708"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20021FF8" w14:textId="77777777" w:rsidR="00FD15E2" w:rsidRPr="00355D83" w:rsidRDefault="00FD15E2" w:rsidP="00FD15E2">
            <w:pPr>
              <w:pStyle w:val="TableText"/>
            </w:pPr>
            <w:r w:rsidRPr="00355D83">
              <w:t>Supported (4 day WHP)</w:t>
            </w:r>
          </w:p>
        </w:tc>
        <w:tc>
          <w:tcPr>
            <w:tcW w:w="1213" w:type="dxa"/>
            <w:vMerge/>
            <w:tcBorders>
              <w:right w:val="single" w:sz="4" w:space="0" w:color="auto"/>
            </w:tcBorders>
            <w:vAlign w:val="center"/>
          </w:tcPr>
          <w:p w14:paraId="0C912CB6"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386CFDC3" w14:textId="77777777" w:rsidR="00FD15E2" w:rsidRPr="00355D83" w:rsidRDefault="00FD15E2" w:rsidP="00FD15E2">
            <w:pPr>
              <w:pStyle w:val="TableText"/>
              <w:rPr>
                <w:b/>
              </w:rPr>
            </w:pPr>
            <w:r w:rsidRPr="00355D83">
              <w:rPr>
                <w:b/>
              </w:rPr>
              <w:t>Not supported</w:t>
            </w:r>
          </w:p>
        </w:tc>
      </w:tr>
      <w:tr w:rsidR="00FD15E2" w:rsidRPr="00CF504F" w14:paraId="25CF637F"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3D15AF4D" w14:textId="74B442E8" w:rsidR="00FD15E2" w:rsidRPr="00355D83" w:rsidRDefault="00FD15E2" w:rsidP="00FD15E2">
            <w:pPr>
              <w:pStyle w:val="TableText"/>
              <w:rPr>
                <w:bCs/>
              </w:rPr>
            </w:pPr>
            <w:r w:rsidRPr="00355D83">
              <w:t>Linseed (</w:t>
            </w:r>
            <w:r w:rsidR="00737BBF">
              <w:t>Oilseeds</w:t>
            </w:r>
            <w:r w:rsidRPr="00355D83">
              <w:t>)</w:t>
            </w:r>
          </w:p>
        </w:tc>
        <w:tc>
          <w:tcPr>
            <w:tcW w:w="1231" w:type="dxa"/>
            <w:tcBorders>
              <w:top w:val="single" w:sz="4" w:space="0" w:color="auto"/>
              <w:left w:val="nil"/>
              <w:bottom w:val="single" w:sz="4" w:space="0" w:color="auto"/>
              <w:right w:val="single" w:sz="4" w:space="0" w:color="auto"/>
            </w:tcBorders>
            <w:vAlign w:val="center"/>
          </w:tcPr>
          <w:p w14:paraId="03F2EDAD" w14:textId="5925991E"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1994AB04"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77716F86" w14:textId="07C7F275"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55D054ED" w14:textId="77777777" w:rsidR="00FD15E2" w:rsidRPr="00355D83" w:rsidRDefault="00FD15E2" w:rsidP="00FD15E2">
            <w:pPr>
              <w:pStyle w:val="TableText"/>
            </w:pPr>
            <w:r w:rsidRPr="00355D83">
              <w:t>Supported (7 day WHP)</w:t>
            </w:r>
          </w:p>
        </w:tc>
        <w:tc>
          <w:tcPr>
            <w:tcW w:w="1213" w:type="dxa"/>
            <w:vMerge/>
            <w:tcBorders>
              <w:right w:val="single" w:sz="4" w:space="0" w:color="auto"/>
            </w:tcBorders>
            <w:vAlign w:val="center"/>
          </w:tcPr>
          <w:p w14:paraId="3456DBA5"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033510BA" w14:textId="77777777" w:rsidR="00FD15E2" w:rsidRPr="00355D83" w:rsidRDefault="00FD15E2" w:rsidP="00FD15E2">
            <w:pPr>
              <w:pStyle w:val="TableText"/>
              <w:rPr>
                <w:b/>
              </w:rPr>
            </w:pPr>
            <w:r w:rsidRPr="00355D83">
              <w:rPr>
                <w:b/>
              </w:rPr>
              <w:t>Not supported</w:t>
            </w:r>
          </w:p>
        </w:tc>
      </w:tr>
      <w:tr w:rsidR="00FD15E2" w:rsidRPr="00CF504F" w14:paraId="4046012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2028D443" w14:textId="1CE9E711" w:rsidR="00FD15E2" w:rsidRPr="00355D83" w:rsidRDefault="00FD15E2" w:rsidP="00FD15E2">
            <w:pPr>
              <w:pStyle w:val="TableText"/>
              <w:rPr>
                <w:bCs/>
              </w:rPr>
            </w:pPr>
            <w:r w:rsidRPr="00355D83">
              <w:t>Lupins (Pulses)</w:t>
            </w:r>
          </w:p>
        </w:tc>
        <w:tc>
          <w:tcPr>
            <w:tcW w:w="1231" w:type="dxa"/>
            <w:tcBorders>
              <w:top w:val="single" w:sz="4" w:space="0" w:color="auto"/>
              <w:left w:val="nil"/>
              <w:bottom w:val="single" w:sz="4" w:space="0" w:color="auto"/>
              <w:right w:val="single" w:sz="4" w:space="0" w:color="auto"/>
            </w:tcBorders>
            <w:vAlign w:val="center"/>
          </w:tcPr>
          <w:p w14:paraId="5963BFA4" w14:textId="6DB7DE08" w:rsidR="00FD15E2" w:rsidRPr="00355D83" w:rsidRDefault="00FD15E2"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62BBE459" w14:textId="77777777" w:rsidR="00FD15E2" w:rsidRPr="00355D83" w:rsidRDefault="00FD15E2"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5D340824" w14:textId="622EF44D" w:rsidR="00FD15E2" w:rsidRPr="00355D83" w:rsidRDefault="00FD15E2" w:rsidP="00FD15E2">
            <w:pPr>
              <w:pStyle w:val="TableText"/>
            </w:pPr>
            <w:r w:rsidRPr="00355D83">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302936CE" w14:textId="77777777" w:rsidR="00FD15E2" w:rsidRPr="00355D83" w:rsidRDefault="00FD15E2" w:rsidP="00FD15E2">
            <w:pPr>
              <w:pStyle w:val="TableText"/>
            </w:pPr>
            <w:r w:rsidRPr="00355D83">
              <w:t>Supported (4 day WHP)</w:t>
            </w:r>
          </w:p>
        </w:tc>
        <w:tc>
          <w:tcPr>
            <w:tcW w:w="1213" w:type="dxa"/>
            <w:vMerge/>
            <w:tcBorders>
              <w:bottom w:val="single" w:sz="4" w:space="0" w:color="auto"/>
              <w:right w:val="single" w:sz="4" w:space="0" w:color="auto"/>
            </w:tcBorders>
            <w:vAlign w:val="center"/>
          </w:tcPr>
          <w:p w14:paraId="38283BA0" w14:textId="77777777" w:rsidR="00FD15E2" w:rsidRPr="00355D83" w:rsidRDefault="00FD15E2"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7A844B34" w14:textId="77777777" w:rsidR="00FD15E2" w:rsidRPr="00355D83" w:rsidRDefault="00FD15E2" w:rsidP="00FD15E2">
            <w:pPr>
              <w:pStyle w:val="TableText"/>
              <w:rPr>
                <w:b/>
              </w:rPr>
            </w:pPr>
            <w:r w:rsidRPr="00355D83">
              <w:rPr>
                <w:b/>
              </w:rPr>
              <w:t>Not supported</w:t>
            </w:r>
          </w:p>
        </w:tc>
      </w:tr>
      <w:tr w:rsidR="00FE4450" w:rsidRPr="00CF504F" w14:paraId="09C48B95"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58A7FBC7" w14:textId="02B3C7B3" w:rsidR="00FE4450" w:rsidRPr="00355D83" w:rsidRDefault="00FE4450" w:rsidP="00FD15E2">
            <w:pPr>
              <w:pStyle w:val="TableText"/>
              <w:rPr>
                <w:bCs/>
              </w:rPr>
            </w:pPr>
            <w:r w:rsidRPr="00355D83">
              <w:lastRenderedPageBreak/>
              <w:t>Mung beans (Pulses)</w:t>
            </w:r>
          </w:p>
        </w:tc>
        <w:tc>
          <w:tcPr>
            <w:tcW w:w="1231" w:type="dxa"/>
            <w:tcBorders>
              <w:top w:val="single" w:sz="4" w:space="0" w:color="auto"/>
              <w:left w:val="nil"/>
              <w:bottom w:val="single" w:sz="4" w:space="0" w:color="auto"/>
              <w:right w:val="single" w:sz="4" w:space="0" w:color="auto"/>
            </w:tcBorders>
            <w:vAlign w:val="center"/>
          </w:tcPr>
          <w:p w14:paraId="3F72F8BB" w14:textId="2B529784" w:rsidR="00FE4450" w:rsidRPr="00355D83" w:rsidRDefault="00FE4450"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38BCE5F1" w14:textId="77777777" w:rsidR="00FE4450" w:rsidRPr="00355D83" w:rsidRDefault="00FE4450"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41CE1762" w14:textId="77777777" w:rsidR="00FE4450" w:rsidRPr="00355D83" w:rsidRDefault="00FE4450"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1A63D35C" w14:textId="2155410F" w:rsidR="00FE4450" w:rsidRPr="00355D83" w:rsidRDefault="00FE4450" w:rsidP="00FD15E2">
            <w:pPr>
              <w:pStyle w:val="TableText"/>
            </w:pPr>
            <w:r w:rsidRPr="00355D83">
              <w:t>Supported (4</w:t>
            </w:r>
            <w:r w:rsidR="003F537D">
              <w:t> </w:t>
            </w:r>
            <w:r w:rsidRPr="00355D83">
              <w:t>day WHP)</w:t>
            </w:r>
          </w:p>
        </w:tc>
        <w:tc>
          <w:tcPr>
            <w:tcW w:w="1213" w:type="dxa"/>
            <w:vMerge w:val="restart"/>
            <w:tcBorders>
              <w:top w:val="single" w:sz="4" w:space="0" w:color="auto"/>
              <w:right w:val="single" w:sz="4" w:space="0" w:color="auto"/>
            </w:tcBorders>
            <w:vAlign w:val="center"/>
          </w:tcPr>
          <w:p w14:paraId="02B03237" w14:textId="45B5AD93" w:rsidR="00FE4450" w:rsidRPr="00355D83" w:rsidRDefault="00FE4450"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3C830787" w14:textId="77777777" w:rsidR="00FE4450" w:rsidRPr="00355D83" w:rsidRDefault="00FE4450" w:rsidP="00FD15E2">
            <w:pPr>
              <w:pStyle w:val="TableText"/>
              <w:rPr>
                <w:b/>
                <w:bCs/>
              </w:rPr>
            </w:pPr>
            <w:r w:rsidRPr="00355D83">
              <w:rPr>
                <w:b/>
                <w:bCs/>
              </w:rPr>
              <w:t>Not supported</w:t>
            </w:r>
          </w:p>
        </w:tc>
      </w:tr>
      <w:tr w:rsidR="00FE4450" w:rsidRPr="00CF504F" w14:paraId="26A11DB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542B8CD3" w14:textId="77777777" w:rsidR="00FE4450" w:rsidRPr="00355D83" w:rsidRDefault="00FE4450" w:rsidP="00FD15E2">
            <w:pPr>
              <w:pStyle w:val="TableText"/>
              <w:rPr>
                <w:bCs/>
              </w:rPr>
            </w:pPr>
            <w:r w:rsidRPr="00355D83">
              <w:t>Perennial legume seed crops (Lucerne)</w:t>
            </w:r>
          </w:p>
        </w:tc>
        <w:tc>
          <w:tcPr>
            <w:tcW w:w="1231" w:type="dxa"/>
            <w:tcBorders>
              <w:top w:val="single" w:sz="4" w:space="0" w:color="auto"/>
              <w:left w:val="nil"/>
              <w:bottom w:val="single" w:sz="4" w:space="0" w:color="auto"/>
              <w:right w:val="single" w:sz="4" w:space="0" w:color="auto"/>
            </w:tcBorders>
            <w:vAlign w:val="center"/>
          </w:tcPr>
          <w:p w14:paraId="25C64F40" w14:textId="488AE82B" w:rsidR="00FE4450" w:rsidRPr="00355D83" w:rsidRDefault="00FE4450"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43DB0080" w14:textId="77777777" w:rsidR="00FE4450" w:rsidRPr="00355D83" w:rsidRDefault="00FE4450" w:rsidP="00FD15E2">
            <w:pPr>
              <w:pStyle w:val="TableText"/>
              <w:rPr>
                <w:bCs/>
              </w:rPr>
            </w:pPr>
            <w:r w:rsidRPr="00355D83">
              <w:t>300-600 g ac/ha (boomspray)</w:t>
            </w:r>
          </w:p>
        </w:tc>
        <w:tc>
          <w:tcPr>
            <w:tcW w:w="1807" w:type="dxa"/>
            <w:tcBorders>
              <w:top w:val="single" w:sz="4" w:space="0" w:color="auto"/>
              <w:left w:val="nil"/>
              <w:bottom w:val="single" w:sz="4" w:space="0" w:color="auto"/>
              <w:right w:val="single" w:sz="4" w:space="0" w:color="auto"/>
            </w:tcBorders>
            <w:noWrap/>
            <w:vAlign w:val="center"/>
          </w:tcPr>
          <w:p w14:paraId="43AEF575" w14:textId="77777777" w:rsidR="00FE4450" w:rsidRPr="00355D83" w:rsidRDefault="00FE4450"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2A0B63DE" w14:textId="471D7EBD" w:rsidR="00FE4450" w:rsidRPr="00355D83" w:rsidRDefault="00FE4450" w:rsidP="00FD15E2">
            <w:pPr>
              <w:pStyle w:val="TableText"/>
            </w:pPr>
            <w:r w:rsidRPr="00355D83">
              <w:t>Supported (4</w:t>
            </w:r>
            <w:r w:rsidR="003F537D">
              <w:t> </w:t>
            </w:r>
            <w:r w:rsidRPr="00355D83">
              <w:t>day harvest, 1 day grazing WHP)</w:t>
            </w:r>
          </w:p>
        </w:tc>
        <w:tc>
          <w:tcPr>
            <w:tcW w:w="1213" w:type="dxa"/>
            <w:vMerge/>
            <w:tcBorders>
              <w:right w:val="single" w:sz="4" w:space="0" w:color="auto"/>
            </w:tcBorders>
            <w:vAlign w:val="center"/>
          </w:tcPr>
          <w:p w14:paraId="120317BD" w14:textId="65D0AF26" w:rsidR="00FE4450" w:rsidRPr="00355D83" w:rsidRDefault="00FE4450"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1BB26A34" w14:textId="77777777" w:rsidR="00FE4450" w:rsidRPr="00355D83" w:rsidRDefault="00FE4450" w:rsidP="00FD15E2">
            <w:pPr>
              <w:pStyle w:val="TableText"/>
              <w:rPr>
                <w:b/>
                <w:bCs/>
              </w:rPr>
            </w:pPr>
            <w:r w:rsidRPr="00355D83">
              <w:rPr>
                <w:b/>
                <w:bCs/>
              </w:rPr>
              <w:t>Not supported</w:t>
            </w:r>
          </w:p>
        </w:tc>
      </w:tr>
      <w:tr w:rsidR="00FE4450" w:rsidRPr="00CF504F" w14:paraId="6289304A"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DFEB521" w14:textId="77777777" w:rsidR="00FE4450" w:rsidRPr="00355D83" w:rsidRDefault="00FE4450" w:rsidP="00FD15E2">
            <w:pPr>
              <w:pStyle w:val="TableText"/>
              <w:rPr>
                <w:bCs/>
              </w:rPr>
            </w:pPr>
            <w:r w:rsidRPr="00355D83">
              <w:t>Perennial legume seed crops (Red clover)</w:t>
            </w:r>
          </w:p>
        </w:tc>
        <w:tc>
          <w:tcPr>
            <w:tcW w:w="1231" w:type="dxa"/>
            <w:tcBorders>
              <w:top w:val="single" w:sz="4" w:space="0" w:color="auto"/>
              <w:left w:val="nil"/>
              <w:bottom w:val="single" w:sz="4" w:space="0" w:color="auto"/>
              <w:right w:val="single" w:sz="4" w:space="0" w:color="auto"/>
            </w:tcBorders>
            <w:vAlign w:val="center"/>
          </w:tcPr>
          <w:p w14:paraId="7F7761D1" w14:textId="60401F94" w:rsidR="00FE4450" w:rsidRPr="00355D83" w:rsidRDefault="00FE4450"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21F07CEC" w14:textId="77777777" w:rsidR="00FE4450" w:rsidRPr="00355D83" w:rsidRDefault="00FE4450" w:rsidP="00FD15E2">
            <w:pPr>
              <w:pStyle w:val="TableText"/>
              <w:rPr>
                <w:bCs/>
              </w:rPr>
            </w:pPr>
            <w:r w:rsidRPr="00355D83">
              <w:t>300-600 g ac/ha (boomspray)</w:t>
            </w:r>
          </w:p>
        </w:tc>
        <w:tc>
          <w:tcPr>
            <w:tcW w:w="1807" w:type="dxa"/>
            <w:tcBorders>
              <w:top w:val="single" w:sz="4" w:space="0" w:color="auto"/>
              <w:left w:val="nil"/>
              <w:bottom w:val="single" w:sz="4" w:space="0" w:color="auto"/>
              <w:right w:val="single" w:sz="4" w:space="0" w:color="auto"/>
            </w:tcBorders>
            <w:noWrap/>
            <w:vAlign w:val="center"/>
          </w:tcPr>
          <w:p w14:paraId="21F53617" w14:textId="77777777" w:rsidR="00FE4450" w:rsidRPr="00355D83" w:rsidRDefault="00FE4450"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5728C75A" w14:textId="343B0521" w:rsidR="00FE4450" w:rsidRPr="00355D83" w:rsidRDefault="00FE4450" w:rsidP="00FD15E2">
            <w:pPr>
              <w:pStyle w:val="TableText"/>
            </w:pPr>
            <w:r w:rsidRPr="00355D83">
              <w:t>Supported (4</w:t>
            </w:r>
            <w:r w:rsidR="003F537D">
              <w:t> </w:t>
            </w:r>
            <w:r w:rsidRPr="00355D83">
              <w:t>day harvest, 1 day grazing WHP)</w:t>
            </w:r>
          </w:p>
        </w:tc>
        <w:tc>
          <w:tcPr>
            <w:tcW w:w="1213" w:type="dxa"/>
            <w:vMerge/>
            <w:tcBorders>
              <w:right w:val="single" w:sz="4" w:space="0" w:color="auto"/>
            </w:tcBorders>
            <w:vAlign w:val="center"/>
          </w:tcPr>
          <w:p w14:paraId="5274ADF9" w14:textId="77777777" w:rsidR="00FE4450" w:rsidRPr="00355D83" w:rsidRDefault="00FE4450"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614300F9" w14:textId="77777777" w:rsidR="00FE4450" w:rsidRPr="00355D83" w:rsidRDefault="00FE4450" w:rsidP="00FD15E2">
            <w:pPr>
              <w:pStyle w:val="TableText"/>
              <w:rPr>
                <w:b/>
                <w:bCs/>
              </w:rPr>
            </w:pPr>
            <w:r w:rsidRPr="00355D83">
              <w:rPr>
                <w:b/>
                <w:bCs/>
              </w:rPr>
              <w:t>Not supported</w:t>
            </w:r>
          </w:p>
        </w:tc>
      </w:tr>
      <w:tr w:rsidR="00FE4450" w:rsidRPr="00CF504F" w14:paraId="27752DEC"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440E6CEF" w14:textId="77777777" w:rsidR="00FE4450" w:rsidRPr="00355D83" w:rsidRDefault="00FE4450" w:rsidP="00FD15E2">
            <w:pPr>
              <w:pStyle w:val="TableText"/>
              <w:rPr>
                <w:bCs/>
              </w:rPr>
            </w:pPr>
            <w:r w:rsidRPr="00355D83">
              <w:t>Perennial legume seed crops (White clover)</w:t>
            </w:r>
          </w:p>
        </w:tc>
        <w:tc>
          <w:tcPr>
            <w:tcW w:w="1231" w:type="dxa"/>
            <w:tcBorders>
              <w:top w:val="single" w:sz="4" w:space="0" w:color="auto"/>
              <w:left w:val="nil"/>
              <w:bottom w:val="single" w:sz="4" w:space="0" w:color="auto"/>
              <w:right w:val="single" w:sz="4" w:space="0" w:color="auto"/>
            </w:tcBorders>
            <w:vAlign w:val="center"/>
          </w:tcPr>
          <w:p w14:paraId="7875F5CC" w14:textId="7ABFEA99" w:rsidR="00FE4450" w:rsidRPr="00355D83" w:rsidRDefault="00FE4450"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60637F4E" w14:textId="77777777" w:rsidR="00FE4450" w:rsidRPr="00355D83" w:rsidRDefault="00FE4450" w:rsidP="00FD15E2">
            <w:pPr>
              <w:pStyle w:val="TableText"/>
              <w:rPr>
                <w:bCs/>
              </w:rPr>
            </w:pPr>
            <w:r w:rsidRPr="00355D83">
              <w:t>300-600 g ac/ha (boomspray)</w:t>
            </w:r>
          </w:p>
        </w:tc>
        <w:tc>
          <w:tcPr>
            <w:tcW w:w="1807" w:type="dxa"/>
            <w:tcBorders>
              <w:top w:val="single" w:sz="4" w:space="0" w:color="auto"/>
              <w:left w:val="nil"/>
              <w:bottom w:val="single" w:sz="4" w:space="0" w:color="auto"/>
              <w:right w:val="single" w:sz="4" w:space="0" w:color="auto"/>
            </w:tcBorders>
            <w:noWrap/>
            <w:vAlign w:val="center"/>
          </w:tcPr>
          <w:p w14:paraId="6417B843" w14:textId="77777777" w:rsidR="00FE4450" w:rsidRPr="00355D83" w:rsidRDefault="00FE4450"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7D04D5E0" w14:textId="48758339" w:rsidR="00FE4450" w:rsidRPr="00355D83" w:rsidRDefault="00FE4450" w:rsidP="00FD15E2">
            <w:pPr>
              <w:pStyle w:val="TableText"/>
            </w:pPr>
            <w:r w:rsidRPr="00355D83">
              <w:t>Supported (4</w:t>
            </w:r>
            <w:r w:rsidR="003F537D">
              <w:t> </w:t>
            </w:r>
            <w:r w:rsidRPr="00355D83">
              <w:t>day harvest, 1 day grazing WHP)</w:t>
            </w:r>
          </w:p>
        </w:tc>
        <w:tc>
          <w:tcPr>
            <w:tcW w:w="1213" w:type="dxa"/>
            <w:vMerge/>
            <w:tcBorders>
              <w:right w:val="single" w:sz="4" w:space="0" w:color="auto"/>
            </w:tcBorders>
            <w:vAlign w:val="center"/>
          </w:tcPr>
          <w:p w14:paraId="3D8DF606" w14:textId="77777777" w:rsidR="00FE4450" w:rsidRPr="00355D83" w:rsidRDefault="00FE4450"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0A242391" w14:textId="77777777" w:rsidR="00FE4450" w:rsidRPr="00355D83" w:rsidRDefault="00FE4450" w:rsidP="00FD15E2">
            <w:pPr>
              <w:pStyle w:val="TableText"/>
              <w:rPr>
                <w:b/>
                <w:bCs/>
              </w:rPr>
            </w:pPr>
            <w:r w:rsidRPr="00355D83">
              <w:rPr>
                <w:b/>
                <w:bCs/>
              </w:rPr>
              <w:t>Not supported</w:t>
            </w:r>
          </w:p>
        </w:tc>
      </w:tr>
      <w:tr w:rsidR="00FE4450" w:rsidRPr="00CF504F" w14:paraId="5C14104C"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556F6BB5" w14:textId="5A88E010" w:rsidR="00FE4450" w:rsidRPr="00355D83" w:rsidRDefault="00FE4450" w:rsidP="00FD15E2">
            <w:pPr>
              <w:pStyle w:val="TableText"/>
              <w:rPr>
                <w:bCs/>
              </w:rPr>
            </w:pPr>
            <w:r w:rsidRPr="00355D83">
              <w:t>Pigeon peas (Pulses)</w:t>
            </w:r>
          </w:p>
        </w:tc>
        <w:tc>
          <w:tcPr>
            <w:tcW w:w="1231" w:type="dxa"/>
            <w:tcBorders>
              <w:top w:val="single" w:sz="4" w:space="0" w:color="auto"/>
              <w:left w:val="nil"/>
              <w:bottom w:val="single" w:sz="4" w:space="0" w:color="auto"/>
              <w:right w:val="single" w:sz="4" w:space="0" w:color="auto"/>
            </w:tcBorders>
            <w:vAlign w:val="center"/>
          </w:tcPr>
          <w:p w14:paraId="2E83E8B4" w14:textId="5EAEDAEF" w:rsidR="00FE4450" w:rsidRPr="00355D83" w:rsidRDefault="00FE4450"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15831517" w14:textId="77777777" w:rsidR="00FE4450" w:rsidRPr="00355D83" w:rsidRDefault="00FE4450"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60CCC2B5" w14:textId="77777777" w:rsidR="00FE4450" w:rsidRPr="00355D83" w:rsidRDefault="00FE4450"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2A56922A" w14:textId="03EA8251" w:rsidR="00FE4450" w:rsidRPr="00355D83" w:rsidRDefault="00FE4450" w:rsidP="00FD15E2">
            <w:pPr>
              <w:pStyle w:val="TableText"/>
            </w:pPr>
            <w:r w:rsidRPr="00355D83">
              <w:t>Supported (4</w:t>
            </w:r>
            <w:r w:rsidR="003F537D">
              <w:t> </w:t>
            </w:r>
            <w:r w:rsidRPr="00355D83">
              <w:t>day WHP)</w:t>
            </w:r>
          </w:p>
        </w:tc>
        <w:tc>
          <w:tcPr>
            <w:tcW w:w="1213" w:type="dxa"/>
            <w:vMerge/>
            <w:tcBorders>
              <w:bottom w:val="single" w:sz="4" w:space="0" w:color="auto"/>
              <w:right w:val="single" w:sz="4" w:space="0" w:color="auto"/>
            </w:tcBorders>
            <w:vAlign w:val="center"/>
          </w:tcPr>
          <w:p w14:paraId="56322B20" w14:textId="77777777" w:rsidR="00FE4450" w:rsidRPr="00355D83" w:rsidRDefault="00FE4450"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5DAD4A9B" w14:textId="77777777" w:rsidR="00FE4450" w:rsidRPr="00C571EB" w:rsidRDefault="00FE4450" w:rsidP="00FD15E2">
            <w:pPr>
              <w:pStyle w:val="TableText"/>
              <w:rPr>
                <w:b/>
                <w:bCs/>
              </w:rPr>
            </w:pPr>
            <w:r w:rsidRPr="00C571EB">
              <w:rPr>
                <w:b/>
                <w:bCs/>
              </w:rPr>
              <w:t>Not supported</w:t>
            </w:r>
          </w:p>
        </w:tc>
      </w:tr>
      <w:tr w:rsidR="00CF504F" w:rsidRPr="00CF504F" w14:paraId="1229A982"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08C21458" w14:textId="77777777" w:rsidR="00CF504F" w:rsidRPr="00355D83" w:rsidRDefault="00CF504F" w:rsidP="00FD15E2">
            <w:pPr>
              <w:pStyle w:val="TableText"/>
              <w:rPr>
                <w:bCs/>
              </w:rPr>
            </w:pPr>
            <w:r w:rsidRPr="00355D83">
              <w:t>Poppies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18933A8E" w14:textId="46884D17" w:rsidR="00CF504F" w:rsidRPr="00C571EB" w:rsidRDefault="00FE4450" w:rsidP="00FD15E2">
            <w:pPr>
              <w:pStyle w:val="TableText"/>
            </w:pPr>
            <w:r w:rsidRPr="00C571EB">
              <w:t>Pre-harvest crop desiccation</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633A111B" w14:textId="77777777" w:rsidR="00CF504F" w:rsidRPr="00355D83" w:rsidRDefault="00CF504F" w:rsidP="00FD15E2">
            <w:pPr>
              <w:pStyle w:val="TableText"/>
              <w:rPr>
                <w:bCs/>
              </w:rPr>
            </w:pPr>
            <w:r w:rsidRPr="00355D83">
              <w:t>600-800 g ac/ha (boomspray)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45AF2980" w14:textId="2254A250" w:rsidR="00CF504F" w:rsidRPr="00355D83" w:rsidRDefault="00CF504F" w:rsidP="00FD15E2">
            <w:pPr>
              <w:pStyle w:val="TableText"/>
            </w:pPr>
            <w:r w:rsidRPr="00355D83">
              <w:t>Supported</w:t>
            </w:r>
            <w:r w:rsidR="00FE4450" w:rsidRPr="00355D83">
              <w:t xml:space="preserve"> up to 800 g ac/ha (WOE argument</w:t>
            </w:r>
            <w:r w:rsidR="000C7388">
              <w:t>, Tas only</w:t>
            </w:r>
            <w:r w:rsidR="00FE4450" w:rsidRPr="00355D83">
              <w:t>)</w:t>
            </w:r>
          </w:p>
        </w:tc>
        <w:tc>
          <w:tcPr>
            <w:tcW w:w="1484" w:type="dxa"/>
            <w:tcBorders>
              <w:top w:val="single" w:sz="4" w:space="0" w:color="auto"/>
              <w:bottom w:val="single" w:sz="4" w:space="0" w:color="auto"/>
              <w:right w:val="single" w:sz="4" w:space="0" w:color="auto"/>
            </w:tcBorders>
            <w:shd w:val="clear" w:color="auto" w:fill="F2E18B"/>
            <w:vAlign w:val="center"/>
          </w:tcPr>
          <w:p w14:paraId="6BD7F488" w14:textId="564F9CDF" w:rsidR="00CF504F" w:rsidRPr="00355D83" w:rsidRDefault="00CF504F" w:rsidP="00FD15E2">
            <w:pPr>
              <w:pStyle w:val="TableText"/>
            </w:pPr>
            <w:r w:rsidRPr="00355D83">
              <w:t>Supported (2</w:t>
            </w:r>
            <w:r w:rsidR="003F537D">
              <w:t> </w:t>
            </w:r>
            <w:r w:rsidRPr="00355D83">
              <w:t>day WHP)</w:t>
            </w:r>
          </w:p>
        </w:tc>
        <w:tc>
          <w:tcPr>
            <w:tcW w:w="1213" w:type="dxa"/>
            <w:tcBorders>
              <w:top w:val="single" w:sz="4" w:space="0" w:color="auto"/>
              <w:bottom w:val="single" w:sz="4" w:space="0" w:color="auto"/>
              <w:right w:val="single" w:sz="4" w:space="0" w:color="auto"/>
            </w:tcBorders>
            <w:shd w:val="clear" w:color="auto" w:fill="F2E18B"/>
            <w:vAlign w:val="center"/>
          </w:tcPr>
          <w:p w14:paraId="56CCE7DC" w14:textId="153C23BA" w:rsidR="00CF504F" w:rsidRPr="00355D83" w:rsidRDefault="00FE4450" w:rsidP="00FD15E2">
            <w:pPr>
              <w:pStyle w:val="TableText"/>
            </w:pPr>
            <w:r w:rsidRPr="00355D83">
              <w:t>Supported</w:t>
            </w:r>
            <w:r w:rsidR="00120FCD" w:rsidRPr="00355D83">
              <w:t xml:space="preserve"> </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0DE7D6D7" w14:textId="66858EAA" w:rsidR="00CF504F" w:rsidRPr="00355D83" w:rsidRDefault="00120FCD" w:rsidP="00FD15E2">
            <w:pPr>
              <w:pStyle w:val="TableText"/>
            </w:pPr>
            <w:r w:rsidRPr="00355D83">
              <w:t>Supported</w:t>
            </w:r>
          </w:p>
        </w:tc>
      </w:tr>
      <w:tr w:rsidR="000E2E45" w:rsidRPr="00CF504F" w14:paraId="6F5CDDB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6358AAEE" w14:textId="77777777" w:rsidR="000E2E45" w:rsidRPr="00355D83" w:rsidRDefault="000E2E45" w:rsidP="00FD15E2">
            <w:pPr>
              <w:pStyle w:val="TableText"/>
              <w:rPr>
                <w:bCs/>
              </w:rPr>
            </w:pPr>
            <w:r w:rsidRPr="00355D83">
              <w:t>Potato (Haulm desiccation)</w:t>
            </w:r>
          </w:p>
        </w:tc>
        <w:tc>
          <w:tcPr>
            <w:tcW w:w="1231" w:type="dxa"/>
            <w:tcBorders>
              <w:top w:val="single" w:sz="4" w:space="0" w:color="auto"/>
              <w:left w:val="nil"/>
              <w:bottom w:val="single" w:sz="4" w:space="0" w:color="auto"/>
              <w:right w:val="single" w:sz="4" w:space="0" w:color="auto"/>
            </w:tcBorders>
            <w:vAlign w:val="center"/>
          </w:tcPr>
          <w:p w14:paraId="5BA249F8" w14:textId="52FD19E4" w:rsidR="000E2E45" w:rsidRPr="00355D83" w:rsidRDefault="000E2E45"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7BFCA34E" w14:textId="77777777" w:rsidR="000E2E45" w:rsidRPr="00355D83" w:rsidRDefault="000E2E45" w:rsidP="00FD15E2">
            <w:pPr>
              <w:pStyle w:val="TableText"/>
              <w:rPr>
                <w:bCs/>
              </w:rPr>
            </w:pPr>
            <w:r w:rsidRPr="00355D83">
              <w:t>600-800 g ac/ha (boomspray)</w:t>
            </w:r>
          </w:p>
        </w:tc>
        <w:tc>
          <w:tcPr>
            <w:tcW w:w="1807" w:type="dxa"/>
            <w:tcBorders>
              <w:top w:val="single" w:sz="4" w:space="0" w:color="auto"/>
              <w:left w:val="nil"/>
              <w:bottom w:val="single" w:sz="4" w:space="0" w:color="auto"/>
              <w:right w:val="single" w:sz="4" w:space="0" w:color="auto"/>
            </w:tcBorders>
            <w:noWrap/>
            <w:vAlign w:val="center"/>
          </w:tcPr>
          <w:p w14:paraId="2611DCFA" w14:textId="77777777" w:rsidR="000E2E45" w:rsidRPr="00355D83" w:rsidRDefault="000E2E45" w:rsidP="00FD15E2">
            <w:pPr>
              <w:pStyle w:val="TableText"/>
            </w:pPr>
            <w:r w:rsidRPr="00735C60">
              <w:rPr>
                <w:b/>
                <w:bCs/>
              </w:rPr>
              <w:t xml:space="preserve">Not supported </w:t>
            </w:r>
            <w:r w:rsidRPr="00355D83">
              <w:t>(max. 278 g ac/ha)</w:t>
            </w:r>
          </w:p>
        </w:tc>
        <w:tc>
          <w:tcPr>
            <w:tcW w:w="1484" w:type="dxa"/>
            <w:tcBorders>
              <w:top w:val="single" w:sz="4" w:space="0" w:color="auto"/>
              <w:bottom w:val="single" w:sz="4" w:space="0" w:color="auto"/>
              <w:right w:val="single" w:sz="4" w:space="0" w:color="auto"/>
            </w:tcBorders>
            <w:vAlign w:val="center"/>
          </w:tcPr>
          <w:p w14:paraId="16571D31" w14:textId="4BF79C5F" w:rsidR="000E2E45" w:rsidRPr="00355D83" w:rsidRDefault="000E2E45" w:rsidP="00FD15E2">
            <w:pPr>
              <w:pStyle w:val="TableText"/>
            </w:pPr>
            <w:r w:rsidRPr="00355D83">
              <w:t>Supported (7</w:t>
            </w:r>
            <w:r>
              <w:t> </w:t>
            </w:r>
            <w:r w:rsidRPr="00355D83">
              <w:t>day WHP)</w:t>
            </w:r>
          </w:p>
        </w:tc>
        <w:tc>
          <w:tcPr>
            <w:tcW w:w="1213" w:type="dxa"/>
            <w:vMerge w:val="restart"/>
            <w:tcBorders>
              <w:top w:val="single" w:sz="4" w:space="0" w:color="auto"/>
              <w:right w:val="single" w:sz="4" w:space="0" w:color="auto"/>
            </w:tcBorders>
            <w:vAlign w:val="center"/>
          </w:tcPr>
          <w:p w14:paraId="2707A763" w14:textId="7E43F45E" w:rsidR="000E2E45" w:rsidRPr="00355D83" w:rsidRDefault="000E2E45"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6BAD387C" w14:textId="77777777" w:rsidR="000E2E45" w:rsidRPr="00C571EB" w:rsidRDefault="000E2E45" w:rsidP="00FD15E2">
            <w:pPr>
              <w:pStyle w:val="TableText"/>
              <w:rPr>
                <w:b/>
                <w:bCs/>
              </w:rPr>
            </w:pPr>
            <w:r w:rsidRPr="00C571EB">
              <w:rPr>
                <w:b/>
                <w:bCs/>
              </w:rPr>
              <w:t>Not supported</w:t>
            </w:r>
          </w:p>
        </w:tc>
      </w:tr>
      <w:tr w:rsidR="000E2E45" w:rsidRPr="00CF504F" w14:paraId="736EE89E"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58B37CB1" w14:textId="77777777" w:rsidR="000E2E45" w:rsidRPr="00355D83" w:rsidRDefault="000E2E45" w:rsidP="00FD15E2">
            <w:pPr>
              <w:pStyle w:val="TableText"/>
              <w:rPr>
                <w:bCs/>
              </w:rPr>
            </w:pPr>
            <w:r w:rsidRPr="00355D83">
              <w:t>Potato (Ground stored–preharvest weed control)</w:t>
            </w:r>
          </w:p>
        </w:tc>
        <w:tc>
          <w:tcPr>
            <w:tcW w:w="1231" w:type="dxa"/>
            <w:tcBorders>
              <w:top w:val="single" w:sz="4" w:space="0" w:color="auto"/>
              <w:left w:val="nil"/>
              <w:bottom w:val="single" w:sz="4" w:space="0" w:color="auto"/>
              <w:right w:val="single" w:sz="4" w:space="0" w:color="auto"/>
            </w:tcBorders>
            <w:vAlign w:val="center"/>
          </w:tcPr>
          <w:p w14:paraId="78C374D4" w14:textId="52D73145" w:rsidR="000E2E45" w:rsidRPr="00355D83" w:rsidRDefault="000E2E45"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7D65E3BF" w14:textId="77777777" w:rsidR="000E2E45" w:rsidRPr="00355D83" w:rsidRDefault="000E2E45" w:rsidP="00FD15E2">
            <w:pPr>
              <w:pStyle w:val="TableText"/>
              <w:rPr>
                <w:bCs/>
              </w:rPr>
            </w:pPr>
            <w:r w:rsidRPr="00355D83">
              <w:t>300 g ac/ha (boomspray)</w:t>
            </w:r>
          </w:p>
        </w:tc>
        <w:tc>
          <w:tcPr>
            <w:tcW w:w="1807" w:type="dxa"/>
            <w:tcBorders>
              <w:top w:val="single" w:sz="4" w:space="0" w:color="auto"/>
              <w:left w:val="nil"/>
              <w:bottom w:val="single" w:sz="4" w:space="0" w:color="auto"/>
              <w:right w:val="single" w:sz="4" w:space="0" w:color="auto"/>
            </w:tcBorders>
            <w:noWrap/>
            <w:vAlign w:val="center"/>
          </w:tcPr>
          <w:p w14:paraId="48DF049B" w14:textId="77777777" w:rsidR="000E2E45" w:rsidRPr="00355D83" w:rsidRDefault="000E2E45"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2EC08FA4" w14:textId="4F18BBE5" w:rsidR="000E2E45" w:rsidRPr="00355D83" w:rsidRDefault="000E2E45" w:rsidP="00FD15E2">
            <w:pPr>
              <w:pStyle w:val="TableText"/>
            </w:pPr>
            <w:r w:rsidRPr="00355D83">
              <w:t>Supported (7</w:t>
            </w:r>
            <w:r>
              <w:t> </w:t>
            </w:r>
            <w:r w:rsidRPr="00355D83">
              <w:t>day WHP)</w:t>
            </w:r>
          </w:p>
        </w:tc>
        <w:tc>
          <w:tcPr>
            <w:tcW w:w="1213" w:type="dxa"/>
            <w:vMerge/>
            <w:tcBorders>
              <w:right w:val="single" w:sz="4" w:space="0" w:color="auto"/>
            </w:tcBorders>
            <w:vAlign w:val="center"/>
          </w:tcPr>
          <w:p w14:paraId="2C535E8C" w14:textId="686E3A4C" w:rsidR="000E2E45" w:rsidRPr="00355D83" w:rsidRDefault="000E2E45"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155EDDC7" w14:textId="77777777" w:rsidR="000E2E45" w:rsidRPr="00C571EB" w:rsidRDefault="000E2E45" w:rsidP="00FD15E2">
            <w:pPr>
              <w:pStyle w:val="TableText"/>
              <w:rPr>
                <w:b/>
                <w:bCs/>
              </w:rPr>
            </w:pPr>
            <w:r w:rsidRPr="00C571EB">
              <w:rPr>
                <w:b/>
                <w:bCs/>
              </w:rPr>
              <w:t>Not supported</w:t>
            </w:r>
          </w:p>
        </w:tc>
      </w:tr>
      <w:tr w:rsidR="000E2E45" w:rsidRPr="00CF504F" w14:paraId="5CFA0C03"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0DEE0A0" w14:textId="5981D2DE" w:rsidR="000E2E45" w:rsidRPr="00355D83" w:rsidRDefault="000E2E45" w:rsidP="00FD15E2">
            <w:pPr>
              <w:pStyle w:val="TableText"/>
              <w:rPr>
                <w:bCs/>
              </w:rPr>
            </w:pPr>
            <w:r w:rsidRPr="00355D83">
              <w:t>Canola (Rape; Oilseeds)</w:t>
            </w:r>
          </w:p>
        </w:tc>
        <w:tc>
          <w:tcPr>
            <w:tcW w:w="1231" w:type="dxa"/>
            <w:tcBorders>
              <w:top w:val="single" w:sz="4" w:space="0" w:color="auto"/>
              <w:left w:val="nil"/>
              <w:bottom w:val="single" w:sz="4" w:space="0" w:color="auto"/>
              <w:right w:val="single" w:sz="4" w:space="0" w:color="auto"/>
            </w:tcBorders>
            <w:vAlign w:val="center"/>
          </w:tcPr>
          <w:p w14:paraId="015C0AE8" w14:textId="2489FE0F" w:rsidR="000E2E45" w:rsidRPr="00355D83" w:rsidRDefault="000E2E45"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431B2346" w14:textId="77777777" w:rsidR="000E2E45" w:rsidRPr="00355D83" w:rsidRDefault="000E2E45" w:rsidP="00FD15E2">
            <w:pPr>
              <w:pStyle w:val="TableText"/>
              <w:rPr>
                <w:bCs/>
              </w:rPr>
            </w:pPr>
            <w:r w:rsidRPr="00355D83">
              <w:t>300-600 g ac/ha (boomspray)</w:t>
            </w:r>
          </w:p>
        </w:tc>
        <w:tc>
          <w:tcPr>
            <w:tcW w:w="1807" w:type="dxa"/>
            <w:tcBorders>
              <w:top w:val="single" w:sz="4" w:space="0" w:color="auto"/>
              <w:left w:val="nil"/>
              <w:bottom w:val="single" w:sz="4" w:space="0" w:color="auto"/>
              <w:right w:val="single" w:sz="4" w:space="0" w:color="auto"/>
            </w:tcBorders>
            <w:noWrap/>
            <w:vAlign w:val="center"/>
          </w:tcPr>
          <w:p w14:paraId="0325143A" w14:textId="77777777" w:rsidR="000E2E45" w:rsidRPr="00355D83" w:rsidRDefault="000E2E45" w:rsidP="00FD15E2">
            <w:pPr>
              <w:pStyle w:val="TableText"/>
            </w:pPr>
            <w:r w:rsidRPr="00735C60">
              <w:rPr>
                <w:b/>
                <w:bCs/>
              </w:rPr>
              <w:t>Not supported</w:t>
            </w:r>
            <w:r w:rsidRPr="00355D83">
              <w:t xml:space="preserve"> (max. 283 g ac/ha)</w:t>
            </w:r>
          </w:p>
        </w:tc>
        <w:tc>
          <w:tcPr>
            <w:tcW w:w="1484" w:type="dxa"/>
            <w:tcBorders>
              <w:top w:val="single" w:sz="4" w:space="0" w:color="auto"/>
              <w:bottom w:val="single" w:sz="4" w:space="0" w:color="auto"/>
              <w:right w:val="single" w:sz="4" w:space="0" w:color="auto"/>
            </w:tcBorders>
            <w:vAlign w:val="center"/>
          </w:tcPr>
          <w:p w14:paraId="4085AD7E" w14:textId="5E42E89C" w:rsidR="000E2E45" w:rsidRPr="00355D83" w:rsidRDefault="000E2E45" w:rsidP="00FD15E2">
            <w:pPr>
              <w:pStyle w:val="TableText"/>
            </w:pPr>
            <w:r w:rsidRPr="00355D83">
              <w:t>Supported (7</w:t>
            </w:r>
            <w:r>
              <w:t> </w:t>
            </w:r>
            <w:r w:rsidRPr="00355D83">
              <w:t>day WHP)</w:t>
            </w:r>
          </w:p>
        </w:tc>
        <w:tc>
          <w:tcPr>
            <w:tcW w:w="1213" w:type="dxa"/>
            <w:vMerge/>
            <w:tcBorders>
              <w:right w:val="single" w:sz="4" w:space="0" w:color="auto"/>
            </w:tcBorders>
            <w:vAlign w:val="center"/>
          </w:tcPr>
          <w:p w14:paraId="635D8BFF" w14:textId="0B2D61B2" w:rsidR="000E2E45" w:rsidRPr="00355D83" w:rsidRDefault="000E2E45"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16D0A296" w14:textId="77777777" w:rsidR="000E2E45" w:rsidRPr="00C571EB" w:rsidRDefault="000E2E45" w:rsidP="00FD15E2">
            <w:pPr>
              <w:pStyle w:val="TableText"/>
              <w:rPr>
                <w:b/>
                <w:bCs/>
              </w:rPr>
            </w:pPr>
            <w:r w:rsidRPr="00C571EB">
              <w:rPr>
                <w:b/>
                <w:bCs/>
              </w:rPr>
              <w:t>Not supported</w:t>
            </w:r>
          </w:p>
        </w:tc>
      </w:tr>
      <w:tr w:rsidR="000E2E45" w:rsidRPr="00CF504F" w14:paraId="1DDA9AC1"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7FABBFC7" w14:textId="080D118A" w:rsidR="000E2E45" w:rsidRPr="00355D83" w:rsidRDefault="000E2E45" w:rsidP="00FD15E2">
            <w:pPr>
              <w:pStyle w:val="TableText"/>
              <w:rPr>
                <w:bCs/>
              </w:rPr>
            </w:pPr>
            <w:r w:rsidRPr="00355D83">
              <w:t xml:space="preserve">Rice </w:t>
            </w:r>
          </w:p>
        </w:tc>
        <w:tc>
          <w:tcPr>
            <w:tcW w:w="1231" w:type="dxa"/>
            <w:tcBorders>
              <w:top w:val="single" w:sz="4" w:space="0" w:color="auto"/>
              <w:left w:val="nil"/>
              <w:bottom w:val="single" w:sz="4" w:space="0" w:color="auto"/>
              <w:right w:val="single" w:sz="4" w:space="0" w:color="auto"/>
            </w:tcBorders>
            <w:vAlign w:val="center"/>
          </w:tcPr>
          <w:p w14:paraId="7AE93CAF" w14:textId="5CE43EB1" w:rsidR="000E2E45" w:rsidRPr="00355D83" w:rsidRDefault="000E2E45"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60CA0E77" w14:textId="77777777" w:rsidR="000E2E45" w:rsidRPr="00355D83" w:rsidRDefault="000E2E45"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4299E60A" w14:textId="77777777" w:rsidR="000E2E45" w:rsidRPr="00355D83" w:rsidRDefault="000E2E45" w:rsidP="00FD15E2">
            <w:pPr>
              <w:pStyle w:val="TableText"/>
            </w:pPr>
            <w:r w:rsidRPr="00735C60">
              <w:rPr>
                <w:b/>
                <w:bCs/>
              </w:rPr>
              <w:t>Not supported</w:t>
            </w:r>
            <w:r w:rsidRPr="00355D83">
              <w:t xml:space="preserve"> (max. 122 g ac/ha)</w:t>
            </w:r>
          </w:p>
        </w:tc>
        <w:tc>
          <w:tcPr>
            <w:tcW w:w="1484" w:type="dxa"/>
            <w:tcBorders>
              <w:top w:val="single" w:sz="4" w:space="0" w:color="auto"/>
              <w:bottom w:val="single" w:sz="4" w:space="0" w:color="auto"/>
              <w:right w:val="single" w:sz="4" w:space="0" w:color="auto"/>
            </w:tcBorders>
            <w:vAlign w:val="center"/>
          </w:tcPr>
          <w:p w14:paraId="251ADC4F" w14:textId="77777777" w:rsidR="000E2E45" w:rsidRPr="00355D83" w:rsidRDefault="000E2E45" w:rsidP="00FD15E2">
            <w:pPr>
              <w:pStyle w:val="TableText"/>
            </w:pPr>
            <w:r w:rsidRPr="00355D83">
              <w:t>Supported – pre-emergent only</w:t>
            </w:r>
          </w:p>
        </w:tc>
        <w:tc>
          <w:tcPr>
            <w:tcW w:w="1213" w:type="dxa"/>
            <w:vMerge/>
            <w:tcBorders>
              <w:right w:val="single" w:sz="4" w:space="0" w:color="auto"/>
            </w:tcBorders>
            <w:vAlign w:val="center"/>
          </w:tcPr>
          <w:p w14:paraId="128291E7" w14:textId="6040FFBE" w:rsidR="000E2E45" w:rsidRPr="00355D83" w:rsidRDefault="000E2E45"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3623FE2B" w14:textId="77777777" w:rsidR="000E2E45" w:rsidRPr="00C571EB" w:rsidRDefault="000E2E45" w:rsidP="00FD15E2">
            <w:pPr>
              <w:pStyle w:val="TableText"/>
              <w:rPr>
                <w:b/>
                <w:bCs/>
              </w:rPr>
            </w:pPr>
            <w:r w:rsidRPr="00C571EB">
              <w:rPr>
                <w:b/>
                <w:bCs/>
              </w:rPr>
              <w:t>Not supported</w:t>
            </w:r>
          </w:p>
        </w:tc>
      </w:tr>
      <w:tr w:rsidR="000E2E45" w:rsidRPr="00CF504F" w14:paraId="48411E91" w14:textId="77777777" w:rsidTr="000E2E45">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666F9D80" w14:textId="0F58FDD4" w:rsidR="000E2E45" w:rsidRPr="00355D83" w:rsidRDefault="000E2E45" w:rsidP="00FD15E2">
            <w:pPr>
              <w:pStyle w:val="TableText"/>
              <w:rPr>
                <w:bCs/>
              </w:rPr>
            </w:pPr>
            <w:r w:rsidRPr="00355D83">
              <w:t>Sorghum (Cereals)</w:t>
            </w:r>
          </w:p>
        </w:tc>
        <w:tc>
          <w:tcPr>
            <w:tcW w:w="1231" w:type="dxa"/>
            <w:tcBorders>
              <w:top w:val="single" w:sz="4" w:space="0" w:color="auto"/>
              <w:left w:val="nil"/>
              <w:bottom w:val="single" w:sz="4" w:space="0" w:color="auto"/>
              <w:right w:val="single" w:sz="4" w:space="0" w:color="auto"/>
            </w:tcBorders>
            <w:vAlign w:val="center"/>
          </w:tcPr>
          <w:p w14:paraId="62FA2AF6" w14:textId="3B4603D0" w:rsidR="000E2E45" w:rsidRPr="00355D83" w:rsidRDefault="000E2E45"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324F1C0D" w14:textId="77777777" w:rsidR="000E2E45" w:rsidRPr="00355D83" w:rsidRDefault="000E2E45" w:rsidP="00FD15E2">
            <w:pPr>
              <w:pStyle w:val="TableText"/>
              <w:rPr>
                <w:bCs/>
              </w:rPr>
            </w:pPr>
            <w:r w:rsidRPr="00355D83">
              <w:t>400-600 g ac/ha (boomspray)</w:t>
            </w:r>
          </w:p>
        </w:tc>
        <w:tc>
          <w:tcPr>
            <w:tcW w:w="1807" w:type="dxa"/>
            <w:tcBorders>
              <w:top w:val="single" w:sz="4" w:space="0" w:color="auto"/>
              <w:left w:val="nil"/>
              <w:bottom w:val="single" w:sz="4" w:space="0" w:color="000000"/>
              <w:right w:val="single" w:sz="4" w:space="0" w:color="auto"/>
            </w:tcBorders>
            <w:noWrap/>
            <w:vAlign w:val="center"/>
          </w:tcPr>
          <w:p w14:paraId="1FF3DBCB" w14:textId="77777777" w:rsidR="000E2E45" w:rsidRPr="00355D83" w:rsidRDefault="000E2E45" w:rsidP="00FD15E2">
            <w:pPr>
              <w:pStyle w:val="TableText"/>
            </w:pPr>
            <w:r w:rsidRPr="00735C60">
              <w:rPr>
                <w:b/>
                <w:bCs/>
              </w:rPr>
              <w:t>Not supported</w:t>
            </w:r>
            <w:r w:rsidRPr="00355D83">
              <w:t xml:space="preserve"> (max. 122 g ac/ha)</w:t>
            </w:r>
          </w:p>
        </w:tc>
        <w:tc>
          <w:tcPr>
            <w:tcW w:w="1484" w:type="dxa"/>
            <w:tcBorders>
              <w:top w:val="single" w:sz="4" w:space="0" w:color="auto"/>
              <w:bottom w:val="single" w:sz="4" w:space="0" w:color="000000"/>
              <w:right w:val="single" w:sz="4" w:space="0" w:color="auto"/>
            </w:tcBorders>
            <w:vAlign w:val="center"/>
          </w:tcPr>
          <w:p w14:paraId="6943AFA5" w14:textId="77777777" w:rsidR="000E2E45" w:rsidRPr="00355D83" w:rsidRDefault="000E2E45" w:rsidP="00FD15E2">
            <w:pPr>
              <w:pStyle w:val="TableText"/>
            </w:pPr>
            <w:r w:rsidRPr="00355D83">
              <w:t>Supported – crop establishment only</w:t>
            </w:r>
          </w:p>
        </w:tc>
        <w:tc>
          <w:tcPr>
            <w:tcW w:w="1213" w:type="dxa"/>
            <w:vMerge/>
            <w:tcBorders>
              <w:bottom w:val="single" w:sz="4" w:space="0" w:color="000000"/>
              <w:right w:val="single" w:sz="4" w:space="0" w:color="auto"/>
            </w:tcBorders>
            <w:vAlign w:val="center"/>
          </w:tcPr>
          <w:p w14:paraId="64B62FEB" w14:textId="571AA50E" w:rsidR="000E2E45" w:rsidRPr="00355D83" w:rsidRDefault="000E2E45" w:rsidP="00FD15E2">
            <w:pPr>
              <w:pStyle w:val="TableText"/>
            </w:pPr>
          </w:p>
        </w:tc>
        <w:tc>
          <w:tcPr>
            <w:tcW w:w="1456" w:type="dxa"/>
            <w:tcBorders>
              <w:top w:val="single" w:sz="4" w:space="0" w:color="auto"/>
              <w:left w:val="single" w:sz="4" w:space="0" w:color="auto"/>
              <w:bottom w:val="single" w:sz="4" w:space="0" w:color="000000"/>
              <w:right w:val="single" w:sz="4" w:space="0" w:color="auto"/>
            </w:tcBorders>
            <w:vAlign w:val="center"/>
          </w:tcPr>
          <w:p w14:paraId="3C59488D" w14:textId="77777777" w:rsidR="000E2E45" w:rsidRPr="00C571EB" w:rsidRDefault="000E2E45" w:rsidP="00FD15E2">
            <w:pPr>
              <w:pStyle w:val="TableText"/>
              <w:rPr>
                <w:b/>
                <w:bCs/>
              </w:rPr>
            </w:pPr>
            <w:r w:rsidRPr="00C571EB">
              <w:rPr>
                <w:b/>
                <w:bCs/>
              </w:rPr>
              <w:t>Not supported</w:t>
            </w:r>
          </w:p>
        </w:tc>
      </w:tr>
      <w:tr w:rsidR="000E2E45" w:rsidRPr="00CF504F" w14:paraId="7DD2720C" w14:textId="77777777" w:rsidTr="000E2E45">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53E763F" w14:textId="713441B9" w:rsidR="000E2E45" w:rsidRPr="00355D83" w:rsidRDefault="000E2E45" w:rsidP="00FD15E2">
            <w:pPr>
              <w:pStyle w:val="TableText"/>
              <w:rPr>
                <w:bCs/>
              </w:rPr>
            </w:pPr>
            <w:r w:rsidRPr="00355D83">
              <w:lastRenderedPageBreak/>
              <w:t>Soya Beans (Pulses)</w:t>
            </w:r>
          </w:p>
        </w:tc>
        <w:tc>
          <w:tcPr>
            <w:tcW w:w="1231" w:type="dxa"/>
            <w:tcBorders>
              <w:top w:val="single" w:sz="4" w:space="0" w:color="auto"/>
              <w:left w:val="nil"/>
              <w:bottom w:val="single" w:sz="4" w:space="0" w:color="auto"/>
              <w:right w:val="single" w:sz="4" w:space="0" w:color="auto"/>
            </w:tcBorders>
            <w:vAlign w:val="center"/>
          </w:tcPr>
          <w:p w14:paraId="484B12FF" w14:textId="4874CDD6" w:rsidR="000E2E45" w:rsidRPr="00355D83" w:rsidRDefault="000E2E45" w:rsidP="00FD15E2">
            <w:pPr>
              <w:pStyle w:val="TableText"/>
              <w:rPr>
                <w:bCs/>
              </w:rPr>
            </w:pPr>
            <w:r w:rsidRPr="00355D83">
              <w:t>Pre-harvest crop desiccation</w:t>
            </w:r>
          </w:p>
        </w:tc>
        <w:tc>
          <w:tcPr>
            <w:tcW w:w="1256" w:type="dxa"/>
            <w:tcBorders>
              <w:top w:val="single" w:sz="4" w:space="0" w:color="auto"/>
              <w:left w:val="nil"/>
              <w:bottom w:val="single" w:sz="4" w:space="0" w:color="auto"/>
              <w:right w:val="single" w:sz="4" w:space="0" w:color="auto"/>
            </w:tcBorders>
            <w:vAlign w:val="center"/>
          </w:tcPr>
          <w:p w14:paraId="03249EC0" w14:textId="77777777" w:rsidR="000E2E45" w:rsidRPr="00355D83" w:rsidRDefault="000E2E45" w:rsidP="00FD15E2">
            <w:pPr>
              <w:pStyle w:val="TableText"/>
              <w:rPr>
                <w:bCs/>
              </w:rPr>
            </w:pPr>
            <w:r w:rsidRPr="00355D83">
              <w:t>400-600 g ac/ha (boomspray)</w:t>
            </w:r>
          </w:p>
        </w:tc>
        <w:tc>
          <w:tcPr>
            <w:tcW w:w="1807" w:type="dxa"/>
            <w:tcBorders>
              <w:top w:val="single" w:sz="4" w:space="0" w:color="000000"/>
              <w:left w:val="nil"/>
              <w:bottom w:val="single" w:sz="4" w:space="0" w:color="auto"/>
              <w:right w:val="single" w:sz="4" w:space="0" w:color="auto"/>
            </w:tcBorders>
            <w:noWrap/>
            <w:vAlign w:val="center"/>
          </w:tcPr>
          <w:p w14:paraId="2EEAE49F" w14:textId="77777777" w:rsidR="000E2E45" w:rsidRPr="00355D83" w:rsidRDefault="000E2E45" w:rsidP="00FD15E2">
            <w:pPr>
              <w:pStyle w:val="TableText"/>
            </w:pPr>
            <w:r w:rsidRPr="00735C60">
              <w:rPr>
                <w:b/>
                <w:bCs/>
              </w:rPr>
              <w:t>Not supported</w:t>
            </w:r>
            <w:r w:rsidRPr="00355D83">
              <w:t xml:space="preserve"> (max. 278 g ac/ha)</w:t>
            </w:r>
          </w:p>
        </w:tc>
        <w:tc>
          <w:tcPr>
            <w:tcW w:w="1484" w:type="dxa"/>
            <w:tcBorders>
              <w:top w:val="single" w:sz="4" w:space="0" w:color="000000"/>
              <w:bottom w:val="single" w:sz="4" w:space="0" w:color="auto"/>
              <w:right w:val="single" w:sz="4" w:space="0" w:color="auto"/>
            </w:tcBorders>
            <w:vAlign w:val="center"/>
          </w:tcPr>
          <w:p w14:paraId="04517C70" w14:textId="59EEEAA8" w:rsidR="000E2E45" w:rsidRPr="00355D83" w:rsidRDefault="000E2E45" w:rsidP="00FD15E2">
            <w:pPr>
              <w:pStyle w:val="TableText"/>
            </w:pPr>
            <w:r w:rsidRPr="00355D83">
              <w:t>Supported (4</w:t>
            </w:r>
            <w:r>
              <w:t> </w:t>
            </w:r>
            <w:r w:rsidRPr="00355D83">
              <w:t>day WHP)</w:t>
            </w:r>
          </w:p>
        </w:tc>
        <w:tc>
          <w:tcPr>
            <w:tcW w:w="1213" w:type="dxa"/>
            <w:vMerge/>
            <w:tcBorders>
              <w:top w:val="single" w:sz="4" w:space="0" w:color="000000"/>
              <w:right w:val="single" w:sz="4" w:space="0" w:color="auto"/>
            </w:tcBorders>
            <w:vAlign w:val="center"/>
          </w:tcPr>
          <w:p w14:paraId="451F828B" w14:textId="6AF6FEBE" w:rsidR="000E2E45" w:rsidRPr="00355D83" w:rsidRDefault="000E2E45" w:rsidP="00FD15E2">
            <w:pPr>
              <w:pStyle w:val="TableText"/>
            </w:pPr>
          </w:p>
        </w:tc>
        <w:tc>
          <w:tcPr>
            <w:tcW w:w="1456" w:type="dxa"/>
            <w:tcBorders>
              <w:top w:val="single" w:sz="4" w:space="0" w:color="000000"/>
              <w:left w:val="single" w:sz="4" w:space="0" w:color="auto"/>
              <w:bottom w:val="single" w:sz="4" w:space="0" w:color="auto"/>
              <w:right w:val="single" w:sz="4" w:space="0" w:color="auto"/>
            </w:tcBorders>
            <w:vAlign w:val="center"/>
          </w:tcPr>
          <w:p w14:paraId="64DFEEA1" w14:textId="77777777" w:rsidR="000E2E45" w:rsidRPr="00C571EB" w:rsidRDefault="000E2E45" w:rsidP="00FD15E2">
            <w:pPr>
              <w:pStyle w:val="TableText"/>
              <w:rPr>
                <w:b/>
                <w:bCs/>
              </w:rPr>
            </w:pPr>
            <w:r w:rsidRPr="00C571EB">
              <w:rPr>
                <w:b/>
                <w:bCs/>
              </w:rPr>
              <w:t>Not supported</w:t>
            </w:r>
          </w:p>
        </w:tc>
      </w:tr>
      <w:tr w:rsidR="00C571EB" w:rsidRPr="00CF504F" w14:paraId="02CBAEC3" w14:textId="77777777" w:rsidTr="003F537D">
        <w:trPr>
          <w:cantSplit/>
          <w:trHeight w:val="2290"/>
        </w:trPr>
        <w:tc>
          <w:tcPr>
            <w:tcW w:w="1343" w:type="dxa"/>
            <w:tcBorders>
              <w:top w:val="single" w:sz="4" w:space="0" w:color="auto"/>
              <w:left w:val="single" w:sz="4" w:space="0" w:color="auto"/>
              <w:right w:val="single" w:sz="4" w:space="0" w:color="auto"/>
            </w:tcBorders>
            <w:vAlign w:val="center"/>
          </w:tcPr>
          <w:p w14:paraId="0D6E3537" w14:textId="77777777" w:rsidR="00C571EB" w:rsidRPr="00355D83" w:rsidRDefault="00C571EB" w:rsidP="00FD15E2">
            <w:pPr>
              <w:pStyle w:val="TableText"/>
              <w:rPr>
                <w:bCs/>
              </w:rPr>
            </w:pPr>
            <w:r w:rsidRPr="00355D83">
              <w:t>Sugar Cane</w:t>
            </w:r>
          </w:p>
        </w:tc>
        <w:tc>
          <w:tcPr>
            <w:tcW w:w="1231" w:type="dxa"/>
            <w:tcBorders>
              <w:top w:val="single" w:sz="4" w:space="0" w:color="auto"/>
              <w:left w:val="nil"/>
              <w:right w:val="single" w:sz="4" w:space="0" w:color="auto"/>
            </w:tcBorders>
            <w:vAlign w:val="center"/>
          </w:tcPr>
          <w:p w14:paraId="57FC4663" w14:textId="253F1EDB" w:rsidR="00C571EB" w:rsidRPr="00355D83" w:rsidRDefault="00C571EB" w:rsidP="00FD15E2">
            <w:pPr>
              <w:pStyle w:val="TableText"/>
              <w:rPr>
                <w:bCs/>
              </w:rPr>
            </w:pPr>
            <w:r w:rsidRPr="00355D83">
              <w:rPr>
                <w:bCs/>
              </w:rPr>
              <w:t>Pre-harvest crop desiccation</w:t>
            </w:r>
          </w:p>
        </w:tc>
        <w:tc>
          <w:tcPr>
            <w:tcW w:w="1256" w:type="dxa"/>
            <w:tcBorders>
              <w:top w:val="single" w:sz="4" w:space="0" w:color="auto"/>
              <w:left w:val="nil"/>
              <w:right w:val="single" w:sz="4" w:space="0" w:color="auto"/>
            </w:tcBorders>
            <w:vAlign w:val="center"/>
          </w:tcPr>
          <w:p w14:paraId="042521C7" w14:textId="77777777" w:rsidR="00C571EB" w:rsidRPr="00355D83" w:rsidRDefault="00C571EB" w:rsidP="00FD15E2">
            <w:pPr>
              <w:pStyle w:val="TableText"/>
              <w:rPr>
                <w:bCs/>
              </w:rPr>
            </w:pPr>
            <w:r w:rsidRPr="00355D83">
              <w:t>400-600 g ac/ha (boomspray)</w:t>
            </w:r>
          </w:p>
        </w:tc>
        <w:tc>
          <w:tcPr>
            <w:tcW w:w="1807" w:type="dxa"/>
            <w:tcBorders>
              <w:top w:val="single" w:sz="4" w:space="0" w:color="auto"/>
              <w:left w:val="nil"/>
              <w:right w:val="single" w:sz="4" w:space="0" w:color="auto"/>
            </w:tcBorders>
            <w:noWrap/>
            <w:vAlign w:val="center"/>
          </w:tcPr>
          <w:p w14:paraId="1F8D92A8" w14:textId="35AD8D85" w:rsidR="00C571EB" w:rsidRPr="00355D83" w:rsidRDefault="00C571EB" w:rsidP="00FD15E2">
            <w:pPr>
              <w:pStyle w:val="TableText"/>
            </w:pPr>
            <w:r w:rsidRPr="00355D83">
              <w:t>Supported (up to 600 g ac/ha)</w:t>
            </w:r>
          </w:p>
        </w:tc>
        <w:tc>
          <w:tcPr>
            <w:tcW w:w="1484" w:type="dxa"/>
            <w:tcBorders>
              <w:top w:val="single" w:sz="4" w:space="0" w:color="auto"/>
              <w:right w:val="single" w:sz="4" w:space="0" w:color="auto"/>
            </w:tcBorders>
            <w:vAlign w:val="center"/>
          </w:tcPr>
          <w:p w14:paraId="153FF5D3" w14:textId="77777777" w:rsidR="00C571EB" w:rsidRPr="00735C60" w:rsidRDefault="00C571EB" w:rsidP="00FD15E2">
            <w:pPr>
              <w:pStyle w:val="TableText"/>
              <w:rPr>
                <w:b/>
                <w:bCs/>
              </w:rPr>
            </w:pPr>
            <w:r w:rsidRPr="00735C60">
              <w:rPr>
                <w:b/>
                <w:bCs/>
              </w:rPr>
              <w:t>Not supported</w:t>
            </w:r>
          </w:p>
        </w:tc>
        <w:tc>
          <w:tcPr>
            <w:tcW w:w="1213" w:type="dxa"/>
            <w:tcBorders>
              <w:bottom w:val="single" w:sz="4" w:space="0" w:color="auto"/>
              <w:right w:val="single" w:sz="4" w:space="0" w:color="auto"/>
            </w:tcBorders>
            <w:vAlign w:val="center"/>
          </w:tcPr>
          <w:p w14:paraId="51C65B5F" w14:textId="21984E0D" w:rsidR="00C571EB" w:rsidRPr="00355D83" w:rsidRDefault="000E2E45" w:rsidP="00FD15E2">
            <w:pPr>
              <w:pStyle w:val="TableText"/>
            </w:pPr>
            <w:r>
              <w:t>Supported</w:t>
            </w:r>
          </w:p>
        </w:tc>
        <w:tc>
          <w:tcPr>
            <w:tcW w:w="1456" w:type="dxa"/>
            <w:tcBorders>
              <w:top w:val="single" w:sz="4" w:space="0" w:color="auto"/>
              <w:left w:val="single" w:sz="4" w:space="0" w:color="auto"/>
              <w:right w:val="single" w:sz="4" w:space="0" w:color="auto"/>
            </w:tcBorders>
            <w:vAlign w:val="center"/>
          </w:tcPr>
          <w:p w14:paraId="41AC1C6F" w14:textId="77777777" w:rsidR="00C571EB" w:rsidRPr="003F1F79" w:rsidRDefault="00C571EB" w:rsidP="00FD15E2">
            <w:pPr>
              <w:pStyle w:val="TableText"/>
              <w:rPr>
                <w:b/>
                <w:bCs/>
              </w:rPr>
            </w:pPr>
            <w:r w:rsidRPr="003F1F79">
              <w:rPr>
                <w:b/>
                <w:bCs/>
              </w:rPr>
              <w:t>Not supported</w:t>
            </w:r>
          </w:p>
        </w:tc>
      </w:tr>
      <w:tr w:rsidR="00CF504F" w:rsidRPr="00CF504F" w14:paraId="452E3153"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5AFC198C" w14:textId="77777777" w:rsidR="00CF504F" w:rsidRPr="00355D83" w:rsidRDefault="00CF504F" w:rsidP="00FD15E2">
            <w:pPr>
              <w:pStyle w:val="TableText"/>
            </w:pPr>
            <w:r w:rsidRPr="00355D83">
              <w:t>Sugar Cane</w:t>
            </w:r>
          </w:p>
        </w:tc>
        <w:tc>
          <w:tcPr>
            <w:tcW w:w="1231" w:type="dxa"/>
            <w:tcBorders>
              <w:top w:val="single" w:sz="4" w:space="0" w:color="auto"/>
              <w:left w:val="nil"/>
              <w:bottom w:val="single" w:sz="4" w:space="0" w:color="auto"/>
              <w:right w:val="single" w:sz="4" w:space="0" w:color="auto"/>
            </w:tcBorders>
            <w:vAlign w:val="center"/>
          </w:tcPr>
          <w:p w14:paraId="146CFE3C" w14:textId="3E17BD52" w:rsidR="00CF504F" w:rsidRPr="00355D83" w:rsidRDefault="00084A9C" w:rsidP="00FD15E2">
            <w:pPr>
              <w:pStyle w:val="TableText"/>
              <w:rPr>
                <w:bCs/>
              </w:rPr>
            </w:pPr>
            <w:r w:rsidRPr="00355D83">
              <w:rPr>
                <w:bCs/>
              </w:rPr>
              <w:t xml:space="preserve">Pre-harvest crop </w:t>
            </w:r>
            <w:r w:rsidR="007E3FA9" w:rsidRPr="00355D83">
              <w:rPr>
                <w:bCs/>
              </w:rPr>
              <w:t>desiccation</w:t>
            </w:r>
          </w:p>
        </w:tc>
        <w:tc>
          <w:tcPr>
            <w:tcW w:w="1256" w:type="dxa"/>
            <w:tcBorders>
              <w:top w:val="single" w:sz="4" w:space="0" w:color="auto"/>
              <w:left w:val="nil"/>
              <w:bottom w:val="single" w:sz="4" w:space="0" w:color="auto"/>
              <w:right w:val="single" w:sz="4" w:space="0" w:color="auto"/>
            </w:tcBorders>
            <w:vAlign w:val="center"/>
          </w:tcPr>
          <w:p w14:paraId="3461FD45" w14:textId="77777777" w:rsidR="00CF504F" w:rsidRPr="00355D83" w:rsidRDefault="00CF504F" w:rsidP="00FD15E2">
            <w:pPr>
              <w:pStyle w:val="TableText"/>
            </w:pPr>
            <w:r w:rsidRPr="00355D83">
              <w:t>200 mL/200L water (high volume hand spraying)</w:t>
            </w:r>
          </w:p>
        </w:tc>
        <w:tc>
          <w:tcPr>
            <w:tcW w:w="1807" w:type="dxa"/>
            <w:tcBorders>
              <w:top w:val="single" w:sz="4" w:space="0" w:color="auto"/>
              <w:left w:val="nil"/>
              <w:bottom w:val="single" w:sz="4" w:space="0" w:color="auto"/>
              <w:right w:val="single" w:sz="4" w:space="0" w:color="auto"/>
            </w:tcBorders>
            <w:noWrap/>
            <w:vAlign w:val="center"/>
          </w:tcPr>
          <w:p w14:paraId="2E3DFFC2"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vAlign w:val="center"/>
          </w:tcPr>
          <w:p w14:paraId="1B897817" w14:textId="72D678D2" w:rsidR="00CF504F" w:rsidRPr="003F1F79" w:rsidRDefault="003F1F79" w:rsidP="00FD15E2">
            <w:pPr>
              <w:pStyle w:val="TableText"/>
              <w:rPr>
                <w:b/>
                <w:bCs/>
              </w:rPr>
            </w:pPr>
            <w:r w:rsidRPr="003F1F79">
              <w:rPr>
                <w:b/>
                <w:bCs/>
              </w:rPr>
              <w:t>Not supported</w:t>
            </w:r>
          </w:p>
        </w:tc>
        <w:tc>
          <w:tcPr>
            <w:tcW w:w="1213" w:type="dxa"/>
            <w:tcBorders>
              <w:top w:val="single" w:sz="4" w:space="0" w:color="auto"/>
              <w:bottom w:val="single" w:sz="4" w:space="0" w:color="auto"/>
              <w:right w:val="single" w:sz="4" w:space="0" w:color="auto"/>
            </w:tcBorders>
            <w:vAlign w:val="center"/>
          </w:tcPr>
          <w:p w14:paraId="03D0D031"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7CCFA65D" w14:textId="58720173" w:rsidR="00CF504F" w:rsidRPr="00355D83" w:rsidRDefault="00084A9C" w:rsidP="00FD15E2">
            <w:pPr>
              <w:pStyle w:val="TableText"/>
              <w:rPr>
                <w:b/>
                <w:bCs/>
              </w:rPr>
            </w:pPr>
            <w:r w:rsidRPr="00355D83">
              <w:rPr>
                <w:b/>
                <w:bCs/>
              </w:rPr>
              <w:t xml:space="preserve">Not supported </w:t>
            </w:r>
          </w:p>
        </w:tc>
      </w:tr>
      <w:tr w:rsidR="00084A9C" w:rsidRPr="00CF504F" w14:paraId="25339E4B" w14:textId="77777777" w:rsidTr="003F537D">
        <w:trPr>
          <w:cantSplit/>
          <w:trHeight w:val="910"/>
        </w:trPr>
        <w:tc>
          <w:tcPr>
            <w:tcW w:w="1343" w:type="dxa"/>
            <w:tcBorders>
              <w:top w:val="single" w:sz="4" w:space="0" w:color="auto"/>
              <w:left w:val="single" w:sz="4" w:space="0" w:color="auto"/>
              <w:right w:val="single" w:sz="4" w:space="0" w:color="auto"/>
            </w:tcBorders>
            <w:vAlign w:val="center"/>
          </w:tcPr>
          <w:p w14:paraId="18271A97" w14:textId="6A53DA7D" w:rsidR="00084A9C" w:rsidRPr="00355D83" w:rsidRDefault="00084A9C" w:rsidP="00FD15E2">
            <w:pPr>
              <w:pStyle w:val="TableText"/>
              <w:rPr>
                <w:bCs/>
              </w:rPr>
            </w:pPr>
            <w:r w:rsidRPr="00355D83">
              <w:t xml:space="preserve">Sunflower </w:t>
            </w:r>
          </w:p>
        </w:tc>
        <w:tc>
          <w:tcPr>
            <w:tcW w:w="1231" w:type="dxa"/>
            <w:tcBorders>
              <w:top w:val="single" w:sz="4" w:space="0" w:color="auto"/>
              <w:left w:val="nil"/>
              <w:right w:val="single" w:sz="4" w:space="0" w:color="auto"/>
            </w:tcBorders>
            <w:vAlign w:val="center"/>
          </w:tcPr>
          <w:p w14:paraId="2F33D9BD" w14:textId="4464E882" w:rsidR="00084A9C" w:rsidRPr="00355D83" w:rsidRDefault="00084A9C" w:rsidP="00FD15E2">
            <w:pPr>
              <w:pStyle w:val="TableText"/>
              <w:rPr>
                <w:bCs/>
              </w:rPr>
            </w:pPr>
            <w:r w:rsidRPr="00355D83">
              <w:rPr>
                <w:bCs/>
              </w:rPr>
              <w:t>Pre-harvest crop desiccation</w:t>
            </w:r>
          </w:p>
        </w:tc>
        <w:tc>
          <w:tcPr>
            <w:tcW w:w="1256" w:type="dxa"/>
            <w:tcBorders>
              <w:top w:val="single" w:sz="4" w:space="0" w:color="auto"/>
              <w:left w:val="nil"/>
              <w:right w:val="single" w:sz="4" w:space="0" w:color="auto"/>
            </w:tcBorders>
            <w:vAlign w:val="center"/>
          </w:tcPr>
          <w:p w14:paraId="7334FB0D" w14:textId="77777777" w:rsidR="00084A9C" w:rsidRPr="00355D83" w:rsidRDefault="00084A9C" w:rsidP="00FD15E2">
            <w:pPr>
              <w:pStyle w:val="TableText"/>
              <w:rPr>
                <w:bCs/>
              </w:rPr>
            </w:pPr>
            <w:r w:rsidRPr="00355D83">
              <w:t>400-600 g ac/ha (boomspray)</w:t>
            </w:r>
          </w:p>
        </w:tc>
        <w:tc>
          <w:tcPr>
            <w:tcW w:w="1807" w:type="dxa"/>
            <w:tcBorders>
              <w:top w:val="single" w:sz="4" w:space="0" w:color="auto"/>
              <w:left w:val="nil"/>
              <w:right w:val="single" w:sz="4" w:space="0" w:color="auto"/>
            </w:tcBorders>
            <w:noWrap/>
            <w:vAlign w:val="center"/>
          </w:tcPr>
          <w:p w14:paraId="5290284B" w14:textId="77777777" w:rsidR="00084A9C" w:rsidRPr="00355D83" w:rsidRDefault="00084A9C" w:rsidP="00FD15E2">
            <w:pPr>
              <w:pStyle w:val="TableText"/>
            </w:pPr>
            <w:r w:rsidRPr="00735C60">
              <w:rPr>
                <w:b/>
                <w:bCs/>
              </w:rPr>
              <w:t>Not supported</w:t>
            </w:r>
            <w:r w:rsidRPr="00355D83">
              <w:t xml:space="preserve"> (max. 323 g ac/ha)</w:t>
            </w:r>
          </w:p>
        </w:tc>
        <w:tc>
          <w:tcPr>
            <w:tcW w:w="1484" w:type="dxa"/>
            <w:tcBorders>
              <w:top w:val="single" w:sz="4" w:space="0" w:color="auto"/>
              <w:right w:val="single" w:sz="4" w:space="0" w:color="auto"/>
            </w:tcBorders>
            <w:vAlign w:val="center"/>
          </w:tcPr>
          <w:p w14:paraId="7F66A7C6" w14:textId="350024BE" w:rsidR="00084A9C" w:rsidRPr="00355D83" w:rsidRDefault="00084A9C" w:rsidP="00FD15E2">
            <w:pPr>
              <w:pStyle w:val="TableText"/>
            </w:pPr>
            <w:r w:rsidRPr="00355D83">
              <w:t>Supported (7</w:t>
            </w:r>
            <w:r w:rsidR="003F537D">
              <w:t> </w:t>
            </w:r>
            <w:r w:rsidRPr="00355D83">
              <w:t>day WHP)</w:t>
            </w:r>
          </w:p>
        </w:tc>
        <w:tc>
          <w:tcPr>
            <w:tcW w:w="1213" w:type="dxa"/>
            <w:tcBorders>
              <w:top w:val="single" w:sz="4" w:space="0" w:color="auto"/>
              <w:right w:val="single" w:sz="4" w:space="0" w:color="auto"/>
            </w:tcBorders>
            <w:vAlign w:val="center"/>
          </w:tcPr>
          <w:p w14:paraId="203F51AA" w14:textId="77777777" w:rsidR="00084A9C" w:rsidRPr="00355D83" w:rsidRDefault="00084A9C" w:rsidP="00FD15E2">
            <w:pPr>
              <w:pStyle w:val="TableText"/>
            </w:pPr>
            <w:r w:rsidRPr="00355D83">
              <w:rPr>
                <w:bCs/>
              </w:rPr>
              <w:t>Supported</w:t>
            </w:r>
          </w:p>
        </w:tc>
        <w:tc>
          <w:tcPr>
            <w:tcW w:w="1456" w:type="dxa"/>
            <w:tcBorders>
              <w:top w:val="single" w:sz="4" w:space="0" w:color="auto"/>
              <w:left w:val="single" w:sz="4" w:space="0" w:color="auto"/>
              <w:right w:val="single" w:sz="4" w:space="0" w:color="auto"/>
            </w:tcBorders>
            <w:vAlign w:val="center"/>
          </w:tcPr>
          <w:p w14:paraId="382CAE9D" w14:textId="77777777" w:rsidR="00084A9C" w:rsidRPr="00735C60" w:rsidRDefault="00084A9C" w:rsidP="00FD15E2">
            <w:pPr>
              <w:pStyle w:val="TableText"/>
              <w:rPr>
                <w:b/>
                <w:bCs/>
              </w:rPr>
            </w:pPr>
            <w:r w:rsidRPr="00735C60">
              <w:rPr>
                <w:b/>
                <w:bCs/>
              </w:rPr>
              <w:t>Not supported</w:t>
            </w:r>
          </w:p>
        </w:tc>
      </w:tr>
      <w:tr w:rsidR="00CF504F" w:rsidRPr="00CF504F" w14:paraId="612F25B0"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484C743E" w14:textId="77777777" w:rsidR="00CF504F" w:rsidRPr="00355D83" w:rsidRDefault="00CF504F" w:rsidP="00FD15E2">
            <w:pPr>
              <w:pStyle w:val="TableText"/>
              <w:rPr>
                <w:bCs/>
              </w:rPr>
            </w:pPr>
            <w:r w:rsidRPr="00355D83">
              <w:t>Sweet potatoes</w:t>
            </w:r>
          </w:p>
        </w:tc>
        <w:tc>
          <w:tcPr>
            <w:tcW w:w="1231" w:type="dxa"/>
            <w:tcBorders>
              <w:top w:val="single" w:sz="4" w:space="0" w:color="auto"/>
              <w:left w:val="nil"/>
              <w:bottom w:val="single" w:sz="4" w:space="0" w:color="auto"/>
              <w:right w:val="single" w:sz="4" w:space="0" w:color="auto"/>
            </w:tcBorders>
            <w:vAlign w:val="center"/>
          </w:tcPr>
          <w:p w14:paraId="381455ED" w14:textId="6E389E43" w:rsidR="00CF504F" w:rsidRPr="00355D83" w:rsidRDefault="00084A9C" w:rsidP="00FD15E2">
            <w:pPr>
              <w:pStyle w:val="TableText"/>
              <w:rPr>
                <w:bCs/>
              </w:rPr>
            </w:pPr>
            <w:r w:rsidRPr="00355D83">
              <w:rPr>
                <w:bCs/>
              </w:rPr>
              <w:t>Pre-harvest crop desiccation</w:t>
            </w:r>
          </w:p>
        </w:tc>
        <w:tc>
          <w:tcPr>
            <w:tcW w:w="1256" w:type="dxa"/>
            <w:tcBorders>
              <w:top w:val="single" w:sz="4" w:space="0" w:color="auto"/>
              <w:left w:val="nil"/>
              <w:bottom w:val="single" w:sz="4" w:space="0" w:color="auto"/>
              <w:right w:val="single" w:sz="4" w:space="0" w:color="auto"/>
            </w:tcBorders>
            <w:vAlign w:val="center"/>
          </w:tcPr>
          <w:p w14:paraId="7F31320C" w14:textId="77777777" w:rsidR="00CF504F" w:rsidRPr="00355D83" w:rsidRDefault="00CF504F" w:rsidP="00FD15E2">
            <w:pPr>
              <w:pStyle w:val="TableText"/>
              <w:rPr>
                <w:bCs/>
              </w:rPr>
            </w:pPr>
            <w:r w:rsidRPr="00355D83">
              <w:t>600-800 g ac/ha (boomspray)</w:t>
            </w:r>
          </w:p>
        </w:tc>
        <w:tc>
          <w:tcPr>
            <w:tcW w:w="1807" w:type="dxa"/>
            <w:tcBorders>
              <w:top w:val="single" w:sz="4" w:space="0" w:color="auto"/>
              <w:left w:val="nil"/>
              <w:bottom w:val="single" w:sz="4" w:space="0" w:color="auto"/>
              <w:right w:val="single" w:sz="4" w:space="0" w:color="auto"/>
            </w:tcBorders>
            <w:noWrap/>
            <w:vAlign w:val="center"/>
          </w:tcPr>
          <w:p w14:paraId="1D59E51B" w14:textId="77777777" w:rsidR="00CF504F" w:rsidRPr="00355D83" w:rsidRDefault="00CF504F" w:rsidP="00FD15E2">
            <w:pPr>
              <w:pStyle w:val="TableText"/>
            </w:pPr>
            <w:r w:rsidRPr="00735C60">
              <w:rPr>
                <w:b/>
                <w:bCs/>
              </w:rPr>
              <w:t>Not supported</w:t>
            </w:r>
            <w:r w:rsidRPr="00355D83">
              <w:t xml:space="preserve"> (max. 278 g ac/ha)</w:t>
            </w:r>
          </w:p>
        </w:tc>
        <w:tc>
          <w:tcPr>
            <w:tcW w:w="1484" w:type="dxa"/>
            <w:tcBorders>
              <w:top w:val="single" w:sz="4" w:space="0" w:color="auto"/>
              <w:bottom w:val="single" w:sz="4" w:space="0" w:color="auto"/>
              <w:right w:val="single" w:sz="4" w:space="0" w:color="auto"/>
            </w:tcBorders>
            <w:vAlign w:val="center"/>
          </w:tcPr>
          <w:p w14:paraId="1CB70245" w14:textId="2BEB020A" w:rsidR="00CF504F" w:rsidRPr="00355D83" w:rsidRDefault="00CF504F" w:rsidP="00FD15E2">
            <w:pPr>
              <w:pStyle w:val="TableText"/>
            </w:pPr>
            <w:r w:rsidRPr="00355D83">
              <w:t>Supported (14</w:t>
            </w:r>
            <w:r w:rsidR="003F537D">
              <w:t> </w:t>
            </w:r>
            <w:r w:rsidRPr="00355D83">
              <w:t>day WHP)</w:t>
            </w:r>
          </w:p>
        </w:tc>
        <w:tc>
          <w:tcPr>
            <w:tcW w:w="1213" w:type="dxa"/>
            <w:tcBorders>
              <w:top w:val="single" w:sz="4" w:space="0" w:color="auto"/>
              <w:bottom w:val="single" w:sz="4" w:space="0" w:color="auto"/>
              <w:right w:val="single" w:sz="4" w:space="0" w:color="auto"/>
            </w:tcBorders>
            <w:vAlign w:val="center"/>
          </w:tcPr>
          <w:p w14:paraId="33DED327" w14:textId="77777777" w:rsidR="00CF504F" w:rsidRPr="00735C60" w:rsidRDefault="00CF504F" w:rsidP="00FD15E2">
            <w:pPr>
              <w:pStyle w:val="TableText"/>
              <w:rPr>
                <w:b/>
              </w:rPr>
            </w:pPr>
            <w:r w:rsidRPr="00735C60">
              <w:rPr>
                <w:b/>
              </w:rPr>
              <w:t>Not supported</w:t>
            </w:r>
          </w:p>
        </w:tc>
        <w:tc>
          <w:tcPr>
            <w:tcW w:w="1456" w:type="dxa"/>
            <w:tcBorders>
              <w:top w:val="single" w:sz="4" w:space="0" w:color="auto"/>
              <w:left w:val="single" w:sz="4" w:space="0" w:color="auto"/>
              <w:bottom w:val="single" w:sz="4" w:space="0" w:color="auto"/>
              <w:right w:val="single" w:sz="4" w:space="0" w:color="auto"/>
            </w:tcBorders>
            <w:vAlign w:val="center"/>
          </w:tcPr>
          <w:p w14:paraId="065760F4" w14:textId="77777777" w:rsidR="00CF504F" w:rsidRPr="00735C60" w:rsidRDefault="00CF504F" w:rsidP="00FD15E2">
            <w:pPr>
              <w:pStyle w:val="TableText"/>
              <w:rPr>
                <w:b/>
              </w:rPr>
            </w:pPr>
            <w:r w:rsidRPr="00735C60">
              <w:rPr>
                <w:b/>
              </w:rPr>
              <w:t>Not supported</w:t>
            </w:r>
          </w:p>
        </w:tc>
      </w:tr>
      <w:tr w:rsidR="003120C3" w:rsidRPr="00CF504F" w14:paraId="7A3E96C9" w14:textId="77777777" w:rsidTr="003F537D">
        <w:trPr>
          <w:cantSplit/>
          <w:trHeight w:val="561"/>
        </w:trPr>
        <w:tc>
          <w:tcPr>
            <w:tcW w:w="9790" w:type="dxa"/>
            <w:gridSpan w:val="7"/>
            <w:tcBorders>
              <w:top w:val="single" w:sz="4" w:space="0" w:color="auto"/>
              <w:left w:val="single" w:sz="4" w:space="0" w:color="auto"/>
              <w:bottom w:val="single" w:sz="4" w:space="0" w:color="auto"/>
              <w:right w:val="single" w:sz="4" w:space="0" w:color="auto"/>
            </w:tcBorders>
            <w:vAlign w:val="center"/>
          </w:tcPr>
          <w:p w14:paraId="070231D6" w14:textId="05A5FB6D" w:rsidR="003120C3" w:rsidRPr="00355D83" w:rsidRDefault="003120C3" w:rsidP="00FD15E2">
            <w:pPr>
              <w:pStyle w:val="TableSubHead0"/>
            </w:pPr>
            <w:r w:rsidRPr="00355D83">
              <w:t>General Weed Control- specific weeds listed below</w:t>
            </w:r>
          </w:p>
        </w:tc>
      </w:tr>
      <w:tr w:rsidR="00CF504F" w:rsidRPr="00CF504F" w14:paraId="41A7A17B" w14:textId="77777777" w:rsidTr="003F537D">
        <w:trPr>
          <w:cantSplit/>
          <w:trHeight w:val="288"/>
        </w:trPr>
        <w:tc>
          <w:tcPr>
            <w:tcW w:w="1343" w:type="dxa"/>
            <w:vMerge w:val="restart"/>
            <w:tcBorders>
              <w:top w:val="single" w:sz="4" w:space="0" w:color="auto"/>
              <w:left w:val="single" w:sz="4" w:space="0" w:color="auto"/>
              <w:right w:val="single" w:sz="4" w:space="0" w:color="auto"/>
            </w:tcBorders>
            <w:shd w:val="clear" w:color="auto" w:fill="F2E18B"/>
            <w:vAlign w:val="center"/>
          </w:tcPr>
          <w:p w14:paraId="68C5C1DA" w14:textId="1BA17A8F" w:rsidR="00CF504F" w:rsidRPr="00355D83" w:rsidRDefault="00CF504F" w:rsidP="00FD15E2">
            <w:pPr>
              <w:pStyle w:val="TableText"/>
              <w:rPr>
                <w:bCs/>
              </w:rPr>
            </w:pPr>
            <w:r w:rsidRPr="00355D83">
              <w:t>Aquatic areas</w:t>
            </w:r>
            <w:r w:rsidR="003F1F79">
              <w:t xml:space="preserve"> (</w:t>
            </w:r>
            <w:r w:rsidR="00BE1025">
              <w:t>f</w:t>
            </w:r>
            <w:r w:rsidR="00BE1025" w:rsidRPr="00BE1025">
              <w:t>arm dams and artificial water bodies only</w:t>
            </w:r>
            <w:r w:rsidR="003F1F79">
              <w:t>)</w:t>
            </w:r>
          </w:p>
        </w:tc>
        <w:tc>
          <w:tcPr>
            <w:tcW w:w="1231" w:type="dxa"/>
            <w:vMerge w:val="restart"/>
            <w:tcBorders>
              <w:top w:val="single" w:sz="4" w:space="0" w:color="auto"/>
              <w:left w:val="nil"/>
              <w:right w:val="single" w:sz="4" w:space="0" w:color="auto"/>
            </w:tcBorders>
            <w:shd w:val="clear" w:color="auto" w:fill="F2E18B"/>
            <w:vAlign w:val="center"/>
          </w:tcPr>
          <w:p w14:paraId="05AABE23" w14:textId="1828C64E" w:rsidR="00CF504F" w:rsidRPr="00355D83" w:rsidRDefault="00CF504F" w:rsidP="00FD15E2">
            <w:pPr>
              <w:pStyle w:val="TableText"/>
              <w:rPr>
                <w:bCs/>
              </w:rPr>
            </w:pPr>
            <w:r w:rsidRPr="00355D83">
              <w:t xml:space="preserve">Duck weeds, red azolla, water hyacinth, salvinia, marsilea, water lilies, water lettuce </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024CF473" w14:textId="77777777" w:rsidR="00CF504F" w:rsidRPr="00355D83" w:rsidRDefault="00CF504F" w:rsidP="00FD15E2">
            <w:pPr>
              <w:pStyle w:val="TableText"/>
              <w:rPr>
                <w:bCs/>
              </w:rPr>
            </w:pPr>
            <w:r w:rsidRPr="00355D83">
              <w:t>1-2 kg ac/ha (boomspray)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5D4A87F0" w14:textId="77777777" w:rsidR="00CF504F" w:rsidRPr="00355D83" w:rsidRDefault="00CF504F" w:rsidP="00FD15E2">
            <w:pPr>
              <w:pStyle w:val="TableText"/>
            </w:pPr>
            <w:r w:rsidRPr="00355D83">
              <w:t>Supported (</w:t>
            </w:r>
            <w:r w:rsidRPr="00355D83">
              <w:rPr>
                <w:lang w:eastAsia="en-AU"/>
              </w:rPr>
              <w:t>DO NOT apply to or allow contamination of natural aquatic areas)</w:t>
            </w:r>
          </w:p>
        </w:tc>
        <w:tc>
          <w:tcPr>
            <w:tcW w:w="1484" w:type="dxa"/>
            <w:tcBorders>
              <w:top w:val="single" w:sz="4" w:space="0" w:color="auto"/>
              <w:bottom w:val="single" w:sz="4" w:space="0" w:color="auto"/>
              <w:right w:val="single" w:sz="4" w:space="0" w:color="auto"/>
            </w:tcBorders>
            <w:shd w:val="clear" w:color="auto" w:fill="F2E18B"/>
            <w:vAlign w:val="center"/>
          </w:tcPr>
          <w:p w14:paraId="0F4DE9D2" w14:textId="77777777" w:rsidR="00CF504F" w:rsidRPr="00355D83" w:rsidRDefault="00CF504F" w:rsidP="00FD15E2">
            <w:pPr>
              <w:pStyle w:val="TableText"/>
            </w:pPr>
            <w:r w:rsidRPr="00355D83">
              <w:t>Supported (10 day no human, livestock or irrigation use)</w:t>
            </w:r>
          </w:p>
        </w:tc>
        <w:tc>
          <w:tcPr>
            <w:tcW w:w="1213" w:type="dxa"/>
            <w:tcBorders>
              <w:top w:val="single" w:sz="4" w:space="0" w:color="auto"/>
              <w:bottom w:val="single" w:sz="4" w:space="0" w:color="auto"/>
              <w:right w:val="single" w:sz="4" w:space="0" w:color="auto"/>
            </w:tcBorders>
            <w:shd w:val="clear" w:color="auto" w:fill="F2E18B"/>
            <w:vAlign w:val="center"/>
          </w:tcPr>
          <w:p w14:paraId="3B0FC96C" w14:textId="717CD86A"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67AF0D8C" w14:textId="77777777" w:rsidR="00CF504F" w:rsidRPr="00355D83" w:rsidRDefault="00CF504F" w:rsidP="00FD15E2">
            <w:pPr>
              <w:pStyle w:val="TableText"/>
            </w:pPr>
            <w:r w:rsidRPr="00355D83">
              <w:t>Supported</w:t>
            </w:r>
          </w:p>
        </w:tc>
      </w:tr>
      <w:tr w:rsidR="00CF504F" w:rsidRPr="00CF504F" w14:paraId="2801E4A1" w14:textId="77777777" w:rsidTr="003F537D">
        <w:trPr>
          <w:cantSplit/>
          <w:trHeight w:val="288"/>
        </w:trPr>
        <w:tc>
          <w:tcPr>
            <w:tcW w:w="1343" w:type="dxa"/>
            <w:vMerge/>
            <w:tcBorders>
              <w:left w:val="single" w:sz="4" w:space="0" w:color="auto"/>
              <w:right w:val="single" w:sz="4" w:space="0" w:color="auto"/>
            </w:tcBorders>
            <w:shd w:val="clear" w:color="auto" w:fill="F2E18B"/>
            <w:vAlign w:val="center"/>
          </w:tcPr>
          <w:p w14:paraId="56EABB8E" w14:textId="77777777" w:rsidR="00CF504F" w:rsidRPr="00355D83" w:rsidRDefault="00CF504F" w:rsidP="00FD15E2">
            <w:pPr>
              <w:pStyle w:val="TableText"/>
              <w:rPr>
                <w:bCs/>
              </w:rPr>
            </w:pPr>
          </w:p>
        </w:tc>
        <w:tc>
          <w:tcPr>
            <w:tcW w:w="1231" w:type="dxa"/>
            <w:vMerge/>
            <w:tcBorders>
              <w:left w:val="nil"/>
              <w:bottom w:val="single" w:sz="4" w:space="0" w:color="auto"/>
              <w:right w:val="single" w:sz="4" w:space="0" w:color="auto"/>
            </w:tcBorders>
            <w:shd w:val="clear" w:color="auto" w:fill="F2E18B"/>
            <w:vAlign w:val="center"/>
          </w:tcPr>
          <w:p w14:paraId="062A288E" w14:textId="77777777" w:rsidR="00CF504F" w:rsidRPr="00355D83" w:rsidRDefault="00CF504F" w:rsidP="00FD15E2">
            <w:pPr>
              <w:pStyle w:val="TableText"/>
            </w:pPr>
          </w:p>
        </w:tc>
        <w:tc>
          <w:tcPr>
            <w:tcW w:w="1256" w:type="dxa"/>
            <w:tcBorders>
              <w:top w:val="single" w:sz="4" w:space="0" w:color="auto"/>
              <w:left w:val="nil"/>
              <w:bottom w:val="single" w:sz="4" w:space="0" w:color="auto"/>
              <w:right w:val="single" w:sz="4" w:space="0" w:color="auto"/>
            </w:tcBorders>
            <w:shd w:val="clear" w:color="auto" w:fill="F2E18B"/>
            <w:vAlign w:val="center"/>
          </w:tcPr>
          <w:p w14:paraId="1A628DA1" w14:textId="3CF08690" w:rsidR="00CF504F" w:rsidRPr="00355D83" w:rsidRDefault="00CF504F" w:rsidP="00FD15E2">
            <w:pPr>
              <w:pStyle w:val="TableText"/>
            </w:pPr>
            <w:r w:rsidRPr="00355D83">
              <w:t>80 g ac plus 150 mL Agral wetter per 100L water (hand spray -small areas)</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51E01C40" w14:textId="77777777" w:rsidR="00CF504F" w:rsidRPr="00355D83" w:rsidRDefault="00CF504F" w:rsidP="00FD15E2">
            <w:pPr>
              <w:pStyle w:val="TableText"/>
            </w:pPr>
            <w:r w:rsidRPr="00355D83">
              <w:t>Supported (</w:t>
            </w:r>
            <w:r w:rsidRPr="00355D83">
              <w:rPr>
                <w:lang w:eastAsia="en-AU"/>
              </w:rPr>
              <w:t>DO NOT apply to or allow contamination of natural aquatic areas)</w:t>
            </w:r>
          </w:p>
        </w:tc>
        <w:tc>
          <w:tcPr>
            <w:tcW w:w="1484" w:type="dxa"/>
            <w:tcBorders>
              <w:top w:val="single" w:sz="4" w:space="0" w:color="auto"/>
              <w:bottom w:val="single" w:sz="4" w:space="0" w:color="auto"/>
              <w:right w:val="single" w:sz="4" w:space="0" w:color="auto"/>
            </w:tcBorders>
            <w:shd w:val="clear" w:color="auto" w:fill="F2E18B"/>
            <w:vAlign w:val="center"/>
          </w:tcPr>
          <w:p w14:paraId="1DA89706" w14:textId="77777777" w:rsidR="00CF504F" w:rsidRPr="00355D83" w:rsidRDefault="00CF504F" w:rsidP="00FD15E2">
            <w:pPr>
              <w:pStyle w:val="TableText"/>
            </w:pPr>
            <w:r w:rsidRPr="00355D83">
              <w:t>Supported (10 day no human, livestock or irrigation use)</w:t>
            </w:r>
          </w:p>
        </w:tc>
        <w:tc>
          <w:tcPr>
            <w:tcW w:w="1213" w:type="dxa"/>
            <w:tcBorders>
              <w:top w:val="single" w:sz="4" w:space="0" w:color="auto"/>
              <w:bottom w:val="single" w:sz="4" w:space="0" w:color="auto"/>
              <w:right w:val="single" w:sz="4" w:space="0" w:color="auto"/>
            </w:tcBorders>
            <w:shd w:val="clear" w:color="auto" w:fill="F2E18B"/>
            <w:vAlign w:val="center"/>
          </w:tcPr>
          <w:p w14:paraId="67B67780"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5E135DCA" w14:textId="77777777" w:rsidR="00CF504F" w:rsidRPr="00355D83" w:rsidRDefault="00CF504F" w:rsidP="00FD15E2">
            <w:pPr>
              <w:pStyle w:val="TableText"/>
            </w:pPr>
            <w:r w:rsidRPr="00355D83">
              <w:t>Supported</w:t>
            </w:r>
          </w:p>
        </w:tc>
      </w:tr>
      <w:tr w:rsidR="00CF504F" w:rsidRPr="00CF504F" w14:paraId="0CFFD4A1" w14:textId="77777777" w:rsidTr="003F537D">
        <w:trPr>
          <w:cantSplit/>
          <w:trHeight w:val="288"/>
        </w:trPr>
        <w:tc>
          <w:tcPr>
            <w:tcW w:w="1343" w:type="dxa"/>
            <w:vMerge/>
            <w:tcBorders>
              <w:left w:val="single" w:sz="4" w:space="0" w:color="auto"/>
              <w:bottom w:val="single" w:sz="4" w:space="0" w:color="auto"/>
              <w:right w:val="single" w:sz="4" w:space="0" w:color="auto"/>
            </w:tcBorders>
            <w:shd w:val="clear" w:color="auto" w:fill="F2E18B"/>
            <w:vAlign w:val="center"/>
          </w:tcPr>
          <w:p w14:paraId="6BACAA96" w14:textId="77777777" w:rsidR="00CF504F" w:rsidRPr="00355D83" w:rsidRDefault="00CF504F" w:rsidP="00FD15E2">
            <w:pPr>
              <w:pStyle w:val="TableText"/>
              <w:rPr>
                <w:bCs/>
              </w:rPr>
            </w:pPr>
          </w:p>
        </w:tc>
        <w:tc>
          <w:tcPr>
            <w:tcW w:w="1231" w:type="dxa"/>
            <w:tcBorders>
              <w:top w:val="single" w:sz="4" w:space="0" w:color="auto"/>
              <w:left w:val="nil"/>
              <w:bottom w:val="single" w:sz="4" w:space="0" w:color="auto"/>
              <w:right w:val="single" w:sz="4" w:space="0" w:color="auto"/>
            </w:tcBorders>
            <w:shd w:val="clear" w:color="auto" w:fill="F2E18B"/>
            <w:vAlign w:val="center"/>
          </w:tcPr>
          <w:p w14:paraId="5A191BE0" w14:textId="77777777" w:rsidR="00CF504F" w:rsidRPr="00355D83" w:rsidRDefault="00CF504F" w:rsidP="00FD15E2">
            <w:pPr>
              <w:pStyle w:val="TableText"/>
              <w:rPr>
                <w:bCs/>
              </w:rPr>
            </w:pPr>
            <w:r w:rsidRPr="00355D83">
              <w:t>Cattail and Pond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104F430F" w14:textId="709B079B" w:rsidR="003120C3" w:rsidRPr="00355D83" w:rsidRDefault="00CF504F" w:rsidP="00FD15E2">
            <w:pPr>
              <w:pStyle w:val="TableText"/>
              <w:rPr>
                <w:bCs/>
              </w:rPr>
            </w:pPr>
            <w:r w:rsidRPr="00355D83">
              <w:t>1 kg ac/5ML water (Injection below surface, Surface 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4BCC5264" w14:textId="77777777" w:rsidR="00CF504F" w:rsidRPr="00355D83" w:rsidRDefault="00CF504F" w:rsidP="00FD15E2">
            <w:pPr>
              <w:pStyle w:val="TableText"/>
            </w:pPr>
            <w:r w:rsidRPr="00355D83">
              <w:t>Supported (</w:t>
            </w:r>
            <w:r w:rsidRPr="00355D83">
              <w:rPr>
                <w:lang w:eastAsia="en-AU"/>
              </w:rPr>
              <w:t>DO NOT apply to or allow contamination of natural aquatic areas)</w:t>
            </w:r>
          </w:p>
        </w:tc>
        <w:tc>
          <w:tcPr>
            <w:tcW w:w="1484" w:type="dxa"/>
            <w:tcBorders>
              <w:top w:val="single" w:sz="4" w:space="0" w:color="auto"/>
              <w:bottom w:val="single" w:sz="4" w:space="0" w:color="auto"/>
              <w:right w:val="single" w:sz="4" w:space="0" w:color="auto"/>
            </w:tcBorders>
            <w:shd w:val="clear" w:color="auto" w:fill="F2E18B"/>
            <w:vAlign w:val="center"/>
          </w:tcPr>
          <w:p w14:paraId="7881AC27" w14:textId="77777777" w:rsidR="00CF504F" w:rsidRPr="00355D83" w:rsidRDefault="00CF504F" w:rsidP="00FD15E2">
            <w:pPr>
              <w:pStyle w:val="TableText"/>
            </w:pPr>
            <w:r w:rsidRPr="00355D83">
              <w:t>Supported (10 day no human, livestock or irrigation use)</w:t>
            </w:r>
          </w:p>
        </w:tc>
        <w:tc>
          <w:tcPr>
            <w:tcW w:w="1213" w:type="dxa"/>
            <w:tcBorders>
              <w:top w:val="single" w:sz="4" w:space="0" w:color="auto"/>
              <w:bottom w:val="single" w:sz="4" w:space="0" w:color="auto"/>
              <w:right w:val="single" w:sz="4" w:space="0" w:color="auto"/>
            </w:tcBorders>
            <w:shd w:val="clear" w:color="auto" w:fill="F2E18B"/>
            <w:vAlign w:val="center"/>
          </w:tcPr>
          <w:p w14:paraId="21B64E9A"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69F23C4A" w14:textId="77777777" w:rsidR="00CF504F" w:rsidRPr="00355D83" w:rsidRDefault="00CF504F" w:rsidP="00FD15E2">
            <w:pPr>
              <w:pStyle w:val="TableText"/>
            </w:pPr>
            <w:r w:rsidRPr="00355D83">
              <w:t>Supported</w:t>
            </w:r>
          </w:p>
        </w:tc>
      </w:tr>
      <w:tr w:rsidR="00CF504F" w:rsidRPr="00CF504F" w14:paraId="412FE648"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4D8CCDA0" w14:textId="04BE5E1E" w:rsidR="00CF504F" w:rsidRPr="00355D83" w:rsidRDefault="00CF504F" w:rsidP="00FD15E2">
            <w:pPr>
              <w:pStyle w:val="TableText"/>
              <w:rPr>
                <w:bCs/>
              </w:rPr>
            </w:pPr>
            <w:r w:rsidRPr="00355D83">
              <w:t>Asparagus</w:t>
            </w:r>
            <w:r w:rsidR="003120C3" w:rsidRPr="00355D83">
              <w:t xml:space="preserve"> (prior to spear emergence)</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2DB94240" w14:textId="77777777" w:rsidR="00CF504F" w:rsidRPr="00355D83" w:rsidRDefault="00CF504F" w:rsidP="00FD15E2">
            <w:pPr>
              <w:pStyle w:val="TableText"/>
              <w:rPr>
                <w:bCs/>
              </w:rPr>
            </w:pPr>
            <w:r w:rsidRPr="00355D83">
              <w:t>Broadleaf weeds (prior to spear emergence)</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372F63E6" w14:textId="77777777" w:rsidR="00CF504F" w:rsidRPr="00355D83" w:rsidRDefault="00CF504F" w:rsidP="00FD15E2">
            <w:pPr>
              <w:pStyle w:val="TableText"/>
              <w:rPr>
                <w:bCs/>
              </w:rPr>
            </w:pPr>
            <w:r w:rsidRPr="00355D83">
              <w:t>280 g ac/ha (boomspray)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30182F72" w14:textId="0A5F6A6B" w:rsidR="00CF504F" w:rsidRPr="00355D83" w:rsidRDefault="00CF504F" w:rsidP="00FD15E2">
            <w:pPr>
              <w:pStyle w:val="TableText"/>
            </w:pPr>
            <w:r w:rsidRPr="00355D83">
              <w:rPr>
                <w:lang w:eastAsia="en-AU"/>
              </w:rPr>
              <w:t>Supported</w:t>
            </w:r>
            <w:r w:rsidR="003120C3" w:rsidRPr="00355D83">
              <w:rPr>
                <w:lang w:eastAsia="en-AU"/>
              </w:rPr>
              <w:t xml:space="preserve"> </w:t>
            </w:r>
          </w:p>
        </w:tc>
        <w:tc>
          <w:tcPr>
            <w:tcW w:w="1484" w:type="dxa"/>
            <w:tcBorders>
              <w:top w:val="single" w:sz="4" w:space="0" w:color="auto"/>
              <w:bottom w:val="single" w:sz="4" w:space="0" w:color="auto"/>
              <w:right w:val="single" w:sz="4" w:space="0" w:color="auto"/>
            </w:tcBorders>
            <w:shd w:val="clear" w:color="auto" w:fill="F2E18B"/>
            <w:vAlign w:val="center"/>
          </w:tcPr>
          <w:p w14:paraId="2AE0E76E"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111B3796"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5C303A0D" w14:textId="77777777" w:rsidR="00CF504F" w:rsidRPr="00355D83" w:rsidRDefault="00CF504F" w:rsidP="00FD15E2">
            <w:pPr>
              <w:pStyle w:val="TableText"/>
            </w:pPr>
            <w:r w:rsidRPr="00355D83">
              <w:t>Supported</w:t>
            </w:r>
          </w:p>
        </w:tc>
      </w:tr>
      <w:tr w:rsidR="00CF504F" w:rsidRPr="00CF504F" w14:paraId="6E5FB229"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65A21EA9" w14:textId="6F173318" w:rsidR="00CF504F" w:rsidRPr="00355D83" w:rsidRDefault="00CF504F" w:rsidP="00FD15E2">
            <w:pPr>
              <w:pStyle w:val="TableText"/>
              <w:rPr>
                <w:bCs/>
              </w:rPr>
            </w:pPr>
            <w:r w:rsidRPr="00355D83">
              <w:t>Hops</w:t>
            </w:r>
            <w:r w:rsidR="003120C3" w:rsidRPr="00355D83">
              <w:t xml:space="preserve"> (apply prior to emerging from winter dormancy)</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177F36AD" w14:textId="77777777" w:rsidR="00CF504F" w:rsidRPr="00355D83" w:rsidRDefault="00CF504F" w:rsidP="00FD15E2">
            <w:pPr>
              <w:pStyle w:val="TableText"/>
              <w:rPr>
                <w:bCs/>
              </w:rPr>
            </w:pPr>
            <w:r w:rsidRPr="00355D83">
              <w:t>Annual broadleaf and grass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0661594D" w14:textId="2F6682FF" w:rsidR="00CF504F" w:rsidRPr="00355D83" w:rsidRDefault="00CF504F" w:rsidP="00FD15E2">
            <w:pPr>
              <w:pStyle w:val="TableText"/>
              <w:rPr>
                <w:bCs/>
              </w:rPr>
            </w:pPr>
            <w:r w:rsidRPr="00355D83">
              <w:t>140-280 g ac/ha (</w:t>
            </w:r>
            <w:r w:rsidR="003120C3" w:rsidRPr="00355D83">
              <w:t xml:space="preserve">directed </w:t>
            </w:r>
            <w:r w:rsidRPr="00355D83">
              <w:t>Inter-row 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5FAB9944" w14:textId="09823EA6" w:rsidR="00CF504F" w:rsidRPr="00355D83" w:rsidRDefault="00CF504F" w:rsidP="00FD15E2">
            <w:pPr>
              <w:pStyle w:val="TableText"/>
            </w:pPr>
            <w:r w:rsidRPr="00355D83">
              <w:rPr>
                <w:lang w:eastAsia="en-AU"/>
              </w:rPr>
              <w:t>Supported</w:t>
            </w:r>
            <w:r w:rsidR="003120C3" w:rsidRPr="00355D83">
              <w:rPr>
                <w:lang w:eastAsia="en-AU"/>
              </w:rPr>
              <w:t xml:space="preserve"> </w:t>
            </w:r>
          </w:p>
        </w:tc>
        <w:tc>
          <w:tcPr>
            <w:tcW w:w="1484" w:type="dxa"/>
            <w:tcBorders>
              <w:top w:val="single" w:sz="4" w:space="0" w:color="auto"/>
              <w:bottom w:val="single" w:sz="4" w:space="0" w:color="auto"/>
              <w:right w:val="single" w:sz="4" w:space="0" w:color="auto"/>
            </w:tcBorders>
            <w:shd w:val="clear" w:color="auto" w:fill="F2E18B"/>
            <w:vAlign w:val="center"/>
          </w:tcPr>
          <w:p w14:paraId="5523ABAE"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547E1437"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03DA724D" w14:textId="77777777" w:rsidR="00CF504F" w:rsidRPr="00355D83" w:rsidRDefault="00CF504F" w:rsidP="00FD15E2">
            <w:pPr>
              <w:pStyle w:val="TableText"/>
            </w:pPr>
            <w:r w:rsidRPr="00355D83">
              <w:t>Supported</w:t>
            </w:r>
          </w:p>
        </w:tc>
      </w:tr>
      <w:tr w:rsidR="00CF504F" w:rsidRPr="00CF504F" w14:paraId="4BBC8932" w14:textId="77777777" w:rsidTr="003F537D">
        <w:trPr>
          <w:cantSplit/>
          <w:trHeight w:val="288"/>
        </w:trPr>
        <w:tc>
          <w:tcPr>
            <w:tcW w:w="1343" w:type="dxa"/>
            <w:vMerge w:val="restart"/>
            <w:tcBorders>
              <w:top w:val="single" w:sz="4" w:space="0" w:color="auto"/>
              <w:left w:val="single" w:sz="4" w:space="0" w:color="auto"/>
              <w:right w:val="single" w:sz="4" w:space="0" w:color="auto"/>
            </w:tcBorders>
            <w:shd w:val="clear" w:color="auto" w:fill="F2E18B"/>
            <w:vAlign w:val="center"/>
          </w:tcPr>
          <w:p w14:paraId="6842C5F4" w14:textId="77777777" w:rsidR="00CF504F" w:rsidRPr="00355D83" w:rsidRDefault="00CF504F" w:rsidP="00FD15E2">
            <w:pPr>
              <w:pStyle w:val="TableText"/>
              <w:rPr>
                <w:bCs/>
              </w:rPr>
            </w:pPr>
            <w:r w:rsidRPr="00355D83">
              <w:t>Infested areas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64B1139B" w14:textId="77777777" w:rsidR="00CF504F" w:rsidRPr="00355D83" w:rsidRDefault="00CF504F" w:rsidP="00FD15E2">
            <w:pPr>
              <w:pStyle w:val="TableText"/>
              <w:rPr>
                <w:bCs/>
              </w:rPr>
            </w:pPr>
            <w:r w:rsidRPr="00355D83">
              <w:t>Cotton Thistle (</w:t>
            </w:r>
            <w:r w:rsidRPr="00355D83">
              <w:rPr>
                <w:i/>
                <w:iCs/>
              </w:rPr>
              <w:t>Onopordum</w:t>
            </w:r>
            <w:r w:rsidRPr="00355D83">
              <w:rPr>
                <w:i/>
                <w:iCs/>
              </w:rPr>
              <w:br/>
              <w:t>acanthium</w:t>
            </w:r>
            <w:r w:rsidRPr="00355D83">
              <w:t>)</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784A05B6" w14:textId="77777777" w:rsidR="00CF504F" w:rsidRPr="00355D83" w:rsidRDefault="00CF504F" w:rsidP="00FD15E2">
            <w:pPr>
              <w:pStyle w:val="TableText"/>
              <w:rPr>
                <w:bCs/>
              </w:rPr>
            </w:pPr>
            <w:r w:rsidRPr="00355D83">
              <w:t xml:space="preserve">60 g ac/ha (Spot spray) </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4ACA003E" w14:textId="0B1F2BE4" w:rsidR="00CF504F" w:rsidRPr="00355D83" w:rsidRDefault="00CF504F" w:rsidP="00FD15E2">
            <w:pPr>
              <w:pStyle w:val="TableText"/>
            </w:pPr>
            <w:r w:rsidRPr="00355D83">
              <w:rPr>
                <w:lang w:eastAsia="en-AU"/>
              </w:rPr>
              <w:t>Supported</w:t>
            </w:r>
            <w:r w:rsidR="003F1F79">
              <w:rPr>
                <w:lang w:eastAsia="en-AU"/>
              </w:rPr>
              <w:t xml:space="preserve"> (Tas only)</w:t>
            </w:r>
          </w:p>
        </w:tc>
        <w:tc>
          <w:tcPr>
            <w:tcW w:w="1484" w:type="dxa"/>
            <w:tcBorders>
              <w:top w:val="single" w:sz="4" w:space="0" w:color="auto"/>
              <w:bottom w:val="single" w:sz="4" w:space="0" w:color="auto"/>
              <w:right w:val="single" w:sz="4" w:space="0" w:color="auto"/>
            </w:tcBorders>
            <w:shd w:val="clear" w:color="auto" w:fill="F2E18B"/>
            <w:vAlign w:val="center"/>
          </w:tcPr>
          <w:p w14:paraId="42781E5E"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1531DFCE"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3563ABA4" w14:textId="77777777" w:rsidR="00CF504F" w:rsidRPr="00355D83" w:rsidRDefault="00CF504F" w:rsidP="00FD15E2">
            <w:pPr>
              <w:pStyle w:val="TableText"/>
            </w:pPr>
            <w:r w:rsidRPr="00355D83">
              <w:t>Supported</w:t>
            </w:r>
          </w:p>
        </w:tc>
      </w:tr>
      <w:tr w:rsidR="00CF504F" w:rsidRPr="00CF504F" w14:paraId="42F82C4D" w14:textId="77777777" w:rsidTr="003F537D">
        <w:trPr>
          <w:cantSplit/>
          <w:trHeight w:val="288"/>
        </w:trPr>
        <w:tc>
          <w:tcPr>
            <w:tcW w:w="1343" w:type="dxa"/>
            <w:vMerge/>
            <w:tcBorders>
              <w:left w:val="single" w:sz="4" w:space="0" w:color="auto"/>
              <w:bottom w:val="single" w:sz="4" w:space="0" w:color="auto"/>
              <w:right w:val="single" w:sz="4" w:space="0" w:color="auto"/>
            </w:tcBorders>
            <w:shd w:val="clear" w:color="auto" w:fill="F2E18B"/>
            <w:vAlign w:val="center"/>
          </w:tcPr>
          <w:p w14:paraId="1AE81C1B" w14:textId="77777777" w:rsidR="00CF504F" w:rsidRPr="00355D83" w:rsidRDefault="00CF504F" w:rsidP="00FD15E2">
            <w:pPr>
              <w:pStyle w:val="TableText"/>
              <w:rPr>
                <w:bCs/>
              </w:rPr>
            </w:pPr>
          </w:p>
        </w:tc>
        <w:tc>
          <w:tcPr>
            <w:tcW w:w="1231" w:type="dxa"/>
            <w:tcBorders>
              <w:top w:val="single" w:sz="4" w:space="0" w:color="auto"/>
              <w:left w:val="nil"/>
              <w:bottom w:val="single" w:sz="4" w:space="0" w:color="auto"/>
              <w:right w:val="single" w:sz="4" w:space="0" w:color="auto"/>
            </w:tcBorders>
            <w:shd w:val="clear" w:color="auto" w:fill="F2E18B"/>
            <w:vAlign w:val="center"/>
          </w:tcPr>
          <w:p w14:paraId="558B0296" w14:textId="77777777" w:rsidR="00CF504F" w:rsidRPr="00355D83" w:rsidRDefault="00CF504F" w:rsidP="00FD15E2">
            <w:pPr>
              <w:pStyle w:val="TableText"/>
              <w:rPr>
                <w:bCs/>
              </w:rPr>
            </w:pPr>
            <w:r w:rsidRPr="00355D83">
              <w:t>Saffron Thistle</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50EF18F8" w14:textId="77777777" w:rsidR="00CF504F" w:rsidRPr="00355D83" w:rsidRDefault="00CF504F" w:rsidP="00FD15E2">
            <w:pPr>
              <w:pStyle w:val="TableText"/>
              <w:rPr>
                <w:bCs/>
              </w:rPr>
            </w:pPr>
            <w:r w:rsidRPr="00355D83">
              <w:t>560 g ac/ha (Boomspray, Spot 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7F9DD22F" w14:textId="57BDABC8" w:rsidR="00CF504F" w:rsidRPr="00355D83" w:rsidRDefault="00CF504F" w:rsidP="00FD15E2">
            <w:pPr>
              <w:pStyle w:val="TableText"/>
            </w:pPr>
            <w:r w:rsidRPr="00355D83">
              <w:rPr>
                <w:lang w:eastAsia="en-AU"/>
              </w:rPr>
              <w:t>Supported (change from proposed, W</w:t>
            </w:r>
            <w:r w:rsidR="003120C3" w:rsidRPr="00355D83">
              <w:rPr>
                <w:lang w:eastAsia="en-AU"/>
              </w:rPr>
              <w:t>O</w:t>
            </w:r>
            <w:r w:rsidRPr="00355D83">
              <w:rPr>
                <w:lang w:eastAsia="en-AU"/>
              </w:rPr>
              <w:t>E)</w:t>
            </w:r>
          </w:p>
        </w:tc>
        <w:tc>
          <w:tcPr>
            <w:tcW w:w="1484" w:type="dxa"/>
            <w:tcBorders>
              <w:top w:val="single" w:sz="4" w:space="0" w:color="auto"/>
              <w:bottom w:val="single" w:sz="4" w:space="0" w:color="auto"/>
              <w:right w:val="single" w:sz="4" w:space="0" w:color="auto"/>
            </w:tcBorders>
            <w:shd w:val="clear" w:color="auto" w:fill="F2E18B"/>
            <w:vAlign w:val="center"/>
          </w:tcPr>
          <w:p w14:paraId="64954B16"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4E6E6821"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7C9D8B5B" w14:textId="77777777" w:rsidR="00CF504F" w:rsidRPr="00355D83" w:rsidRDefault="00CF504F" w:rsidP="00FD15E2">
            <w:pPr>
              <w:pStyle w:val="TableText"/>
            </w:pPr>
            <w:r w:rsidRPr="00355D83">
              <w:t>Supported</w:t>
            </w:r>
          </w:p>
        </w:tc>
      </w:tr>
      <w:tr w:rsidR="00C661BC" w:rsidRPr="00CF504F" w14:paraId="2929C4E5" w14:textId="77777777" w:rsidTr="003F537D">
        <w:trPr>
          <w:cantSplit/>
          <w:trHeight w:val="924"/>
        </w:trPr>
        <w:tc>
          <w:tcPr>
            <w:tcW w:w="1343" w:type="dxa"/>
            <w:vMerge w:val="restart"/>
            <w:tcBorders>
              <w:top w:val="single" w:sz="4" w:space="0" w:color="auto"/>
              <w:left w:val="single" w:sz="4" w:space="0" w:color="auto"/>
              <w:right w:val="single" w:sz="4" w:space="0" w:color="auto"/>
            </w:tcBorders>
            <w:shd w:val="clear" w:color="auto" w:fill="F2E18B"/>
            <w:vAlign w:val="center"/>
          </w:tcPr>
          <w:p w14:paraId="45C864C2" w14:textId="70353F49" w:rsidR="00C661BC" w:rsidRPr="00355D83" w:rsidRDefault="00C661BC" w:rsidP="00FD15E2">
            <w:pPr>
              <w:pStyle w:val="TableText"/>
              <w:rPr>
                <w:bCs/>
              </w:rPr>
            </w:pPr>
            <w:r w:rsidRPr="00355D83">
              <w:t>Lucerne</w:t>
            </w:r>
            <w:r w:rsidR="000E55E7" w:rsidRPr="00355D83">
              <w:t xml:space="preserve"> (grazed before spraying)</w:t>
            </w:r>
          </w:p>
        </w:tc>
        <w:tc>
          <w:tcPr>
            <w:tcW w:w="1231" w:type="dxa"/>
            <w:vMerge w:val="restart"/>
            <w:tcBorders>
              <w:top w:val="single" w:sz="4" w:space="0" w:color="auto"/>
              <w:left w:val="nil"/>
              <w:right w:val="single" w:sz="4" w:space="0" w:color="auto"/>
            </w:tcBorders>
            <w:shd w:val="clear" w:color="auto" w:fill="F2E18B"/>
            <w:vAlign w:val="center"/>
          </w:tcPr>
          <w:p w14:paraId="33CE37B3" w14:textId="77777777" w:rsidR="00C661BC" w:rsidRPr="00355D83" w:rsidRDefault="00C661BC" w:rsidP="00FD15E2">
            <w:pPr>
              <w:pStyle w:val="TableText"/>
              <w:rPr>
                <w:bCs/>
              </w:rPr>
            </w:pPr>
            <w:r w:rsidRPr="00355D83">
              <w:t>Capeweed and Erodium spp.</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500E480B" w14:textId="16702509" w:rsidR="00C661BC" w:rsidRPr="00355D83" w:rsidRDefault="00C661BC" w:rsidP="00FD15E2">
            <w:pPr>
              <w:pStyle w:val="TableText"/>
              <w:rPr>
                <w:bCs/>
              </w:rPr>
            </w:pPr>
            <w:r w:rsidRPr="00355D83">
              <w:t>70 g ac/ha (Early Autumn – Boomspray)</w:t>
            </w:r>
          </w:p>
        </w:tc>
        <w:tc>
          <w:tcPr>
            <w:tcW w:w="1807" w:type="dxa"/>
            <w:vMerge w:val="restart"/>
            <w:tcBorders>
              <w:top w:val="single" w:sz="4" w:space="0" w:color="auto"/>
              <w:left w:val="nil"/>
              <w:right w:val="single" w:sz="4" w:space="0" w:color="auto"/>
            </w:tcBorders>
            <w:shd w:val="clear" w:color="auto" w:fill="F2E18B"/>
            <w:noWrap/>
            <w:vAlign w:val="center"/>
          </w:tcPr>
          <w:p w14:paraId="4EEEBDDD" w14:textId="03B2CA4A" w:rsidR="00C661BC" w:rsidRPr="00355D83" w:rsidRDefault="00C661BC" w:rsidP="00FD15E2">
            <w:pPr>
              <w:pStyle w:val="TableText"/>
            </w:pPr>
            <w:r w:rsidRPr="00355D83">
              <w:rPr>
                <w:lang w:eastAsia="en-AU"/>
              </w:rPr>
              <w:t>Supported</w:t>
            </w:r>
            <w:r w:rsidRPr="00355D83">
              <w:t xml:space="preserve"> up to</w:t>
            </w:r>
            <w:r w:rsidR="000E55E7" w:rsidRPr="00355D83">
              <w:t xml:space="preserve"> 140</w:t>
            </w:r>
            <w:r w:rsidRPr="00355D83">
              <w:t xml:space="preserve"> g ac/ha per season</w:t>
            </w:r>
          </w:p>
        </w:tc>
        <w:tc>
          <w:tcPr>
            <w:tcW w:w="1484" w:type="dxa"/>
            <w:vMerge w:val="restart"/>
            <w:tcBorders>
              <w:top w:val="single" w:sz="4" w:space="0" w:color="auto"/>
              <w:right w:val="single" w:sz="4" w:space="0" w:color="auto"/>
            </w:tcBorders>
            <w:shd w:val="clear" w:color="auto" w:fill="F2E18B"/>
            <w:vAlign w:val="center"/>
          </w:tcPr>
          <w:p w14:paraId="37F6A865" w14:textId="77777777" w:rsidR="00C661BC" w:rsidRPr="00355D83" w:rsidRDefault="00C661BC" w:rsidP="00FD15E2">
            <w:pPr>
              <w:pStyle w:val="TableText"/>
            </w:pPr>
            <w:r w:rsidRPr="00355D83">
              <w:t xml:space="preserve">Supported </w:t>
            </w:r>
          </w:p>
        </w:tc>
        <w:tc>
          <w:tcPr>
            <w:tcW w:w="1213" w:type="dxa"/>
            <w:vMerge w:val="restart"/>
            <w:tcBorders>
              <w:top w:val="single" w:sz="4" w:space="0" w:color="auto"/>
              <w:right w:val="single" w:sz="4" w:space="0" w:color="auto"/>
            </w:tcBorders>
            <w:shd w:val="clear" w:color="auto" w:fill="F2E18B"/>
            <w:vAlign w:val="center"/>
          </w:tcPr>
          <w:p w14:paraId="0CA6EDC1" w14:textId="77777777" w:rsidR="00C661BC" w:rsidRPr="00355D83" w:rsidRDefault="00C661BC" w:rsidP="00FD15E2">
            <w:pPr>
              <w:pStyle w:val="TableText"/>
            </w:pPr>
            <w:r w:rsidRPr="00355D83">
              <w:rPr>
                <w:bCs/>
              </w:rPr>
              <w:t>Supported</w:t>
            </w:r>
          </w:p>
        </w:tc>
        <w:tc>
          <w:tcPr>
            <w:tcW w:w="1456" w:type="dxa"/>
            <w:vMerge w:val="restart"/>
            <w:tcBorders>
              <w:top w:val="single" w:sz="4" w:space="0" w:color="auto"/>
              <w:left w:val="single" w:sz="4" w:space="0" w:color="auto"/>
              <w:right w:val="single" w:sz="4" w:space="0" w:color="auto"/>
            </w:tcBorders>
            <w:shd w:val="clear" w:color="auto" w:fill="F2E18B"/>
            <w:vAlign w:val="center"/>
          </w:tcPr>
          <w:p w14:paraId="7AFBCE64" w14:textId="3AC7BDFC" w:rsidR="00C661BC" w:rsidRPr="00355D83" w:rsidRDefault="00C661BC" w:rsidP="00FD15E2">
            <w:pPr>
              <w:pStyle w:val="TableText"/>
            </w:pPr>
            <w:r w:rsidRPr="00355D83">
              <w:t>Supported</w:t>
            </w:r>
            <w:r w:rsidR="00371C5D" w:rsidRPr="00355D83">
              <w:t xml:space="preserve"> with rate restriction</w:t>
            </w:r>
            <w:r w:rsidRPr="005A361E">
              <w:rPr>
                <w:vertAlign w:val="superscript"/>
              </w:rPr>
              <w:fldChar w:fldCharType="begin"/>
            </w:r>
            <w:r w:rsidRPr="005A361E">
              <w:rPr>
                <w:vertAlign w:val="superscript"/>
              </w:rPr>
              <w:instrText xml:space="preserve"> NOTEREF _Ref222388371 \f \h  \* MERGEFORMAT </w:instrText>
            </w:r>
            <w:r w:rsidRPr="005A361E">
              <w:rPr>
                <w:vertAlign w:val="superscript"/>
              </w:rPr>
            </w:r>
            <w:r w:rsidRPr="005A361E">
              <w:rPr>
                <w:vertAlign w:val="superscript"/>
              </w:rPr>
              <w:fldChar w:fldCharType="separate"/>
            </w:r>
            <w:r w:rsidR="005A361E" w:rsidRPr="005A361E">
              <w:rPr>
                <w:rFonts w:eastAsia="Aptos"/>
                <w:kern w:val="2"/>
                <w:vertAlign w:val="superscript"/>
              </w:rPr>
              <w:t>35</w:t>
            </w:r>
            <w:r w:rsidRPr="005A361E">
              <w:rPr>
                <w:vertAlign w:val="superscript"/>
              </w:rPr>
              <w:fldChar w:fldCharType="end"/>
            </w:r>
          </w:p>
        </w:tc>
      </w:tr>
      <w:tr w:rsidR="00C661BC" w:rsidRPr="00CF504F" w14:paraId="31552DE2" w14:textId="77777777" w:rsidTr="003F537D">
        <w:trPr>
          <w:cantSplit/>
          <w:trHeight w:val="924"/>
        </w:trPr>
        <w:tc>
          <w:tcPr>
            <w:tcW w:w="1343" w:type="dxa"/>
            <w:vMerge/>
            <w:tcBorders>
              <w:left w:val="single" w:sz="4" w:space="0" w:color="auto"/>
              <w:bottom w:val="single" w:sz="4" w:space="0" w:color="auto"/>
              <w:right w:val="single" w:sz="4" w:space="0" w:color="auto"/>
            </w:tcBorders>
            <w:shd w:val="clear" w:color="auto" w:fill="F2E18B"/>
            <w:vAlign w:val="center"/>
          </w:tcPr>
          <w:p w14:paraId="3D08234A" w14:textId="77777777" w:rsidR="00C661BC" w:rsidRPr="00355D83" w:rsidRDefault="00C661BC" w:rsidP="00FD15E2">
            <w:pPr>
              <w:pStyle w:val="TableText"/>
            </w:pPr>
          </w:p>
        </w:tc>
        <w:tc>
          <w:tcPr>
            <w:tcW w:w="1231" w:type="dxa"/>
            <w:vMerge/>
            <w:tcBorders>
              <w:left w:val="nil"/>
              <w:bottom w:val="single" w:sz="4" w:space="0" w:color="auto"/>
              <w:right w:val="single" w:sz="4" w:space="0" w:color="auto"/>
            </w:tcBorders>
            <w:shd w:val="clear" w:color="auto" w:fill="F2E18B"/>
            <w:vAlign w:val="center"/>
          </w:tcPr>
          <w:p w14:paraId="7C3EA22C" w14:textId="77777777" w:rsidR="00C661BC" w:rsidRPr="00355D83" w:rsidRDefault="00C661BC" w:rsidP="00FD15E2">
            <w:pPr>
              <w:pStyle w:val="TableText"/>
            </w:pPr>
          </w:p>
        </w:tc>
        <w:tc>
          <w:tcPr>
            <w:tcW w:w="1256" w:type="dxa"/>
            <w:tcBorders>
              <w:top w:val="single" w:sz="4" w:space="0" w:color="auto"/>
              <w:left w:val="nil"/>
              <w:bottom w:val="single" w:sz="4" w:space="0" w:color="auto"/>
              <w:right w:val="single" w:sz="4" w:space="0" w:color="auto"/>
            </w:tcBorders>
            <w:shd w:val="clear" w:color="auto" w:fill="F2E18B"/>
            <w:vAlign w:val="center"/>
          </w:tcPr>
          <w:p w14:paraId="09E07F74" w14:textId="063EE980" w:rsidR="00C661BC" w:rsidRPr="00355D83" w:rsidRDefault="00C661BC" w:rsidP="00FD15E2">
            <w:pPr>
              <w:pStyle w:val="TableText"/>
            </w:pPr>
            <w:r w:rsidRPr="00355D83">
              <w:rPr>
                <w:bCs/>
              </w:rPr>
              <w:t>140 g ac/ha (late winter – Boomspray)</w:t>
            </w:r>
          </w:p>
        </w:tc>
        <w:tc>
          <w:tcPr>
            <w:tcW w:w="1807" w:type="dxa"/>
            <w:vMerge/>
            <w:tcBorders>
              <w:left w:val="nil"/>
              <w:bottom w:val="single" w:sz="4" w:space="0" w:color="auto"/>
              <w:right w:val="single" w:sz="4" w:space="0" w:color="auto"/>
            </w:tcBorders>
            <w:shd w:val="clear" w:color="auto" w:fill="F2E18B"/>
            <w:noWrap/>
            <w:vAlign w:val="center"/>
          </w:tcPr>
          <w:p w14:paraId="04863639" w14:textId="77777777" w:rsidR="00C661BC" w:rsidRPr="00355D83" w:rsidRDefault="00C661BC" w:rsidP="00FD15E2">
            <w:pPr>
              <w:pStyle w:val="TableText"/>
              <w:rPr>
                <w:lang w:eastAsia="en-AU"/>
              </w:rPr>
            </w:pPr>
          </w:p>
        </w:tc>
        <w:tc>
          <w:tcPr>
            <w:tcW w:w="1484" w:type="dxa"/>
            <w:vMerge/>
            <w:tcBorders>
              <w:bottom w:val="single" w:sz="4" w:space="0" w:color="auto"/>
              <w:right w:val="single" w:sz="4" w:space="0" w:color="auto"/>
            </w:tcBorders>
            <w:shd w:val="clear" w:color="auto" w:fill="F2E18B"/>
            <w:vAlign w:val="center"/>
          </w:tcPr>
          <w:p w14:paraId="2BDADB36" w14:textId="77777777" w:rsidR="00C661BC" w:rsidRPr="00355D83" w:rsidRDefault="00C661BC" w:rsidP="00FD15E2">
            <w:pPr>
              <w:pStyle w:val="TableText"/>
            </w:pPr>
          </w:p>
        </w:tc>
        <w:tc>
          <w:tcPr>
            <w:tcW w:w="1213" w:type="dxa"/>
            <w:vMerge/>
            <w:tcBorders>
              <w:bottom w:val="single" w:sz="4" w:space="0" w:color="auto"/>
              <w:right w:val="single" w:sz="4" w:space="0" w:color="auto"/>
            </w:tcBorders>
            <w:shd w:val="clear" w:color="auto" w:fill="F2E18B"/>
            <w:vAlign w:val="center"/>
          </w:tcPr>
          <w:p w14:paraId="06186A6E" w14:textId="77777777" w:rsidR="00C661BC" w:rsidRPr="00355D83" w:rsidRDefault="00C661BC" w:rsidP="00FD15E2">
            <w:pPr>
              <w:pStyle w:val="TableText"/>
              <w:rPr>
                <w:bCs/>
              </w:rPr>
            </w:pPr>
          </w:p>
        </w:tc>
        <w:tc>
          <w:tcPr>
            <w:tcW w:w="1456" w:type="dxa"/>
            <w:vMerge/>
            <w:tcBorders>
              <w:left w:val="single" w:sz="4" w:space="0" w:color="auto"/>
              <w:bottom w:val="single" w:sz="4" w:space="0" w:color="auto"/>
              <w:right w:val="single" w:sz="4" w:space="0" w:color="auto"/>
            </w:tcBorders>
            <w:shd w:val="clear" w:color="auto" w:fill="F2E18B"/>
            <w:vAlign w:val="center"/>
          </w:tcPr>
          <w:p w14:paraId="71B7C032" w14:textId="77777777" w:rsidR="00C661BC" w:rsidRPr="00355D83" w:rsidRDefault="00C661BC" w:rsidP="00FD15E2">
            <w:pPr>
              <w:pStyle w:val="TableText"/>
            </w:pPr>
          </w:p>
        </w:tc>
      </w:tr>
      <w:tr w:rsidR="00CF504F" w:rsidRPr="00CF504F" w14:paraId="3D4739A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427354B1" w14:textId="77777777" w:rsidR="00CF504F" w:rsidRPr="00355D83" w:rsidRDefault="00CF504F" w:rsidP="00FD15E2">
            <w:pPr>
              <w:pStyle w:val="TableText"/>
              <w:rPr>
                <w:bCs/>
              </w:rPr>
            </w:pPr>
            <w:r w:rsidRPr="00355D83">
              <w:t>Oil seed poppies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5D84D96C" w14:textId="77777777" w:rsidR="00CF504F" w:rsidRPr="00355D83" w:rsidRDefault="00CF504F" w:rsidP="00FD15E2">
            <w:pPr>
              <w:pStyle w:val="TableText"/>
              <w:rPr>
                <w:bCs/>
              </w:rPr>
            </w:pPr>
            <w:r w:rsidRPr="00355D83">
              <w:t xml:space="preserve">General weed control </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4C95FD3E" w14:textId="77777777" w:rsidR="00CF504F" w:rsidRPr="00355D83" w:rsidRDefault="00CF504F" w:rsidP="00FD15E2">
            <w:pPr>
              <w:pStyle w:val="TableText"/>
              <w:rPr>
                <w:bCs/>
              </w:rPr>
            </w:pPr>
            <w:r w:rsidRPr="00355D83">
              <w:t>60-300 g ac/ha (boomspray)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31211AC7" w14:textId="77777777" w:rsidR="00CF504F" w:rsidRPr="00355D83" w:rsidRDefault="00CF504F" w:rsidP="00FD15E2">
            <w:pPr>
              <w:pStyle w:val="TableText"/>
            </w:pPr>
            <w:r w:rsidRPr="00355D83">
              <w:rPr>
                <w:lang w:eastAsia="en-AU"/>
              </w:rPr>
              <w:t>Supported up to 283 g ac/ha per season</w:t>
            </w:r>
          </w:p>
        </w:tc>
        <w:tc>
          <w:tcPr>
            <w:tcW w:w="1484" w:type="dxa"/>
            <w:tcBorders>
              <w:top w:val="single" w:sz="4" w:space="0" w:color="auto"/>
              <w:bottom w:val="single" w:sz="4" w:space="0" w:color="auto"/>
              <w:right w:val="single" w:sz="4" w:space="0" w:color="auto"/>
            </w:tcBorders>
            <w:shd w:val="clear" w:color="auto" w:fill="F2E18B"/>
            <w:vAlign w:val="center"/>
          </w:tcPr>
          <w:p w14:paraId="5E0D034E"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3444BE53"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4C463AB6" w14:textId="21512851" w:rsidR="00CF504F" w:rsidRPr="00355D83" w:rsidRDefault="00CF504F" w:rsidP="00FD15E2">
            <w:pPr>
              <w:pStyle w:val="TableText"/>
            </w:pPr>
            <w:r w:rsidRPr="00355D83">
              <w:t>Supported</w:t>
            </w:r>
            <w:r w:rsidR="00371C5D" w:rsidRPr="00355D83">
              <w:t xml:space="preserve"> with rate restriction</w:t>
            </w:r>
            <w:r w:rsidRPr="005A361E">
              <w:rPr>
                <w:vertAlign w:val="superscript"/>
              </w:rPr>
              <w:fldChar w:fldCharType="begin"/>
            </w:r>
            <w:r w:rsidRPr="005A361E">
              <w:rPr>
                <w:vertAlign w:val="superscript"/>
              </w:rPr>
              <w:instrText xml:space="preserve"> NOTEREF _Ref222388371 \f \h  \* MERGEFORMAT </w:instrText>
            </w:r>
            <w:r w:rsidRPr="005A361E">
              <w:rPr>
                <w:vertAlign w:val="superscript"/>
              </w:rPr>
            </w:r>
            <w:r w:rsidRPr="005A361E">
              <w:rPr>
                <w:vertAlign w:val="superscript"/>
              </w:rPr>
              <w:fldChar w:fldCharType="separate"/>
            </w:r>
            <w:r w:rsidR="005A361E" w:rsidRPr="005A361E">
              <w:rPr>
                <w:rFonts w:eastAsia="Aptos"/>
                <w:kern w:val="2"/>
                <w:vertAlign w:val="superscript"/>
              </w:rPr>
              <w:t>35</w:t>
            </w:r>
            <w:r w:rsidRPr="005A361E">
              <w:rPr>
                <w:vertAlign w:val="superscript"/>
              </w:rPr>
              <w:fldChar w:fldCharType="end"/>
            </w:r>
          </w:p>
        </w:tc>
      </w:tr>
      <w:tr w:rsidR="00CF504F" w:rsidRPr="00CF504F" w14:paraId="6726340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707C685A" w14:textId="30E0345B" w:rsidR="00FC44A7" w:rsidRPr="00355D83" w:rsidRDefault="00CF504F" w:rsidP="00FD15E2">
            <w:pPr>
              <w:pStyle w:val="TableText"/>
              <w:rPr>
                <w:bCs/>
              </w:rPr>
            </w:pPr>
            <w:r w:rsidRPr="00355D83">
              <w:lastRenderedPageBreak/>
              <w:t>Orchards (including bananas) and Vineyards: Citrus, Grapes, Pome fruit, Stone fruit, Tree nuts, Tropical fruit (edible peel), Tropical fruit (inedible peel, except pineapple)</w:t>
            </w:r>
          </w:p>
        </w:tc>
        <w:tc>
          <w:tcPr>
            <w:tcW w:w="1231" w:type="dxa"/>
            <w:tcBorders>
              <w:top w:val="single" w:sz="4" w:space="0" w:color="auto"/>
              <w:left w:val="nil"/>
              <w:bottom w:val="single" w:sz="4" w:space="0" w:color="auto"/>
              <w:right w:val="single" w:sz="4" w:space="0" w:color="auto"/>
            </w:tcBorders>
            <w:vAlign w:val="center"/>
          </w:tcPr>
          <w:p w14:paraId="6FBC41F9" w14:textId="77777777" w:rsidR="00CF504F" w:rsidRPr="00355D83" w:rsidRDefault="00CF504F" w:rsidP="00FD15E2">
            <w:pPr>
              <w:pStyle w:val="TableText"/>
              <w:rPr>
                <w:bCs/>
              </w:rPr>
            </w:pPr>
            <w:r w:rsidRPr="00355D83">
              <w:t>Capeweed</w:t>
            </w:r>
          </w:p>
        </w:tc>
        <w:tc>
          <w:tcPr>
            <w:tcW w:w="1256" w:type="dxa"/>
            <w:tcBorders>
              <w:top w:val="single" w:sz="4" w:space="0" w:color="auto"/>
              <w:left w:val="nil"/>
              <w:bottom w:val="single" w:sz="4" w:space="0" w:color="auto"/>
              <w:right w:val="single" w:sz="4" w:space="0" w:color="auto"/>
            </w:tcBorders>
            <w:vAlign w:val="center"/>
          </w:tcPr>
          <w:p w14:paraId="243BE246" w14:textId="1D3503D8" w:rsidR="00CF504F" w:rsidRPr="00355D83" w:rsidRDefault="00CF504F" w:rsidP="00FD15E2">
            <w:pPr>
              <w:pStyle w:val="TableText"/>
              <w:rPr>
                <w:bCs/>
              </w:rPr>
            </w:pPr>
            <w:r w:rsidRPr="00355D83">
              <w:t>300 g ac/ha (Directed spray, inter-row spray, Butt spray)</w:t>
            </w:r>
            <w:r w:rsidR="002B280E">
              <w:t xml:space="preserve"> </w:t>
            </w:r>
            <w:r w:rsidR="00A2431D">
              <w:t>plus</w:t>
            </w:r>
            <w:r w:rsidR="00D77C1B">
              <w:t xml:space="preserve"> 400 g ac/ha </w:t>
            </w:r>
            <w:r w:rsidR="00453930">
              <w:t>paraquat</w:t>
            </w:r>
          </w:p>
        </w:tc>
        <w:tc>
          <w:tcPr>
            <w:tcW w:w="1807" w:type="dxa"/>
            <w:tcBorders>
              <w:top w:val="single" w:sz="4" w:space="0" w:color="auto"/>
              <w:left w:val="nil"/>
              <w:bottom w:val="single" w:sz="4" w:space="0" w:color="auto"/>
              <w:right w:val="single" w:sz="4" w:space="0" w:color="auto"/>
            </w:tcBorders>
            <w:noWrap/>
            <w:vAlign w:val="center"/>
          </w:tcPr>
          <w:p w14:paraId="228A7C13" w14:textId="77777777" w:rsidR="00CF504F" w:rsidRDefault="00CF504F" w:rsidP="00FD15E2">
            <w:pPr>
              <w:pStyle w:val="TableText"/>
              <w:rPr>
                <w:lang w:eastAsia="en-AU"/>
              </w:rPr>
            </w:pPr>
            <w:r w:rsidRPr="00355D83">
              <w:rPr>
                <w:lang w:eastAsia="en-AU"/>
              </w:rPr>
              <w:t>Supported</w:t>
            </w:r>
            <w:r w:rsidR="00371C5D" w:rsidRPr="00355D83">
              <w:rPr>
                <w:lang w:eastAsia="en-AU"/>
              </w:rPr>
              <w:t xml:space="preserve"> </w:t>
            </w:r>
            <w:r w:rsidR="00D77C1B">
              <w:rPr>
                <w:lang w:eastAsia="en-AU"/>
              </w:rPr>
              <w:t>for diquat alone.</w:t>
            </w:r>
          </w:p>
          <w:p w14:paraId="286451CD" w14:textId="7650F008" w:rsidR="00D77C1B" w:rsidRPr="00355D83" w:rsidRDefault="00D77C1B" w:rsidP="00FD15E2">
            <w:pPr>
              <w:pStyle w:val="TableText"/>
            </w:pPr>
            <w:r w:rsidRPr="00D77C1B">
              <w:rPr>
                <w:b/>
                <w:bCs/>
              </w:rPr>
              <w:t>Not supported</w:t>
            </w:r>
            <w:r>
              <w:t xml:space="preserve"> for obligatory paraquat tank mix (max rate supported 54 g ac/ha paraquat)</w:t>
            </w:r>
          </w:p>
        </w:tc>
        <w:tc>
          <w:tcPr>
            <w:tcW w:w="1484" w:type="dxa"/>
            <w:tcBorders>
              <w:top w:val="single" w:sz="4" w:space="0" w:color="auto"/>
              <w:bottom w:val="single" w:sz="4" w:space="0" w:color="auto"/>
              <w:right w:val="single" w:sz="4" w:space="0" w:color="auto"/>
            </w:tcBorders>
            <w:vAlign w:val="center"/>
          </w:tcPr>
          <w:p w14:paraId="2BA2EC0F" w14:textId="6D8495B2"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2446B2F9" w14:textId="6A6E5F0E" w:rsidR="00CF504F" w:rsidRPr="00355D83" w:rsidRDefault="00371C5D"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474CC4C9" w14:textId="46F9AD89" w:rsidR="00CF504F" w:rsidRPr="00355D83" w:rsidRDefault="00D77C1B" w:rsidP="00FD15E2">
            <w:pPr>
              <w:pStyle w:val="TableText"/>
            </w:pPr>
            <w:r w:rsidRPr="00D77C1B">
              <w:rPr>
                <w:b/>
                <w:bCs/>
              </w:rPr>
              <w:t>Not supported</w:t>
            </w:r>
            <w:r>
              <w:t xml:space="preserve"> on the basis of obligatory paraquat tank mix</w:t>
            </w:r>
          </w:p>
        </w:tc>
      </w:tr>
      <w:tr w:rsidR="00CF504F" w:rsidRPr="00CF504F" w14:paraId="01C1E5AA" w14:textId="77777777" w:rsidTr="003F537D">
        <w:trPr>
          <w:cantSplit/>
          <w:trHeight w:val="288"/>
        </w:trPr>
        <w:tc>
          <w:tcPr>
            <w:tcW w:w="1343" w:type="dxa"/>
            <w:vMerge w:val="restart"/>
            <w:tcBorders>
              <w:top w:val="single" w:sz="4" w:space="0" w:color="auto"/>
              <w:left w:val="single" w:sz="4" w:space="0" w:color="auto"/>
              <w:right w:val="single" w:sz="4" w:space="0" w:color="auto"/>
            </w:tcBorders>
            <w:shd w:val="clear" w:color="auto" w:fill="F2E18B"/>
            <w:vAlign w:val="center"/>
          </w:tcPr>
          <w:p w14:paraId="3FA7B92E" w14:textId="6C79A307" w:rsidR="00CF504F" w:rsidRPr="00355D83" w:rsidRDefault="00CF504F" w:rsidP="00FD15E2">
            <w:pPr>
              <w:pStyle w:val="TableText"/>
              <w:rPr>
                <w:bCs/>
              </w:rPr>
            </w:pPr>
            <w:r w:rsidRPr="00355D83">
              <w:t>Pasture renovation</w:t>
            </w:r>
            <w:r w:rsidRPr="00355D83">
              <w:br/>
              <w:t>and establishment</w:t>
            </w:r>
            <w:r w:rsidR="005F6FFB" w:rsidRPr="00355D83">
              <w:t xml:space="preserve"> (apply after heavy grazing)</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2077E71D" w14:textId="77777777" w:rsidR="00CF504F" w:rsidRPr="00355D83" w:rsidRDefault="00CF504F" w:rsidP="00FD15E2">
            <w:pPr>
              <w:pStyle w:val="TableText"/>
              <w:rPr>
                <w:bCs/>
              </w:rPr>
            </w:pPr>
            <w:r w:rsidRPr="00355D83">
              <w:t>Capeweed and Erodium spp. (Storksbill)</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32EA0F5D" w14:textId="77777777" w:rsidR="00CF504F" w:rsidRPr="00355D83" w:rsidRDefault="00CF504F" w:rsidP="00FD15E2">
            <w:pPr>
              <w:pStyle w:val="TableText"/>
              <w:rPr>
                <w:bCs/>
              </w:rPr>
            </w:pPr>
            <w:r w:rsidRPr="00355D83">
              <w:t>150-300 g ac/ha (boomspray)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585C35BB" w14:textId="77777777" w:rsidR="00CF504F" w:rsidRPr="00355D83" w:rsidRDefault="00CF504F" w:rsidP="00FD15E2">
            <w:pPr>
              <w:pStyle w:val="TableText"/>
            </w:pPr>
            <w:r w:rsidRPr="00355D83">
              <w:t>Supported up to 188 g ac/ha</w:t>
            </w:r>
          </w:p>
        </w:tc>
        <w:tc>
          <w:tcPr>
            <w:tcW w:w="1484" w:type="dxa"/>
            <w:vMerge w:val="restart"/>
            <w:tcBorders>
              <w:top w:val="single" w:sz="4" w:space="0" w:color="auto"/>
              <w:right w:val="single" w:sz="4" w:space="0" w:color="auto"/>
            </w:tcBorders>
            <w:shd w:val="clear" w:color="auto" w:fill="F2E18B"/>
            <w:vAlign w:val="center"/>
          </w:tcPr>
          <w:p w14:paraId="648623B1" w14:textId="27207F4D" w:rsidR="00CF504F" w:rsidRPr="00355D83" w:rsidRDefault="00CF504F" w:rsidP="00FD15E2">
            <w:pPr>
              <w:pStyle w:val="TableText"/>
            </w:pPr>
            <w:r w:rsidRPr="00355D83">
              <w:t>Supported up to 188 g ac/ha (1 day grazing WHP)</w:t>
            </w:r>
          </w:p>
        </w:tc>
        <w:tc>
          <w:tcPr>
            <w:tcW w:w="1213" w:type="dxa"/>
            <w:vMerge w:val="restart"/>
            <w:tcBorders>
              <w:top w:val="single" w:sz="4" w:space="0" w:color="auto"/>
              <w:right w:val="single" w:sz="4" w:space="0" w:color="auto"/>
            </w:tcBorders>
            <w:shd w:val="clear" w:color="auto" w:fill="F2E18B"/>
            <w:vAlign w:val="center"/>
          </w:tcPr>
          <w:p w14:paraId="6238C760" w14:textId="16AACF33"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374589BD" w14:textId="6FC1EBE5" w:rsidR="00CF504F" w:rsidRPr="00355D83" w:rsidRDefault="00CF504F" w:rsidP="00FD15E2">
            <w:pPr>
              <w:pStyle w:val="TableText"/>
            </w:pPr>
            <w:r w:rsidRPr="00355D83">
              <w:t>Supported</w:t>
            </w:r>
            <w:bookmarkStart w:id="475" w:name="_Ref222388371"/>
            <w:r w:rsidR="005F6FFB" w:rsidRPr="00355D83">
              <w:t xml:space="preserve"> with rate restriction</w:t>
            </w:r>
            <w:r w:rsidR="00E61669">
              <w:rPr>
                <w:rFonts w:ascii="ZWAdobeF" w:hAnsi="ZWAdobeF" w:cs="ZWAdobeF"/>
                <w:sz w:val="2"/>
                <w:szCs w:val="2"/>
              </w:rPr>
              <w:t>33F</w:t>
            </w:r>
            <w:r w:rsidR="00602535">
              <w:rPr>
                <w:rFonts w:ascii="ZWAdobeF" w:hAnsi="ZWAdobeF" w:cs="ZWAdobeF"/>
                <w:spacing w:val="0"/>
                <w:sz w:val="2"/>
                <w:szCs w:val="2"/>
              </w:rPr>
              <w:t>36F</w:t>
            </w:r>
            <w:r w:rsidRPr="00355D83">
              <w:rPr>
                <w:vertAlign w:val="superscript"/>
              </w:rPr>
              <w:footnoteReference w:id="38"/>
            </w:r>
            <w:bookmarkEnd w:id="475"/>
          </w:p>
        </w:tc>
      </w:tr>
      <w:tr w:rsidR="00CF504F" w:rsidRPr="00CF504F" w14:paraId="6F7DA396" w14:textId="77777777" w:rsidTr="003F537D">
        <w:trPr>
          <w:cantSplit/>
          <w:trHeight w:val="288"/>
        </w:trPr>
        <w:tc>
          <w:tcPr>
            <w:tcW w:w="1343" w:type="dxa"/>
            <w:vMerge/>
            <w:tcBorders>
              <w:left w:val="single" w:sz="4" w:space="0" w:color="auto"/>
              <w:right w:val="single" w:sz="4" w:space="0" w:color="auto"/>
            </w:tcBorders>
            <w:shd w:val="clear" w:color="auto" w:fill="F2E18B"/>
            <w:vAlign w:val="center"/>
          </w:tcPr>
          <w:p w14:paraId="0694619C" w14:textId="77777777" w:rsidR="00CF504F" w:rsidRPr="00355D83" w:rsidRDefault="00CF504F" w:rsidP="00FD15E2">
            <w:pPr>
              <w:pStyle w:val="TableText"/>
              <w:rPr>
                <w:bCs/>
              </w:rPr>
            </w:pPr>
          </w:p>
        </w:tc>
        <w:tc>
          <w:tcPr>
            <w:tcW w:w="1231" w:type="dxa"/>
            <w:tcBorders>
              <w:top w:val="single" w:sz="4" w:space="0" w:color="auto"/>
              <w:left w:val="nil"/>
              <w:bottom w:val="single" w:sz="4" w:space="0" w:color="auto"/>
              <w:right w:val="single" w:sz="4" w:space="0" w:color="auto"/>
            </w:tcBorders>
            <w:vAlign w:val="center"/>
          </w:tcPr>
          <w:p w14:paraId="05714FA8" w14:textId="755D8816" w:rsidR="00CF504F" w:rsidRPr="00355D83" w:rsidRDefault="00CF504F" w:rsidP="00FD15E2">
            <w:pPr>
              <w:pStyle w:val="TableText"/>
              <w:rPr>
                <w:bCs/>
              </w:rPr>
            </w:pPr>
            <w:r w:rsidRPr="00355D83">
              <w:t>Barle</w:t>
            </w:r>
            <w:r w:rsidR="005F6FFB" w:rsidRPr="00355D83">
              <w:t xml:space="preserve">y </w:t>
            </w:r>
            <w:r w:rsidRPr="00355D83">
              <w:t>grass, brome grass, silver grass and sweet vernal grass</w:t>
            </w:r>
          </w:p>
        </w:tc>
        <w:tc>
          <w:tcPr>
            <w:tcW w:w="1256" w:type="dxa"/>
            <w:tcBorders>
              <w:top w:val="single" w:sz="4" w:space="0" w:color="auto"/>
              <w:left w:val="nil"/>
              <w:bottom w:val="single" w:sz="4" w:space="0" w:color="auto"/>
              <w:right w:val="single" w:sz="4" w:space="0" w:color="auto"/>
            </w:tcBorders>
            <w:vAlign w:val="center"/>
          </w:tcPr>
          <w:p w14:paraId="67098A0E" w14:textId="57A7F261" w:rsidR="00CF504F" w:rsidRPr="00355D83" w:rsidRDefault="00CF504F" w:rsidP="00FD15E2">
            <w:pPr>
              <w:pStyle w:val="TableText"/>
            </w:pPr>
            <w:r w:rsidRPr="00355D83">
              <w:t>150-300 g ac/ha (boomspray)</w:t>
            </w:r>
            <w:r w:rsidR="00513EDF">
              <w:t xml:space="preserve"> plus 250-400 g ac/ha paraquat</w:t>
            </w:r>
          </w:p>
        </w:tc>
        <w:tc>
          <w:tcPr>
            <w:tcW w:w="1807" w:type="dxa"/>
            <w:tcBorders>
              <w:top w:val="single" w:sz="4" w:space="0" w:color="auto"/>
              <w:left w:val="nil"/>
              <w:bottom w:val="single" w:sz="4" w:space="0" w:color="auto"/>
              <w:right w:val="single" w:sz="4" w:space="0" w:color="auto"/>
            </w:tcBorders>
            <w:noWrap/>
            <w:vAlign w:val="center"/>
          </w:tcPr>
          <w:p w14:paraId="74022835" w14:textId="6D12D653" w:rsidR="00CF504F" w:rsidRPr="00355D83" w:rsidRDefault="00513EDF" w:rsidP="00FD15E2">
            <w:pPr>
              <w:pStyle w:val="TableText"/>
            </w:pPr>
            <w:r>
              <w:t>Diquat supported up to 188 g ac/ha but paraquat not supported (max 231 g ac/ha)</w:t>
            </w:r>
          </w:p>
        </w:tc>
        <w:tc>
          <w:tcPr>
            <w:tcW w:w="1484" w:type="dxa"/>
            <w:vMerge/>
            <w:tcBorders>
              <w:bottom w:val="single" w:sz="4" w:space="0" w:color="auto"/>
              <w:right w:val="single" w:sz="4" w:space="0" w:color="auto"/>
            </w:tcBorders>
            <w:shd w:val="clear" w:color="auto" w:fill="F2E18B"/>
            <w:vAlign w:val="center"/>
          </w:tcPr>
          <w:p w14:paraId="11CD6C7F" w14:textId="77777777" w:rsidR="00CF504F" w:rsidRPr="00355D83" w:rsidRDefault="00CF504F" w:rsidP="00FD15E2">
            <w:pPr>
              <w:pStyle w:val="TableText"/>
            </w:pPr>
          </w:p>
        </w:tc>
        <w:tc>
          <w:tcPr>
            <w:tcW w:w="1213" w:type="dxa"/>
            <w:vMerge/>
            <w:tcBorders>
              <w:right w:val="single" w:sz="4" w:space="0" w:color="auto"/>
            </w:tcBorders>
            <w:shd w:val="clear" w:color="auto" w:fill="F2E18B"/>
            <w:vAlign w:val="center"/>
          </w:tcPr>
          <w:p w14:paraId="10C805B4" w14:textId="77777777" w:rsidR="00CF504F" w:rsidRPr="00355D83" w:rsidRDefault="00CF504F" w:rsidP="00FD15E2">
            <w:pPr>
              <w:pStyle w:val="TableText"/>
            </w:pPr>
          </w:p>
        </w:tc>
        <w:tc>
          <w:tcPr>
            <w:tcW w:w="1456" w:type="dxa"/>
            <w:tcBorders>
              <w:top w:val="single" w:sz="4" w:space="0" w:color="auto"/>
              <w:left w:val="single" w:sz="4" w:space="0" w:color="auto"/>
              <w:bottom w:val="single" w:sz="4" w:space="0" w:color="auto"/>
              <w:right w:val="single" w:sz="4" w:space="0" w:color="auto"/>
            </w:tcBorders>
            <w:vAlign w:val="center"/>
          </w:tcPr>
          <w:p w14:paraId="648F7B64" w14:textId="54FF67E7" w:rsidR="00CF504F" w:rsidRPr="00513EDF" w:rsidRDefault="00513EDF" w:rsidP="00FD15E2">
            <w:pPr>
              <w:pStyle w:val="TableText"/>
              <w:rPr>
                <w:b/>
                <w:bCs/>
              </w:rPr>
            </w:pPr>
            <w:r w:rsidRPr="00513EDF">
              <w:rPr>
                <w:b/>
                <w:bCs/>
              </w:rPr>
              <w:t>Not supported</w:t>
            </w:r>
            <w:r w:rsidR="00A2431D">
              <w:rPr>
                <w:b/>
                <w:bCs/>
              </w:rPr>
              <w:t xml:space="preserve"> </w:t>
            </w:r>
            <w:r w:rsidR="00A2431D" w:rsidRPr="00A2431D">
              <w:t>on the basis of obligatory paraquat tank mix</w:t>
            </w:r>
          </w:p>
        </w:tc>
      </w:tr>
      <w:tr w:rsidR="00CF504F" w:rsidRPr="00CF504F" w14:paraId="189F5564" w14:textId="77777777" w:rsidTr="003F537D">
        <w:trPr>
          <w:cantSplit/>
          <w:trHeight w:val="288"/>
        </w:trPr>
        <w:tc>
          <w:tcPr>
            <w:tcW w:w="1343" w:type="dxa"/>
            <w:vMerge/>
            <w:tcBorders>
              <w:left w:val="single" w:sz="4" w:space="0" w:color="auto"/>
              <w:bottom w:val="single" w:sz="4" w:space="0" w:color="auto"/>
              <w:right w:val="single" w:sz="4" w:space="0" w:color="auto"/>
            </w:tcBorders>
            <w:shd w:val="clear" w:color="auto" w:fill="F2E18B"/>
            <w:vAlign w:val="center"/>
          </w:tcPr>
          <w:p w14:paraId="41F99FC9" w14:textId="77777777" w:rsidR="00CF504F" w:rsidRPr="00355D83" w:rsidRDefault="00CF504F" w:rsidP="00FD15E2">
            <w:pPr>
              <w:pStyle w:val="TableText"/>
              <w:rPr>
                <w:bCs/>
              </w:rPr>
            </w:pPr>
          </w:p>
        </w:tc>
        <w:tc>
          <w:tcPr>
            <w:tcW w:w="1231" w:type="dxa"/>
            <w:tcBorders>
              <w:top w:val="single" w:sz="4" w:space="0" w:color="auto"/>
              <w:left w:val="nil"/>
              <w:bottom w:val="single" w:sz="4" w:space="0" w:color="auto"/>
              <w:right w:val="single" w:sz="4" w:space="0" w:color="auto"/>
            </w:tcBorders>
            <w:shd w:val="clear" w:color="auto" w:fill="F2E18B"/>
            <w:vAlign w:val="center"/>
          </w:tcPr>
          <w:p w14:paraId="2073CA3F" w14:textId="77777777" w:rsidR="00CF504F" w:rsidRPr="00355D83" w:rsidRDefault="00CF504F" w:rsidP="00FD15E2">
            <w:pPr>
              <w:pStyle w:val="TableText"/>
              <w:rPr>
                <w:bCs/>
              </w:rPr>
            </w:pPr>
            <w:r w:rsidRPr="00355D83">
              <w:t>Capeweed (very young seedling, 2-3 leaf stage only)</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15229FC4" w14:textId="77777777" w:rsidR="00CF504F" w:rsidRPr="00355D83" w:rsidRDefault="00CF504F" w:rsidP="00FD15E2">
            <w:pPr>
              <w:pStyle w:val="TableText"/>
            </w:pPr>
            <w:r w:rsidRPr="00355D83">
              <w:t xml:space="preserve">70 g ac/ha (boomspray) </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6C57E39D"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02C3EDD5" w14:textId="636AEFBA" w:rsidR="00CF504F" w:rsidRPr="00355D83" w:rsidRDefault="00CF504F" w:rsidP="00FD15E2">
            <w:pPr>
              <w:pStyle w:val="TableText"/>
            </w:pPr>
            <w:r w:rsidRPr="00355D83">
              <w:t>Supported (1</w:t>
            </w:r>
            <w:r w:rsidR="003F537D">
              <w:t> </w:t>
            </w:r>
            <w:r w:rsidRPr="00355D83">
              <w:t>day grazing WHP)</w:t>
            </w:r>
          </w:p>
        </w:tc>
        <w:tc>
          <w:tcPr>
            <w:tcW w:w="1213" w:type="dxa"/>
            <w:vMerge/>
            <w:tcBorders>
              <w:bottom w:val="single" w:sz="4" w:space="0" w:color="auto"/>
              <w:right w:val="single" w:sz="4" w:space="0" w:color="auto"/>
            </w:tcBorders>
            <w:shd w:val="clear" w:color="auto" w:fill="F2E18B"/>
            <w:vAlign w:val="center"/>
          </w:tcPr>
          <w:p w14:paraId="3187B828" w14:textId="77777777" w:rsidR="00CF504F" w:rsidRPr="00355D83" w:rsidRDefault="00CF504F" w:rsidP="00FD15E2">
            <w:pPr>
              <w:pStyle w:val="TableText"/>
            </w:pP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3EB09DB7" w14:textId="77777777" w:rsidR="00CF504F" w:rsidRPr="00355D83" w:rsidRDefault="00CF504F" w:rsidP="00FD15E2">
            <w:pPr>
              <w:pStyle w:val="TableText"/>
            </w:pPr>
            <w:r w:rsidRPr="00355D83">
              <w:t>Supported</w:t>
            </w:r>
          </w:p>
        </w:tc>
      </w:tr>
      <w:tr w:rsidR="00CF504F" w:rsidRPr="00CF504F" w14:paraId="12B06424"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339BA3FD" w14:textId="77777777" w:rsidR="00CF504F" w:rsidRPr="00355D83" w:rsidRDefault="00CF504F" w:rsidP="00FD15E2">
            <w:pPr>
              <w:pStyle w:val="TableText"/>
              <w:rPr>
                <w:bCs/>
              </w:rPr>
            </w:pPr>
            <w:r w:rsidRPr="00355D83">
              <w:lastRenderedPageBreak/>
              <w:t>Berries and other small fruit (except grapes)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74EEDF66"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0AFD38A1"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2F72339C"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4B32A736"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71459DA7"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16BE041C" w14:textId="77777777" w:rsidR="00CF504F" w:rsidRPr="00355D83" w:rsidRDefault="00CF504F" w:rsidP="00FD15E2">
            <w:pPr>
              <w:pStyle w:val="TableText"/>
            </w:pPr>
            <w:r w:rsidRPr="00355D83">
              <w:t>Supported</w:t>
            </w:r>
          </w:p>
        </w:tc>
      </w:tr>
      <w:tr w:rsidR="00CF504F" w:rsidRPr="00CF504F" w14:paraId="156731C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13FE74E0" w14:textId="090E3C3F" w:rsidR="005F6FFB" w:rsidRPr="00355D83" w:rsidRDefault="00CF504F" w:rsidP="00FD15E2">
            <w:pPr>
              <w:pStyle w:val="TableText"/>
            </w:pPr>
            <w:r w:rsidRPr="00355D83">
              <w:t>Berries and other small fruit (except grapes)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23D666E8"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7336883A"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0E1510E2"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593572A9"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727C9EF3" w14:textId="5D80952C"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31EABD26" w14:textId="77777777" w:rsidR="00CF504F" w:rsidRPr="00513EDF" w:rsidRDefault="00CF504F" w:rsidP="00FD15E2">
            <w:pPr>
              <w:pStyle w:val="TableText"/>
              <w:rPr>
                <w:b/>
                <w:bCs/>
              </w:rPr>
            </w:pPr>
            <w:r w:rsidRPr="00513EDF">
              <w:rPr>
                <w:b/>
                <w:bCs/>
              </w:rPr>
              <w:t>Not supported</w:t>
            </w:r>
          </w:p>
        </w:tc>
      </w:tr>
      <w:tr w:rsidR="00CF504F" w:rsidRPr="00CF504F" w14:paraId="33A522EA"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32EE3487" w14:textId="736E8C8E" w:rsidR="00CF504F" w:rsidRPr="00355D83" w:rsidRDefault="00CF504F" w:rsidP="00FD15E2">
            <w:pPr>
              <w:pStyle w:val="TableText"/>
              <w:rPr>
                <w:bCs/>
              </w:rPr>
            </w:pPr>
            <w:r w:rsidRPr="00355D83">
              <w:t>Brassica vegetables:</w:t>
            </w:r>
            <w:r w:rsidR="00247DE6">
              <w:t xml:space="preserve"> </w:t>
            </w:r>
            <w:r w:rsidRPr="00355D83">
              <w:t>broccoli, head cabbages, cauliflower and Chinese cabbage (type Pe-tsai)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7761FB94"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04FD431F"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0304B489"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668EAF0E" w14:textId="412A602E" w:rsidR="00CF504F" w:rsidRPr="00355D83" w:rsidRDefault="00CF504F" w:rsidP="00FD15E2">
            <w:pPr>
              <w:pStyle w:val="TableText"/>
            </w:pPr>
            <w:r w:rsidRPr="00355D83">
              <w:t>Supported</w:t>
            </w:r>
            <w:r w:rsidR="005F6FFB" w:rsidRPr="00355D83">
              <w:t xml:space="preserve"> for specific listed crops only</w:t>
            </w:r>
          </w:p>
        </w:tc>
        <w:tc>
          <w:tcPr>
            <w:tcW w:w="1213" w:type="dxa"/>
            <w:tcBorders>
              <w:top w:val="single" w:sz="4" w:space="0" w:color="auto"/>
              <w:bottom w:val="single" w:sz="4" w:space="0" w:color="auto"/>
              <w:right w:val="single" w:sz="4" w:space="0" w:color="auto"/>
            </w:tcBorders>
            <w:shd w:val="clear" w:color="auto" w:fill="F2E18B"/>
            <w:vAlign w:val="center"/>
          </w:tcPr>
          <w:p w14:paraId="0ADE8A47"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166B7646" w14:textId="77777777" w:rsidR="00CF504F" w:rsidRPr="00355D83" w:rsidRDefault="00CF504F" w:rsidP="00FD15E2">
            <w:pPr>
              <w:pStyle w:val="TableText"/>
            </w:pPr>
            <w:r w:rsidRPr="00355D83">
              <w:t>Supported</w:t>
            </w:r>
          </w:p>
        </w:tc>
      </w:tr>
      <w:tr w:rsidR="00CF504F" w:rsidRPr="00CF504F" w14:paraId="5CF89059"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6139296C" w14:textId="731322E3" w:rsidR="00CF504F" w:rsidRPr="00355D83" w:rsidRDefault="00CF504F" w:rsidP="00FD15E2">
            <w:pPr>
              <w:pStyle w:val="TableText"/>
            </w:pPr>
            <w:r w:rsidRPr="00355D83">
              <w:t>Brassica vegetables: broccoli, head cabbages, cauliflower and Chinese cabbage (type Pe-tsai)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68F6F9D6"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65DB6C45"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2DD571A1"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7074E9CE" w14:textId="51C278A2" w:rsidR="00CF504F" w:rsidRPr="00355D83" w:rsidRDefault="005F6FFB" w:rsidP="00FD15E2">
            <w:pPr>
              <w:pStyle w:val="TableText"/>
            </w:pPr>
            <w:r w:rsidRPr="00355D83">
              <w:t>Supported for specific listed crops only</w:t>
            </w:r>
          </w:p>
        </w:tc>
        <w:tc>
          <w:tcPr>
            <w:tcW w:w="1213" w:type="dxa"/>
            <w:tcBorders>
              <w:top w:val="single" w:sz="4" w:space="0" w:color="auto"/>
              <w:bottom w:val="single" w:sz="4" w:space="0" w:color="auto"/>
              <w:right w:val="single" w:sz="4" w:space="0" w:color="auto"/>
            </w:tcBorders>
            <w:vAlign w:val="center"/>
          </w:tcPr>
          <w:p w14:paraId="503A6624" w14:textId="565A78CE" w:rsidR="00CF504F" w:rsidRPr="00355D83" w:rsidRDefault="00513EDF" w:rsidP="00FD15E2">
            <w:pPr>
              <w:pStyle w:val="TableText"/>
            </w:pPr>
            <w:r w:rsidRPr="00513EDF">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6B6D58E7" w14:textId="77777777" w:rsidR="00CF504F" w:rsidRPr="00513EDF" w:rsidRDefault="00CF504F" w:rsidP="00FD15E2">
            <w:pPr>
              <w:pStyle w:val="TableText"/>
              <w:rPr>
                <w:b/>
                <w:bCs/>
              </w:rPr>
            </w:pPr>
            <w:r w:rsidRPr="00513EDF">
              <w:rPr>
                <w:b/>
                <w:bCs/>
              </w:rPr>
              <w:t>Not supported</w:t>
            </w:r>
          </w:p>
        </w:tc>
      </w:tr>
      <w:tr w:rsidR="00CF504F" w:rsidRPr="00CF504F" w14:paraId="59009168"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46C69F0B" w14:textId="1B1164E7" w:rsidR="00CF504F" w:rsidRPr="00355D83" w:rsidRDefault="00CF504F" w:rsidP="00FD15E2">
            <w:pPr>
              <w:pStyle w:val="TableText"/>
              <w:rPr>
                <w:bCs/>
              </w:rPr>
            </w:pPr>
            <w:r w:rsidRPr="00355D83">
              <w:t>Bulb vegetables: bulb onions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4CD03460"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6A76165F"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4F453000"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2C4F42A6"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77BC9B31"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199A8C2E" w14:textId="77777777" w:rsidR="00CF504F" w:rsidRPr="00355D83" w:rsidRDefault="00CF504F" w:rsidP="00FD15E2">
            <w:pPr>
              <w:pStyle w:val="TableText"/>
            </w:pPr>
            <w:r w:rsidRPr="00355D83">
              <w:t>Supported</w:t>
            </w:r>
          </w:p>
        </w:tc>
      </w:tr>
      <w:tr w:rsidR="00CF504F" w:rsidRPr="00CF504F" w14:paraId="61DDE8E4"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5D734AD" w14:textId="774B33DC" w:rsidR="00CF504F" w:rsidRPr="00355D83" w:rsidRDefault="00CF504F" w:rsidP="00FD15E2">
            <w:pPr>
              <w:pStyle w:val="TableText"/>
            </w:pPr>
            <w:r w:rsidRPr="00355D83">
              <w:lastRenderedPageBreak/>
              <w:t>Bulb vegetables: bulb onions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2C0C87EC"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77C72F9D"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2F7A93CC"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59D4FD0A" w14:textId="21BD5554" w:rsidR="00CF504F" w:rsidRPr="00355D83" w:rsidRDefault="00CF504F" w:rsidP="00FD15E2">
            <w:pPr>
              <w:pStyle w:val="TableText"/>
            </w:pPr>
            <w:r w:rsidRPr="00355D83">
              <w:t>Not supported (max 283 g ac/ha)</w:t>
            </w:r>
          </w:p>
        </w:tc>
        <w:tc>
          <w:tcPr>
            <w:tcW w:w="1213" w:type="dxa"/>
            <w:tcBorders>
              <w:top w:val="single" w:sz="4" w:space="0" w:color="auto"/>
              <w:bottom w:val="single" w:sz="4" w:space="0" w:color="auto"/>
              <w:right w:val="single" w:sz="4" w:space="0" w:color="auto"/>
            </w:tcBorders>
            <w:vAlign w:val="center"/>
          </w:tcPr>
          <w:p w14:paraId="5AFC5F3E" w14:textId="681DE9BB"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1EDEBBF8" w14:textId="77777777" w:rsidR="00CF504F" w:rsidRPr="00513EDF" w:rsidRDefault="00CF504F" w:rsidP="00FD15E2">
            <w:pPr>
              <w:pStyle w:val="TableText"/>
              <w:rPr>
                <w:b/>
                <w:bCs/>
              </w:rPr>
            </w:pPr>
            <w:r w:rsidRPr="00513EDF">
              <w:rPr>
                <w:b/>
                <w:bCs/>
              </w:rPr>
              <w:t>Not supported</w:t>
            </w:r>
          </w:p>
        </w:tc>
      </w:tr>
      <w:tr w:rsidR="00CF504F" w:rsidRPr="00CF504F" w14:paraId="6510EBD2"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193C5DD4" w14:textId="0ABE86A9" w:rsidR="00A4639F" w:rsidRPr="00355D83" w:rsidRDefault="00CF504F" w:rsidP="00FD15E2">
            <w:pPr>
              <w:pStyle w:val="TableText"/>
              <w:rPr>
                <w:bCs/>
              </w:rPr>
            </w:pPr>
            <w:r w:rsidRPr="00355D83">
              <w:t>Bulb vegetables: other than bulb onions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3BE8502E"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5A58B719"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18751160"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5E285ACD"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4D305CE3"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53685851" w14:textId="77777777" w:rsidR="00CF504F" w:rsidRPr="00355D83" w:rsidRDefault="00CF504F" w:rsidP="00FD15E2">
            <w:pPr>
              <w:pStyle w:val="TableText"/>
            </w:pPr>
            <w:r w:rsidRPr="00355D83">
              <w:t>Supported</w:t>
            </w:r>
          </w:p>
        </w:tc>
      </w:tr>
      <w:tr w:rsidR="00CF504F" w:rsidRPr="00CF504F" w14:paraId="4F9149AA"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5533D3AB" w14:textId="77777777" w:rsidR="00CF504F" w:rsidRPr="00355D83" w:rsidRDefault="00CF504F" w:rsidP="00FD15E2">
            <w:pPr>
              <w:pStyle w:val="TableText"/>
            </w:pPr>
            <w:r w:rsidRPr="00355D83">
              <w:t>Bulb vegetables: other than bulb onions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404C350B"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469BAC61"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5D30E6B8"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381006BF" w14:textId="77777777" w:rsidR="00CF504F" w:rsidRPr="00355D83" w:rsidRDefault="00CF504F" w:rsidP="00FD15E2">
            <w:pPr>
              <w:pStyle w:val="TableText"/>
            </w:pPr>
            <w:r w:rsidRPr="00355D83">
              <w:t>Not supported</w:t>
            </w:r>
          </w:p>
        </w:tc>
        <w:tc>
          <w:tcPr>
            <w:tcW w:w="1213" w:type="dxa"/>
            <w:tcBorders>
              <w:top w:val="single" w:sz="4" w:space="0" w:color="auto"/>
              <w:bottom w:val="single" w:sz="4" w:space="0" w:color="auto"/>
              <w:right w:val="single" w:sz="4" w:space="0" w:color="auto"/>
            </w:tcBorders>
            <w:vAlign w:val="center"/>
          </w:tcPr>
          <w:p w14:paraId="59DFA86C" w14:textId="75040CC6"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744D2BAC" w14:textId="77777777" w:rsidR="00CF504F" w:rsidRPr="00513EDF" w:rsidRDefault="00CF504F" w:rsidP="00FD15E2">
            <w:pPr>
              <w:pStyle w:val="TableText"/>
              <w:rPr>
                <w:b/>
                <w:bCs/>
              </w:rPr>
            </w:pPr>
            <w:r w:rsidRPr="00513EDF">
              <w:rPr>
                <w:b/>
                <w:bCs/>
              </w:rPr>
              <w:t>Not supported</w:t>
            </w:r>
          </w:p>
        </w:tc>
      </w:tr>
      <w:tr w:rsidR="00CF504F" w:rsidRPr="00CF504F" w14:paraId="72169689"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13C3D30E" w14:textId="77777777" w:rsidR="00CF504F" w:rsidRPr="00355D83" w:rsidRDefault="00CF504F" w:rsidP="00FD15E2">
            <w:pPr>
              <w:pStyle w:val="TableText"/>
              <w:rPr>
                <w:bCs/>
              </w:rPr>
            </w:pPr>
            <w:r w:rsidRPr="00355D83">
              <w:t>Fruiting Vegetables: cucurbits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5A8480D3"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284EF618"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7843CF95"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5C7F714D" w14:textId="77777777" w:rsidR="00CF504F" w:rsidRPr="00355D83" w:rsidRDefault="00CF504F" w:rsidP="00FD15E2">
            <w:pPr>
              <w:pStyle w:val="TableText"/>
            </w:pPr>
            <w:r w:rsidRPr="00355D83">
              <w:t>Supported (cucumber only)</w:t>
            </w:r>
          </w:p>
        </w:tc>
        <w:tc>
          <w:tcPr>
            <w:tcW w:w="1213" w:type="dxa"/>
            <w:tcBorders>
              <w:top w:val="single" w:sz="4" w:space="0" w:color="auto"/>
              <w:bottom w:val="single" w:sz="4" w:space="0" w:color="auto"/>
              <w:right w:val="single" w:sz="4" w:space="0" w:color="auto"/>
            </w:tcBorders>
            <w:shd w:val="clear" w:color="auto" w:fill="F2E18B"/>
            <w:vAlign w:val="center"/>
          </w:tcPr>
          <w:p w14:paraId="202A7FA6"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196FD3A1" w14:textId="77777777" w:rsidR="00CF504F" w:rsidRPr="00355D83" w:rsidRDefault="00CF504F" w:rsidP="00FD15E2">
            <w:pPr>
              <w:pStyle w:val="TableText"/>
            </w:pPr>
            <w:r w:rsidRPr="00355D83">
              <w:t>Supported</w:t>
            </w:r>
          </w:p>
        </w:tc>
      </w:tr>
      <w:tr w:rsidR="00CF504F" w:rsidRPr="00CF504F" w14:paraId="4A8157AC"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6799F7CF" w14:textId="77777777" w:rsidR="00CF504F" w:rsidRPr="00355D83" w:rsidRDefault="00CF504F" w:rsidP="00FD15E2">
            <w:pPr>
              <w:pStyle w:val="TableText"/>
            </w:pPr>
            <w:r w:rsidRPr="00355D83">
              <w:t>Fruiting Vegetables: cucurbits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18C4ABB9"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4BFCA4C9"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364A7EEC"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62F3FDA6" w14:textId="77777777" w:rsidR="00CF504F" w:rsidRPr="00355D83" w:rsidRDefault="00CF504F" w:rsidP="00FD15E2">
            <w:pPr>
              <w:pStyle w:val="TableText"/>
            </w:pPr>
            <w:r w:rsidRPr="00355D83">
              <w:t>Supported (cucumber only)</w:t>
            </w:r>
          </w:p>
        </w:tc>
        <w:tc>
          <w:tcPr>
            <w:tcW w:w="1213" w:type="dxa"/>
            <w:tcBorders>
              <w:top w:val="single" w:sz="4" w:space="0" w:color="auto"/>
              <w:bottom w:val="single" w:sz="4" w:space="0" w:color="auto"/>
              <w:right w:val="single" w:sz="4" w:space="0" w:color="auto"/>
            </w:tcBorders>
            <w:vAlign w:val="center"/>
          </w:tcPr>
          <w:p w14:paraId="4556A1F2" w14:textId="1068A469"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278F962F" w14:textId="77777777" w:rsidR="00CF504F" w:rsidRPr="00513EDF" w:rsidRDefault="00CF504F" w:rsidP="00FD15E2">
            <w:pPr>
              <w:pStyle w:val="TableText"/>
              <w:rPr>
                <w:b/>
                <w:bCs/>
              </w:rPr>
            </w:pPr>
            <w:r w:rsidRPr="00513EDF">
              <w:rPr>
                <w:b/>
                <w:bCs/>
              </w:rPr>
              <w:t>Not supported</w:t>
            </w:r>
          </w:p>
        </w:tc>
      </w:tr>
      <w:tr w:rsidR="00CF504F" w:rsidRPr="00CF504F" w14:paraId="6B17141D"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5F0D5014" w14:textId="77777777" w:rsidR="00CF504F" w:rsidRPr="00355D83" w:rsidRDefault="00CF504F" w:rsidP="00FD15E2">
            <w:pPr>
              <w:pStyle w:val="TableText"/>
              <w:rPr>
                <w:bCs/>
              </w:rPr>
            </w:pPr>
            <w:r w:rsidRPr="00355D83">
              <w:t>Fruiting Vegetables: other than cucurbits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1CC5ED01"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7021FBC1"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62C40463"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14E92BC0"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504019CC"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462A9807" w14:textId="77777777" w:rsidR="00CF504F" w:rsidRPr="00355D83" w:rsidRDefault="00CF504F" w:rsidP="00FD15E2">
            <w:pPr>
              <w:pStyle w:val="TableText"/>
            </w:pPr>
            <w:r w:rsidRPr="00355D83">
              <w:t>Supported</w:t>
            </w:r>
          </w:p>
        </w:tc>
      </w:tr>
      <w:tr w:rsidR="00CF504F" w:rsidRPr="00CF504F" w14:paraId="5F5402DB"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6F6B98FD" w14:textId="77777777" w:rsidR="00CF504F" w:rsidRPr="00355D83" w:rsidRDefault="00CF504F" w:rsidP="00FD15E2">
            <w:pPr>
              <w:pStyle w:val="TableText"/>
            </w:pPr>
            <w:r w:rsidRPr="00355D83">
              <w:lastRenderedPageBreak/>
              <w:t>Fruiting Vegetables: other than cucurbits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0DD916E0"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5C4F57AE"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6AE392EA"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3787F9A5"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7680F24D" w14:textId="641E3D01"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4BDC5920" w14:textId="77777777" w:rsidR="00CF504F" w:rsidRPr="00513EDF" w:rsidRDefault="00CF504F" w:rsidP="00FD15E2">
            <w:pPr>
              <w:pStyle w:val="TableText"/>
              <w:rPr>
                <w:b/>
                <w:bCs/>
              </w:rPr>
            </w:pPr>
            <w:r w:rsidRPr="00513EDF">
              <w:rPr>
                <w:b/>
                <w:bCs/>
              </w:rPr>
              <w:t>Not supported</w:t>
            </w:r>
          </w:p>
        </w:tc>
      </w:tr>
      <w:tr w:rsidR="00CF504F" w:rsidRPr="00CF504F" w14:paraId="62333A9F"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34FE6A6B" w14:textId="77777777" w:rsidR="00CF504F" w:rsidRPr="00355D83" w:rsidRDefault="00CF504F" w:rsidP="00FD15E2">
            <w:pPr>
              <w:pStyle w:val="TableText"/>
              <w:rPr>
                <w:bCs/>
              </w:rPr>
            </w:pPr>
            <w:r w:rsidRPr="00355D83">
              <w:t>Leafy vegetables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1F456310"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43F62EA2"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5667E42D"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6AA97EB1"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036E3F2B"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377A198E" w14:textId="77777777" w:rsidR="00CF504F" w:rsidRPr="00355D83" w:rsidRDefault="00CF504F" w:rsidP="00FD15E2">
            <w:pPr>
              <w:pStyle w:val="TableText"/>
            </w:pPr>
            <w:r w:rsidRPr="00355D83">
              <w:t>Supported</w:t>
            </w:r>
          </w:p>
        </w:tc>
      </w:tr>
      <w:tr w:rsidR="00CF504F" w:rsidRPr="00CF504F" w14:paraId="5CAF8BEE"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625CBE07" w14:textId="77777777" w:rsidR="00CF504F" w:rsidRPr="00355D83" w:rsidRDefault="00CF504F" w:rsidP="00FD15E2">
            <w:pPr>
              <w:pStyle w:val="TableText"/>
            </w:pPr>
            <w:r w:rsidRPr="00355D83">
              <w:t>Leafy vegetables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1AF2EB56"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743AFF15"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1658B55A"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643206C0"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6E39D168" w14:textId="303345A2"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3B2384EF" w14:textId="77777777" w:rsidR="00CF504F" w:rsidRPr="00513EDF" w:rsidRDefault="00CF504F" w:rsidP="00FD15E2">
            <w:pPr>
              <w:pStyle w:val="TableText"/>
              <w:rPr>
                <w:b/>
                <w:bCs/>
              </w:rPr>
            </w:pPr>
            <w:r w:rsidRPr="00513EDF">
              <w:rPr>
                <w:b/>
                <w:bCs/>
              </w:rPr>
              <w:t>Not supported</w:t>
            </w:r>
          </w:p>
        </w:tc>
      </w:tr>
      <w:tr w:rsidR="00CF504F" w:rsidRPr="00CF504F" w14:paraId="5AC173C0"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559811C3" w14:textId="77777777" w:rsidR="00CF504F" w:rsidRPr="00355D83" w:rsidRDefault="00CF504F" w:rsidP="00FD15E2">
            <w:pPr>
              <w:pStyle w:val="TableText"/>
              <w:rPr>
                <w:bCs/>
              </w:rPr>
            </w:pPr>
            <w:r w:rsidRPr="00355D83">
              <w:t>Legume vegetables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45EE39AF"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5F27D23A"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15B8EB3E"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722559C6"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1DF2003C"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67FFC8A6" w14:textId="77777777" w:rsidR="00CF504F" w:rsidRPr="00355D83" w:rsidRDefault="00CF504F" w:rsidP="00FD15E2">
            <w:pPr>
              <w:pStyle w:val="TableText"/>
            </w:pPr>
            <w:r w:rsidRPr="00355D83">
              <w:t>Supported</w:t>
            </w:r>
          </w:p>
        </w:tc>
      </w:tr>
      <w:tr w:rsidR="00CF504F" w:rsidRPr="00CF504F" w14:paraId="11E5F1F3"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4A8278B9" w14:textId="77777777" w:rsidR="00CF504F" w:rsidRPr="00355D83" w:rsidRDefault="00CF504F" w:rsidP="00FD15E2">
            <w:pPr>
              <w:pStyle w:val="TableText"/>
            </w:pPr>
            <w:r w:rsidRPr="00355D83">
              <w:t>Legume vegetables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0A5E213C"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582DADF9"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6B78059E"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767C6845"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1DB9123C" w14:textId="1B4B3311"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5FFD4250" w14:textId="77777777" w:rsidR="00CF504F" w:rsidRPr="00513EDF" w:rsidRDefault="00CF504F" w:rsidP="00FD15E2">
            <w:pPr>
              <w:pStyle w:val="TableText"/>
              <w:rPr>
                <w:b/>
                <w:bCs/>
              </w:rPr>
            </w:pPr>
            <w:r w:rsidRPr="00513EDF">
              <w:rPr>
                <w:b/>
                <w:bCs/>
              </w:rPr>
              <w:t>Not supported</w:t>
            </w:r>
          </w:p>
        </w:tc>
      </w:tr>
      <w:tr w:rsidR="00CF504F" w:rsidRPr="00CF504F" w14:paraId="292CEA8C"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3D7FA68F" w14:textId="77777777" w:rsidR="00CF504F" w:rsidRPr="00355D83" w:rsidRDefault="00CF504F" w:rsidP="00FD15E2">
            <w:pPr>
              <w:pStyle w:val="TableText"/>
              <w:rPr>
                <w:bCs/>
              </w:rPr>
            </w:pPr>
            <w:r w:rsidRPr="00355D83">
              <w:t xml:space="preserve">Pineapple [Row crops, vegetables and market gardens] </w:t>
            </w:r>
          </w:p>
        </w:tc>
        <w:tc>
          <w:tcPr>
            <w:tcW w:w="1231" w:type="dxa"/>
            <w:tcBorders>
              <w:top w:val="single" w:sz="4" w:space="0" w:color="auto"/>
              <w:left w:val="nil"/>
              <w:bottom w:val="single" w:sz="4" w:space="0" w:color="auto"/>
              <w:right w:val="single" w:sz="4" w:space="0" w:color="auto"/>
            </w:tcBorders>
            <w:vAlign w:val="center"/>
          </w:tcPr>
          <w:p w14:paraId="65258707"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vAlign w:val="center"/>
          </w:tcPr>
          <w:p w14:paraId="6BB9F188"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5773CE03"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vAlign w:val="center"/>
          </w:tcPr>
          <w:p w14:paraId="10B3409B" w14:textId="77777777" w:rsidR="00CF504F" w:rsidRPr="00355D83" w:rsidRDefault="00CF504F" w:rsidP="00FD15E2">
            <w:pPr>
              <w:pStyle w:val="TableText"/>
            </w:pPr>
            <w:r w:rsidRPr="00355D83">
              <w:t>Not supported</w:t>
            </w:r>
          </w:p>
        </w:tc>
        <w:tc>
          <w:tcPr>
            <w:tcW w:w="1213" w:type="dxa"/>
            <w:tcBorders>
              <w:top w:val="single" w:sz="4" w:space="0" w:color="auto"/>
              <w:bottom w:val="single" w:sz="4" w:space="0" w:color="auto"/>
              <w:right w:val="single" w:sz="4" w:space="0" w:color="auto"/>
            </w:tcBorders>
            <w:vAlign w:val="center"/>
          </w:tcPr>
          <w:p w14:paraId="47C222EB" w14:textId="72305066"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7DC27C71" w14:textId="77777777" w:rsidR="00CF504F" w:rsidRPr="00513EDF" w:rsidRDefault="00CF504F" w:rsidP="00FD15E2">
            <w:pPr>
              <w:pStyle w:val="TableText"/>
              <w:rPr>
                <w:b/>
                <w:bCs/>
              </w:rPr>
            </w:pPr>
            <w:r w:rsidRPr="00513EDF">
              <w:rPr>
                <w:b/>
                <w:bCs/>
              </w:rPr>
              <w:t>Not supported</w:t>
            </w:r>
          </w:p>
        </w:tc>
      </w:tr>
      <w:tr w:rsidR="00CF504F" w:rsidRPr="00CF504F" w14:paraId="47007363"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3B2EBB20" w14:textId="77777777" w:rsidR="00CF504F" w:rsidRPr="00355D83" w:rsidRDefault="00CF504F" w:rsidP="00FD15E2">
            <w:pPr>
              <w:pStyle w:val="TableText"/>
            </w:pPr>
            <w:r w:rsidRPr="00355D83">
              <w:t xml:space="preserve">Pineapple [Row crops, vegetables and market gardens] </w:t>
            </w:r>
          </w:p>
        </w:tc>
        <w:tc>
          <w:tcPr>
            <w:tcW w:w="1231" w:type="dxa"/>
            <w:tcBorders>
              <w:top w:val="single" w:sz="4" w:space="0" w:color="auto"/>
              <w:left w:val="nil"/>
              <w:bottom w:val="single" w:sz="4" w:space="0" w:color="auto"/>
              <w:right w:val="single" w:sz="4" w:space="0" w:color="auto"/>
            </w:tcBorders>
            <w:vAlign w:val="center"/>
          </w:tcPr>
          <w:p w14:paraId="0ACD924B"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0B720EA8"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31A8FA7B"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3A9E040B" w14:textId="77777777" w:rsidR="00CF504F" w:rsidRPr="00355D83" w:rsidRDefault="00CF504F" w:rsidP="00FD15E2">
            <w:pPr>
              <w:pStyle w:val="TableText"/>
            </w:pPr>
            <w:r w:rsidRPr="00355D83">
              <w:t>Not supported</w:t>
            </w:r>
          </w:p>
        </w:tc>
        <w:tc>
          <w:tcPr>
            <w:tcW w:w="1213" w:type="dxa"/>
            <w:tcBorders>
              <w:top w:val="single" w:sz="4" w:space="0" w:color="auto"/>
              <w:bottom w:val="single" w:sz="4" w:space="0" w:color="auto"/>
              <w:right w:val="single" w:sz="4" w:space="0" w:color="auto"/>
            </w:tcBorders>
            <w:vAlign w:val="center"/>
          </w:tcPr>
          <w:p w14:paraId="5B0DFF26" w14:textId="2AE722A7"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430236E3" w14:textId="77777777" w:rsidR="00CF504F" w:rsidRPr="00513EDF" w:rsidRDefault="00CF504F" w:rsidP="00FD15E2">
            <w:pPr>
              <w:pStyle w:val="TableText"/>
              <w:rPr>
                <w:b/>
                <w:bCs/>
              </w:rPr>
            </w:pPr>
            <w:r w:rsidRPr="00513EDF">
              <w:rPr>
                <w:b/>
                <w:bCs/>
              </w:rPr>
              <w:t>Not supported</w:t>
            </w:r>
          </w:p>
        </w:tc>
      </w:tr>
      <w:tr w:rsidR="00CF504F" w:rsidRPr="00CF504F" w14:paraId="6B9A2CAA"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77577D65" w14:textId="77777777" w:rsidR="00CF504F" w:rsidRPr="00355D83" w:rsidRDefault="00CF504F" w:rsidP="00FD15E2">
            <w:pPr>
              <w:pStyle w:val="TableText"/>
              <w:rPr>
                <w:bCs/>
              </w:rPr>
            </w:pPr>
            <w:r w:rsidRPr="00355D83">
              <w:lastRenderedPageBreak/>
              <w:t>Root and tuber vegetables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72728320"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2E1D5125"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35BECF49"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7422EB00"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shd w:val="clear" w:color="auto" w:fill="F2E18B"/>
            <w:vAlign w:val="center"/>
          </w:tcPr>
          <w:p w14:paraId="7A9E43C6"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249B0EF9" w14:textId="77777777" w:rsidR="00CF504F" w:rsidRPr="00355D83" w:rsidRDefault="00CF504F" w:rsidP="00FD15E2">
            <w:pPr>
              <w:pStyle w:val="TableText"/>
            </w:pPr>
            <w:r w:rsidRPr="00355D83">
              <w:t>Supported</w:t>
            </w:r>
          </w:p>
        </w:tc>
      </w:tr>
      <w:tr w:rsidR="00CF504F" w:rsidRPr="00CF504F" w14:paraId="5FA62531"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14B0572B" w14:textId="77777777" w:rsidR="00CF504F" w:rsidRPr="00355D83" w:rsidRDefault="00CF504F" w:rsidP="00FD15E2">
            <w:pPr>
              <w:pStyle w:val="TableText"/>
            </w:pPr>
            <w:r w:rsidRPr="00355D83">
              <w:t>Root and tuber vegetables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4C0CC531"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20F5C7F6"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1004F612" w14:textId="77777777" w:rsidR="00CF504F" w:rsidRPr="00355D83" w:rsidRDefault="00CF504F" w:rsidP="00FD15E2">
            <w:pPr>
              <w:pStyle w:val="TableText"/>
            </w:pPr>
            <w:r w:rsidRPr="00355D83">
              <w:t>Not supported (max. 283 g ac/ha)</w:t>
            </w:r>
          </w:p>
        </w:tc>
        <w:tc>
          <w:tcPr>
            <w:tcW w:w="1484" w:type="dxa"/>
            <w:tcBorders>
              <w:top w:val="single" w:sz="4" w:space="0" w:color="auto"/>
              <w:bottom w:val="single" w:sz="4" w:space="0" w:color="auto"/>
              <w:right w:val="single" w:sz="4" w:space="0" w:color="auto"/>
            </w:tcBorders>
            <w:vAlign w:val="center"/>
          </w:tcPr>
          <w:p w14:paraId="2960D1E1"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02606734" w14:textId="0CA922FD"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4763EDC9" w14:textId="77777777" w:rsidR="00CF504F" w:rsidRPr="00513EDF" w:rsidRDefault="00CF504F" w:rsidP="00FD15E2">
            <w:pPr>
              <w:pStyle w:val="TableText"/>
              <w:rPr>
                <w:b/>
                <w:bCs/>
              </w:rPr>
            </w:pPr>
            <w:r w:rsidRPr="00513EDF">
              <w:rPr>
                <w:b/>
                <w:bCs/>
              </w:rPr>
              <w:t>Not supported</w:t>
            </w:r>
          </w:p>
        </w:tc>
      </w:tr>
      <w:tr w:rsidR="00CF504F" w:rsidRPr="00CF504F" w14:paraId="0DBC00E9"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03EDAC3C" w14:textId="77777777" w:rsidR="00CF504F" w:rsidRPr="00355D83" w:rsidRDefault="00CF504F" w:rsidP="00FD15E2">
            <w:pPr>
              <w:pStyle w:val="TableText"/>
              <w:rPr>
                <w:bCs/>
              </w:rPr>
            </w:pPr>
            <w:r w:rsidRPr="00355D83">
              <w:t>Stalk and stem vegetables, including asparagus [Row crops, vegetables and market gardens]</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4FF52EB2"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0C0D45A6"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7435A2C1"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shd w:val="clear" w:color="auto" w:fill="F2E18B"/>
            <w:vAlign w:val="center"/>
          </w:tcPr>
          <w:p w14:paraId="48B1C1D2" w14:textId="77777777" w:rsidR="00CF504F" w:rsidRPr="00355D83" w:rsidRDefault="00CF504F" w:rsidP="00FD15E2">
            <w:pPr>
              <w:pStyle w:val="TableText"/>
            </w:pPr>
            <w:r w:rsidRPr="00355D83">
              <w:t>Supported for asparagus only</w:t>
            </w:r>
          </w:p>
        </w:tc>
        <w:tc>
          <w:tcPr>
            <w:tcW w:w="1213" w:type="dxa"/>
            <w:tcBorders>
              <w:top w:val="single" w:sz="4" w:space="0" w:color="auto"/>
              <w:bottom w:val="single" w:sz="4" w:space="0" w:color="auto"/>
              <w:right w:val="single" w:sz="4" w:space="0" w:color="auto"/>
            </w:tcBorders>
            <w:shd w:val="clear" w:color="auto" w:fill="F2E18B"/>
            <w:vAlign w:val="center"/>
          </w:tcPr>
          <w:p w14:paraId="66656AEE"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5BC41DE7" w14:textId="77777777" w:rsidR="00CF504F" w:rsidRPr="00355D83" w:rsidRDefault="00CF504F" w:rsidP="00FD15E2">
            <w:pPr>
              <w:pStyle w:val="TableText"/>
            </w:pPr>
            <w:r w:rsidRPr="00355D83">
              <w:t>Supported</w:t>
            </w:r>
          </w:p>
        </w:tc>
      </w:tr>
      <w:tr w:rsidR="00CF504F" w:rsidRPr="00CF504F" w14:paraId="5F30E524"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007BA3E5" w14:textId="77777777" w:rsidR="00CF504F" w:rsidRPr="00355D83" w:rsidRDefault="00CF504F" w:rsidP="00FD15E2">
            <w:pPr>
              <w:pStyle w:val="TableText"/>
            </w:pPr>
            <w:r w:rsidRPr="00355D83">
              <w:t>Stalk and stem vegetables, including asparagus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224B32FA"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39EF6FCC"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31A0B552" w14:textId="77777777" w:rsidR="00CF504F" w:rsidRPr="00355D83" w:rsidRDefault="00CF504F" w:rsidP="00FD15E2">
            <w:pPr>
              <w:pStyle w:val="TableText"/>
            </w:pPr>
            <w:r w:rsidRPr="0012271A">
              <w:rPr>
                <w:b/>
                <w:bCs/>
              </w:rPr>
              <w:t>Not supported</w:t>
            </w:r>
            <w:r w:rsidRPr="00355D83">
              <w:t xml:space="preserve"> (max. 283 g ac/ha)</w:t>
            </w:r>
          </w:p>
        </w:tc>
        <w:tc>
          <w:tcPr>
            <w:tcW w:w="1484" w:type="dxa"/>
            <w:tcBorders>
              <w:top w:val="single" w:sz="4" w:space="0" w:color="auto"/>
              <w:bottom w:val="single" w:sz="4" w:space="0" w:color="auto"/>
              <w:right w:val="single" w:sz="4" w:space="0" w:color="auto"/>
            </w:tcBorders>
            <w:vAlign w:val="center"/>
          </w:tcPr>
          <w:p w14:paraId="7D58E29A" w14:textId="77777777" w:rsidR="00CF504F" w:rsidRPr="00355D83" w:rsidRDefault="00CF504F" w:rsidP="00FD15E2">
            <w:pPr>
              <w:pStyle w:val="TableText"/>
            </w:pPr>
            <w:r w:rsidRPr="00355D83">
              <w:t>Supported for asparagus only</w:t>
            </w:r>
          </w:p>
        </w:tc>
        <w:tc>
          <w:tcPr>
            <w:tcW w:w="1213" w:type="dxa"/>
            <w:tcBorders>
              <w:top w:val="single" w:sz="4" w:space="0" w:color="auto"/>
              <w:bottom w:val="single" w:sz="4" w:space="0" w:color="auto"/>
              <w:right w:val="single" w:sz="4" w:space="0" w:color="auto"/>
            </w:tcBorders>
            <w:vAlign w:val="center"/>
          </w:tcPr>
          <w:p w14:paraId="55FA29A7" w14:textId="1C3ADF6F"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791CC14F" w14:textId="77777777" w:rsidR="00CF504F" w:rsidRPr="00355D83" w:rsidRDefault="00CF504F" w:rsidP="00FD15E2">
            <w:pPr>
              <w:pStyle w:val="TableText"/>
              <w:rPr>
                <w:b/>
                <w:bCs/>
              </w:rPr>
            </w:pPr>
            <w:r w:rsidRPr="00355D83">
              <w:rPr>
                <w:b/>
                <w:bCs/>
              </w:rPr>
              <w:t>Not supported</w:t>
            </w:r>
          </w:p>
        </w:tc>
      </w:tr>
      <w:tr w:rsidR="00CF504F" w:rsidRPr="00CF504F" w14:paraId="455D1A30"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71D37037" w14:textId="77777777" w:rsidR="00CF504F" w:rsidRPr="00355D83" w:rsidRDefault="00CF504F" w:rsidP="00FD15E2">
            <w:pPr>
              <w:pStyle w:val="TableText"/>
              <w:rPr>
                <w:bCs/>
              </w:rPr>
            </w:pPr>
            <w:r w:rsidRPr="00355D83">
              <w:t>Herbs and spices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5784DB86" w14:textId="77777777" w:rsidR="00CF504F" w:rsidRPr="00355D83" w:rsidRDefault="00CF504F" w:rsidP="00FD15E2">
            <w:pPr>
              <w:pStyle w:val="TableText"/>
              <w:rPr>
                <w:bCs/>
              </w:rPr>
            </w:pPr>
            <w:r w:rsidRPr="00355D83">
              <w:t>Broadleaf weeds (seedling weeds)</w:t>
            </w:r>
          </w:p>
        </w:tc>
        <w:tc>
          <w:tcPr>
            <w:tcW w:w="1256" w:type="dxa"/>
            <w:tcBorders>
              <w:top w:val="single" w:sz="4" w:space="0" w:color="auto"/>
              <w:left w:val="nil"/>
              <w:bottom w:val="single" w:sz="4" w:space="0" w:color="auto"/>
              <w:right w:val="single" w:sz="4" w:space="0" w:color="auto"/>
            </w:tcBorders>
            <w:vAlign w:val="center"/>
          </w:tcPr>
          <w:p w14:paraId="1EE6931A" w14:textId="77777777" w:rsidR="00CF504F" w:rsidRPr="00355D83" w:rsidRDefault="00CF504F" w:rsidP="00FD15E2">
            <w:pPr>
              <w:pStyle w:val="TableText"/>
              <w:rPr>
                <w:bCs/>
              </w:rPr>
            </w:pPr>
            <w:r w:rsidRPr="00355D83">
              <w:t>280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0EA603BF" w14:textId="77777777" w:rsidR="00CF504F" w:rsidRPr="00355D83" w:rsidRDefault="00CF504F" w:rsidP="00FD15E2">
            <w:pPr>
              <w:pStyle w:val="TableText"/>
            </w:pPr>
            <w:r w:rsidRPr="00355D83">
              <w:t>Supported</w:t>
            </w:r>
          </w:p>
        </w:tc>
        <w:tc>
          <w:tcPr>
            <w:tcW w:w="1484" w:type="dxa"/>
            <w:tcBorders>
              <w:top w:val="single" w:sz="4" w:space="0" w:color="auto"/>
              <w:bottom w:val="single" w:sz="4" w:space="0" w:color="auto"/>
              <w:right w:val="single" w:sz="4" w:space="0" w:color="auto"/>
            </w:tcBorders>
            <w:vAlign w:val="center"/>
          </w:tcPr>
          <w:p w14:paraId="11EA6BD0" w14:textId="77777777" w:rsidR="00CF504F" w:rsidRPr="00355D83" w:rsidRDefault="00CF504F" w:rsidP="00FD15E2">
            <w:pPr>
              <w:pStyle w:val="TableText"/>
            </w:pPr>
            <w:r w:rsidRPr="00355D83">
              <w:t>Not supported</w:t>
            </w:r>
          </w:p>
        </w:tc>
        <w:tc>
          <w:tcPr>
            <w:tcW w:w="1213" w:type="dxa"/>
            <w:tcBorders>
              <w:top w:val="single" w:sz="4" w:space="0" w:color="auto"/>
              <w:bottom w:val="single" w:sz="4" w:space="0" w:color="auto"/>
              <w:right w:val="single" w:sz="4" w:space="0" w:color="auto"/>
            </w:tcBorders>
            <w:vAlign w:val="center"/>
          </w:tcPr>
          <w:p w14:paraId="6936D198"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7713958C" w14:textId="77777777" w:rsidR="00CF504F" w:rsidRPr="00355D83" w:rsidRDefault="00CF504F" w:rsidP="00FD15E2">
            <w:pPr>
              <w:pStyle w:val="TableText"/>
              <w:rPr>
                <w:b/>
                <w:bCs/>
              </w:rPr>
            </w:pPr>
            <w:r w:rsidRPr="00355D83">
              <w:rPr>
                <w:b/>
                <w:bCs/>
              </w:rPr>
              <w:t>Not supported</w:t>
            </w:r>
          </w:p>
        </w:tc>
      </w:tr>
      <w:tr w:rsidR="00CF504F" w:rsidRPr="00CF504F" w14:paraId="03E3D377"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1FC286DF" w14:textId="77777777" w:rsidR="00CF504F" w:rsidRPr="00355D83" w:rsidRDefault="00CF504F" w:rsidP="00FD15E2">
            <w:pPr>
              <w:pStyle w:val="TableText"/>
            </w:pPr>
            <w:r w:rsidRPr="00355D83">
              <w:t>Herbs and spices [Row crops, vegetables and market gardens]</w:t>
            </w:r>
          </w:p>
        </w:tc>
        <w:tc>
          <w:tcPr>
            <w:tcW w:w="1231" w:type="dxa"/>
            <w:tcBorders>
              <w:top w:val="single" w:sz="4" w:space="0" w:color="auto"/>
              <w:left w:val="nil"/>
              <w:bottom w:val="single" w:sz="4" w:space="0" w:color="auto"/>
              <w:right w:val="single" w:sz="4" w:space="0" w:color="auto"/>
            </w:tcBorders>
            <w:vAlign w:val="center"/>
          </w:tcPr>
          <w:p w14:paraId="04BCCDEA" w14:textId="77777777" w:rsidR="00CF504F" w:rsidRPr="00355D83" w:rsidRDefault="00CF504F" w:rsidP="00FD15E2">
            <w:pPr>
              <w:pStyle w:val="TableText"/>
            </w:pPr>
            <w:r w:rsidRPr="00355D83">
              <w:t>Broadleaf weeds (mature weeds)</w:t>
            </w:r>
          </w:p>
        </w:tc>
        <w:tc>
          <w:tcPr>
            <w:tcW w:w="1256" w:type="dxa"/>
            <w:tcBorders>
              <w:top w:val="single" w:sz="4" w:space="0" w:color="auto"/>
              <w:left w:val="nil"/>
              <w:bottom w:val="single" w:sz="4" w:space="0" w:color="auto"/>
              <w:right w:val="single" w:sz="4" w:space="0" w:color="auto"/>
            </w:tcBorders>
            <w:vAlign w:val="center"/>
          </w:tcPr>
          <w:p w14:paraId="5A3446A0" w14:textId="77777777" w:rsidR="00CF504F" w:rsidRPr="00355D83" w:rsidRDefault="00CF504F" w:rsidP="00FD15E2">
            <w:pPr>
              <w:pStyle w:val="TableText"/>
            </w:pPr>
            <w:r w:rsidRPr="00355D83">
              <w:t>560 or 800 g ac/ha (Boomspray, handwand, inter-row spray (shielded))</w:t>
            </w:r>
          </w:p>
        </w:tc>
        <w:tc>
          <w:tcPr>
            <w:tcW w:w="1807" w:type="dxa"/>
            <w:tcBorders>
              <w:top w:val="single" w:sz="4" w:space="0" w:color="auto"/>
              <w:left w:val="nil"/>
              <w:bottom w:val="single" w:sz="4" w:space="0" w:color="auto"/>
              <w:right w:val="single" w:sz="4" w:space="0" w:color="auto"/>
            </w:tcBorders>
            <w:noWrap/>
            <w:vAlign w:val="center"/>
          </w:tcPr>
          <w:p w14:paraId="22863FF1" w14:textId="77777777" w:rsidR="00CF504F" w:rsidRPr="00355D83" w:rsidRDefault="00CF504F" w:rsidP="00FD15E2">
            <w:pPr>
              <w:pStyle w:val="TableText"/>
            </w:pPr>
            <w:r w:rsidRPr="0012271A">
              <w:rPr>
                <w:b/>
                <w:bCs/>
              </w:rPr>
              <w:t>Not supported</w:t>
            </w:r>
            <w:r w:rsidRPr="00355D83">
              <w:t xml:space="preserve"> (max. 283 g ac/ha)</w:t>
            </w:r>
          </w:p>
        </w:tc>
        <w:tc>
          <w:tcPr>
            <w:tcW w:w="1484" w:type="dxa"/>
            <w:tcBorders>
              <w:top w:val="single" w:sz="4" w:space="0" w:color="auto"/>
              <w:bottom w:val="single" w:sz="4" w:space="0" w:color="auto"/>
              <w:right w:val="single" w:sz="4" w:space="0" w:color="auto"/>
            </w:tcBorders>
            <w:vAlign w:val="center"/>
          </w:tcPr>
          <w:p w14:paraId="134FD5E6" w14:textId="77777777" w:rsidR="00CF504F" w:rsidRPr="00355D83" w:rsidRDefault="00CF504F" w:rsidP="00FD15E2">
            <w:pPr>
              <w:pStyle w:val="TableText"/>
            </w:pPr>
            <w:r w:rsidRPr="00355D83">
              <w:t>Not supported</w:t>
            </w:r>
          </w:p>
        </w:tc>
        <w:tc>
          <w:tcPr>
            <w:tcW w:w="1213" w:type="dxa"/>
            <w:tcBorders>
              <w:top w:val="single" w:sz="4" w:space="0" w:color="auto"/>
              <w:bottom w:val="single" w:sz="4" w:space="0" w:color="auto"/>
              <w:right w:val="single" w:sz="4" w:space="0" w:color="auto"/>
            </w:tcBorders>
            <w:vAlign w:val="center"/>
          </w:tcPr>
          <w:p w14:paraId="78CD87C2" w14:textId="11579DF6" w:rsidR="00CF504F" w:rsidRPr="00355D83" w:rsidRDefault="00513EDF" w:rsidP="00FD15E2">
            <w:pPr>
              <w:pStyle w:val="TableText"/>
            </w:pPr>
            <w:r>
              <w:t>Supported (excluding backpack sprayer)</w:t>
            </w:r>
          </w:p>
        </w:tc>
        <w:tc>
          <w:tcPr>
            <w:tcW w:w="1456" w:type="dxa"/>
            <w:tcBorders>
              <w:top w:val="single" w:sz="4" w:space="0" w:color="auto"/>
              <w:left w:val="single" w:sz="4" w:space="0" w:color="auto"/>
              <w:bottom w:val="single" w:sz="4" w:space="0" w:color="auto"/>
              <w:right w:val="single" w:sz="4" w:space="0" w:color="auto"/>
            </w:tcBorders>
            <w:vAlign w:val="center"/>
          </w:tcPr>
          <w:p w14:paraId="7FDE07F2" w14:textId="77777777" w:rsidR="00CF504F" w:rsidRPr="00355D83" w:rsidRDefault="00CF504F" w:rsidP="00FD15E2">
            <w:pPr>
              <w:pStyle w:val="TableText"/>
              <w:rPr>
                <w:b/>
                <w:bCs/>
              </w:rPr>
            </w:pPr>
            <w:r w:rsidRPr="00355D83">
              <w:rPr>
                <w:b/>
                <w:bCs/>
              </w:rPr>
              <w:t>Not supported</w:t>
            </w:r>
          </w:p>
        </w:tc>
      </w:tr>
      <w:tr w:rsidR="00CF504F" w:rsidRPr="00CF504F" w14:paraId="0A9B137E"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shd w:val="clear" w:color="auto" w:fill="F2E18B"/>
            <w:vAlign w:val="center"/>
          </w:tcPr>
          <w:p w14:paraId="56343C25" w14:textId="2EF2C629" w:rsidR="00CF504F" w:rsidRPr="00355D83" w:rsidRDefault="00CF504F" w:rsidP="00FD15E2">
            <w:pPr>
              <w:pStyle w:val="TableText"/>
              <w:rPr>
                <w:bCs/>
              </w:rPr>
            </w:pPr>
            <w:r w:rsidRPr="00355D83">
              <w:lastRenderedPageBreak/>
              <w:t>Wheat, Oats</w:t>
            </w:r>
            <w:r w:rsidR="00421640" w:rsidRPr="00355D83">
              <w:t xml:space="preserve"> (up to early tillering)</w:t>
            </w:r>
          </w:p>
        </w:tc>
        <w:tc>
          <w:tcPr>
            <w:tcW w:w="1231" w:type="dxa"/>
            <w:tcBorders>
              <w:top w:val="single" w:sz="4" w:space="0" w:color="auto"/>
              <w:left w:val="nil"/>
              <w:bottom w:val="single" w:sz="4" w:space="0" w:color="auto"/>
              <w:right w:val="single" w:sz="4" w:space="0" w:color="auto"/>
            </w:tcBorders>
            <w:shd w:val="clear" w:color="auto" w:fill="F2E18B"/>
            <w:vAlign w:val="center"/>
          </w:tcPr>
          <w:p w14:paraId="2CF42EF6" w14:textId="77777777" w:rsidR="00CF504F" w:rsidRPr="00355D83" w:rsidRDefault="00CF504F" w:rsidP="00FD15E2">
            <w:pPr>
              <w:pStyle w:val="TableText"/>
              <w:rPr>
                <w:bCs/>
              </w:rPr>
            </w:pPr>
            <w:r w:rsidRPr="00355D83">
              <w:t>Capeweed</w:t>
            </w:r>
          </w:p>
        </w:tc>
        <w:tc>
          <w:tcPr>
            <w:tcW w:w="1256" w:type="dxa"/>
            <w:tcBorders>
              <w:top w:val="single" w:sz="4" w:space="0" w:color="auto"/>
              <w:left w:val="nil"/>
              <w:bottom w:val="single" w:sz="4" w:space="0" w:color="auto"/>
              <w:right w:val="single" w:sz="4" w:space="0" w:color="auto"/>
            </w:tcBorders>
            <w:shd w:val="clear" w:color="auto" w:fill="F2E18B"/>
            <w:vAlign w:val="center"/>
          </w:tcPr>
          <w:p w14:paraId="2EBA4CD7" w14:textId="77777777" w:rsidR="00CF504F" w:rsidRPr="00355D83" w:rsidRDefault="00CF504F" w:rsidP="00FD15E2">
            <w:pPr>
              <w:pStyle w:val="TableText"/>
              <w:rPr>
                <w:bCs/>
              </w:rPr>
            </w:pPr>
            <w:r w:rsidRPr="00355D83">
              <w:t>110-140 g ac/ha (Boomspray)</w:t>
            </w:r>
          </w:p>
        </w:tc>
        <w:tc>
          <w:tcPr>
            <w:tcW w:w="1807" w:type="dxa"/>
            <w:tcBorders>
              <w:top w:val="single" w:sz="4" w:space="0" w:color="auto"/>
              <w:left w:val="nil"/>
              <w:bottom w:val="single" w:sz="4" w:space="0" w:color="auto"/>
              <w:right w:val="single" w:sz="4" w:space="0" w:color="auto"/>
            </w:tcBorders>
            <w:shd w:val="clear" w:color="auto" w:fill="F2E18B"/>
            <w:noWrap/>
            <w:vAlign w:val="center"/>
          </w:tcPr>
          <w:p w14:paraId="3C2293CC" w14:textId="77777777" w:rsidR="00CF504F" w:rsidRPr="00355D83" w:rsidRDefault="00CF504F" w:rsidP="00FD15E2">
            <w:pPr>
              <w:pStyle w:val="TableText"/>
            </w:pPr>
            <w:r w:rsidRPr="00355D83">
              <w:rPr>
                <w:lang w:eastAsia="en-AU"/>
              </w:rPr>
              <w:t>Supported (max 122 g ac/ha per season)</w:t>
            </w:r>
          </w:p>
        </w:tc>
        <w:tc>
          <w:tcPr>
            <w:tcW w:w="1484" w:type="dxa"/>
            <w:tcBorders>
              <w:top w:val="single" w:sz="4" w:space="0" w:color="auto"/>
              <w:bottom w:val="single" w:sz="4" w:space="0" w:color="auto"/>
              <w:right w:val="single" w:sz="4" w:space="0" w:color="auto"/>
            </w:tcBorders>
            <w:shd w:val="clear" w:color="auto" w:fill="F2E18B"/>
            <w:vAlign w:val="center"/>
          </w:tcPr>
          <w:p w14:paraId="158CBBB9" w14:textId="56EBC822" w:rsidR="00CF504F" w:rsidRPr="00355D83" w:rsidRDefault="00CF504F" w:rsidP="00FD15E2">
            <w:pPr>
              <w:pStyle w:val="TableText"/>
            </w:pPr>
            <w:r w:rsidRPr="00355D83">
              <w:t>Supported (1</w:t>
            </w:r>
            <w:r w:rsidR="003F537D">
              <w:t> </w:t>
            </w:r>
            <w:r w:rsidRPr="00355D83">
              <w:t>day grazing WHP)</w:t>
            </w:r>
          </w:p>
        </w:tc>
        <w:tc>
          <w:tcPr>
            <w:tcW w:w="1213" w:type="dxa"/>
            <w:tcBorders>
              <w:top w:val="single" w:sz="4" w:space="0" w:color="auto"/>
              <w:bottom w:val="single" w:sz="4" w:space="0" w:color="auto"/>
              <w:right w:val="single" w:sz="4" w:space="0" w:color="auto"/>
            </w:tcBorders>
            <w:shd w:val="clear" w:color="auto" w:fill="F2E18B"/>
            <w:vAlign w:val="center"/>
          </w:tcPr>
          <w:p w14:paraId="530A6E0A" w14:textId="77777777" w:rsidR="00CF504F" w:rsidRPr="00355D83" w:rsidRDefault="00CF504F" w:rsidP="00FD15E2">
            <w:pPr>
              <w:pStyle w:val="TableText"/>
            </w:pPr>
            <w:r w:rsidRPr="00355D83">
              <w:rPr>
                <w:bCs/>
              </w:rPr>
              <w:t>Supported</w:t>
            </w:r>
          </w:p>
        </w:tc>
        <w:tc>
          <w:tcPr>
            <w:tcW w:w="1456" w:type="dxa"/>
            <w:tcBorders>
              <w:top w:val="single" w:sz="4" w:space="0" w:color="auto"/>
              <w:left w:val="single" w:sz="4" w:space="0" w:color="auto"/>
              <w:bottom w:val="single" w:sz="4" w:space="0" w:color="auto"/>
              <w:right w:val="single" w:sz="4" w:space="0" w:color="auto"/>
            </w:tcBorders>
            <w:shd w:val="clear" w:color="auto" w:fill="F2E18B"/>
            <w:vAlign w:val="center"/>
          </w:tcPr>
          <w:p w14:paraId="522C5A8F" w14:textId="1389386C" w:rsidR="00CF504F" w:rsidRPr="00355D83" w:rsidRDefault="00CF504F" w:rsidP="00FD15E2">
            <w:pPr>
              <w:pStyle w:val="TableText"/>
            </w:pPr>
            <w:r w:rsidRPr="00355D83">
              <w:t>Supported</w:t>
            </w:r>
            <w:r w:rsidR="000A230B">
              <w:t xml:space="preserve"> with rate restriction</w:t>
            </w:r>
            <w:r w:rsidRPr="00355D83">
              <w:rPr>
                <w:vertAlign w:val="superscript"/>
              </w:rPr>
              <w:fldChar w:fldCharType="begin"/>
            </w:r>
            <w:r w:rsidRPr="00355D83">
              <w:rPr>
                <w:vertAlign w:val="superscript"/>
              </w:rPr>
              <w:instrText xml:space="preserve"> NOTEREF _Ref222388371 \h  \* MERGEFORMAT </w:instrText>
            </w:r>
            <w:r w:rsidRPr="00355D83">
              <w:rPr>
                <w:vertAlign w:val="superscript"/>
              </w:rPr>
            </w:r>
            <w:r w:rsidRPr="00355D83">
              <w:rPr>
                <w:vertAlign w:val="superscript"/>
              </w:rPr>
              <w:fldChar w:fldCharType="separate"/>
            </w:r>
            <w:r w:rsidR="005A361E">
              <w:rPr>
                <w:vertAlign w:val="superscript"/>
              </w:rPr>
              <w:t>35</w:t>
            </w:r>
            <w:r w:rsidRPr="00355D83">
              <w:rPr>
                <w:vertAlign w:val="superscript"/>
              </w:rPr>
              <w:fldChar w:fldCharType="end"/>
            </w:r>
          </w:p>
        </w:tc>
      </w:tr>
      <w:tr w:rsidR="00CF504F" w:rsidRPr="00CF504F" w14:paraId="4DF6311E"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7A477FB1" w14:textId="77777777" w:rsidR="00CF504F" w:rsidRPr="00355D83" w:rsidRDefault="00CF504F" w:rsidP="00FD15E2">
            <w:pPr>
              <w:pStyle w:val="TableText"/>
              <w:rPr>
                <w:bCs/>
              </w:rPr>
            </w:pPr>
            <w:r w:rsidRPr="00355D83">
              <w:t>Wheat</w:t>
            </w:r>
          </w:p>
        </w:tc>
        <w:tc>
          <w:tcPr>
            <w:tcW w:w="1231" w:type="dxa"/>
            <w:tcBorders>
              <w:top w:val="single" w:sz="4" w:space="0" w:color="auto"/>
              <w:left w:val="nil"/>
              <w:bottom w:val="single" w:sz="4" w:space="0" w:color="auto"/>
              <w:right w:val="single" w:sz="4" w:space="0" w:color="auto"/>
            </w:tcBorders>
            <w:vAlign w:val="center"/>
          </w:tcPr>
          <w:p w14:paraId="23FAAEFA" w14:textId="77777777" w:rsidR="00CF504F" w:rsidRPr="00355D83" w:rsidRDefault="00CF504F" w:rsidP="00FD15E2">
            <w:pPr>
              <w:pStyle w:val="TableText"/>
              <w:rPr>
                <w:bCs/>
              </w:rPr>
            </w:pPr>
            <w:r w:rsidRPr="00355D83">
              <w:t>Pre-harvest weed control</w:t>
            </w:r>
          </w:p>
        </w:tc>
        <w:tc>
          <w:tcPr>
            <w:tcW w:w="1256" w:type="dxa"/>
            <w:tcBorders>
              <w:top w:val="single" w:sz="4" w:space="0" w:color="auto"/>
              <w:left w:val="nil"/>
              <w:bottom w:val="single" w:sz="4" w:space="0" w:color="auto"/>
              <w:right w:val="single" w:sz="4" w:space="0" w:color="auto"/>
            </w:tcBorders>
            <w:vAlign w:val="center"/>
          </w:tcPr>
          <w:p w14:paraId="63176218" w14:textId="77777777" w:rsidR="00CF504F" w:rsidRPr="00355D83" w:rsidRDefault="00CF504F" w:rsidP="00FD15E2">
            <w:pPr>
              <w:pStyle w:val="TableText"/>
              <w:rPr>
                <w:bCs/>
              </w:rPr>
            </w:pPr>
            <w:r w:rsidRPr="00355D83">
              <w:t>400-600 g ac/ha (Boomspray)</w:t>
            </w:r>
          </w:p>
        </w:tc>
        <w:tc>
          <w:tcPr>
            <w:tcW w:w="1807" w:type="dxa"/>
            <w:tcBorders>
              <w:top w:val="single" w:sz="4" w:space="0" w:color="auto"/>
              <w:left w:val="nil"/>
              <w:bottom w:val="single" w:sz="4" w:space="0" w:color="auto"/>
              <w:right w:val="single" w:sz="4" w:space="0" w:color="auto"/>
            </w:tcBorders>
            <w:noWrap/>
            <w:vAlign w:val="center"/>
          </w:tcPr>
          <w:p w14:paraId="131B122E" w14:textId="77777777" w:rsidR="00CF504F" w:rsidRPr="00355D83" w:rsidRDefault="00CF504F" w:rsidP="00FD15E2">
            <w:pPr>
              <w:pStyle w:val="TableText"/>
            </w:pPr>
            <w:r w:rsidRPr="0012271A">
              <w:rPr>
                <w:b/>
                <w:bCs/>
              </w:rPr>
              <w:t>Not supported</w:t>
            </w:r>
            <w:r w:rsidRPr="00355D83">
              <w:t xml:space="preserve"> (max. 122 g ac/ha)</w:t>
            </w:r>
          </w:p>
        </w:tc>
        <w:tc>
          <w:tcPr>
            <w:tcW w:w="1484" w:type="dxa"/>
            <w:tcBorders>
              <w:top w:val="single" w:sz="4" w:space="0" w:color="auto"/>
              <w:bottom w:val="single" w:sz="4" w:space="0" w:color="auto"/>
              <w:right w:val="single" w:sz="4" w:space="0" w:color="auto"/>
            </w:tcBorders>
            <w:vAlign w:val="center"/>
          </w:tcPr>
          <w:p w14:paraId="109531ED" w14:textId="27B4144A" w:rsidR="00CF504F" w:rsidRPr="00355D83" w:rsidRDefault="00CF504F" w:rsidP="00FD15E2">
            <w:pPr>
              <w:pStyle w:val="TableText"/>
            </w:pPr>
            <w:r w:rsidRPr="00355D83">
              <w:t>Supported (1</w:t>
            </w:r>
            <w:r w:rsidR="003F537D">
              <w:t> </w:t>
            </w:r>
            <w:r w:rsidRPr="00355D83">
              <w:t>day grazing WHP)</w:t>
            </w:r>
          </w:p>
        </w:tc>
        <w:tc>
          <w:tcPr>
            <w:tcW w:w="1213" w:type="dxa"/>
            <w:tcBorders>
              <w:top w:val="single" w:sz="4" w:space="0" w:color="auto"/>
              <w:bottom w:val="single" w:sz="4" w:space="0" w:color="auto"/>
              <w:right w:val="single" w:sz="4" w:space="0" w:color="auto"/>
            </w:tcBorders>
            <w:vAlign w:val="center"/>
          </w:tcPr>
          <w:p w14:paraId="46A901F3"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5CBCB199" w14:textId="77777777" w:rsidR="00CF504F" w:rsidRPr="00513EDF" w:rsidRDefault="00CF504F" w:rsidP="00FD15E2">
            <w:pPr>
              <w:pStyle w:val="TableText"/>
              <w:rPr>
                <w:b/>
                <w:bCs/>
              </w:rPr>
            </w:pPr>
            <w:r w:rsidRPr="00513EDF">
              <w:rPr>
                <w:b/>
                <w:bCs/>
              </w:rPr>
              <w:t>Not supported</w:t>
            </w:r>
          </w:p>
        </w:tc>
      </w:tr>
      <w:tr w:rsidR="00CF504F" w:rsidRPr="00CF504F" w14:paraId="3E292952"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78C7335F" w14:textId="77777777" w:rsidR="00CF504F" w:rsidRPr="00355D83" w:rsidRDefault="00CF504F" w:rsidP="00FD15E2">
            <w:pPr>
              <w:pStyle w:val="TableText"/>
              <w:rPr>
                <w:bCs/>
              </w:rPr>
            </w:pPr>
            <w:r w:rsidRPr="00355D83">
              <w:t>Wheat</w:t>
            </w:r>
          </w:p>
        </w:tc>
        <w:tc>
          <w:tcPr>
            <w:tcW w:w="1231" w:type="dxa"/>
            <w:tcBorders>
              <w:top w:val="single" w:sz="4" w:space="0" w:color="auto"/>
              <w:left w:val="nil"/>
              <w:bottom w:val="single" w:sz="4" w:space="0" w:color="auto"/>
              <w:right w:val="single" w:sz="4" w:space="0" w:color="auto"/>
            </w:tcBorders>
            <w:vAlign w:val="center"/>
          </w:tcPr>
          <w:p w14:paraId="0D0ABDCC" w14:textId="77777777" w:rsidR="00CF504F" w:rsidRPr="00355D83" w:rsidRDefault="00CF504F" w:rsidP="00FD15E2">
            <w:pPr>
              <w:pStyle w:val="TableText"/>
              <w:rPr>
                <w:bCs/>
              </w:rPr>
            </w:pPr>
            <w:r w:rsidRPr="00355D83">
              <w:t xml:space="preserve">Suppression of wild radish (GS 10–12) </w:t>
            </w:r>
          </w:p>
        </w:tc>
        <w:tc>
          <w:tcPr>
            <w:tcW w:w="1256" w:type="dxa"/>
            <w:tcBorders>
              <w:top w:val="single" w:sz="4" w:space="0" w:color="auto"/>
              <w:left w:val="nil"/>
              <w:bottom w:val="single" w:sz="4" w:space="0" w:color="auto"/>
              <w:right w:val="single" w:sz="4" w:space="0" w:color="auto"/>
            </w:tcBorders>
            <w:vAlign w:val="center"/>
          </w:tcPr>
          <w:p w14:paraId="701FFF5E" w14:textId="77777777" w:rsidR="00CF504F" w:rsidRPr="00355D83" w:rsidRDefault="00CF504F" w:rsidP="00FD15E2">
            <w:pPr>
              <w:pStyle w:val="TableText"/>
              <w:rPr>
                <w:bCs/>
              </w:rPr>
            </w:pPr>
            <w:r w:rsidRPr="00355D83">
              <w:t>140 g ac/ha (boomspray)</w:t>
            </w:r>
          </w:p>
        </w:tc>
        <w:tc>
          <w:tcPr>
            <w:tcW w:w="1807" w:type="dxa"/>
            <w:tcBorders>
              <w:top w:val="single" w:sz="4" w:space="0" w:color="auto"/>
              <w:left w:val="nil"/>
              <w:bottom w:val="single" w:sz="4" w:space="0" w:color="auto"/>
              <w:right w:val="single" w:sz="4" w:space="0" w:color="auto"/>
            </w:tcBorders>
            <w:noWrap/>
            <w:vAlign w:val="center"/>
          </w:tcPr>
          <w:p w14:paraId="1694A533" w14:textId="77777777" w:rsidR="00CF504F" w:rsidRPr="00355D83" w:rsidRDefault="00CF504F" w:rsidP="00FD15E2">
            <w:pPr>
              <w:pStyle w:val="TableText"/>
            </w:pPr>
            <w:r w:rsidRPr="0012271A">
              <w:rPr>
                <w:b/>
                <w:bCs/>
              </w:rPr>
              <w:t>Not supported</w:t>
            </w:r>
            <w:r w:rsidRPr="00355D83">
              <w:t xml:space="preserve"> (max. 122 g ac/ha)</w:t>
            </w:r>
          </w:p>
        </w:tc>
        <w:tc>
          <w:tcPr>
            <w:tcW w:w="1484" w:type="dxa"/>
            <w:tcBorders>
              <w:top w:val="single" w:sz="4" w:space="0" w:color="auto"/>
              <w:bottom w:val="single" w:sz="4" w:space="0" w:color="auto"/>
              <w:right w:val="single" w:sz="4" w:space="0" w:color="auto"/>
            </w:tcBorders>
            <w:vAlign w:val="center"/>
          </w:tcPr>
          <w:p w14:paraId="5F92464E" w14:textId="08697400" w:rsidR="00CF504F" w:rsidRPr="00355D83" w:rsidRDefault="00CF504F" w:rsidP="00FD15E2">
            <w:pPr>
              <w:pStyle w:val="TableText"/>
            </w:pPr>
            <w:r w:rsidRPr="00355D83">
              <w:t>Supported (1</w:t>
            </w:r>
            <w:r w:rsidR="003F537D">
              <w:t> </w:t>
            </w:r>
            <w:r w:rsidRPr="00355D83">
              <w:t>day grazing WHP)</w:t>
            </w:r>
          </w:p>
        </w:tc>
        <w:tc>
          <w:tcPr>
            <w:tcW w:w="1213" w:type="dxa"/>
            <w:tcBorders>
              <w:top w:val="single" w:sz="4" w:space="0" w:color="auto"/>
              <w:bottom w:val="single" w:sz="4" w:space="0" w:color="auto"/>
              <w:right w:val="single" w:sz="4" w:space="0" w:color="auto"/>
            </w:tcBorders>
            <w:vAlign w:val="center"/>
          </w:tcPr>
          <w:p w14:paraId="09A001B2"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5A6DB798" w14:textId="77777777" w:rsidR="00CF504F" w:rsidRPr="00513EDF" w:rsidRDefault="00CF504F" w:rsidP="00FD15E2">
            <w:pPr>
              <w:pStyle w:val="TableText"/>
              <w:rPr>
                <w:b/>
                <w:bCs/>
              </w:rPr>
            </w:pPr>
            <w:r w:rsidRPr="00513EDF">
              <w:rPr>
                <w:b/>
                <w:bCs/>
              </w:rPr>
              <w:t>Not supported</w:t>
            </w:r>
          </w:p>
        </w:tc>
      </w:tr>
      <w:tr w:rsidR="00CF504F" w:rsidRPr="00CF504F" w14:paraId="26A4CB72" w14:textId="77777777" w:rsidTr="003F537D">
        <w:trPr>
          <w:cantSplit/>
          <w:trHeight w:val="288"/>
        </w:trPr>
        <w:tc>
          <w:tcPr>
            <w:tcW w:w="1343" w:type="dxa"/>
            <w:tcBorders>
              <w:top w:val="single" w:sz="4" w:space="0" w:color="auto"/>
              <w:left w:val="single" w:sz="4" w:space="0" w:color="auto"/>
              <w:bottom w:val="single" w:sz="4" w:space="0" w:color="auto"/>
              <w:right w:val="single" w:sz="4" w:space="0" w:color="auto"/>
            </w:tcBorders>
            <w:vAlign w:val="center"/>
          </w:tcPr>
          <w:p w14:paraId="4C23063B" w14:textId="77777777" w:rsidR="00CF504F" w:rsidRPr="00355D83" w:rsidRDefault="00CF504F" w:rsidP="00FD15E2">
            <w:pPr>
              <w:pStyle w:val="TableText"/>
              <w:rPr>
                <w:bCs/>
              </w:rPr>
            </w:pPr>
            <w:r w:rsidRPr="00355D83">
              <w:t>Winter Cereals (Barley, oats, rye, triticale and wheat)</w:t>
            </w:r>
          </w:p>
        </w:tc>
        <w:tc>
          <w:tcPr>
            <w:tcW w:w="1231" w:type="dxa"/>
            <w:tcBorders>
              <w:top w:val="single" w:sz="4" w:space="0" w:color="auto"/>
              <w:left w:val="nil"/>
              <w:bottom w:val="single" w:sz="4" w:space="0" w:color="auto"/>
              <w:right w:val="single" w:sz="4" w:space="0" w:color="auto"/>
            </w:tcBorders>
            <w:vAlign w:val="center"/>
          </w:tcPr>
          <w:p w14:paraId="76B2DE4C" w14:textId="77777777" w:rsidR="00CF504F" w:rsidRPr="00355D83" w:rsidRDefault="00CF504F" w:rsidP="00FD15E2">
            <w:pPr>
              <w:pStyle w:val="TableText"/>
              <w:rPr>
                <w:bCs/>
              </w:rPr>
            </w:pPr>
            <w:r w:rsidRPr="00355D83">
              <w:t>Pre-harvest weed control</w:t>
            </w:r>
          </w:p>
        </w:tc>
        <w:tc>
          <w:tcPr>
            <w:tcW w:w="1256" w:type="dxa"/>
            <w:tcBorders>
              <w:top w:val="single" w:sz="4" w:space="0" w:color="auto"/>
              <w:left w:val="nil"/>
              <w:bottom w:val="single" w:sz="4" w:space="0" w:color="auto"/>
              <w:right w:val="single" w:sz="4" w:space="0" w:color="auto"/>
            </w:tcBorders>
            <w:vAlign w:val="center"/>
          </w:tcPr>
          <w:p w14:paraId="4706F3C8" w14:textId="77777777" w:rsidR="00CF504F" w:rsidRPr="00355D83" w:rsidRDefault="00CF504F" w:rsidP="00FD15E2">
            <w:pPr>
              <w:pStyle w:val="TableText"/>
              <w:rPr>
                <w:bCs/>
              </w:rPr>
            </w:pPr>
            <w:r w:rsidRPr="00355D83">
              <w:t>200-600 g ac/ha (boomspray)</w:t>
            </w:r>
          </w:p>
        </w:tc>
        <w:tc>
          <w:tcPr>
            <w:tcW w:w="1807" w:type="dxa"/>
            <w:tcBorders>
              <w:top w:val="single" w:sz="4" w:space="0" w:color="auto"/>
              <w:left w:val="nil"/>
              <w:bottom w:val="single" w:sz="4" w:space="0" w:color="auto"/>
              <w:right w:val="single" w:sz="4" w:space="0" w:color="auto"/>
            </w:tcBorders>
            <w:noWrap/>
            <w:vAlign w:val="center"/>
          </w:tcPr>
          <w:p w14:paraId="70C32854" w14:textId="77777777" w:rsidR="00CF504F" w:rsidRPr="00355D83" w:rsidRDefault="00CF504F" w:rsidP="00FD15E2">
            <w:pPr>
              <w:pStyle w:val="TableText"/>
            </w:pPr>
            <w:r w:rsidRPr="0012271A">
              <w:rPr>
                <w:b/>
                <w:bCs/>
              </w:rPr>
              <w:t>Not supported</w:t>
            </w:r>
            <w:r w:rsidRPr="00355D83">
              <w:t xml:space="preserve"> (max. 122 g ac/ha)</w:t>
            </w:r>
          </w:p>
        </w:tc>
        <w:tc>
          <w:tcPr>
            <w:tcW w:w="1484" w:type="dxa"/>
            <w:tcBorders>
              <w:top w:val="single" w:sz="4" w:space="0" w:color="auto"/>
              <w:bottom w:val="single" w:sz="4" w:space="0" w:color="auto"/>
              <w:right w:val="single" w:sz="4" w:space="0" w:color="auto"/>
            </w:tcBorders>
            <w:vAlign w:val="center"/>
          </w:tcPr>
          <w:p w14:paraId="09EF1535" w14:textId="77777777" w:rsidR="00CF504F" w:rsidRPr="00355D83" w:rsidRDefault="00CF504F" w:rsidP="00FD15E2">
            <w:pPr>
              <w:pStyle w:val="TableText"/>
            </w:pPr>
            <w:r w:rsidRPr="00355D83">
              <w:t>Supported</w:t>
            </w:r>
          </w:p>
        </w:tc>
        <w:tc>
          <w:tcPr>
            <w:tcW w:w="1213" w:type="dxa"/>
            <w:tcBorders>
              <w:top w:val="single" w:sz="4" w:space="0" w:color="auto"/>
              <w:bottom w:val="single" w:sz="4" w:space="0" w:color="auto"/>
              <w:right w:val="single" w:sz="4" w:space="0" w:color="auto"/>
            </w:tcBorders>
            <w:vAlign w:val="center"/>
          </w:tcPr>
          <w:p w14:paraId="340D3AF1" w14:textId="77777777" w:rsidR="00CF504F" w:rsidRPr="00355D83" w:rsidRDefault="00CF504F" w:rsidP="00FD15E2">
            <w:pPr>
              <w:pStyle w:val="TableText"/>
            </w:pPr>
            <w:r w:rsidRPr="00355D83">
              <w:t>Supported</w:t>
            </w:r>
          </w:p>
        </w:tc>
        <w:tc>
          <w:tcPr>
            <w:tcW w:w="1456" w:type="dxa"/>
            <w:tcBorders>
              <w:top w:val="single" w:sz="4" w:space="0" w:color="auto"/>
              <w:left w:val="single" w:sz="4" w:space="0" w:color="auto"/>
              <w:bottom w:val="single" w:sz="4" w:space="0" w:color="auto"/>
              <w:right w:val="single" w:sz="4" w:space="0" w:color="auto"/>
            </w:tcBorders>
            <w:vAlign w:val="center"/>
          </w:tcPr>
          <w:p w14:paraId="7A9AFB3A" w14:textId="77777777" w:rsidR="00CF504F" w:rsidRPr="00513EDF" w:rsidRDefault="00CF504F" w:rsidP="00FD15E2">
            <w:pPr>
              <w:pStyle w:val="TableText"/>
              <w:rPr>
                <w:b/>
                <w:bCs/>
              </w:rPr>
            </w:pPr>
            <w:r w:rsidRPr="00513EDF">
              <w:rPr>
                <w:b/>
                <w:bCs/>
              </w:rPr>
              <w:t>Not supported</w:t>
            </w:r>
          </w:p>
        </w:tc>
      </w:tr>
    </w:tbl>
    <w:p w14:paraId="5D4ADE94" w14:textId="77777777" w:rsidR="003F537D" w:rsidRDefault="003F537D" w:rsidP="003F537D">
      <w:pPr>
        <w:pStyle w:val="NormalText"/>
        <w:sectPr w:rsidR="003F537D" w:rsidSect="009A2AA4">
          <w:headerReference w:type="even" r:id="rId48"/>
          <w:pgSz w:w="11906" w:h="16838" w:code="9"/>
          <w:pgMar w:top="2835" w:right="1134" w:bottom="1134" w:left="1134" w:header="1701" w:footer="680" w:gutter="0"/>
          <w:cols w:space="708"/>
          <w:docGrid w:linePitch="360"/>
        </w:sectPr>
      </w:pPr>
    </w:p>
    <w:p w14:paraId="290B7E25" w14:textId="77777777" w:rsidR="00296F32" w:rsidRDefault="00296F32" w:rsidP="00C97A0F">
      <w:pPr>
        <w:pStyle w:val="Heading1"/>
        <w:numPr>
          <w:ilvl w:val="0"/>
          <w:numId w:val="0"/>
        </w:numPr>
        <w:ind w:left="432" w:hanging="432"/>
      </w:pPr>
      <w:bookmarkStart w:id="476" w:name="_Appendix_B_–"/>
      <w:bookmarkStart w:id="477" w:name="_Toc156980642"/>
      <w:bookmarkStart w:id="478" w:name="_Toc233039043"/>
      <w:bookmarkEnd w:id="476"/>
      <w:r>
        <w:lastRenderedPageBreak/>
        <w:t>Appendix B – Listing of environmental endpoints</w:t>
      </w:r>
      <w:bookmarkEnd w:id="477"/>
      <w:bookmarkEnd w:id="478"/>
    </w:p>
    <w:p w14:paraId="3A27754A" w14:textId="0A9290D7" w:rsidR="00296F32" w:rsidRPr="00247DE6" w:rsidRDefault="005B7DDF" w:rsidP="00247DE6">
      <w:pPr>
        <w:pStyle w:val="Caption"/>
      </w:pPr>
      <w:bookmarkStart w:id="479" w:name="_Toc232589636"/>
      <w:r w:rsidRPr="00247DE6">
        <w:t xml:space="preserve">Table </w:t>
      </w:r>
      <w:fldSimple w:instr=" SEQ Table \* ARABIC ">
        <w:r w:rsidR="00247DE6">
          <w:rPr>
            <w:noProof/>
          </w:rPr>
          <w:t>41</w:t>
        </w:r>
      </w:fldSimple>
      <w:r w:rsidR="00296F32" w:rsidRPr="00247DE6">
        <w:t>:</w:t>
      </w:r>
      <w:r w:rsidR="00296F32" w:rsidRPr="00247DE6">
        <w:tab/>
      </w:r>
      <w:r w:rsidR="00294CD3" w:rsidRPr="00247DE6">
        <w:t xml:space="preserve">Diquat – </w:t>
      </w:r>
      <w:r w:rsidR="001F1D86" w:rsidRPr="00247DE6">
        <w:t>d</w:t>
      </w:r>
      <w:r w:rsidR="00296F32" w:rsidRPr="00247DE6">
        <w:t>issipation in animal food items</w:t>
      </w:r>
      <w:bookmarkEnd w:id="479"/>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991"/>
        <w:gridCol w:w="1305"/>
        <w:gridCol w:w="4708"/>
        <w:gridCol w:w="2748"/>
      </w:tblGrid>
      <w:tr w:rsidR="00296F32" w:rsidRPr="000B2FA7" w14:paraId="6EC71A9B" w14:textId="77777777" w:rsidTr="00514EF5">
        <w:trPr>
          <w:tblHeader/>
        </w:trPr>
        <w:tc>
          <w:tcPr>
            <w:tcW w:w="0" w:type="auto"/>
            <w:tcBorders>
              <w:bottom w:val="single" w:sz="4" w:space="0" w:color="auto"/>
            </w:tcBorders>
            <w:shd w:val="clear" w:color="auto" w:fill="5C2946"/>
          </w:tcPr>
          <w:p w14:paraId="16CB5A59" w14:textId="77777777" w:rsidR="00296F32" w:rsidRPr="001F1D86" w:rsidRDefault="00296F32" w:rsidP="001F1D86">
            <w:pPr>
              <w:pStyle w:val="TableHead"/>
            </w:pPr>
            <w:r w:rsidRPr="001F1D86">
              <w:t>Substance</w:t>
            </w:r>
          </w:p>
        </w:tc>
        <w:tc>
          <w:tcPr>
            <w:tcW w:w="669" w:type="pct"/>
            <w:tcBorders>
              <w:bottom w:val="single" w:sz="4" w:space="0" w:color="auto"/>
            </w:tcBorders>
            <w:shd w:val="clear" w:color="auto" w:fill="5C2946"/>
          </w:tcPr>
          <w:p w14:paraId="1255C03B" w14:textId="77777777" w:rsidR="00296F32" w:rsidRPr="001F1D86" w:rsidRDefault="00296F32" w:rsidP="001F1D86">
            <w:pPr>
              <w:pStyle w:val="TableHead"/>
            </w:pPr>
            <w:r w:rsidRPr="001F1D86">
              <w:t>Matrix</w:t>
            </w:r>
          </w:p>
        </w:tc>
        <w:tc>
          <w:tcPr>
            <w:tcW w:w="2414" w:type="pct"/>
            <w:tcBorders>
              <w:bottom w:val="single" w:sz="4" w:space="0" w:color="auto"/>
            </w:tcBorders>
            <w:shd w:val="clear" w:color="auto" w:fill="5C2946"/>
          </w:tcPr>
          <w:p w14:paraId="7EBC5E3D" w14:textId="77777777" w:rsidR="00296F32" w:rsidRPr="001F1D86" w:rsidRDefault="00296F32" w:rsidP="001F1D86">
            <w:pPr>
              <w:pStyle w:val="TableHead"/>
            </w:pPr>
            <w:r w:rsidRPr="001F1D86">
              <w:t>Result</w:t>
            </w:r>
          </w:p>
        </w:tc>
        <w:tc>
          <w:tcPr>
            <w:tcW w:w="1409" w:type="pct"/>
            <w:tcBorders>
              <w:bottom w:val="single" w:sz="4" w:space="0" w:color="auto"/>
            </w:tcBorders>
            <w:shd w:val="clear" w:color="auto" w:fill="5C2946"/>
          </w:tcPr>
          <w:p w14:paraId="1B783CF4" w14:textId="77777777" w:rsidR="00296F32" w:rsidRPr="001F1D86" w:rsidRDefault="00296F32" w:rsidP="001F1D86">
            <w:pPr>
              <w:pStyle w:val="TableHead"/>
            </w:pPr>
            <w:r w:rsidRPr="001F1D86">
              <w:t>Reference</w:t>
            </w:r>
          </w:p>
        </w:tc>
      </w:tr>
      <w:tr w:rsidR="001F1D86" w:rsidRPr="000B2FA7" w14:paraId="4C652016" w14:textId="77777777" w:rsidTr="00514EF5">
        <w:tc>
          <w:tcPr>
            <w:tcW w:w="0" w:type="auto"/>
            <w:vMerge w:val="restart"/>
            <w:tcBorders>
              <w:left w:val="nil"/>
            </w:tcBorders>
          </w:tcPr>
          <w:p w14:paraId="67548E76" w14:textId="77777777" w:rsidR="001F1D86" w:rsidRDefault="001F1D86" w:rsidP="001F1D86">
            <w:pPr>
              <w:pStyle w:val="TableText"/>
            </w:pPr>
            <w:r>
              <w:t>Diquat</w:t>
            </w:r>
          </w:p>
        </w:tc>
        <w:tc>
          <w:tcPr>
            <w:tcW w:w="0" w:type="auto"/>
            <w:vMerge w:val="restart"/>
            <w:tcBorders>
              <w:left w:val="nil"/>
            </w:tcBorders>
          </w:tcPr>
          <w:p w14:paraId="31EA4346" w14:textId="77777777" w:rsidR="001F1D86" w:rsidRDefault="001F1D86" w:rsidP="001F1D86">
            <w:pPr>
              <w:pStyle w:val="TableText"/>
            </w:pPr>
            <w:r>
              <w:t>Insects</w:t>
            </w:r>
          </w:p>
        </w:tc>
        <w:tc>
          <w:tcPr>
            <w:tcW w:w="2414" w:type="pct"/>
            <w:tcBorders>
              <w:bottom w:val="single" w:sz="4" w:space="0" w:color="auto"/>
            </w:tcBorders>
          </w:tcPr>
          <w:p w14:paraId="03239852" w14:textId="77777777" w:rsidR="001F1D86" w:rsidRDefault="001F1D86" w:rsidP="001F1D86">
            <w:pPr>
              <w:pStyle w:val="TableText"/>
              <w:tabs>
                <w:tab w:val="left" w:pos="2211"/>
              </w:tabs>
            </w:pPr>
            <w:r>
              <w:t>Beetles:</w:t>
            </w:r>
            <w:r>
              <w:tab/>
              <w:t>DT</w:t>
            </w:r>
            <w:r w:rsidRPr="00D24414">
              <w:rPr>
                <w:vertAlign w:val="subscript"/>
              </w:rPr>
              <w:t>50</w:t>
            </w:r>
            <w:r>
              <w:t xml:space="preserve"> 2.2 d</w:t>
            </w:r>
          </w:p>
        </w:tc>
        <w:tc>
          <w:tcPr>
            <w:tcW w:w="1409" w:type="pct"/>
            <w:tcBorders>
              <w:bottom w:val="single" w:sz="4" w:space="0" w:color="auto"/>
            </w:tcBorders>
          </w:tcPr>
          <w:p w14:paraId="079724A2" w14:textId="77777777" w:rsidR="001F1D86" w:rsidRDefault="001F1D86" w:rsidP="001F1D86">
            <w:pPr>
              <w:pStyle w:val="TableText"/>
            </w:pPr>
            <w:r>
              <w:t>Jutsum 2011</w:t>
            </w:r>
          </w:p>
        </w:tc>
      </w:tr>
      <w:tr w:rsidR="001F1D86" w:rsidRPr="000B2FA7" w14:paraId="060566E3" w14:textId="77777777" w:rsidTr="00514EF5">
        <w:tc>
          <w:tcPr>
            <w:tcW w:w="0" w:type="auto"/>
            <w:vMerge/>
            <w:tcBorders>
              <w:left w:val="nil"/>
            </w:tcBorders>
          </w:tcPr>
          <w:p w14:paraId="5E8CD688" w14:textId="77777777" w:rsidR="001F1D86" w:rsidRDefault="001F1D86" w:rsidP="001F1D86">
            <w:pPr>
              <w:pStyle w:val="TableText"/>
            </w:pPr>
          </w:p>
        </w:tc>
        <w:tc>
          <w:tcPr>
            <w:tcW w:w="0" w:type="auto"/>
            <w:vMerge/>
            <w:tcBorders>
              <w:left w:val="nil"/>
            </w:tcBorders>
          </w:tcPr>
          <w:p w14:paraId="5C0EF533" w14:textId="77777777" w:rsidR="001F1D86" w:rsidRDefault="001F1D86" w:rsidP="001F1D86">
            <w:pPr>
              <w:pStyle w:val="TableText"/>
            </w:pPr>
          </w:p>
        </w:tc>
        <w:tc>
          <w:tcPr>
            <w:tcW w:w="2414" w:type="pct"/>
            <w:tcBorders>
              <w:top w:val="single" w:sz="4" w:space="0" w:color="auto"/>
              <w:bottom w:val="single" w:sz="4" w:space="0" w:color="auto"/>
            </w:tcBorders>
          </w:tcPr>
          <w:p w14:paraId="44E17E8B" w14:textId="77777777" w:rsidR="001F1D86" w:rsidRDefault="001F1D86" w:rsidP="001F1D86">
            <w:pPr>
              <w:pStyle w:val="TableText"/>
              <w:tabs>
                <w:tab w:val="left" w:pos="2211"/>
              </w:tabs>
            </w:pPr>
            <w:r>
              <w:t>Mixed:</w:t>
            </w:r>
            <w:r>
              <w:tab/>
              <w:t>DT</w:t>
            </w:r>
            <w:r w:rsidRPr="008B762C">
              <w:rPr>
                <w:vertAlign w:val="subscript"/>
              </w:rPr>
              <w:t>50</w:t>
            </w:r>
            <w:r>
              <w:t xml:space="preserve"> 2.3 d</w:t>
            </w:r>
          </w:p>
        </w:tc>
        <w:tc>
          <w:tcPr>
            <w:tcW w:w="1409" w:type="pct"/>
            <w:vMerge w:val="restart"/>
            <w:tcBorders>
              <w:top w:val="single" w:sz="4" w:space="0" w:color="auto"/>
            </w:tcBorders>
          </w:tcPr>
          <w:p w14:paraId="19C06C3F" w14:textId="77777777" w:rsidR="001F1D86" w:rsidRDefault="001F1D86" w:rsidP="001F1D86">
            <w:pPr>
              <w:pStyle w:val="TableText"/>
            </w:pPr>
            <w:r>
              <w:t>Edwards et al. 1991</w:t>
            </w:r>
          </w:p>
        </w:tc>
      </w:tr>
      <w:tr w:rsidR="001F1D86" w:rsidRPr="000B2FA7" w14:paraId="1A1133F7" w14:textId="77777777" w:rsidTr="00514EF5">
        <w:tc>
          <w:tcPr>
            <w:tcW w:w="0" w:type="auto"/>
            <w:vMerge/>
            <w:tcBorders>
              <w:left w:val="nil"/>
            </w:tcBorders>
          </w:tcPr>
          <w:p w14:paraId="1848B635" w14:textId="77777777" w:rsidR="001F1D86" w:rsidRDefault="001F1D86" w:rsidP="001F1D86">
            <w:pPr>
              <w:pStyle w:val="TableText"/>
            </w:pPr>
          </w:p>
        </w:tc>
        <w:tc>
          <w:tcPr>
            <w:tcW w:w="0" w:type="auto"/>
            <w:vMerge/>
            <w:tcBorders>
              <w:left w:val="nil"/>
              <w:bottom w:val="single" w:sz="4" w:space="0" w:color="auto"/>
            </w:tcBorders>
          </w:tcPr>
          <w:p w14:paraId="3882DB62" w14:textId="77777777" w:rsidR="001F1D86" w:rsidRDefault="001F1D86" w:rsidP="001F1D86">
            <w:pPr>
              <w:pStyle w:val="TableText"/>
            </w:pPr>
          </w:p>
        </w:tc>
        <w:tc>
          <w:tcPr>
            <w:tcW w:w="2414" w:type="pct"/>
            <w:tcBorders>
              <w:top w:val="single" w:sz="4" w:space="0" w:color="auto"/>
              <w:bottom w:val="single" w:sz="4" w:space="0" w:color="auto"/>
            </w:tcBorders>
          </w:tcPr>
          <w:p w14:paraId="0F27070F" w14:textId="77777777" w:rsidR="001F1D86" w:rsidRDefault="001F1D86" w:rsidP="001F1D86">
            <w:pPr>
              <w:pStyle w:val="TableText"/>
              <w:tabs>
                <w:tab w:val="left" w:pos="2211"/>
              </w:tabs>
            </w:pPr>
            <w:r>
              <w:t>Geomean DT</w:t>
            </w:r>
            <w:r w:rsidRPr="008B762C">
              <w:rPr>
                <w:vertAlign w:val="subscript"/>
              </w:rPr>
              <w:t>50</w:t>
            </w:r>
            <w:r>
              <w:t xml:space="preserve"> 2.2 d</w:t>
            </w:r>
          </w:p>
        </w:tc>
        <w:tc>
          <w:tcPr>
            <w:tcW w:w="1409" w:type="pct"/>
            <w:vMerge/>
            <w:tcBorders>
              <w:bottom w:val="single" w:sz="4" w:space="0" w:color="auto"/>
            </w:tcBorders>
          </w:tcPr>
          <w:p w14:paraId="674696B9" w14:textId="77777777" w:rsidR="001F1D86" w:rsidRDefault="001F1D86" w:rsidP="001F1D86">
            <w:pPr>
              <w:pStyle w:val="TableText"/>
            </w:pPr>
          </w:p>
        </w:tc>
      </w:tr>
      <w:tr w:rsidR="001F1D86" w:rsidRPr="000B2FA7" w14:paraId="73FB5783" w14:textId="77777777" w:rsidTr="00514EF5">
        <w:tc>
          <w:tcPr>
            <w:tcW w:w="0" w:type="auto"/>
            <w:vMerge/>
            <w:tcBorders>
              <w:left w:val="nil"/>
            </w:tcBorders>
          </w:tcPr>
          <w:p w14:paraId="21034EC4" w14:textId="77777777" w:rsidR="001F1D86" w:rsidRPr="008B4AF6" w:rsidRDefault="001F1D86" w:rsidP="001F1D86">
            <w:pPr>
              <w:pStyle w:val="TableText"/>
            </w:pPr>
          </w:p>
        </w:tc>
        <w:tc>
          <w:tcPr>
            <w:tcW w:w="0" w:type="auto"/>
            <w:vMerge w:val="restart"/>
            <w:tcBorders>
              <w:left w:val="nil"/>
            </w:tcBorders>
          </w:tcPr>
          <w:p w14:paraId="16F18C59" w14:textId="77777777" w:rsidR="001F1D86" w:rsidRDefault="001F1D86" w:rsidP="001F1D86">
            <w:pPr>
              <w:pStyle w:val="TableText"/>
            </w:pPr>
            <w:r>
              <w:t>Foliage</w:t>
            </w:r>
          </w:p>
        </w:tc>
        <w:tc>
          <w:tcPr>
            <w:tcW w:w="2414" w:type="pct"/>
            <w:tcBorders>
              <w:bottom w:val="single" w:sz="4" w:space="0" w:color="auto"/>
            </w:tcBorders>
          </w:tcPr>
          <w:p w14:paraId="4BA1EF53" w14:textId="77777777" w:rsidR="001F1D86" w:rsidRDefault="001F1D86" w:rsidP="001F1D86">
            <w:pPr>
              <w:pStyle w:val="TableText"/>
              <w:tabs>
                <w:tab w:val="left" w:pos="2211"/>
              </w:tabs>
            </w:pPr>
            <w:r>
              <w:t>Lettuce:</w:t>
            </w:r>
            <w:r>
              <w:tab/>
              <w:t>DT</w:t>
            </w:r>
            <w:r w:rsidRPr="00A86B7E">
              <w:rPr>
                <w:vertAlign w:val="subscript"/>
              </w:rPr>
              <w:t>50</w:t>
            </w:r>
            <w:r>
              <w:t xml:space="preserve"> 1.4 d</w:t>
            </w:r>
          </w:p>
        </w:tc>
        <w:tc>
          <w:tcPr>
            <w:tcW w:w="1409" w:type="pct"/>
            <w:tcBorders>
              <w:bottom w:val="single" w:sz="4" w:space="0" w:color="auto"/>
            </w:tcBorders>
          </w:tcPr>
          <w:p w14:paraId="1E671773" w14:textId="68BAA51F" w:rsidR="001F1D86" w:rsidRDefault="001F1D86" w:rsidP="001F1D86">
            <w:pPr>
              <w:pStyle w:val="TableText"/>
            </w:pPr>
            <w:r>
              <w:t>Kennedy 1984, Massey 1987(c)</w:t>
            </w:r>
          </w:p>
        </w:tc>
      </w:tr>
      <w:tr w:rsidR="001F1D86" w:rsidRPr="000B2FA7" w14:paraId="2B73AB40" w14:textId="77777777" w:rsidTr="00514EF5">
        <w:tc>
          <w:tcPr>
            <w:tcW w:w="0" w:type="auto"/>
            <w:vMerge/>
            <w:tcBorders>
              <w:left w:val="nil"/>
            </w:tcBorders>
          </w:tcPr>
          <w:p w14:paraId="0C593A66" w14:textId="77777777" w:rsidR="001F1D86" w:rsidRPr="008B4AF6" w:rsidRDefault="001F1D86" w:rsidP="001F1D86">
            <w:pPr>
              <w:pStyle w:val="TableText"/>
            </w:pPr>
          </w:p>
        </w:tc>
        <w:tc>
          <w:tcPr>
            <w:tcW w:w="0" w:type="auto"/>
            <w:vMerge/>
            <w:tcBorders>
              <w:left w:val="nil"/>
            </w:tcBorders>
          </w:tcPr>
          <w:p w14:paraId="56220DA1" w14:textId="77777777" w:rsidR="001F1D86" w:rsidRDefault="001F1D86" w:rsidP="001F1D86">
            <w:pPr>
              <w:pStyle w:val="TableText"/>
            </w:pPr>
          </w:p>
        </w:tc>
        <w:tc>
          <w:tcPr>
            <w:tcW w:w="2414" w:type="pct"/>
            <w:tcBorders>
              <w:top w:val="single" w:sz="4" w:space="0" w:color="auto"/>
              <w:bottom w:val="single" w:sz="4" w:space="0" w:color="auto"/>
            </w:tcBorders>
          </w:tcPr>
          <w:p w14:paraId="7371CAA1" w14:textId="77777777" w:rsidR="001F1D86" w:rsidRDefault="001F1D86" w:rsidP="001F1D86">
            <w:pPr>
              <w:pStyle w:val="TableText"/>
              <w:tabs>
                <w:tab w:val="left" w:pos="2211"/>
              </w:tabs>
            </w:pPr>
            <w:r>
              <w:t>AT oilseed rape:</w:t>
            </w:r>
            <w:r>
              <w:tab/>
              <w:t>DT</w:t>
            </w:r>
            <w:r w:rsidRPr="0040732D">
              <w:rPr>
                <w:vertAlign w:val="subscript"/>
              </w:rPr>
              <w:t>50</w:t>
            </w:r>
            <w:r>
              <w:t xml:space="preserve"> 1.7 d</w:t>
            </w:r>
          </w:p>
          <w:p w14:paraId="6F7766F7" w14:textId="77777777" w:rsidR="001F1D86" w:rsidRDefault="001F1D86" w:rsidP="001F1D86">
            <w:pPr>
              <w:pStyle w:val="TableText"/>
              <w:tabs>
                <w:tab w:val="left" w:pos="2211"/>
              </w:tabs>
            </w:pPr>
            <w:r>
              <w:t>n-FR oilseed rape:</w:t>
            </w:r>
            <w:r>
              <w:tab/>
              <w:t>DT</w:t>
            </w:r>
            <w:r w:rsidRPr="0040732D">
              <w:rPr>
                <w:vertAlign w:val="subscript"/>
              </w:rPr>
              <w:t>50</w:t>
            </w:r>
            <w:r>
              <w:t xml:space="preserve"> 2.4 d</w:t>
            </w:r>
          </w:p>
        </w:tc>
        <w:tc>
          <w:tcPr>
            <w:tcW w:w="1409" w:type="pct"/>
            <w:tcBorders>
              <w:top w:val="single" w:sz="4" w:space="0" w:color="auto"/>
              <w:bottom w:val="single" w:sz="4" w:space="0" w:color="auto"/>
            </w:tcBorders>
          </w:tcPr>
          <w:p w14:paraId="52B601E6" w14:textId="77777777" w:rsidR="001F1D86" w:rsidRDefault="001F1D86" w:rsidP="001F1D86">
            <w:pPr>
              <w:pStyle w:val="TableText"/>
            </w:pPr>
            <w:r>
              <w:t>Langridge 2011a</w:t>
            </w:r>
          </w:p>
        </w:tc>
      </w:tr>
      <w:tr w:rsidR="001F1D86" w:rsidRPr="000B2FA7" w14:paraId="1A72B1D0" w14:textId="77777777" w:rsidTr="00514EF5">
        <w:tc>
          <w:tcPr>
            <w:tcW w:w="0" w:type="auto"/>
            <w:vMerge/>
            <w:tcBorders>
              <w:left w:val="nil"/>
            </w:tcBorders>
          </w:tcPr>
          <w:p w14:paraId="0F7D6FCC" w14:textId="77777777" w:rsidR="001F1D86" w:rsidRPr="008B4AF6" w:rsidRDefault="001F1D86" w:rsidP="001F1D86">
            <w:pPr>
              <w:pStyle w:val="TableText"/>
            </w:pPr>
          </w:p>
        </w:tc>
        <w:tc>
          <w:tcPr>
            <w:tcW w:w="0" w:type="auto"/>
            <w:vMerge/>
            <w:tcBorders>
              <w:left w:val="nil"/>
            </w:tcBorders>
          </w:tcPr>
          <w:p w14:paraId="5A36ABC4" w14:textId="77777777" w:rsidR="001F1D86" w:rsidRDefault="001F1D86" w:rsidP="001F1D86">
            <w:pPr>
              <w:pStyle w:val="TableText"/>
            </w:pPr>
          </w:p>
        </w:tc>
        <w:tc>
          <w:tcPr>
            <w:tcW w:w="2414" w:type="pct"/>
            <w:tcBorders>
              <w:top w:val="single" w:sz="4" w:space="0" w:color="auto"/>
              <w:bottom w:val="single" w:sz="4" w:space="0" w:color="auto"/>
            </w:tcBorders>
          </w:tcPr>
          <w:p w14:paraId="7E68630E" w14:textId="77777777" w:rsidR="001F1D86" w:rsidRDefault="001F1D86" w:rsidP="001F1D86">
            <w:pPr>
              <w:pStyle w:val="TableText"/>
              <w:tabs>
                <w:tab w:val="left" w:pos="2211"/>
              </w:tabs>
            </w:pPr>
            <w:r>
              <w:t>ES oilseed rape:</w:t>
            </w:r>
            <w:r>
              <w:tab/>
              <w:t>DT</w:t>
            </w:r>
            <w:r w:rsidRPr="0040732D">
              <w:rPr>
                <w:vertAlign w:val="subscript"/>
              </w:rPr>
              <w:t>50</w:t>
            </w:r>
            <w:r>
              <w:t xml:space="preserve"> 1.7 d</w:t>
            </w:r>
          </w:p>
          <w:p w14:paraId="05ACFCA9" w14:textId="77777777" w:rsidR="001F1D86" w:rsidRDefault="001F1D86" w:rsidP="001F1D86">
            <w:pPr>
              <w:pStyle w:val="TableText"/>
              <w:tabs>
                <w:tab w:val="left" w:pos="2211"/>
              </w:tabs>
            </w:pPr>
            <w:r>
              <w:t>IT oilseed rape:</w:t>
            </w:r>
            <w:r>
              <w:tab/>
              <w:t>DT</w:t>
            </w:r>
            <w:r w:rsidRPr="0040732D">
              <w:rPr>
                <w:vertAlign w:val="subscript"/>
              </w:rPr>
              <w:t>50</w:t>
            </w:r>
            <w:r>
              <w:t xml:space="preserve"> 2.8 d</w:t>
            </w:r>
          </w:p>
          <w:p w14:paraId="58659A83" w14:textId="77777777" w:rsidR="001F1D86" w:rsidRDefault="001F1D86" w:rsidP="001F1D86">
            <w:pPr>
              <w:pStyle w:val="TableText"/>
              <w:tabs>
                <w:tab w:val="left" w:pos="2211"/>
              </w:tabs>
            </w:pPr>
            <w:r>
              <w:t>s-FR oilseed rape:</w:t>
            </w:r>
            <w:r>
              <w:tab/>
              <w:t>DT</w:t>
            </w:r>
            <w:r w:rsidRPr="0040732D">
              <w:rPr>
                <w:vertAlign w:val="subscript"/>
              </w:rPr>
              <w:t>50</w:t>
            </w:r>
            <w:r>
              <w:t xml:space="preserve"> 3.0 d</w:t>
            </w:r>
          </w:p>
        </w:tc>
        <w:tc>
          <w:tcPr>
            <w:tcW w:w="1409" w:type="pct"/>
            <w:tcBorders>
              <w:top w:val="single" w:sz="4" w:space="0" w:color="auto"/>
              <w:bottom w:val="single" w:sz="4" w:space="0" w:color="auto"/>
            </w:tcBorders>
          </w:tcPr>
          <w:p w14:paraId="4CE5797E" w14:textId="77777777" w:rsidR="001F1D86" w:rsidRDefault="001F1D86" w:rsidP="001F1D86">
            <w:pPr>
              <w:pStyle w:val="TableText"/>
            </w:pPr>
            <w:r>
              <w:t>Langridge 2011b</w:t>
            </w:r>
          </w:p>
        </w:tc>
      </w:tr>
      <w:tr w:rsidR="001F1D86" w:rsidRPr="000B2FA7" w14:paraId="47B2999B" w14:textId="77777777" w:rsidTr="00514EF5">
        <w:tc>
          <w:tcPr>
            <w:tcW w:w="0" w:type="auto"/>
            <w:vMerge/>
            <w:tcBorders>
              <w:left w:val="nil"/>
            </w:tcBorders>
          </w:tcPr>
          <w:p w14:paraId="3D1C46A3" w14:textId="77777777" w:rsidR="001F1D86" w:rsidRPr="008B4AF6" w:rsidRDefault="001F1D86" w:rsidP="001F1D86">
            <w:pPr>
              <w:pStyle w:val="TableText"/>
            </w:pPr>
          </w:p>
        </w:tc>
        <w:tc>
          <w:tcPr>
            <w:tcW w:w="0" w:type="auto"/>
            <w:vMerge/>
            <w:tcBorders>
              <w:left w:val="nil"/>
            </w:tcBorders>
          </w:tcPr>
          <w:p w14:paraId="00CEBF66" w14:textId="77777777" w:rsidR="001F1D86" w:rsidRDefault="001F1D86" w:rsidP="001F1D86">
            <w:pPr>
              <w:pStyle w:val="TableText"/>
            </w:pPr>
          </w:p>
        </w:tc>
        <w:tc>
          <w:tcPr>
            <w:tcW w:w="2414" w:type="pct"/>
            <w:tcBorders>
              <w:top w:val="single" w:sz="4" w:space="0" w:color="auto"/>
              <w:bottom w:val="single" w:sz="4" w:space="0" w:color="auto"/>
            </w:tcBorders>
          </w:tcPr>
          <w:p w14:paraId="169159EA" w14:textId="77777777" w:rsidR="001F1D86" w:rsidRDefault="001F1D86" w:rsidP="001F1D86">
            <w:pPr>
              <w:pStyle w:val="TableText"/>
              <w:tabs>
                <w:tab w:val="left" w:pos="2211"/>
              </w:tabs>
            </w:pPr>
            <w:r>
              <w:t>Corn sowthistle:</w:t>
            </w:r>
            <w:r>
              <w:tab/>
              <w:t>DT</w:t>
            </w:r>
            <w:r w:rsidRPr="008B762C">
              <w:rPr>
                <w:vertAlign w:val="subscript"/>
              </w:rPr>
              <w:t>50</w:t>
            </w:r>
            <w:r>
              <w:t xml:space="preserve"> 2.1 d</w:t>
            </w:r>
          </w:p>
          <w:p w14:paraId="61331FC7" w14:textId="77777777" w:rsidR="001F1D86" w:rsidRDefault="001F1D86" w:rsidP="001F1D86">
            <w:pPr>
              <w:pStyle w:val="TableText"/>
              <w:tabs>
                <w:tab w:val="left" w:pos="2211"/>
              </w:tabs>
            </w:pPr>
            <w:r>
              <w:t>Sedges:</w:t>
            </w:r>
            <w:r>
              <w:tab/>
              <w:t>DT</w:t>
            </w:r>
            <w:r w:rsidRPr="008B762C">
              <w:rPr>
                <w:vertAlign w:val="subscript"/>
              </w:rPr>
              <w:t>50</w:t>
            </w:r>
            <w:r>
              <w:t xml:space="preserve"> 1.8 d</w:t>
            </w:r>
          </w:p>
          <w:p w14:paraId="0156FC5C" w14:textId="77777777" w:rsidR="001F1D86" w:rsidRDefault="001F1D86" w:rsidP="001F1D86">
            <w:pPr>
              <w:pStyle w:val="TableText"/>
              <w:tabs>
                <w:tab w:val="left" w:pos="2211"/>
              </w:tabs>
            </w:pPr>
            <w:r>
              <w:t>Climbing false buckwheat:</w:t>
            </w:r>
            <w:r>
              <w:tab/>
              <w:t>DT</w:t>
            </w:r>
            <w:r w:rsidRPr="008B762C">
              <w:rPr>
                <w:vertAlign w:val="subscript"/>
              </w:rPr>
              <w:t>50</w:t>
            </w:r>
            <w:r>
              <w:t xml:space="preserve"> 1.4 d</w:t>
            </w:r>
          </w:p>
          <w:p w14:paraId="011C162A" w14:textId="77777777" w:rsidR="001F1D86" w:rsidRDefault="001F1D86" w:rsidP="001F1D86">
            <w:pPr>
              <w:pStyle w:val="TableText"/>
              <w:tabs>
                <w:tab w:val="left" w:pos="2211"/>
              </w:tabs>
            </w:pPr>
            <w:r>
              <w:t>Reed canary grass:</w:t>
            </w:r>
            <w:r>
              <w:tab/>
              <w:t>DT</w:t>
            </w:r>
            <w:r w:rsidRPr="008B762C">
              <w:rPr>
                <w:vertAlign w:val="subscript"/>
              </w:rPr>
              <w:t>50</w:t>
            </w:r>
            <w:r>
              <w:t xml:space="preserve"> 1.0 d</w:t>
            </w:r>
          </w:p>
        </w:tc>
        <w:tc>
          <w:tcPr>
            <w:tcW w:w="1409" w:type="pct"/>
            <w:vMerge w:val="restart"/>
            <w:tcBorders>
              <w:top w:val="single" w:sz="4" w:space="0" w:color="auto"/>
            </w:tcBorders>
          </w:tcPr>
          <w:p w14:paraId="2D8AFA57" w14:textId="77777777" w:rsidR="001F1D86" w:rsidRDefault="001F1D86" w:rsidP="001F1D86">
            <w:pPr>
              <w:pStyle w:val="TableText"/>
            </w:pPr>
            <w:r>
              <w:t>Edwards et al. 1991</w:t>
            </w:r>
          </w:p>
        </w:tc>
      </w:tr>
      <w:tr w:rsidR="001F1D86" w:rsidRPr="000B2FA7" w14:paraId="7B9B216A" w14:textId="77777777" w:rsidTr="00514EF5">
        <w:tc>
          <w:tcPr>
            <w:tcW w:w="0" w:type="auto"/>
            <w:vMerge/>
            <w:tcBorders>
              <w:left w:val="nil"/>
            </w:tcBorders>
          </w:tcPr>
          <w:p w14:paraId="29BBB121" w14:textId="77777777" w:rsidR="001F1D86" w:rsidRPr="008B4AF6" w:rsidRDefault="001F1D86" w:rsidP="001F1D86">
            <w:pPr>
              <w:pStyle w:val="TableText"/>
            </w:pPr>
          </w:p>
        </w:tc>
        <w:tc>
          <w:tcPr>
            <w:tcW w:w="0" w:type="auto"/>
            <w:vMerge/>
            <w:tcBorders>
              <w:left w:val="nil"/>
              <w:bottom w:val="single" w:sz="4" w:space="0" w:color="auto"/>
            </w:tcBorders>
          </w:tcPr>
          <w:p w14:paraId="20870AAB" w14:textId="77777777" w:rsidR="001F1D86" w:rsidRDefault="001F1D86" w:rsidP="001F1D86">
            <w:pPr>
              <w:pStyle w:val="TableText"/>
            </w:pPr>
          </w:p>
        </w:tc>
        <w:tc>
          <w:tcPr>
            <w:tcW w:w="2414" w:type="pct"/>
            <w:tcBorders>
              <w:top w:val="single" w:sz="4" w:space="0" w:color="auto"/>
              <w:bottom w:val="single" w:sz="4" w:space="0" w:color="auto"/>
            </w:tcBorders>
          </w:tcPr>
          <w:p w14:paraId="77B10721" w14:textId="77777777" w:rsidR="001F1D86" w:rsidRDefault="001F1D86" w:rsidP="001F1D86">
            <w:pPr>
              <w:pStyle w:val="TableText"/>
              <w:tabs>
                <w:tab w:val="left" w:pos="2211"/>
              </w:tabs>
            </w:pPr>
            <w:r>
              <w:t>Geomean DT</w:t>
            </w:r>
            <w:r w:rsidRPr="008B762C">
              <w:rPr>
                <w:vertAlign w:val="subscript"/>
              </w:rPr>
              <w:t>50</w:t>
            </w:r>
            <w:r>
              <w:t xml:space="preserve"> 1.8 d</w:t>
            </w:r>
          </w:p>
        </w:tc>
        <w:tc>
          <w:tcPr>
            <w:tcW w:w="1409" w:type="pct"/>
            <w:vMerge/>
            <w:tcBorders>
              <w:bottom w:val="single" w:sz="4" w:space="0" w:color="auto"/>
            </w:tcBorders>
          </w:tcPr>
          <w:p w14:paraId="5D6B61FD" w14:textId="77777777" w:rsidR="001F1D86" w:rsidRDefault="001F1D86" w:rsidP="001F1D86">
            <w:pPr>
              <w:pStyle w:val="TableText"/>
            </w:pPr>
          </w:p>
        </w:tc>
      </w:tr>
      <w:tr w:rsidR="001F1D86" w:rsidRPr="000B2FA7" w14:paraId="60FA25D8" w14:textId="77777777" w:rsidTr="00514EF5">
        <w:tc>
          <w:tcPr>
            <w:tcW w:w="0" w:type="auto"/>
            <w:vMerge/>
            <w:tcBorders>
              <w:left w:val="nil"/>
            </w:tcBorders>
          </w:tcPr>
          <w:p w14:paraId="095DDF0A" w14:textId="77777777" w:rsidR="001F1D86" w:rsidRPr="008B4AF6" w:rsidRDefault="001F1D86" w:rsidP="001F1D86">
            <w:pPr>
              <w:pStyle w:val="TableText"/>
            </w:pPr>
          </w:p>
        </w:tc>
        <w:tc>
          <w:tcPr>
            <w:tcW w:w="0" w:type="auto"/>
            <w:vMerge w:val="restart"/>
            <w:tcBorders>
              <w:top w:val="single" w:sz="4" w:space="0" w:color="auto"/>
              <w:left w:val="nil"/>
            </w:tcBorders>
          </w:tcPr>
          <w:p w14:paraId="71423C1A" w14:textId="77777777" w:rsidR="001F1D86" w:rsidRDefault="001F1D86" w:rsidP="001F1D86">
            <w:pPr>
              <w:pStyle w:val="TableText"/>
            </w:pPr>
            <w:r>
              <w:t>Seeds</w:t>
            </w:r>
          </w:p>
        </w:tc>
        <w:tc>
          <w:tcPr>
            <w:tcW w:w="2414" w:type="pct"/>
            <w:tcBorders>
              <w:top w:val="single" w:sz="4" w:space="0" w:color="auto"/>
              <w:bottom w:val="single" w:sz="4" w:space="0" w:color="auto"/>
            </w:tcBorders>
          </w:tcPr>
          <w:p w14:paraId="15089780" w14:textId="77777777" w:rsidR="001F1D86" w:rsidRDefault="001F1D86" w:rsidP="001F1D86">
            <w:pPr>
              <w:pStyle w:val="TableText"/>
              <w:tabs>
                <w:tab w:val="left" w:pos="2211"/>
              </w:tabs>
            </w:pPr>
            <w:r>
              <w:t>Sedges:</w:t>
            </w:r>
            <w:r>
              <w:tab/>
              <w:t>DT</w:t>
            </w:r>
            <w:r w:rsidRPr="008B762C">
              <w:rPr>
                <w:vertAlign w:val="subscript"/>
              </w:rPr>
              <w:t>50</w:t>
            </w:r>
            <w:r>
              <w:t xml:space="preserve"> 17 d</w:t>
            </w:r>
          </w:p>
          <w:p w14:paraId="05A8CC44" w14:textId="77777777" w:rsidR="001F1D86" w:rsidRDefault="001F1D86" w:rsidP="001F1D86">
            <w:pPr>
              <w:pStyle w:val="TableText"/>
              <w:tabs>
                <w:tab w:val="left" w:pos="2211"/>
              </w:tabs>
            </w:pPr>
            <w:r>
              <w:t>Reed canary grass:</w:t>
            </w:r>
            <w:r>
              <w:tab/>
              <w:t>DT</w:t>
            </w:r>
            <w:r w:rsidRPr="008B762C">
              <w:rPr>
                <w:vertAlign w:val="subscript"/>
              </w:rPr>
              <w:t>50</w:t>
            </w:r>
            <w:r>
              <w:t xml:space="preserve"> 10 d</w:t>
            </w:r>
          </w:p>
          <w:p w14:paraId="37B0FA1C" w14:textId="77777777" w:rsidR="001F1D86" w:rsidRDefault="001F1D86" w:rsidP="001F1D86">
            <w:pPr>
              <w:pStyle w:val="TableText"/>
              <w:tabs>
                <w:tab w:val="left" w:pos="2211"/>
              </w:tabs>
            </w:pPr>
            <w:r>
              <w:t>Lentils:</w:t>
            </w:r>
            <w:r>
              <w:tab/>
              <w:t>DT</w:t>
            </w:r>
            <w:r w:rsidRPr="008B762C">
              <w:rPr>
                <w:vertAlign w:val="subscript"/>
              </w:rPr>
              <w:t>50</w:t>
            </w:r>
            <w:r>
              <w:t xml:space="preserve"> 2.9 d</w:t>
            </w:r>
          </w:p>
        </w:tc>
        <w:tc>
          <w:tcPr>
            <w:tcW w:w="1409" w:type="pct"/>
            <w:vMerge w:val="restart"/>
            <w:tcBorders>
              <w:top w:val="single" w:sz="4" w:space="0" w:color="auto"/>
            </w:tcBorders>
          </w:tcPr>
          <w:p w14:paraId="1B77E0DC" w14:textId="77777777" w:rsidR="001F1D86" w:rsidRDefault="001F1D86" w:rsidP="001F1D86">
            <w:pPr>
              <w:pStyle w:val="TableText"/>
            </w:pPr>
            <w:r>
              <w:t>Edwards et al. 1991</w:t>
            </w:r>
          </w:p>
        </w:tc>
      </w:tr>
      <w:tr w:rsidR="001F1D86" w:rsidRPr="000B2FA7" w14:paraId="1C1A8031" w14:textId="77777777" w:rsidTr="00514EF5">
        <w:tc>
          <w:tcPr>
            <w:tcW w:w="0" w:type="auto"/>
            <w:vMerge/>
            <w:tcBorders>
              <w:left w:val="nil"/>
              <w:bottom w:val="single" w:sz="4" w:space="0" w:color="auto"/>
            </w:tcBorders>
          </w:tcPr>
          <w:p w14:paraId="778ACC12" w14:textId="77777777" w:rsidR="001F1D86" w:rsidRPr="008B4AF6" w:rsidRDefault="001F1D86" w:rsidP="001F1D86">
            <w:pPr>
              <w:pStyle w:val="TableText"/>
            </w:pPr>
          </w:p>
        </w:tc>
        <w:tc>
          <w:tcPr>
            <w:tcW w:w="0" w:type="auto"/>
            <w:vMerge/>
            <w:tcBorders>
              <w:left w:val="nil"/>
              <w:bottom w:val="single" w:sz="4" w:space="0" w:color="auto"/>
            </w:tcBorders>
          </w:tcPr>
          <w:p w14:paraId="22C3D15E" w14:textId="77777777" w:rsidR="001F1D86" w:rsidRDefault="001F1D86" w:rsidP="001F1D86">
            <w:pPr>
              <w:pStyle w:val="TableText"/>
            </w:pPr>
          </w:p>
        </w:tc>
        <w:tc>
          <w:tcPr>
            <w:tcW w:w="2414" w:type="pct"/>
            <w:tcBorders>
              <w:top w:val="single" w:sz="4" w:space="0" w:color="auto"/>
              <w:bottom w:val="single" w:sz="4" w:space="0" w:color="auto"/>
            </w:tcBorders>
          </w:tcPr>
          <w:p w14:paraId="4D43BC51" w14:textId="77777777" w:rsidR="001F1D86" w:rsidRDefault="001F1D86" w:rsidP="001F1D86">
            <w:pPr>
              <w:pStyle w:val="TableText"/>
              <w:tabs>
                <w:tab w:val="left" w:pos="2211"/>
              </w:tabs>
            </w:pPr>
            <w:r>
              <w:t>Geomean DT</w:t>
            </w:r>
            <w:r w:rsidRPr="008B762C">
              <w:rPr>
                <w:vertAlign w:val="subscript"/>
              </w:rPr>
              <w:t>50</w:t>
            </w:r>
            <w:r>
              <w:t xml:space="preserve"> 7.9 d</w:t>
            </w:r>
          </w:p>
        </w:tc>
        <w:tc>
          <w:tcPr>
            <w:tcW w:w="1409" w:type="pct"/>
            <w:vMerge/>
            <w:tcBorders>
              <w:bottom w:val="single" w:sz="4" w:space="0" w:color="auto"/>
            </w:tcBorders>
          </w:tcPr>
          <w:p w14:paraId="3A9C5FF8" w14:textId="77777777" w:rsidR="001F1D86" w:rsidRDefault="001F1D86" w:rsidP="001F1D86">
            <w:pPr>
              <w:pStyle w:val="TableText"/>
            </w:pPr>
          </w:p>
        </w:tc>
      </w:tr>
    </w:tbl>
    <w:p w14:paraId="520FA646" w14:textId="5BE9B555" w:rsidR="00296F32" w:rsidRPr="00247DE6" w:rsidRDefault="005B7DDF" w:rsidP="00247DE6">
      <w:pPr>
        <w:pStyle w:val="Caption"/>
      </w:pPr>
      <w:bookmarkStart w:id="480" w:name="_Ref167443001"/>
      <w:bookmarkStart w:id="481" w:name="_Toc232589637"/>
      <w:r w:rsidRPr="00247DE6">
        <w:t xml:space="preserve">Table </w:t>
      </w:r>
      <w:fldSimple w:instr=" SEQ Table \* ARABIC ">
        <w:r w:rsidR="00247DE6">
          <w:rPr>
            <w:noProof/>
          </w:rPr>
          <w:t>42</w:t>
        </w:r>
      </w:fldSimple>
      <w:bookmarkEnd w:id="480"/>
      <w:r w:rsidR="00296F32" w:rsidRPr="00247DE6">
        <w:t>:</w:t>
      </w:r>
      <w:r w:rsidRPr="00247DE6">
        <w:t xml:space="preserve"> </w:t>
      </w:r>
      <w:r w:rsidR="00294CD3" w:rsidRPr="00247DE6">
        <w:t xml:space="preserve">Diquat – </w:t>
      </w:r>
      <w:r w:rsidR="001F1D86" w:rsidRPr="00247DE6">
        <w:t>f</w:t>
      </w:r>
      <w:r w:rsidR="00296F32" w:rsidRPr="00247DE6">
        <w:t>ate and behaviour in soil</w:t>
      </w:r>
      <w:bookmarkEnd w:id="481"/>
    </w:p>
    <w:tbl>
      <w:tblPr>
        <w:tblW w:w="5086"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1"/>
        <w:gridCol w:w="2034"/>
        <w:gridCol w:w="4111"/>
        <w:gridCol w:w="2774"/>
      </w:tblGrid>
      <w:tr w:rsidR="00296F32" w:rsidRPr="000B2FA7" w14:paraId="36DD3C1A" w14:textId="77777777" w:rsidTr="00514EF5">
        <w:trPr>
          <w:tblHeader/>
        </w:trPr>
        <w:tc>
          <w:tcPr>
            <w:tcW w:w="505" w:type="pct"/>
            <w:tcBorders>
              <w:right w:val="nil"/>
            </w:tcBorders>
            <w:shd w:val="clear" w:color="auto" w:fill="5C2946"/>
          </w:tcPr>
          <w:p w14:paraId="3D6AA784" w14:textId="77777777" w:rsidR="00296F32" w:rsidRPr="001F1D86" w:rsidRDefault="00296F32" w:rsidP="001F1D86">
            <w:pPr>
              <w:pStyle w:val="TableHead"/>
            </w:pPr>
            <w:r w:rsidRPr="001F1D86">
              <w:t>Substance</w:t>
            </w:r>
          </w:p>
        </w:tc>
        <w:tc>
          <w:tcPr>
            <w:tcW w:w="1025" w:type="pct"/>
            <w:tcBorders>
              <w:left w:val="nil"/>
              <w:right w:val="nil"/>
            </w:tcBorders>
            <w:shd w:val="clear" w:color="auto" w:fill="5C2946"/>
          </w:tcPr>
          <w:p w14:paraId="3FA955DC" w14:textId="77777777" w:rsidR="00296F32" w:rsidRPr="001F1D86" w:rsidRDefault="00296F32" w:rsidP="001F1D86">
            <w:pPr>
              <w:pStyle w:val="TableHead"/>
            </w:pPr>
            <w:r w:rsidRPr="001F1D86">
              <w:t>Study</w:t>
            </w:r>
          </w:p>
        </w:tc>
        <w:tc>
          <w:tcPr>
            <w:tcW w:w="2072" w:type="pct"/>
            <w:tcBorders>
              <w:left w:val="nil"/>
              <w:right w:val="nil"/>
            </w:tcBorders>
            <w:shd w:val="clear" w:color="auto" w:fill="5C2946"/>
          </w:tcPr>
          <w:p w14:paraId="5E4FA9C5" w14:textId="77777777" w:rsidR="00296F32" w:rsidRPr="001F1D86" w:rsidRDefault="00296F32" w:rsidP="001F1D86">
            <w:pPr>
              <w:pStyle w:val="TableHead"/>
            </w:pPr>
            <w:r w:rsidRPr="001F1D86">
              <w:t>Result</w:t>
            </w:r>
          </w:p>
        </w:tc>
        <w:tc>
          <w:tcPr>
            <w:tcW w:w="1399" w:type="pct"/>
            <w:tcBorders>
              <w:left w:val="nil"/>
            </w:tcBorders>
            <w:shd w:val="clear" w:color="auto" w:fill="5C2946"/>
          </w:tcPr>
          <w:p w14:paraId="3130C408" w14:textId="77777777" w:rsidR="00296F32" w:rsidRPr="001F1D86" w:rsidRDefault="00296F32" w:rsidP="001F1D86">
            <w:pPr>
              <w:pStyle w:val="TableHead"/>
            </w:pPr>
            <w:r w:rsidRPr="001F1D86">
              <w:t>Reference</w:t>
            </w:r>
          </w:p>
        </w:tc>
      </w:tr>
      <w:tr w:rsidR="00296F32" w:rsidRPr="000B2FA7" w14:paraId="05D1D477" w14:textId="77777777" w:rsidTr="00514EF5">
        <w:tc>
          <w:tcPr>
            <w:tcW w:w="505" w:type="pct"/>
            <w:tcBorders>
              <w:right w:val="nil"/>
            </w:tcBorders>
          </w:tcPr>
          <w:p w14:paraId="60577913" w14:textId="77777777" w:rsidR="00296F32" w:rsidRPr="001F1D86" w:rsidRDefault="00296F32" w:rsidP="001F1D86">
            <w:pPr>
              <w:pStyle w:val="TableText"/>
              <w:rPr>
                <w:szCs w:val="17"/>
              </w:rPr>
            </w:pPr>
            <w:r w:rsidRPr="001F1D86">
              <w:rPr>
                <w:szCs w:val="17"/>
              </w:rPr>
              <w:t>Diquat</w:t>
            </w:r>
          </w:p>
        </w:tc>
        <w:tc>
          <w:tcPr>
            <w:tcW w:w="1025" w:type="pct"/>
            <w:tcBorders>
              <w:left w:val="nil"/>
              <w:right w:val="nil"/>
            </w:tcBorders>
          </w:tcPr>
          <w:p w14:paraId="16CCC09F" w14:textId="77777777" w:rsidR="00296F32" w:rsidRPr="001F1D86" w:rsidRDefault="00296F32" w:rsidP="001F1D86">
            <w:pPr>
              <w:pStyle w:val="TableText"/>
              <w:rPr>
                <w:szCs w:val="17"/>
              </w:rPr>
            </w:pPr>
            <w:r w:rsidRPr="001F1D86">
              <w:rPr>
                <w:szCs w:val="17"/>
              </w:rPr>
              <w:t>Soil photolysis</w:t>
            </w:r>
          </w:p>
        </w:tc>
        <w:tc>
          <w:tcPr>
            <w:tcW w:w="2072" w:type="pct"/>
            <w:tcBorders>
              <w:left w:val="nil"/>
              <w:right w:val="nil"/>
            </w:tcBorders>
          </w:tcPr>
          <w:p w14:paraId="48064AC2" w14:textId="77777777" w:rsidR="00296F32" w:rsidRPr="001F1D86" w:rsidRDefault="00296F32" w:rsidP="001F1D86">
            <w:pPr>
              <w:pStyle w:val="TableText"/>
              <w:tabs>
                <w:tab w:val="left" w:pos="1648"/>
              </w:tabs>
              <w:rPr>
                <w:szCs w:val="17"/>
              </w:rPr>
            </w:pPr>
            <w:r w:rsidRPr="001F1D86">
              <w:rPr>
                <w:szCs w:val="17"/>
              </w:rPr>
              <w:t>Moist soil:</w:t>
            </w:r>
            <w:r w:rsidRPr="001F1D86">
              <w:rPr>
                <w:szCs w:val="17"/>
              </w:rPr>
              <w:tab/>
              <w:t>DT</w:t>
            </w:r>
            <w:r w:rsidRPr="001F1D86">
              <w:rPr>
                <w:szCs w:val="17"/>
                <w:vertAlign w:val="subscript"/>
              </w:rPr>
              <w:t>50</w:t>
            </w:r>
            <w:r w:rsidRPr="001F1D86">
              <w:rPr>
                <w:szCs w:val="17"/>
              </w:rPr>
              <w:t xml:space="preserve"> 36 d</w:t>
            </w:r>
          </w:p>
          <w:p w14:paraId="346EDAC1" w14:textId="77777777" w:rsidR="00296F32" w:rsidRPr="001F1D86" w:rsidRDefault="00296F32" w:rsidP="001F1D86">
            <w:pPr>
              <w:pStyle w:val="TableText"/>
              <w:tabs>
                <w:tab w:val="left" w:pos="1648"/>
              </w:tabs>
              <w:rPr>
                <w:szCs w:val="17"/>
              </w:rPr>
            </w:pPr>
            <w:r w:rsidRPr="001F1D86">
              <w:rPr>
                <w:szCs w:val="17"/>
              </w:rPr>
              <w:t>Dry soil:</w:t>
            </w:r>
            <w:r w:rsidRPr="001F1D86">
              <w:rPr>
                <w:szCs w:val="17"/>
              </w:rPr>
              <w:tab/>
              <w:t>DT</w:t>
            </w:r>
            <w:r w:rsidRPr="001F1D86">
              <w:rPr>
                <w:szCs w:val="17"/>
                <w:vertAlign w:val="subscript"/>
              </w:rPr>
              <w:t>50</w:t>
            </w:r>
            <w:r w:rsidRPr="001F1D86">
              <w:rPr>
                <w:szCs w:val="17"/>
              </w:rPr>
              <w:t xml:space="preserve"> 197 d</w:t>
            </w:r>
          </w:p>
          <w:p w14:paraId="1BCAF5A2" w14:textId="77777777" w:rsidR="00296F32" w:rsidRPr="001F1D86" w:rsidRDefault="00296F32" w:rsidP="001F1D86">
            <w:pPr>
              <w:pStyle w:val="TableText"/>
              <w:rPr>
                <w:szCs w:val="17"/>
              </w:rPr>
            </w:pPr>
            <w:r w:rsidRPr="001F1D86">
              <w:rPr>
                <w:szCs w:val="17"/>
              </w:rPr>
              <w:t>0.2% mineralisation after 30 d</w:t>
            </w:r>
          </w:p>
          <w:p w14:paraId="543E0152" w14:textId="77777777" w:rsidR="00296F32" w:rsidRPr="001F1D86" w:rsidRDefault="00296F32" w:rsidP="001F1D86">
            <w:pPr>
              <w:pStyle w:val="TableText"/>
              <w:rPr>
                <w:szCs w:val="17"/>
              </w:rPr>
            </w:pPr>
            <w:r w:rsidRPr="001F1D86">
              <w:rPr>
                <w:szCs w:val="17"/>
              </w:rPr>
              <w:t>1.5% bound residues after 30 d</w:t>
            </w:r>
          </w:p>
          <w:p w14:paraId="69C58CD7" w14:textId="77777777" w:rsidR="00296F32" w:rsidRPr="001F1D86" w:rsidRDefault="00296F32" w:rsidP="001F1D86">
            <w:pPr>
              <w:pStyle w:val="TableText"/>
              <w:rPr>
                <w:szCs w:val="17"/>
              </w:rPr>
            </w:pPr>
            <w:r w:rsidRPr="001F1D86">
              <w:rPr>
                <w:szCs w:val="17"/>
              </w:rPr>
              <w:lastRenderedPageBreak/>
              <w:t xml:space="preserve">Max 9.9% TOPPS </w:t>
            </w:r>
          </w:p>
        </w:tc>
        <w:tc>
          <w:tcPr>
            <w:tcW w:w="1399" w:type="pct"/>
            <w:tcBorders>
              <w:left w:val="nil"/>
            </w:tcBorders>
          </w:tcPr>
          <w:p w14:paraId="5AB8FD14" w14:textId="77777777" w:rsidR="00296F32" w:rsidRPr="001F1D86" w:rsidRDefault="00296F32" w:rsidP="001F1D86">
            <w:pPr>
              <w:pStyle w:val="TableText"/>
              <w:rPr>
                <w:szCs w:val="17"/>
              </w:rPr>
            </w:pPr>
            <w:r w:rsidRPr="001F1D86">
              <w:rPr>
                <w:szCs w:val="17"/>
              </w:rPr>
              <w:lastRenderedPageBreak/>
              <w:t>Dixon &amp; Gilbert 2012a</w:t>
            </w:r>
          </w:p>
        </w:tc>
      </w:tr>
      <w:tr w:rsidR="001F1D86" w:rsidRPr="008B4AF6" w14:paraId="5E508414" w14:textId="77777777" w:rsidTr="00514EF5">
        <w:tc>
          <w:tcPr>
            <w:tcW w:w="505" w:type="pct"/>
            <w:vMerge w:val="restart"/>
            <w:tcBorders>
              <w:right w:val="nil"/>
            </w:tcBorders>
          </w:tcPr>
          <w:p w14:paraId="5DD097CB" w14:textId="77777777" w:rsidR="001F1D86" w:rsidRPr="001F1D86" w:rsidRDefault="001F1D86" w:rsidP="001F1D86">
            <w:pPr>
              <w:pStyle w:val="TableText"/>
              <w:rPr>
                <w:szCs w:val="17"/>
              </w:rPr>
            </w:pPr>
            <w:r w:rsidRPr="001F1D86">
              <w:rPr>
                <w:szCs w:val="17"/>
              </w:rPr>
              <w:t>Diquat</w:t>
            </w:r>
          </w:p>
        </w:tc>
        <w:tc>
          <w:tcPr>
            <w:tcW w:w="1025" w:type="pct"/>
            <w:vMerge w:val="restart"/>
            <w:tcBorders>
              <w:left w:val="nil"/>
              <w:right w:val="nil"/>
            </w:tcBorders>
          </w:tcPr>
          <w:p w14:paraId="265C3A4A" w14:textId="77777777" w:rsidR="001F1D86" w:rsidRPr="001F1D86" w:rsidRDefault="001F1D86" w:rsidP="001F1D86">
            <w:pPr>
              <w:pStyle w:val="TableText"/>
              <w:rPr>
                <w:szCs w:val="17"/>
              </w:rPr>
            </w:pPr>
            <w:r w:rsidRPr="001F1D86">
              <w:rPr>
                <w:szCs w:val="17"/>
              </w:rPr>
              <w:t>Aerobic laboratory soil</w:t>
            </w:r>
          </w:p>
        </w:tc>
        <w:tc>
          <w:tcPr>
            <w:tcW w:w="2072" w:type="pct"/>
            <w:tcBorders>
              <w:left w:val="nil"/>
              <w:right w:val="nil"/>
            </w:tcBorders>
          </w:tcPr>
          <w:p w14:paraId="3B34DFCE" w14:textId="77777777" w:rsidR="001F1D86" w:rsidRPr="001F1D86" w:rsidRDefault="001F1D86" w:rsidP="001F1D86">
            <w:pPr>
              <w:pStyle w:val="TableText"/>
              <w:rPr>
                <w:szCs w:val="17"/>
              </w:rPr>
            </w:pPr>
            <w:r w:rsidRPr="001F1D86">
              <w:rPr>
                <w:szCs w:val="17"/>
              </w:rPr>
              <w:t>Sandy loam:</w:t>
            </w:r>
            <w:r w:rsidRPr="001F1D86">
              <w:rPr>
                <w:szCs w:val="17"/>
              </w:rPr>
              <w:tab/>
              <w:t>stable</w:t>
            </w:r>
          </w:p>
        </w:tc>
        <w:tc>
          <w:tcPr>
            <w:tcW w:w="1399" w:type="pct"/>
            <w:tcBorders>
              <w:left w:val="nil"/>
            </w:tcBorders>
          </w:tcPr>
          <w:p w14:paraId="767AC124" w14:textId="77777777" w:rsidR="001F1D86" w:rsidRPr="001F1D86" w:rsidRDefault="001F1D86" w:rsidP="001F1D86">
            <w:pPr>
              <w:pStyle w:val="TableText"/>
              <w:rPr>
                <w:szCs w:val="17"/>
              </w:rPr>
            </w:pPr>
            <w:r w:rsidRPr="001F1D86">
              <w:rPr>
                <w:szCs w:val="17"/>
              </w:rPr>
              <w:t>Johnston 1988a</w:t>
            </w:r>
          </w:p>
        </w:tc>
      </w:tr>
      <w:tr w:rsidR="001F1D86" w:rsidRPr="008B4AF6" w14:paraId="436C6B85" w14:textId="77777777" w:rsidTr="00514EF5">
        <w:tc>
          <w:tcPr>
            <w:tcW w:w="505" w:type="pct"/>
            <w:vMerge/>
            <w:tcBorders>
              <w:right w:val="nil"/>
            </w:tcBorders>
          </w:tcPr>
          <w:p w14:paraId="51E7D2CC" w14:textId="77777777" w:rsidR="001F1D86" w:rsidRPr="001F1D86" w:rsidRDefault="001F1D86" w:rsidP="001F1D86">
            <w:pPr>
              <w:pStyle w:val="TableText"/>
              <w:rPr>
                <w:szCs w:val="17"/>
              </w:rPr>
            </w:pPr>
          </w:p>
        </w:tc>
        <w:tc>
          <w:tcPr>
            <w:tcW w:w="1025" w:type="pct"/>
            <w:vMerge/>
            <w:tcBorders>
              <w:left w:val="nil"/>
              <w:right w:val="nil"/>
            </w:tcBorders>
          </w:tcPr>
          <w:p w14:paraId="458ECCA7" w14:textId="77777777" w:rsidR="001F1D86" w:rsidRPr="001F1D86" w:rsidRDefault="001F1D86" w:rsidP="001F1D86">
            <w:pPr>
              <w:pStyle w:val="TableText"/>
              <w:rPr>
                <w:szCs w:val="17"/>
              </w:rPr>
            </w:pPr>
          </w:p>
        </w:tc>
        <w:tc>
          <w:tcPr>
            <w:tcW w:w="2072" w:type="pct"/>
            <w:tcBorders>
              <w:left w:val="nil"/>
              <w:right w:val="nil"/>
            </w:tcBorders>
          </w:tcPr>
          <w:p w14:paraId="124DF5C4" w14:textId="77777777" w:rsidR="001F1D86" w:rsidRPr="001F1D86" w:rsidRDefault="001F1D86" w:rsidP="001F1D86">
            <w:pPr>
              <w:pStyle w:val="TableText"/>
              <w:tabs>
                <w:tab w:val="left" w:pos="1641"/>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598 d</w:t>
            </w:r>
          </w:p>
          <w:p w14:paraId="53DA2489"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2330 d</w:t>
            </w:r>
          </w:p>
          <w:p w14:paraId="72B88EC8" w14:textId="77777777" w:rsidR="001F1D86" w:rsidRPr="001F1D86" w:rsidRDefault="001F1D86" w:rsidP="001F1D86">
            <w:pPr>
              <w:pStyle w:val="TableText"/>
              <w:tabs>
                <w:tab w:val="left" w:pos="1641"/>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6174 d</w:t>
            </w:r>
          </w:p>
          <w:p w14:paraId="2D4A87E4"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3516 d</w:t>
            </w:r>
          </w:p>
        </w:tc>
        <w:tc>
          <w:tcPr>
            <w:tcW w:w="1399" w:type="pct"/>
            <w:tcBorders>
              <w:left w:val="nil"/>
            </w:tcBorders>
          </w:tcPr>
          <w:p w14:paraId="1F4C0BC6" w14:textId="77777777" w:rsidR="001F1D86" w:rsidRPr="001F1D86" w:rsidRDefault="001F1D86" w:rsidP="001F1D86">
            <w:pPr>
              <w:pStyle w:val="TableText"/>
              <w:rPr>
                <w:szCs w:val="17"/>
              </w:rPr>
            </w:pPr>
            <w:r w:rsidRPr="001F1D86">
              <w:rPr>
                <w:szCs w:val="17"/>
              </w:rPr>
              <w:t>Dixon 2012a</w:t>
            </w:r>
          </w:p>
        </w:tc>
      </w:tr>
      <w:tr w:rsidR="001F1D86" w:rsidRPr="008B4AF6" w14:paraId="5682FA73" w14:textId="77777777" w:rsidTr="00514EF5">
        <w:tc>
          <w:tcPr>
            <w:tcW w:w="505" w:type="pct"/>
            <w:vMerge/>
            <w:tcBorders>
              <w:right w:val="nil"/>
            </w:tcBorders>
          </w:tcPr>
          <w:p w14:paraId="316596D3" w14:textId="77777777" w:rsidR="001F1D86" w:rsidRPr="001F1D86" w:rsidRDefault="001F1D86" w:rsidP="001F1D86">
            <w:pPr>
              <w:pStyle w:val="TableText"/>
              <w:rPr>
                <w:szCs w:val="17"/>
              </w:rPr>
            </w:pPr>
          </w:p>
        </w:tc>
        <w:tc>
          <w:tcPr>
            <w:tcW w:w="1025" w:type="pct"/>
            <w:vMerge/>
            <w:tcBorders>
              <w:left w:val="nil"/>
              <w:right w:val="nil"/>
            </w:tcBorders>
          </w:tcPr>
          <w:p w14:paraId="2157D766" w14:textId="77777777" w:rsidR="001F1D86" w:rsidRPr="001F1D86" w:rsidRDefault="001F1D86" w:rsidP="001F1D86">
            <w:pPr>
              <w:pStyle w:val="TableText"/>
              <w:rPr>
                <w:szCs w:val="17"/>
              </w:rPr>
            </w:pPr>
          </w:p>
        </w:tc>
        <w:tc>
          <w:tcPr>
            <w:tcW w:w="2072" w:type="pct"/>
            <w:tcBorders>
              <w:left w:val="nil"/>
              <w:right w:val="nil"/>
            </w:tcBorders>
          </w:tcPr>
          <w:p w14:paraId="41EF271E"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976 d</w:t>
            </w:r>
          </w:p>
          <w:p w14:paraId="0EBC732F" w14:textId="77777777" w:rsidR="001F1D86" w:rsidRPr="001F1D86" w:rsidRDefault="001F1D86" w:rsidP="001F1D86">
            <w:pPr>
              <w:pStyle w:val="TableText"/>
              <w:tabs>
                <w:tab w:val="left" w:pos="1641"/>
              </w:tabs>
              <w:rPr>
                <w:szCs w:val="17"/>
              </w:rPr>
            </w:pPr>
            <w:r w:rsidRPr="001F1D86">
              <w:rPr>
                <w:szCs w:val="17"/>
              </w:rPr>
              <w:t>Clay:</w:t>
            </w:r>
            <w:r w:rsidRPr="001F1D86">
              <w:rPr>
                <w:szCs w:val="17"/>
              </w:rPr>
              <w:tab/>
              <w:t>DT</w:t>
            </w:r>
            <w:r w:rsidRPr="001F1D86">
              <w:rPr>
                <w:szCs w:val="17"/>
                <w:vertAlign w:val="subscript"/>
              </w:rPr>
              <w:t>50</w:t>
            </w:r>
            <w:r w:rsidRPr="001F1D86">
              <w:rPr>
                <w:szCs w:val="17"/>
              </w:rPr>
              <w:t xml:space="preserve"> 290 d</w:t>
            </w:r>
          </w:p>
          <w:p w14:paraId="6E9B77E9" w14:textId="77777777" w:rsidR="001F1D86" w:rsidRPr="001F1D86" w:rsidRDefault="001F1D86" w:rsidP="001F1D86">
            <w:pPr>
              <w:pStyle w:val="TableText"/>
              <w:tabs>
                <w:tab w:val="left" w:pos="1641"/>
              </w:tabs>
              <w:rPr>
                <w:szCs w:val="17"/>
              </w:rPr>
            </w:pPr>
            <w:r w:rsidRPr="001F1D86">
              <w:rPr>
                <w:szCs w:val="17"/>
              </w:rPr>
              <w:t>Sand:</w:t>
            </w:r>
            <w:r w:rsidRPr="001F1D86">
              <w:rPr>
                <w:szCs w:val="17"/>
              </w:rPr>
              <w:tab/>
              <w:t>DT</w:t>
            </w:r>
            <w:r w:rsidRPr="001F1D86">
              <w:rPr>
                <w:szCs w:val="17"/>
                <w:vertAlign w:val="subscript"/>
              </w:rPr>
              <w:t>50</w:t>
            </w:r>
            <w:r w:rsidRPr="001F1D86">
              <w:rPr>
                <w:szCs w:val="17"/>
              </w:rPr>
              <w:t xml:space="preserve"> 468 d</w:t>
            </w:r>
          </w:p>
          <w:p w14:paraId="5D541B6E" w14:textId="77777777" w:rsidR="001F1D86" w:rsidRPr="001F1D86" w:rsidRDefault="001F1D86" w:rsidP="001F1D86">
            <w:pPr>
              <w:pStyle w:val="TableText"/>
              <w:tabs>
                <w:tab w:val="left" w:pos="1641"/>
              </w:tabs>
              <w:rPr>
                <w:szCs w:val="17"/>
              </w:rPr>
            </w:pPr>
            <w:r w:rsidRPr="001F1D86">
              <w:rPr>
                <w:szCs w:val="17"/>
              </w:rPr>
              <w:t>Sandy loam:</w:t>
            </w:r>
            <w:r w:rsidRPr="001F1D86">
              <w:rPr>
                <w:szCs w:val="17"/>
              </w:rPr>
              <w:tab/>
              <w:t>DT</w:t>
            </w:r>
            <w:r w:rsidRPr="001F1D86">
              <w:rPr>
                <w:szCs w:val="17"/>
                <w:vertAlign w:val="subscript"/>
              </w:rPr>
              <w:t>50</w:t>
            </w:r>
            <w:r w:rsidRPr="001F1D86">
              <w:rPr>
                <w:szCs w:val="17"/>
              </w:rPr>
              <w:t xml:space="preserve"> 568 d</w:t>
            </w:r>
          </w:p>
        </w:tc>
        <w:tc>
          <w:tcPr>
            <w:tcW w:w="1399" w:type="pct"/>
            <w:vMerge w:val="restart"/>
            <w:tcBorders>
              <w:left w:val="nil"/>
            </w:tcBorders>
          </w:tcPr>
          <w:p w14:paraId="7EAD397A" w14:textId="77777777" w:rsidR="001F1D86" w:rsidRPr="001F1D86" w:rsidRDefault="001F1D86" w:rsidP="001F1D86">
            <w:pPr>
              <w:pStyle w:val="TableText"/>
              <w:rPr>
                <w:szCs w:val="17"/>
              </w:rPr>
            </w:pPr>
            <w:bookmarkStart w:id="482" w:name="_Hlk151380352"/>
            <w:r w:rsidRPr="001F1D86">
              <w:rPr>
                <w:szCs w:val="17"/>
              </w:rPr>
              <w:t>Mônego 2006a</w:t>
            </w:r>
            <w:bookmarkEnd w:id="482"/>
          </w:p>
        </w:tc>
      </w:tr>
      <w:tr w:rsidR="001F1D86" w:rsidRPr="008B4AF6" w14:paraId="4F50DD90" w14:textId="77777777" w:rsidTr="00514EF5">
        <w:tc>
          <w:tcPr>
            <w:tcW w:w="505" w:type="pct"/>
            <w:vMerge/>
            <w:tcBorders>
              <w:right w:val="nil"/>
            </w:tcBorders>
          </w:tcPr>
          <w:p w14:paraId="79CEF4CD" w14:textId="77777777" w:rsidR="001F1D86" w:rsidRPr="001F1D86" w:rsidRDefault="001F1D86" w:rsidP="001F1D86">
            <w:pPr>
              <w:pStyle w:val="TableText"/>
              <w:rPr>
                <w:szCs w:val="17"/>
              </w:rPr>
            </w:pPr>
          </w:p>
        </w:tc>
        <w:tc>
          <w:tcPr>
            <w:tcW w:w="1025" w:type="pct"/>
            <w:vMerge/>
            <w:tcBorders>
              <w:left w:val="nil"/>
              <w:right w:val="nil"/>
            </w:tcBorders>
          </w:tcPr>
          <w:p w14:paraId="13925350" w14:textId="77777777" w:rsidR="001F1D86" w:rsidRPr="001F1D86" w:rsidRDefault="001F1D86" w:rsidP="001F1D86">
            <w:pPr>
              <w:pStyle w:val="TableText"/>
              <w:rPr>
                <w:szCs w:val="17"/>
              </w:rPr>
            </w:pPr>
          </w:p>
        </w:tc>
        <w:tc>
          <w:tcPr>
            <w:tcW w:w="2072" w:type="pct"/>
            <w:tcBorders>
              <w:left w:val="nil"/>
              <w:right w:val="nil"/>
            </w:tcBorders>
          </w:tcPr>
          <w:p w14:paraId="6F92DAD5" w14:textId="77777777" w:rsidR="001F1D86" w:rsidRPr="001F1D86" w:rsidRDefault="001F1D86" w:rsidP="001F1D86">
            <w:pPr>
              <w:pStyle w:val="TableText"/>
              <w:rPr>
                <w:szCs w:val="17"/>
              </w:rPr>
            </w:pPr>
            <w:r w:rsidRPr="001F1D86">
              <w:rPr>
                <w:szCs w:val="17"/>
              </w:rPr>
              <w:t>Geomean DT</w:t>
            </w:r>
            <w:r w:rsidRPr="001F1D86">
              <w:rPr>
                <w:szCs w:val="17"/>
                <w:vertAlign w:val="subscript"/>
              </w:rPr>
              <w:t>50</w:t>
            </w:r>
            <w:r w:rsidRPr="001F1D86">
              <w:rPr>
                <w:szCs w:val="17"/>
              </w:rPr>
              <w:t xml:space="preserve"> 1108 d</w:t>
            </w:r>
          </w:p>
        </w:tc>
        <w:tc>
          <w:tcPr>
            <w:tcW w:w="1399" w:type="pct"/>
            <w:vMerge/>
            <w:tcBorders>
              <w:left w:val="nil"/>
            </w:tcBorders>
          </w:tcPr>
          <w:p w14:paraId="6FE2151D" w14:textId="77777777" w:rsidR="001F1D86" w:rsidRPr="001F1D86" w:rsidRDefault="001F1D86" w:rsidP="001F1D86">
            <w:pPr>
              <w:pStyle w:val="TableText"/>
              <w:rPr>
                <w:szCs w:val="17"/>
              </w:rPr>
            </w:pPr>
          </w:p>
        </w:tc>
      </w:tr>
      <w:tr w:rsidR="001F1D86" w:rsidRPr="008B4AF6" w14:paraId="07A3EEB4" w14:textId="77777777" w:rsidTr="00514EF5">
        <w:tc>
          <w:tcPr>
            <w:tcW w:w="505" w:type="pct"/>
            <w:vMerge/>
            <w:tcBorders>
              <w:right w:val="nil"/>
            </w:tcBorders>
          </w:tcPr>
          <w:p w14:paraId="6C50CA08" w14:textId="77777777" w:rsidR="001F1D86" w:rsidRPr="001F1D86" w:rsidRDefault="001F1D86" w:rsidP="001F1D86">
            <w:pPr>
              <w:pStyle w:val="TableText"/>
              <w:rPr>
                <w:szCs w:val="17"/>
              </w:rPr>
            </w:pPr>
          </w:p>
        </w:tc>
        <w:tc>
          <w:tcPr>
            <w:tcW w:w="1025" w:type="pct"/>
            <w:vMerge/>
            <w:tcBorders>
              <w:left w:val="nil"/>
              <w:right w:val="nil"/>
            </w:tcBorders>
          </w:tcPr>
          <w:p w14:paraId="7263843F" w14:textId="77777777" w:rsidR="001F1D86" w:rsidRPr="001F1D86" w:rsidRDefault="001F1D86" w:rsidP="001F1D86">
            <w:pPr>
              <w:pStyle w:val="TableText"/>
              <w:rPr>
                <w:szCs w:val="17"/>
              </w:rPr>
            </w:pPr>
          </w:p>
        </w:tc>
        <w:tc>
          <w:tcPr>
            <w:tcW w:w="2072" w:type="pct"/>
            <w:tcBorders>
              <w:left w:val="nil"/>
              <w:right w:val="nil"/>
            </w:tcBorders>
          </w:tcPr>
          <w:p w14:paraId="6ED56217" w14:textId="77777777" w:rsidR="001F1D86" w:rsidRPr="001F1D86" w:rsidRDefault="001F1D86" w:rsidP="001F1D86">
            <w:pPr>
              <w:pStyle w:val="TableText"/>
              <w:rPr>
                <w:szCs w:val="17"/>
              </w:rPr>
            </w:pPr>
            <w:r w:rsidRPr="001F1D86">
              <w:rPr>
                <w:szCs w:val="17"/>
              </w:rPr>
              <w:t>&lt;5% mineralisation after 119-120 d</w:t>
            </w:r>
          </w:p>
          <w:p w14:paraId="0B20FA47" w14:textId="77777777" w:rsidR="001F1D86" w:rsidRPr="001F1D86" w:rsidRDefault="001F1D86" w:rsidP="001F1D86">
            <w:pPr>
              <w:pStyle w:val="TableText"/>
              <w:rPr>
                <w:szCs w:val="17"/>
              </w:rPr>
            </w:pPr>
            <w:r w:rsidRPr="001F1D86">
              <w:rPr>
                <w:szCs w:val="17"/>
              </w:rPr>
              <w:t>0.4-16% bound residues after 119-120 d</w:t>
            </w:r>
          </w:p>
        </w:tc>
        <w:tc>
          <w:tcPr>
            <w:tcW w:w="1399" w:type="pct"/>
            <w:vMerge/>
            <w:tcBorders>
              <w:left w:val="nil"/>
            </w:tcBorders>
          </w:tcPr>
          <w:p w14:paraId="0B2E3B41" w14:textId="77777777" w:rsidR="001F1D86" w:rsidRPr="001F1D86" w:rsidRDefault="001F1D86" w:rsidP="001F1D86">
            <w:pPr>
              <w:pStyle w:val="TableText"/>
              <w:rPr>
                <w:szCs w:val="17"/>
              </w:rPr>
            </w:pPr>
          </w:p>
        </w:tc>
      </w:tr>
      <w:tr w:rsidR="001F1D86" w:rsidRPr="008B4AF6" w14:paraId="75E4435A" w14:textId="77777777" w:rsidTr="00514EF5">
        <w:tc>
          <w:tcPr>
            <w:tcW w:w="505" w:type="pct"/>
            <w:vMerge/>
            <w:tcBorders>
              <w:right w:val="nil"/>
            </w:tcBorders>
          </w:tcPr>
          <w:p w14:paraId="37092ACF" w14:textId="77777777" w:rsidR="001F1D86" w:rsidRPr="001F1D86" w:rsidRDefault="001F1D86" w:rsidP="001F1D86">
            <w:pPr>
              <w:pStyle w:val="TableText"/>
              <w:rPr>
                <w:szCs w:val="17"/>
              </w:rPr>
            </w:pPr>
          </w:p>
        </w:tc>
        <w:tc>
          <w:tcPr>
            <w:tcW w:w="1025" w:type="pct"/>
            <w:tcBorders>
              <w:left w:val="nil"/>
              <w:right w:val="nil"/>
            </w:tcBorders>
          </w:tcPr>
          <w:p w14:paraId="75BC229C" w14:textId="77777777" w:rsidR="001F1D86" w:rsidRPr="001F1D86" w:rsidRDefault="001F1D86" w:rsidP="001F1D86">
            <w:pPr>
              <w:pStyle w:val="TableText"/>
              <w:rPr>
                <w:szCs w:val="17"/>
              </w:rPr>
            </w:pPr>
            <w:r w:rsidRPr="001F1D86">
              <w:rPr>
                <w:szCs w:val="17"/>
              </w:rPr>
              <w:t xml:space="preserve">Anaerobic laboratory soil </w:t>
            </w:r>
          </w:p>
        </w:tc>
        <w:tc>
          <w:tcPr>
            <w:tcW w:w="2072" w:type="pct"/>
            <w:tcBorders>
              <w:left w:val="nil"/>
              <w:right w:val="nil"/>
            </w:tcBorders>
          </w:tcPr>
          <w:p w14:paraId="4D88AB97" w14:textId="77777777" w:rsidR="001F1D86" w:rsidRPr="001F1D86" w:rsidRDefault="001F1D86" w:rsidP="001F1D86">
            <w:pPr>
              <w:pStyle w:val="TableText"/>
              <w:tabs>
                <w:tab w:val="left" w:pos="1641"/>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1019 d</w:t>
            </w:r>
          </w:p>
          <w:p w14:paraId="0F2B8F82"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3642 d</w:t>
            </w:r>
          </w:p>
          <w:p w14:paraId="152D24ED" w14:textId="77777777" w:rsidR="001F1D86" w:rsidRPr="001F1D86" w:rsidRDefault="001F1D86" w:rsidP="001F1D86">
            <w:pPr>
              <w:pStyle w:val="TableText"/>
              <w:tabs>
                <w:tab w:val="left" w:pos="1641"/>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1431 d</w:t>
            </w:r>
          </w:p>
          <w:p w14:paraId="7FEE627F"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12743 d</w:t>
            </w:r>
          </w:p>
          <w:p w14:paraId="7745B07F" w14:textId="77777777" w:rsidR="001F1D86" w:rsidRPr="001F1D86" w:rsidRDefault="001F1D86" w:rsidP="001F1D86">
            <w:pPr>
              <w:pStyle w:val="TableText"/>
              <w:tabs>
                <w:tab w:val="left" w:pos="1641"/>
              </w:tabs>
              <w:rPr>
                <w:szCs w:val="17"/>
              </w:rPr>
            </w:pPr>
            <w:r w:rsidRPr="001F1D86">
              <w:rPr>
                <w:szCs w:val="17"/>
              </w:rPr>
              <w:t>Geomean DT</w:t>
            </w:r>
            <w:r w:rsidRPr="001F1D86">
              <w:rPr>
                <w:szCs w:val="17"/>
                <w:vertAlign w:val="subscript"/>
              </w:rPr>
              <w:t>50</w:t>
            </w:r>
            <w:r w:rsidRPr="001F1D86">
              <w:rPr>
                <w:szCs w:val="17"/>
              </w:rPr>
              <w:t xml:space="preserve"> 2868 d</w:t>
            </w:r>
          </w:p>
          <w:p w14:paraId="4790FCD6" w14:textId="77777777" w:rsidR="001F1D86" w:rsidRPr="001F1D86" w:rsidRDefault="001F1D86" w:rsidP="001F1D86">
            <w:pPr>
              <w:pStyle w:val="TableText"/>
              <w:tabs>
                <w:tab w:val="left" w:pos="1641"/>
              </w:tabs>
              <w:rPr>
                <w:szCs w:val="17"/>
              </w:rPr>
            </w:pPr>
            <w:r w:rsidRPr="001F1D86">
              <w:rPr>
                <w:szCs w:val="17"/>
              </w:rPr>
              <w:t>&lt;5% mineralisation after 120 d</w:t>
            </w:r>
          </w:p>
          <w:p w14:paraId="20406B98" w14:textId="77777777" w:rsidR="001F1D86" w:rsidRPr="001F1D86" w:rsidRDefault="001F1D86" w:rsidP="001F1D86">
            <w:pPr>
              <w:pStyle w:val="TableText"/>
              <w:tabs>
                <w:tab w:val="left" w:pos="1641"/>
              </w:tabs>
              <w:rPr>
                <w:szCs w:val="17"/>
              </w:rPr>
            </w:pPr>
            <w:r w:rsidRPr="001F1D86">
              <w:rPr>
                <w:szCs w:val="17"/>
              </w:rPr>
              <w:t>0.4-9.5% bound residues after 120 d</w:t>
            </w:r>
          </w:p>
        </w:tc>
        <w:tc>
          <w:tcPr>
            <w:tcW w:w="1399" w:type="pct"/>
            <w:tcBorders>
              <w:left w:val="nil"/>
            </w:tcBorders>
          </w:tcPr>
          <w:p w14:paraId="626C757E" w14:textId="77777777" w:rsidR="001F1D86" w:rsidRPr="001F1D86" w:rsidRDefault="001F1D86" w:rsidP="001F1D86">
            <w:pPr>
              <w:pStyle w:val="TableText"/>
              <w:rPr>
                <w:szCs w:val="17"/>
              </w:rPr>
            </w:pPr>
            <w:r w:rsidRPr="001F1D86">
              <w:rPr>
                <w:szCs w:val="17"/>
              </w:rPr>
              <w:t>Dixon 2012b</w:t>
            </w:r>
          </w:p>
        </w:tc>
      </w:tr>
      <w:tr w:rsidR="001F1D86" w:rsidRPr="000B2FA7" w14:paraId="21DAA3C0" w14:textId="77777777" w:rsidTr="00514EF5">
        <w:tc>
          <w:tcPr>
            <w:tcW w:w="505" w:type="pct"/>
            <w:vMerge/>
            <w:tcBorders>
              <w:right w:val="nil"/>
            </w:tcBorders>
          </w:tcPr>
          <w:p w14:paraId="50F8D911" w14:textId="77777777" w:rsidR="001F1D86" w:rsidRPr="001F1D86" w:rsidRDefault="001F1D86" w:rsidP="001F1D86">
            <w:pPr>
              <w:pStyle w:val="TableText"/>
              <w:rPr>
                <w:szCs w:val="17"/>
              </w:rPr>
            </w:pPr>
          </w:p>
        </w:tc>
        <w:tc>
          <w:tcPr>
            <w:tcW w:w="1025" w:type="pct"/>
            <w:vMerge w:val="restart"/>
            <w:tcBorders>
              <w:left w:val="nil"/>
              <w:right w:val="nil"/>
            </w:tcBorders>
          </w:tcPr>
          <w:p w14:paraId="75AC474D" w14:textId="77777777" w:rsidR="001F1D86" w:rsidRPr="001F1D86" w:rsidRDefault="001F1D86" w:rsidP="001F1D86">
            <w:pPr>
              <w:pStyle w:val="TableText"/>
              <w:rPr>
                <w:szCs w:val="17"/>
              </w:rPr>
            </w:pPr>
            <w:r w:rsidRPr="001F1D86">
              <w:rPr>
                <w:szCs w:val="17"/>
              </w:rPr>
              <w:t>Adsorption/ desorption</w:t>
            </w:r>
          </w:p>
        </w:tc>
        <w:tc>
          <w:tcPr>
            <w:tcW w:w="2072" w:type="pct"/>
            <w:tcBorders>
              <w:left w:val="nil"/>
              <w:right w:val="nil"/>
            </w:tcBorders>
          </w:tcPr>
          <w:p w14:paraId="6D3844EA" w14:textId="77777777" w:rsidR="001F1D86" w:rsidRPr="001F1D86" w:rsidRDefault="001F1D86" w:rsidP="001F1D86">
            <w:pPr>
              <w:pStyle w:val="TableText"/>
              <w:tabs>
                <w:tab w:val="left" w:pos="1500"/>
                <w:tab w:val="left" w:pos="2208"/>
                <w:tab w:val="left" w:pos="2917"/>
              </w:tabs>
              <w:rPr>
                <w:szCs w:val="17"/>
              </w:rPr>
            </w:pPr>
            <w:r w:rsidRPr="001F1D86">
              <w:rPr>
                <w:szCs w:val="17"/>
                <w:u w:val="single"/>
              </w:rPr>
              <w:t>Soil</w:t>
            </w:r>
            <w:r w:rsidRPr="001F1D86">
              <w:rPr>
                <w:szCs w:val="17"/>
              </w:rPr>
              <w:tab/>
            </w:r>
            <w:r w:rsidRPr="001F1D86">
              <w:rPr>
                <w:szCs w:val="17"/>
                <w:u w:val="single"/>
              </w:rPr>
              <w:t>% clay</w:t>
            </w:r>
            <w:r w:rsidRPr="001F1D86">
              <w:rPr>
                <w:szCs w:val="17"/>
              </w:rPr>
              <w:tab/>
            </w:r>
            <w:r w:rsidRPr="001F1D86">
              <w:rPr>
                <w:szCs w:val="17"/>
                <w:u w:val="single"/>
              </w:rPr>
              <w:t>Kf</w:t>
            </w:r>
            <w:r w:rsidRPr="001F1D86">
              <w:rPr>
                <w:szCs w:val="17"/>
              </w:rPr>
              <w:tab/>
            </w:r>
            <w:r w:rsidRPr="001F1D86">
              <w:rPr>
                <w:szCs w:val="17"/>
                <w:u w:val="single"/>
              </w:rPr>
              <w:t>1/n</w:t>
            </w:r>
          </w:p>
        </w:tc>
        <w:tc>
          <w:tcPr>
            <w:tcW w:w="1399" w:type="pct"/>
            <w:tcBorders>
              <w:left w:val="nil"/>
            </w:tcBorders>
          </w:tcPr>
          <w:p w14:paraId="22B8AD3C" w14:textId="77777777" w:rsidR="001F1D86" w:rsidRPr="001F1D86" w:rsidRDefault="001F1D86" w:rsidP="001F1D86">
            <w:pPr>
              <w:pStyle w:val="TableText"/>
              <w:rPr>
                <w:szCs w:val="17"/>
              </w:rPr>
            </w:pPr>
          </w:p>
        </w:tc>
      </w:tr>
      <w:tr w:rsidR="001F1D86" w:rsidRPr="000B2FA7" w14:paraId="616AD17D" w14:textId="77777777" w:rsidTr="00514EF5">
        <w:tc>
          <w:tcPr>
            <w:tcW w:w="505" w:type="pct"/>
            <w:vMerge/>
            <w:tcBorders>
              <w:right w:val="nil"/>
            </w:tcBorders>
          </w:tcPr>
          <w:p w14:paraId="5BC8C521" w14:textId="77777777" w:rsidR="001F1D86" w:rsidRPr="001F1D86" w:rsidRDefault="001F1D86" w:rsidP="001F1D86">
            <w:pPr>
              <w:pStyle w:val="TableText"/>
              <w:rPr>
                <w:szCs w:val="17"/>
              </w:rPr>
            </w:pPr>
          </w:p>
        </w:tc>
        <w:tc>
          <w:tcPr>
            <w:tcW w:w="1025" w:type="pct"/>
            <w:vMerge/>
            <w:tcBorders>
              <w:left w:val="nil"/>
              <w:right w:val="nil"/>
            </w:tcBorders>
          </w:tcPr>
          <w:p w14:paraId="403F6EA9" w14:textId="77777777" w:rsidR="001F1D86" w:rsidRPr="001F1D86" w:rsidRDefault="001F1D86" w:rsidP="001F1D86">
            <w:pPr>
              <w:pStyle w:val="TableText"/>
              <w:rPr>
                <w:szCs w:val="17"/>
              </w:rPr>
            </w:pPr>
          </w:p>
        </w:tc>
        <w:tc>
          <w:tcPr>
            <w:tcW w:w="2072" w:type="pct"/>
            <w:tcBorders>
              <w:left w:val="nil"/>
              <w:right w:val="nil"/>
            </w:tcBorders>
          </w:tcPr>
          <w:p w14:paraId="5C8523E8" w14:textId="77777777" w:rsidR="001F1D86" w:rsidRPr="001F1D86" w:rsidRDefault="001F1D86" w:rsidP="001F1D86">
            <w:pPr>
              <w:pStyle w:val="TableText"/>
              <w:tabs>
                <w:tab w:val="left" w:pos="1500"/>
                <w:tab w:val="left" w:pos="2208"/>
                <w:tab w:val="left" w:pos="2917"/>
              </w:tabs>
              <w:rPr>
                <w:szCs w:val="17"/>
              </w:rPr>
            </w:pPr>
            <w:r w:rsidRPr="001F1D86">
              <w:rPr>
                <w:szCs w:val="17"/>
              </w:rPr>
              <w:t>Loam</w:t>
            </w:r>
            <w:r w:rsidRPr="001F1D86">
              <w:rPr>
                <w:szCs w:val="17"/>
              </w:rPr>
              <w:tab/>
              <w:t>12</w:t>
            </w:r>
            <w:r w:rsidRPr="001F1D86">
              <w:rPr>
                <w:szCs w:val="17"/>
              </w:rPr>
              <w:tab/>
              <w:t>144</w:t>
            </w:r>
            <w:r w:rsidRPr="001F1D86">
              <w:rPr>
                <w:szCs w:val="17"/>
              </w:rPr>
              <w:tab/>
              <w:t>0.59</w:t>
            </w:r>
          </w:p>
          <w:p w14:paraId="7ABF654D"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25</w:t>
            </w:r>
            <w:r w:rsidRPr="001F1D86">
              <w:rPr>
                <w:szCs w:val="17"/>
              </w:rPr>
              <w:tab/>
              <w:t>9011</w:t>
            </w:r>
            <w:r w:rsidRPr="001F1D86">
              <w:rPr>
                <w:szCs w:val="17"/>
              </w:rPr>
              <w:tab/>
              <w:t>0.89</w:t>
            </w:r>
          </w:p>
          <w:p w14:paraId="1B9E3C00" w14:textId="77777777" w:rsidR="001F1D86" w:rsidRPr="001F1D86" w:rsidRDefault="001F1D86" w:rsidP="001F1D86">
            <w:pPr>
              <w:pStyle w:val="TableText"/>
              <w:tabs>
                <w:tab w:val="left" w:pos="1500"/>
                <w:tab w:val="left" w:pos="2208"/>
                <w:tab w:val="left" w:pos="2917"/>
              </w:tabs>
              <w:rPr>
                <w:szCs w:val="17"/>
              </w:rPr>
            </w:pPr>
            <w:r w:rsidRPr="001F1D86">
              <w:rPr>
                <w:szCs w:val="17"/>
              </w:rPr>
              <w:t>Silty clay</w:t>
            </w:r>
            <w:r w:rsidRPr="001F1D86">
              <w:rPr>
                <w:szCs w:val="17"/>
              </w:rPr>
              <w:tab/>
              <w:t>39</w:t>
            </w:r>
            <w:r w:rsidRPr="001F1D86">
              <w:rPr>
                <w:szCs w:val="17"/>
              </w:rPr>
              <w:tab/>
              <w:t>12932</w:t>
            </w:r>
            <w:r w:rsidRPr="001F1D86">
              <w:rPr>
                <w:szCs w:val="17"/>
              </w:rPr>
              <w:tab/>
              <w:t>0.93</w:t>
            </w:r>
          </w:p>
          <w:p w14:paraId="20709DC0"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19</w:t>
            </w:r>
            <w:r w:rsidRPr="001F1D86">
              <w:rPr>
                <w:szCs w:val="17"/>
              </w:rPr>
              <w:tab/>
              <w:t>70308</w:t>
            </w:r>
            <w:r w:rsidRPr="001F1D86">
              <w:rPr>
                <w:szCs w:val="17"/>
              </w:rPr>
              <w:tab/>
              <w:t>1.06</w:t>
            </w:r>
          </w:p>
        </w:tc>
        <w:tc>
          <w:tcPr>
            <w:tcW w:w="1399" w:type="pct"/>
            <w:tcBorders>
              <w:left w:val="nil"/>
            </w:tcBorders>
          </w:tcPr>
          <w:p w14:paraId="1B6088BF" w14:textId="77777777" w:rsidR="001F1D86" w:rsidRPr="001F1D86" w:rsidRDefault="001F1D86" w:rsidP="001F1D86">
            <w:pPr>
              <w:pStyle w:val="TableText"/>
              <w:rPr>
                <w:szCs w:val="17"/>
              </w:rPr>
            </w:pPr>
            <w:r w:rsidRPr="001F1D86">
              <w:rPr>
                <w:szCs w:val="17"/>
              </w:rPr>
              <w:t>Dixon &amp; Gilbert 2012b</w:t>
            </w:r>
          </w:p>
        </w:tc>
      </w:tr>
      <w:tr w:rsidR="001F1D86" w:rsidRPr="000B2FA7" w14:paraId="21123AC0" w14:textId="77777777" w:rsidTr="00514EF5">
        <w:tc>
          <w:tcPr>
            <w:tcW w:w="505" w:type="pct"/>
            <w:vMerge/>
            <w:tcBorders>
              <w:right w:val="nil"/>
            </w:tcBorders>
          </w:tcPr>
          <w:p w14:paraId="59F39AE6" w14:textId="77777777" w:rsidR="001F1D86" w:rsidRPr="001F1D86" w:rsidRDefault="001F1D86" w:rsidP="001F1D86">
            <w:pPr>
              <w:pStyle w:val="TableText"/>
              <w:rPr>
                <w:szCs w:val="17"/>
              </w:rPr>
            </w:pPr>
          </w:p>
        </w:tc>
        <w:tc>
          <w:tcPr>
            <w:tcW w:w="1025" w:type="pct"/>
            <w:vMerge/>
            <w:tcBorders>
              <w:left w:val="nil"/>
              <w:right w:val="nil"/>
            </w:tcBorders>
          </w:tcPr>
          <w:p w14:paraId="718A585F" w14:textId="77777777" w:rsidR="001F1D86" w:rsidRPr="001F1D86" w:rsidRDefault="001F1D86" w:rsidP="001F1D86">
            <w:pPr>
              <w:pStyle w:val="TableText"/>
              <w:rPr>
                <w:szCs w:val="17"/>
              </w:rPr>
            </w:pPr>
          </w:p>
        </w:tc>
        <w:tc>
          <w:tcPr>
            <w:tcW w:w="2072" w:type="pct"/>
            <w:tcBorders>
              <w:left w:val="nil"/>
              <w:right w:val="nil"/>
            </w:tcBorders>
          </w:tcPr>
          <w:p w14:paraId="636D2726"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46</w:t>
            </w:r>
            <w:r w:rsidRPr="001F1D86">
              <w:rPr>
                <w:szCs w:val="17"/>
              </w:rPr>
              <w:tab/>
              <w:t>507</w:t>
            </w:r>
            <w:r w:rsidRPr="001F1D86">
              <w:rPr>
                <w:szCs w:val="17"/>
              </w:rPr>
              <w:tab/>
              <w:t>0.56</w:t>
            </w:r>
          </w:p>
          <w:p w14:paraId="6D83D9B5" w14:textId="77777777" w:rsidR="001F1D86" w:rsidRPr="001F1D86" w:rsidRDefault="001F1D86" w:rsidP="001F1D86">
            <w:pPr>
              <w:pStyle w:val="TableText"/>
              <w:tabs>
                <w:tab w:val="left" w:pos="1500"/>
                <w:tab w:val="left" w:pos="2208"/>
                <w:tab w:val="left" w:pos="2917"/>
              </w:tabs>
              <w:rPr>
                <w:szCs w:val="17"/>
              </w:rPr>
            </w:pPr>
            <w:r w:rsidRPr="001F1D86">
              <w:rPr>
                <w:szCs w:val="17"/>
              </w:rPr>
              <w:t>Clay</w:t>
            </w:r>
            <w:r w:rsidRPr="001F1D86">
              <w:rPr>
                <w:szCs w:val="17"/>
              </w:rPr>
              <w:tab/>
              <w:t>61</w:t>
            </w:r>
            <w:r w:rsidRPr="001F1D86">
              <w:rPr>
                <w:szCs w:val="17"/>
              </w:rPr>
              <w:tab/>
              <w:t>1519</w:t>
            </w:r>
            <w:r w:rsidRPr="001F1D86">
              <w:rPr>
                <w:szCs w:val="17"/>
              </w:rPr>
              <w:tab/>
              <w:t>0.69</w:t>
            </w:r>
          </w:p>
          <w:p w14:paraId="7643ED16"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10</w:t>
            </w:r>
            <w:r w:rsidRPr="001F1D86">
              <w:rPr>
                <w:szCs w:val="17"/>
              </w:rPr>
              <w:tab/>
              <w:t>910</w:t>
            </w:r>
            <w:r w:rsidRPr="001F1D86">
              <w:rPr>
                <w:szCs w:val="17"/>
              </w:rPr>
              <w:tab/>
              <w:t>0.68</w:t>
            </w:r>
          </w:p>
          <w:p w14:paraId="26EB5A68"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21</w:t>
            </w:r>
            <w:r w:rsidRPr="001F1D86">
              <w:rPr>
                <w:szCs w:val="17"/>
              </w:rPr>
              <w:tab/>
              <w:t>484</w:t>
            </w:r>
            <w:r w:rsidRPr="001F1D86">
              <w:rPr>
                <w:szCs w:val="17"/>
              </w:rPr>
              <w:tab/>
              <w:t>0.59</w:t>
            </w:r>
          </w:p>
        </w:tc>
        <w:tc>
          <w:tcPr>
            <w:tcW w:w="1399" w:type="pct"/>
            <w:tcBorders>
              <w:left w:val="nil"/>
            </w:tcBorders>
          </w:tcPr>
          <w:p w14:paraId="2DF81389" w14:textId="77777777" w:rsidR="001F1D86" w:rsidRPr="001F1D86" w:rsidRDefault="001F1D86" w:rsidP="001F1D86">
            <w:pPr>
              <w:pStyle w:val="TableText"/>
              <w:rPr>
                <w:szCs w:val="17"/>
              </w:rPr>
            </w:pPr>
            <w:r w:rsidRPr="001F1D86">
              <w:rPr>
                <w:szCs w:val="17"/>
              </w:rPr>
              <w:t>Mônego 2005</w:t>
            </w:r>
          </w:p>
        </w:tc>
      </w:tr>
      <w:tr w:rsidR="001F1D86" w:rsidRPr="000B2FA7" w14:paraId="1505A4E6" w14:textId="77777777" w:rsidTr="00514EF5">
        <w:tc>
          <w:tcPr>
            <w:tcW w:w="505" w:type="pct"/>
            <w:vMerge/>
            <w:tcBorders>
              <w:right w:val="nil"/>
            </w:tcBorders>
          </w:tcPr>
          <w:p w14:paraId="53649245" w14:textId="77777777" w:rsidR="001F1D86" w:rsidRPr="001F1D86" w:rsidRDefault="001F1D86" w:rsidP="001F1D86">
            <w:pPr>
              <w:pStyle w:val="TableText"/>
              <w:rPr>
                <w:szCs w:val="17"/>
              </w:rPr>
            </w:pPr>
          </w:p>
        </w:tc>
        <w:tc>
          <w:tcPr>
            <w:tcW w:w="1025" w:type="pct"/>
            <w:vMerge/>
            <w:tcBorders>
              <w:left w:val="nil"/>
              <w:right w:val="nil"/>
            </w:tcBorders>
          </w:tcPr>
          <w:p w14:paraId="544C3596" w14:textId="77777777" w:rsidR="001F1D86" w:rsidRPr="001F1D86" w:rsidRDefault="001F1D86" w:rsidP="001F1D86">
            <w:pPr>
              <w:pStyle w:val="TableText"/>
              <w:rPr>
                <w:szCs w:val="17"/>
              </w:rPr>
            </w:pPr>
          </w:p>
        </w:tc>
        <w:tc>
          <w:tcPr>
            <w:tcW w:w="2072" w:type="pct"/>
            <w:tcBorders>
              <w:left w:val="nil"/>
              <w:right w:val="nil"/>
            </w:tcBorders>
          </w:tcPr>
          <w:p w14:paraId="0AB09124"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2</w:t>
            </w:r>
            <w:r w:rsidRPr="001F1D86">
              <w:rPr>
                <w:szCs w:val="17"/>
              </w:rPr>
              <w:tab/>
              <w:t>36</w:t>
            </w:r>
            <w:r w:rsidRPr="001F1D86">
              <w:rPr>
                <w:szCs w:val="17"/>
              </w:rPr>
              <w:tab/>
              <w:t>0.40</w:t>
            </w:r>
          </w:p>
          <w:p w14:paraId="32BCB6CB"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4</w:t>
            </w:r>
            <w:r w:rsidRPr="001F1D86">
              <w:rPr>
                <w:szCs w:val="17"/>
              </w:rPr>
              <w:tab/>
              <w:t>42</w:t>
            </w:r>
            <w:r w:rsidRPr="001F1D86">
              <w:rPr>
                <w:szCs w:val="17"/>
              </w:rPr>
              <w:tab/>
              <w:t>0.45</w:t>
            </w:r>
          </w:p>
          <w:p w14:paraId="0CBD63BD"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21</w:t>
            </w:r>
            <w:r w:rsidRPr="001F1D86">
              <w:rPr>
                <w:szCs w:val="17"/>
              </w:rPr>
              <w:tab/>
              <w:t>4895</w:t>
            </w:r>
            <w:r w:rsidRPr="001F1D86">
              <w:rPr>
                <w:szCs w:val="17"/>
              </w:rPr>
              <w:tab/>
              <w:t>0.94</w:t>
            </w:r>
          </w:p>
          <w:p w14:paraId="58A802E7" w14:textId="77777777" w:rsidR="001F1D86" w:rsidRPr="001F1D86" w:rsidRDefault="001F1D86" w:rsidP="001F1D86">
            <w:pPr>
              <w:pStyle w:val="TableText"/>
              <w:tabs>
                <w:tab w:val="left" w:pos="1500"/>
                <w:tab w:val="left" w:pos="2208"/>
                <w:tab w:val="left" w:pos="2917"/>
              </w:tabs>
              <w:rPr>
                <w:szCs w:val="17"/>
              </w:rPr>
            </w:pPr>
            <w:r w:rsidRPr="001F1D86">
              <w:rPr>
                <w:szCs w:val="17"/>
              </w:rPr>
              <w:t>Loam</w:t>
            </w:r>
            <w:r w:rsidRPr="001F1D86">
              <w:rPr>
                <w:szCs w:val="17"/>
              </w:rPr>
              <w:tab/>
              <w:t>9</w:t>
            </w:r>
            <w:r w:rsidRPr="001F1D86">
              <w:rPr>
                <w:szCs w:val="17"/>
              </w:rPr>
              <w:tab/>
              <w:t>10740</w:t>
            </w:r>
            <w:r w:rsidRPr="001F1D86">
              <w:rPr>
                <w:szCs w:val="17"/>
              </w:rPr>
              <w:tab/>
              <w:t>1.00</w:t>
            </w:r>
          </w:p>
          <w:p w14:paraId="40844F6E"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13</w:t>
            </w:r>
            <w:r w:rsidRPr="001F1D86">
              <w:rPr>
                <w:szCs w:val="17"/>
              </w:rPr>
              <w:tab/>
              <w:t>1882</w:t>
            </w:r>
            <w:r w:rsidRPr="001F1D86">
              <w:rPr>
                <w:szCs w:val="17"/>
              </w:rPr>
              <w:tab/>
              <w:t>0.75</w:t>
            </w:r>
          </w:p>
        </w:tc>
        <w:tc>
          <w:tcPr>
            <w:tcW w:w="1399" w:type="pct"/>
            <w:vMerge w:val="restart"/>
            <w:tcBorders>
              <w:left w:val="nil"/>
            </w:tcBorders>
          </w:tcPr>
          <w:p w14:paraId="2EE7FDF0" w14:textId="77777777" w:rsidR="001F1D86" w:rsidRPr="001F1D86" w:rsidRDefault="001F1D86" w:rsidP="001F1D86">
            <w:pPr>
              <w:pStyle w:val="TableText"/>
              <w:rPr>
                <w:szCs w:val="17"/>
              </w:rPr>
            </w:pPr>
            <w:r w:rsidRPr="001F1D86">
              <w:rPr>
                <w:szCs w:val="17"/>
              </w:rPr>
              <w:t>Pack 1987</w:t>
            </w:r>
          </w:p>
        </w:tc>
      </w:tr>
      <w:tr w:rsidR="001F1D86" w:rsidRPr="000B2FA7" w14:paraId="054F3760" w14:textId="77777777" w:rsidTr="00514EF5">
        <w:tc>
          <w:tcPr>
            <w:tcW w:w="505" w:type="pct"/>
            <w:vMerge/>
            <w:tcBorders>
              <w:right w:val="nil"/>
            </w:tcBorders>
          </w:tcPr>
          <w:p w14:paraId="1493D4B0" w14:textId="77777777" w:rsidR="001F1D86" w:rsidRPr="001F1D86" w:rsidRDefault="001F1D86" w:rsidP="001F1D86">
            <w:pPr>
              <w:pStyle w:val="TableText"/>
              <w:rPr>
                <w:szCs w:val="17"/>
              </w:rPr>
            </w:pPr>
          </w:p>
        </w:tc>
        <w:tc>
          <w:tcPr>
            <w:tcW w:w="1025" w:type="pct"/>
            <w:vMerge/>
            <w:tcBorders>
              <w:left w:val="nil"/>
              <w:right w:val="nil"/>
            </w:tcBorders>
          </w:tcPr>
          <w:p w14:paraId="06532235" w14:textId="77777777" w:rsidR="001F1D86" w:rsidRPr="001F1D86" w:rsidRDefault="001F1D86" w:rsidP="001F1D86">
            <w:pPr>
              <w:pStyle w:val="TableText"/>
              <w:rPr>
                <w:szCs w:val="17"/>
              </w:rPr>
            </w:pPr>
          </w:p>
        </w:tc>
        <w:tc>
          <w:tcPr>
            <w:tcW w:w="2072" w:type="pct"/>
            <w:tcBorders>
              <w:left w:val="nil"/>
              <w:right w:val="nil"/>
            </w:tcBorders>
          </w:tcPr>
          <w:p w14:paraId="47943209" w14:textId="3ACA07AA" w:rsidR="001F1D86" w:rsidRDefault="00375BCD" w:rsidP="001F1D86">
            <w:pPr>
              <w:pStyle w:val="TableText"/>
              <w:rPr>
                <w:szCs w:val="17"/>
              </w:rPr>
            </w:pPr>
            <w:r>
              <w:rPr>
                <w:szCs w:val="17"/>
              </w:rPr>
              <w:t>Geomean Kf 349 mL/g, 1/n 0.59 for ≤10% clay</w:t>
            </w:r>
          </w:p>
          <w:p w14:paraId="370CC15B" w14:textId="726E5BA7" w:rsidR="00375BCD" w:rsidRPr="001F1D86" w:rsidRDefault="00375BCD" w:rsidP="001F1D86">
            <w:pPr>
              <w:pStyle w:val="TableText"/>
              <w:rPr>
                <w:szCs w:val="17"/>
              </w:rPr>
            </w:pPr>
            <w:r>
              <w:rPr>
                <w:szCs w:val="17"/>
              </w:rPr>
              <w:t>Geomean Kf 2517 mL/g, 1/n 0.76 for &gt;10% clay</w:t>
            </w:r>
          </w:p>
        </w:tc>
        <w:tc>
          <w:tcPr>
            <w:tcW w:w="1399" w:type="pct"/>
            <w:vMerge/>
            <w:tcBorders>
              <w:left w:val="nil"/>
            </w:tcBorders>
          </w:tcPr>
          <w:p w14:paraId="7F629DDE" w14:textId="77777777" w:rsidR="001F1D86" w:rsidRPr="001F1D86" w:rsidRDefault="001F1D86" w:rsidP="001F1D86">
            <w:pPr>
              <w:pStyle w:val="TableText"/>
              <w:rPr>
                <w:szCs w:val="17"/>
              </w:rPr>
            </w:pPr>
          </w:p>
        </w:tc>
      </w:tr>
      <w:tr w:rsidR="001F1D86" w:rsidRPr="000B2FA7" w14:paraId="1E2DF1AA" w14:textId="77777777" w:rsidTr="00514EF5">
        <w:tc>
          <w:tcPr>
            <w:tcW w:w="505" w:type="pct"/>
            <w:vMerge/>
            <w:tcBorders>
              <w:right w:val="nil"/>
            </w:tcBorders>
          </w:tcPr>
          <w:p w14:paraId="4B0C1CBD" w14:textId="77777777" w:rsidR="001F1D86" w:rsidRPr="001F1D86" w:rsidRDefault="001F1D86" w:rsidP="001F1D86">
            <w:pPr>
              <w:pStyle w:val="TableText"/>
              <w:rPr>
                <w:szCs w:val="17"/>
              </w:rPr>
            </w:pPr>
          </w:p>
        </w:tc>
        <w:tc>
          <w:tcPr>
            <w:tcW w:w="1025" w:type="pct"/>
            <w:vMerge w:val="restart"/>
            <w:tcBorders>
              <w:left w:val="nil"/>
              <w:right w:val="nil"/>
            </w:tcBorders>
          </w:tcPr>
          <w:p w14:paraId="2AB767B6" w14:textId="77777777" w:rsidR="001F1D86" w:rsidRPr="001F1D86" w:rsidRDefault="001F1D86" w:rsidP="001F1D86">
            <w:pPr>
              <w:pStyle w:val="TableText"/>
              <w:rPr>
                <w:szCs w:val="17"/>
              </w:rPr>
            </w:pPr>
            <w:r w:rsidRPr="001F1D86">
              <w:rPr>
                <w:szCs w:val="17"/>
              </w:rPr>
              <w:t>Terrestrial field dissipation</w:t>
            </w:r>
          </w:p>
        </w:tc>
        <w:tc>
          <w:tcPr>
            <w:tcW w:w="2072" w:type="pct"/>
            <w:tcBorders>
              <w:left w:val="nil"/>
              <w:right w:val="nil"/>
            </w:tcBorders>
          </w:tcPr>
          <w:p w14:paraId="59127DEB" w14:textId="77777777" w:rsidR="001F1D86" w:rsidRPr="001F1D86" w:rsidRDefault="001F1D86" w:rsidP="001F1D86">
            <w:pPr>
              <w:pStyle w:val="TableText"/>
              <w:rPr>
                <w:szCs w:val="17"/>
              </w:rPr>
            </w:pPr>
            <w:r w:rsidRPr="001F1D86">
              <w:rPr>
                <w:szCs w:val="17"/>
              </w:rPr>
              <w:t>UK</w:t>
            </w:r>
            <w:r w:rsidRPr="001F1D86">
              <w:rPr>
                <w:szCs w:val="17"/>
              </w:rPr>
              <w:tab/>
              <w:t>SAC-WB 50%:</w:t>
            </w:r>
            <w:r w:rsidRPr="001F1D86">
              <w:rPr>
                <w:szCs w:val="17"/>
              </w:rPr>
              <w:tab/>
              <w:t>DT</w:t>
            </w:r>
            <w:r w:rsidRPr="001F1D86">
              <w:rPr>
                <w:szCs w:val="17"/>
                <w:vertAlign w:val="subscript"/>
              </w:rPr>
              <w:t>50</w:t>
            </w:r>
            <w:r w:rsidRPr="001F1D86">
              <w:rPr>
                <w:szCs w:val="17"/>
              </w:rPr>
              <w:t xml:space="preserve"> 41 years</w:t>
            </w:r>
          </w:p>
          <w:p w14:paraId="3575812E" w14:textId="77777777" w:rsidR="001F1D86" w:rsidRPr="001F1D86" w:rsidRDefault="001F1D86" w:rsidP="001F1D86">
            <w:pPr>
              <w:pStyle w:val="TableText"/>
              <w:rPr>
                <w:szCs w:val="17"/>
              </w:rPr>
            </w:pPr>
            <w:r w:rsidRPr="001F1D86">
              <w:rPr>
                <w:szCs w:val="17"/>
              </w:rPr>
              <w:t>UK</w:t>
            </w:r>
            <w:r w:rsidRPr="001F1D86">
              <w:rPr>
                <w:szCs w:val="17"/>
              </w:rPr>
              <w:tab/>
              <w:t>SAC-WB 110%:</w:t>
            </w:r>
            <w:r w:rsidRPr="001F1D86">
              <w:rPr>
                <w:szCs w:val="17"/>
              </w:rPr>
              <w:tab/>
              <w:t>DT</w:t>
            </w:r>
            <w:r w:rsidRPr="001F1D86">
              <w:rPr>
                <w:szCs w:val="17"/>
                <w:vertAlign w:val="subscript"/>
              </w:rPr>
              <w:t>50</w:t>
            </w:r>
            <w:r w:rsidRPr="001F1D86">
              <w:rPr>
                <w:szCs w:val="17"/>
              </w:rPr>
              <w:t xml:space="preserve"> 11 years</w:t>
            </w:r>
          </w:p>
          <w:p w14:paraId="77E98F42" w14:textId="77777777" w:rsidR="001F1D86" w:rsidRPr="001F1D86" w:rsidRDefault="001F1D86" w:rsidP="001F1D86">
            <w:pPr>
              <w:pStyle w:val="TableText"/>
              <w:rPr>
                <w:szCs w:val="17"/>
              </w:rPr>
            </w:pPr>
            <w:r w:rsidRPr="001F1D86">
              <w:rPr>
                <w:szCs w:val="17"/>
              </w:rPr>
              <w:t>UK</w:t>
            </w:r>
            <w:r w:rsidRPr="001F1D86">
              <w:rPr>
                <w:szCs w:val="17"/>
              </w:rPr>
              <w:tab/>
              <w:t>SAC-WB 400%:</w:t>
            </w:r>
            <w:r w:rsidRPr="001F1D86">
              <w:rPr>
                <w:szCs w:val="17"/>
              </w:rPr>
              <w:tab/>
              <w:t>DT</w:t>
            </w:r>
            <w:r w:rsidRPr="001F1D86">
              <w:rPr>
                <w:szCs w:val="17"/>
                <w:vertAlign w:val="subscript"/>
              </w:rPr>
              <w:t>50</w:t>
            </w:r>
            <w:r w:rsidRPr="001F1D86">
              <w:rPr>
                <w:szCs w:val="17"/>
              </w:rPr>
              <w:t xml:space="preserve"> 14 years</w:t>
            </w:r>
          </w:p>
        </w:tc>
        <w:tc>
          <w:tcPr>
            <w:tcW w:w="1399" w:type="pct"/>
            <w:tcBorders>
              <w:left w:val="nil"/>
            </w:tcBorders>
          </w:tcPr>
          <w:p w14:paraId="5629D71A" w14:textId="6EEC0F6D" w:rsidR="001F1D86" w:rsidRPr="001F1D86" w:rsidRDefault="001F1D86" w:rsidP="001F1D86">
            <w:pPr>
              <w:pStyle w:val="TableText"/>
              <w:rPr>
                <w:szCs w:val="17"/>
              </w:rPr>
            </w:pPr>
            <w:r w:rsidRPr="001F1D86">
              <w:rPr>
                <w:szCs w:val="17"/>
              </w:rPr>
              <w:t xml:space="preserve">Cole et al. 1991, Dyson &amp; Chapman </w:t>
            </w:r>
            <w:r w:rsidR="00A518EB" w:rsidRPr="001F1D86">
              <w:rPr>
                <w:szCs w:val="17"/>
              </w:rPr>
              <w:t>199</w:t>
            </w:r>
            <w:r w:rsidR="00A518EB">
              <w:rPr>
                <w:szCs w:val="17"/>
              </w:rPr>
              <w:t>1</w:t>
            </w:r>
          </w:p>
        </w:tc>
      </w:tr>
      <w:tr w:rsidR="001F1D86" w:rsidRPr="000B2FA7" w14:paraId="4AAA5C67" w14:textId="77777777" w:rsidTr="00514EF5">
        <w:tc>
          <w:tcPr>
            <w:tcW w:w="505" w:type="pct"/>
            <w:vMerge/>
            <w:tcBorders>
              <w:right w:val="nil"/>
            </w:tcBorders>
          </w:tcPr>
          <w:p w14:paraId="639CCBD7" w14:textId="77777777" w:rsidR="001F1D86" w:rsidRPr="001F1D86" w:rsidRDefault="001F1D86" w:rsidP="001F1D86">
            <w:pPr>
              <w:pStyle w:val="TableText"/>
              <w:rPr>
                <w:szCs w:val="17"/>
              </w:rPr>
            </w:pPr>
          </w:p>
        </w:tc>
        <w:tc>
          <w:tcPr>
            <w:tcW w:w="1025" w:type="pct"/>
            <w:vMerge/>
            <w:tcBorders>
              <w:left w:val="nil"/>
              <w:right w:val="nil"/>
            </w:tcBorders>
          </w:tcPr>
          <w:p w14:paraId="1144E315" w14:textId="77777777" w:rsidR="001F1D86" w:rsidRPr="001F1D86" w:rsidRDefault="001F1D86" w:rsidP="001F1D86">
            <w:pPr>
              <w:pStyle w:val="TableText"/>
              <w:rPr>
                <w:szCs w:val="17"/>
              </w:rPr>
            </w:pPr>
          </w:p>
        </w:tc>
        <w:tc>
          <w:tcPr>
            <w:tcW w:w="2072" w:type="pct"/>
            <w:tcBorders>
              <w:left w:val="nil"/>
              <w:right w:val="nil"/>
            </w:tcBorders>
          </w:tcPr>
          <w:p w14:paraId="1AC8464B" w14:textId="77777777" w:rsidR="001F1D86" w:rsidRPr="001F1D86" w:rsidRDefault="001F1D86" w:rsidP="001F1D86">
            <w:pPr>
              <w:pStyle w:val="TableText"/>
              <w:rPr>
                <w:szCs w:val="17"/>
              </w:rPr>
            </w:pPr>
            <w:r w:rsidRPr="001F1D86">
              <w:rPr>
                <w:szCs w:val="17"/>
              </w:rPr>
              <w:t>USA</w:t>
            </w:r>
            <w:r w:rsidRPr="001F1D86">
              <w:rPr>
                <w:szCs w:val="17"/>
              </w:rPr>
              <w:tab/>
              <w:t>SAC-WB 50%:</w:t>
            </w:r>
            <w:r w:rsidRPr="001F1D86">
              <w:rPr>
                <w:szCs w:val="17"/>
              </w:rPr>
              <w:tab/>
              <w:t>DT</w:t>
            </w:r>
            <w:r w:rsidRPr="001F1D86">
              <w:rPr>
                <w:szCs w:val="17"/>
                <w:vertAlign w:val="subscript"/>
              </w:rPr>
              <w:t>50</w:t>
            </w:r>
            <w:r w:rsidRPr="001F1D86">
              <w:rPr>
                <w:szCs w:val="17"/>
              </w:rPr>
              <w:t xml:space="preserve"> 3.6 years</w:t>
            </w:r>
          </w:p>
          <w:p w14:paraId="103D5E6D" w14:textId="77777777" w:rsidR="001F1D86" w:rsidRPr="001F1D86" w:rsidRDefault="001F1D86" w:rsidP="001F1D86">
            <w:pPr>
              <w:pStyle w:val="TableText"/>
              <w:rPr>
                <w:szCs w:val="17"/>
              </w:rPr>
            </w:pPr>
            <w:r w:rsidRPr="001F1D86">
              <w:rPr>
                <w:szCs w:val="17"/>
              </w:rPr>
              <w:t>USA</w:t>
            </w:r>
            <w:r w:rsidRPr="001F1D86">
              <w:rPr>
                <w:szCs w:val="17"/>
              </w:rPr>
              <w:tab/>
              <w:t>SAC-WB 100%:</w:t>
            </w:r>
            <w:r w:rsidRPr="001F1D86">
              <w:rPr>
                <w:szCs w:val="17"/>
              </w:rPr>
              <w:tab/>
              <w:t>DT</w:t>
            </w:r>
            <w:r w:rsidRPr="001F1D86">
              <w:rPr>
                <w:szCs w:val="17"/>
                <w:vertAlign w:val="subscript"/>
              </w:rPr>
              <w:t>50</w:t>
            </w:r>
            <w:r w:rsidRPr="001F1D86">
              <w:rPr>
                <w:szCs w:val="17"/>
              </w:rPr>
              <w:t xml:space="preserve"> 3.0 years</w:t>
            </w:r>
          </w:p>
          <w:p w14:paraId="1D5C3166" w14:textId="77777777" w:rsidR="001F1D86" w:rsidRPr="001F1D86" w:rsidRDefault="001F1D86" w:rsidP="001F1D86">
            <w:pPr>
              <w:pStyle w:val="TableText"/>
              <w:rPr>
                <w:szCs w:val="17"/>
              </w:rPr>
            </w:pPr>
            <w:r w:rsidRPr="001F1D86">
              <w:rPr>
                <w:szCs w:val="17"/>
              </w:rPr>
              <w:t>USA</w:t>
            </w:r>
            <w:r w:rsidRPr="001F1D86">
              <w:rPr>
                <w:szCs w:val="17"/>
              </w:rPr>
              <w:tab/>
              <w:t>SAC-WB 200%:</w:t>
            </w:r>
            <w:r w:rsidRPr="001F1D86">
              <w:rPr>
                <w:szCs w:val="17"/>
              </w:rPr>
              <w:tab/>
              <w:t>DT</w:t>
            </w:r>
            <w:r w:rsidRPr="001F1D86">
              <w:rPr>
                <w:szCs w:val="17"/>
                <w:vertAlign w:val="subscript"/>
              </w:rPr>
              <w:t>50</w:t>
            </w:r>
            <w:r w:rsidRPr="001F1D86">
              <w:rPr>
                <w:szCs w:val="17"/>
              </w:rPr>
              <w:t xml:space="preserve"> 1.2 years</w:t>
            </w:r>
          </w:p>
        </w:tc>
        <w:tc>
          <w:tcPr>
            <w:tcW w:w="1399" w:type="pct"/>
            <w:tcBorders>
              <w:left w:val="nil"/>
            </w:tcBorders>
          </w:tcPr>
          <w:p w14:paraId="74DFD990" w14:textId="77777777" w:rsidR="001F1D86" w:rsidRPr="001F1D86" w:rsidRDefault="001F1D86" w:rsidP="001F1D86">
            <w:pPr>
              <w:pStyle w:val="TableText"/>
              <w:rPr>
                <w:szCs w:val="17"/>
              </w:rPr>
            </w:pPr>
            <w:r w:rsidRPr="001F1D86">
              <w:rPr>
                <w:szCs w:val="17"/>
              </w:rPr>
              <w:t>Dyson et al. 1995a, 1995b</w:t>
            </w:r>
          </w:p>
        </w:tc>
      </w:tr>
      <w:tr w:rsidR="001F1D86" w:rsidRPr="000B2FA7" w14:paraId="606CD794" w14:textId="77777777" w:rsidTr="00514EF5">
        <w:tc>
          <w:tcPr>
            <w:tcW w:w="505" w:type="pct"/>
            <w:vMerge/>
            <w:tcBorders>
              <w:right w:val="nil"/>
            </w:tcBorders>
          </w:tcPr>
          <w:p w14:paraId="04A7B543" w14:textId="77777777" w:rsidR="001F1D86" w:rsidRPr="001F1D86" w:rsidRDefault="001F1D86" w:rsidP="001F1D86">
            <w:pPr>
              <w:pStyle w:val="TableText"/>
              <w:rPr>
                <w:szCs w:val="17"/>
              </w:rPr>
            </w:pPr>
          </w:p>
        </w:tc>
        <w:tc>
          <w:tcPr>
            <w:tcW w:w="1025" w:type="pct"/>
            <w:vMerge/>
            <w:tcBorders>
              <w:left w:val="nil"/>
              <w:right w:val="nil"/>
            </w:tcBorders>
          </w:tcPr>
          <w:p w14:paraId="30E176A6" w14:textId="77777777" w:rsidR="001F1D86" w:rsidRPr="001F1D86" w:rsidRDefault="001F1D86" w:rsidP="001F1D86">
            <w:pPr>
              <w:pStyle w:val="TableText"/>
              <w:rPr>
                <w:szCs w:val="17"/>
              </w:rPr>
            </w:pPr>
          </w:p>
        </w:tc>
        <w:tc>
          <w:tcPr>
            <w:tcW w:w="2072" w:type="pct"/>
            <w:tcBorders>
              <w:left w:val="nil"/>
              <w:right w:val="nil"/>
            </w:tcBorders>
          </w:tcPr>
          <w:p w14:paraId="549197B1" w14:textId="77777777" w:rsidR="001F1D86" w:rsidRPr="001F1D86" w:rsidRDefault="001F1D86" w:rsidP="001F1D86">
            <w:pPr>
              <w:pStyle w:val="TableText"/>
              <w:rPr>
                <w:szCs w:val="17"/>
              </w:rPr>
            </w:pPr>
            <w:r w:rsidRPr="001F1D86">
              <w:rPr>
                <w:szCs w:val="17"/>
              </w:rPr>
              <w:t>USA</w:t>
            </w:r>
            <w:r w:rsidRPr="001F1D86">
              <w:rPr>
                <w:szCs w:val="17"/>
              </w:rPr>
              <w:tab/>
              <w:t>potato:</w:t>
            </w:r>
            <w:r w:rsidRPr="001F1D86">
              <w:rPr>
                <w:szCs w:val="17"/>
              </w:rPr>
              <w:tab/>
              <w:t>stable</w:t>
            </w:r>
          </w:p>
        </w:tc>
        <w:tc>
          <w:tcPr>
            <w:tcW w:w="1399" w:type="pct"/>
            <w:tcBorders>
              <w:left w:val="nil"/>
            </w:tcBorders>
          </w:tcPr>
          <w:p w14:paraId="707555E3" w14:textId="77777777" w:rsidR="001F1D86" w:rsidRPr="001F1D86" w:rsidRDefault="001F1D86" w:rsidP="001F1D86">
            <w:pPr>
              <w:pStyle w:val="TableText"/>
              <w:rPr>
                <w:szCs w:val="17"/>
              </w:rPr>
            </w:pPr>
            <w:r w:rsidRPr="001F1D86">
              <w:rPr>
                <w:szCs w:val="17"/>
              </w:rPr>
              <w:t>Fujie 1991</w:t>
            </w:r>
          </w:p>
        </w:tc>
      </w:tr>
      <w:tr w:rsidR="00296F32" w:rsidRPr="000B2FA7" w14:paraId="3CC09186" w14:textId="77777777" w:rsidTr="00514EF5">
        <w:tc>
          <w:tcPr>
            <w:tcW w:w="505" w:type="pct"/>
            <w:tcBorders>
              <w:right w:val="nil"/>
            </w:tcBorders>
          </w:tcPr>
          <w:p w14:paraId="4A973B2E" w14:textId="77777777" w:rsidR="00296F32" w:rsidRPr="001F1D86" w:rsidRDefault="00296F32" w:rsidP="001F1D86">
            <w:pPr>
              <w:pStyle w:val="TableText"/>
              <w:rPr>
                <w:szCs w:val="17"/>
              </w:rPr>
            </w:pPr>
            <w:r w:rsidRPr="001F1D86">
              <w:rPr>
                <w:szCs w:val="17"/>
              </w:rPr>
              <w:t>TOPPS</w:t>
            </w:r>
          </w:p>
        </w:tc>
        <w:tc>
          <w:tcPr>
            <w:tcW w:w="1025" w:type="pct"/>
            <w:tcBorders>
              <w:left w:val="nil"/>
              <w:right w:val="nil"/>
            </w:tcBorders>
          </w:tcPr>
          <w:p w14:paraId="26C63B90" w14:textId="77777777" w:rsidR="00296F32" w:rsidRPr="001F1D86" w:rsidRDefault="00296F32" w:rsidP="001F1D86">
            <w:pPr>
              <w:pStyle w:val="TableText"/>
              <w:rPr>
                <w:szCs w:val="17"/>
              </w:rPr>
            </w:pPr>
            <w:r w:rsidRPr="001F1D86">
              <w:rPr>
                <w:szCs w:val="17"/>
              </w:rPr>
              <w:t xml:space="preserve">Aerobic laboratory soil </w:t>
            </w:r>
          </w:p>
        </w:tc>
        <w:tc>
          <w:tcPr>
            <w:tcW w:w="2072" w:type="pct"/>
            <w:tcBorders>
              <w:left w:val="nil"/>
              <w:right w:val="nil"/>
            </w:tcBorders>
          </w:tcPr>
          <w:p w14:paraId="1DE7D3B7" w14:textId="77777777" w:rsidR="00296F32" w:rsidRPr="001F1D86" w:rsidRDefault="00296F32" w:rsidP="001F1D86">
            <w:pPr>
              <w:pStyle w:val="TableText"/>
              <w:tabs>
                <w:tab w:val="left" w:pos="1500"/>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28 d</w:t>
            </w:r>
          </w:p>
          <w:p w14:paraId="61B1C322" w14:textId="77777777" w:rsidR="00296F32" w:rsidRPr="001F1D86" w:rsidRDefault="00296F32" w:rsidP="001F1D86">
            <w:pPr>
              <w:pStyle w:val="TableText"/>
              <w:tabs>
                <w:tab w:val="left" w:pos="1500"/>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750 d</w:t>
            </w:r>
          </w:p>
          <w:p w14:paraId="7B97DD45" w14:textId="77777777" w:rsidR="00296F32" w:rsidRPr="001F1D86" w:rsidRDefault="00296F32" w:rsidP="001F1D86">
            <w:pPr>
              <w:pStyle w:val="TableText"/>
              <w:tabs>
                <w:tab w:val="left" w:pos="1500"/>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159 d</w:t>
            </w:r>
          </w:p>
          <w:p w14:paraId="0C108BD1" w14:textId="77777777" w:rsidR="00296F32" w:rsidRPr="001F1D86" w:rsidRDefault="00296F32" w:rsidP="001F1D86">
            <w:pPr>
              <w:pStyle w:val="TableText"/>
              <w:tabs>
                <w:tab w:val="left" w:pos="1500"/>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757 d</w:t>
            </w:r>
          </w:p>
          <w:p w14:paraId="71D08C31" w14:textId="77777777" w:rsidR="00296F32" w:rsidRPr="001F1D86" w:rsidRDefault="00296F32" w:rsidP="001F1D86">
            <w:pPr>
              <w:pStyle w:val="TableText"/>
              <w:tabs>
                <w:tab w:val="left" w:pos="1500"/>
              </w:tabs>
              <w:rPr>
                <w:szCs w:val="17"/>
              </w:rPr>
            </w:pPr>
            <w:r w:rsidRPr="001F1D86">
              <w:rPr>
                <w:szCs w:val="17"/>
              </w:rPr>
              <w:t>Geomean DT</w:t>
            </w:r>
            <w:r w:rsidRPr="001F1D86">
              <w:rPr>
                <w:szCs w:val="17"/>
                <w:vertAlign w:val="subscript"/>
              </w:rPr>
              <w:t>50</w:t>
            </w:r>
            <w:r w:rsidRPr="001F1D86">
              <w:rPr>
                <w:szCs w:val="17"/>
              </w:rPr>
              <w:t xml:space="preserve"> 224 d</w:t>
            </w:r>
          </w:p>
        </w:tc>
        <w:tc>
          <w:tcPr>
            <w:tcW w:w="1399" w:type="pct"/>
            <w:tcBorders>
              <w:left w:val="nil"/>
            </w:tcBorders>
          </w:tcPr>
          <w:p w14:paraId="689F27A3" w14:textId="77777777" w:rsidR="00296F32" w:rsidRPr="001F1D86" w:rsidRDefault="00296F32" w:rsidP="001F1D86">
            <w:pPr>
              <w:pStyle w:val="TableText"/>
              <w:rPr>
                <w:szCs w:val="17"/>
              </w:rPr>
            </w:pPr>
            <w:r w:rsidRPr="001F1D86">
              <w:rPr>
                <w:szCs w:val="17"/>
              </w:rPr>
              <w:t>Dixon &amp; Dove 2012, Patterson 2012</w:t>
            </w:r>
          </w:p>
        </w:tc>
      </w:tr>
      <w:tr w:rsidR="00296F32" w:rsidRPr="000B2FA7" w14:paraId="40F4A2C8" w14:textId="77777777" w:rsidTr="00514EF5">
        <w:tc>
          <w:tcPr>
            <w:tcW w:w="505" w:type="pct"/>
            <w:tcBorders>
              <w:right w:val="nil"/>
            </w:tcBorders>
          </w:tcPr>
          <w:p w14:paraId="429B9E71" w14:textId="75DB3BDF" w:rsidR="00296F32" w:rsidRPr="001F1D86" w:rsidRDefault="00727842" w:rsidP="001F1D86">
            <w:pPr>
              <w:pStyle w:val="TableText"/>
              <w:keepNext/>
              <w:keepLines/>
              <w:rPr>
                <w:szCs w:val="17"/>
              </w:rPr>
            </w:pPr>
            <w:r w:rsidRPr="001F1D86">
              <w:rPr>
                <w:szCs w:val="17"/>
              </w:rPr>
              <w:t>TOPPS</w:t>
            </w:r>
          </w:p>
        </w:tc>
        <w:tc>
          <w:tcPr>
            <w:tcW w:w="1025" w:type="pct"/>
            <w:tcBorders>
              <w:left w:val="nil"/>
              <w:right w:val="nil"/>
            </w:tcBorders>
          </w:tcPr>
          <w:p w14:paraId="671A29F1" w14:textId="77777777" w:rsidR="00296F32" w:rsidRPr="001F1D86" w:rsidRDefault="00296F32" w:rsidP="001F1D86">
            <w:pPr>
              <w:pStyle w:val="TableText"/>
              <w:keepNext/>
              <w:keepLines/>
              <w:rPr>
                <w:szCs w:val="17"/>
              </w:rPr>
            </w:pPr>
            <w:r w:rsidRPr="001F1D86">
              <w:rPr>
                <w:szCs w:val="17"/>
              </w:rPr>
              <w:t>Adsorption/ desorption</w:t>
            </w:r>
          </w:p>
        </w:tc>
        <w:tc>
          <w:tcPr>
            <w:tcW w:w="2072" w:type="pct"/>
            <w:tcBorders>
              <w:left w:val="nil"/>
              <w:right w:val="nil"/>
            </w:tcBorders>
          </w:tcPr>
          <w:p w14:paraId="71C7FB08"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u w:val="single"/>
              </w:rPr>
              <w:t>Soil</w:t>
            </w:r>
            <w:r w:rsidRPr="001F1D86">
              <w:rPr>
                <w:szCs w:val="17"/>
              </w:rPr>
              <w:tab/>
            </w:r>
            <w:r w:rsidRPr="001F1D86">
              <w:rPr>
                <w:szCs w:val="17"/>
                <w:u w:val="single"/>
              </w:rPr>
              <w:t>%OC</w:t>
            </w:r>
            <w:r w:rsidRPr="001F1D86">
              <w:rPr>
                <w:szCs w:val="17"/>
              </w:rPr>
              <w:tab/>
            </w:r>
            <w:r w:rsidRPr="001F1D86">
              <w:rPr>
                <w:szCs w:val="17"/>
                <w:u w:val="single"/>
              </w:rPr>
              <w:t>Kf</w:t>
            </w:r>
            <w:r w:rsidRPr="001F1D86">
              <w:rPr>
                <w:szCs w:val="17"/>
              </w:rPr>
              <w:tab/>
            </w:r>
            <w:r w:rsidRPr="001F1D86">
              <w:rPr>
                <w:szCs w:val="17"/>
                <w:u w:val="single"/>
              </w:rPr>
              <w:t>1/n</w:t>
            </w:r>
          </w:p>
          <w:p w14:paraId="1FF6651C"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Loam</w:t>
            </w:r>
            <w:r w:rsidRPr="001F1D86">
              <w:rPr>
                <w:szCs w:val="17"/>
              </w:rPr>
              <w:tab/>
              <w:t>2.1</w:t>
            </w:r>
            <w:r w:rsidRPr="001F1D86">
              <w:rPr>
                <w:szCs w:val="17"/>
              </w:rPr>
              <w:tab/>
              <w:t>3.4</w:t>
            </w:r>
            <w:r w:rsidRPr="001F1D86">
              <w:rPr>
                <w:szCs w:val="17"/>
              </w:rPr>
              <w:tab/>
              <w:t>0.72</w:t>
            </w:r>
          </w:p>
          <w:p w14:paraId="4A9198BF"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Sandy clay loam</w:t>
            </w:r>
            <w:r w:rsidRPr="001F1D86">
              <w:rPr>
                <w:szCs w:val="17"/>
              </w:rPr>
              <w:tab/>
              <w:t>2.3</w:t>
            </w:r>
            <w:r w:rsidRPr="001F1D86">
              <w:rPr>
                <w:szCs w:val="17"/>
              </w:rPr>
              <w:tab/>
              <w:t>43</w:t>
            </w:r>
            <w:r w:rsidRPr="001F1D86">
              <w:rPr>
                <w:szCs w:val="17"/>
              </w:rPr>
              <w:tab/>
              <w:t>0.74</w:t>
            </w:r>
          </w:p>
          <w:p w14:paraId="4E9DAC5B"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Silty clay</w:t>
            </w:r>
            <w:r w:rsidRPr="001F1D86">
              <w:rPr>
                <w:szCs w:val="17"/>
              </w:rPr>
              <w:tab/>
              <w:t>0.8</w:t>
            </w:r>
            <w:r w:rsidRPr="001F1D86">
              <w:rPr>
                <w:szCs w:val="17"/>
              </w:rPr>
              <w:tab/>
              <w:t>52</w:t>
            </w:r>
            <w:r w:rsidRPr="001F1D86">
              <w:rPr>
                <w:szCs w:val="17"/>
              </w:rPr>
              <w:tab/>
              <w:t>0.54</w:t>
            </w:r>
          </w:p>
          <w:p w14:paraId="11E9F827"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Loam</w:t>
            </w:r>
            <w:r w:rsidRPr="001F1D86">
              <w:rPr>
                <w:szCs w:val="17"/>
              </w:rPr>
              <w:tab/>
              <w:t>1.5</w:t>
            </w:r>
            <w:r w:rsidRPr="001F1D86">
              <w:rPr>
                <w:szCs w:val="17"/>
              </w:rPr>
              <w:tab/>
              <w:t>207</w:t>
            </w:r>
            <w:r w:rsidRPr="001F1D86">
              <w:rPr>
                <w:szCs w:val="17"/>
              </w:rPr>
              <w:tab/>
              <w:t>0.56</w:t>
            </w:r>
          </w:p>
          <w:p w14:paraId="57E1A285"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Sandy loam</w:t>
            </w:r>
            <w:r w:rsidRPr="001F1D86">
              <w:rPr>
                <w:szCs w:val="17"/>
              </w:rPr>
              <w:tab/>
              <w:t>2.5</w:t>
            </w:r>
            <w:r w:rsidRPr="001F1D86">
              <w:rPr>
                <w:szCs w:val="17"/>
              </w:rPr>
              <w:tab/>
              <w:t>430</w:t>
            </w:r>
            <w:r w:rsidRPr="001F1D86">
              <w:rPr>
                <w:szCs w:val="17"/>
              </w:rPr>
              <w:tab/>
              <w:t>0.57</w:t>
            </w:r>
          </w:p>
          <w:p w14:paraId="0624A48F"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Mean Kf 147 mL/g, 1/n 0.63</w:t>
            </w:r>
          </w:p>
        </w:tc>
        <w:tc>
          <w:tcPr>
            <w:tcW w:w="1399" w:type="pct"/>
            <w:tcBorders>
              <w:left w:val="nil"/>
            </w:tcBorders>
          </w:tcPr>
          <w:p w14:paraId="46C9A611" w14:textId="77777777" w:rsidR="00296F32" w:rsidRPr="001F1D86" w:rsidRDefault="00296F32" w:rsidP="001F1D86">
            <w:pPr>
              <w:pStyle w:val="TableText"/>
              <w:keepNext/>
              <w:keepLines/>
              <w:rPr>
                <w:szCs w:val="17"/>
              </w:rPr>
            </w:pPr>
            <w:r w:rsidRPr="001F1D86">
              <w:rPr>
                <w:szCs w:val="17"/>
              </w:rPr>
              <w:t>Dixon &amp; Gilbert 2012c</w:t>
            </w:r>
          </w:p>
        </w:tc>
      </w:tr>
    </w:tbl>
    <w:p w14:paraId="58EAFEC5" w14:textId="13A9659E" w:rsidR="00296F32" w:rsidRPr="00247DE6" w:rsidRDefault="005B7DDF" w:rsidP="00247DE6">
      <w:pPr>
        <w:pStyle w:val="Caption"/>
      </w:pPr>
      <w:bookmarkStart w:id="483" w:name="_Toc232589638"/>
      <w:r w:rsidRPr="00247DE6">
        <w:t xml:space="preserve">Table </w:t>
      </w:r>
      <w:fldSimple w:instr=" SEQ Table \* ARABIC ">
        <w:r w:rsidR="00247DE6">
          <w:rPr>
            <w:noProof/>
          </w:rPr>
          <w:t>43</w:t>
        </w:r>
      </w:fldSimple>
      <w:r w:rsidRPr="00247DE6">
        <w:t xml:space="preserve">: </w:t>
      </w:r>
      <w:r w:rsidR="00294CD3" w:rsidRPr="00247DE6">
        <w:t xml:space="preserve">Diquat – </w:t>
      </w:r>
      <w:r w:rsidR="001F1D86" w:rsidRPr="00247DE6">
        <w:t>f</w:t>
      </w:r>
      <w:r w:rsidR="00296F32" w:rsidRPr="00247DE6">
        <w:t>ate and behaviour in water and sediment</w:t>
      </w:r>
      <w:bookmarkEnd w:id="483"/>
    </w:p>
    <w:tbl>
      <w:tblPr>
        <w:tblW w:w="5003"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1"/>
        <w:gridCol w:w="2153"/>
        <w:gridCol w:w="4596"/>
        <w:gridCol w:w="2008"/>
      </w:tblGrid>
      <w:tr w:rsidR="00D722D0" w:rsidRPr="000B2FA7" w14:paraId="19372755" w14:textId="77777777" w:rsidTr="004F7E0E">
        <w:trPr>
          <w:tblHeader/>
        </w:trPr>
        <w:tc>
          <w:tcPr>
            <w:tcW w:w="513" w:type="pct"/>
            <w:tcBorders>
              <w:right w:val="nil"/>
            </w:tcBorders>
            <w:shd w:val="clear" w:color="auto" w:fill="5C2946"/>
          </w:tcPr>
          <w:p w14:paraId="5DE4D38B" w14:textId="77777777" w:rsidR="00D722D0" w:rsidRPr="001F1D86" w:rsidRDefault="00D722D0" w:rsidP="004F7E0E">
            <w:pPr>
              <w:pStyle w:val="TableHead"/>
            </w:pPr>
            <w:r w:rsidRPr="001F1D86">
              <w:t>Substance</w:t>
            </w:r>
          </w:p>
        </w:tc>
        <w:tc>
          <w:tcPr>
            <w:tcW w:w="1103" w:type="pct"/>
            <w:tcBorders>
              <w:left w:val="nil"/>
              <w:right w:val="nil"/>
            </w:tcBorders>
            <w:shd w:val="clear" w:color="auto" w:fill="5C2946"/>
          </w:tcPr>
          <w:p w14:paraId="2E94618D" w14:textId="77777777" w:rsidR="00D722D0" w:rsidRPr="001F1D86" w:rsidRDefault="00D722D0" w:rsidP="004F7E0E">
            <w:pPr>
              <w:pStyle w:val="TableHead"/>
            </w:pPr>
            <w:r w:rsidRPr="001F1D86">
              <w:t>Study</w:t>
            </w:r>
          </w:p>
        </w:tc>
        <w:tc>
          <w:tcPr>
            <w:tcW w:w="2355" w:type="pct"/>
            <w:tcBorders>
              <w:left w:val="nil"/>
              <w:right w:val="nil"/>
            </w:tcBorders>
            <w:shd w:val="clear" w:color="auto" w:fill="5C2946"/>
          </w:tcPr>
          <w:p w14:paraId="0D6F20D6" w14:textId="77777777" w:rsidR="00D722D0" w:rsidRPr="001F1D86" w:rsidRDefault="00D722D0" w:rsidP="004F7E0E">
            <w:pPr>
              <w:pStyle w:val="TableHead"/>
            </w:pPr>
            <w:r w:rsidRPr="001F1D86">
              <w:t>Result</w:t>
            </w:r>
          </w:p>
        </w:tc>
        <w:tc>
          <w:tcPr>
            <w:tcW w:w="1029" w:type="pct"/>
            <w:tcBorders>
              <w:left w:val="nil"/>
            </w:tcBorders>
            <w:shd w:val="clear" w:color="auto" w:fill="5C2946"/>
          </w:tcPr>
          <w:p w14:paraId="7B4B7792" w14:textId="77777777" w:rsidR="00D722D0" w:rsidRPr="001F1D86" w:rsidRDefault="00D722D0" w:rsidP="004F7E0E">
            <w:pPr>
              <w:pStyle w:val="TableHead"/>
            </w:pPr>
            <w:r w:rsidRPr="001F1D86">
              <w:t>Reference</w:t>
            </w:r>
          </w:p>
        </w:tc>
      </w:tr>
      <w:tr w:rsidR="00D722D0" w:rsidRPr="000B2FA7" w14:paraId="67930800" w14:textId="77777777" w:rsidTr="004F7E0E">
        <w:tc>
          <w:tcPr>
            <w:tcW w:w="513" w:type="pct"/>
            <w:vMerge w:val="restart"/>
            <w:tcBorders>
              <w:right w:val="nil"/>
            </w:tcBorders>
          </w:tcPr>
          <w:p w14:paraId="73ECB521" w14:textId="77777777" w:rsidR="00D722D0" w:rsidRPr="001F1D86" w:rsidRDefault="00D722D0" w:rsidP="004F7E0E">
            <w:pPr>
              <w:pStyle w:val="TableText"/>
              <w:rPr>
                <w:szCs w:val="17"/>
              </w:rPr>
            </w:pPr>
            <w:r w:rsidRPr="001F1D86">
              <w:rPr>
                <w:szCs w:val="17"/>
              </w:rPr>
              <w:t>Diquat</w:t>
            </w:r>
          </w:p>
        </w:tc>
        <w:tc>
          <w:tcPr>
            <w:tcW w:w="1103" w:type="pct"/>
            <w:tcBorders>
              <w:left w:val="nil"/>
              <w:right w:val="nil"/>
            </w:tcBorders>
          </w:tcPr>
          <w:p w14:paraId="5AED973E" w14:textId="77777777" w:rsidR="00D722D0" w:rsidRPr="001F1D86" w:rsidRDefault="00D722D0" w:rsidP="004F7E0E">
            <w:pPr>
              <w:pStyle w:val="TableText"/>
              <w:rPr>
                <w:szCs w:val="17"/>
              </w:rPr>
            </w:pPr>
            <w:r w:rsidRPr="001F1D86">
              <w:rPr>
                <w:szCs w:val="17"/>
              </w:rPr>
              <w:t>Hydrolysis</w:t>
            </w:r>
          </w:p>
        </w:tc>
        <w:tc>
          <w:tcPr>
            <w:tcW w:w="2355" w:type="pct"/>
            <w:tcBorders>
              <w:left w:val="nil"/>
              <w:right w:val="nil"/>
            </w:tcBorders>
          </w:tcPr>
          <w:p w14:paraId="67D000DC" w14:textId="77777777" w:rsidR="00D722D0" w:rsidRPr="001F1D86" w:rsidRDefault="00D722D0" w:rsidP="004F7E0E">
            <w:pPr>
              <w:pStyle w:val="TableText"/>
              <w:rPr>
                <w:szCs w:val="17"/>
              </w:rPr>
            </w:pPr>
            <w:r w:rsidRPr="001F1D86">
              <w:rPr>
                <w:szCs w:val="17"/>
              </w:rPr>
              <w:t>pH 4, 50°C: stable</w:t>
            </w:r>
          </w:p>
          <w:p w14:paraId="31BDE1DF" w14:textId="77777777" w:rsidR="00D722D0" w:rsidRPr="001F1D86" w:rsidRDefault="00D722D0" w:rsidP="004F7E0E">
            <w:pPr>
              <w:pStyle w:val="TableText"/>
              <w:rPr>
                <w:szCs w:val="17"/>
              </w:rPr>
            </w:pPr>
            <w:r w:rsidRPr="001F1D86">
              <w:rPr>
                <w:szCs w:val="17"/>
              </w:rPr>
              <w:t>pH 7, 50°C: stable</w:t>
            </w:r>
          </w:p>
          <w:p w14:paraId="5C8EFBB5" w14:textId="77777777" w:rsidR="00D722D0" w:rsidRPr="001F1D86" w:rsidRDefault="00D722D0" w:rsidP="004F7E0E">
            <w:pPr>
              <w:pStyle w:val="TableText"/>
              <w:rPr>
                <w:szCs w:val="17"/>
              </w:rPr>
            </w:pPr>
            <w:r w:rsidRPr="001F1D86">
              <w:rPr>
                <w:szCs w:val="17"/>
              </w:rPr>
              <w:lastRenderedPageBreak/>
              <w:t>pH 9, 50°C: stable</w:t>
            </w:r>
          </w:p>
        </w:tc>
        <w:tc>
          <w:tcPr>
            <w:tcW w:w="1029" w:type="pct"/>
            <w:tcBorders>
              <w:left w:val="nil"/>
            </w:tcBorders>
          </w:tcPr>
          <w:p w14:paraId="745B2478" w14:textId="77777777" w:rsidR="00D722D0" w:rsidRPr="001F1D86" w:rsidRDefault="00D722D0" w:rsidP="004F7E0E">
            <w:pPr>
              <w:pStyle w:val="TableText"/>
              <w:rPr>
                <w:szCs w:val="17"/>
              </w:rPr>
            </w:pPr>
            <w:r w:rsidRPr="001F1D86">
              <w:rPr>
                <w:szCs w:val="17"/>
              </w:rPr>
              <w:lastRenderedPageBreak/>
              <w:t>Dixon &amp; Alderman 2012, White 2010b</w:t>
            </w:r>
          </w:p>
        </w:tc>
      </w:tr>
      <w:tr w:rsidR="00D722D0" w:rsidRPr="000B2FA7" w14:paraId="65D90DF6" w14:textId="77777777" w:rsidTr="004F7E0E">
        <w:tc>
          <w:tcPr>
            <w:tcW w:w="513" w:type="pct"/>
            <w:vMerge/>
            <w:tcBorders>
              <w:right w:val="nil"/>
            </w:tcBorders>
          </w:tcPr>
          <w:p w14:paraId="0EA6E44F" w14:textId="77777777" w:rsidR="00D722D0" w:rsidRPr="001F1D86" w:rsidRDefault="00D722D0" w:rsidP="004F7E0E">
            <w:pPr>
              <w:pStyle w:val="TableText"/>
              <w:rPr>
                <w:szCs w:val="17"/>
              </w:rPr>
            </w:pPr>
          </w:p>
        </w:tc>
        <w:tc>
          <w:tcPr>
            <w:tcW w:w="1103" w:type="pct"/>
            <w:vMerge w:val="restart"/>
            <w:tcBorders>
              <w:left w:val="nil"/>
              <w:right w:val="nil"/>
            </w:tcBorders>
          </w:tcPr>
          <w:p w14:paraId="33916B4A" w14:textId="77777777" w:rsidR="00D722D0" w:rsidRPr="001F1D86" w:rsidRDefault="00D722D0" w:rsidP="004F7E0E">
            <w:pPr>
              <w:pStyle w:val="TableText"/>
              <w:rPr>
                <w:szCs w:val="17"/>
              </w:rPr>
            </w:pPr>
            <w:r w:rsidRPr="001F1D86">
              <w:rPr>
                <w:szCs w:val="17"/>
              </w:rPr>
              <w:t>Aqueous photolysis</w:t>
            </w:r>
          </w:p>
        </w:tc>
        <w:tc>
          <w:tcPr>
            <w:tcW w:w="2355" w:type="pct"/>
            <w:tcBorders>
              <w:left w:val="nil"/>
              <w:right w:val="nil"/>
            </w:tcBorders>
          </w:tcPr>
          <w:p w14:paraId="6CCDBF63"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11 d (pH 7 buffer, mid-European spring sunlight)</w:t>
            </w:r>
          </w:p>
        </w:tc>
        <w:tc>
          <w:tcPr>
            <w:tcW w:w="1029" w:type="pct"/>
            <w:tcBorders>
              <w:left w:val="nil"/>
            </w:tcBorders>
          </w:tcPr>
          <w:p w14:paraId="2C341A13" w14:textId="77777777" w:rsidR="00D722D0" w:rsidRPr="001F1D86" w:rsidRDefault="00D722D0" w:rsidP="004F7E0E">
            <w:pPr>
              <w:pStyle w:val="TableText"/>
              <w:rPr>
                <w:szCs w:val="17"/>
              </w:rPr>
            </w:pPr>
            <w:r w:rsidRPr="001F1D86">
              <w:rPr>
                <w:szCs w:val="17"/>
              </w:rPr>
              <w:t>Moffatt 1993</w:t>
            </w:r>
          </w:p>
        </w:tc>
      </w:tr>
      <w:tr w:rsidR="00D722D0" w:rsidRPr="000B2FA7" w14:paraId="5C130D58" w14:textId="77777777" w:rsidTr="004F7E0E">
        <w:tc>
          <w:tcPr>
            <w:tcW w:w="513" w:type="pct"/>
            <w:vMerge/>
            <w:tcBorders>
              <w:right w:val="nil"/>
            </w:tcBorders>
          </w:tcPr>
          <w:p w14:paraId="52F98602" w14:textId="77777777" w:rsidR="00D722D0" w:rsidRPr="001F1D86" w:rsidRDefault="00D722D0" w:rsidP="004F7E0E">
            <w:pPr>
              <w:pStyle w:val="TableText"/>
              <w:rPr>
                <w:szCs w:val="17"/>
              </w:rPr>
            </w:pPr>
          </w:p>
        </w:tc>
        <w:tc>
          <w:tcPr>
            <w:tcW w:w="1103" w:type="pct"/>
            <w:vMerge/>
            <w:tcBorders>
              <w:left w:val="nil"/>
              <w:right w:val="nil"/>
            </w:tcBorders>
          </w:tcPr>
          <w:p w14:paraId="4996ED4B" w14:textId="77777777" w:rsidR="00D722D0" w:rsidRPr="001F1D86" w:rsidRDefault="00D722D0" w:rsidP="004F7E0E">
            <w:pPr>
              <w:pStyle w:val="TableText"/>
              <w:rPr>
                <w:szCs w:val="17"/>
              </w:rPr>
            </w:pPr>
          </w:p>
        </w:tc>
        <w:tc>
          <w:tcPr>
            <w:tcW w:w="2355" w:type="pct"/>
            <w:tcBorders>
              <w:left w:val="nil"/>
              <w:right w:val="nil"/>
            </w:tcBorders>
          </w:tcPr>
          <w:p w14:paraId="3E1A25AC"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10 d (natural water, spring sunlight at 35°N)</w:t>
            </w:r>
          </w:p>
        </w:tc>
        <w:tc>
          <w:tcPr>
            <w:tcW w:w="1029" w:type="pct"/>
            <w:tcBorders>
              <w:left w:val="nil"/>
            </w:tcBorders>
          </w:tcPr>
          <w:p w14:paraId="0C23FFA5" w14:textId="77777777" w:rsidR="00D722D0" w:rsidRPr="001F1D86" w:rsidRDefault="00D722D0" w:rsidP="004F7E0E">
            <w:pPr>
              <w:pStyle w:val="TableText"/>
              <w:rPr>
                <w:szCs w:val="17"/>
              </w:rPr>
            </w:pPr>
            <w:r w:rsidRPr="001F1D86">
              <w:rPr>
                <w:szCs w:val="17"/>
              </w:rPr>
              <w:t>Dean 2000</w:t>
            </w:r>
          </w:p>
        </w:tc>
      </w:tr>
      <w:tr w:rsidR="00D722D0" w:rsidRPr="000B2FA7" w14:paraId="2F349202" w14:textId="77777777" w:rsidTr="004F7E0E">
        <w:tc>
          <w:tcPr>
            <w:tcW w:w="513" w:type="pct"/>
            <w:vMerge/>
            <w:tcBorders>
              <w:right w:val="nil"/>
            </w:tcBorders>
          </w:tcPr>
          <w:p w14:paraId="61F3CFD8" w14:textId="77777777" w:rsidR="00D722D0" w:rsidRPr="001F1D86" w:rsidRDefault="00D722D0" w:rsidP="004F7E0E">
            <w:pPr>
              <w:pStyle w:val="TableText"/>
              <w:rPr>
                <w:szCs w:val="17"/>
              </w:rPr>
            </w:pPr>
          </w:p>
        </w:tc>
        <w:tc>
          <w:tcPr>
            <w:tcW w:w="1103" w:type="pct"/>
            <w:vMerge/>
            <w:tcBorders>
              <w:left w:val="nil"/>
              <w:right w:val="nil"/>
            </w:tcBorders>
          </w:tcPr>
          <w:p w14:paraId="61797A5E" w14:textId="77777777" w:rsidR="00D722D0" w:rsidRPr="001F1D86" w:rsidRDefault="00D722D0" w:rsidP="004F7E0E">
            <w:pPr>
              <w:pStyle w:val="TableText"/>
              <w:rPr>
                <w:szCs w:val="17"/>
              </w:rPr>
            </w:pPr>
          </w:p>
        </w:tc>
        <w:tc>
          <w:tcPr>
            <w:tcW w:w="2355" w:type="pct"/>
            <w:tcBorders>
              <w:left w:val="nil"/>
              <w:right w:val="nil"/>
            </w:tcBorders>
          </w:tcPr>
          <w:p w14:paraId="0C584D61"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2.0 d (natural water, summer sunlight at 40°N)</w:t>
            </w:r>
          </w:p>
          <w:p w14:paraId="329D44ED" w14:textId="77777777" w:rsidR="00D722D0" w:rsidRPr="001F1D86" w:rsidRDefault="00D722D0" w:rsidP="004F7E0E">
            <w:pPr>
              <w:pStyle w:val="TableText"/>
              <w:rPr>
                <w:szCs w:val="17"/>
              </w:rPr>
            </w:pPr>
            <w:r w:rsidRPr="001F1D86">
              <w:rPr>
                <w:szCs w:val="17"/>
              </w:rPr>
              <w:t>3.8% mineralisation after 3d</w:t>
            </w:r>
          </w:p>
          <w:p w14:paraId="566A04E6" w14:textId="77777777" w:rsidR="00D722D0" w:rsidRPr="001F1D86" w:rsidRDefault="00D722D0" w:rsidP="004F7E0E">
            <w:pPr>
              <w:pStyle w:val="TableText"/>
              <w:rPr>
                <w:szCs w:val="17"/>
              </w:rPr>
            </w:pPr>
            <w:r w:rsidRPr="001F1D86">
              <w:rPr>
                <w:szCs w:val="17"/>
              </w:rPr>
              <w:t>Max 23% TOPPS</w:t>
            </w:r>
          </w:p>
          <w:p w14:paraId="3C4ACC5D" w14:textId="77777777" w:rsidR="00D722D0" w:rsidRPr="001F1D86" w:rsidRDefault="00D722D0" w:rsidP="004F7E0E">
            <w:pPr>
              <w:pStyle w:val="TableText"/>
              <w:rPr>
                <w:szCs w:val="17"/>
              </w:rPr>
            </w:pPr>
            <w:r w:rsidRPr="001F1D86">
              <w:rPr>
                <w:szCs w:val="17"/>
              </w:rPr>
              <w:t>Max 12% AQ1</w:t>
            </w:r>
          </w:p>
        </w:tc>
        <w:tc>
          <w:tcPr>
            <w:tcW w:w="1029" w:type="pct"/>
            <w:tcBorders>
              <w:left w:val="nil"/>
            </w:tcBorders>
          </w:tcPr>
          <w:p w14:paraId="1C8ED957" w14:textId="77777777" w:rsidR="00D722D0" w:rsidRPr="001F1D86" w:rsidRDefault="00D722D0" w:rsidP="004F7E0E">
            <w:pPr>
              <w:pStyle w:val="TableText"/>
              <w:rPr>
                <w:szCs w:val="17"/>
              </w:rPr>
            </w:pPr>
            <w:r w:rsidRPr="001F1D86">
              <w:rPr>
                <w:szCs w:val="17"/>
              </w:rPr>
              <w:t>Oliver &amp; Webb 2005</w:t>
            </w:r>
          </w:p>
        </w:tc>
      </w:tr>
      <w:tr w:rsidR="00D722D0" w:rsidRPr="000B2FA7" w14:paraId="354C8CD6" w14:textId="77777777" w:rsidTr="004F7E0E">
        <w:tc>
          <w:tcPr>
            <w:tcW w:w="513" w:type="pct"/>
            <w:vMerge/>
            <w:tcBorders>
              <w:right w:val="nil"/>
            </w:tcBorders>
          </w:tcPr>
          <w:p w14:paraId="0ED2216F" w14:textId="77777777" w:rsidR="00D722D0" w:rsidRPr="001F1D86" w:rsidRDefault="00D722D0" w:rsidP="004F7E0E">
            <w:pPr>
              <w:pStyle w:val="TableText"/>
              <w:rPr>
                <w:szCs w:val="17"/>
              </w:rPr>
            </w:pPr>
          </w:p>
        </w:tc>
        <w:tc>
          <w:tcPr>
            <w:tcW w:w="1103" w:type="pct"/>
            <w:vMerge w:val="restart"/>
            <w:tcBorders>
              <w:left w:val="nil"/>
              <w:right w:val="nil"/>
            </w:tcBorders>
          </w:tcPr>
          <w:p w14:paraId="2E595679" w14:textId="77777777" w:rsidR="00D722D0" w:rsidRPr="001F1D86" w:rsidRDefault="00D722D0" w:rsidP="004F7E0E">
            <w:pPr>
              <w:pStyle w:val="TableText"/>
              <w:rPr>
                <w:szCs w:val="17"/>
              </w:rPr>
            </w:pPr>
            <w:r w:rsidRPr="001F1D86">
              <w:rPr>
                <w:szCs w:val="17"/>
              </w:rPr>
              <w:t>Degradation in aerobic water/sediment</w:t>
            </w:r>
          </w:p>
        </w:tc>
        <w:tc>
          <w:tcPr>
            <w:tcW w:w="2355" w:type="pct"/>
            <w:tcBorders>
              <w:left w:val="nil"/>
              <w:right w:val="nil"/>
            </w:tcBorders>
          </w:tcPr>
          <w:p w14:paraId="34572DCF"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water</w:t>
            </w:r>
            <w:r w:rsidRPr="001F1D86">
              <w:rPr>
                <w:szCs w:val="17"/>
              </w:rPr>
              <w:tab/>
              <w:t>DT</w:t>
            </w:r>
            <w:r w:rsidRPr="001F1D86">
              <w:rPr>
                <w:szCs w:val="17"/>
                <w:vertAlign w:val="subscript"/>
              </w:rPr>
              <w:t>50</w:t>
            </w:r>
            <w:r w:rsidRPr="001F1D86">
              <w:rPr>
                <w:szCs w:val="17"/>
              </w:rPr>
              <w:t xml:space="preserve"> 0.45 d</w:t>
            </w:r>
          </w:p>
          <w:p w14:paraId="0F852D7A"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system</w:t>
            </w:r>
            <w:r w:rsidRPr="001F1D86">
              <w:rPr>
                <w:szCs w:val="17"/>
              </w:rPr>
              <w:tab/>
              <w:t>DT</w:t>
            </w:r>
            <w:r w:rsidRPr="001F1D86">
              <w:rPr>
                <w:szCs w:val="17"/>
                <w:vertAlign w:val="subscript"/>
              </w:rPr>
              <w:t>50</w:t>
            </w:r>
            <w:r w:rsidRPr="001F1D86">
              <w:rPr>
                <w:szCs w:val="17"/>
              </w:rPr>
              <w:t xml:space="preserve"> 1272 d</w:t>
            </w:r>
            <w:r w:rsidRPr="001F1D86">
              <w:rPr>
                <w:szCs w:val="17"/>
              </w:rPr>
              <w:tab/>
            </w:r>
          </w:p>
          <w:p w14:paraId="032E5B8B"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water</w:t>
            </w:r>
            <w:r w:rsidRPr="001F1D86">
              <w:rPr>
                <w:szCs w:val="17"/>
              </w:rPr>
              <w:tab/>
              <w:t>DT</w:t>
            </w:r>
            <w:r w:rsidRPr="001F1D86">
              <w:rPr>
                <w:szCs w:val="17"/>
                <w:vertAlign w:val="subscript"/>
              </w:rPr>
              <w:t>50</w:t>
            </w:r>
            <w:r w:rsidRPr="001F1D86">
              <w:rPr>
                <w:szCs w:val="17"/>
              </w:rPr>
              <w:t xml:space="preserve"> 0.32 d</w:t>
            </w:r>
          </w:p>
          <w:p w14:paraId="247A9C25"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system</w:t>
            </w:r>
            <w:r w:rsidRPr="001F1D86">
              <w:rPr>
                <w:szCs w:val="17"/>
              </w:rPr>
              <w:tab/>
              <w:t>DT</w:t>
            </w:r>
            <w:r w:rsidRPr="001F1D86">
              <w:rPr>
                <w:szCs w:val="17"/>
                <w:vertAlign w:val="subscript"/>
              </w:rPr>
              <w:t>50</w:t>
            </w:r>
            <w:r w:rsidRPr="001F1D86">
              <w:rPr>
                <w:szCs w:val="17"/>
              </w:rPr>
              <w:t xml:space="preserve"> 1024 d</w:t>
            </w:r>
          </w:p>
        </w:tc>
        <w:tc>
          <w:tcPr>
            <w:tcW w:w="1029" w:type="pct"/>
            <w:tcBorders>
              <w:left w:val="nil"/>
            </w:tcBorders>
          </w:tcPr>
          <w:p w14:paraId="0EC4F736" w14:textId="77777777" w:rsidR="00D722D0" w:rsidRPr="001F1D86" w:rsidRDefault="00D722D0" w:rsidP="004F7E0E">
            <w:pPr>
              <w:pStyle w:val="TableText"/>
              <w:rPr>
                <w:szCs w:val="17"/>
              </w:rPr>
            </w:pPr>
            <w:r w:rsidRPr="001F1D86">
              <w:rPr>
                <w:szCs w:val="17"/>
              </w:rPr>
              <w:t>Ford et al. 2012</w:t>
            </w:r>
          </w:p>
        </w:tc>
      </w:tr>
      <w:tr w:rsidR="00D722D0" w:rsidRPr="008B4AF6" w14:paraId="7992E224" w14:textId="77777777" w:rsidTr="004F7E0E">
        <w:tc>
          <w:tcPr>
            <w:tcW w:w="513" w:type="pct"/>
            <w:vMerge/>
            <w:tcBorders>
              <w:right w:val="nil"/>
            </w:tcBorders>
          </w:tcPr>
          <w:p w14:paraId="54C3CCC0" w14:textId="77777777" w:rsidR="00D722D0" w:rsidRPr="001F1D86" w:rsidRDefault="00D722D0" w:rsidP="004F7E0E">
            <w:pPr>
              <w:pStyle w:val="TableText"/>
              <w:rPr>
                <w:szCs w:val="17"/>
              </w:rPr>
            </w:pPr>
          </w:p>
        </w:tc>
        <w:tc>
          <w:tcPr>
            <w:tcW w:w="1103" w:type="pct"/>
            <w:vMerge/>
            <w:tcBorders>
              <w:left w:val="nil"/>
              <w:right w:val="nil"/>
            </w:tcBorders>
          </w:tcPr>
          <w:p w14:paraId="7692C7E0" w14:textId="77777777" w:rsidR="00D722D0" w:rsidRPr="001F1D86" w:rsidRDefault="00D722D0" w:rsidP="004F7E0E">
            <w:pPr>
              <w:pStyle w:val="TableText"/>
              <w:rPr>
                <w:szCs w:val="17"/>
              </w:rPr>
            </w:pPr>
          </w:p>
        </w:tc>
        <w:tc>
          <w:tcPr>
            <w:tcW w:w="2355" w:type="pct"/>
            <w:tcBorders>
              <w:left w:val="nil"/>
              <w:right w:val="nil"/>
            </w:tcBorders>
          </w:tcPr>
          <w:p w14:paraId="780ACC51" w14:textId="77777777" w:rsidR="00D722D0" w:rsidRPr="001F1D86" w:rsidRDefault="00D722D0" w:rsidP="004F7E0E">
            <w:pPr>
              <w:pStyle w:val="TableText"/>
              <w:tabs>
                <w:tab w:val="left" w:pos="1073"/>
                <w:tab w:val="left" w:pos="1782"/>
              </w:tabs>
              <w:rPr>
                <w:szCs w:val="17"/>
              </w:rPr>
            </w:pPr>
            <w:r w:rsidRPr="001F1D86">
              <w:rPr>
                <w:szCs w:val="17"/>
              </w:rPr>
              <w:t>BR fine</w:t>
            </w:r>
            <w:r w:rsidRPr="001F1D86">
              <w:rPr>
                <w:szCs w:val="17"/>
              </w:rPr>
              <w:tab/>
              <w:t>water</w:t>
            </w:r>
            <w:r w:rsidRPr="001F1D86">
              <w:rPr>
                <w:szCs w:val="17"/>
              </w:rPr>
              <w:tab/>
              <w:t>DT</w:t>
            </w:r>
            <w:r w:rsidRPr="001F1D86">
              <w:rPr>
                <w:szCs w:val="17"/>
                <w:vertAlign w:val="subscript"/>
              </w:rPr>
              <w:t>50</w:t>
            </w:r>
            <w:r w:rsidRPr="001F1D86">
              <w:rPr>
                <w:szCs w:val="17"/>
              </w:rPr>
              <w:t xml:space="preserve"> 0.033 d</w:t>
            </w:r>
          </w:p>
          <w:p w14:paraId="514D27A6" w14:textId="77777777" w:rsidR="00D722D0" w:rsidRPr="001F1D86" w:rsidRDefault="00D722D0" w:rsidP="004F7E0E">
            <w:pPr>
              <w:pStyle w:val="TableText"/>
              <w:tabs>
                <w:tab w:val="left" w:pos="1073"/>
                <w:tab w:val="left" w:pos="1782"/>
              </w:tabs>
              <w:rPr>
                <w:szCs w:val="17"/>
              </w:rPr>
            </w:pPr>
            <w:r w:rsidRPr="001F1D86">
              <w:rPr>
                <w:szCs w:val="17"/>
              </w:rPr>
              <w:t>BR coarse</w:t>
            </w:r>
            <w:r w:rsidRPr="001F1D86">
              <w:rPr>
                <w:szCs w:val="17"/>
              </w:rPr>
              <w:tab/>
              <w:t>water</w:t>
            </w:r>
            <w:r w:rsidRPr="001F1D86">
              <w:rPr>
                <w:szCs w:val="17"/>
              </w:rPr>
              <w:tab/>
              <w:t>DT</w:t>
            </w:r>
            <w:r w:rsidRPr="001F1D86">
              <w:rPr>
                <w:szCs w:val="17"/>
                <w:vertAlign w:val="subscript"/>
              </w:rPr>
              <w:t>50</w:t>
            </w:r>
            <w:r w:rsidRPr="001F1D86">
              <w:rPr>
                <w:szCs w:val="17"/>
              </w:rPr>
              <w:t xml:space="preserve"> 0.046 d</w:t>
            </w:r>
          </w:p>
        </w:tc>
        <w:tc>
          <w:tcPr>
            <w:tcW w:w="1029" w:type="pct"/>
            <w:tcBorders>
              <w:left w:val="nil"/>
            </w:tcBorders>
          </w:tcPr>
          <w:p w14:paraId="17F6FE9F" w14:textId="77777777" w:rsidR="00D722D0" w:rsidRPr="001F1D86" w:rsidRDefault="00D722D0" w:rsidP="004F7E0E">
            <w:pPr>
              <w:pStyle w:val="TableText"/>
              <w:rPr>
                <w:szCs w:val="17"/>
              </w:rPr>
            </w:pPr>
            <w:r w:rsidRPr="001F1D86">
              <w:rPr>
                <w:szCs w:val="17"/>
              </w:rPr>
              <w:t>Mônego 2006b</w:t>
            </w:r>
          </w:p>
        </w:tc>
      </w:tr>
      <w:tr w:rsidR="00B00727" w:rsidRPr="008B4AF6" w14:paraId="2031FD94" w14:textId="77777777" w:rsidTr="00514EF5">
        <w:tc>
          <w:tcPr>
            <w:tcW w:w="513" w:type="pct"/>
            <w:vMerge/>
            <w:tcBorders>
              <w:right w:val="nil"/>
            </w:tcBorders>
          </w:tcPr>
          <w:p w14:paraId="12FA6AC1" w14:textId="77777777" w:rsidR="00B00727" w:rsidRPr="001F1D86" w:rsidRDefault="00B00727" w:rsidP="004F7E0E">
            <w:pPr>
              <w:pStyle w:val="TableText"/>
              <w:rPr>
                <w:szCs w:val="17"/>
              </w:rPr>
            </w:pPr>
          </w:p>
        </w:tc>
        <w:tc>
          <w:tcPr>
            <w:tcW w:w="1103" w:type="pct"/>
            <w:vMerge/>
            <w:tcBorders>
              <w:left w:val="nil"/>
              <w:right w:val="nil"/>
            </w:tcBorders>
          </w:tcPr>
          <w:p w14:paraId="2BDE2257" w14:textId="77777777" w:rsidR="00B00727" w:rsidRPr="001F1D86" w:rsidRDefault="00B00727" w:rsidP="004F7E0E">
            <w:pPr>
              <w:pStyle w:val="TableText"/>
              <w:rPr>
                <w:szCs w:val="17"/>
              </w:rPr>
            </w:pPr>
          </w:p>
        </w:tc>
        <w:tc>
          <w:tcPr>
            <w:tcW w:w="2355" w:type="pct"/>
            <w:tcBorders>
              <w:left w:val="nil"/>
              <w:right w:val="nil"/>
            </w:tcBorders>
          </w:tcPr>
          <w:p w14:paraId="03D82E3D" w14:textId="77777777" w:rsidR="00B00727" w:rsidRPr="001F1D86" w:rsidRDefault="00B00727" w:rsidP="004F7E0E">
            <w:pPr>
              <w:pStyle w:val="TableText"/>
              <w:tabs>
                <w:tab w:val="left" w:pos="1073"/>
                <w:tab w:val="left" w:pos="1782"/>
              </w:tabs>
              <w:rPr>
                <w:szCs w:val="17"/>
              </w:rPr>
            </w:pPr>
            <w:r w:rsidRPr="001F1D86">
              <w:rPr>
                <w:szCs w:val="17"/>
              </w:rPr>
              <w:t>Florida</w:t>
            </w:r>
            <w:r w:rsidRPr="001F1D86">
              <w:rPr>
                <w:szCs w:val="17"/>
              </w:rPr>
              <w:tab/>
              <w:t>system</w:t>
            </w:r>
            <w:r w:rsidRPr="001F1D86">
              <w:rPr>
                <w:szCs w:val="17"/>
              </w:rPr>
              <w:tab/>
              <w:t>stable</w:t>
            </w:r>
          </w:p>
        </w:tc>
        <w:tc>
          <w:tcPr>
            <w:tcW w:w="1029" w:type="pct"/>
            <w:tcBorders>
              <w:left w:val="nil"/>
              <w:bottom w:val="single" w:sz="4" w:space="0" w:color="auto"/>
            </w:tcBorders>
          </w:tcPr>
          <w:p w14:paraId="17728A58" w14:textId="77777777" w:rsidR="00B00727" w:rsidRPr="001F1D86" w:rsidRDefault="00B00727" w:rsidP="004F7E0E">
            <w:pPr>
              <w:pStyle w:val="TableText"/>
              <w:rPr>
                <w:szCs w:val="17"/>
              </w:rPr>
            </w:pPr>
            <w:r w:rsidRPr="001F1D86">
              <w:rPr>
                <w:szCs w:val="17"/>
              </w:rPr>
              <w:t>Cranor &amp; Daly 1988</w:t>
            </w:r>
          </w:p>
        </w:tc>
      </w:tr>
      <w:tr w:rsidR="00B00727" w:rsidRPr="008B4AF6" w14:paraId="25D9602A" w14:textId="77777777" w:rsidTr="00514EF5">
        <w:tc>
          <w:tcPr>
            <w:tcW w:w="513" w:type="pct"/>
            <w:vMerge/>
            <w:tcBorders>
              <w:right w:val="nil"/>
            </w:tcBorders>
          </w:tcPr>
          <w:p w14:paraId="38D9E5AA" w14:textId="77777777" w:rsidR="00B00727" w:rsidRPr="001F1D86" w:rsidRDefault="00B00727" w:rsidP="004F7E0E">
            <w:pPr>
              <w:pStyle w:val="TableText"/>
              <w:rPr>
                <w:szCs w:val="17"/>
              </w:rPr>
            </w:pPr>
          </w:p>
        </w:tc>
        <w:tc>
          <w:tcPr>
            <w:tcW w:w="1103" w:type="pct"/>
            <w:vMerge/>
            <w:tcBorders>
              <w:left w:val="nil"/>
              <w:right w:val="nil"/>
            </w:tcBorders>
          </w:tcPr>
          <w:p w14:paraId="1A4C8EDD" w14:textId="77777777" w:rsidR="00B00727" w:rsidRPr="001F1D86" w:rsidRDefault="00B00727" w:rsidP="004F7E0E">
            <w:pPr>
              <w:pStyle w:val="TableText"/>
              <w:rPr>
                <w:szCs w:val="17"/>
              </w:rPr>
            </w:pPr>
          </w:p>
        </w:tc>
        <w:tc>
          <w:tcPr>
            <w:tcW w:w="2355" w:type="pct"/>
            <w:tcBorders>
              <w:left w:val="nil"/>
              <w:right w:val="nil"/>
            </w:tcBorders>
          </w:tcPr>
          <w:p w14:paraId="0611818A" w14:textId="77777777" w:rsidR="00B00727" w:rsidRPr="001F1D86" w:rsidRDefault="00B00727" w:rsidP="004F7E0E">
            <w:pPr>
              <w:pStyle w:val="TableText"/>
              <w:rPr>
                <w:szCs w:val="17"/>
              </w:rPr>
            </w:pPr>
            <w:r w:rsidRPr="001F1D86">
              <w:rPr>
                <w:szCs w:val="17"/>
              </w:rPr>
              <w:t>Geomean DT</w:t>
            </w:r>
            <w:r w:rsidRPr="001F1D86">
              <w:rPr>
                <w:szCs w:val="17"/>
                <w:vertAlign w:val="subscript"/>
              </w:rPr>
              <w:t>50</w:t>
            </w:r>
            <w:r w:rsidRPr="001F1D86">
              <w:rPr>
                <w:szCs w:val="17"/>
              </w:rPr>
              <w:t xml:space="preserve"> 0.12 d in water</w:t>
            </w:r>
          </w:p>
          <w:p w14:paraId="68A34905" w14:textId="77777777" w:rsidR="00B00727" w:rsidRPr="001F1D86" w:rsidRDefault="00B00727" w:rsidP="004F7E0E">
            <w:pPr>
              <w:pStyle w:val="TableText"/>
              <w:rPr>
                <w:szCs w:val="17"/>
              </w:rPr>
            </w:pPr>
            <w:r w:rsidRPr="001F1D86">
              <w:rPr>
                <w:szCs w:val="17"/>
              </w:rPr>
              <w:t>Geomean DT</w:t>
            </w:r>
            <w:r w:rsidRPr="001F1D86">
              <w:rPr>
                <w:szCs w:val="17"/>
                <w:vertAlign w:val="subscript"/>
              </w:rPr>
              <w:t>50</w:t>
            </w:r>
            <w:r w:rsidRPr="001F1D86">
              <w:rPr>
                <w:szCs w:val="17"/>
              </w:rPr>
              <w:t xml:space="preserve"> 1141 d in system</w:t>
            </w:r>
          </w:p>
        </w:tc>
        <w:tc>
          <w:tcPr>
            <w:tcW w:w="1029" w:type="pct"/>
            <w:tcBorders>
              <w:left w:val="nil"/>
              <w:bottom w:val="nil"/>
            </w:tcBorders>
          </w:tcPr>
          <w:p w14:paraId="5B35465E" w14:textId="77777777" w:rsidR="00B00727" w:rsidRPr="001F1D86" w:rsidRDefault="00B00727" w:rsidP="004F7E0E">
            <w:pPr>
              <w:pStyle w:val="TableText"/>
              <w:rPr>
                <w:szCs w:val="17"/>
              </w:rPr>
            </w:pPr>
          </w:p>
        </w:tc>
      </w:tr>
      <w:tr w:rsidR="00B00727" w:rsidRPr="008B4AF6" w14:paraId="0D0C8CEF" w14:textId="77777777" w:rsidTr="00514EF5">
        <w:tc>
          <w:tcPr>
            <w:tcW w:w="513" w:type="pct"/>
            <w:vMerge/>
            <w:tcBorders>
              <w:right w:val="nil"/>
            </w:tcBorders>
          </w:tcPr>
          <w:p w14:paraId="1F4AE0D5" w14:textId="77777777" w:rsidR="00B00727" w:rsidRPr="001F1D86" w:rsidRDefault="00B00727" w:rsidP="004F7E0E">
            <w:pPr>
              <w:pStyle w:val="TableText"/>
              <w:rPr>
                <w:szCs w:val="17"/>
              </w:rPr>
            </w:pPr>
          </w:p>
        </w:tc>
        <w:tc>
          <w:tcPr>
            <w:tcW w:w="1103" w:type="pct"/>
            <w:vMerge/>
            <w:tcBorders>
              <w:left w:val="nil"/>
              <w:right w:val="nil"/>
            </w:tcBorders>
          </w:tcPr>
          <w:p w14:paraId="16A0205A" w14:textId="77777777" w:rsidR="00B00727" w:rsidRPr="001F1D86" w:rsidRDefault="00B00727" w:rsidP="004F7E0E">
            <w:pPr>
              <w:pStyle w:val="TableText"/>
              <w:rPr>
                <w:szCs w:val="17"/>
              </w:rPr>
            </w:pPr>
          </w:p>
        </w:tc>
        <w:tc>
          <w:tcPr>
            <w:tcW w:w="2355" w:type="pct"/>
            <w:tcBorders>
              <w:left w:val="nil"/>
              <w:right w:val="nil"/>
            </w:tcBorders>
          </w:tcPr>
          <w:p w14:paraId="1805CF6D" w14:textId="77777777" w:rsidR="00B00727" w:rsidRPr="001F1D86" w:rsidRDefault="00B00727" w:rsidP="004F7E0E">
            <w:pPr>
              <w:pStyle w:val="TableText"/>
              <w:rPr>
                <w:szCs w:val="17"/>
              </w:rPr>
            </w:pPr>
            <w:r w:rsidRPr="001F1D86">
              <w:rPr>
                <w:szCs w:val="17"/>
              </w:rPr>
              <w:t>Max 100% diquat in sediment</w:t>
            </w:r>
          </w:p>
          <w:p w14:paraId="31F33AF3" w14:textId="77777777" w:rsidR="00B00727" w:rsidRPr="001F1D86" w:rsidRDefault="00B00727" w:rsidP="004F7E0E">
            <w:pPr>
              <w:pStyle w:val="TableText"/>
              <w:rPr>
                <w:szCs w:val="17"/>
              </w:rPr>
            </w:pPr>
            <w:r w:rsidRPr="001F1D86">
              <w:rPr>
                <w:szCs w:val="17"/>
              </w:rPr>
              <w:t>0.32% mineralisation after 90-100 d</w:t>
            </w:r>
          </w:p>
          <w:p w14:paraId="5B295883" w14:textId="77777777" w:rsidR="00B00727" w:rsidRPr="001F1D86" w:rsidRDefault="00B00727" w:rsidP="004F7E0E">
            <w:pPr>
              <w:pStyle w:val="TableText"/>
              <w:rPr>
                <w:szCs w:val="17"/>
              </w:rPr>
            </w:pPr>
            <w:r w:rsidRPr="001F1D86">
              <w:rPr>
                <w:szCs w:val="17"/>
              </w:rPr>
              <w:t>1.4-2.8% bound residues after 90-100 d</w:t>
            </w:r>
          </w:p>
        </w:tc>
        <w:tc>
          <w:tcPr>
            <w:tcW w:w="1029" w:type="pct"/>
            <w:tcBorders>
              <w:top w:val="nil"/>
              <w:left w:val="nil"/>
            </w:tcBorders>
          </w:tcPr>
          <w:p w14:paraId="5C358A6E" w14:textId="77777777" w:rsidR="00B00727" w:rsidRPr="001F1D86" w:rsidRDefault="00B00727" w:rsidP="004F7E0E">
            <w:pPr>
              <w:pStyle w:val="TableText"/>
              <w:rPr>
                <w:szCs w:val="17"/>
              </w:rPr>
            </w:pPr>
          </w:p>
        </w:tc>
      </w:tr>
      <w:tr w:rsidR="00D722D0" w:rsidRPr="008B4AF6" w14:paraId="2FB2C08A" w14:textId="77777777" w:rsidTr="004F7E0E">
        <w:tc>
          <w:tcPr>
            <w:tcW w:w="513" w:type="pct"/>
            <w:vMerge/>
            <w:tcBorders>
              <w:right w:val="nil"/>
            </w:tcBorders>
          </w:tcPr>
          <w:p w14:paraId="358760AD" w14:textId="77777777" w:rsidR="00D722D0" w:rsidRPr="001F1D86" w:rsidRDefault="00D722D0" w:rsidP="004F7E0E">
            <w:pPr>
              <w:pStyle w:val="TableText"/>
              <w:rPr>
                <w:szCs w:val="17"/>
              </w:rPr>
            </w:pPr>
          </w:p>
        </w:tc>
        <w:tc>
          <w:tcPr>
            <w:tcW w:w="1103" w:type="pct"/>
            <w:vMerge w:val="restart"/>
            <w:tcBorders>
              <w:left w:val="nil"/>
              <w:right w:val="nil"/>
            </w:tcBorders>
          </w:tcPr>
          <w:p w14:paraId="25949B00" w14:textId="77777777" w:rsidR="00D722D0" w:rsidRPr="001F1D86" w:rsidRDefault="00D722D0" w:rsidP="004F7E0E">
            <w:pPr>
              <w:pStyle w:val="TableText"/>
              <w:rPr>
                <w:szCs w:val="17"/>
              </w:rPr>
            </w:pPr>
            <w:r w:rsidRPr="001F1D86">
              <w:rPr>
                <w:szCs w:val="17"/>
              </w:rPr>
              <w:t>Degradation in anaerobic water/sediment</w:t>
            </w:r>
          </w:p>
        </w:tc>
        <w:tc>
          <w:tcPr>
            <w:tcW w:w="2355" w:type="pct"/>
            <w:tcBorders>
              <w:left w:val="nil"/>
              <w:right w:val="nil"/>
            </w:tcBorders>
          </w:tcPr>
          <w:p w14:paraId="510B13C9"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water</w:t>
            </w:r>
            <w:r w:rsidRPr="001F1D86">
              <w:rPr>
                <w:szCs w:val="17"/>
              </w:rPr>
              <w:tab/>
              <w:t>DT</w:t>
            </w:r>
            <w:r w:rsidRPr="001F1D86">
              <w:rPr>
                <w:szCs w:val="17"/>
                <w:vertAlign w:val="subscript"/>
              </w:rPr>
              <w:t>50</w:t>
            </w:r>
            <w:r w:rsidRPr="001F1D86">
              <w:rPr>
                <w:szCs w:val="17"/>
              </w:rPr>
              <w:t xml:space="preserve"> 0.72 d</w:t>
            </w:r>
            <w:r w:rsidRPr="001F1D86">
              <w:rPr>
                <w:szCs w:val="17"/>
              </w:rPr>
              <w:tab/>
            </w:r>
          </w:p>
          <w:p w14:paraId="3102D61E"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water</w:t>
            </w:r>
            <w:r w:rsidRPr="001F1D86">
              <w:rPr>
                <w:szCs w:val="17"/>
              </w:rPr>
              <w:tab/>
              <w:t>DT</w:t>
            </w:r>
            <w:r w:rsidRPr="001F1D86">
              <w:rPr>
                <w:szCs w:val="17"/>
                <w:vertAlign w:val="subscript"/>
              </w:rPr>
              <w:t>50</w:t>
            </w:r>
            <w:r w:rsidRPr="001F1D86">
              <w:rPr>
                <w:szCs w:val="17"/>
              </w:rPr>
              <w:t xml:space="preserve"> 0.85 d</w:t>
            </w:r>
          </w:p>
          <w:p w14:paraId="54DD1D68" w14:textId="77777777" w:rsidR="00D722D0" w:rsidRPr="001F1D86" w:rsidRDefault="00D722D0" w:rsidP="004F7E0E">
            <w:pPr>
              <w:pStyle w:val="TableText"/>
              <w:tabs>
                <w:tab w:val="left" w:pos="1073"/>
                <w:tab w:val="left" w:pos="1782"/>
              </w:tabs>
              <w:rPr>
                <w:szCs w:val="17"/>
              </w:rPr>
            </w:pPr>
            <w:r w:rsidRPr="001F1D86">
              <w:rPr>
                <w:szCs w:val="17"/>
              </w:rPr>
              <w:t>Geomean DT</w:t>
            </w:r>
            <w:r w:rsidRPr="001F1D86">
              <w:rPr>
                <w:szCs w:val="17"/>
                <w:vertAlign w:val="subscript"/>
              </w:rPr>
              <w:t>50</w:t>
            </w:r>
            <w:r w:rsidRPr="001F1D86">
              <w:rPr>
                <w:szCs w:val="17"/>
              </w:rPr>
              <w:t xml:space="preserve"> 0.78 d</w:t>
            </w:r>
          </w:p>
        </w:tc>
        <w:tc>
          <w:tcPr>
            <w:tcW w:w="1029" w:type="pct"/>
            <w:vMerge w:val="restart"/>
            <w:tcBorders>
              <w:left w:val="nil"/>
            </w:tcBorders>
          </w:tcPr>
          <w:p w14:paraId="41BDF6D2" w14:textId="77777777" w:rsidR="00D722D0" w:rsidRPr="001F1D86" w:rsidRDefault="00D722D0" w:rsidP="004F7E0E">
            <w:pPr>
              <w:pStyle w:val="TableText"/>
              <w:rPr>
                <w:szCs w:val="17"/>
              </w:rPr>
            </w:pPr>
            <w:r w:rsidRPr="001F1D86">
              <w:rPr>
                <w:szCs w:val="17"/>
              </w:rPr>
              <w:t>Ford et al. 2012</w:t>
            </w:r>
          </w:p>
        </w:tc>
      </w:tr>
      <w:tr w:rsidR="00D722D0" w:rsidRPr="008B4AF6" w14:paraId="77DBBD45" w14:textId="77777777" w:rsidTr="004F7E0E">
        <w:tc>
          <w:tcPr>
            <w:tcW w:w="513" w:type="pct"/>
            <w:vMerge/>
            <w:tcBorders>
              <w:right w:val="nil"/>
            </w:tcBorders>
          </w:tcPr>
          <w:p w14:paraId="77913756" w14:textId="77777777" w:rsidR="00D722D0" w:rsidRPr="001F1D86" w:rsidRDefault="00D722D0" w:rsidP="004F7E0E">
            <w:pPr>
              <w:pStyle w:val="TableText"/>
              <w:rPr>
                <w:szCs w:val="17"/>
              </w:rPr>
            </w:pPr>
          </w:p>
        </w:tc>
        <w:tc>
          <w:tcPr>
            <w:tcW w:w="1103" w:type="pct"/>
            <w:vMerge/>
            <w:tcBorders>
              <w:left w:val="nil"/>
              <w:right w:val="nil"/>
            </w:tcBorders>
          </w:tcPr>
          <w:p w14:paraId="1904C9D8" w14:textId="77777777" w:rsidR="00D722D0" w:rsidRPr="001F1D86" w:rsidRDefault="00D722D0" w:rsidP="004F7E0E">
            <w:pPr>
              <w:pStyle w:val="TableText"/>
              <w:rPr>
                <w:szCs w:val="17"/>
              </w:rPr>
            </w:pPr>
          </w:p>
        </w:tc>
        <w:tc>
          <w:tcPr>
            <w:tcW w:w="2355" w:type="pct"/>
            <w:tcBorders>
              <w:left w:val="nil"/>
              <w:right w:val="nil"/>
            </w:tcBorders>
          </w:tcPr>
          <w:p w14:paraId="67C010A6"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system</w:t>
            </w:r>
            <w:r w:rsidRPr="001F1D86">
              <w:rPr>
                <w:szCs w:val="17"/>
              </w:rPr>
              <w:tab/>
              <w:t>DT</w:t>
            </w:r>
            <w:r w:rsidRPr="001F1D86">
              <w:rPr>
                <w:szCs w:val="17"/>
                <w:vertAlign w:val="subscript"/>
              </w:rPr>
              <w:t>50</w:t>
            </w:r>
            <w:r w:rsidRPr="001F1D86">
              <w:rPr>
                <w:szCs w:val="17"/>
              </w:rPr>
              <w:t xml:space="preserve"> 2028 d</w:t>
            </w:r>
            <w:r w:rsidRPr="001F1D86">
              <w:rPr>
                <w:szCs w:val="17"/>
              </w:rPr>
              <w:tab/>
            </w:r>
          </w:p>
          <w:p w14:paraId="4E4B9E73"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system</w:t>
            </w:r>
            <w:r w:rsidRPr="001F1D86">
              <w:rPr>
                <w:szCs w:val="17"/>
              </w:rPr>
              <w:tab/>
              <w:t>DT</w:t>
            </w:r>
            <w:r w:rsidRPr="001F1D86">
              <w:rPr>
                <w:szCs w:val="17"/>
                <w:vertAlign w:val="subscript"/>
              </w:rPr>
              <w:t>50</w:t>
            </w:r>
            <w:r w:rsidRPr="001F1D86">
              <w:rPr>
                <w:szCs w:val="17"/>
              </w:rPr>
              <w:t xml:space="preserve"> 1794 d</w:t>
            </w:r>
          </w:p>
          <w:p w14:paraId="460A7C11" w14:textId="77777777" w:rsidR="00D722D0" w:rsidRPr="001F1D86" w:rsidRDefault="00D722D0" w:rsidP="004F7E0E">
            <w:pPr>
              <w:pStyle w:val="TableText"/>
              <w:tabs>
                <w:tab w:val="left" w:pos="1073"/>
                <w:tab w:val="left" w:pos="1782"/>
              </w:tabs>
              <w:rPr>
                <w:szCs w:val="17"/>
              </w:rPr>
            </w:pPr>
            <w:r w:rsidRPr="001F1D86">
              <w:rPr>
                <w:szCs w:val="17"/>
              </w:rPr>
              <w:t>Geomean DT</w:t>
            </w:r>
            <w:r w:rsidRPr="001F1D86">
              <w:rPr>
                <w:szCs w:val="17"/>
                <w:vertAlign w:val="subscript"/>
              </w:rPr>
              <w:t>50</w:t>
            </w:r>
            <w:r w:rsidRPr="001F1D86">
              <w:rPr>
                <w:szCs w:val="17"/>
              </w:rPr>
              <w:t xml:space="preserve"> 1907 d</w:t>
            </w:r>
          </w:p>
        </w:tc>
        <w:tc>
          <w:tcPr>
            <w:tcW w:w="1029" w:type="pct"/>
            <w:vMerge/>
            <w:tcBorders>
              <w:left w:val="nil"/>
            </w:tcBorders>
          </w:tcPr>
          <w:p w14:paraId="1B466D4C" w14:textId="77777777" w:rsidR="00D722D0" w:rsidRPr="001F1D86" w:rsidRDefault="00D722D0" w:rsidP="004F7E0E">
            <w:pPr>
              <w:pStyle w:val="TableText"/>
              <w:rPr>
                <w:szCs w:val="17"/>
              </w:rPr>
            </w:pPr>
          </w:p>
        </w:tc>
      </w:tr>
      <w:tr w:rsidR="00D722D0" w:rsidRPr="008B4AF6" w14:paraId="3AE8C150" w14:textId="77777777" w:rsidTr="004F7E0E">
        <w:tc>
          <w:tcPr>
            <w:tcW w:w="513" w:type="pct"/>
            <w:vMerge/>
            <w:tcBorders>
              <w:right w:val="nil"/>
            </w:tcBorders>
          </w:tcPr>
          <w:p w14:paraId="43F8F6E7" w14:textId="77777777" w:rsidR="00D722D0" w:rsidRPr="001F1D86" w:rsidRDefault="00D722D0" w:rsidP="004F7E0E">
            <w:pPr>
              <w:pStyle w:val="TableText"/>
              <w:rPr>
                <w:szCs w:val="17"/>
              </w:rPr>
            </w:pPr>
          </w:p>
        </w:tc>
        <w:tc>
          <w:tcPr>
            <w:tcW w:w="1103" w:type="pct"/>
            <w:vMerge/>
            <w:tcBorders>
              <w:left w:val="nil"/>
              <w:right w:val="nil"/>
            </w:tcBorders>
          </w:tcPr>
          <w:p w14:paraId="4124D90E" w14:textId="77777777" w:rsidR="00D722D0" w:rsidRPr="001F1D86" w:rsidRDefault="00D722D0" w:rsidP="004F7E0E">
            <w:pPr>
              <w:pStyle w:val="TableText"/>
              <w:rPr>
                <w:szCs w:val="17"/>
              </w:rPr>
            </w:pPr>
          </w:p>
        </w:tc>
        <w:tc>
          <w:tcPr>
            <w:tcW w:w="2355" w:type="pct"/>
            <w:tcBorders>
              <w:left w:val="nil"/>
              <w:right w:val="nil"/>
            </w:tcBorders>
          </w:tcPr>
          <w:p w14:paraId="3DA7BF75" w14:textId="77777777" w:rsidR="00D722D0" w:rsidRPr="001F1D86" w:rsidRDefault="00D722D0" w:rsidP="004F7E0E">
            <w:pPr>
              <w:pStyle w:val="TableText"/>
              <w:tabs>
                <w:tab w:val="left" w:pos="1073"/>
                <w:tab w:val="left" w:pos="1782"/>
              </w:tabs>
              <w:rPr>
                <w:szCs w:val="17"/>
              </w:rPr>
            </w:pPr>
            <w:r w:rsidRPr="001F1D86">
              <w:rPr>
                <w:szCs w:val="17"/>
              </w:rPr>
              <w:t>Florida</w:t>
            </w:r>
            <w:r w:rsidRPr="001F1D86">
              <w:rPr>
                <w:szCs w:val="17"/>
              </w:rPr>
              <w:tab/>
              <w:t>system</w:t>
            </w:r>
            <w:r w:rsidRPr="001F1D86">
              <w:rPr>
                <w:szCs w:val="17"/>
              </w:rPr>
              <w:tab/>
              <w:t>stable</w:t>
            </w:r>
          </w:p>
        </w:tc>
        <w:tc>
          <w:tcPr>
            <w:tcW w:w="1029" w:type="pct"/>
            <w:vMerge w:val="restart"/>
            <w:tcBorders>
              <w:left w:val="nil"/>
            </w:tcBorders>
          </w:tcPr>
          <w:p w14:paraId="6768CF62" w14:textId="77777777" w:rsidR="00D722D0" w:rsidRPr="001F1D86" w:rsidRDefault="00D722D0" w:rsidP="004F7E0E">
            <w:pPr>
              <w:pStyle w:val="TableText"/>
              <w:rPr>
                <w:szCs w:val="17"/>
              </w:rPr>
            </w:pPr>
            <w:r w:rsidRPr="001F1D86">
              <w:rPr>
                <w:szCs w:val="17"/>
              </w:rPr>
              <w:t>Johnston 1988b</w:t>
            </w:r>
          </w:p>
        </w:tc>
      </w:tr>
      <w:tr w:rsidR="00D722D0" w:rsidRPr="008B4AF6" w14:paraId="61A969D3" w14:textId="77777777" w:rsidTr="004F7E0E">
        <w:tc>
          <w:tcPr>
            <w:tcW w:w="513" w:type="pct"/>
            <w:vMerge/>
            <w:tcBorders>
              <w:right w:val="nil"/>
            </w:tcBorders>
          </w:tcPr>
          <w:p w14:paraId="0E4CE452" w14:textId="77777777" w:rsidR="00D722D0" w:rsidRPr="001F1D86" w:rsidRDefault="00D722D0" w:rsidP="004F7E0E">
            <w:pPr>
              <w:pStyle w:val="TableText"/>
              <w:rPr>
                <w:szCs w:val="17"/>
              </w:rPr>
            </w:pPr>
          </w:p>
        </w:tc>
        <w:tc>
          <w:tcPr>
            <w:tcW w:w="1103" w:type="pct"/>
            <w:vMerge/>
            <w:tcBorders>
              <w:left w:val="nil"/>
              <w:right w:val="nil"/>
            </w:tcBorders>
          </w:tcPr>
          <w:p w14:paraId="36DFD17E" w14:textId="77777777" w:rsidR="00D722D0" w:rsidRPr="001F1D86" w:rsidRDefault="00D722D0" w:rsidP="004F7E0E">
            <w:pPr>
              <w:pStyle w:val="TableText"/>
              <w:rPr>
                <w:szCs w:val="17"/>
              </w:rPr>
            </w:pPr>
          </w:p>
        </w:tc>
        <w:tc>
          <w:tcPr>
            <w:tcW w:w="2355" w:type="pct"/>
            <w:tcBorders>
              <w:left w:val="nil"/>
              <w:right w:val="nil"/>
            </w:tcBorders>
          </w:tcPr>
          <w:p w14:paraId="43748EFD" w14:textId="77777777" w:rsidR="00D722D0" w:rsidRPr="001F1D86" w:rsidRDefault="00D722D0" w:rsidP="004F7E0E">
            <w:pPr>
              <w:pStyle w:val="TableText"/>
              <w:rPr>
                <w:szCs w:val="17"/>
              </w:rPr>
            </w:pPr>
            <w:r w:rsidRPr="001F1D86">
              <w:rPr>
                <w:szCs w:val="17"/>
              </w:rPr>
              <w:t>Max 100% diquat in sediment</w:t>
            </w:r>
          </w:p>
          <w:p w14:paraId="699E4CEF" w14:textId="77777777" w:rsidR="00D722D0" w:rsidRPr="001F1D86" w:rsidRDefault="00D722D0" w:rsidP="004F7E0E">
            <w:pPr>
              <w:pStyle w:val="TableText"/>
              <w:rPr>
                <w:szCs w:val="17"/>
              </w:rPr>
            </w:pPr>
            <w:r w:rsidRPr="001F1D86">
              <w:rPr>
                <w:szCs w:val="17"/>
              </w:rPr>
              <w:t>&lt;0.05% mineralisation after 100 d</w:t>
            </w:r>
          </w:p>
          <w:p w14:paraId="78FA6289" w14:textId="77777777" w:rsidR="00D722D0" w:rsidRPr="001F1D86" w:rsidRDefault="00D722D0" w:rsidP="004F7E0E">
            <w:pPr>
              <w:pStyle w:val="TableText"/>
              <w:rPr>
                <w:szCs w:val="17"/>
              </w:rPr>
            </w:pPr>
            <w:r w:rsidRPr="001F1D86">
              <w:rPr>
                <w:szCs w:val="17"/>
              </w:rPr>
              <w:lastRenderedPageBreak/>
              <w:t>1.7-2.9% bound residues after 100 d</w:t>
            </w:r>
          </w:p>
        </w:tc>
        <w:tc>
          <w:tcPr>
            <w:tcW w:w="1029" w:type="pct"/>
            <w:vMerge/>
            <w:tcBorders>
              <w:left w:val="nil"/>
            </w:tcBorders>
          </w:tcPr>
          <w:p w14:paraId="38A30952" w14:textId="77777777" w:rsidR="00D722D0" w:rsidRPr="001F1D86" w:rsidRDefault="00D722D0" w:rsidP="004F7E0E">
            <w:pPr>
              <w:pStyle w:val="TableText"/>
              <w:rPr>
                <w:szCs w:val="17"/>
              </w:rPr>
            </w:pPr>
          </w:p>
        </w:tc>
      </w:tr>
      <w:tr w:rsidR="00D722D0" w:rsidRPr="00BA1B5C" w14:paraId="34DA3C8F" w14:textId="77777777" w:rsidTr="004F7E0E">
        <w:tc>
          <w:tcPr>
            <w:tcW w:w="513" w:type="pct"/>
            <w:vMerge/>
            <w:tcBorders>
              <w:right w:val="nil"/>
            </w:tcBorders>
          </w:tcPr>
          <w:p w14:paraId="3B4DB817" w14:textId="77777777" w:rsidR="00D722D0" w:rsidRPr="001F1D86" w:rsidRDefault="00D722D0" w:rsidP="004F7E0E">
            <w:pPr>
              <w:pStyle w:val="TableText"/>
              <w:rPr>
                <w:szCs w:val="17"/>
              </w:rPr>
            </w:pPr>
          </w:p>
        </w:tc>
        <w:tc>
          <w:tcPr>
            <w:tcW w:w="1103" w:type="pct"/>
            <w:vMerge w:val="restart"/>
            <w:tcBorders>
              <w:left w:val="nil"/>
              <w:right w:val="nil"/>
            </w:tcBorders>
          </w:tcPr>
          <w:p w14:paraId="2F9C2E89" w14:textId="77777777" w:rsidR="00D722D0" w:rsidRPr="001F1D86" w:rsidRDefault="00D722D0" w:rsidP="004F7E0E">
            <w:pPr>
              <w:pStyle w:val="TableText"/>
              <w:rPr>
                <w:szCs w:val="17"/>
              </w:rPr>
            </w:pPr>
            <w:r w:rsidRPr="001F1D86">
              <w:rPr>
                <w:szCs w:val="17"/>
              </w:rPr>
              <w:t>Adsorption/ desorption</w:t>
            </w:r>
          </w:p>
        </w:tc>
        <w:tc>
          <w:tcPr>
            <w:tcW w:w="2355" w:type="pct"/>
            <w:tcBorders>
              <w:left w:val="nil"/>
              <w:right w:val="nil"/>
            </w:tcBorders>
          </w:tcPr>
          <w:p w14:paraId="15B211FE" w14:textId="77777777" w:rsidR="00D722D0" w:rsidRPr="001F1D86" w:rsidRDefault="00D722D0" w:rsidP="004F7E0E">
            <w:pPr>
              <w:pStyle w:val="TableText"/>
              <w:tabs>
                <w:tab w:val="left" w:pos="931"/>
                <w:tab w:val="left" w:pos="1640"/>
                <w:tab w:val="left" w:pos="2349"/>
              </w:tabs>
              <w:rPr>
                <w:szCs w:val="17"/>
              </w:rPr>
            </w:pPr>
            <w:r w:rsidRPr="001F1D86">
              <w:rPr>
                <w:szCs w:val="17"/>
                <w:u w:val="single"/>
              </w:rPr>
              <w:t>Sediment</w:t>
            </w:r>
            <w:r w:rsidRPr="001F1D86">
              <w:rPr>
                <w:szCs w:val="17"/>
              </w:rPr>
              <w:tab/>
            </w:r>
            <w:r w:rsidRPr="001F1D86">
              <w:rPr>
                <w:szCs w:val="17"/>
                <w:u w:val="single"/>
              </w:rPr>
              <w:t>%OC</w:t>
            </w:r>
            <w:r w:rsidRPr="001F1D86">
              <w:rPr>
                <w:szCs w:val="17"/>
              </w:rPr>
              <w:tab/>
            </w:r>
            <w:r w:rsidRPr="001F1D86">
              <w:rPr>
                <w:szCs w:val="17"/>
                <w:u w:val="single"/>
              </w:rPr>
              <w:t>Kf</w:t>
            </w:r>
            <w:r w:rsidRPr="001F1D86">
              <w:rPr>
                <w:szCs w:val="17"/>
              </w:rPr>
              <w:tab/>
            </w:r>
            <w:r w:rsidRPr="001F1D86">
              <w:rPr>
                <w:szCs w:val="17"/>
                <w:u w:val="single"/>
              </w:rPr>
              <w:t>1/n</w:t>
            </w:r>
          </w:p>
        </w:tc>
        <w:tc>
          <w:tcPr>
            <w:tcW w:w="1029" w:type="pct"/>
            <w:vMerge/>
            <w:tcBorders>
              <w:left w:val="nil"/>
            </w:tcBorders>
          </w:tcPr>
          <w:p w14:paraId="6B68F70A" w14:textId="77777777" w:rsidR="00D722D0" w:rsidRPr="001F1D86" w:rsidRDefault="00D722D0" w:rsidP="004F7E0E">
            <w:pPr>
              <w:pStyle w:val="TableText"/>
              <w:rPr>
                <w:szCs w:val="17"/>
              </w:rPr>
            </w:pPr>
          </w:p>
        </w:tc>
      </w:tr>
      <w:tr w:rsidR="00D722D0" w:rsidRPr="008B4AF6" w14:paraId="4C0EDA66" w14:textId="77777777" w:rsidTr="004F7E0E">
        <w:tc>
          <w:tcPr>
            <w:tcW w:w="513" w:type="pct"/>
            <w:vMerge/>
            <w:tcBorders>
              <w:right w:val="nil"/>
            </w:tcBorders>
          </w:tcPr>
          <w:p w14:paraId="33521297" w14:textId="77777777" w:rsidR="00D722D0" w:rsidRPr="001F1D86" w:rsidRDefault="00D722D0" w:rsidP="004F7E0E">
            <w:pPr>
              <w:pStyle w:val="TableText"/>
              <w:rPr>
                <w:szCs w:val="17"/>
              </w:rPr>
            </w:pPr>
          </w:p>
        </w:tc>
        <w:tc>
          <w:tcPr>
            <w:tcW w:w="1103" w:type="pct"/>
            <w:vMerge/>
            <w:tcBorders>
              <w:left w:val="nil"/>
              <w:right w:val="nil"/>
            </w:tcBorders>
          </w:tcPr>
          <w:p w14:paraId="6EA0001F" w14:textId="77777777" w:rsidR="00D722D0" w:rsidRPr="001F1D86" w:rsidRDefault="00D722D0" w:rsidP="004F7E0E">
            <w:pPr>
              <w:pStyle w:val="TableText"/>
              <w:rPr>
                <w:szCs w:val="17"/>
              </w:rPr>
            </w:pPr>
          </w:p>
        </w:tc>
        <w:tc>
          <w:tcPr>
            <w:tcW w:w="2355" w:type="pct"/>
            <w:tcBorders>
              <w:left w:val="nil"/>
              <w:right w:val="nil"/>
            </w:tcBorders>
          </w:tcPr>
          <w:p w14:paraId="0B319A3A" w14:textId="77777777" w:rsidR="00D722D0" w:rsidRPr="001F1D86" w:rsidRDefault="00D722D0" w:rsidP="004F7E0E">
            <w:pPr>
              <w:pStyle w:val="TableText"/>
              <w:tabs>
                <w:tab w:val="left" w:pos="931"/>
                <w:tab w:val="left" w:pos="1640"/>
                <w:tab w:val="left" w:pos="2349"/>
              </w:tabs>
              <w:rPr>
                <w:szCs w:val="17"/>
              </w:rPr>
            </w:pPr>
            <w:r w:rsidRPr="001F1D86">
              <w:rPr>
                <w:szCs w:val="17"/>
              </w:rPr>
              <w:t>Fine</w:t>
            </w:r>
            <w:r w:rsidRPr="001F1D86">
              <w:rPr>
                <w:szCs w:val="17"/>
              </w:rPr>
              <w:tab/>
              <w:t>4.9</w:t>
            </w:r>
            <w:r w:rsidRPr="001F1D86">
              <w:rPr>
                <w:szCs w:val="17"/>
              </w:rPr>
              <w:tab/>
              <w:t>400809</w:t>
            </w:r>
            <w:r w:rsidRPr="001F1D86">
              <w:rPr>
                <w:szCs w:val="17"/>
              </w:rPr>
              <w:tab/>
              <w:t>1.41</w:t>
            </w:r>
          </w:p>
          <w:p w14:paraId="08F66B61" w14:textId="77777777" w:rsidR="00D722D0" w:rsidRPr="001F1D86" w:rsidRDefault="00D722D0" w:rsidP="004F7E0E">
            <w:pPr>
              <w:pStyle w:val="TableText"/>
              <w:tabs>
                <w:tab w:val="left" w:pos="931"/>
                <w:tab w:val="left" w:pos="1640"/>
                <w:tab w:val="left" w:pos="2349"/>
              </w:tabs>
              <w:rPr>
                <w:szCs w:val="17"/>
              </w:rPr>
            </w:pPr>
            <w:r w:rsidRPr="001F1D86">
              <w:rPr>
                <w:szCs w:val="17"/>
              </w:rPr>
              <w:t>Coarse</w:t>
            </w:r>
            <w:r w:rsidRPr="001F1D86">
              <w:rPr>
                <w:szCs w:val="17"/>
              </w:rPr>
              <w:tab/>
              <w:t>0.7</w:t>
            </w:r>
            <w:r w:rsidRPr="001F1D86">
              <w:rPr>
                <w:szCs w:val="17"/>
              </w:rPr>
              <w:tab/>
              <w:t>9452</w:t>
            </w:r>
            <w:r w:rsidRPr="001F1D86">
              <w:rPr>
                <w:szCs w:val="17"/>
              </w:rPr>
              <w:tab/>
              <w:t>1.02</w:t>
            </w:r>
          </w:p>
        </w:tc>
        <w:tc>
          <w:tcPr>
            <w:tcW w:w="1029" w:type="pct"/>
            <w:tcBorders>
              <w:left w:val="nil"/>
            </w:tcBorders>
          </w:tcPr>
          <w:p w14:paraId="70822693" w14:textId="77777777" w:rsidR="00D722D0" w:rsidRPr="001F1D86" w:rsidRDefault="00D722D0" w:rsidP="004F7E0E">
            <w:pPr>
              <w:pStyle w:val="TableText"/>
              <w:rPr>
                <w:szCs w:val="17"/>
              </w:rPr>
            </w:pPr>
            <w:r w:rsidRPr="001F1D86">
              <w:rPr>
                <w:szCs w:val="17"/>
              </w:rPr>
              <w:t>Mônego 2005</w:t>
            </w:r>
          </w:p>
        </w:tc>
      </w:tr>
      <w:tr w:rsidR="00D722D0" w:rsidRPr="008B4AF6" w14:paraId="3310CE9C" w14:textId="77777777" w:rsidTr="004F7E0E">
        <w:tc>
          <w:tcPr>
            <w:tcW w:w="513" w:type="pct"/>
            <w:vMerge/>
            <w:tcBorders>
              <w:right w:val="nil"/>
            </w:tcBorders>
          </w:tcPr>
          <w:p w14:paraId="70DD64C7" w14:textId="77777777" w:rsidR="00D722D0" w:rsidRPr="001F1D86" w:rsidRDefault="00D722D0" w:rsidP="004F7E0E">
            <w:pPr>
              <w:pStyle w:val="TableText"/>
              <w:rPr>
                <w:szCs w:val="17"/>
              </w:rPr>
            </w:pPr>
          </w:p>
        </w:tc>
        <w:tc>
          <w:tcPr>
            <w:tcW w:w="1103" w:type="pct"/>
            <w:vMerge/>
            <w:tcBorders>
              <w:left w:val="nil"/>
              <w:right w:val="nil"/>
            </w:tcBorders>
          </w:tcPr>
          <w:p w14:paraId="78700B71" w14:textId="77777777" w:rsidR="00D722D0" w:rsidRPr="001F1D86" w:rsidRDefault="00D722D0" w:rsidP="004F7E0E">
            <w:pPr>
              <w:pStyle w:val="TableText"/>
              <w:rPr>
                <w:szCs w:val="17"/>
              </w:rPr>
            </w:pPr>
          </w:p>
        </w:tc>
        <w:tc>
          <w:tcPr>
            <w:tcW w:w="2355" w:type="pct"/>
            <w:tcBorders>
              <w:left w:val="nil"/>
              <w:right w:val="nil"/>
            </w:tcBorders>
          </w:tcPr>
          <w:p w14:paraId="7D73F6A4" w14:textId="77777777" w:rsidR="00D722D0" w:rsidRPr="001F1D86" w:rsidRDefault="00D722D0" w:rsidP="004F7E0E">
            <w:pPr>
              <w:pStyle w:val="TableText"/>
              <w:tabs>
                <w:tab w:val="left" w:pos="931"/>
                <w:tab w:val="left" w:pos="1640"/>
                <w:tab w:val="left" w:pos="2349"/>
              </w:tabs>
              <w:rPr>
                <w:szCs w:val="17"/>
              </w:rPr>
            </w:pPr>
            <w:r w:rsidRPr="001F1D86">
              <w:rPr>
                <w:szCs w:val="17"/>
              </w:rPr>
              <w:t>Sand</w:t>
            </w:r>
            <w:r w:rsidRPr="001F1D86">
              <w:rPr>
                <w:szCs w:val="17"/>
              </w:rPr>
              <w:tab/>
              <w:t>0.7</w:t>
            </w:r>
            <w:r w:rsidRPr="001F1D86">
              <w:rPr>
                <w:szCs w:val="17"/>
              </w:rPr>
              <w:tab/>
              <w:t>15</w:t>
            </w:r>
            <w:r w:rsidRPr="001F1D86">
              <w:rPr>
                <w:szCs w:val="17"/>
              </w:rPr>
              <w:tab/>
              <w:t>0.52</w:t>
            </w:r>
          </w:p>
        </w:tc>
        <w:tc>
          <w:tcPr>
            <w:tcW w:w="1029" w:type="pct"/>
            <w:vMerge w:val="restart"/>
            <w:tcBorders>
              <w:left w:val="nil"/>
            </w:tcBorders>
          </w:tcPr>
          <w:p w14:paraId="64C9F6E0" w14:textId="77777777" w:rsidR="00D722D0" w:rsidRPr="001F1D86" w:rsidRDefault="00D722D0" w:rsidP="004F7E0E">
            <w:pPr>
              <w:pStyle w:val="TableText"/>
              <w:rPr>
                <w:szCs w:val="17"/>
              </w:rPr>
            </w:pPr>
            <w:r w:rsidRPr="001F1D86">
              <w:rPr>
                <w:szCs w:val="17"/>
              </w:rPr>
              <w:t>Pack 1987</w:t>
            </w:r>
          </w:p>
        </w:tc>
      </w:tr>
      <w:tr w:rsidR="00D722D0" w:rsidRPr="008B4AF6" w14:paraId="0ECF7231" w14:textId="77777777" w:rsidTr="004F7E0E">
        <w:tc>
          <w:tcPr>
            <w:tcW w:w="513" w:type="pct"/>
            <w:vMerge/>
            <w:tcBorders>
              <w:right w:val="nil"/>
            </w:tcBorders>
          </w:tcPr>
          <w:p w14:paraId="26D30B58" w14:textId="77777777" w:rsidR="00D722D0" w:rsidRPr="001F1D86" w:rsidRDefault="00D722D0" w:rsidP="004F7E0E">
            <w:pPr>
              <w:pStyle w:val="TableText"/>
              <w:rPr>
                <w:szCs w:val="17"/>
              </w:rPr>
            </w:pPr>
          </w:p>
        </w:tc>
        <w:tc>
          <w:tcPr>
            <w:tcW w:w="1103" w:type="pct"/>
            <w:vMerge/>
            <w:tcBorders>
              <w:left w:val="nil"/>
              <w:right w:val="nil"/>
            </w:tcBorders>
          </w:tcPr>
          <w:p w14:paraId="0966EC30" w14:textId="77777777" w:rsidR="00D722D0" w:rsidRPr="001F1D86" w:rsidRDefault="00D722D0" w:rsidP="004F7E0E">
            <w:pPr>
              <w:pStyle w:val="TableText"/>
              <w:rPr>
                <w:szCs w:val="17"/>
              </w:rPr>
            </w:pPr>
          </w:p>
        </w:tc>
        <w:tc>
          <w:tcPr>
            <w:tcW w:w="2355" w:type="pct"/>
            <w:tcBorders>
              <w:left w:val="nil"/>
              <w:right w:val="nil"/>
            </w:tcBorders>
          </w:tcPr>
          <w:p w14:paraId="4C7FB046" w14:textId="77777777" w:rsidR="00D722D0" w:rsidRPr="001F1D86" w:rsidRDefault="00D722D0" w:rsidP="004F7E0E">
            <w:pPr>
              <w:pStyle w:val="TableText"/>
              <w:rPr>
                <w:szCs w:val="17"/>
              </w:rPr>
            </w:pPr>
            <w:r w:rsidRPr="001F1D86">
              <w:rPr>
                <w:szCs w:val="17"/>
              </w:rPr>
              <w:t>Mean Kf 136759 mL/g, 1/n 0.98</w:t>
            </w:r>
          </w:p>
        </w:tc>
        <w:tc>
          <w:tcPr>
            <w:tcW w:w="1029" w:type="pct"/>
            <w:vMerge/>
            <w:tcBorders>
              <w:left w:val="nil"/>
            </w:tcBorders>
          </w:tcPr>
          <w:p w14:paraId="599A482B" w14:textId="77777777" w:rsidR="00D722D0" w:rsidRPr="001F1D86" w:rsidRDefault="00D722D0" w:rsidP="004F7E0E">
            <w:pPr>
              <w:pStyle w:val="TableText"/>
              <w:rPr>
                <w:szCs w:val="17"/>
              </w:rPr>
            </w:pPr>
          </w:p>
        </w:tc>
      </w:tr>
      <w:tr w:rsidR="00D722D0" w:rsidRPr="008B4AF6" w14:paraId="0D9E0FD7" w14:textId="77777777" w:rsidTr="004F7E0E">
        <w:tc>
          <w:tcPr>
            <w:tcW w:w="513" w:type="pct"/>
            <w:vMerge/>
            <w:tcBorders>
              <w:right w:val="nil"/>
            </w:tcBorders>
          </w:tcPr>
          <w:p w14:paraId="475C69BD" w14:textId="77777777" w:rsidR="00D722D0" w:rsidRPr="001F1D86" w:rsidRDefault="00D722D0" w:rsidP="004F7E0E">
            <w:pPr>
              <w:pStyle w:val="TableText"/>
              <w:rPr>
                <w:szCs w:val="17"/>
              </w:rPr>
            </w:pPr>
          </w:p>
        </w:tc>
        <w:tc>
          <w:tcPr>
            <w:tcW w:w="1103" w:type="pct"/>
            <w:tcBorders>
              <w:left w:val="nil"/>
              <w:right w:val="nil"/>
            </w:tcBorders>
          </w:tcPr>
          <w:p w14:paraId="3F514A62" w14:textId="77777777" w:rsidR="00D722D0" w:rsidRPr="001F1D86" w:rsidRDefault="00D722D0" w:rsidP="004F7E0E">
            <w:pPr>
              <w:pStyle w:val="TableText"/>
              <w:rPr>
                <w:szCs w:val="17"/>
              </w:rPr>
            </w:pPr>
            <w:r w:rsidRPr="001F1D86">
              <w:rPr>
                <w:szCs w:val="17"/>
              </w:rPr>
              <w:t>Aquatic field dissipation</w:t>
            </w:r>
          </w:p>
        </w:tc>
        <w:tc>
          <w:tcPr>
            <w:tcW w:w="2355" w:type="pct"/>
            <w:tcBorders>
              <w:left w:val="nil"/>
              <w:right w:val="nil"/>
            </w:tcBorders>
          </w:tcPr>
          <w:p w14:paraId="2C9F5976"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0.50 d in Florida pond water</w:t>
            </w:r>
          </w:p>
        </w:tc>
        <w:tc>
          <w:tcPr>
            <w:tcW w:w="1029" w:type="pct"/>
            <w:tcBorders>
              <w:left w:val="nil"/>
            </w:tcBorders>
          </w:tcPr>
          <w:p w14:paraId="7837BEC2" w14:textId="08B1436D" w:rsidR="00D722D0" w:rsidRPr="001F1D86" w:rsidRDefault="00D722D0" w:rsidP="004F7E0E">
            <w:pPr>
              <w:pStyle w:val="TableText"/>
              <w:rPr>
                <w:szCs w:val="17"/>
              </w:rPr>
            </w:pPr>
            <w:r w:rsidRPr="001F1D86">
              <w:rPr>
                <w:szCs w:val="17"/>
              </w:rPr>
              <w:t>Fujie1988</w:t>
            </w:r>
            <w:r w:rsidR="00797241">
              <w:rPr>
                <w:szCs w:val="17"/>
              </w:rPr>
              <w:t>(d)</w:t>
            </w:r>
          </w:p>
        </w:tc>
      </w:tr>
    </w:tbl>
    <w:p w14:paraId="2FA97D3F" w14:textId="2CC32EA3" w:rsidR="00296F32" w:rsidRPr="00247DE6" w:rsidRDefault="005B7DDF" w:rsidP="00247DE6">
      <w:pPr>
        <w:pStyle w:val="Caption"/>
      </w:pPr>
      <w:bookmarkStart w:id="484" w:name="_Toc232589639"/>
      <w:r w:rsidRPr="00247DE6">
        <w:t xml:space="preserve">Table </w:t>
      </w:r>
      <w:fldSimple w:instr=" SEQ Table \* ARABIC ">
        <w:r w:rsidR="00247DE6">
          <w:rPr>
            <w:noProof/>
          </w:rPr>
          <w:t>44</w:t>
        </w:r>
      </w:fldSimple>
      <w:r w:rsidRPr="00247DE6">
        <w:t xml:space="preserve">: </w:t>
      </w:r>
      <w:r w:rsidR="00294CD3" w:rsidRPr="00247DE6">
        <w:t xml:space="preserve">Diquat – </w:t>
      </w:r>
      <w:r w:rsidR="00D722D0" w:rsidRPr="00247DE6">
        <w:t>f</w:t>
      </w:r>
      <w:r w:rsidR="00296F32" w:rsidRPr="00247DE6">
        <w:t>ate and behaviour in air</w:t>
      </w:r>
      <w:bookmarkEnd w:id="484"/>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049"/>
        <w:gridCol w:w="3544"/>
        <w:gridCol w:w="3119"/>
        <w:gridCol w:w="2040"/>
      </w:tblGrid>
      <w:tr w:rsidR="00296F32" w:rsidRPr="000B2FA7" w14:paraId="6D282B18" w14:textId="77777777" w:rsidTr="00514EF5">
        <w:trPr>
          <w:tblHeader/>
        </w:trPr>
        <w:tc>
          <w:tcPr>
            <w:tcW w:w="538" w:type="pct"/>
            <w:tcBorders>
              <w:bottom w:val="single" w:sz="4" w:space="0" w:color="auto"/>
            </w:tcBorders>
            <w:shd w:val="clear" w:color="auto" w:fill="5C2946"/>
          </w:tcPr>
          <w:p w14:paraId="143693F6" w14:textId="77777777" w:rsidR="00296F32" w:rsidRPr="00D722D0" w:rsidRDefault="00296F32" w:rsidP="00D722D0">
            <w:pPr>
              <w:pStyle w:val="TableHead"/>
            </w:pPr>
            <w:r w:rsidRPr="00D722D0">
              <w:t>Substance</w:t>
            </w:r>
          </w:p>
        </w:tc>
        <w:tc>
          <w:tcPr>
            <w:tcW w:w="1817" w:type="pct"/>
            <w:tcBorders>
              <w:bottom w:val="single" w:sz="4" w:space="0" w:color="auto"/>
            </w:tcBorders>
            <w:shd w:val="clear" w:color="auto" w:fill="5C2946"/>
          </w:tcPr>
          <w:p w14:paraId="0CD6EF14" w14:textId="77777777" w:rsidR="00296F32" w:rsidRPr="00D722D0" w:rsidRDefault="00296F32" w:rsidP="00D722D0">
            <w:pPr>
              <w:pStyle w:val="TableHead"/>
            </w:pPr>
            <w:r w:rsidRPr="00D722D0">
              <w:t>Study</w:t>
            </w:r>
          </w:p>
        </w:tc>
        <w:tc>
          <w:tcPr>
            <w:tcW w:w="1599" w:type="pct"/>
            <w:shd w:val="clear" w:color="auto" w:fill="5C2946"/>
          </w:tcPr>
          <w:p w14:paraId="2C9E9A46" w14:textId="77777777" w:rsidR="00296F32" w:rsidRPr="00D722D0" w:rsidRDefault="00296F32" w:rsidP="00D722D0">
            <w:pPr>
              <w:pStyle w:val="TableHead"/>
            </w:pPr>
            <w:r w:rsidRPr="00D722D0">
              <w:t>Result</w:t>
            </w:r>
          </w:p>
        </w:tc>
        <w:tc>
          <w:tcPr>
            <w:tcW w:w="1046" w:type="pct"/>
            <w:shd w:val="clear" w:color="auto" w:fill="5C2946"/>
          </w:tcPr>
          <w:p w14:paraId="5B913842" w14:textId="77777777" w:rsidR="00296F32" w:rsidRPr="00D722D0" w:rsidRDefault="00296F32" w:rsidP="00D722D0">
            <w:pPr>
              <w:pStyle w:val="TableHead"/>
            </w:pPr>
            <w:r w:rsidRPr="00D722D0">
              <w:t>Reference</w:t>
            </w:r>
          </w:p>
        </w:tc>
      </w:tr>
      <w:tr w:rsidR="00296F32" w:rsidRPr="000B2FA7" w14:paraId="18967D55" w14:textId="77777777" w:rsidTr="00514EF5">
        <w:tc>
          <w:tcPr>
            <w:tcW w:w="538" w:type="pct"/>
            <w:tcBorders>
              <w:left w:val="nil"/>
              <w:bottom w:val="single" w:sz="4" w:space="0" w:color="auto"/>
            </w:tcBorders>
          </w:tcPr>
          <w:p w14:paraId="390A1FDF" w14:textId="77777777" w:rsidR="00296F32" w:rsidRPr="00D722D0" w:rsidRDefault="00296F32" w:rsidP="00D722D0">
            <w:pPr>
              <w:pStyle w:val="TableText"/>
            </w:pPr>
            <w:r w:rsidRPr="00D722D0">
              <w:t>Diquat</w:t>
            </w:r>
          </w:p>
        </w:tc>
        <w:tc>
          <w:tcPr>
            <w:tcW w:w="1817" w:type="pct"/>
            <w:tcBorders>
              <w:left w:val="nil"/>
              <w:bottom w:val="single" w:sz="4" w:space="0" w:color="auto"/>
            </w:tcBorders>
          </w:tcPr>
          <w:p w14:paraId="54757412" w14:textId="77777777" w:rsidR="00296F32" w:rsidRPr="00D722D0" w:rsidRDefault="00296F32" w:rsidP="00D722D0">
            <w:pPr>
              <w:pStyle w:val="TableText"/>
            </w:pPr>
            <w:r w:rsidRPr="00D722D0">
              <w:t>Photochemical oxidative degradation</w:t>
            </w:r>
          </w:p>
        </w:tc>
        <w:tc>
          <w:tcPr>
            <w:tcW w:w="1599" w:type="pct"/>
          </w:tcPr>
          <w:p w14:paraId="38F2AA03" w14:textId="77777777" w:rsidR="00296F32" w:rsidRPr="00D722D0" w:rsidRDefault="00296F32" w:rsidP="00D722D0">
            <w:pPr>
              <w:pStyle w:val="TableText"/>
            </w:pPr>
            <w:r w:rsidRPr="00D722D0">
              <w:t>DT</w:t>
            </w:r>
            <w:r w:rsidRPr="00D722D0">
              <w:rPr>
                <w:vertAlign w:val="subscript"/>
              </w:rPr>
              <w:t>50</w:t>
            </w:r>
            <w:r w:rsidRPr="00D722D0">
              <w:t xml:space="preserve"> 5.5 h</w:t>
            </w:r>
          </w:p>
        </w:tc>
        <w:tc>
          <w:tcPr>
            <w:tcW w:w="1046" w:type="pct"/>
          </w:tcPr>
          <w:p w14:paraId="5070F5E7" w14:textId="77777777" w:rsidR="00296F32" w:rsidRPr="00D722D0" w:rsidRDefault="00296F32" w:rsidP="00D722D0">
            <w:pPr>
              <w:pStyle w:val="TableText"/>
            </w:pPr>
            <w:r w:rsidRPr="00D722D0">
              <w:t>Hayes 2001</w:t>
            </w:r>
          </w:p>
        </w:tc>
      </w:tr>
    </w:tbl>
    <w:p w14:paraId="4971E1F5" w14:textId="428A6160" w:rsidR="00296F32" w:rsidRPr="00247DE6" w:rsidRDefault="005B7DDF" w:rsidP="00247DE6">
      <w:pPr>
        <w:pStyle w:val="Caption"/>
      </w:pPr>
      <w:bookmarkStart w:id="485" w:name="_Toc232589640"/>
      <w:r w:rsidRPr="00247DE6">
        <w:t xml:space="preserve">Table </w:t>
      </w:r>
      <w:fldSimple w:instr=" SEQ Table \* ARABIC ">
        <w:r w:rsidR="00247DE6">
          <w:rPr>
            <w:noProof/>
          </w:rPr>
          <w:t>45</w:t>
        </w:r>
      </w:fldSimple>
      <w:r w:rsidRPr="00247DE6">
        <w:t xml:space="preserve">: </w:t>
      </w:r>
      <w:r w:rsidR="00294CD3" w:rsidRPr="00247DE6">
        <w:t xml:space="preserve">Diquat – </w:t>
      </w:r>
      <w:r w:rsidR="00D722D0" w:rsidRPr="00247DE6">
        <w:t>m</w:t>
      </w:r>
      <w:r w:rsidR="00296F32" w:rsidRPr="00247DE6">
        <w:t>onitoring data</w:t>
      </w:r>
      <w:bookmarkEnd w:id="48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9"/>
        <w:gridCol w:w="1305"/>
        <w:gridCol w:w="5451"/>
        <w:gridCol w:w="2007"/>
      </w:tblGrid>
      <w:tr w:rsidR="00296F32" w:rsidRPr="000B2FA7" w14:paraId="6A2A5324" w14:textId="77777777" w:rsidTr="00514EF5">
        <w:trPr>
          <w:tblHeader/>
        </w:trPr>
        <w:tc>
          <w:tcPr>
            <w:tcW w:w="0" w:type="auto"/>
            <w:tcBorders>
              <w:right w:val="nil"/>
            </w:tcBorders>
            <w:shd w:val="clear" w:color="auto" w:fill="5C2946"/>
          </w:tcPr>
          <w:p w14:paraId="30F6576F" w14:textId="77777777" w:rsidR="00296F32" w:rsidRPr="00D722D0" w:rsidRDefault="00296F32" w:rsidP="00D722D0">
            <w:pPr>
              <w:pStyle w:val="TableHead"/>
            </w:pPr>
            <w:r w:rsidRPr="00D722D0">
              <w:t>Substance</w:t>
            </w:r>
          </w:p>
        </w:tc>
        <w:tc>
          <w:tcPr>
            <w:tcW w:w="669" w:type="pct"/>
            <w:tcBorders>
              <w:left w:val="nil"/>
              <w:right w:val="nil"/>
            </w:tcBorders>
            <w:shd w:val="clear" w:color="auto" w:fill="5C2946"/>
          </w:tcPr>
          <w:p w14:paraId="75851895" w14:textId="77777777" w:rsidR="00296F32" w:rsidRPr="00D722D0" w:rsidRDefault="00296F32" w:rsidP="00D722D0">
            <w:pPr>
              <w:pStyle w:val="TableHead"/>
            </w:pPr>
            <w:r w:rsidRPr="00D722D0">
              <w:t>Medium</w:t>
            </w:r>
          </w:p>
        </w:tc>
        <w:tc>
          <w:tcPr>
            <w:tcW w:w="2795" w:type="pct"/>
            <w:tcBorders>
              <w:left w:val="nil"/>
              <w:right w:val="nil"/>
            </w:tcBorders>
            <w:shd w:val="clear" w:color="auto" w:fill="5C2946"/>
          </w:tcPr>
          <w:p w14:paraId="0E0D157A" w14:textId="77777777" w:rsidR="00296F32" w:rsidRPr="00D722D0" w:rsidRDefault="00296F32" w:rsidP="00D722D0">
            <w:pPr>
              <w:pStyle w:val="TableHead"/>
            </w:pPr>
            <w:r w:rsidRPr="00D722D0">
              <w:t>Result</w:t>
            </w:r>
          </w:p>
        </w:tc>
        <w:tc>
          <w:tcPr>
            <w:tcW w:w="1029" w:type="pct"/>
            <w:tcBorders>
              <w:left w:val="nil"/>
            </w:tcBorders>
            <w:shd w:val="clear" w:color="auto" w:fill="5C2946"/>
          </w:tcPr>
          <w:p w14:paraId="26FD9ADA" w14:textId="77777777" w:rsidR="00296F32" w:rsidRPr="00D722D0" w:rsidRDefault="00296F32" w:rsidP="00D722D0">
            <w:pPr>
              <w:pStyle w:val="TableHead"/>
            </w:pPr>
            <w:r w:rsidRPr="00D722D0">
              <w:t>Reference</w:t>
            </w:r>
          </w:p>
        </w:tc>
      </w:tr>
      <w:tr w:rsidR="00D722D0" w:rsidRPr="000B2FA7" w14:paraId="6C6A6815" w14:textId="77777777" w:rsidTr="00514EF5">
        <w:tc>
          <w:tcPr>
            <w:tcW w:w="0" w:type="auto"/>
            <w:vMerge w:val="restart"/>
            <w:tcBorders>
              <w:right w:val="nil"/>
            </w:tcBorders>
          </w:tcPr>
          <w:p w14:paraId="74C483E3" w14:textId="77777777" w:rsidR="00D722D0" w:rsidRPr="00D722D0" w:rsidRDefault="00D722D0" w:rsidP="00D722D0">
            <w:pPr>
              <w:pStyle w:val="TableText"/>
            </w:pPr>
            <w:r w:rsidRPr="00D722D0">
              <w:t>Diquat</w:t>
            </w:r>
          </w:p>
        </w:tc>
        <w:tc>
          <w:tcPr>
            <w:tcW w:w="0" w:type="auto"/>
            <w:vMerge w:val="restart"/>
            <w:tcBorders>
              <w:left w:val="nil"/>
              <w:right w:val="nil"/>
            </w:tcBorders>
          </w:tcPr>
          <w:p w14:paraId="32048650" w14:textId="77777777" w:rsidR="00D722D0" w:rsidRPr="00D722D0" w:rsidRDefault="00D722D0" w:rsidP="00D722D0">
            <w:pPr>
              <w:pStyle w:val="TableText"/>
            </w:pPr>
            <w:r w:rsidRPr="00D722D0">
              <w:t>Insects</w:t>
            </w:r>
          </w:p>
        </w:tc>
        <w:tc>
          <w:tcPr>
            <w:tcW w:w="2795" w:type="pct"/>
            <w:tcBorders>
              <w:left w:val="nil"/>
              <w:right w:val="nil"/>
            </w:tcBorders>
          </w:tcPr>
          <w:p w14:paraId="72A185CC" w14:textId="77777777" w:rsidR="00D722D0" w:rsidRPr="00D722D0" w:rsidRDefault="00D722D0" w:rsidP="00D722D0">
            <w:pPr>
              <w:pStyle w:val="TableText"/>
            </w:pPr>
            <w:r w:rsidRPr="00D722D0">
              <w:t>Max 5.0 mg/kg in beetles following cereal stubble application at 1000 g ac/ha</w:t>
            </w:r>
          </w:p>
        </w:tc>
        <w:tc>
          <w:tcPr>
            <w:tcW w:w="1029" w:type="pct"/>
            <w:tcBorders>
              <w:left w:val="nil"/>
            </w:tcBorders>
          </w:tcPr>
          <w:p w14:paraId="3996E20A" w14:textId="77777777" w:rsidR="00D722D0" w:rsidRPr="00D722D0" w:rsidRDefault="00D722D0" w:rsidP="00D722D0">
            <w:pPr>
              <w:pStyle w:val="TableText"/>
            </w:pPr>
            <w:r w:rsidRPr="00D722D0">
              <w:t>Jutsum 2011</w:t>
            </w:r>
          </w:p>
        </w:tc>
      </w:tr>
      <w:tr w:rsidR="00D722D0" w:rsidRPr="000B2FA7" w14:paraId="27D49EA8" w14:textId="77777777" w:rsidTr="00514EF5">
        <w:tc>
          <w:tcPr>
            <w:tcW w:w="0" w:type="auto"/>
            <w:vMerge/>
            <w:tcBorders>
              <w:right w:val="nil"/>
            </w:tcBorders>
          </w:tcPr>
          <w:p w14:paraId="4927CE49" w14:textId="77777777" w:rsidR="00D722D0" w:rsidRPr="00D722D0" w:rsidRDefault="00D722D0" w:rsidP="00D722D0">
            <w:pPr>
              <w:pStyle w:val="TableText"/>
            </w:pPr>
          </w:p>
        </w:tc>
        <w:tc>
          <w:tcPr>
            <w:tcW w:w="0" w:type="auto"/>
            <w:vMerge/>
            <w:tcBorders>
              <w:left w:val="nil"/>
              <w:right w:val="nil"/>
            </w:tcBorders>
          </w:tcPr>
          <w:p w14:paraId="1721ACA6" w14:textId="77777777" w:rsidR="00D722D0" w:rsidRPr="00D722D0" w:rsidRDefault="00D722D0" w:rsidP="00D722D0">
            <w:pPr>
              <w:pStyle w:val="TableText"/>
            </w:pPr>
          </w:p>
        </w:tc>
        <w:tc>
          <w:tcPr>
            <w:tcW w:w="2795" w:type="pct"/>
            <w:tcBorders>
              <w:left w:val="nil"/>
              <w:right w:val="nil"/>
            </w:tcBorders>
          </w:tcPr>
          <w:p w14:paraId="01E925E3" w14:textId="77777777" w:rsidR="00D722D0" w:rsidRPr="00D722D0" w:rsidRDefault="00D722D0" w:rsidP="00D722D0">
            <w:pPr>
              <w:pStyle w:val="TableText"/>
            </w:pPr>
            <w:r w:rsidRPr="00D722D0">
              <w:t>Max 185 mg/kg in insects following lentil application at 550 g ac/ha</w:t>
            </w:r>
          </w:p>
        </w:tc>
        <w:tc>
          <w:tcPr>
            <w:tcW w:w="1029" w:type="pct"/>
            <w:tcBorders>
              <w:left w:val="nil"/>
            </w:tcBorders>
          </w:tcPr>
          <w:p w14:paraId="685F372D" w14:textId="77777777" w:rsidR="00D722D0" w:rsidRPr="00D722D0" w:rsidRDefault="00D722D0" w:rsidP="00D722D0">
            <w:pPr>
              <w:pStyle w:val="TableText"/>
            </w:pPr>
            <w:r w:rsidRPr="00D722D0">
              <w:t>Edwards et al. 1991</w:t>
            </w:r>
          </w:p>
        </w:tc>
      </w:tr>
      <w:tr w:rsidR="00D722D0" w:rsidRPr="000B2FA7" w14:paraId="4BDFBB7C" w14:textId="77777777" w:rsidTr="00514EF5">
        <w:tc>
          <w:tcPr>
            <w:tcW w:w="0" w:type="auto"/>
            <w:vMerge/>
            <w:tcBorders>
              <w:right w:val="nil"/>
            </w:tcBorders>
          </w:tcPr>
          <w:p w14:paraId="22D74D54" w14:textId="77777777" w:rsidR="00D722D0" w:rsidRPr="00D722D0" w:rsidRDefault="00D722D0" w:rsidP="00D722D0">
            <w:pPr>
              <w:pStyle w:val="TableText"/>
            </w:pPr>
          </w:p>
        </w:tc>
        <w:tc>
          <w:tcPr>
            <w:tcW w:w="0" w:type="auto"/>
            <w:vMerge w:val="restart"/>
            <w:tcBorders>
              <w:left w:val="nil"/>
              <w:right w:val="nil"/>
            </w:tcBorders>
          </w:tcPr>
          <w:p w14:paraId="38BE4F21" w14:textId="77777777" w:rsidR="00D722D0" w:rsidRPr="00D722D0" w:rsidRDefault="00D722D0" w:rsidP="00D722D0">
            <w:pPr>
              <w:pStyle w:val="TableText"/>
            </w:pPr>
            <w:r w:rsidRPr="00D722D0">
              <w:t>Foliage</w:t>
            </w:r>
          </w:p>
        </w:tc>
        <w:tc>
          <w:tcPr>
            <w:tcW w:w="2795" w:type="pct"/>
            <w:tcBorders>
              <w:left w:val="nil"/>
              <w:right w:val="nil"/>
            </w:tcBorders>
          </w:tcPr>
          <w:p w14:paraId="77EE86FE" w14:textId="77777777" w:rsidR="00D722D0" w:rsidRPr="00D722D0" w:rsidRDefault="00D722D0" w:rsidP="00D722D0">
            <w:pPr>
              <w:pStyle w:val="TableText"/>
            </w:pPr>
            <w:r w:rsidRPr="00D722D0">
              <w:t>Max 0.23 mg/kg in lettuce following interrow application at 750 g ac/ha</w:t>
            </w:r>
          </w:p>
        </w:tc>
        <w:tc>
          <w:tcPr>
            <w:tcW w:w="1029" w:type="pct"/>
            <w:tcBorders>
              <w:left w:val="nil"/>
            </w:tcBorders>
          </w:tcPr>
          <w:p w14:paraId="14BDAE98" w14:textId="77777777" w:rsidR="00D722D0" w:rsidRPr="00D722D0" w:rsidRDefault="00D722D0" w:rsidP="00D722D0">
            <w:pPr>
              <w:pStyle w:val="TableText"/>
            </w:pPr>
            <w:r w:rsidRPr="00D722D0">
              <w:t>Kennedy 1984</w:t>
            </w:r>
          </w:p>
        </w:tc>
      </w:tr>
      <w:tr w:rsidR="00D722D0" w:rsidRPr="000B2FA7" w14:paraId="65B6E452" w14:textId="77777777" w:rsidTr="00514EF5">
        <w:tc>
          <w:tcPr>
            <w:tcW w:w="0" w:type="auto"/>
            <w:vMerge/>
            <w:tcBorders>
              <w:right w:val="nil"/>
            </w:tcBorders>
          </w:tcPr>
          <w:p w14:paraId="61285BB6" w14:textId="77777777" w:rsidR="00D722D0" w:rsidRPr="00D722D0" w:rsidRDefault="00D722D0" w:rsidP="00D722D0">
            <w:pPr>
              <w:pStyle w:val="TableText"/>
            </w:pPr>
          </w:p>
        </w:tc>
        <w:tc>
          <w:tcPr>
            <w:tcW w:w="0" w:type="auto"/>
            <w:vMerge/>
            <w:tcBorders>
              <w:left w:val="nil"/>
              <w:right w:val="nil"/>
            </w:tcBorders>
          </w:tcPr>
          <w:p w14:paraId="645342E3" w14:textId="77777777" w:rsidR="00D722D0" w:rsidRPr="00D722D0" w:rsidRDefault="00D722D0" w:rsidP="00D722D0">
            <w:pPr>
              <w:pStyle w:val="TableText"/>
            </w:pPr>
          </w:p>
        </w:tc>
        <w:tc>
          <w:tcPr>
            <w:tcW w:w="2795" w:type="pct"/>
            <w:tcBorders>
              <w:left w:val="nil"/>
              <w:right w:val="nil"/>
            </w:tcBorders>
          </w:tcPr>
          <w:p w14:paraId="6939DC46" w14:textId="77777777" w:rsidR="00D722D0" w:rsidRPr="00D722D0" w:rsidRDefault="00D722D0" w:rsidP="00D722D0">
            <w:pPr>
              <w:pStyle w:val="TableText"/>
            </w:pPr>
            <w:r w:rsidRPr="00D722D0">
              <w:t>Max 0.91 mg/kg in lettuce following interrow application at 960 g ac/ha</w:t>
            </w:r>
          </w:p>
        </w:tc>
        <w:tc>
          <w:tcPr>
            <w:tcW w:w="1029" w:type="pct"/>
            <w:tcBorders>
              <w:left w:val="nil"/>
            </w:tcBorders>
          </w:tcPr>
          <w:p w14:paraId="6BC45327" w14:textId="7F098C2A" w:rsidR="00D722D0" w:rsidRPr="00D722D0" w:rsidRDefault="00D722D0" w:rsidP="00D722D0">
            <w:pPr>
              <w:pStyle w:val="TableText"/>
            </w:pPr>
            <w:r w:rsidRPr="00D722D0">
              <w:t>Massey 1987(c)</w:t>
            </w:r>
          </w:p>
        </w:tc>
      </w:tr>
      <w:tr w:rsidR="00D722D0" w:rsidRPr="000B2FA7" w14:paraId="11EF7978" w14:textId="77777777" w:rsidTr="00514EF5">
        <w:tc>
          <w:tcPr>
            <w:tcW w:w="0" w:type="auto"/>
            <w:vMerge/>
            <w:tcBorders>
              <w:right w:val="nil"/>
            </w:tcBorders>
          </w:tcPr>
          <w:p w14:paraId="34620005" w14:textId="77777777" w:rsidR="00D722D0" w:rsidRPr="00D722D0" w:rsidRDefault="00D722D0" w:rsidP="00D722D0">
            <w:pPr>
              <w:pStyle w:val="TableText"/>
            </w:pPr>
          </w:p>
        </w:tc>
        <w:tc>
          <w:tcPr>
            <w:tcW w:w="0" w:type="auto"/>
            <w:vMerge/>
            <w:tcBorders>
              <w:left w:val="nil"/>
              <w:right w:val="nil"/>
            </w:tcBorders>
          </w:tcPr>
          <w:p w14:paraId="2EA79EAD" w14:textId="77777777" w:rsidR="00D722D0" w:rsidRPr="00D722D0" w:rsidRDefault="00D722D0" w:rsidP="00D722D0">
            <w:pPr>
              <w:pStyle w:val="TableText"/>
            </w:pPr>
          </w:p>
        </w:tc>
        <w:tc>
          <w:tcPr>
            <w:tcW w:w="2795" w:type="pct"/>
            <w:tcBorders>
              <w:left w:val="nil"/>
              <w:right w:val="nil"/>
            </w:tcBorders>
          </w:tcPr>
          <w:p w14:paraId="6F7F2B09" w14:textId="77777777" w:rsidR="00D722D0" w:rsidRPr="00D722D0" w:rsidRDefault="00D722D0" w:rsidP="00D722D0">
            <w:pPr>
              <w:pStyle w:val="TableText"/>
            </w:pPr>
            <w:r w:rsidRPr="00D722D0">
              <w:t>Max 17 mg/kg in oilseed rape following application at BBCH 87-89 at 600 g ac/ha</w:t>
            </w:r>
          </w:p>
        </w:tc>
        <w:tc>
          <w:tcPr>
            <w:tcW w:w="1029" w:type="pct"/>
            <w:tcBorders>
              <w:left w:val="nil"/>
            </w:tcBorders>
          </w:tcPr>
          <w:p w14:paraId="7CA2F073" w14:textId="77777777" w:rsidR="00D722D0" w:rsidRPr="00D722D0" w:rsidRDefault="00D722D0" w:rsidP="00D722D0">
            <w:pPr>
              <w:pStyle w:val="TableText"/>
            </w:pPr>
            <w:r w:rsidRPr="00D722D0">
              <w:t>Langridge 2011a, 2011b</w:t>
            </w:r>
          </w:p>
        </w:tc>
      </w:tr>
      <w:tr w:rsidR="00D722D0" w:rsidRPr="000B2FA7" w14:paraId="597122E7" w14:textId="77777777" w:rsidTr="00514EF5">
        <w:tc>
          <w:tcPr>
            <w:tcW w:w="0" w:type="auto"/>
            <w:vMerge/>
            <w:tcBorders>
              <w:right w:val="nil"/>
            </w:tcBorders>
          </w:tcPr>
          <w:p w14:paraId="2B13B6A7" w14:textId="77777777" w:rsidR="00D722D0" w:rsidRPr="00D722D0" w:rsidRDefault="00D722D0" w:rsidP="00D722D0">
            <w:pPr>
              <w:pStyle w:val="TableText"/>
            </w:pPr>
          </w:p>
        </w:tc>
        <w:tc>
          <w:tcPr>
            <w:tcW w:w="0" w:type="auto"/>
            <w:vMerge/>
            <w:tcBorders>
              <w:left w:val="nil"/>
              <w:right w:val="nil"/>
            </w:tcBorders>
          </w:tcPr>
          <w:p w14:paraId="2E52F824" w14:textId="77777777" w:rsidR="00D722D0" w:rsidRPr="00D722D0" w:rsidRDefault="00D722D0" w:rsidP="00D722D0">
            <w:pPr>
              <w:pStyle w:val="TableText"/>
            </w:pPr>
          </w:p>
        </w:tc>
        <w:tc>
          <w:tcPr>
            <w:tcW w:w="2795" w:type="pct"/>
            <w:tcBorders>
              <w:left w:val="nil"/>
              <w:right w:val="nil"/>
            </w:tcBorders>
          </w:tcPr>
          <w:p w14:paraId="40063DE4" w14:textId="77777777" w:rsidR="00D722D0" w:rsidRPr="00D722D0" w:rsidRDefault="00D722D0" w:rsidP="00D722D0">
            <w:pPr>
              <w:pStyle w:val="TableText"/>
            </w:pPr>
            <w:r w:rsidRPr="00D722D0">
              <w:t>Max 56 mg/kg in various seeds following lentil application at 550 g ac/ha</w:t>
            </w:r>
          </w:p>
        </w:tc>
        <w:tc>
          <w:tcPr>
            <w:tcW w:w="1029" w:type="pct"/>
            <w:tcBorders>
              <w:left w:val="nil"/>
            </w:tcBorders>
          </w:tcPr>
          <w:p w14:paraId="4A81323D" w14:textId="77777777" w:rsidR="00D722D0" w:rsidRPr="00D722D0" w:rsidRDefault="00D722D0" w:rsidP="00D722D0">
            <w:pPr>
              <w:pStyle w:val="TableText"/>
            </w:pPr>
            <w:r w:rsidRPr="00D722D0">
              <w:t>Edwards et al. 1991</w:t>
            </w:r>
          </w:p>
        </w:tc>
      </w:tr>
      <w:tr w:rsidR="00D722D0" w:rsidRPr="000B2FA7" w14:paraId="3954375E" w14:textId="77777777" w:rsidTr="00514EF5">
        <w:tc>
          <w:tcPr>
            <w:tcW w:w="0" w:type="auto"/>
            <w:vMerge/>
            <w:tcBorders>
              <w:right w:val="nil"/>
            </w:tcBorders>
          </w:tcPr>
          <w:p w14:paraId="6454E277" w14:textId="4E1F7D4E" w:rsidR="00D722D0" w:rsidRPr="00D722D0" w:rsidRDefault="00D722D0" w:rsidP="00D722D0">
            <w:pPr>
              <w:pStyle w:val="TableText"/>
            </w:pPr>
          </w:p>
        </w:tc>
        <w:tc>
          <w:tcPr>
            <w:tcW w:w="0" w:type="auto"/>
            <w:vMerge w:val="restart"/>
            <w:tcBorders>
              <w:left w:val="nil"/>
              <w:right w:val="nil"/>
            </w:tcBorders>
          </w:tcPr>
          <w:p w14:paraId="2780D450" w14:textId="77777777" w:rsidR="00D722D0" w:rsidRPr="00D722D0" w:rsidRDefault="00D722D0" w:rsidP="00D722D0">
            <w:pPr>
              <w:pStyle w:val="TableText"/>
            </w:pPr>
            <w:r w:rsidRPr="00D722D0">
              <w:t>Soil</w:t>
            </w:r>
          </w:p>
        </w:tc>
        <w:tc>
          <w:tcPr>
            <w:tcW w:w="2795" w:type="pct"/>
            <w:tcBorders>
              <w:left w:val="nil"/>
              <w:right w:val="nil"/>
            </w:tcBorders>
          </w:tcPr>
          <w:p w14:paraId="145DB5D1" w14:textId="77777777" w:rsidR="00D722D0" w:rsidRPr="00D722D0" w:rsidRDefault="00D722D0" w:rsidP="00D722D0">
            <w:pPr>
              <w:pStyle w:val="TableText"/>
            </w:pPr>
            <w:r w:rsidRPr="00D722D0">
              <w:t>Max 0.86 mg/kg following long-term use as crop desiccant at 300-1400 g ac/ha (46 trials)</w:t>
            </w:r>
          </w:p>
        </w:tc>
        <w:tc>
          <w:tcPr>
            <w:tcW w:w="1029" w:type="pct"/>
            <w:tcBorders>
              <w:left w:val="nil"/>
            </w:tcBorders>
          </w:tcPr>
          <w:p w14:paraId="6A14C19B" w14:textId="77777777" w:rsidR="00D722D0" w:rsidRPr="00D722D0" w:rsidRDefault="00D722D0" w:rsidP="00D722D0">
            <w:pPr>
              <w:pStyle w:val="TableText"/>
            </w:pPr>
            <w:r w:rsidRPr="00D722D0">
              <w:t>Devine 2004</w:t>
            </w:r>
          </w:p>
        </w:tc>
      </w:tr>
      <w:tr w:rsidR="00D722D0" w:rsidRPr="000B2FA7" w14:paraId="4B610E6B" w14:textId="77777777" w:rsidTr="00514EF5">
        <w:tc>
          <w:tcPr>
            <w:tcW w:w="0" w:type="auto"/>
            <w:vMerge/>
            <w:tcBorders>
              <w:right w:val="nil"/>
            </w:tcBorders>
          </w:tcPr>
          <w:p w14:paraId="6EDCE5BD" w14:textId="77777777" w:rsidR="00D722D0" w:rsidRPr="00D722D0" w:rsidRDefault="00D722D0" w:rsidP="00D722D0">
            <w:pPr>
              <w:pStyle w:val="TableText"/>
            </w:pPr>
          </w:p>
        </w:tc>
        <w:tc>
          <w:tcPr>
            <w:tcW w:w="0" w:type="auto"/>
            <w:vMerge/>
            <w:tcBorders>
              <w:left w:val="nil"/>
              <w:right w:val="nil"/>
            </w:tcBorders>
          </w:tcPr>
          <w:p w14:paraId="2B6686A3" w14:textId="77777777" w:rsidR="00D722D0" w:rsidRPr="00D722D0" w:rsidRDefault="00D722D0" w:rsidP="00D722D0">
            <w:pPr>
              <w:pStyle w:val="TableText"/>
            </w:pPr>
          </w:p>
        </w:tc>
        <w:tc>
          <w:tcPr>
            <w:tcW w:w="2795" w:type="pct"/>
            <w:tcBorders>
              <w:left w:val="nil"/>
              <w:right w:val="nil"/>
            </w:tcBorders>
          </w:tcPr>
          <w:p w14:paraId="1747E22D" w14:textId="77777777" w:rsidR="00D722D0" w:rsidRPr="00D722D0" w:rsidRDefault="00D722D0" w:rsidP="00D722D0">
            <w:pPr>
              <w:pStyle w:val="TableText"/>
            </w:pPr>
            <w:r w:rsidRPr="00D722D0">
              <w:t>Max 0.11 mg/kg, average 0.03 mg/kg following long-term use as crop desiccant at 500-1000 g ac/ha; average 25% carry over (39 trials)</w:t>
            </w:r>
          </w:p>
        </w:tc>
        <w:tc>
          <w:tcPr>
            <w:tcW w:w="1029" w:type="pct"/>
            <w:tcBorders>
              <w:left w:val="nil"/>
            </w:tcBorders>
          </w:tcPr>
          <w:p w14:paraId="3BBC8C59" w14:textId="77777777" w:rsidR="00D722D0" w:rsidRPr="00D722D0" w:rsidRDefault="00D722D0" w:rsidP="00D722D0">
            <w:pPr>
              <w:pStyle w:val="TableText"/>
            </w:pPr>
            <w:r w:rsidRPr="00D722D0">
              <w:t>Anderson &amp; Earl 1996</w:t>
            </w:r>
          </w:p>
        </w:tc>
      </w:tr>
    </w:tbl>
    <w:p w14:paraId="65465843" w14:textId="0C531C32" w:rsidR="00296F32" w:rsidRPr="00247DE6" w:rsidRDefault="005B7DDF" w:rsidP="00247DE6">
      <w:pPr>
        <w:pStyle w:val="Caption"/>
      </w:pPr>
      <w:bookmarkStart w:id="486" w:name="_Toc232589641"/>
      <w:r w:rsidRPr="00247DE6">
        <w:t xml:space="preserve">Table </w:t>
      </w:r>
      <w:fldSimple w:instr=" SEQ Table \* ARABIC ">
        <w:r w:rsidR="00247DE6">
          <w:rPr>
            <w:noProof/>
          </w:rPr>
          <w:t>46</w:t>
        </w:r>
      </w:fldSimple>
      <w:r w:rsidR="00296F32" w:rsidRPr="00247DE6">
        <w:t>:</w:t>
      </w:r>
      <w:r w:rsidRPr="00247DE6">
        <w:t xml:space="preserve"> </w:t>
      </w:r>
      <w:r w:rsidR="00294CD3" w:rsidRPr="00247DE6">
        <w:t xml:space="preserve">Diquat – </w:t>
      </w:r>
      <w:r w:rsidR="00CB656D" w:rsidRPr="00247DE6">
        <w:t>e</w:t>
      </w:r>
      <w:r w:rsidR="00296F32" w:rsidRPr="00247DE6">
        <w:t>ffects on terrestrial vertebrates</w:t>
      </w:r>
      <w:bookmarkEnd w:id="486"/>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36"/>
        <w:gridCol w:w="893"/>
        <w:gridCol w:w="864"/>
        <w:gridCol w:w="2067"/>
        <w:gridCol w:w="2307"/>
        <w:gridCol w:w="2285"/>
      </w:tblGrid>
      <w:tr w:rsidR="00296F32" w:rsidRPr="000B2FA7" w14:paraId="395CBC57" w14:textId="77777777" w:rsidTr="00514EF5">
        <w:trPr>
          <w:tblHeader/>
        </w:trPr>
        <w:tc>
          <w:tcPr>
            <w:tcW w:w="0" w:type="auto"/>
            <w:tcBorders>
              <w:right w:val="nil"/>
            </w:tcBorders>
            <w:shd w:val="clear" w:color="auto" w:fill="5C2946"/>
          </w:tcPr>
          <w:p w14:paraId="56B4DDD4" w14:textId="77777777" w:rsidR="00296F32" w:rsidRPr="00CB656D" w:rsidRDefault="00296F32" w:rsidP="00CB656D">
            <w:pPr>
              <w:pStyle w:val="TableHead"/>
            </w:pPr>
            <w:r w:rsidRPr="00CB656D">
              <w:t>Test substance</w:t>
            </w:r>
          </w:p>
        </w:tc>
        <w:tc>
          <w:tcPr>
            <w:tcW w:w="0" w:type="auto"/>
            <w:tcBorders>
              <w:left w:val="nil"/>
              <w:right w:val="nil"/>
            </w:tcBorders>
            <w:shd w:val="clear" w:color="auto" w:fill="5C2946"/>
          </w:tcPr>
          <w:p w14:paraId="73AEDF89" w14:textId="77777777" w:rsidR="00296F32" w:rsidRPr="00CB656D" w:rsidRDefault="00296F32" w:rsidP="00CB656D">
            <w:pPr>
              <w:pStyle w:val="TableHead"/>
            </w:pPr>
            <w:r w:rsidRPr="00CB656D">
              <w:t>Group</w:t>
            </w:r>
          </w:p>
        </w:tc>
        <w:tc>
          <w:tcPr>
            <w:tcW w:w="0" w:type="auto"/>
            <w:tcBorders>
              <w:left w:val="nil"/>
              <w:bottom w:val="single" w:sz="4" w:space="0" w:color="auto"/>
              <w:right w:val="nil"/>
            </w:tcBorders>
            <w:shd w:val="clear" w:color="auto" w:fill="5C2946"/>
          </w:tcPr>
          <w:p w14:paraId="16C27C97" w14:textId="77777777" w:rsidR="00296F32" w:rsidRPr="00CB656D" w:rsidRDefault="00296F32" w:rsidP="00CB656D">
            <w:pPr>
              <w:pStyle w:val="TableHead"/>
            </w:pPr>
            <w:r w:rsidRPr="00CB656D">
              <w:t>Exposure</w:t>
            </w:r>
          </w:p>
        </w:tc>
        <w:tc>
          <w:tcPr>
            <w:tcW w:w="1060" w:type="pct"/>
            <w:tcBorders>
              <w:left w:val="nil"/>
              <w:bottom w:val="single" w:sz="4" w:space="0" w:color="auto"/>
              <w:right w:val="nil"/>
            </w:tcBorders>
            <w:shd w:val="clear" w:color="auto" w:fill="5C2946"/>
          </w:tcPr>
          <w:p w14:paraId="3E325D09" w14:textId="77777777" w:rsidR="00296F32" w:rsidRPr="00CB656D" w:rsidRDefault="00296F32" w:rsidP="00CB656D">
            <w:pPr>
              <w:pStyle w:val="TableHead"/>
            </w:pPr>
            <w:r w:rsidRPr="00CB656D">
              <w:t>Species</w:t>
            </w:r>
          </w:p>
        </w:tc>
        <w:tc>
          <w:tcPr>
            <w:tcW w:w="1183" w:type="pct"/>
            <w:tcBorders>
              <w:left w:val="nil"/>
              <w:right w:val="nil"/>
            </w:tcBorders>
            <w:shd w:val="clear" w:color="auto" w:fill="5C2946"/>
          </w:tcPr>
          <w:p w14:paraId="2D27F43E" w14:textId="7D8391D2" w:rsidR="00296F32" w:rsidRPr="00CB656D" w:rsidRDefault="00296F32" w:rsidP="00CB656D">
            <w:pPr>
              <w:pStyle w:val="TableHead"/>
            </w:pPr>
            <w:r w:rsidRPr="00CB656D">
              <w:t>Toxicity value</w:t>
            </w:r>
            <w:r w:rsidR="00E61669">
              <w:rPr>
                <w:rFonts w:ascii="ZWAdobeF" w:hAnsi="ZWAdobeF" w:cs="ZWAdobeF"/>
                <w:color w:val="auto"/>
                <w:spacing w:val="0"/>
                <w:sz w:val="2"/>
                <w:szCs w:val="2"/>
              </w:rPr>
              <w:t>34F</w:t>
            </w:r>
            <w:r w:rsidR="00602535">
              <w:rPr>
                <w:rFonts w:ascii="ZWAdobeF" w:hAnsi="ZWAdobeF" w:cs="ZWAdobeF"/>
                <w:color w:val="auto"/>
                <w:spacing w:val="0"/>
                <w:sz w:val="2"/>
                <w:szCs w:val="2"/>
              </w:rPr>
              <w:t>37F</w:t>
            </w:r>
            <w:r w:rsidRPr="00CB656D">
              <w:rPr>
                <w:rStyle w:val="FootnoteReference"/>
              </w:rPr>
              <w:footnoteReference w:id="39"/>
            </w:r>
          </w:p>
        </w:tc>
        <w:tc>
          <w:tcPr>
            <w:tcW w:w="0" w:type="auto"/>
            <w:tcBorders>
              <w:left w:val="nil"/>
            </w:tcBorders>
            <w:shd w:val="clear" w:color="auto" w:fill="5C2946"/>
          </w:tcPr>
          <w:p w14:paraId="70D1BD6C" w14:textId="77777777" w:rsidR="00296F32" w:rsidRPr="00CB656D" w:rsidRDefault="00296F32" w:rsidP="00CB656D">
            <w:pPr>
              <w:pStyle w:val="TableHead"/>
            </w:pPr>
            <w:r w:rsidRPr="00CB656D">
              <w:t>Reference</w:t>
            </w:r>
          </w:p>
        </w:tc>
      </w:tr>
      <w:tr w:rsidR="00CB656D" w14:paraId="6962306D" w14:textId="77777777" w:rsidTr="00514EF5">
        <w:tc>
          <w:tcPr>
            <w:tcW w:w="0" w:type="auto"/>
            <w:vMerge w:val="restart"/>
            <w:tcBorders>
              <w:right w:val="nil"/>
            </w:tcBorders>
          </w:tcPr>
          <w:p w14:paraId="35B222DC" w14:textId="77777777" w:rsidR="00CB656D" w:rsidRDefault="00CB656D" w:rsidP="00CB656D">
            <w:pPr>
              <w:pStyle w:val="TableText"/>
            </w:pPr>
            <w:r>
              <w:t>Diquat</w:t>
            </w:r>
          </w:p>
        </w:tc>
        <w:tc>
          <w:tcPr>
            <w:tcW w:w="0" w:type="auto"/>
            <w:vMerge w:val="restart"/>
            <w:tcBorders>
              <w:left w:val="nil"/>
              <w:right w:val="nil"/>
            </w:tcBorders>
          </w:tcPr>
          <w:p w14:paraId="0DF00FD1" w14:textId="77777777" w:rsidR="00CB656D" w:rsidRDefault="00CB656D" w:rsidP="00CB656D">
            <w:pPr>
              <w:pStyle w:val="TableText"/>
            </w:pPr>
            <w:r>
              <w:t>Mammals</w:t>
            </w:r>
          </w:p>
        </w:tc>
        <w:tc>
          <w:tcPr>
            <w:tcW w:w="0" w:type="auto"/>
            <w:tcBorders>
              <w:left w:val="nil"/>
              <w:bottom w:val="nil"/>
              <w:right w:val="nil"/>
            </w:tcBorders>
          </w:tcPr>
          <w:p w14:paraId="4D9B79C0" w14:textId="77777777" w:rsidR="00CB656D" w:rsidRPr="00CA558C" w:rsidRDefault="00CB656D" w:rsidP="00CB656D">
            <w:pPr>
              <w:pStyle w:val="TableText"/>
            </w:pPr>
            <w:r>
              <w:t>Acute</w:t>
            </w:r>
          </w:p>
        </w:tc>
        <w:tc>
          <w:tcPr>
            <w:tcW w:w="1060" w:type="pct"/>
            <w:tcBorders>
              <w:left w:val="nil"/>
              <w:bottom w:val="nil"/>
              <w:right w:val="nil"/>
            </w:tcBorders>
          </w:tcPr>
          <w:p w14:paraId="609A96C3" w14:textId="77777777" w:rsidR="00CB656D" w:rsidRPr="00CA558C" w:rsidRDefault="00CB656D" w:rsidP="00CB656D">
            <w:pPr>
              <w:pStyle w:val="TableText"/>
            </w:pPr>
            <w:r>
              <w:rPr>
                <w:i/>
                <w:iCs/>
              </w:rPr>
              <w:t>Rattus norvegicus</w:t>
            </w:r>
          </w:p>
        </w:tc>
        <w:tc>
          <w:tcPr>
            <w:tcW w:w="1183" w:type="pct"/>
            <w:tcBorders>
              <w:left w:val="nil"/>
              <w:right w:val="nil"/>
            </w:tcBorders>
          </w:tcPr>
          <w:p w14:paraId="259692C7" w14:textId="77777777" w:rsidR="00CB656D" w:rsidRDefault="00CB656D" w:rsidP="00CB656D">
            <w:pPr>
              <w:pStyle w:val="TableText"/>
            </w:pPr>
            <w:r>
              <w:t>LD</w:t>
            </w:r>
            <w:r w:rsidRPr="001C3966">
              <w:rPr>
                <w:vertAlign w:val="subscript"/>
              </w:rPr>
              <w:t>50</w:t>
            </w:r>
            <w:r>
              <w:t xml:space="preserve"> 120 mg ac/kg bw</w:t>
            </w:r>
          </w:p>
        </w:tc>
        <w:tc>
          <w:tcPr>
            <w:tcW w:w="0" w:type="auto"/>
            <w:tcBorders>
              <w:left w:val="nil"/>
            </w:tcBorders>
          </w:tcPr>
          <w:p w14:paraId="1C89B144" w14:textId="77777777" w:rsidR="00CB656D" w:rsidRDefault="00CB656D" w:rsidP="00CB656D">
            <w:pPr>
              <w:pStyle w:val="TableText"/>
            </w:pPr>
            <w:r>
              <w:t>Rittenhouse 1979</w:t>
            </w:r>
          </w:p>
        </w:tc>
      </w:tr>
      <w:tr w:rsidR="00B00727" w14:paraId="185B06CD" w14:textId="77777777" w:rsidTr="00514EF5">
        <w:tc>
          <w:tcPr>
            <w:tcW w:w="0" w:type="auto"/>
            <w:vMerge/>
            <w:tcBorders>
              <w:right w:val="nil"/>
            </w:tcBorders>
          </w:tcPr>
          <w:p w14:paraId="4757777E" w14:textId="77777777" w:rsidR="00B00727" w:rsidRDefault="00B00727" w:rsidP="00CB656D">
            <w:pPr>
              <w:pStyle w:val="TableText"/>
            </w:pPr>
          </w:p>
        </w:tc>
        <w:tc>
          <w:tcPr>
            <w:tcW w:w="0" w:type="auto"/>
            <w:vMerge/>
            <w:tcBorders>
              <w:left w:val="nil"/>
              <w:right w:val="nil"/>
            </w:tcBorders>
          </w:tcPr>
          <w:p w14:paraId="01900680" w14:textId="77777777" w:rsidR="00B00727" w:rsidRDefault="00B00727" w:rsidP="00CB656D">
            <w:pPr>
              <w:pStyle w:val="TableText"/>
            </w:pPr>
          </w:p>
        </w:tc>
        <w:tc>
          <w:tcPr>
            <w:tcW w:w="0" w:type="auto"/>
            <w:tcBorders>
              <w:top w:val="nil"/>
              <w:left w:val="nil"/>
              <w:right w:val="nil"/>
            </w:tcBorders>
          </w:tcPr>
          <w:p w14:paraId="0D561B4B" w14:textId="77777777" w:rsidR="00B00727" w:rsidRDefault="00B00727" w:rsidP="00CB656D">
            <w:pPr>
              <w:pStyle w:val="TableText"/>
            </w:pPr>
          </w:p>
        </w:tc>
        <w:tc>
          <w:tcPr>
            <w:tcW w:w="1060" w:type="pct"/>
            <w:tcBorders>
              <w:top w:val="nil"/>
              <w:left w:val="nil"/>
              <w:right w:val="nil"/>
            </w:tcBorders>
          </w:tcPr>
          <w:p w14:paraId="3B61C7F7" w14:textId="77777777" w:rsidR="00B00727" w:rsidRDefault="00B00727" w:rsidP="00CB656D">
            <w:pPr>
              <w:pStyle w:val="TableText"/>
              <w:rPr>
                <w:i/>
                <w:iCs/>
              </w:rPr>
            </w:pPr>
          </w:p>
        </w:tc>
        <w:tc>
          <w:tcPr>
            <w:tcW w:w="1183" w:type="pct"/>
            <w:tcBorders>
              <w:left w:val="nil"/>
              <w:right w:val="nil"/>
            </w:tcBorders>
          </w:tcPr>
          <w:p w14:paraId="31412B28" w14:textId="5A996B8C" w:rsidR="00B00727" w:rsidRDefault="00B00727" w:rsidP="00CB656D">
            <w:pPr>
              <w:pStyle w:val="TableText"/>
            </w:pPr>
            <w:r>
              <w:t>LD</w:t>
            </w:r>
            <w:r w:rsidRPr="001C3966">
              <w:rPr>
                <w:vertAlign w:val="subscript"/>
              </w:rPr>
              <w:t>50</w:t>
            </w:r>
            <w:r>
              <w:t xml:space="preserve"> 218 mg ac/kg bw</w:t>
            </w:r>
          </w:p>
        </w:tc>
        <w:tc>
          <w:tcPr>
            <w:tcW w:w="0" w:type="auto"/>
            <w:tcBorders>
              <w:left w:val="nil"/>
            </w:tcBorders>
          </w:tcPr>
          <w:p w14:paraId="2C216637" w14:textId="3707E555" w:rsidR="00B00727" w:rsidRDefault="00B00727" w:rsidP="00CB656D">
            <w:pPr>
              <w:pStyle w:val="TableText"/>
            </w:pPr>
            <w:r>
              <w:t>McCall &amp; Robinson 1990</w:t>
            </w:r>
          </w:p>
        </w:tc>
      </w:tr>
      <w:tr w:rsidR="00CB656D" w:rsidRPr="000B2FA7" w14:paraId="59325E30" w14:textId="77777777" w:rsidTr="00514EF5">
        <w:tc>
          <w:tcPr>
            <w:tcW w:w="0" w:type="auto"/>
            <w:vMerge/>
            <w:tcBorders>
              <w:right w:val="nil"/>
            </w:tcBorders>
          </w:tcPr>
          <w:p w14:paraId="76E8C4AC" w14:textId="77777777" w:rsidR="00CB656D" w:rsidRDefault="00CB656D" w:rsidP="00CB656D">
            <w:pPr>
              <w:pStyle w:val="TableText"/>
            </w:pPr>
          </w:p>
        </w:tc>
        <w:tc>
          <w:tcPr>
            <w:tcW w:w="0" w:type="auto"/>
            <w:vMerge/>
            <w:tcBorders>
              <w:left w:val="nil"/>
              <w:right w:val="nil"/>
            </w:tcBorders>
          </w:tcPr>
          <w:p w14:paraId="5ACDFD15" w14:textId="77777777" w:rsidR="00CB656D" w:rsidRDefault="00CB656D" w:rsidP="00CB656D">
            <w:pPr>
              <w:pStyle w:val="TableText"/>
            </w:pPr>
          </w:p>
        </w:tc>
        <w:tc>
          <w:tcPr>
            <w:tcW w:w="0" w:type="auto"/>
            <w:tcBorders>
              <w:left w:val="nil"/>
              <w:right w:val="nil"/>
            </w:tcBorders>
          </w:tcPr>
          <w:p w14:paraId="2B72FF8C" w14:textId="77777777" w:rsidR="00CB656D" w:rsidRPr="0075361C" w:rsidRDefault="00CB656D" w:rsidP="00CB656D">
            <w:pPr>
              <w:pStyle w:val="TableText"/>
              <w:rPr>
                <w:i/>
                <w:iCs/>
              </w:rPr>
            </w:pPr>
            <w:r>
              <w:t>Chronic</w:t>
            </w:r>
          </w:p>
        </w:tc>
        <w:tc>
          <w:tcPr>
            <w:tcW w:w="1060" w:type="pct"/>
            <w:tcBorders>
              <w:left w:val="nil"/>
              <w:right w:val="nil"/>
            </w:tcBorders>
          </w:tcPr>
          <w:p w14:paraId="75C26D6E" w14:textId="77777777" w:rsidR="00CB656D" w:rsidRPr="0075361C" w:rsidRDefault="00CB656D" w:rsidP="00CB656D">
            <w:pPr>
              <w:pStyle w:val="TableText"/>
              <w:rPr>
                <w:i/>
                <w:iCs/>
              </w:rPr>
            </w:pPr>
            <w:r w:rsidRPr="0075361C">
              <w:rPr>
                <w:i/>
                <w:iCs/>
              </w:rPr>
              <w:t>Rattus norvegicus</w:t>
            </w:r>
          </w:p>
        </w:tc>
        <w:tc>
          <w:tcPr>
            <w:tcW w:w="1183" w:type="pct"/>
            <w:tcBorders>
              <w:left w:val="nil"/>
              <w:right w:val="nil"/>
            </w:tcBorders>
          </w:tcPr>
          <w:p w14:paraId="3EED116B" w14:textId="77777777" w:rsidR="00CB656D" w:rsidRPr="00CA558C" w:rsidRDefault="00CB656D" w:rsidP="00CB656D">
            <w:pPr>
              <w:pStyle w:val="TableText"/>
            </w:pPr>
            <w:r>
              <w:t>NOAEL 4.0 mg ac/kg bw/d</w:t>
            </w:r>
          </w:p>
        </w:tc>
        <w:tc>
          <w:tcPr>
            <w:tcW w:w="0" w:type="auto"/>
            <w:tcBorders>
              <w:left w:val="nil"/>
            </w:tcBorders>
          </w:tcPr>
          <w:p w14:paraId="27C20479" w14:textId="77777777" w:rsidR="00CB656D" w:rsidRPr="00CA558C" w:rsidRDefault="00CB656D" w:rsidP="00CB656D">
            <w:pPr>
              <w:pStyle w:val="TableText"/>
            </w:pPr>
            <w:r>
              <w:t>Hodge 1990</w:t>
            </w:r>
          </w:p>
        </w:tc>
      </w:tr>
      <w:tr w:rsidR="00CB656D" w:rsidRPr="000B2FA7" w14:paraId="73713EF2" w14:textId="77777777" w:rsidTr="00514EF5">
        <w:tc>
          <w:tcPr>
            <w:tcW w:w="0" w:type="auto"/>
            <w:vMerge/>
            <w:tcBorders>
              <w:right w:val="nil"/>
            </w:tcBorders>
          </w:tcPr>
          <w:p w14:paraId="7C54352B" w14:textId="77777777" w:rsidR="00CB656D" w:rsidRDefault="00CB656D" w:rsidP="00CB656D">
            <w:pPr>
              <w:pStyle w:val="TableText"/>
              <w:keepNext/>
              <w:keepLines/>
            </w:pPr>
          </w:p>
        </w:tc>
        <w:tc>
          <w:tcPr>
            <w:tcW w:w="0" w:type="auto"/>
            <w:vMerge w:val="restart"/>
            <w:tcBorders>
              <w:left w:val="nil"/>
              <w:right w:val="nil"/>
            </w:tcBorders>
          </w:tcPr>
          <w:p w14:paraId="4588BBBD" w14:textId="77777777" w:rsidR="00CB656D" w:rsidRDefault="00CB656D" w:rsidP="00CB656D">
            <w:pPr>
              <w:pStyle w:val="TableText"/>
              <w:keepNext/>
              <w:keepLines/>
            </w:pPr>
            <w:r>
              <w:t>Birds</w:t>
            </w:r>
          </w:p>
        </w:tc>
        <w:tc>
          <w:tcPr>
            <w:tcW w:w="0" w:type="auto"/>
            <w:vMerge w:val="restart"/>
            <w:tcBorders>
              <w:left w:val="nil"/>
              <w:right w:val="nil"/>
            </w:tcBorders>
          </w:tcPr>
          <w:p w14:paraId="29972B16" w14:textId="77777777" w:rsidR="00CB656D" w:rsidRDefault="00CB656D" w:rsidP="00CB656D">
            <w:pPr>
              <w:pStyle w:val="TableText"/>
              <w:keepNext/>
              <w:keepLines/>
            </w:pPr>
            <w:r>
              <w:t>Acute</w:t>
            </w:r>
          </w:p>
        </w:tc>
        <w:tc>
          <w:tcPr>
            <w:tcW w:w="1060" w:type="pct"/>
            <w:tcBorders>
              <w:left w:val="nil"/>
              <w:right w:val="nil"/>
            </w:tcBorders>
          </w:tcPr>
          <w:p w14:paraId="275CB446" w14:textId="77777777" w:rsidR="00CB656D" w:rsidRPr="00180A69" w:rsidRDefault="00CB656D" w:rsidP="00CB656D">
            <w:pPr>
              <w:pStyle w:val="TableText"/>
              <w:keepNext/>
              <w:keepLines/>
              <w:rPr>
                <w:i/>
                <w:iCs/>
              </w:rPr>
            </w:pPr>
            <w:r>
              <w:rPr>
                <w:i/>
                <w:iCs/>
              </w:rPr>
              <w:t>Anas platyrhynchos</w:t>
            </w:r>
          </w:p>
        </w:tc>
        <w:tc>
          <w:tcPr>
            <w:tcW w:w="1183" w:type="pct"/>
            <w:tcBorders>
              <w:left w:val="nil"/>
              <w:right w:val="nil"/>
            </w:tcBorders>
          </w:tcPr>
          <w:p w14:paraId="2A7CADA2" w14:textId="77777777" w:rsidR="00CB656D" w:rsidRPr="00CA558C" w:rsidRDefault="00CB656D" w:rsidP="00CB656D">
            <w:pPr>
              <w:pStyle w:val="TableText"/>
              <w:keepNext/>
              <w:keepLines/>
            </w:pPr>
            <w:r>
              <w:t>LD</w:t>
            </w:r>
            <w:r w:rsidRPr="00697CC5">
              <w:rPr>
                <w:vertAlign w:val="subscript"/>
              </w:rPr>
              <w:t>50</w:t>
            </w:r>
            <w:r>
              <w:t xml:space="preserve"> 71 mg ac/kg bw</w:t>
            </w:r>
          </w:p>
        </w:tc>
        <w:tc>
          <w:tcPr>
            <w:tcW w:w="0" w:type="auto"/>
            <w:tcBorders>
              <w:left w:val="nil"/>
            </w:tcBorders>
          </w:tcPr>
          <w:p w14:paraId="0C1DEF47" w14:textId="77777777" w:rsidR="00CB656D" w:rsidRDefault="00CB656D" w:rsidP="00CB656D">
            <w:pPr>
              <w:pStyle w:val="TableText"/>
              <w:keepNext/>
              <w:keepLines/>
            </w:pPr>
            <w:r>
              <w:t>Fink et al. 1982</w:t>
            </w:r>
          </w:p>
        </w:tc>
      </w:tr>
      <w:tr w:rsidR="00CB656D" w14:paraId="6B76E4A7" w14:textId="77777777" w:rsidTr="00514EF5">
        <w:tc>
          <w:tcPr>
            <w:tcW w:w="0" w:type="auto"/>
            <w:vMerge/>
            <w:tcBorders>
              <w:right w:val="nil"/>
            </w:tcBorders>
          </w:tcPr>
          <w:p w14:paraId="5A88C70B" w14:textId="77777777" w:rsidR="00CB656D" w:rsidRDefault="00CB656D" w:rsidP="00CB656D">
            <w:pPr>
              <w:pStyle w:val="TableText"/>
              <w:keepNext/>
              <w:keepLines/>
            </w:pPr>
          </w:p>
        </w:tc>
        <w:tc>
          <w:tcPr>
            <w:tcW w:w="0" w:type="auto"/>
            <w:vMerge/>
            <w:tcBorders>
              <w:left w:val="nil"/>
              <w:right w:val="nil"/>
            </w:tcBorders>
          </w:tcPr>
          <w:p w14:paraId="4C48D806" w14:textId="77777777" w:rsidR="00CB656D" w:rsidRDefault="00CB656D" w:rsidP="00CB656D">
            <w:pPr>
              <w:pStyle w:val="TableText"/>
              <w:keepNext/>
              <w:keepLines/>
            </w:pPr>
          </w:p>
        </w:tc>
        <w:tc>
          <w:tcPr>
            <w:tcW w:w="0" w:type="auto"/>
            <w:vMerge/>
            <w:tcBorders>
              <w:left w:val="nil"/>
              <w:right w:val="nil"/>
            </w:tcBorders>
          </w:tcPr>
          <w:p w14:paraId="21942EA8" w14:textId="77777777" w:rsidR="00CB656D" w:rsidRDefault="00CB656D" w:rsidP="00CB656D">
            <w:pPr>
              <w:pStyle w:val="TableText"/>
              <w:keepNext/>
              <w:keepLines/>
            </w:pPr>
          </w:p>
        </w:tc>
        <w:tc>
          <w:tcPr>
            <w:tcW w:w="1060" w:type="pct"/>
            <w:tcBorders>
              <w:left w:val="nil"/>
              <w:right w:val="nil"/>
            </w:tcBorders>
          </w:tcPr>
          <w:p w14:paraId="4CCE99A7" w14:textId="77777777" w:rsidR="00CB656D" w:rsidRDefault="00CB656D" w:rsidP="00CB656D">
            <w:pPr>
              <w:pStyle w:val="TableText"/>
              <w:keepNext/>
              <w:keepLines/>
              <w:rPr>
                <w:i/>
                <w:iCs/>
              </w:rPr>
            </w:pPr>
            <w:r>
              <w:rPr>
                <w:i/>
                <w:iCs/>
              </w:rPr>
              <w:t>Taeniopygia guttata</w:t>
            </w:r>
          </w:p>
        </w:tc>
        <w:tc>
          <w:tcPr>
            <w:tcW w:w="1183" w:type="pct"/>
            <w:tcBorders>
              <w:left w:val="nil"/>
              <w:right w:val="nil"/>
            </w:tcBorders>
          </w:tcPr>
          <w:p w14:paraId="2CE98578" w14:textId="77777777" w:rsidR="00CB656D" w:rsidRPr="00CA558C" w:rsidRDefault="00CB656D" w:rsidP="00CB656D">
            <w:pPr>
              <w:pStyle w:val="TableText"/>
              <w:keepNext/>
              <w:keepLines/>
            </w:pPr>
            <w:r>
              <w:t>LD</w:t>
            </w:r>
            <w:r w:rsidRPr="00697CC5">
              <w:rPr>
                <w:vertAlign w:val="subscript"/>
              </w:rPr>
              <w:t>50</w:t>
            </w:r>
            <w:r>
              <w:t xml:space="preserve"> 31 mg ac/kg bw</w:t>
            </w:r>
          </w:p>
        </w:tc>
        <w:tc>
          <w:tcPr>
            <w:tcW w:w="0" w:type="auto"/>
            <w:tcBorders>
              <w:left w:val="nil"/>
            </w:tcBorders>
          </w:tcPr>
          <w:p w14:paraId="15B2125B" w14:textId="77777777" w:rsidR="00CB656D" w:rsidRDefault="00CB656D" w:rsidP="00CB656D">
            <w:pPr>
              <w:pStyle w:val="TableText"/>
              <w:keepNext/>
              <w:keepLines/>
            </w:pPr>
            <w:r>
              <w:t>Hubbard 2013</w:t>
            </w:r>
          </w:p>
        </w:tc>
      </w:tr>
      <w:tr w:rsidR="00CB656D" w14:paraId="79F71588" w14:textId="77777777" w:rsidTr="00514EF5">
        <w:tc>
          <w:tcPr>
            <w:tcW w:w="0" w:type="auto"/>
            <w:vMerge/>
            <w:tcBorders>
              <w:right w:val="nil"/>
            </w:tcBorders>
          </w:tcPr>
          <w:p w14:paraId="4B2ED254" w14:textId="77777777" w:rsidR="00CB656D" w:rsidRDefault="00CB656D" w:rsidP="00CB656D">
            <w:pPr>
              <w:pStyle w:val="TableText"/>
              <w:keepNext/>
              <w:keepLines/>
            </w:pPr>
          </w:p>
        </w:tc>
        <w:tc>
          <w:tcPr>
            <w:tcW w:w="0" w:type="auto"/>
            <w:vMerge/>
            <w:tcBorders>
              <w:left w:val="nil"/>
              <w:right w:val="nil"/>
            </w:tcBorders>
          </w:tcPr>
          <w:p w14:paraId="5E47BD80" w14:textId="77777777" w:rsidR="00CB656D" w:rsidRDefault="00CB656D" w:rsidP="00CB656D">
            <w:pPr>
              <w:pStyle w:val="TableText"/>
              <w:keepNext/>
              <w:keepLines/>
            </w:pPr>
          </w:p>
        </w:tc>
        <w:tc>
          <w:tcPr>
            <w:tcW w:w="0" w:type="auto"/>
            <w:vMerge/>
            <w:tcBorders>
              <w:left w:val="nil"/>
              <w:right w:val="nil"/>
            </w:tcBorders>
          </w:tcPr>
          <w:p w14:paraId="013DC14E" w14:textId="77777777" w:rsidR="00CB656D" w:rsidRDefault="00CB656D" w:rsidP="00CB656D">
            <w:pPr>
              <w:pStyle w:val="TableText"/>
              <w:keepNext/>
              <w:keepLines/>
            </w:pPr>
          </w:p>
        </w:tc>
        <w:tc>
          <w:tcPr>
            <w:tcW w:w="1060" w:type="pct"/>
            <w:tcBorders>
              <w:left w:val="nil"/>
              <w:right w:val="nil"/>
            </w:tcBorders>
          </w:tcPr>
          <w:p w14:paraId="392D6CBB" w14:textId="77777777" w:rsidR="00CB656D" w:rsidRDefault="00CB656D" w:rsidP="00CB656D">
            <w:pPr>
              <w:pStyle w:val="TableText"/>
              <w:keepNext/>
              <w:keepLines/>
              <w:rPr>
                <w:i/>
                <w:iCs/>
              </w:rPr>
            </w:pPr>
            <w:r>
              <w:rPr>
                <w:i/>
                <w:iCs/>
              </w:rPr>
              <w:t>Perdix perdix</w:t>
            </w:r>
          </w:p>
        </w:tc>
        <w:tc>
          <w:tcPr>
            <w:tcW w:w="1183" w:type="pct"/>
            <w:tcBorders>
              <w:left w:val="nil"/>
              <w:right w:val="nil"/>
            </w:tcBorders>
          </w:tcPr>
          <w:p w14:paraId="1EB11FE6" w14:textId="77777777" w:rsidR="00CB656D" w:rsidRDefault="00CB656D" w:rsidP="00CB656D">
            <w:pPr>
              <w:pStyle w:val="TableText"/>
              <w:keepNext/>
              <w:keepLines/>
            </w:pPr>
            <w:r>
              <w:t>LD</w:t>
            </w:r>
            <w:r w:rsidRPr="00697CC5">
              <w:rPr>
                <w:vertAlign w:val="subscript"/>
              </w:rPr>
              <w:t>50</w:t>
            </w:r>
            <w:r>
              <w:t xml:space="preserve"> 158 mg ac/kg bw</w:t>
            </w:r>
          </w:p>
        </w:tc>
        <w:tc>
          <w:tcPr>
            <w:tcW w:w="0" w:type="auto"/>
            <w:vMerge w:val="restart"/>
            <w:tcBorders>
              <w:left w:val="nil"/>
            </w:tcBorders>
          </w:tcPr>
          <w:p w14:paraId="0C2170F5" w14:textId="77777777" w:rsidR="00CB656D" w:rsidRDefault="00CB656D" w:rsidP="00CB656D">
            <w:pPr>
              <w:pStyle w:val="TableText"/>
              <w:keepNext/>
              <w:keepLines/>
            </w:pPr>
            <w:r>
              <w:t>Roberts &amp; Fairley 1980</w:t>
            </w:r>
          </w:p>
        </w:tc>
      </w:tr>
      <w:tr w:rsidR="00CB656D" w:rsidRPr="000B2FA7" w14:paraId="65061B24" w14:textId="77777777" w:rsidTr="00514EF5">
        <w:tc>
          <w:tcPr>
            <w:tcW w:w="0" w:type="auto"/>
            <w:vMerge/>
            <w:tcBorders>
              <w:right w:val="nil"/>
            </w:tcBorders>
          </w:tcPr>
          <w:p w14:paraId="1701FAE5" w14:textId="77777777" w:rsidR="00CB656D" w:rsidRDefault="00CB656D" w:rsidP="00CB656D">
            <w:pPr>
              <w:pStyle w:val="TableText"/>
              <w:keepNext/>
              <w:keepLines/>
            </w:pPr>
          </w:p>
        </w:tc>
        <w:tc>
          <w:tcPr>
            <w:tcW w:w="0" w:type="auto"/>
            <w:vMerge/>
            <w:tcBorders>
              <w:left w:val="nil"/>
              <w:right w:val="nil"/>
            </w:tcBorders>
          </w:tcPr>
          <w:p w14:paraId="4202D9AA" w14:textId="77777777" w:rsidR="00CB656D" w:rsidRDefault="00CB656D" w:rsidP="00CB656D">
            <w:pPr>
              <w:pStyle w:val="TableText"/>
              <w:keepNext/>
              <w:keepLines/>
            </w:pPr>
          </w:p>
        </w:tc>
        <w:tc>
          <w:tcPr>
            <w:tcW w:w="0" w:type="auto"/>
            <w:vMerge/>
            <w:tcBorders>
              <w:left w:val="nil"/>
              <w:bottom w:val="single" w:sz="4" w:space="0" w:color="auto"/>
              <w:right w:val="nil"/>
            </w:tcBorders>
          </w:tcPr>
          <w:p w14:paraId="02652AA0" w14:textId="77777777" w:rsidR="00CB656D" w:rsidRDefault="00CB656D" w:rsidP="00CB656D">
            <w:pPr>
              <w:pStyle w:val="TableText"/>
              <w:keepNext/>
              <w:keepLines/>
            </w:pPr>
          </w:p>
        </w:tc>
        <w:tc>
          <w:tcPr>
            <w:tcW w:w="0" w:type="auto"/>
            <w:gridSpan w:val="2"/>
            <w:tcBorders>
              <w:left w:val="nil"/>
              <w:right w:val="nil"/>
            </w:tcBorders>
          </w:tcPr>
          <w:p w14:paraId="7E20E3C2" w14:textId="77777777" w:rsidR="00CB656D" w:rsidRDefault="00CB656D" w:rsidP="00CB656D">
            <w:pPr>
              <w:pStyle w:val="TableText"/>
              <w:keepNext/>
              <w:keepLines/>
            </w:pPr>
            <w:r>
              <w:t>Geomean LD</w:t>
            </w:r>
            <w:r w:rsidRPr="00EF1B5E">
              <w:rPr>
                <w:vertAlign w:val="subscript"/>
              </w:rPr>
              <w:t>50</w:t>
            </w:r>
            <w:r>
              <w:t xml:space="preserve"> 70 mg ac/kg bw</w:t>
            </w:r>
          </w:p>
        </w:tc>
        <w:tc>
          <w:tcPr>
            <w:tcW w:w="0" w:type="auto"/>
            <w:vMerge/>
            <w:tcBorders>
              <w:left w:val="nil"/>
              <w:bottom w:val="single" w:sz="4" w:space="0" w:color="auto"/>
            </w:tcBorders>
          </w:tcPr>
          <w:p w14:paraId="4ECE8D0D" w14:textId="77777777" w:rsidR="00CB656D" w:rsidRDefault="00CB656D" w:rsidP="00CB656D">
            <w:pPr>
              <w:pStyle w:val="TableText"/>
              <w:keepNext/>
              <w:keepLines/>
            </w:pPr>
          </w:p>
        </w:tc>
      </w:tr>
      <w:tr w:rsidR="00A308AC" w:rsidRPr="000B2FA7" w14:paraId="1C13EC3B" w14:textId="77777777" w:rsidTr="00514EF5">
        <w:tc>
          <w:tcPr>
            <w:tcW w:w="0" w:type="auto"/>
            <w:vMerge/>
            <w:tcBorders>
              <w:right w:val="nil"/>
            </w:tcBorders>
          </w:tcPr>
          <w:p w14:paraId="65A299D5" w14:textId="77777777" w:rsidR="00A308AC" w:rsidRDefault="00A308AC" w:rsidP="00A308AC">
            <w:pPr>
              <w:pStyle w:val="TableText"/>
            </w:pPr>
          </w:p>
        </w:tc>
        <w:tc>
          <w:tcPr>
            <w:tcW w:w="0" w:type="auto"/>
            <w:vMerge/>
            <w:tcBorders>
              <w:left w:val="nil"/>
              <w:right w:val="nil"/>
            </w:tcBorders>
          </w:tcPr>
          <w:p w14:paraId="29F45C51" w14:textId="77777777" w:rsidR="00A308AC" w:rsidRDefault="00A308AC" w:rsidP="00A308AC">
            <w:pPr>
              <w:pStyle w:val="TableText"/>
            </w:pPr>
          </w:p>
        </w:tc>
        <w:tc>
          <w:tcPr>
            <w:tcW w:w="0" w:type="auto"/>
            <w:tcBorders>
              <w:left w:val="nil"/>
              <w:bottom w:val="nil"/>
              <w:right w:val="nil"/>
            </w:tcBorders>
          </w:tcPr>
          <w:p w14:paraId="1E866466" w14:textId="4DBDABAF" w:rsidR="00A308AC" w:rsidRDefault="00A308AC" w:rsidP="00A308AC">
            <w:pPr>
              <w:pStyle w:val="TableText"/>
            </w:pPr>
            <w:r>
              <w:t>Dietary</w:t>
            </w:r>
          </w:p>
        </w:tc>
        <w:tc>
          <w:tcPr>
            <w:tcW w:w="1060" w:type="pct"/>
            <w:tcBorders>
              <w:left w:val="nil"/>
              <w:right w:val="nil"/>
            </w:tcBorders>
          </w:tcPr>
          <w:p w14:paraId="24C64FC8" w14:textId="52B95332" w:rsidR="00A308AC" w:rsidRDefault="00A308AC" w:rsidP="00A308AC">
            <w:pPr>
              <w:pStyle w:val="TableText"/>
              <w:rPr>
                <w:i/>
                <w:iCs/>
              </w:rPr>
            </w:pPr>
            <w:r w:rsidRPr="00C431DE">
              <w:rPr>
                <w:i/>
                <w:iCs/>
                <w:szCs w:val="17"/>
              </w:rPr>
              <w:t>Anas platyrhynchos</w:t>
            </w:r>
          </w:p>
        </w:tc>
        <w:tc>
          <w:tcPr>
            <w:tcW w:w="1183" w:type="pct"/>
            <w:tcBorders>
              <w:left w:val="nil"/>
              <w:right w:val="nil"/>
            </w:tcBorders>
          </w:tcPr>
          <w:p w14:paraId="66EF845F" w14:textId="2AB97603" w:rsidR="00A308AC" w:rsidRDefault="00A308AC" w:rsidP="00A308AC">
            <w:pPr>
              <w:pStyle w:val="TableText"/>
            </w:pPr>
            <w:r w:rsidRPr="00C431DE">
              <w:rPr>
                <w:szCs w:val="17"/>
              </w:rPr>
              <w:t>LC</w:t>
            </w:r>
            <w:r w:rsidRPr="00C431DE">
              <w:rPr>
                <w:szCs w:val="17"/>
                <w:vertAlign w:val="subscript"/>
              </w:rPr>
              <w:t>50</w:t>
            </w:r>
            <w:r w:rsidRPr="00C431DE">
              <w:rPr>
                <w:szCs w:val="17"/>
              </w:rPr>
              <w:t xml:space="preserve"> </w:t>
            </w:r>
            <w:r>
              <w:rPr>
                <w:szCs w:val="17"/>
              </w:rPr>
              <w:t>&gt;2677</w:t>
            </w:r>
            <w:r w:rsidRPr="00C431DE">
              <w:rPr>
                <w:szCs w:val="17"/>
              </w:rPr>
              <w:t xml:space="preserve"> mg ac/kg feed</w:t>
            </w:r>
          </w:p>
        </w:tc>
        <w:tc>
          <w:tcPr>
            <w:tcW w:w="0" w:type="auto"/>
            <w:tcBorders>
              <w:left w:val="nil"/>
              <w:bottom w:val="nil"/>
            </w:tcBorders>
          </w:tcPr>
          <w:p w14:paraId="0DB60CC0" w14:textId="27F12A8E" w:rsidR="00A308AC" w:rsidRDefault="00A308AC" w:rsidP="00A308AC">
            <w:pPr>
              <w:pStyle w:val="TableText"/>
            </w:pPr>
            <w:r w:rsidRPr="00C431DE">
              <w:rPr>
                <w:szCs w:val="17"/>
              </w:rPr>
              <w:t>Hill et al. 1975</w:t>
            </w:r>
          </w:p>
        </w:tc>
      </w:tr>
      <w:tr w:rsidR="00A308AC" w:rsidRPr="000B2FA7" w14:paraId="7386C9B3" w14:textId="77777777" w:rsidTr="00514EF5">
        <w:tc>
          <w:tcPr>
            <w:tcW w:w="0" w:type="auto"/>
            <w:vMerge/>
            <w:tcBorders>
              <w:right w:val="nil"/>
            </w:tcBorders>
          </w:tcPr>
          <w:p w14:paraId="757821EB" w14:textId="77777777" w:rsidR="00A308AC" w:rsidRDefault="00A308AC" w:rsidP="00A308AC">
            <w:pPr>
              <w:pStyle w:val="TableText"/>
            </w:pPr>
          </w:p>
        </w:tc>
        <w:tc>
          <w:tcPr>
            <w:tcW w:w="0" w:type="auto"/>
            <w:vMerge/>
            <w:tcBorders>
              <w:left w:val="nil"/>
              <w:right w:val="nil"/>
            </w:tcBorders>
          </w:tcPr>
          <w:p w14:paraId="1CBA3061" w14:textId="77777777" w:rsidR="00A308AC" w:rsidRDefault="00A308AC" w:rsidP="00A308AC">
            <w:pPr>
              <w:pStyle w:val="TableText"/>
            </w:pPr>
          </w:p>
        </w:tc>
        <w:tc>
          <w:tcPr>
            <w:tcW w:w="0" w:type="auto"/>
            <w:tcBorders>
              <w:top w:val="nil"/>
              <w:left w:val="nil"/>
              <w:bottom w:val="nil"/>
              <w:right w:val="nil"/>
            </w:tcBorders>
          </w:tcPr>
          <w:p w14:paraId="2DDEC465" w14:textId="77777777" w:rsidR="00A308AC" w:rsidRDefault="00A308AC" w:rsidP="00A308AC">
            <w:pPr>
              <w:pStyle w:val="TableText"/>
            </w:pPr>
          </w:p>
        </w:tc>
        <w:tc>
          <w:tcPr>
            <w:tcW w:w="1060" w:type="pct"/>
            <w:tcBorders>
              <w:left w:val="nil"/>
              <w:right w:val="nil"/>
            </w:tcBorders>
          </w:tcPr>
          <w:p w14:paraId="56211149" w14:textId="69FA5EC7" w:rsidR="00A308AC" w:rsidRDefault="00A308AC" w:rsidP="00A308AC">
            <w:pPr>
              <w:pStyle w:val="TableText"/>
              <w:rPr>
                <w:i/>
                <w:iCs/>
              </w:rPr>
            </w:pPr>
            <w:r w:rsidRPr="00C431DE">
              <w:rPr>
                <w:i/>
                <w:iCs/>
                <w:szCs w:val="17"/>
              </w:rPr>
              <w:t>Colinus virginianus</w:t>
            </w:r>
          </w:p>
        </w:tc>
        <w:tc>
          <w:tcPr>
            <w:tcW w:w="1183" w:type="pct"/>
            <w:tcBorders>
              <w:left w:val="nil"/>
              <w:right w:val="nil"/>
            </w:tcBorders>
          </w:tcPr>
          <w:p w14:paraId="4DA0F902" w14:textId="4512E64A" w:rsidR="00A308AC" w:rsidRDefault="00A308AC" w:rsidP="00A308AC">
            <w:pPr>
              <w:pStyle w:val="TableText"/>
            </w:pPr>
            <w:r w:rsidRPr="00C431DE">
              <w:rPr>
                <w:szCs w:val="17"/>
              </w:rPr>
              <w:t>LC</w:t>
            </w:r>
            <w:r w:rsidRPr="00C431DE">
              <w:rPr>
                <w:szCs w:val="17"/>
                <w:vertAlign w:val="subscript"/>
              </w:rPr>
              <w:t>50</w:t>
            </w:r>
            <w:r w:rsidRPr="00C431DE">
              <w:rPr>
                <w:szCs w:val="17"/>
              </w:rPr>
              <w:t xml:space="preserve"> </w:t>
            </w:r>
            <w:r>
              <w:rPr>
                <w:szCs w:val="17"/>
              </w:rPr>
              <w:t>1570</w:t>
            </w:r>
            <w:r w:rsidRPr="00C431DE">
              <w:rPr>
                <w:szCs w:val="17"/>
              </w:rPr>
              <w:t xml:space="preserve"> mg ac/kg feed </w:t>
            </w:r>
          </w:p>
        </w:tc>
        <w:tc>
          <w:tcPr>
            <w:tcW w:w="0" w:type="auto"/>
            <w:tcBorders>
              <w:top w:val="nil"/>
              <w:left w:val="nil"/>
              <w:bottom w:val="nil"/>
            </w:tcBorders>
          </w:tcPr>
          <w:p w14:paraId="337D9340" w14:textId="79DEFCCA" w:rsidR="00A308AC" w:rsidRDefault="00A308AC" w:rsidP="00A308AC">
            <w:pPr>
              <w:pStyle w:val="TableText"/>
            </w:pPr>
          </w:p>
        </w:tc>
      </w:tr>
      <w:tr w:rsidR="00A308AC" w:rsidRPr="000B2FA7" w14:paraId="4535AB82" w14:textId="77777777" w:rsidTr="00514EF5">
        <w:tc>
          <w:tcPr>
            <w:tcW w:w="0" w:type="auto"/>
            <w:vMerge/>
            <w:tcBorders>
              <w:right w:val="nil"/>
            </w:tcBorders>
          </w:tcPr>
          <w:p w14:paraId="2032B63C" w14:textId="77777777" w:rsidR="00A308AC" w:rsidRDefault="00A308AC" w:rsidP="00A308AC">
            <w:pPr>
              <w:pStyle w:val="TableText"/>
            </w:pPr>
          </w:p>
        </w:tc>
        <w:tc>
          <w:tcPr>
            <w:tcW w:w="0" w:type="auto"/>
            <w:vMerge/>
            <w:tcBorders>
              <w:left w:val="nil"/>
              <w:right w:val="nil"/>
            </w:tcBorders>
          </w:tcPr>
          <w:p w14:paraId="5485EE11" w14:textId="77777777" w:rsidR="00A308AC" w:rsidRDefault="00A308AC" w:rsidP="00A308AC">
            <w:pPr>
              <w:pStyle w:val="TableText"/>
            </w:pPr>
          </w:p>
        </w:tc>
        <w:tc>
          <w:tcPr>
            <w:tcW w:w="0" w:type="auto"/>
            <w:tcBorders>
              <w:top w:val="nil"/>
              <w:left w:val="nil"/>
              <w:bottom w:val="nil"/>
              <w:right w:val="nil"/>
            </w:tcBorders>
          </w:tcPr>
          <w:p w14:paraId="310AECF3" w14:textId="77777777" w:rsidR="00A308AC" w:rsidRDefault="00A308AC" w:rsidP="00A308AC">
            <w:pPr>
              <w:pStyle w:val="TableText"/>
            </w:pPr>
          </w:p>
        </w:tc>
        <w:tc>
          <w:tcPr>
            <w:tcW w:w="1060" w:type="pct"/>
            <w:tcBorders>
              <w:left w:val="nil"/>
              <w:right w:val="nil"/>
            </w:tcBorders>
          </w:tcPr>
          <w:p w14:paraId="0B30F9E7" w14:textId="4819E828" w:rsidR="00A308AC" w:rsidRDefault="00A308AC" w:rsidP="00A308AC">
            <w:pPr>
              <w:pStyle w:val="TableText"/>
              <w:rPr>
                <w:i/>
                <w:iCs/>
              </w:rPr>
            </w:pPr>
            <w:r w:rsidRPr="00C431DE">
              <w:rPr>
                <w:i/>
                <w:iCs/>
                <w:szCs w:val="17"/>
              </w:rPr>
              <w:t>Coturnix coturnix japonica</w:t>
            </w:r>
          </w:p>
        </w:tc>
        <w:tc>
          <w:tcPr>
            <w:tcW w:w="1183" w:type="pct"/>
            <w:tcBorders>
              <w:left w:val="nil"/>
              <w:right w:val="nil"/>
            </w:tcBorders>
          </w:tcPr>
          <w:p w14:paraId="70EFBB4D" w14:textId="24EC2CD0" w:rsidR="00A308AC" w:rsidRDefault="00A308AC" w:rsidP="00A308AC">
            <w:pPr>
              <w:pStyle w:val="TableText"/>
            </w:pPr>
            <w:r w:rsidRPr="00C431DE">
              <w:rPr>
                <w:szCs w:val="17"/>
              </w:rPr>
              <w:t>LC</w:t>
            </w:r>
            <w:r w:rsidRPr="00C431DE">
              <w:rPr>
                <w:szCs w:val="17"/>
                <w:vertAlign w:val="subscript"/>
              </w:rPr>
              <w:t>50</w:t>
            </w:r>
            <w:r w:rsidRPr="00C431DE">
              <w:rPr>
                <w:szCs w:val="17"/>
              </w:rPr>
              <w:t xml:space="preserve"> </w:t>
            </w:r>
            <w:r>
              <w:rPr>
                <w:szCs w:val="17"/>
              </w:rPr>
              <w:t>721</w:t>
            </w:r>
            <w:r w:rsidRPr="00C431DE">
              <w:rPr>
                <w:szCs w:val="17"/>
              </w:rPr>
              <w:t xml:space="preserve"> mg ac/kg feed</w:t>
            </w:r>
          </w:p>
        </w:tc>
        <w:tc>
          <w:tcPr>
            <w:tcW w:w="0" w:type="auto"/>
            <w:tcBorders>
              <w:top w:val="nil"/>
              <w:left w:val="nil"/>
              <w:bottom w:val="nil"/>
            </w:tcBorders>
          </w:tcPr>
          <w:p w14:paraId="37F17581" w14:textId="7A94DCE5" w:rsidR="00A308AC" w:rsidRDefault="00A308AC" w:rsidP="00A308AC">
            <w:pPr>
              <w:pStyle w:val="TableText"/>
            </w:pPr>
          </w:p>
        </w:tc>
      </w:tr>
      <w:tr w:rsidR="00A308AC" w:rsidRPr="000B2FA7" w14:paraId="3E978983" w14:textId="77777777" w:rsidTr="00514EF5">
        <w:tc>
          <w:tcPr>
            <w:tcW w:w="0" w:type="auto"/>
            <w:vMerge/>
            <w:tcBorders>
              <w:right w:val="nil"/>
            </w:tcBorders>
          </w:tcPr>
          <w:p w14:paraId="5D1F2BFA" w14:textId="77777777" w:rsidR="00A308AC" w:rsidRDefault="00A308AC" w:rsidP="00A308AC">
            <w:pPr>
              <w:pStyle w:val="TableText"/>
            </w:pPr>
          </w:p>
        </w:tc>
        <w:tc>
          <w:tcPr>
            <w:tcW w:w="0" w:type="auto"/>
            <w:vMerge/>
            <w:tcBorders>
              <w:left w:val="nil"/>
              <w:right w:val="nil"/>
            </w:tcBorders>
          </w:tcPr>
          <w:p w14:paraId="0FE70FA8" w14:textId="77777777" w:rsidR="00A308AC" w:rsidRDefault="00A308AC" w:rsidP="00A308AC">
            <w:pPr>
              <w:pStyle w:val="TableText"/>
            </w:pPr>
          </w:p>
        </w:tc>
        <w:tc>
          <w:tcPr>
            <w:tcW w:w="0" w:type="auto"/>
            <w:tcBorders>
              <w:top w:val="nil"/>
              <w:left w:val="nil"/>
              <w:right w:val="nil"/>
            </w:tcBorders>
          </w:tcPr>
          <w:p w14:paraId="2E5060D8" w14:textId="77777777" w:rsidR="00A308AC" w:rsidRDefault="00A308AC" w:rsidP="00A308AC">
            <w:pPr>
              <w:pStyle w:val="TableText"/>
            </w:pPr>
          </w:p>
        </w:tc>
        <w:tc>
          <w:tcPr>
            <w:tcW w:w="1060" w:type="pct"/>
            <w:tcBorders>
              <w:left w:val="nil"/>
              <w:right w:val="nil"/>
            </w:tcBorders>
          </w:tcPr>
          <w:p w14:paraId="5CA01CE1" w14:textId="2C619087" w:rsidR="00A308AC" w:rsidRDefault="00A308AC" w:rsidP="00A308AC">
            <w:pPr>
              <w:pStyle w:val="TableText"/>
              <w:rPr>
                <w:i/>
                <w:iCs/>
              </w:rPr>
            </w:pPr>
            <w:r w:rsidRPr="00C431DE">
              <w:rPr>
                <w:i/>
                <w:iCs/>
                <w:szCs w:val="17"/>
              </w:rPr>
              <w:t>Phasianus colchicus</w:t>
            </w:r>
          </w:p>
        </w:tc>
        <w:tc>
          <w:tcPr>
            <w:tcW w:w="1183" w:type="pct"/>
            <w:tcBorders>
              <w:left w:val="nil"/>
              <w:right w:val="nil"/>
            </w:tcBorders>
          </w:tcPr>
          <w:p w14:paraId="0580B87C" w14:textId="35F26063" w:rsidR="00A308AC" w:rsidRDefault="00A308AC" w:rsidP="00A308AC">
            <w:pPr>
              <w:pStyle w:val="TableText"/>
            </w:pPr>
            <w:r w:rsidRPr="00C431DE">
              <w:rPr>
                <w:szCs w:val="17"/>
              </w:rPr>
              <w:t>LC</w:t>
            </w:r>
            <w:r w:rsidRPr="00C431DE">
              <w:rPr>
                <w:szCs w:val="17"/>
                <w:vertAlign w:val="subscript"/>
              </w:rPr>
              <w:t>50</w:t>
            </w:r>
            <w:r w:rsidRPr="00C431DE">
              <w:rPr>
                <w:szCs w:val="17"/>
              </w:rPr>
              <w:t xml:space="preserve"> </w:t>
            </w:r>
            <w:r>
              <w:rPr>
                <w:szCs w:val="17"/>
              </w:rPr>
              <w:t>2004</w:t>
            </w:r>
            <w:r w:rsidRPr="00C431DE">
              <w:rPr>
                <w:szCs w:val="17"/>
              </w:rPr>
              <w:t xml:space="preserve"> mg ac/kg feed</w:t>
            </w:r>
          </w:p>
        </w:tc>
        <w:tc>
          <w:tcPr>
            <w:tcW w:w="0" w:type="auto"/>
            <w:tcBorders>
              <w:top w:val="nil"/>
              <w:left w:val="nil"/>
            </w:tcBorders>
          </w:tcPr>
          <w:p w14:paraId="3632313C" w14:textId="3BEB45C9" w:rsidR="00A308AC" w:rsidRDefault="00A308AC" w:rsidP="00A308AC">
            <w:pPr>
              <w:pStyle w:val="TableText"/>
            </w:pPr>
          </w:p>
        </w:tc>
      </w:tr>
      <w:tr w:rsidR="00CB656D" w:rsidRPr="000B2FA7" w14:paraId="48CE5BD0" w14:textId="77777777" w:rsidTr="00514EF5">
        <w:tc>
          <w:tcPr>
            <w:tcW w:w="0" w:type="auto"/>
            <w:vMerge/>
            <w:tcBorders>
              <w:right w:val="nil"/>
            </w:tcBorders>
          </w:tcPr>
          <w:p w14:paraId="364C11BD" w14:textId="77777777" w:rsidR="00CB656D" w:rsidRDefault="00CB656D" w:rsidP="00CB656D">
            <w:pPr>
              <w:pStyle w:val="TableText"/>
            </w:pPr>
          </w:p>
        </w:tc>
        <w:tc>
          <w:tcPr>
            <w:tcW w:w="0" w:type="auto"/>
            <w:vMerge/>
            <w:tcBorders>
              <w:left w:val="nil"/>
              <w:right w:val="nil"/>
            </w:tcBorders>
          </w:tcPr>
          <w:p w14:paraId="1F515B73" w14:textId="77777777" w:rsidR="00CB656D" w:rsidRDefault="00CB656D" w:rsidP="00CB656D">
            <w:pPr>
              <w:pStyle w:val="TableText"/>
            </w:pPr>
          </w:p>
        </w:tc>
        <w:tc>
          <w:tcPr>
            <w:tcW w:w="0" w:type="auto"/>
            <w:vMerge w:val="restart"/>
            <w:tcBorders>
              <w:left w:val="nil"/>
              <w:right w:val="nil"/>
            </w:tcBorders>
          </w:tcPr>
          <w:p w14:paraId="0F2E11D0" w14:textId="77777777" w:rsidR="00CB656D" w:rsidRDefault="00CB656D" w:rsidP="00CB656D">
            <w:pPr>
              <w:pStyle w:val="TableText"/>
            </w:pPr>
            <w:r>
              <w:t>Chronic</w:t>
            </w:r>
          </w:p>
        </w:tc>
        <w:tc>
          <w:tcPr>
            <w:tcW w:w="1060" w:type="pct"/>
            <w:tcBorders>
              <w:left w:val="nil"/>
              <w:right w:val="nil"/>
            </w:tcBorders>
          </w:tcPr>
          <w:p w14:paraId="756E1387" w14:textId="77777777" w:rsidR="00CB656D" w:rsidRDefault="00CB656D" w:rsidP="00CB656D">
            <w:pPr>
              <w:pStyle w:val="TableText"/>
              <w:rPr>
                <w:i/>
                <w:iCs/>
              </w:rPr>
            </w:pPr>
            <w:r>
              <w:rPr>
                <w:i/>
                <w:iCs/>
              </w:rPr>
              <w:t>Colinus virginianus</w:t>
            </w:r>
          </w:p>
        </w:tc>
        <w:tc>
          <w:tcPr>
            <w:tcW w:w="1183" w:type="pct"/>
            <w:tcBorders>
              <w:left w:val="nil"/>
              <w:right w:val="nil"/>
            </w:tcBorders>
          </w:tcPr>
          <w:p w14:paraId="1AF02060" w14:textId="77777777" w:rsidR="00CB656D" w:rsidRPr="00CA558C" w:rsidRDefault="00CB656D" w:rsidP="00CB656D">
            <w:pPr>
              <w:pStyle w:val="TableText"/>
            </w:pPr>
            <w:r>
              <w:t>NOEL 10 mg ac/kg bw/d</w:t>
            </w:r>
          </w:p>
        </w:tc>
        <w:tc>
          <w:tcPr>
            <w:tcW w:w="0" w:type="auto"/>
            <w:tcBorders>
              <w:left w:val="nil"/>
            </w:tcBorders>
          </w:tcPr>
          <w:p w14:paraId="0916BFF2" w14:textId="77777777" w:rsidR="00CB656D" w:rsidRDefault="00CB656D" w:rsidP="00CB656D">
            <w:pPr>
              <w:pStyle w:val="TableText"/>
            </w:pPr>
            <w:r>
              <w:t>Beavers &amp; Fink 1982</w:t>
            </w:r>
          </w:p>
        </w:tc>
      </w:tr>
      <w:tr w:rsidR="00CB656D" w:rsidRPr="000B2FA7" w14:paraId="4C3E5918" w14:textId="77777777" w:rsidTr="00514EF5">
        <w:tc>
          <w:tcPr>
            <w:tcW w:w="0" w:type="auto"/>
            <w:vMerge/>
            <w:tcBorders>
              <w:right w:val="nil"/>
            </w:tcBorders>
          </w:tcPr>
          <w:p w14:paraId="2FA51D8B" w14:textId="77777777" w:rsidR="00CB656D" w:rsidRDefault="00CB656D" w:rsidP="00CB656D">
            <w:pPr>
              <w:pStyle w:val="TableText"/>
            </w:pPr>
          </w:p>
        </w:tc>
        <w:tc>
          <w:tcPr>
            <w:tcW w:w="0" w:type="auto"/>
            <w:vMerge/>
            <w:tcBorders>
              <w:left w:val="nil"/>
              <w:right w:val="nil"/>
            </w:tcBorders>
          </w:tcPr>
          <w:p w14:paraId="6C6B354F" w14:textId="77777777" w:rsidR="00CB656D" w:rsidRDefault="00CB656D" w:rsidP="00CB656D">
            <w:pPr>
              <w:pStyle w:val="TableText"/>
            </w:pPr>
          </w:p>
        </w:tc>
        <w:tc>
          <w:tcPr>
            <w:tcW w:w="0" w:type="auto"/>
            <w:vMerge/>
            <w:tcBorders>
              <w:left w:val="nil"/>
              <w:right w:val="nil"/>
            </w:tcBorders>
          </w:tcPr>
          <w:p w14:paraId="67E91367" w14:textId="77777777" w:rsidR="00CB656D" w:rsidRDefault="00CB656D" w:rsidP="00CB656D">
            <w:pPr>
              <w:pStyle w:val="TableText"/>
            </w:pPr>
          </w:p>
        </w:tc>
        <w:tc>
          <w:tcPr>
            <w:tcW w:w="1060" w:type="pct"/>
            <w:tcBorders>
              <w:left w:val="nil"/>
              <w:right w:val="nil"/>
            </w:tcBorders>
          </w:tcPr>
          <w:p w14:paraId="739A526C" w14:textId="77777777" w:rsidR="00CB656D" w:rsidRDefault="00CB656D" w:rsidP="00CB656D">
            <w:pPr>
              <w:pStyle w:val="TableText"/>
              <w:rPr>
                <w:i/>
                <w:iCs/>
              </w:rPr>
            </w:pPr>
            <w:r>
              <w:rPr>
                <w:i/>
                <w:iCs/>
              </w:rPr>
              <w:t>Anas platyrhynchos</w:t>
            </w:r>
          </w:p>
        </w:tc>
        <w:tc>
          <w:tcPr>
            <w:tcW w:w="1183" w:type="pct"/>
            <w:tcBorders>
              <w:left w:val="nil"/>
              <w:right w:val="nil"/>
            </w:tcBorders>
          </w:tcPr>
          <w:p w14:paraId="0258EAAE" w14:textId="77777777" w:rsidR="00CB656D" w:rsidRDefault="00CB656D" w:rsidP="00CB656D">
            <w:pPr>
              <w:pStyle w:val="TableText"/>
            </w:pPr>
            <w:r>
              <w:t>NOEL 3.2 mg ac/kg bw/d</w:t>
            </w:r>
          </w:p>
        </w:tc>
        <w:tc>
          <w:tcPr>
            <w:tcW w:w="0" w:type="auto"/>
            <w:tcBorders>
              <w:left w:val="nil"/>
            </w:tcBorders>
          </w:tcPr>
          <w:p w14:paraId="282FC8FD" w14:textId="77777777" w:rsidR="00CB656D" w:rsidRDefault="00CB656D" w:rsidP="00CB656D">
            <w:pPr>
              <w:pStyle w:val="TableText"/>
            </w:pPr>
            <w:r>
              <w:t>Temple et al. 2004a, 2004b</w:t>
            </w:r>
          </w:p>
        </w:tc>
      </w:tr>
    </w:tbl>
    <w:p w14:paraId="286083D0" w14:textId="353D3E24" w:rsidR="00296F32" w:rsidRPr="00247DE6" w:rsidRDefault="005B7DDF" w:rsidP="00247DE6">
      <w:pPr>
        <w:pStyle w:val="Caption"/>
      </w:pPr>
      <w:bookmarkStart w:id="487" w:name="_Toc232589642"/>
      <w:r w:rsidRPr="00247DE6">
        <w:lastRenderedPageBreak/>
        <w:t xml:space="preserve">Table </w:t>
      </w:r>
      <w:fldSimple w:instr=" SEQ Table \* ARABIC ">
        <w:r w:rsidR="00247DE6">
          <w:rPr>
            <w:noProof/>
          </w:rPr>
          <w:t>47</w:t>
        </w:r>
      </w:fldSimple>
      <w:r w:rsidRPr="00247DE6">
        <w:t xml:space="preserve">: </w:t>
      </w:r>
      <w:r w:rsidR="00294CD3" w:rsidRPr="00247DE6">
        <w:t xml:space="preserve">Diquat – </w:t>
      </w:r>
      <w:r w:rsidR="00CB656D" w:rsidRPr="00247DE6">
        <w:t>l</w:t>
      </w:r>
      <w:r w:rsidR="00296F32" w:rsidRPr="00247DE6">
        <w:t>aboratory studies on aquatic species</w:t>
      </w:r>
      <w:bookmarkEnd w:id="487"/>
    </w:p>
    <w:tbl>
      <w:tblPr>
        <w:tblW w:w="0" w:type="auto"/>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8"/>
        <w:gridCol w:w="1206"/>
        <w:gridCol w:w="992"/>
        <w:gridCol w:w="2611"/>
        <w:gridCol w:w="2067"/>
        <w:gridCol w:w="1836"/>
      </w:tblGrid>
      <w:tr w:rsidR="00296F32" w:rsidRPr="000B2FA7" w14:paraId="43206CB2" w14:textId="77777777" w:rsidTr="00514EF5">
        <w:trPr>
          <w:tblHeader/>
        </w:trPr>
        <w:tc>
          <w:tcPr>
            <w:tcW w:w="0" w:type="auto"/>
            <w:tcBorders>
              <w:bottom w:val="single" w:sz="4" w:space="0" w:color="auto"/>
              <w:right w:val="nil"/>
            </w:tcBorders>
            <w:shd w:val="clear" w:color="auto" w:fill="5C2946"/>
          </w:tcPr>
          <w:p w14:paraId="19AD93DD" w14:textId="77777777" w:rsidR="00296F32" w:rsidRPr="00CB656D" w:rsidRDefault="00296F32" w:rsidP="00CB656D">
            <w:pPr>
              <w:pStyle w:val="TableHead"/>
            </w:pPr>
            <w:r w:rsidRPr="00CB656D">
              <w:t>Substance</w:t>
            </w:r>
          </w:p>
        </w:tc>
        <w:tc>
          <w:tcPr>
            <w:tcW w:w="1206" w:type="dxa"/>
            <w:tcBorders>
              <w:left w:val="nil"/>
              <w:right w:val="nil"/>
            </w:tcBorders>
            <w:shd w:val="clear" w:color="auto" w:fill="5C2946"/>
          </w:tcPr>
          <w:p w14:paraId="330E3BD6" w14:textId="77777777" w:rsidR="00296F32" w:rsidRPr="00CB656D" w:rsidRDefault="00296F32" w:rsidP="00CB656D">
            <w:pPr>
              <w:pStyle w:val="TableHead"/>
            </w:pPr>
            <w:r w:rsidRPr="00CB656D">
              <w:t>Group</w:t>
            </w:r>
          </w:p>
        </w:tc>
        <w:tc>
          <w:tcPr>
            <w:tcW w:w="992" w:type="dxa"/>
            <w:tcBorders>
              <w:left w:val="nil"/>
              <w:right w:val="nil"/>
            </w:tcBorders>
            <w:shd w:val="clear" w:color="auto" w:fill="5C2946"/>
          </w:tcPr>
          <w:p w14:paraId="441A3D36" w14:textId="77777777" w:rsidR="00296F32" w:rsidRPr="00CB656D" w:rsidRDefault="00296F32" w:rsidP="00CB656D">
            <w:pPr>
              <w:pStyle w:val="TableHead"/>
            </w:pPr>
            <w:r w:rsidRPr="00CB656D">
              <w:t>Exposure</w:t>
            </w:r>
          </w:p>
        </w:tc>
        <w:tc>
          <w:tcPr>
            <w:tcW w:w="2611" w:type="dxa"/>
            <w:tcBorders>
              <w:left w:val="nil"/>
              <w:right w:val="nil"/>
            </w:tcBorders>
            <w:shd w:val="clear" w:color="auto" w:fill="5C2946"/>
          </w:tcPr>
          <w:p w14:paraId="3DAB0A7F" w14:textId="77777777" w:rsidR="00296F32" w:rsidRPr="00CB656D" w:rsidRDefault="00296F32" w:rsidP="00CB656D">
            <w:pPr>
              <w:pStyle w:val="TableHead"/>
            </w:pPr>
            <w:r w:rsidRPr="00CB656D">
              <w:t>Species</w:t>
            </w:r>
          </w:p>
        </w:tc>
        <w:tc>
          <w:tcPr>
            <w:tcW w:w="2067" w:type="dxa"/>
            <w:tcBorders>
              <w:left w:val="nil"/>
              <w:right w:val="nil"/>
            </w:tcBorders>
            <w:shd w:val="clear" w:color="auto" w:fill="5C2946"/>
          </w:tcPr>
          <w:p w14:paraId="65BE87B8" w14:textId="77777777" w:rsidR="00296F32" w:rsidRPr="00CB656D" w:rsidRDefault="00296F32" w:rsidP="00CB656D">
            <w:pPr>
              <w:pStyle w:val="TableHead"/>
            </w:pPr>
            <w:r w:rsidRPr="00CB656D">
              <w:t>Toxicity value</w:t>
            </w:r>
          </w:p>
        </w:tc>
        <w:tc>
          <w:tcPr>
            <w:tcW w:w="1836" w:type="dxa"/>
            <w:tcBorders>
              <w:left w:val="nil"/>
            </w:tcBorders>
            <w:shd w:val="clear" w:color="auto" w:fill="5C2946"/>
          </w:tcPr>
          <w:p w14:paraId="59699906" w14:textId="77777777" w:rsidR="00296F32" w:rsidRPr="00CB656D" w:rsidRDefault="00296F32" w:rsidP="00CB656D">
            <w:pPr>
              <w:pStyle w:val="TableHead"/>
            </w:pPr>
            <w:r w:rsidRPr="00CB656D">
              <w:t>Reference</w:t>
            </w:r>
          </w:p>
        </w:tc>
      </w:tr>
      <w:tr w:rsidR="00A308AC" w:rsidRPr="000B2FA7" w14:paraId="511F8C68" w14:textId="77777777" w:rsidTr="00CB656D">
        <w:trPr>
          <w:trHeight w:val="13"/>
        </w:trPr>
        <w:tc>
          <w:tcPr>
            <w:tcW w:w="0" w:type="auto"/>
            <w:vMerge w:val="restart"/>
            <w:tcBorders>
              <w:right w:val="nil"/>
            </w:tcBorders>
          </w:tcPr>
          <w:p w14:paraId="7BD5F061" w14:textId="77777777" w:rsidR="00A308AC" w:rsidRPr="00CB656D" w:rsidRDefault="00A308AC" w:rsidP="00CB656D">
            <w:pPr>
              <w:pStyle w:val="TableText"/>
              <w:rPr>
                <w:szCs w:val="17"/>
              </w:rPr>
            </w:pPr>
            <w:r w:rsidRPr="00CB656D">
              <w:rPr>
                <w:szCs w:val="17"/>
              </w:rPr>
              <w:t>Diquat</w:t>
            </w:r>
          </w:p>
          <w:p w14:paraId="4DF6C99F" w14:textId="603FAECA" w:rsidR="00A308AC" w:rsidRPr="00CB656D" w:rsidRDefault="00A308AC" w:rsidP="00CB656D">
            <w:pPr>
              <w:pStyle w:val="TableText"/>
              <w:keepNext/>
              <w:keepLines/>
              <w:rPr>
                <w:szCs w:val="17"/>
              </w:rPr>
            </w:pPr>
          </w:p>
        </w:tc>
        <w:tc>
          <w:tcPr>
            <w:tcW w:w="1206" w:type="dxa"/>
            <w:vMerge w:val="restart"/>
            <w:tcBorders>
              <w:left w:val="nil"/>
              <w:right w:val="nil"/>
            </w:tcBorders>
          </w:tcPr>
          <w:p w14:paraId="0FA1B441" w14:textId="77777777" w:rsidR="00A308AC" w:rsidRPr="00CB656D" w:rsidRDefault="00A308AC" w:rsidP="00CB656D">
            <w:pPr>
              <w:pStyle w:val="TableText"/>
              <w:rPr>
                <w:szCs w:val="17"/>
              </w:rPr>
            </w:pPr>
            <w:r w:rsidRPr="00CB656D">
              <w:rPr>
                <w:szCs w:val="17"/>
              </w:rPr>
              <w:t>Vertebrates</w:t>
            </w:r>
          </w:p>
        </w:tc>
        <w:tc>
          <w:tcPr>
            <w:tcW w:w="992" w:type="dxa"/>
            <w:vMerge w:val="restart"/>
            <w:tcBorders>
              <w:left w:val="nil"/>
              <w:right w:val="nil"/>
            </w:tcBorders>
          </w:tcPr>
          <w:p w14:paraId="498CCCC6" w14:textId="77777777" w:rsidR="00A308AC" w:rsidRPr="00CB656D" w:rsidRDefault="00A308AC" w:rsidP="00CB656D">
            <w:pPr>
              <w:pStyle w:val="TableText"/>
              <w:rPr>
                <w:szCs w:val="17"/>
              </w:rPr>
            </w:pPr>
            <w:r w:rsidRPr="00CB656D">
              <w:rPr>
                <w:szCs w:val="17"/>
              </w:rPr>
              <w:t>Acute</w:t>
            </w:r>
          </w:p>
        </w:tc>
        <w:tc>
          <w:tcPr>
            <w:tcW w:w="2611" w:type="dxa"/>
            <w:tcBorders>
              <w:left w:val="nil"/>
              <w:right w:val="nil"/>
            </w:tcBorders>
          </w:tcPr>
          <w:p w14:paraId="39989362" w14:textId="77777777" w:rsidR="00A308AC" w:rsidRPr="00CB656D" w:rsidRDefault="00A308AC" w:rsidP="00CB656D">
            <w:pPr>
              <w:pStyle w:val="TableText"/>
              <w:rPr>
                <w:i/>
                <w:iCs/>
                <w:szCs w:val="17"/>
              </w:rPr>
            </w:pPr>
            <w:r w:rsidRPr="00CB656D">
              <w:rPr>
                <w:i/>
                <w:iCs/>
                <w:szCs w:val="17"/>
              </w:rPr>
              <w:t>Sander vitreus</w:t>
            </w:r>
          </w:p>
          <w:p w14:paraId="2D5AED12" w14:textId="77777777" w:rsidR="00A308AC" w:rsidRPr="00CB656D" w:rsidRDefault="00A308AC" w:rsidP="00CB656D">
            <w:pPr>
              <w:pStyle w:val="TableText"/>
              <w:rPr>
                <w:i/>
                <w:iCs/>
                <w:szCs w:val="17"/>
              </w:rPr>
            </w:pPr>
            <w:r w:rsidRPr="00CB656D">
              <w:rPr>
                <w:i/>
                <w:iCs/>
                <w:szCs w:val="17"/>
              </w:rPr>
              <w:t>Micropterus dolomieu</w:t>
            </w:r>
          </w:p>
          <w:p w14:paraId="1445968C" w14:textId="77777777" w:rsidR="00A308AC" w:rsidRPr="00CB656D" w:rsidRDefault="00A308AC" w:rsidP="00CB656D">
            <w:pPr>
              <w:pStyle w:val="TableText"/>
              <w:rPr>
                <w:i/>
                <w:iCs/>
                <w:szCs w:val="17"/>
              </w:rPr>
            </w:pPr>
            <w:r w:rsidRPr="00CB656D">
              <w:rPr>
                <w:i/>
                <w:iCs/>
                <w:szCs w:val="17"/>
              </w:rPr>
              <w:t>Micropterus salmoides</w:t>
            </w:r>
          </w:p>
        </w:tc>
        <w:tc>
          <w:tcPr>
            <w:tcW w:w="2067" w:type="dxa"/>
            <w:tcBorders>
              <w:left w:val="nil"/>
              <w:right w:val="nil"/>
            </w:tcBorders>
          </w:tcPr>
          <w:p w14:paraId="4CAD2584" w14:textId="77777777" w:rsidR="00A308AC" w:rsidRPr="00CB656D" w:rsidRDefault="00A308AC" w:rsidP="00CB656D">
            <w:pPr>
              <w:pStyle w:val="TableText"/>
              <w:rPr>
                <w:szCs w:val="17"/>
              </w:rPr>
            </w:pPr>
            <w:r w:rsidRPr="00CB656D">
              <w:rPr>
                <w:szCs w:val="17"/>
              </w:rPr>
              <w:t>LC</w:t>
            </w:r>
            <w:r w:rsidRPr="00CB656D">
              <w:rPr>
                <w:szCs w:val="17"/>
                <w:vertAlign w:val="subscript"/>
              </w:rPr>
              <w:t>50</w:t>
            </w:r>
            <w:r w:rsidRPr="00CB656D">
              <w:rPr>
                <w:szCs w:val="17"/>
              </w:rPr>
              <w:t xml:space="preserve"> 0.75 mg ac/L</w:t>
            </w:r>
          </w:p>
          <w:p w14:paraId="29851CAF" w14:textId="77777777" w:rsidR="00A308AC" w:rsidRPr="00CB656D" w:rsidRDefault="00A308AC" w:rsidP="00CB656D">
            <w:pPr>
              <w:pStyle w:val="TableText"/>
              <w:rPr>
                <w:szCs w:val="17"/>
              </w:rPr>
            </w:pPr>
            <w:r w:rsidRPr="00CB656D">
              <w:rPr>
                <w:szCs w:val="17"/>
              </w:rPr>
              <w:t>LC</w:t>
            </w:r>
            <w:r w:rsidRPr="00CB656D">
              <w:rPr>
                <w:szCs w:val="17"/>
                <w:vertAlign w:val="subscript"/>
              </w:rPr>
              <w:t>50</w:t>
            </w:r>
            <w:r w:rsidRPr="00CB656D">
              <w:rPr>
                <w:szCs w:val="17"/>
              </w:rPr>
              <w:t xml:space="preserve"> 3.9 mg ac/L</w:t>
            </w:r>
          </w:p>
          <w:p w14:paraId="72AA3658" w14:textId="77777777" w:rsidR="00A308AC" w:rsidRPr="00CB656D" w:rsidRDefault="00A308AC" w:rsidP="00CB656D">
            <w:pPr>
              <w:pStyle w:val="TableText"/>
              <w:rPr>
                <w:szCs w:val="17"/>
              </w:rPr>
            </w:pPr>
            <w:r w:rsidRPr="00CB656D">
              <w:rPr>
                <w:szCs w:val="17"/>
              </w:rPr>
              <w:t>LC</w:t>
            </w:r>
            <w:r w:rsidRPr="00CB656D">
              <w:rPr>
                <w:szCs w:val="17"/>
                <w:vertAlign w:val="subscript"/>
              </w:rPr>
              <w:t>50</w:t>
            </w:r>
            <w:r w:rsidRPr="00CB656D">
              <w:rPr>
                <w:szCs w:val="17"/>
              </w:rPr>
              <w:t xml:space="preserve"> 4.9 mg ac/L</w:t>
            </w:r>
          </w:p>
        </w:tc>
        <w:tc>
          <w:tcPr>
            <w:tcW w:w="1836" w:type="dxa"/>
            <w:tcBorders>
              <w:left w:val="nil"/>
            </w:tcBorders>
          </w:tcPr>
          <w:p w14:paraId="06F3C6D5" w14:textId="77777777" w:rsidR="00A308AC" w:rsidRPr="00CB656D" w:rsidRDefault="00A308AC" w:rsidP="00CB656D">
            <w:pPr>
              <w:pStyle w:val="TableText"/>
              <w:rPr>
                <w:szCs w:val="17"/>
              </w:rPr>
            </w:pPr>
            <w:r w:rsidRPr="00CB656D">
              <w:rPr>
                <w:szCs w:val="17"/>
              </w:rPr>
              <w:t>Paul et al. 1994</w:t>
            </w:r>
          </w:p>
        </w:tc>
      </w:tr>
      <w:tr w:rsidR="00A308AC" w14:paraId="7C2042D4" w14:textId="77777777" w:rsidTr="00EB4E83">
        <w:tc>
          <w:tcPr>
            <w:tcW w:w="0" w:type="auto"/>
            <w:vMerge/>
            <w:tcBorders>
              <w:right w:val="nil"/>
            </w:tcBorders>
          </w:tcPr>
          <w:p w14:paraId="425A4002" w14:textId="609629FE" w:rsidR="00A308AC" w:rsidRPr="00CB656D" w:rsidRDefault="00A308AC" w:rsidP="00CB656D">
            <w:pPr>
              <w:pStyle w:val="TableText"/>
              <w:keepNext/>
              <w:keepLines/>
              <w:rPr>
                <w:szCs w:val="17"/>
              </w:rPr>
            </w:pPr>
          </w:p>
        </w:tc>
        <w:tc>
          <w:tcPr>
            <w:tcW w:w="1206" w:type="dxa"/>
            <w:vMerge/>
            <w:tcBorders>
              <w:left w:val="nil"/>
              <w:right w:val="nil"/>
            </w:tcBorders>
          </w:tcPr>
          <w:p w14:paraId="1B56587B" w14:textId="77777777" w:rsidR="00A308AC" w:rsidRPr="00CB656D" w:rsidRDefault="00A308AC" w:rsidP="00CB656D">
            <w:pPr>
              <w:pStyle w:val="TableText"/>
              <w:rPr>
                <w:szCs w:val="17"/>
              </w:rPr>
            </w:pPr>
          </w:p>
        </w:tc>
        <w:tc>
          <w:tcPr>
            <w:tcW w:w="992" w:type="dxa"/>
            <w:vMerge/>
            <w:tcBorders>
              <w:left w:val="nil"/>
              <w:right w:val="nil"/>
            </w:tcBorders>
          </w:tcPr>
          <w:p w14:paraId="5A8D32A9" w14:textId="77777777" w:rsidR="00A308AC" w:rsidRPr="00CB656D" w:rsidRDefault="00A308AC" w:rsidP="00CB656D">
            <w:pPr>
              <w:pStyle w:val="TableText"/>
              <w:rPr>
                <w:szCs w:val="17"/>
              </w:rPr>
            </w:pPr>
          </w:p>
        </w:tc>
        <w:tc>
          <w:tcPr>
            <w:tcW w:w="2611" w:type="dxa"/>
            <w:tcBorders>
              <w:left w:val="nil"/>
              <w:right w:val="nil"/>
            </w:tcBorders>
          </w:tcPr>
          <w:p w14:paraId="75DD5E46" w14:textId="77777777" w:rsidR="00A308AC" w:rsidRPr="00CB656D" w:rsidRDefault="00A308AC" w:rsidP="00CB656D">
            <w:pPr>
              <w:pStyle w:val="TableText"/>
              <w:rPr>
                <w:i/>
                <w:iCs/>
                <w:szCs w:val="17"/>
              </w:rPr>
            </w:pPr>
            <w:r w:rsidRPr="00CB656D">
              <w:rPr>
                <w:i/>
                <w:iCs/>
                <w:szCs w:val="17"/>
              </w:rPr>
              <w:t>Cyprinodon variegatus</w:t>
            </w:r>
          </w:p>
        </w:tc>
        <w:tc>
          <w:tcPr>
            <w:tcW w:w="2067" w:type="dxa"/>
            <w:tcBorders>
              <w:left w:val="nil"/>
              <w:right w:val="nil"/>
            </w:tcBorders>
          </w:tcPr>
          <w:p w14:paraId="48769E50" w14:textId="77777777" w:rsidR="00A308AC" w:rsidRPr="00CB656D" w:rsidRDefault="00A308AC" w:rsidP="00CB656D">
            <w:pPr>
              <w:pStyle w:val="TableText"/>
              <w:rPr>
                <w:szCs w:val="17"/>
              </w:rPr>
            </w:pPr>
            <w:r w:rsidRPr="00CB656D">
              <w:rPr>
                <w:szCs w:val="17"/>
              </w:rPr>
              <w:t>LC</w:t>
            </w:r>
            <w:r w:rsidRPr="00CB656D">
              <w:rPr>
                <w:szCs w:val="17"/>
                <w:vertAlign w:val="subscript"/>
              </w:rPr>
              <w:t>50</w:t>
            </w:r>
            <w:r w:rsidRPr="00CB656D">
              <w:rPr>
                <w:szCs w:val="17"/>
              </w:rPr>
              <w:t xml:space="preserve"> 49 mg ac/L</w:t>
            </w:r>
          </w:p>
        </w:tc>
        <w:tc>
          <w:tcPr>
            <w:tcW w:w="1836" w:type="dxa"/>
            <w:tcBorders>
              <w:left w:val="nil"/>
            </w:tcBorders>
          </w:tcPr>
          <w:p w14:paraId="09A438B6" w14:textId="77777777" w:rsidR="00A308AC" w:rsidRPr="00CB656D" w:rsidRDefault="00A308AC" w:rsidP="00CB656D">
            <w:pPr>
              <w:pStyle w:val="TableText"/>
              <w:rPr>
                <w:szCs w:val="17"/>
              </w:rPr>
            </w:pPr>
            <w:r w:rsidRPr="00CB656D">
              <w:rPr>
                <w:szCs w:val="17"/>
              </w:rPr>
              <w:t>Nicholson 1987</w:t>
            </w:r>
          </w:p>
        </w:tc>
      </w:tr>
      <w:tr w:rsidR="00A308AC" w:rsidRPr="000B2FA7" w14:paraId="31BBCF4D" w14:textId="77777777" w:rsidTr="00EB4E83">
        <w:tc>
          <w:tcPr>
            <w:tcW w:w="0" w:type="auto"/>
            <w:vMerge/>
            <w:tcBorders>
              <w:right w:val="nil"/>
            </w:tcBorders>
          </w:tcPr>
          <w:p w14:paraId="7CB0BF5D" w14:textId="179D479A" w:rsidR="00A308AC" w:rsidRPr="00CB656D" w:rsidRDefault="00A308AC" w:rsidP="00CB656D">
            <w:pPr>
              <w:pStyle w:val="TableText"/>
              <w:keepNext/>
              <w:keepLines/>
              <w:rPr>
                <w:szCs w:val="17"/>
              </w:rPr>
            </w:pPr>
          </w:p>
        </w:tc>
        <w:tc>
          <w:tcPr>
            <w:tcW w:w="1206" w:type="dxa"/>
            <w:vMerge/>
            <w:tcBorders>
              <w:left w:val="nil"/>
              <w:right w:val="nil"/>
            </w:tcBorders>
          </w:tcPr>
          <w:p w14:paraId="23AA58D5" w14:textId="77777777" w:rsidR="00A308AC" w:rsidRPr="00CB656D" w:rsidRDefault="00A308AC" w:rsidP="00CB656D">
            <w:pPr>
              <w:pStyle w:val="TableText"/>
              <w:keepNext/>
              <w:keepLines/>
              <w:rPr>
                <w:szCs w:val="17"/>
              </w:rPr>
            </w:pPr>
          </w:p>
        </w:tc>
        <w:tc>
          <w:tcPr>
            <w:tcW w:w="992" w:type="dxa"/>
            <w:vMerge w:val="restart"/>
            <w:tcBorders>
              <w:left w:val="nil"/>
              <w:right w:val="nil"/>
            </w:tcBorders>
          </w:tcPr>
          <w:p w14:paraId="591EBB91" w14:textId="77777777" w:rsidR="00A308AC" w:rsidRPr="00CB656D" w:rsidRDefault="00A308AC" w:rsidP="00CB656D">
            <w:pPr>
              <w:pStyle w:val="TableText"/>
              <w:keepNext/>
              <w:keepLines/>
              <w:rPr>
                <w:szCs w:val="17"/>
              </w:rPr>
            </w:pPr>
            <w:r w:rsidRPr="00CB656D">
              <w:rPr>
                <w:szCs w:val="17"/>
              </w:rPr>
              <w:t>Chronic</w:t>
            </w:r>
          </w:p>
        </w:tc>
        <w:tc>
          <w:tcPr>
            <w:tcW w:w="2611" w:type="dxa"/>
            <w:tcBorders>
              <w:left w:val="nil"/>
              <w:right w:val="nil"/>
            </w:tcBorders>
          </w:tcPr>
          <w:p w14:paraId="0B0EA1DD" w14:textId="77777777" w:rsidR="00A308AC" w:rsidRPr="00CB656D" w:rsidRDefault="00A308AC" w:rsidP="00CB656D">
            <w:pPr>
              <w:pStyle w:val="TableText"/>
              <w:keepNext/>
              <w:keepLines/>
              <w:rPr>
                <w:i/>
                <w:iCs/>
                <w:szCs w:val="17"/>
              </w:rPr>
            </w:pPr>
            <w:r w:rsidRPr="00CB656D">
              <w:rPr>
                <w:i/>
                <w:iCs/>
                <w:szCs w:val="17"/>
              </w:rPr>
              <w:t>Pimephales promelas</w:t>
            </w:r>
          </w:p>
        </w:tc>
        <w:tc>
          <w:tcPr>
            <w:tcW w:w="2067" w:type="dxa"/>
            <w:tcBorders>
              <w:left w:val="nil"/>
              <w:right w:val="nil"/>
            </w:tcBorders>
          </w:tcPr>
          <w:p w14:paraId="4B645C3F" w14:textId="77777777" w:rsidR="00A308AC" w:rsidRPr="00CB656D" w:rsidRDefault="00A308AC" w:rsidP="00CB656D">
            <w:pPr>
              <w:pStyle w:val="TableText"/>
              <w:keepNext/>
              <w:keepLines/>
              <w:rPr>
                <w:szCs w:val="17"/>
              </w:rPr>
            </w:pPr>
            <w:r w:rsidRPr="00CB656D">
              <w:rPr>
                <w:szCs w:val="17"/>
              </w:rPr>
              <w:t>NOEC 0.12 mg ac/L</w:t>
            </w:r>
          </w:p>
        </w:tc>
        <w:tc>
          <w:tcPr>
            <w:tcW w:w="1836" w:type="dxa"/>
            <w:tcBorders>
              <w:left w:val="nil"/>
            </w:tcBorders>
          </w:tcPr>
          <w:p w14:paraId="6433C93B" w14:textId="77777777" w:rsidR="00A308AC" w:rsidRPr="00CB656D" w:rsidRDefault="00A308AC" w:rsidP="00CB656D">
            <w:pPr>
              <w:pStyle w:val="TableText"/>
              <w:keepNext/>
              <w:keepLines/>
              <w:rPr>
                <w:szCs w:val="17"/>
              </w:rPr>
            </w:pPr>
            <w:r w:rsidRPr="00CB656D">
              <w:rPr>
                <w:szCs w:val="17"/>
              </w:rPr>
              <w:t>Surprenant 1987a</w:t>
            </w:r>
          </w:p>
        </w:tc>
      </w:tr>
      <w:tr w:rsidR="00A308AC" w:rsidRPr="000B2FA7" w14:paraId="23095777" w14:textId="77777777" w:rsidTr="00EB4E83">
        <w:tc>
          <w:tcPr>
            <w:tcW w:w="0" w:type="auto"/>
            <w:vMerge/>
            <w:tcBorders>
              <w:right w:val="nil"/>
            </w:tcBorders>
          </w:tcPr>
          <w:p w14:paraId="0D0C81E9" w14:textId="77777777" w:rsidR="00A308AC" w:rsidRPr="00CB656D" w:rsidRDefault="00A308AC" w:rsidP="00CB656D">
            <w:pPr>
              <w:pStyle w:val="TableText"/>
              <w:keepNext/>
              <w:keepLines/>
              <w:rPr>
                <w:szCs w:val="17"/>
              </w:rPr>
            </w:pPr>
          </w:p>
        </w:tc>
        <w:tc>
          <w:tcPr>
            <w:tcW w:w="1206" w:type="dxa"/>
            <w:vMerge/>
            <w:tcBorders>
              <w:left w:val="nil"/>
              <w:right w:val="nil"/>
            </w:tcBorders>
          </w:tcPr>
          <w:p w14:paraId="33E07F51" w14:textId="77777777" w:rsidR="00A308AC" w:rsidRPr="00CB656D" w:rsidRDefault="00A308AC" w:rsidP="00CB656D">
            <w:pPr>
              <w:pStyle w:val="TableText"/>
              <w:keepNext/>
              <w:keepLines/>
              <w:rPr>
                <w:szCs w:val="17"/>
              </w:rPr>
            </w:pPr>
          </w:p>
        </w:tc>
        <w:tc>
          <w:tcPr>
            <w:tcW w:w="992" w:type="dxa"/>
            <w:vMerge/>
            <w:tcBorders>
              <w:left w:val="nil"/>
              <w:right w:val="nil"/>
            </w:tcBorders>
          </w:tcPr>
          <w:p w14:paraId="46811EB1" w14:textId="77777777" w:rsidR="00A308AC" w:rsidRPr="00CB656D" w:rsidRDefault="00A308AC" w:rsidP="00CB656D">
            <w:pPr>
              <w:pStyle w:val="TableText"/>
              <w:keepNext/>
              <w:keepLines/>
              <w:rPr>
                <w:szCs w:val="17"/>
              </w:rPr>
            </w:pPr>
          </w:p>
        </w:tc>
        <w:tc>
          <w:tcPr>
            <w:tcW w:w="2611" w:type="dxa"/>
            <w:tcBorders>
              <w:left w:val="nil"/>
              <w:right w:val="nil"/>
            </w:tcBorders>
          </w:tcPr>
          <w:p w14:paraId="62834517" w14:textId="77777777" w:rsidR="00A308AC" w:rsidRPr="00CB656D" w:rsidRDefault="00A308AC" w:rsidP="00CB656D">
            <w:pPr>
              <w:pStyle w:val="TableText"/>
              <w:keepNext/>
              <w:keepLines/>
              <w:rPr>
                <w:i/>
                <w:iCs/>
                <w:szCs w:val="17"/>
              </w:rPr>
            </w:pPr>
            <w:r w:rsidRPr="00CB656D">
              <w:rPr>
                <w:i/>
                <w:iCs/>
                <w:szCs w:val="17"/>
              </w:rPr>
              <w:t>Cyprinodon variegatus</w:t>
            </w:r>
          </w:p>
        </w:tc>
        <w:tc>
          <w:tcPr>
            <w:tcW w:w="2067" w:type="dxa"/>
            <w:tcBorders>
              <w:left w:val="nil"/>
              <w:right w:val="nil"/>
            </w:tcBorders>
          </w:tcPr>
          <w:p w14:paraId="60FE668F" w14:textId="77777777" w:rsidR="00A308AC" w:rsidRPr="00CB656D" w:rsidRDefault="00A308AC" w:rsidP="00CB656D">
            <w:pPr>
              <w:pStyle w:val="TableText"/>
              <w:keepNext/>
              <w:keepLines/>
              <w:rPr>
                <w:szCs w:val="17"/>
              </w:rPr>
            </w:pPr>
            <w:r w:rsidRPr="00CB656D">
              <w:rPr>
                <w:szCs w:val="17"/>
              </w:rPr>
              <w:t>NOEC 3.0 mg ac/L</w:t>
            </w:r>
          </w:p>
        </w:tc>
        <w:tc>
          <w:tcPr>
            <w:tcW w:w="1836" w:type="dxa"/>
            <w:tcBorders>
              <w:left w:val="nil"/>
            </w:tcBorders>
          </w:tcPr>
          <w:p w14:paraId="1AB168AC" w14:textId="77777777" w:rsidR="00A308AC" w:rsidRPr="00CB656D" w:rsidRDefault="00A308AC" w:rsidP="00CB656D">
            <w:pPr>
              <w:pStyle w:val="TableText"/>
              <w:keepNext/>
              <w:keepLines/>
              <w:rPr>
                <w:szCs w:val="17"/>
              </w:rPr>
            </w:pPr>
            <w:r w:rsidRPr="00CB656D">
              <w:rPr>
                <w:szCs w:val="17"/>
              </w:rPr>
              <w:t>Minderhout 2012</w:t>
            </w:r>
          </w:p>
        </w:tc>
      </w:tr>
      <w:tr w:rsidR="00A308AC" w:rsidRPr="000B2FA7" w14:paraId="1CA05D85" w14:textId="77777777" w:rsidTr="00EB4E83">
        <w:tc>
          <w:tcPr>
            <w:tcW w:w="0" w:type="auto"/>
            <w:vMerge/>
            <w:tcBorders>
              <w:right w:val="nil"/>
            </w:tcBorders>
          </w:tcPr>
          <w:p w14:paraId="386D46EC" w14:textId="77777777" w:rsidR="00A308AC" w:rsidRPr="00CB656D" w:rsidRDefault="00A308AC" w:rsidP="00CB656D">
            <w:pPr>
              <w:pStyle w:val="TableText"/>
              <w:rPr>
                <w:szCs w:val="17"/>
              </w:rPr>
            </w:pPr>
          </w:p>
        </w:tc>
        <w:tc>
          <w:tcPr>
            <w:tcW w:w="1206" w:type="dxa"/>
            <w:vMerge w:val="restart"/>
            <w:tcBorders>
              <w:left w:val="nil"/>
              <w:right w:val="nil"/>
            </w:tcBorders>
          </w:tcPr>
          <w:p w14:paraId="5346ABA4" w14:textId="77777777" w:rsidR="00A308AC" w:rsidRPr="00CB656D" w:rsidRDefault="00A308AC" w:rsidP="00CB656D">
            <w:pPr>
              <w:pStyle w:val="TableText"/>
              <w:rPr>
                <w:szCs w:val="17"/>
              </w:rPr>
            </w:pPr>
            <w:r w:rsidRPr="00CB656D">
              <w:rPr>
                <w:szCs w:val="17"/>
              </w:rPr>
              <w:t>Invertebrates</w:t>
            </w:r>
          </w:p>
        </w:tc>
        <w:tc>
          <w:tcPr>
            <w:tcW w:w="992" w:type="dxa"/>
            <w:vMerge w:val="restart"/>
            <w:tcBorders>
              <w:left w:val="nil"/>
              <w:right w:val="nil"/>
            </w:tcBorders>
          </w:tcPr>
          <w:p w14:paraId="59339F99" w14:textId="77777777" w:rsidR="00A308AC" w:rsidRPr="00CB656D" w:rsidRDefault="00A308AC" w:rsidP="00CB656D">
            <w:pPr>
              <w:pStyle w:val="TableText"/>
              <w:rPr>
                <w:szCs w:val="17"/>
              </w:rPr>
            </w:pPr>
            <w:r w:rsidRPr="00CB656D">
              <w:rPr>
                <w:szCs w:val="17"/>
              </w:rPr>
              <w:t>Acute</w:t>
            </w:r>
          </w:p>
        </w:tc>
        <w:tc>
          <w:tcPr>
            <w:tcW w:w="2611" w:type="dxa"/>
            <w:tcBorders>
              <w:left w:val="nil"/>
              <w:right w:val="nil"/>
            </w:tcBorders>
          </w:tcPr>
          <w:p w14:paraId="2C7E9570" w14:textId="77777777" w:rsidR="00A308AC" w:rsidRPr="00CB656D" w:rsidRDefault="00A308AC" w:rsidP="00CB656D">
            <w:pPr>
              <w:pStyle w:val="TableText"/>
              <w:rPr>
                <w:i/>
                <w:iCs/>
                <w:szCs w:val="17"/>
              </w:rPr>
            </w:pPr>
            <w:r w:rsidRPr="00CB656D">
              <w:rPr>
                <w:i/>
                <w:iCs/>
                <w:szCs w:val="17"/>
              </w:rPr>
              <w:t>Hyalella azteca</w:t>
            </w:r>
          </w:p>
        </w:tc>
        <w:tc>
          <w:tcPr>
            <w:tcW w:w="2067" w:type="dxa"/>
            <w:tcBorders>
              <w:left w:val="nil"/>
              <w:right w:val="nil"/>
            </w:tcBorders>
          </w:tcPr>
          <w:p w14:paraId="0F37AFE6" w14:textId="77777777" w:rsidR="00A308AC" w:rsidRPr="00CB656D" w:rsidRDefault="00A308AC" w:rsidP="00CB656D">
            <w:pPr>
              <w:pStyle w:val="TableText"/>
              <w:rPr>
                <w:szCs w:val="17"/>
              </w:rPr>
            </w:pPr>
            <w:r w:rsidRPr="00CB656D">
              <w:rPr>
                <w:szCs w:val="17"/>
              </w:rPr>
              <w:t>LC</w:t>
            </w:r>
            <w:r w:rsidRPr="00CB656D">
              <w:rPr>
                <w:szCs w:val="17"/>
                <w:vertAlign w:val="subscript"/>
              </w:rPr>
              <w:t>50</w:t>
            </w:r>
            <w:r w:rsidRPr="00CB656D">
              <w:rPr>
                <w:szCs w:val="17"/>
              </w:rPr>
              <w:t xml:space="preserve"> 0.084 mg ac/L</w:t>
            </w:r>
          </w:p>
        </w:tc>
        <w:tc>
          <w:tcPr>
            <w:tcW w:w="1836" w:type="dxa"/>
            <w:tcBorders>
              <w:left w:val="nil"/>
            </w:tcBorders>
          </w:tcPr>
          <w:p w14:paraId="6663C599" w14:textId="77777777" w:rsidR="00A308AC" w:rsidRPr="00CB656D" w:rsidRDefault="00A308AC" w:rsidP="00CB656D">
            <w:pPr>
              <w:pStyle w:val="TableText"/>
              <w:rPr>
                <w:szCs w:val="17"/>
              </w:rPr>
            </w:pPr>
            <w:r w:rsidRPr="00CB656D">
              <w:rPr>
                <w:szCs w:val="17"/>
              </w:rPr>
              <w:t>Bender 2006a</w:t>
            </w:r>
          </w:p>
        </w:tc>
      </w:tr>
      <w:tr w:rsidR="00A308AC" w:rsidRPr="000B2FA7" w14:paraId="0ED11AEE" w14:textId="77777777" w:rsidTr="00EB4E83">
        <w:tc>
          <w:tcPr>
            <w:tcW w:w="0" w:type="auto"/>
            <w:vMerge/>
            <w:tcBorders>
              <w:right w:val="nil"/>
            </w:tcBorders>
          </w:tcPr>
          <w:p w14:paraId="4F30701D" w14:textId="77777777" w:rsidR="00A308AC" w:rsidRPr="00CB656D" w:rsidRDefault="00A308AC" w:rsidP="00CB656D">
            <w:pPr>
              <w:pStyle w:val="TableText"/>
              <w:rPr>
                <w:szCs w:val="17"/>
              </w:rPr>
            </w:pPr>
          </w:p>
        </w:tc>
        <w:tc>
          <w:tcPr>
            <w:tcW w:w="1206" w:type="dxa"/>
            <w:vMerge/>
            <w:tcBorders>
              <w:left w:val="nil"/>
              <w:right w:val="nil"/>
            </w:tcBorders>
          </w:tcPr>
          <w:p w14:paraId="1049D63D" w14:textId="77777777" w:rsidR="00A308AC" w:rsidRPr="00CB656D" w:rsidRDefault="00A308AC" w:rsidP="00CB656D">
            <w:pPr>
              <w:pStyle w:val="TableText"/>
              <w:rPr>
                <w:szCs w:val="17"/>
              </w:rPr>
            </w:pPr>
          </w:p>
        </w:tc>
        <w:tc>
          <w:tcPr>
            <w:tcW w:w="992" w:type="dxa"/>
            <w:vMerge/>
            <w:tcBorders>
              <w:left w:val="nil"/>
              <w:right w:val="nil"/>
            </w:tcBorders>
          </w:tcPr>
          <w:p w14:paraId="7BACA37F" w14:textId="77777777" w:rsidR="00A308AC" w:rsidRPr="00CB656D" w:rsidRDefault="00A308AC" w:rsidP="00CB656D">
            <w:pPr>
              <w:pStyle w:val="TableText"/>
              <w:rPr>
                <w:szCs w:val="17"/>
              </w:rPr>
            </w:pPr>
          </w:p>
        </w:tc>
        <w:tc>
          <w:tcPr>
            <w:tcW w:w="2611" w:type="dxa"/>
            <w:tcBorders>
              <w:left w:val="nil"/>
              <w:right w:val="nil"/>
            </w:tcBorders>
          </w:tcPr>
          <w:p w14:paraId="290927F7" w14:textId="77777777" w:rsidR="00A308AC" w:rsidRPr="00CB656D" w:rsidRDefault="00A308AC" w:rsidP="00CB656D">
            <w:pPr>
              <w:pStyle w:val="TableText"/>
              <w:rPr>
                <w:i/>
                <w:iCs/>
                <w:szCs w:val="17"/>
              </w:rPr>
            </w:pPr>
            <w:r w:rsidRPr="00CB656D">
              <w:rPr>
                <w:i/>
                <w:iCs/>
                <w:szCs w:val="17"/>
              </w:rPr>
              <w:t>Americamysis bahia</w:t>
            </w:r>
          </w:p>
        </w:tc>
        <w:tc>
          <w:tcPr>
            <w:tcW w:w="2067" w:type="dxa"/>
            <w:tcBorders>
              <w:left w:val="nil"/>
              <w:right w:val="nil"/>
            </w:tcBorders>
          </w:tcPr>
          <w:p w14:paraId="5F4EE6B3" w14:textId="77777777" w:rsidR="00A308AC" w:rsidRPr="00CB656D" w:rsidRDefault="00A308AC" w:rsidP="00CB656D">
            <w:pPr>
              <w:pStyle w:val="TableText"/>
              <w:rPr>
                <w:szCs w:val="17"/>
              </w:rPr>
            </w:pPr>
            <w:r w:rsidRPr="00CB656D">
              <w:rPr>
                <w:szCs w:val="17"/>
              </w:rPr>
              <w:t>LC</w:t>
            </w:r>
            <w:r w:rsidRPr="00CB656D">
              <w:rPr>
                <w:szCs w:val="17"/>
                <w:vertAlign w:val="subscript"/>
              </w:rPr>
              <w:t>50</w:t>
            </w:r>
            <w:r w:rsidRPr="00CB656D">
              <w:rPr>
                <w:szCs w:val="17"/>
              </w:rPr>
              <w:t xml:space="preserve"> 0.42 mg ac/L </w:t>
            </w:r>
          </w:p>
        </w:tc>
        <w:tc>
          <w:tcPr>
            <w:tcW w:w="1836" w:type="dxa"/>
            <w:tcBorders>
              <w:left w:val="nil"/>
            </w:tcBorders>
          </w:tcPr>
          <w:p w14:paraId="70F5552A" w14:textId="77777777" w:rsidR="00A308AC" w:rsidRPr="00CB656D" w:rsidRDefault="00A308AC" w:rsidP="00CB656D">
            <w:pPr>
              <w:pStyle w:val="TableText"/>
              <w:rPr>
                <w:szCs w:val="17"/>
              </w:rPr>
            </w:pPr>
            <w:r w:rsidRPr="00CB656D">
              <w:rPr>
                <w:szCs w:val="17"/>
              </w:rPr>
              <w:t>Hoberg 1987</w:t>
            </w:r>
          </w:p>
        </w:tc>
      </w:tr>
      <w:tr w:rsidR="00A308AC" w:rsidRPr="000B2FA7" w14:paraId="1D91ED3C" w14:textId="77777777" w:rsidTr="00EB4E83">
        <w:tc>
          <w:tcPr>
            <w:tcW w:w="0" w:type="auto"/>
            <w:vMerge/>
            <w:tcBorders>
              <w:right w:val="nil"/>
            </w:tcBorders>
          </w:tcPr>
          <w:p w14:paraId="0702DAE1" w14:textId="77777777" w:rsidR="00A308AC" w:rsidRPr="00CB656D" w:rsidRDefault="00A308AC" w:rsidP="00CB656D">
            <w:pPr>
              <w:pStyle w:val="TableText"/>
              <w:rPr>
                <w:szCs w:val="17"/>
              </w:rPr>
            </w:pPr>
          </w:p>
        </w:tc>
        <w:tc>
          <w:tcPr>
            <w:tcW w:w="1206" w:type="dxa"/>
            <w:vMerge/>
            <w:tcBorders>
              <w:left w:val="nil"/>
              <w:right w:val="nil"/>
            </w:tcBorders>
          </w:tcPr>
          <w:p w14:paraId="1393A8FB" w14:textId="77777777" w:rsidR="00A308AC" w:rsidRPr="00CB656D" w:rsidRDefault="00A308AC" w:rsidP="00CB656D">
            <w:pPr>
              <w:pStyle w:val="TableText"/>
              <w:rPr>
                <w:szCs w:val="17"/>
              </w:rPr>
            </w:pPr>
          </w:p>
        </w:tc>
        <w:tc>
          <w:tcPr>
            <w:tcW w:w="992" w:type="dxa"/>
            <w:vMerge/>
            <w:tcBorders>
              <w:left w:val="nil"/>
              <w:right w:val="nil"/>
            </w:tcBorders>
          </w:tcPr>
          <w:p w14:paraId="22C6645A" w14:textId="77777777" w:rsidR="00A308AC" w:rsidRPr="00CB656D" w:rsidRDefault="00A308AC" w:rsidP="00CB656D">
            <w:pPr>
              <w:pStyle w:val="TableText"/>
              <w:rPr>
                <w:szCs w:val="17"/>
              </w:rPr>
            </w:pPr>
          </w:p>
        </w:tc>
        <w:tc>
          <w:tcPr>
            <w:tcW w:w="2611" w:type="dxa"/>
            <w:tcBorders>
              <w:left w:val="nil"/>
              <w:right w:val="nil"/>
            </w:tcBorders>
          </w:tcPr>
          <w:p w14:paraId="300488E5" w14:textId="77777777" w:rsidR="00A308AC" w:rsidRPr="00CB656D" w:rsidRDefault="00A308AC" w:rsidP="00CB656D">
            <w:pPr>
              <w:pStyle w:val="TableText"/>
              <w:rPr>
                <w:i/>
                <w:iCs/>
                <w:szCs w:val="17"/>
              </w:rPr>
            </w:pPr>
            <w:r w:rsidRPr="00CB656D">
              <w:rPr>
                <w:i/>
                <w:iCs/>
                <w:szCs w:val="17"/>
              </w:rPr>
              <w:t>Daphnia magna</w:t>
            </w:r>
          </w:p>
        </w:tc>
        <w:tc>
          <w:tcPr>
            <w:tcW w:w="2067" w:type="dxa"/>
            <w:tcBorders>
              <w:left w:val="nil"/>
              <w:right w:val="nil"/>
            </w:tcBorders>
          </w:tcPr>
          <w:p w14:paraId="39047582"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2.5 mg ac/L </w:t>
            </w:r>
          </w:p>
        </w:tc>
        <w:tc>
          <w:tcPr>
            <w:tcW w:w="1836" w:type="dxa"/>
            <w:tcBorders>
              <w:left w:val="nil"/>
            </w:tcBorders>
          </w:tcPr>
          <w:p w14:paraId="7B1CDE87" w14:textId="77777777" w:rsidR="00A308AC" w:rsidRPr="00CB656D" w:rsidRDefault="00A308AC" w:rsidP="00CB656D">
            <w:pPr>
              <w:pStyle w:val="TableText"/>
              <w:rPr>
                <w:szCs w:val="17"/>
              </w:rPr>
            </w:pPr>
            <w:r w:rsidRPr="00CB656D">
              <w:rPr>
                <w:szCs w:val="17"/>
              </w:rPr>
              <w:t>Volz 2004</w:t>
            </w:r>
          </w:p>
        </w:tc>
      </w:tr>
      <w:tr w:rsidR="00A308AC" w:rsidRPr="000B2FA7" w14:paraId="49958491" w14:textId="77777777" w:rsidTr="00EB4E83">
        <w:tc>
          <w:tcPr>
            <w:tcW w:w="0" w:type="auto"/>
            <w:vMerge/>
            <w:tcBorders>
              <w:right w:val="nil"/>
            </w:tcBorders>
          </w:tcPr>
          <w:p w14:paraId="0246EAF2" w14:textId="77777777" w:rsidR="00A308AC" w:rsidRPr="00CB656D" w:rsidRDefault="00A308AC" w:rsidP="00CB656D">
            <w:pPr>
              <w:pStyle w:val="TableText"/>
              <w:rPr>
                <w:szCs w:val="17"/>
              </w:rPr>
            </w:pPr>
          </w:p>
        </w:tc>
        <w:tc>
          <w:tcPr>
            <w:tcW w:w="1206" w:type="dxa"/>
            <w:vMerge/>
            <w:tcBorders>
              <w:left w:val="nil"/>
              <w:right w:val="nil"/>
            </w:tcBorders>
          </w:tcPr>
          <w:p w14:paraId="75AFF8B6" w14:textId="77777777" w:rsidR="00A308AC" w:rsidRPr="00CB656D" w:rsidRDefault="00A308AC" w:rsidP="00CB656D">
            <w:pPr>
              <w:pStyle w:val="TableText"/>
              <w:rPr>
                <w:szCs w:val="17"/>
              </w:rPr>
            </w:pPr>
          </w:p>
        </w:tc>
        <w:tc>
          <w:tcPr>
            <w:tcW w:w="992" w:type="dxa"/>
            <w:vMerge/>
            <w:tcBorders>
              <w:left w:val="nil"/>
              <w:right w:val="nil"/>
            </w:tcBorders>
          </w:tcPr>
          <w:p w14:paraId="7AE5642A" w14:textId="77777777" w:rsidR="00A308AC" w:rsidRPr="00CB656D" w:rsidRDefault="00A308AC" w:rsidP="00CB656D">
            <w:pPr>
              <w:pStyle w:val="TableText"/>
              <w:rPr>
                <w:szCs w:val="17"/>
              </w:rPr>
            </w:pPr>
          </w:p>
        </w:tc>
        <w:tc>
          <w:tcPr>
            <w:tcW w:w="2611" w:type="dxa"/>
            <w:tcBorders>
              <w:left w:val="nil"/>
              <w:right w:val="nil"/>
            </w:tcBorders>
          </w:tcPr>
          <w:p w14:paraId="4D408E60" w14:textId="77777777" w:rsidR="00A308AC" w:rsidRPr="00CB656D" w:rsidRDefault="00A308AC" w:rsidP="00CB656D">
            <w:pPr>
              <w:pStyle w:val="TableText"/>
              <w:rPr>
                <w:i/>
                <w:iCs/>
                <w:szCs w:val="17"/>
              </w:rPr>
            </w:pPr>
            <w:r w:rsidRPr="00CB656D">
              <w:rPr>
                <w:i/>
                <w:iCs/>
                <w:szCs w:val="17"/>
              </w:rPr>
              <w:t>Crassostrea virginica</w:t>
            </w:r>
          </w:p>
        </w:tc>
        <w:tc>
          <w:tcPr>
            <w:tcW w:w="2067" w:type="dxa"/>
            <w:tcBorders>
              <w:left w:val="nil"/>
              <w:right w:val="nil"/>
            </w:tcBorders>
          </w:tcPr>
          <w:p w14:paraId="40A2E11A"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141 mg ac/L </w:t>
            </w:r>
          </w:p>
        </w:tc>
        <w:tc>
          <w:tcPr>
            <w:tcW w:w="1836" w:type="dxa"/>
            <w:tcBorders>
              <w:left w:val="nil"/>
            </w:tcBorders>
          </w:tcPr>
          <w:p w14:paraId="43A26F52" w14:textId="77777777" w:rsidR="00A308AC" w:rsidRPr="00CB656D" w:rsidRDefault="00A308AC" w:rsidP="00CB656D">
            <w:pPr>
              <w:pStyle w:val="TableText"/>
              <w:rPr>
                <w:szCs w:val="17"/>
              </w:rPr>
            </w:pPr>
            <w:r w:rsidRPr="00CB656D">
              <w:rPr>
                <w:szCs w:val="17"/>
              </w:rPr>
              <w:t>Dionne 1987</w:t>
            </w:r>
          </w:p>
        </w:tc>
      </w:tr>
      <w:tr w:rsidR="00A308AC" w:rsidRPr="000B2FA7" w14:paraId="25B23B50" w14:textId="77777777" w:rsidTr="00EB4E83">
        <w:tc>
          <w:tcPr>
            <w:tcW w:w="0" w:type="auto"/>
            <w:vMerge/>
            <w:tcBorders>
              <w:right w:val="nil"/>
            </w:tcBorders>
          </w:tcPr>
          <w:p w14:paraId="080B781C" w14:textId="4B5F5E4E" w:rsidR="00A308AC" w:rsidRPr="00CB656D" w:rsidRDefault="00A308AC" w:rsidP="00CB656D">
            <w:pPr>
              <w:pStyle w:val="TableText"/>
              <w:rPr>
                <w:szCs w:val="17"/>
              </w:rPr>
            </w:pPr>
          </w:p>
        </w:tc>
        <w:tc>
          <w:tcPr>
            <w:tcW w:w="1206" w:type="dxa"/>
            <w:vMerge w:val="restart"/>
            <w:tcBorders>
              <w:left w:val="nil"/>
              <w:right w:val="nil"/>
            </w:tcBorders>
          </w:tcPr>
          <w:p w14:paraId="3B0B7DF3" w14:textId="77777777" w:rsidR="00A308AC" w:rsidRPr="00CB656D" w:rsidRDefault="00A308AC" w:rsidP="00CB656D">
            <w:pPr>
              <w:pStyle w:val="TableText"/>
              <w:rPr>
                <w:szCs w:val="17"/>
              </w:rPr>
            </w:pPr>
            <w:r w:rsidRPr="00CB656D">
              <w:rPr>
                <w:szCs w:val="17"/>
              </w:rPr>
              <w:t>Invertebrates</w:t>
            </w:r>
          </w:p>
        </w:tc>
        <w:tc>
          <w:tcPr>
            <w:tcW w:w="992" w:type="dxa"/>
            <w:vMerge w:val="restart"/>
            <w:tcBorders>
              <w:left w:val="nil"/>
              <w:right w:val="nil"/>
            </w:tcBorders>
          </w:tcPr>
          <w:p w14:paraId="42EB9A76" w14:textId="77777777" w:rsidR="00A308AC" w:rsidRPr="00CB656D" w:rsidRDefault="00A308AC" w:rsidP="00CB656D">
            <w:pPr>
              <w:pStyle w:val="TableText"/>
              <w:rPr>
                <w:szCs w:val="17"/>
              </w:rPr>
            </w:pPr>
            <w:r w:rsidRPr="00CB656D">
              <w:rPr>
                <w:szCs w:val="17"/>
              </w:rPr>
              <w:t>Chronic</w:t>
            </w:r>
          </w:p>
        </w:tc>
        <w:tc>
          <w:tcPr>
            <w:tcW w:w="2611" w:type="dxa"/>
            <w:tcBorders>
              <w:left w:val="nil"/>
              <w:right w:val="nil"/>
            </w:tcBorders>
          </w:tcPr>
          <w:p w14:paraId="639169C5" w14:textId="77777777" w:rsidR="00A308AC" w:rsidRPr="00CB656D" w:rsidRDefault="00A308AC" w:rsidP="00CB656D">
            <w:pPr>
              <w:pStyle w:val="TableText"/>
              <w:rPr>
                <w:i/>
                <w:iCs/>
                <w:szCs w:val="17"/>
              </w:rPr>
            </w:pPr>
            <w:r w:rsidRPr="00CB656D">
              <w:rPr>
                <w:i/>
                <w:iCs/>
                <w:szCs w:val="17"/>
              </w:rPr>
              <w:t>Daphnia magna</w:t>
            </w:r>
          </w:p>
        </w:tc>
        <w:tc>
          <w:tcPr>
            <w:tcW w:w="2067" w:type="dxa"/>
            <w:tcBorders>
              <w:left w:val="nil"/>
              <w:right w:val="nil"/>
            </w:tcBorders>
          </w:tcPr>
          <w:p w14:paraId="5C93A0A7" w14:textId="77777777" w:rsidR="00A308AC" w:rsidRPr="00CB656D" w:rsidRDefault="00A308AC" w:rsidP="00CB656D">
            <w:pPr>
              <w:pStyle w:val="TableText"/>
              <w:rPr>
                <w:szCs w:val="17"/>
              </w:rPr>
            </w:pPr>
            <w:r w:rsidRPr="00CB656D">
              <w:rPr>
                <w:szCs w:val="17"/>
              </w:rPr>
              <w:t>NOEC 0.036 mg ac/L</w:t>
            </w:r>
          </w:p>
        </w:tc>
        <w:tc>
          <w:tcPr>
            <w:tcW w:w="1836" w:type="dxa"/>
            <w:tcBorders>
              <w:left w:val="nil"/>
            </w:tcBorders>
          </w:tcPr>
          <w:p w14:paraId="26870AB3" w14:textId="77777777" w:rsidR="00A308AC" w:rsidRPr="00CB656D" w:rsidRDefault="00A308AC" w:rsidP="00CB656D">
            <w:pPr>
              <w:pStyle w:val="TableText"/>
              <w:rPr>
                <w:szCs w:val="17"/>
              </w:rPr>
            </w:pPr>
            <w:r w:rsidRPr="00CB656D">
              <w:rPr>
                <w:szCs w:val="17"/>
              </w:rPr>
              <w:t>Surprenant 1987b</w:t>
            </w:r>
          </w:p>
        </w:tc>
      </w:tr>
      <w:tr w:rsidR="00A308AC" w14:paraId="4A7B8E57" w14:textId="77777777" w:rsidTr="00EB4E83">
        <w:tc>
          <w:tcPr>
            <w:tcW w:w="0" w:type="auto"/>
            <w:vMerge/>
            <w:tcBorders>
              <w:right w:val="nil"/>
            </w:tcBorders>
          </w:tcPr>
          <w:p w14:paraId="419A2E13" w14:textId="77777777" w:rsidR="00A308AC" w:rsidRPr="00CB656D" w:rsidRDefault="00A308AC" w:rsidP="00CB656D">
            <w:pPr>
              <w:pStyle w:val="TableText"/>
              <w:rPr>
                <w:szCs w:val="17"/>
              </w:rPr>
            </w:pPr>
          </w:p>
        </w:tc>
        <w:tc>
          <w:tcPr>
            <w:tcW w:w="1206" w:type="dxa"/>
            <w:vMerge/>
            <w:tcBorders>
              <w:left w:val="nil"/>
              <w:right w:val="nil"/>
            </w:tcBorders>
          </w:tcPr>
          <w:p w14:paraId="52E669B7" w14:textId="77777777" w:rsidR="00A308AC" w:rsidRPr="00CB656D" w:rsidRDefault="00A308AC" w:rsidP="00CB656D">
            <w:pPr>
              <w:pStyle w:val="TableText"/>
              <w:rPr>
                <w:szCs w:val="17"/>
              </w:rPr>
            </w:pPr>
          </w:p>
        </w:tc>
        <w:tc>
          <w:tcPr>
            <w:tcW w:w="992" w:type="dxa"/>
            <w:vMerge/>
            <w:tcBorders>
              <w:left w:val="nil"/>
              <w:right w:val="nil"/>
            </w:tcBorders>
          </w:tcPr>
          <w:p w14:paraId="6C727103" w14:textId="77777777" w:rsidR="00A308AC" w:rsidRPr="00CB656D" w:rsidRDefault="00A308AC" w:rsidP="00CB656D">
            <w:pPr>
              <w:pStyle w:val="TableText"/>
              <w:rPr>
                <w:szCs w:val="17"/>
              </w:rPr>
            </w:pPr>
          </w:p>
        </w:tc>
        <w:tc>
          <w:tcPr>
            <w:tcW w:w="2611" w:type="dxa"/>
            <w:tcBorders>
              <w:left w:val="nil"/>
              <w:right w:val="nil"/>
            </w:tcBorders>
          </w:tcPr>
          <w:p w14:paraId="7D6670A1" w14:textId="77777777" w:rsidR="00A308AC" w:rsidRPr="00CB656D" w:rsidRDefault="00A308AC" w:rsidP="00CB656D">
            <w:pPr>
              <w:pStyle w:val="TableText"/>
              <w:rPr>
                <w:i/>
                <w:iCs/>
                <w:szCs w:val="17"/>
              </w:rPr>
            </w:pPr>
            <w:r w:rsidRPr="00CB656D">
              <w:rPr>
                <w:i/>
                <w:iCs/>
                <w:szCs w:val="17"/>
              </w:rPr>
              <w:t>Americamysis bahia</w:t>
            </w:r>
          </w:p>
        </w:tc>
        <w:tc>
          <w:tcPr>
            <w:tcW w:w="2067" w:type="dxa"/>
            <w:tcBorders>
              <w:left w:val="nil"/>
              <w:right w:val="nil"/>
            </w:tcBorders>
          </w:tcPr>
          <w:p w14:paraId="5DFBCA18" w14:textId="77777777" w:rsidR="00A308AC" w:rsidRPr="00CB656D" w:rsidRDefault="00A308AC" w:rsidP="00CB656D">
            <w:pPr>
              <w:pStyle w:val="TableText"/>
              <w:rPr>
                <w:szCs w:val="17"/>
              </w:rPr>
            </w:pPr>
            <w:r w:rsidRPr="00CB656D">
              <w:rPr>
                <w:szCs w:val="17"/>
              </w:rPr>
              <w:t xml:space="preserve">NOEC 0.052 mg ac/L </w:t>
            </w:r>
          </w:p>
        </w:tc>
        <w:tc>
          <w:tcPr>
            <w:tcW w:w="1836" w:type="dxa"/>
            <w:tcBorders>
              <w:left w:val="nil"/>
            </w:tcBorders>
          </w:tcPr>
          <w:p w14:paraId="1F84F36E" w14:textId="77777777" w:rsidR="00A308AC" w:rsidRPr="00CB656D" w:rsidRDefault="00A308AC" w:rsidP="00CB656D">
            <w:pPr>
              <w:pStyle w:val="TableText"/>
              <w:rPr>
                <w:szCs w:val="17"/>
              </w:rPr>
            </w:pPr>
            <w:r w:rsidRPr="00CB656D">
              <w:rPr>
                <w:szCs w:val="17"/>
              </w:rPr>
              <w:t>Claude et al. 2013</w:t>
            </w:r>
          </w:p>
        </w:tc>
      </w:tr>
      <w:tr w:rsidR="00A308AC" w14:paraId="3F5A7E7E" w14:textId="77777777" w:rsidTr="00EB4E83">
        <w:tc>
          <w:tcPr>
            <w:tcW w:w="0" w:type="auto"/>
            <w:vMerge/>
            <w:tcBorders>
              <w:right w:val="nil"/>
            </w:tcBorders>
          </w:tcPr>
          <w:p w14:paraId="01106F1C" w14:textId="77777777" w:rsidR="00A308AC" w:rsidRPr="00CB656D" w:rsidRDefault="00A308AC" w:rsidP="00CB656D">
            <w:pPr>
              <w:pStyle w:val="TableText"/>
              <w:rPr>
                <w:szCs w:val="17"/>
              </w:rPr>
            </w:pPr>
          </w:p>
        </w:tc>
        <w:tc>
          <w:tcPr>
            <w:tcW w:w="1206" w:type="dxa"/>
            <w:vMerge/>
            <w:tcBorders>
              <w:left w:val="nil"/>
              <w:right w:val="nil"/>
            </w:tcBorders>
          </w:tcPr>
          <w:p w14:paraId="6E832DEE" w14:textId="77777777" w:rsidR="00A308AC" w:rsidRPr="00CB656D" w:rsidRDefault="00A308AC" w:rsidP="00CB656D">
            <w:pPr>
              <w:pStyle w:val="TableText"/>
              <w:rPr>
                <w:szCs w:val="17"/>
              </w:rPr>
            </w:pPr>
          </w:p>
        </w:tc>
        <w:tc>
          <w:tcPr>
            <w:tcW w:w="992" w:type="dxa"/>
            <w:vMerge/>
            <w:tcBorders>
              <w:left w:val="nil"/>
              <w:right w:val="nil"/>
            </w:tcBorders>
          </w:tcPr>
          <w:p w14:paraId="3985FC79" w14:textId="77777777" w:rsidR="00A308AC" w:rsidRPr="00CB656D" w:rsidRDefault="00A308AC" w:rsidP="00CB656D">
            <w:pPr>
              <w:pStyle w:val="TableText"/>
              <w:rPr>
                <w:szCs w:val="17"/>
              </w:rPr>
            </w:pPr>
          </w:p>
        </w:tc>
        <w:tc>
          <w:tcPr>
            <w:tcW w:w="2611" w:type="dxa"/>
            <w:tcBorders>
              <w:left w:val="nil"/>
              <w:right w:val="nil"/>
            </w:tcBorders>
          </w:tcPr>
          <w:p w14:paraId="64337A75" w14:textId="77777777" w:rsidR="00A308AC" w:rsidRPr="00CB656D" w:rsidRDefault="00A308AC" w:rsidP="00CB656D">
            <w:pPr>
              <w:pStyle w:val="TableText"/>
              <w:rPr>
                <w:i/>
                <w:iCs/>
                <w:szCs w:val="17"/>
              </w:rPr>
            </w:pPr>
            <w:r w:rsidRPr="00CB656D">
              <w:rPr>
                <w:i/>
                <w:iCs/>
                <w:szCs w:val="17"/>
              </w:rPr>
              <w:t>Lymnaea stagnalis</w:t>
            </w:r>
          </w:p>
        </w:tc>
        <w:tc>
          <w:tcPr>
            <w:tcW w:w="2067" w:type="dxa"/>
            <w:tcBorders>
              <w:left w:val="nil"/>
              <w:right w:val="nil"/>
            </w:tcBorders>
          </w:tcPr>
          <w:p w14:paraId="25EDC5CE" w14:textId="77777777" w:rsidR="00A308AC" w:rsidRPr="00CB656D" w:rsidRDefault="00A308AC" w:rsidP="00CB656D">
            <w:pPr>
              <w:pStyle w:val="TableText"/>
              <w:rPr>
                <w:szCs w:val="17"/>
              </w:rPr>
            </w:pPr>
            <w:r w:rsidRPr="00CB656D">
              <w:rPr>
                <w:szCs w:val="17"/>
              </w:rPr>
              <w:t>NOEC 0.0011 mg ac/L</w:t>
            </w:r>
          </w:p>
        </w:tc>
        <w:tc>
          <w:tcPr>
            <w:tcW w:w="1836" w:type="dxa"/>
            <w:tcBorders>
              <w:left w:val="nil"/>
            </w:tcBorders>
          </w:tcPr>
          <w:p w14:paraId="2DCA2782" w14:textId="77777777" w:rsidR="00A308AC" w:rsidRPr="00CB656D" w:rsidRDefault="00A308AC" w:rsidP="00CB656D">
            <w:pPr>
              <w:pStyle w:val="TableText"/>
              <w:rPr>
                <w:szCs w:val="17"/>
              </w:rPr>
            </w:pPr>
            <w:r w:rsidRPr="00CB656D">
              <w:rPr>
                <w:szCs w:val="17"/>
              </w:rPr>
              <w:t>Ducrot et al. 2010</w:t>
            </w:r>
          </w:p>
        </w:tc>
      </w:tr>
      <w:tr w:rsidR="00A308AC" w:rsidRPr="000B2FA7" w14:paraId="1318BE6B" w14:textId="77777777" w:rsidTr="00EB4E83">
        <w:tc>
          <w:tcPr>
            <w:tcW w:w="0" w:type="auto"/>
            <w:vMerge/>
            <w:tcBorders>
              <w:right w:val="nil"/>
            </w:tcBorders>
          </w:tcPr>
          <w:p w14:paraId="0DB38091" w14:textId="77777777" w:rsidR="00A308AC" w:rsidRPr="00CB656D" w:rsidRDefault="00A308AC" w:rsidP="00CB656D">
            <w:pPr>
              <w:pStyle w:val="TableText"/>
              <w:keepNext/>
              <w:keepLines/>
              <w:rPr>
                <w:szCs w:val="17"/>
              </w:rPr>
            </w:pPr>
          </w:p>
        </w:tc>
        <w:tc>
          <w:tcPr>
            <w:tcW w:w="1206" w:type="dxa"/>
            <w:vMerge w:val="restart"/>
            <w:tcBorders>
              <w:left w:val="nil"/>
              <w:right w:val="nil"/>
            </w:tcBorders>
          </w:tcPr>
          <w:p w14:paraId="3A57F785" w14:textId="77777777" w:rsidR="00A308AC" w:rsidRPr="00CB656D" w:rsidRDefault="00A308AC" w:rsidP="00CB656D">
            <w:pPr>
              <w:pStyle w:val="TableText"/>
              <w:keepNext/>
              <w:keepLines/>
              <w:rPr>
                <w:szCs w:val="17"/>
              </w:rPr>
            </w:pPr>
            <w:r w:rsidRPr="00CB656D">
              <w:rPr>
                <w:szCs w:val="17"/>
              </w:rPr>
              <w:t>Sediment-dwellers</w:t>
            </w:r>
          </w:p>
        </w:tc>
        <w:tc>
          <w:tcPr>
            <w:tcW w:w="992" w:type="dxa"/>
            <w:tcBorders>
              <w:left w:val="nil"/>
              <w:right w:val="nil"/>
            </w:tcBorders>
          </w:tcPr>
          <w:p w14:paraId="5BBF6FAC" w14:textId="77777777" w:rsidR="00A308AC" w:rsidRPr="00CB656D" w:rsidRDefault="00A308AC" w:rsidP="00CB656D">
            <w:pPr>
              <w:pStyle w:val="TableText"/>
              <w:keepNext/>
              <w:keepLines/>
              <w:rPr>
                <w:szCs w:val="17"/>
              </w:rPr>
            </w:pPr>
            <w:r w:rsidRPr="00CB656D">
              <w:rPr>
                <w:szCs w:val="17"/>
              </w:rPr>
              <w:t>Acute</w:t>
            </w:r>
          </w:p>
        </w:tc>
        <w:tc>
          <w:tcPr>
            <w:tcW w:w="2611" w:type="dxa"/>
            <w:tcBorders>
              <w:left w:val="nil"/>
              <w:right w:val="nil"/>
            </w:tcBorders>
          </w:tcPr>
          <w:p w14:paraId="5A2C08D4" w14:textId="77777777" w:rsidR="00A308AC" w:rsidRPr="00CB656D" w:rsidRDefault="00A308AC" w:rsidP="00CB656D">
            <w:pPr>
              <w:pStyle w:val="TableText"/>
              <w:keepNext/>
              <w:keepLines/>
              <w:rPr>
                <w:i/>
                <w:iCs/>
                <w:szCs w:val="17"/>
              </w:rPr>
            </w:pPr>
            <w:r w:rsidRPr="00CB656D">
              <w:rPr>
                <w:i/>
                <w:iCs/>
                <w:szCs w:val="17"/>
              </w:rPr>
              <w:t>Leptocheirus plumulosus</w:t>
            </w:r>
          </w:p>
        </w:tc>
        <w:tc>
          <w:tcPr>
            <w:tcW w:w="2067" w:type="dxa"/>
            <w:tcBorders>
              <w:left w:val="nil"/>
              <w:right w:val="nil"/>
            </w:tcBorders>
          </w:tcPr>
          <w:p w14:paraId="665B83B5" w14:textId="77777777" w:rsidR="00A308AC" w:rsidRPr="00CB656D" w:rsidRDefault="00A308AC" w:rsidP="00CB656D">
            <w:pPr>
              <w:pStyle w:val="TableText"/>
              <w:keepNext/>
              <w:keepLines/>
              <w:rPr>
                <w:szCs w:val="17"/>
              </w:rPr>
            </w:pPr>
            <w:r w:rsidRPr="00CB656D">
              <w:rPr>
                <w:szCs w:val="17"/>
              </w:rPr>
              <w:t>LC</w:t>
            </w:r>
            <w:r w:rsidRPr="00CB656D">
              <w:rPr>
                <w:szCs w:val="17"/>
                <w:vertAlign w:val="subscript"/>
              </w:rPr>
              <w:t>50</w:t>
            </w:r>
            <w:r w:rsidRPr="00CB656D">
              <w:rPr>
                <w:szCs w:val="17"/>
              </w:rPr>
              <w:t xml:space="preserve"> &gt;110 mg ac/kg ds</w:t>
            </w:r>
          </w:p>
        </w:tc>
        <w:tc>
          <w:tcPr>
            <w:tcW w:w="1836" w:type="dxa"/>
            <w:tcBorders>
              <w:left w:val="nil"/>
            </w:tcBorders>
          </w:tcPr>
          <w:p w14:paraId="5FD896A9" w14:textId="77777777" w:rsidR="00A308AC" w:rsidRPr="00CB656D" w:rsidRDefault="00A308AC" w:rsidP="00CB656D">
            <w:pPr>
              <w:pStyle w:val="TableText"/>
              <w:keepNext/>
              <w:keepLines/>
              <w:rPr>
                <w:szCs w:val="17"/>
              </w:rPr>
            </w:pPr>
            <w:r w:rsidRPr="00CB656D">
              <w:rPr>
                <w:szCs w:val="17"/>
              </w:rPr>
              <w:t>Bradley 2015</w:t>
            </w:r>
          </w:p>
        </w:tc>
      </w:tr>
      <w:tr w:rsidR="00A308AC" w:rsidRPr="000B2FA7" w14:paraId="517AA9A4" w14:textId="77777777" w:rsidTr="00EB4E83">
        <w:tc>
          <w:tcPr>
            <w:tcW w:w="0" w:type="auto"/>
            <w:vMerge/>
            <w:tcBorders>
              <w:right w:val="nil"/>
            </w:tcBorders>
          </w:tcPr>
          <w:p w14:paraId="374DCD5D" w14:textId="77777777" w:rsidR="00A308AC" w:rsidRPr="00CB656D" w:rsidRDefault="00A308AC" w:rsidP="00CB656D">
            <w:pPr>
              <w:pStyle w:val="TableText"/>
              <w:keepNext/>
              <w:keepLines/>
              <w:rPr>
                <w:szCs w:val="17"/>
              </w:rPr>
            </w:pPr>
          </w:p>
        </w:tc>
        <w:tc>
          <w:tcPr>
            <w:tcW w:w="1206" w:type="dxa"/>
            <w:vMerge/>
            <w:tcBorders>
              <w:left w:val="nil"/>
              <w:right w:val="nil"/>
            </w:tcBorders>
          </w:tcPr>
          <w:p w14:paraId="3ECC2EFE" w14:textId="77777777" w:rsidR="00A308AC" w:rsidRPr="00CB656D" w:rsidRDefault="00A308AC" w:rsidP="00CB656D">
            <w:pPr>
              <w:pStyle w:val="TableText"/>
              <w:keepNext/>
              <w:keepLines/>
              <w:rPr>
                <w:szCs w:val="17"/>
              </w:rPr>
            </w:pPr>
          </w:p>
        </w:tc>
        <w:tc>
          <w:tcPr>
            <w:tcW w:w="992" w:type="dxa"/>
            <w:vMerge w:val="restart"/>
            <w:tcBorders>
              <w:left w:val="nil"/>
              <w:right w:val="nil"/>
            </w:tcBorders>
          </w:tcPr>
          <w:p w14:paraId="3A33A7AE" w14:textId="77777777" w:rsidR="00A308AC" w:rsidRPr="00CB656D" w:rsidRDefault="00A308AC" w:rsidP="00CB656D">
            <w:pPr>
              <w:pStyle w:val="TableText"/>
              <w:keepNext/>
              <w:keepLines/>
              <w:rPr>
                <w:szCs w:val="17"/>
              </w:rPr>
            </w:pPr>
            <w:r w:rsidRPr="00CB656D">
              <w:rPr>
                <w:szCs w:val="17"/>
              </w:rPr>
              <w:t>Chronic</w:t>
            </w:r>
          </w:p>
        </w:tc>
        <w:tc>
          <w:tcPr>
            <w:tcW w:w="2611" w:type="dxa"/>
            <w:tcBorders>
              <w:left w:val="nil"/>
              <w:right w:val="nil"/>
            </w:tcBorders>
          </w:tcPr>
          <w:p w14:paraId="6AB49D25" w14:textId="77777777" w:rsidR="00A308AC" w:rsidRPr="00CB656D" w:rsidRDefault="00A308AC" w:rsidP="00CB656D">
            <w:pPr>
              <w:pStyle w:val="TableText"/>
              <w:keepNext/>
              <w:keepLines/>
              <w:rPr>
                <w:i/>
                <w:iCs/>
                <w:szCs w:val="17"/>
              </w:rPr>
            </w:pPr>
            <w:r w:rsidRPr="00CB656D">
              <w:rPr>
                <w:i/>
                <w:iCs/>
                <w:szCs w:val="17"/>
              </w:rPr>
              <w:t>Hyallela azteca</w:t>
            </w:r>
          </w:p>
        </w:tc>
        <w:tc>
          <w:tcPr>
            <w:tcW w:w="2067" w:type="dxa"/>
            <w:tcBorders>
              <w:left w:val="nil"/>
              <w:right w:val="nil"/>
            </w:tcBorders>
          </w:tcPr>
          <w:p w14:paraId="2DFD739A" w14:textId="77777777" w:rsidR="00A308AC" w:rsidRPr="00CB656D" w:rsidRDefault="00A308AC" w:rsidP="00CB656D">
            <w:pPr>
              <w:pStyle w:val="TableText"/>
              <w:keepNext/>
              <w:keepLines/>
              <w:rPr>
                <w:szCs w:val="17"/>
              </w:rPr>
            </w:pPr>
            <w:r w:rsidRPr="00CB656D">
              <w:rPr>
                <w:szCs w:val="17"/>
              </w:rPr>
              <w:t>NOEC 11 mg ac/kg ds</w:t>
            </w:r>
          </w:p>
        </w:tc>
        <w:tc>
          <w:tcPr>
            <w:tcW w:w="1836" w:type="dxa"/>
            <w:tcBorders>
              <w:left w:val="nil"/>
            </w:tcBorders>
          </w:tcPr>
          <w:p w14:paraId="6F48A8A5" w14:textId="77777777" w:rsidR="00A308AC" w:rsidRPr="00CB656D" w:rsidRDefault="00A308AC" w:rsidP="00CB656D">
            <w:pPr>
              <w:pStyle w:val="TableText"/>
              <w:keepNext/>
              <w:keepLines/>
              <w:rPr>
                <w:szCs w:val="17"/>
              </w:rPr>
            </w:pPr>
            <w:r w:rsidRPr="00CB656D">
              <w:rPr>
                <w:szCs w:val="17"/>
              </w:rPr>
              <w:t>Bradley 2013a</w:t>
            </w:r>
          </w:p>
        </w:tc>
      </w:tr>
      <w:tr w:rsidR="00A308AC" w:rsidRPr="000B2FA7" w14:paraId="0965A397" w14:textId="77777777" w:rsidTr="00EB4E83">
        <w:tc>
          <w:tcPr>
            <w:tcW w:w="0" w:type="auto"/>
            <w:vMerge/>
            <w:tcBorders>
              <w:right w:val="nil"/>
            </w:tcBorders>
          </w:tcPr>
          <w:p w14:paraId="69CAE167" w14:textId="77777777" w:rsidR="00A308AC" w:rsidRPr="00CB656D" w:rsidRDefault="00A308AC" w:rsidP="00CB656D">
            <w:pPr>
              <w:pStyle w:val="TableText"/>
              <w:keepNext/>
              <w:keepLines/>
              <w:rPr>
                <w:szCs w:val="17"/>
              </w:rPr>
            </w:pPr>
          </w:p>
        </w:tc>
        <w:tc>
          <w:tcPr>
            <w:tcW w:w="1206" w:type="dxa"/>
            <w:vMerge/>
            <w:tcBorders>
              <w:left w:val="nil"/>
              <w:right w:val="nil"/>
            </w:tcBorders>
          </w:tcPr>
          <w:p w14:paraId="27360AAE" w14:textId="77777777" w:rsidR="00A308AC" w:rsidRPr="00CB656D" w:rsidRDefault="00A308AC" w:rsidP="00CB656D">
            <w:pPr>
              <w:pStyle w:val="TableText"/>
              <w:keepNext/>
              <w:keepLines/>
              <w:rPr>
                <w:szCs w:val="17"/>
              </w:rPr>
            </w:pPr>
          </w:p>
        </w:tc>
        <w:tc>
          <w:tcPr>
            <w:tcW w:w="992" w:type="dxa"/>
            <w:vMerge/>
            <w:tcBorders>
              <w:left w:val="nil"/>
              <w:right w:val="nil"/>
            </w:tcBorders>
          </w:tcPr>
          <w:p w14:paraId="5F447C04" w14:textId="77777777" w:rsidR="00A308AC" w:rsidRPr="00CB656D" w:rsidRDefault="00A308AC" w:rsidP="00CB656D">
            <w:pPr>
              <w:pStyle w:val="TableText"/>
              <w:keepNext/>
              <w:keepLines/>
              <w:rPr>
                <w:szCs w:val="17"/>
              </w:rPr>
            </w:pPr>
          </w:p>
        </w:tc>
        <w:tc>
          <w:tcPr>
            <w:tcW w:w="2611" w:type="dxa"/>
            <w:tcBorders>
              <w:left w:val="nil"/>
              <w:right w:val="nil"/>
            </w:tcBorders>
          </w:tcPr>
          <w:p w14:paraId="6156983E" w14:textId="77777777" w:rsidR="00A308AC" w:rsidRPr="00CB656D" w:rsidRDefault="00A308AC" w:rsidP="00CB656D">
            <w:pPr>
              <w:pStyle w:val="TableText"/>
              <w:keepNext/>
              <w:keepLines/>
              <w:rPr>
                <w:i/>
                <w:iCs/>
                <w:szCs w:val="17"/>
              </w:rPr>
            </w:pPr>
            <w:r w:rsidRPr="00CB656D">
              <w:rPr>
                <w:i/>
                <w:iCs/>
                <w:szCs w:val="17"/>
              </w:rPr>
              <w:t>Chironomus dilutus</w:t>
            </w:r>
          </w:p>
        </w:tc>
        <w:tc>
          <w:tcPr>
            <w:tcW w:w="2067" w:type="dxa"/>
            <w:tcBorders>
              <w:left w:val="nil"/>
              <w:right w:val="nil"/>
            </w:tcBorders>
          </w:tcPr>
          <w:p w14:paraId="521B66DA" w14:textId="77777777" w:rsidR="00A308AC" w:rsidRPr="00CB656D" w:rsidRDefault="00A308AC" w:rsidP="00CB656D">
            <w:pPr>
              <w:pStyle w:val="TableText"/>
              <w:keepNext/>
              <w:keepLines/>
              <w:rPr>
                <w:szCs w:val="17"/>
              </w:rPr>
            </w:pPr>
            <w:r w:rsidRPr="00CB656D">
              <w:rPr>
                <w:szCs w:val="17"/>
              </w:rPr>
              <w:t>NOEC 37 mg ac/kg ds</w:t>
            </w:r>
          </w:p>
        </w:tc>
        <w:tc>
          <w:tcPr>
            <w:tcW w:w="1836" w:type="dxa"/>
            <w:tcBorders>
              <w:left w:val="nil"/>
            </w:tcBorders>
          </w:tcPr>
          <w:p w14:paraId="00459B5B" w14:textId="77777777" w:rsidR="00A308AC" w:rsidRPr="00CB656D" w:rsidRDefault="00A308AC" w:rsidP="00CB656D">
            <w:pPr>
              <w:pStyle w:val="TableText"/>
              <w:keepNext/>
              <w:keepLines/>
              <w:rPr>
                <w:szCs w:val="17"/>
              </w:rPr>
            </w:pPr>
            <w:r w:rsidRPr="00CB656D">
              <w:rPr>
                <w:szCs w:val="17"/>
              </w:rPr>
              <w:t>Bradley 2013b</w:t>
            </w:r>
          </w:p>
        </w:tc>
      </w:tr>
      <w:tr w:rsidR="00A308AC" w:rsidRPr="000B2FA7" w14:paraId="59670135" w14:textId="77777777" w:rsidTr="00EB4E83">
        <w:tc>
          <w:tcPr>
            <w:tcW w:w="0" w:type="auto"/>
            <w:vMerge/>
            <w:tcBorders>
              <w:right w:val="nil"/>
            </w:tcBorders>
          </w:tcPr>
          <w:p w14:paraId="1B418DCF" w14:textId="77777777" w:rsidR="00A308AC" w:rsidRPr="00CB656D" w:rsidRDefault="00A308AC" w:rsidP="00CB656D">
            <w:pPr>
              <w:pStyle w:val="TableText"/>
              <w:keepNext/>
              <w:keepLines/>
              <w:rPr>
                <w:szCs w:val="17"/>
              </w:rPr>
            </w:pPr>
          </w:p>
        </w:tc>
        <w:tc>
          <w:tcPr>
            <w:tcW w:w="1206" w:type="dxa"/>
            <w:vMerge/>
            <w:tcBorders>
              <w:left w:val="nil"/>
              <w:right w:val="nil"/>
            </w:tcBorders>
          </w:tcPr>
          <w:p w14:paraId="3CE9F7A9" w14:textId="77777777" w:rsidR="00A308AC" w:rsidRPr="00CB656D" w:rsidRDefault="00A308AC" w:rsidP="00CB656D">
            <w:pPr>
              <w:pStyle w:val="TableText"/>
              <w:keepNext/>
              <w:keepLines/>
              <w:rPr>
                <w:szCs w:val="17"/>
              </w:rPr>
            </w:pPr>
          </w:p>
        </w:tc>
        <w:tc>
          <w:tcPr>
            <w:tcW w:w="992" w:type="dxa"/>
            <w:vMerge/>
            <w:tcBorders>
              <w:left w:val="nil"/>
              <w:right w:val="nil"/>
            </w:tcBorders>
          </w:tcPr>
          <w:p w14:paraId="76CEE532" w14:textId="77777777" w:rsidR="00A308AC" w:rsidRPr="00CB656D" w:rsidRDefault="00A308AC" w:rsidP="00CB656D">
            <w:pPr>
              <w:pStyle w:val="TableText"/>
              <w:keepNext/>
              <w:keepLines/>
              <w:rPr>
                <w:szCs w:val="17"/>
              </w:rPr>
            </w:pPr>
          </w:p>
        </w:tc>
        <w:tc>
          <w:tcPr>
            <w:tcW w:w="2611" w:type="dxa"/>
            <w:tcBorders>
              <w:left w:val="nil"/>
              <w:right w:val="nil"/>
            </w:tcBorders>
          </w:tcPr>
          <w:p w14:paraId="7A3BACBE" w14:textId="77777777" w:rsidR="00A308AC" w:rsidRPr="00CB656D" w:rsidRDefault="00A308AC" w:rsidP="00CB656D">
            <w:pPr>
              <w:pStyle w:val="TableText"/>
              <w:keepNext/>
              <w:keepLines/>
              <w:rPr>
                <w:i/>
                <w:iCs/>
                <w:szCs w:val="17"/>
              </w:rPr>
            </w:pPr>
            <w:r w:rsidRPr="00CB656D">
              <w:rPr>
                <w:i/>
                <w:iCs/>
                <w:szCs w:val="17"/>
              </w:rPr>
              <w:t>Chironomus riparius</w:t>
            </w:r>
          </w:p>
        </w:tc>
        <w:tc>
          <w:tcPr>
            <w:tcW w:w="2067" w:type="dxa"/>
            <w:tcBorders>
              <w:left w:val="nil"/>
              <w:right w:val="nil"/>
            </w:tcBorders>
          </w:tcPr>
          <w:p w14:paraId="5E5EDF58" w14:textId="77777777" w:rsidR="00A308AC" w:rsidRPr="00CB656D" w:rsidRDefault="00A308AC" w:rsidP="00CB656D">
            <w:pPr>
              <w:pStyle w:val="TableText"/>
              <w:keepNext/>
              <w:keepLines/>
              <w:rPr>
                <w:szCs w:val="17"/>
              </w:rPr>
            </w:pPr>
            <w:r w:rsidRPr="00CB656D">
              <w:rPr>
                <w:szCs w:val="17"/>
              </w:rPr>
              <w:t>NOEC 100 mg ac/kg ds</w:t>
            </w:r>
          </w:p>
        </w:tc>
        <w:tc>
          <w:tcPr>
            <w:tcW w:w="1836" w:type="dxa"/>
            <w:tcBorders>
              <w:left w:val="nil"/>
            </w:tcBorders>
          </w:tcPr>
          <w:p w14:paraId="78AB2994" w14:textId="77777777" w:rsidR="00A308AC" w:rsidRPr="00CB656D" w:rsidRDefault="00A308AC" w:rsidP="00CB656D">
            <w:pPr>
              <w:pStyle w:val="TableText"/>
              <w:keepNext/>
              <w:keepLines/>
              <w:rPr>
                <w:szCs w:val="17"/>
              </w:rPr>
            </w:pPr>
            <w:r w:rsidRPr="00CB656D">
              <w:rPr>
                <w:szCs w:val="17"/>
              </w:rPr>
              <w:t>Ashwell 1999</w:t>
            </w:r>
          </w:p>
        </w:tc>
      </w:tr>
      <w:tr w:rsidR="00A308AC" w:rsidRPr="000B2FA7" w14:paraId="2AE5AD49" w14:textId="77777777" w:rsidTr="00EB4E83">
        <w:tc>
          <w:tcPr>
            <w:tcW w:w="0" w:type="auto"/>
            <w:vMerge/>
            <w:tcBorders>
              <w:right w:val="nil"/>
            </w:tcBorders>
          </w:tcPr>
          <w:p w14:paraId="5FA64490" w14:textId="77777777" w:rsidR="00A308AC" w:rsidRPr="00CB656D" w:rsidRDefault="00A308AC" w:rsidP="00CB656D">
            <w:pPr>
              <w:pStyle w:val="TableText"/>
              <w:rPr>
                <w:szCs w:val="17"/>
              </w:rPr>
            </w:pPr>
          </w:p>
        </w:tc>
        <w:tc>
          <w:tcPr>
            <w:tcW w:w="1206" w:type="dxa"/>
            <w:vMerge w:val="restart"/>
            <w:tcBorders>
              <w:left w:val="nil"/>
              <w:right w:val="nil"/>
            </w:tcBorders>
          </w:tcPr>
          <w:p w14:paraId="08A14140" w14:textId="77777777" w:rsidR="00A308AC" w:rsidRPr="00CB656D" w:rsidRDefault="00A308AC" w:rsidP="00CB656D">
            <w:pPr>
              <w:pStyle w:val="TableText"/>
              <w:rPr>
                <w:szCs w:val="17"/>
              </w:rPr>
            </w:pPr>
            <w:r w:rsidRPr="00CB656D">
              <w:rPr>
                <w:szCs w:val="17"/>
              </w:rPr>
              <w:t>Algae</w:t>
            </w:r>
          </w:p>
        </w:tc>
        <w:tc>
          <w:tcPr>
            <w:tcW w:w="992" w:type="dxa"/>
            <w:vMerge w:val="restart"/>
            <w:tcBorders>
              <w:left w:val="nil"/>
              <w:right w:val="nil"/>
            </w:tcBorders>
          </w:tcPr>
          <w:p w14:paraId="2D50EE2C" w14:textId="77777777" w:rsidR="00A308AC" w:rsidRPr="00CB656D" w:rsidRDefault="00A308AC" w:rsidP="00CB656D">
            <w:pPr>
              <w:pStyle w:val="TableText"/>
              <w:rPr>
                <w:szCs w:val="17"/>
              </w:rPr>
            </w:pPr>
            <w:r w:rsidRPr="00CB656D">
              <w:rPr>
                <w:szCs w:val="17"/>
              </w:rPr>
              <w:t>Chronic</w:t>
            </w:r>
          </w:p>
        </w:tc>
        <w:tc>
          <w:tcPr>
            <w:tcW w:w="2611" w:type="dxa"/>
            <w:tcBorders>
              <w:left w:val="nil"/>
              <w:right w:val="nil"/>
            </w:tcBorders>
          </w:tcPr>
          <w:p w14:paraId="14CDD120" w14:textId="77777777" w:rsidR="00A308AC" w:rsidRPr="00CB656D" w:rsidRDefault="00A308AC" w:rsidP="00CB656D">
            <w:pPr>
              <w:pStyle w:val="TableText"/>
              <w:rPr>
                <w:i/>
                <w:iCs/>
                <w:szCs w:val="17"/>
              </w:rPr>
            </w:pPr>
            <w:r w:rsidRPr="00CB656D">
              <w:rPr>
                <w:i/>
                <w:iCs/>
                <w:szCs w:val="17"/>
              </w:rPr>
              <w:t>Navicula pelliculosa</w:t>
            </w:r>
          </w:p>
        </w:tc>
        <w:tc>
          <w:tcPr>
            <w:tcW w:w="2067" w:type="dxa"/>
            <w:tcBorders>
              <w:left w:val="nil"/>
              <w:right w:val="nil"/>
            </w:tcBorders>
          </w:tcPr>
          <w:p w14:paraId="36DC6283" w14:textId="77777777" w:rsidR="00A308AC" w:rsidRPr="00CB656D" w:rsidRDefault="00A308AC"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0.0012 mg ac/L</w:t>
            </w:r>
          </w:p>
        </w:tc>
        <w:tc>
          <w:tcPr>
            <w:tcW w:w="1836" w:type="dxa"/>
            <w:tcBorders>
              <w:left w:val="nil"/>
            </w:tcBorders>
          </w:tcPr>
          <w:p w14:paraId="3FBC03AC" w14:textId="77777777" w:rsidR="00A308AC" w:rsidRPr="00CB656D" w:rsidRDefault="00A308AC" w:rsidP="00CB656D">
            <w:pPr>
              <w:pStyle w:val="TableText"/>
              <w:rPr>
                <w:szCs w:val="17"/>
              </w:rPr>
            </w:pPr>
            <w:r w:rsidRPr="00CB656D">
              <w:rPr>
                <w:szCs w:val="17"/>
              </w:rPr>
              <w:t>Smyth et al. 1998a</w:t>
            </w:r>
          </w:p>
        </w:tc>
      </w:tr>
      <w:tr w:rsidR="00A308AC" w:rsidRPr="000B2FA7" w14:paraId="5DCEAD0B" w14:textId="77777777" w:rsidTr="00EB4E83">
        <w:tc>
          <w:tcPr>
            <w:tcW w:w="0" w:type="auto"/>
            <w:vMerge/>
            <w:tcBorders>
              <w:right w:val="nil"/>
            </w:tcBorders>
          </w:tcPr>
          <w:p w14:paraId="48358E27" w14:textId="77777777" w:rsidR="00A308AC" w:rsidRPr="00CB656D" w:rsidRDefault="00A308AC" w:rsidP="00CB656D">
            <w:pPr>
              <w:pStyle w:val="TableText"/>
              <w:rPr>
                <w:szCs w:val="17"/>
              </w:rPr>
            </w:pPr>
          </w:p>
        </w:tc>
        <w:tc>
          <w:tcPr>
            <w:tcW w:w="1206" w:type="dxa"/>
            <w:vMerge/>
            <w:tcBorders>
              <w:left w:val="nil"/>
              <w:right w:val="nil"/>
            </w:tcBorders>
          </w:tcPr>
          <w:p w14:paraId="499B56B1" w14:textId="77777777" w:rsidR="00A308AC" w:rsidRPr="00CB656D" w:rsidRDefault="00A308AC" w:rsidP="00CB656D">
            <w:pPr>
              <w:pStyle w:val="TableText"/>
              <w:rPr>
                <w:szCs w:val="17"/>
              </w:rPr>
            </w:pPr>
          </w:p>
        </w:tc>
        <w:tc>
          <w:tcPr>
            <w:tcW w:w="992" w:type="dxa"/>
            <w:vMerge/>
            <w:tcBorders>
              <w:left w:val="nil"/>
              <w:right w:val="nil"/>
            </w:tcBorders>
          </w:tcPr>
          <w:p w14:paraId="6759AD0C" w14:textId="77777777" w:rsidR="00A308AC" w:rsidRPr="00CB656D" w:rsidRDefault="00A308AC" w:rsidP="00CB656D">
            <w:pPr>
              <w:pStyle w:val="TableText"/>
              <w:rPr>
                <w:szCs w:val="17"/>
              </w:rPr>
            </w:pPr>
          </w:p>
        </w:tc>
        <w:tc>
          <w:tcPr>
            <w:tcW w:w="2611" w:type="dxa"/>
            <w:tcBorders>
              <w:left w:val="nil"/>
              <w:right w:val="nil"/>
            </w:tcBorders>
          </w:tcPr>
          <w:p w14:paraId="7650A303" w14:textId="77777777" w:rsidR="00A308AC" w:rsidRPr="00CB656D" w:rsidRDefault="00A308AC" w:rsidP="00CB656D">
            <w:pPr>
              <w:pStyle w:val="TableText"/>
              <w:rPr>
                <w:i/>
                <w:iCs/>
                <w:szCs w:val="17"/>
              </w:rPr>
            </w:pPr>
            <w:r w:rsidRPr="00CB656D">
              <w:rPr>
                <w:i/>
                <w:iCs/>
                <w:szCs w:val="17"/>
              </w:rPr>
              <w:t>Nitzschia palea</w:t>
            </w:r>
          </w:p>
          <w:p w14:paraId="7677CAA7" w14:textId="77777777" w:rsidR="00A308AC" w:rsidRPr="00CB656D" w:rsidRDefault="00A308AC" w:rsidP="00CB656D">
            <w:pPr>
              <w:pStyle w:val="TableText"/>
              <w:rPr>
                <w:i/>
                <w:iCs/>
                <w:szCs w:val="17"/>
              </w:rPr>
            </w:pPr>
            <w:r w:rsidRPr="00CB656D">
              <w:rPr>
                <w:i/>
                <w:iCs/>
                <w:szCs w:val="17"/>
              </w:rPr>
              <w:t>Achnanthidium minutissimum</w:t>
            </w:r>
          </w:p>
          <w:p w14:paraId="3C806293" w14:textId="77777777" w:rsidR="00A308AC" w:rsidRPr="00CB656D" w:rsidRDefault="00A308AC" w:rsidP="00A308AC">
            <w:pPr>
              <w:pStyle w:val="TableText"/>
              <w:rPr>
                <w:i/>
                <w:iCs/>
                <w:szCs w:val="17"/>
              </w:rPr>
            </w:pPr>
            <w:r w:rsidRPr="00CB656D">
              <w:rPr>
                <w:i/>
                <w:iCs/>
                <w:szCs w:val="17"/>
              </w:rPr>
              <w:t>Raphidocelis subcapitata</w:t>
            </w:r>
          </w:p>
          <w:p w14:paraId="6CA65084" w14:textId="77777777" w:rsidR="00A308AC" w:rsidRPr="00CB656D" w:rsidRDefault="00A308AC" w:rsidP="00CB656D">
            <w:pPr>
              <w:pStyle w:val="TableText"/>
              <w:rPr>
                <w:i/>
                <w:iCs/>
                <w:szCs w:val="17"/>
              </w:rPr>
            </w:pPr>
            <w:r w:rsidRPr="00CB656D">
              <w:rPr>
                <w:i/>
                <w:iCs/>
                <w:szCs w:val="17"/>
              </w:rPr>
              <w:t>Pseudanabaena foetida</w:t>
            </w:r>
          </w:p>
          <w:p w14:paraId="436BCEDD" w14:textId="77777777" w:rsidR="00A308AC" w:rsidRPr="00CB656D" w:rsidRDefault="00A308AC" w:rsidP="00CB656D">
            <w:pPr>
              <w:pStyle w:val="TableText"/>
              <w:rPr>
                <w:i/>
                <w:iCs/>
                <w:szCs w:val="17"/>
              </w:rPr>
            </w:pPr>
            <w:r w:rsidRPr="00CB656D">
              <w:rPr>
                <w:i/>
                <w:iCs/>
                <w:szCs w:val="17"/>
              </w:rPr>
              <w:t>Synechococcus leopoliensis</w:t>
            </w:r>
          </w:p>
          <w:p w14:paraId="19EBD851" w14:textId="77777777" w:rsidR="00A308AC" w:rsidRPr="00CB656D" w:rsidRDefault="00A308AC" w:rsidP="00CB656D">
            <w:pPr>
              <w:pStyle w:val="TableText"/>
              <w:rPr>
                <w:i/>
                <w:iCs/>
                <w:szCs w:val="17"/>
              </w:rPr>
            </w:pPr>
            <w:r w:rsidRPr="00CB656D">
              <w:rPr>
                <w:i/>
                <w:iCs/>
                <w:szCs w:val="17"/>
              </w:rPr>
              <w:lastRenderedPageBreak/>
              <w:t>Fistulifera pelliculosa</w:t>
            </w:r>
          </w:p>
          <w:p w14:paraId="07D661B6" w14:textId="77777777" w:rsidR="00A308AC" w:rsidRPr="00CB656D" w:rsidRDefault="00A308AC" w:rsidP="00CB656D">
            <w:pPr>
              <w:pStyle w:val="TableText"/>
              <w:rPr>
                <w:i/>
                <w:iCs/>
                <w:szCs w:val="17"/>
              </w:rPr>
            </w:pPr>
            <w:r w:rsidRPr="00CB656D">
              <w:rPr>
                <w:i/>
                <w:iCs/>
                <w:szCs w:val="17"/>
              </w:rPr>
              <w:t>Desmodesmus subspicatus</w:t>
            </w:r>
          </w:p>
        </w:tc>
        <w:tc>
          <w:tcPr>
            <w:tcW w:w="2067" w:type="dxa"/>
            <w:tcBorders>
              <w:left w:val="nil"/>
              <w:right w:val="nil"/>
            </w:tcBorders>
          </w:tcPr>
          <w:p w14:paraId="466F4521" w14:textId="77777777" w:rsidR="00A308AC" w:rsidRPr="00CB656D" w:rsidRDefault="00A308AC" w:rsidP="00CB656D">
            <w:pPr>
              <w:pStyle w:val="TableText"/>
              <w:rPr>
                <w:szCs w:val="17"/>
              </w:rPr>
            </w:pPr>
            <w:r w:rsidRPr="00CB656D">
              <w:rPr>
                <w:szCs w:val="17"/>
              </w:rPr>
              <w:lastRenderedPageBreak/>
              <w:t>EC</w:t>
            </w:r>
            <w:r w:rsidRPr="00CB656D">
              <w:rPr>
                <w:szCs w:val="17"/>
                <w:vertAlign w:val="subscript"/>
              </w:rPr>
              <w:t>50</w:t>
            </w:r>
            <w:r w:rsidRPr="00CB656D">
              <w:rPr>
                <w:szCs w:val="17"/>
              </w:rPr>
              <w:t xml:space="preserve"> 0.0052 mg ac/L</w:t>
            </w:r>
          </w:p>
          <w:p w14:paraId="0338E103"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0.0073 mg ac/L</w:t>
            </w:r>
          </w:p>
          <w:p w14:paraId="59251622" w14:textId="77777777" w:rsidR="00A308AC" w:rsidRPr="00CB656D" w:rsidRDefault="00A308AC" w:rsidP="00A308AC">
            <w:pPr>
              <w:pStyle w:val="TableText"/>
              <w:rPr>
                <w:szCs w:val="17"/>
              </w:rPr>
            </w:pPr>
            <w:r w:rsidRPr="00CB656D">
              <w:rPr>
                <w:szCs w:val="17"/>
              </w:rPr>
              <w:t>EC</w:t>
            </w:r>
            <w:r w:rsidRPr="00CB656D">
              <w:rPr>
                <w:szCs w:val="17"/>
                <w:vertAlign w:val="subscript"/>
              </w:rPr>
              <w:t>50</w:t>
            </w:r>
            <w:r w:rsidRPr="00CB656D">
              <w:rPr>
                <w:szCs w:val="17"/>
              </w:rPr>
              <w:t xml:space="preserve"> 0.055 mg ac/L</w:t>
            </w:r>
          </w:p>
          <w:p w14:paraId="381CD3E8"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0.23 mg ac/L</w:t>
            </w:r>
          </w:p>
          <w:p w14:paraId="44FA3E61"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0.29 mg ac/L</w:t>
            </w:r>
          </w:p>
          <w:p w14:paraId="4F37EA93" w14:textId="77777777" w:rsidR="00A308AC" w:rsidRPr="00CB656D" w:rsidRDefault="00A308AC" w:rsidP="00CB656D">
            <w:pPr>
              <w:pStyle w:val="TableText"/>
              <w:rPr>
                <w:szCs w:val="17"/>
              </w:rPr>
            </w:pPr>
            <w:r w:rsidRPr="00CB656D">
              <w:rPr>
                <w:szCs w:val="17"/>
              </w:rPr>
              <w:lastRenderedPageBreak/>
              <w:t>EC</w:t>
            </w:r>
            <w:r w:rsidRPr="00CB656D">
              <w:rPr>
                <w:szCs w:val="17"/>
                <w:vertAlign w:val="subscript"/>
              </w:rPr>
              <w:t>50</w:t>
            </w:r>
            <w:r w:rsidRPr="00CB656D">
              <w:rPr>
                <w:szCs w:val="17"/>
              </w:rPr>
              <w:t xml:space="preserve"> 0.33 mg ac/L</w:t>
            </w:r>
          </w:p>
          <w:p w14:paraId="2F2EF35A"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3.2 mg ac/L</w:t>
            </w:r>
          </w:p>
        </w:tc>
        <w:tc>
          <w:tcPr>
            <w:tcW w:w="1836" w:type="dxa"/>
            <w:tcBorders>
              <w:left w:val="nil"/>
            </w:tcBorders>
          </w:tcPr>
          <w:p w14:paraId="373A9764" w14:textId="77777777" w:rsidR="00A308AC" w:rsidRPr="00CB656D" w:rsidRDefault="00A308AC" w:rsidP="00CB656D">
            <w:pPr>
              <w:pStyle w:val="TableText"/>
              <w:rPr>
                <w:szCs w:val="17"/>
              </w:rPr>
            </w:pPr>
            <w:r w:rsidRPr="00CB656D">
              <w:rPr>
                <w:szCs w:val="17"/>
              </w:rPr>
              <w:lastRenderedPageBreak/>
              <w:t>Nagai 2019</w:t>
            </w:r>
          </w:p>
        </w:tc>
      </w:tr>
      <w:tr w:rsidR="00A308AC" w:rsidRPr="000B2FA7" w14:paraId="1E458E42" w14:textId="77777777" w:rsidTr="00EB4E83">
        <w:tc>
          <w:tcPr>
            <w:tcW w:w="0" w:type="auto"/>
            <w:vMerge/>
            <w:tcBorders>
              <w:right w:val="nil"/>
            </w:tcBorders>
          </w:tcPr>
          <w:p w14:paraId="5CD17768" w14:textId="77777777" w:rsidR="00A308AC" w:rsidRPr="00CB656D" w:rsidRDefault="00A308AC" w:rsidP="00CB656D">
            <w:pPr>
              <w:pStyle w:val="TableText"/>
              <w:rPr>
                <w:szCs w:val="17"/>
              </w:rPr>
            </w:pPr>
          </w:p>
        </w:tc>
        <w:tc>
          <w:tcPr>
            <w:tcW w:w="1206" w:type="dxa"/>
            <w:vMerge/>
            <w:tcBorders>
              <w:left w:val="nil"/>
              <w:right w:val="nil"/>
            </w:tcBorders>
          </w:tcPr>
          <w:p w14:paraId="6ADEA6A6" w14:textId="77777777" w:rsidR="00A308AC" w:rsidRPr="00CB656D" w:rsidRDefault="00A308AC" w:rsidP="00CB656D">
            <w:pPr>
              <w:pStyle w:val="TableText"/>
              <w:rPr>
                <w:szCs w:val="17"/>
              </w:rPr>
            </w:pPr>
          </w:p>
        </w:tc>
        <w:tc>
          <w:tcPr>
            <w:tcW w:w="992" w:type="dxa"/>
            <w:vMerge/>
            <w:tcBorders>
              <w:left w:val="nil"/>
              <w:right w:val="nil"/>
            </w:tcBorders>
          </w:tcPr>
          <w:p w14:paraId="7AAC0E49" w14:textId="77777777" w:rsidR="00A308AC" w:rsidRPr="00CB656D" w:rsidRDefault="00A308AC" w:rsidP="00CB656D">
            <w:pPr>
              <w:pStyle w:val="TableText"/>
              <w:rPr>
                <w:szCs w:val="17"/>
              </w:rPr>
            </w:pPr>
          </w:p>
        </w:tc>
        <w:tc>
          <w:tcPr>
            <w:tcW w:w="2611" w:type="dxa"/>
            <w:tcBorders>
              <w:left w:val="nil"/>
              <w:right w:val="nil"/>
            </w:tcBorders>
          </w:tcPr>
          <w:p w14:paraId="35ACFA96" w14:textId="77777777" w:rsidR="00A308AC" w:rsidRPr="00CB656D" w:rsidRDefault="00A308AC" w:rsidP="00CB656D">
            <w:pPr>
              <w:pStyle w:val="TableText"/>
              <w:rPr>
                <w:i/>
                <w:iCs/>
                <w:szCs w:val="17"/>
              </w:rPr>
            </w:pPr>
            <w:r w:rsidRPr="00CB656D">
              <w:rPr>
                <w:i/>
                <w:iCs/>
                <w:szCs w:val="17"/>
              </w:rPr>
              <w:t>Anabaena flos-aquae</w:t>
            </w:r>
          </w:p>
        </w:tc>
        <w:tc>
          <w:tcPr>
            <w:tcW w:w="2067" w:type="dxa"/>
            <w:tcBorders>
              <w:left w:val="nil"/>
              <w:right w:val="nil"/>
            </w:tcBorders>
          </w:tcPr>
          <w:p w14:paraId="48160DE8" w14:textId="77777777" w:rsidR="00A308AC" w:rsidRPr="00CB656D" w:rsidRDefault="00A308AC"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0.025 mg ac/L</w:t>
            </w:r>
          </w:p>
        </w:tc>
        <w:tc>
          <w:tcPr>
            <w:tcW w:w="1836" w:type="dxa"/>
            <w:tcBorders>
              <w:left w:val="nil"/>
            </w:tcBorders>
          </w:tcPr>
          <w:p w14:paraId="112046B7" w14:textId="77777777" w:rsidR="00A308AC" w:rsidRPr="00CB656D" w:rsidRDefault="00A308AC" w:rsidP="00CB656D">
            <w:pPr>
              <w:pStyle w:val="TableText"/>
              <w:rPr>
                <w:szCs w:val="17"/>
              </w:rPr>
            </w:pPr>
            <w:r w:rsidRPr="00CB656D">
              <w:rPr>
                <w:szCs w:val="17"/>
              </w:rPr>
              <w:t>Smyth et al. 1998b</w:t>
            </w:r>
          </w:p>
        </w:tc>
      </w:tr>
      <w:tr w:rsidR="00A308AC" w:rsidRPr="000B2FA7" w14:paraId="36D2F891" w14:textId="77777777" w:rsidTr="00EB4E83">
        <w:tc>
          <w:tcPr>
            <w:tcW w:w="0" w:type="auto"/>
            <w:vMerge/>
            <w:tcBorders>
              <w:right w:val="nil"/>
            </w:tcBorders>
          </w:tcPr>
          <w:p w14:paraId="6D6F4128" w14:textId="77777777" w:rsidR="00A308AC" w:rsidRPr="00CB656D" w:rsidRDefault="00A308AC" w:rsidP="00CB656D">
            <w:pPr>
              <w:pStyle w:val="TableText"/>
              <w:rPr>
                <w:szCs w:val="17"/>
              </w:rPr>
            </w:pPr>
          </w:p>
        </w:tc>
        <w:tc>
          <w:tcPr>
            <w:tcW w:w="1206" w:type="dxa"/>
            <w:vMerge/>
            <w:tcBorders>
              <w:left w:val="nil"/>
              <w:right w:val="nil"/>
            </w:tcBorders>
          </w:tcPr>
          <w:p w14:paraId="60238ACC" w14:textId="77777777" w:rsidR="00A308AC" w:rsidRPr="00CB656D" w:rsidRDefault="00A308AC" w:rsidP="00CB656D">
            <w:pPr>
              <w:pStyle w:val="TableText"/>
              <w:rPr>
                <w:szCs w:val="17"/>
              </w:rPr>
            </w:pPr>
          </w:p>
        </w:tc>
        <w:tc>
          <w:tcPr>
            <w:tcW w:w="992" w:type="dxa"/>
            <w:vMerge/>
            <w:tcBorders>
              <w:left w:val="nil"/>
              <w:right w:val="nil"/>
            </w:tcBorders>
          </w:tcPr>
          <w:p w14:paraId="4E90AA45" w14:textId="77777777" w:rsidR="00A308AC" w:rsidRPr="00CB656D" w:rsidRDefault="00A308AC" w:rsidP="00CB656D">
            <w:pPr>
              <w:pStyle w:val="TableText"/>
              <w:rPr>
                <w:szCs w:val="17"/>
              </w:rPr>
            </w:pPr>
          </w:p>
        </w:tc>
        <w:tc>
          <w:tcPr>
            <w:tcW w:w="2611" w:type="dxa"/>
            <w:tcBorders>
              <w:left w:val="nil"/>
              <w:right w:val="nil"/>
            </w:tcBorders>
          </w:tcPr>
          <w:p w14:paraId="1EE10411" w14:textId="77777777" w:rsidR="00A308AC" w:rsidRPr="00CB656D" w:rsidRDefault="00A308AC" w:rsidP="00CB656D">
            <w:pPr>
              <w:pStyle w:val="TableText"/>
              <w:rPr>
                <w:i/>
                <w:iCs/>
                <w:szCs w:val="17"/>
              </w:rPr>
            </w:pPr>
            <w:r w:rsidRPr="00CB656D">
              <w:rPr>
                <w:i/>
                <w:iCs/>
                <w:szCs w:val="17"/>
              </w:rPr>
              <w:t>Skeletonema costatum</w:t>
            </w:r>
          </w:p>
        </w:tc>
        <w:tc>
          <w:tcPr>
            <w:tcW w:w="2067" w:type="dxa"/>
            <w:tcBorders>
              <w:left w:val="nil"/>
              <w:right w:val="nil"/>
            </w:tcBorders>
          </w:tcPr>
          <w:p w14:paraId="3965C257" w14:textId="77777777" w:rsidR="00A308AC" w:rsidRPr="00CB656D" w:rsidRDefault="00A308AC"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12 mg ac/L</w:t>
            </w:r>
          </w:p>
        </w:tc>
        <w:tc>
          <w:tcPr>
            <w:tcW w:w="1836" w:type="dxa"/>
            <w:tcBorders>
              <w:left w:val="nil"/>
            </w:tcBorders>
          </w:tcPr>
          <w:p w14:paraId="0FDD45FF" w14:textId="77777777" w:rsidR="00A308AC" w:rsidRPr="00CB656D" w:rsidRDefault="00A308AC" w:rsidP="00CB656D">
            <w:pPr>
              <w:pStyle w:val="TableText"/>
              <w:rPr>
                <w:szCs w:val="17"/>
              </w:rPr>
            </w:pPr>
            <w:r w:rsidRPr="00CB656D">
              <w:rPr>
                <w:szCs w:val="17"/>
              </w:rPr>
              <w:t>Smyth et al. 1998c</w:t>
            </w:r>
          </w:p>
        </w:tc>
      </w:tr>
      <w:tr w:rsidR="00A308AC" w:rsidRPr="000B2FA7" w14:paraId="36C062E1" w14:textId="77777777" w:rsidTr="00EB4E83">
        <w:tc>
          <w:tcPr>
            <w:tcW w:w="0" w:type="auto"/>
            <w:vMerge/>
            <w:tcBorders>
              <w:right w:val="nil"/>
            </w:tcBorders>
          </w:tcPr>
          <w:p w14:paraId="56969D9A" w14:textId="77777777" w:rsidR="00A308AC" w:rsidRPr="00CB656D" w:rsidRDefault="00A308AC" w:rsidP="00CB656D">
            <w:pPr>
              <w:pStyle w:val="TableText"/>
              <w:rPr>
                <w:szCs w:val="17"/>
              </w:rPr>
            </w:pPr>
          </w:p>
        </w:tc>
        <w:tc>
          <w:tcPr>
            <w:tcW w:w="1206" w:type="dxa"/>
            <w:tcBorders>
              <w:left w:val="nil"/>
              <w:right w:val="nil"/>
            </w:tcBorders>
          </w:tcPr>
          <w:p w14:paraId="6B290F5C" w14:textId="77777777" w:rsidR="00A308AC" w:rsidRPr="00CB656D" w:rsidRDefault="00A308AC" w:rsidP="00CB656D">
            <w:pPr>
              <w:pStyle w:val="TableText"/>
              <w:rPr>
                <w:szCs w:val="17"/>
              </w:rPr>
            </w:pPr>
            <w:r w:rsidRPr="00CB656D">
              <w:rPr>
                <w:szCs w:val="17"/>
              </w:rPr>
              <w:t>Aquatic plants</w:t>
            </w:r>
          </w:p>
        </w:tc>
        <w:tc>
          <w:tcPr>
            <w:tcW w:w="992" w:type="dxa"/>
            <w:tcBorders>
              <w:left w:val="nil"/>
              <w:right w:val="nil"/>
            </w:tcBorders>
          </w:tcPr>
          <w:p w14:paraId="213F2446" w14:textId="77777777" w:rsidR="00A308AC" w:rsidRPr="00CB656D" w:rsidRDefault="00A308AC" w:rsidP="00CB656D">
            <w:pPr>
              <w:pStyle w:val="TableText"/>
              <w:rPr>
                <w:szCs w:val="17"/>
              </w:rPr>
            </w:pPr>
            <w:r w:rsidRPr="00CB656D">
              <w:rPr>
                <w:szCs w:val="17"/>
              </w:rPr>
              <w:t>Chronic</w:t>
            </w:r>
          </w:p>
        </w:tc>
        <w:tc>
          <w:tcPr>
            <w:tcW w:w="2611" w:type="dxa"/>
            <w:tcBorders>
              <w:left w:val="nil"/>
              <w:right w:val="nil"/>
            </w:tcBorders>
          </w:tcPr>
          <w:p w14:paraId="0E5F61FB" w14:textId="77777777" w:rsidR="00A308AC" w:rsidRPr="00CB656D" w:rsidRDefault="00A308AC" w:rsidP="00CB656D">
            <w:pPr>
              <w:pStyle w:val="TableText"/>
              <w:rPr>
                <w:i/>
                <w:iCs/>
                <w:szCs w:val="17"/>
              </w:rPr>
            </w:pPr>
            <w:r w:rsidRPr="00CB656D">
              <w:rPr>
                <w:i/>
                <w:iCs/>
                <w:szCs w:val="17"/>
              </w:rPr>
              <w:t>Lemna gibba</w:t>
            </w:r>
          </w:p>
        </w:tc>
        <w:tc>
          <w:tcPr>
            <w:tcW w:w="2067" w:type="dxa"/>
            <w:tcBorders>
              <w:left w:val="nil"/>
              <w:right w:val="nil"/>
            </w:tcBorders>
          </w:tcPr>
          <w:p w14:paraId="7C3E97C5" w14:textId="77777777" w:rsidR="00A308AC" w:rsidRPr="00CB656D" w:rsidRDefault="00A308AC" w:rsidP="00CB656D">
            <w:pPr>
              <w:pStyle w:val="TableText"/>
              <w:rPr>
                <w:szCs w:val="17"/>
              </w:rPr>
            </w:pPr>
            <w:r w:rsidRPr="00CB656D">
              <w:rPr>
                <w:szCs w:val="17"/>
              </w:rPr>
              <w:t>EC</w:t>
            </w:r>
            <w:r w:rsidRPr="00CB656D">
              <w:rPr>
                <w:szCs w:val="17"/>
                <w:vertAlign w:val="subscript"/>
              </w:rPr>
              <w:t>50</w:t>
            </w:r>
            <w:r w:rsidRPr="00CB656D">
              <w:rPr>
                <w:szCs w:val="17"/>
              </w:rPr>
              <w:t xml:space="preserve"> 0.0032 mg ac/L</w:t>
            </w:r>
          </w:p>
        </w:tc>
        <w:tc>
          <w:tcPr>
            <w:tcW w:w="1836" w:type="dxa"/>
            <w:tcBorders>
              <w:left w:val="nil"/>
            </w:tcBorders>
          </w:tcPr>
          <w:p w14:paraId="08516C9C" w14:textId="77777777" w:rsidR="00A308AC" w:rsidRPr="00CB656D" w:rsidRDefault="00A308AC" w:rsidP="00CB656D">
            <w:pPr>
              <w:pStyle w:val="TableText"/>
              <w:rPr>
                <w:szCs w:val="17"/>
              </w:rPr>
            </w:pPr>
            <w:r w:rsidRPr="00CB656D">
              <w:rPr>
                <w:szCs w:val="17"/>
              </w:rPr>
              <w:t>Magor &amp; Shillabeer 2001</w:t>
            </w:r>
          </w:p>
        </w:tc>
      </w:tr>
      <w:tr w:rsidR="00CB656D" w:rsidRPr="000B2FA7" w14:paraId="26C1594D" w14:textId="77777777" w:rsidTr="00CB656D">
        <w:tc>
          <w:tcPr>
            <w:tcW w:w="0" w:type="auto"/>
            <w:vMerge w:val="restart"/>
            <w:tcBorders>
              <w:right w:val="nil"/>
            </w:tcBorders>
          </w:tcPr>
          <w:p w14:paraId="0D9E3326" w14:textId="77777777" w:rsidR="00CB656D" w:rsidRPr="00CB656D" w:rsidRDefault="00CB656D" w:rsidP="00CB656D">
            <w:pPr>
              <w:pStyle w:val="TableText"/>
              <w:rPr>
                <w:szCs w:val="17"/>
              </w:rPr>
            </w:pPr>
            <w:r w:rsidRPr="00CB656D">
              <w:rPr>
                <w:szCs w:val="17"/>
              </w:rPr>
              <w:t>TOPPS</w:t>
            </w:r>
          </w:p>
        </w:tc>
        <w:tc>
          <w:tcPr>
            <w:tcW w:w="1206" w:type="dxa"/>
            <w:tcBorders>
              <w:left w:val="nil"/>
              <w:right w:val="nil"/>
            </w:tcBorders>
          </w:tcPr>
          <w:p w14:paraId="091CF161" w14:textId="77777777" w:rsidR="00CB656D" w:rsidRPr="00CB656D" w:rsidRDefault="00CB656D" w:rsidP="00CB656D">
            <w:pPr>
              <w:pStyle w:val="TableText"/>
              <w:rPr>
                <w:szCs w:val="17"/>
              </w:rPr>
            </w:pPr>
            <w:r w:rsidRPr="00CB656D">
              <w:rPr>
                <w:szCs w:val="17"/>
              </w:rPr>
              <w:t>Invertebrates</w:t>
            </w:r>
          </w:p>
        </w:tc>
        <w:tc>
          <w:tcPr>
            <w:tcW w:w="992" w:type="dxa"/>
            <w:tcBorders>
              <w:left w:val="nil"/>
              <w:right w:val="nil"/>
            </w:tcBorders>
          </w:tcPr>
          <w:p w14:paraId="3664CF09"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tcPr>
          <w:p w14:paraId="546759F8"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tcPr>
          <w:p w14:paraId="1BF366CC"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&gt;110 mg/L</w:t>
            </w:r>
          </w:p>
        </w:tc>
        <w:tc>
          <w:tcPr>
            <w:tcW w:w="1836" w:type="dxa"/>
            <w:tcBorders>
              <w:left w:val="nil"/>
            </w:tcBorders>
          </w:tcPr>
          <w:p w14:paraId="63BB6292" w14:textId="77777777" w:rsidR="00CB656D" w:rsidRPr="00CB656D" w:rsidRDefault="00CB656D" w:rsidP="00CB656D">
            <w:pPr>
              <w:pStyle w:val="TableText"/>
              <w:rPr>
                <w:szCs w:val="17"/>
              </w:rPr>
            </w:pPr>
            <w:r w:rsidRPr="00CB656D">
              <w:rPr>
                <w:szCs w:val="17"/>
              </w:rPr>
              <w:t>Liedtke 2011a</w:t>
            </w:r>
          </w:p>
        </w:tc>
      </w:tr>
      <w:tr w:rsidR="00CB656D" w:rsidRPr="000B2FA7" w14:paraId="771A6D53" w14:textId="77777777" w:rsidTr="00CB656D">
        <w:tc>
          <w:tcPr>
            <w:tcW w:w="0" w:type="auto"/>
            <w:vMerge/>
            <w:tcBorders>
              <w:right w:val="nil"/>
            </w:tcBorders>
          </w:tcPr>
          <w:p w14:paraId="628BA5C7" w14:textId="77777777" w:rsidR="00CB656D" w:rsidRPr="00CB656D" w:rsidRDefault="00CB656D" w:rsidP="00CB656D">
            <w:pPr>
              <w:pStyle w:val="TableText"/>
              <w:rPr>
                <w:szCs w:val="17"/>
              </w:rPr>
            </w:pPr>
          </w:p>
        </w:tc>
        <w:tc>
          <w:tcPr>
            <w:tcW w:w="1206" w:type="dxa"/>
            <w:tcBorders>
              <w:left w:val="nil"/>
              <w:right w:val="nil"/>
            </w:tcBorders>
          </w:tcPr>
          <w:p w14:paraId="2263B616" w14:textId="77777777" w:rsidR="00CB656D" w:rsidRPr="00CB656D" w:rsidRDefault="00CB656D" w:rsidP="00CB656D">
            <w:pPr>
              <w:pStyle w:val="TableText"/>
              <w:rPr>
                <w:szCs w:val="17"/>
              </w:rPr>
            </w:pPr>
            <w:r w:rsidRPr="00CB656D">
              <w:rPr>
                <w:szCs w:val="17"/>
              </w:rPr>
              <w:t>Algae</w:t>
            </w:r>
          </w:p>
        </w:tc>
        <w:tc>
          <w:tcPr>
            <w:tcW w:w="992" w:type="dxa"/>
            <w:tcBorders>
              <w:left w:val="nil"/>
              <w:right w:val="nil"/>
            </w:tcBorders>
          </w:tcPr>
          <w:p w14:paraId="664D27F5"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tcPr>
          <w:p w14:paraId="3902C429" w14:textId="77777777" w:rsidR="00CB656D" w:rsidRPr="00CB656D" w:rsidRDefault="00CB656D" w:rsidP="00CB656D">
            <w:pPr>
              <w:pStyle w:val="TableText"/>
              <w:rPr>
                <w:i/>
                <w:iCs/>
                <w:szCs w:val="17"/>
              </w:rPr>
            </w:pPr>
            <w:r w:rsidRPr="00CB656D">
              <w:rPr>
                <w:i/>
                <w:iCs/>
                <w:szCs w:val="17"/>
              </w:rPr>
              <w:t>P. subcapitata</w:t>
            </w:r>
          </w:p>
        </w:tc>
        <w:tc>
          <w:tcPr>
            <w:tcW w:w="2067" w:type="dxa"/>
            <w:tcBorders>
              <w:left w:val="nil"/>
              <w:right w:val="nil"/>
            </w:tcBorders>
          </w:tcPr>
          <w:p w14:paraId="3A2C30C9"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&gt;110 mg/L</w:t>
            </w:r>
          </w:p>
        </w:tc>
        <w:tc>
          <w:tcPr>
            <w:tcW w:w="1836" w:type="dxa"/>
            <w:tcBorders>
              <w:left w:val="nil"/>
            </w:tcBorders>
          </w:tcPr>
          <w:p w14:paraId="4C586B55" w14:textId="77777777" w:rsidR="00CB656D" w:rsidRPr="00CB656D" w:rsidRDefault="00CB656D" w:rsidP="00CB656D">
            <w:pPr>
              <w:pStyle w:val="TableText"/>
              <w:rPr>
                <w:szCs w:val="17"/>
              </w:rPr>
            </w:pPr>
            <w:r w:rsidRPr="00CB656D">
              <w:rPr>
                <w:szCs w:val="17"/>
              </w:rPr>
              <w:t>Liedtke 2011b</w:t>
            </w:r>
          </w:p>
        </w:tc>
      </w:tr>
      <w:tr w:rsidR="00CB656D" w:rsidRPr="000B2FA7" w14:paraId="57607BEC" w14:textId="77777777" w:rsidTr="00CB656D">
        <w:tc>
          <w:tcPr>
            <w:tcW w:w="0" w:type="auto"/>
            <w:vMerge/>
            <w:tcBorders>
              <w:right w:val="nil"/>
            </w:tcBorders>
          </w:tcPr>
          <w:p w14:paraId="4BE0F400" w14:textId="77777777" w:rsidR="00CB656D" w:rsidRPr="00CB656D" w:rsidRDefault="00CB656D" w:rsidP="00CB656D">
            <w:pPr>
              <w:pStyle w:val="TableText"/>
              <w:rPr>
                <w:szCs w:val="17"/>
              </w:rPr>
            </w:pPr>
          </w:p>
        </w:tc>
        <w:tc>
          <w:tcPr>
            <w:tcW w:w="1206" w:type="dxa"/>
            <w:tcBorders>
              <w:left w:val="nil"/>
              <w:right w:val="nil"/>
            </w:tcBorders>
          </w:tcPr>
          <w:p w14:paraId="0FFD7EBE" w14:textId="77777777" w:rsidR="00CB656D" w:rsidRPr="00CB656D" w:rsidRDefault="00CB656D" w:rsidP="00CB656D">
            <w:pPr>
              <w:pStyle w:val="TableText"/>
              <w:rPr>
                <w:szCs w:val="17"/>
              </w:rPr>
            </w:pPr>
            <w:r w:rsidRPr="00CB656D">
              <w:rPr>
                <w:szCs w:val="17"/>
              </w:rPr>
              <w:t>Aquatic plants</w:t>
            </w:r>
          </w:p>
        </w:tc>
        <w:tc>
          <w:tcPr>
            <w:tcW w:w="992" w:type="dxa"/>
            <w:tcBorders>
              <w:left w:val="nil"/>
              <w:right w:val="nil"/>
            </w:tcBorders>
          </w:tcPr>
          <w:p w14:paraId="0AF3F13B"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tcPr>
          <w:p w14:paraId="4B7A0C5F" w14:textId="77777777" w:rsidR="00CB656D" w:rsidRPr="00CB656D" w:rsidRDefault="00CB656D" w:rsidP="00CB656D">
            <w:pPr>
              <w:pStyle w:val="TableText"/>
              <w:rPr>
                <w:i/>
                <w:iCs/>
                <w:szCs w:val="17"/>
              </w:rPr>
            </w:pPr>
            <w:r w:rsidRPr="00CB656D">
              <w:rPr>
                <w:i/>
                <w:iCs/>
                <w:szCs w:val="17"/>
              </w:rPr>
              <w:t>Lemna gibba</w:t>
            </w:r>
          </w:p>
        </w:tc>
        <w:tc>
          <w:tcPr>
            <w:tcW w:w="2067" w:type="dxa"/>
            <w:tcBorders>
              <w:left w:val="nil"/>
              <w:right w:val="nil"/>
            </w:tcBorders>
          </w:tcPr>
          <w:p w14:paraId="24396B3C"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&gt;111 mg/L</w:t>
            </w:r>
          </w:p>
        </w:tc>
        <w:tc>
          <w:tcPr>
            <w:tcW w:w="1836" w:type="dxa"/>
            <w:tcBorders>
              <w:left w:val="nil"/>
            </w:tcBorders>
          </w:tcPr>
          <w:p w14:paraId="49D3A4A7" w14:textId="77777777" w:rsidR="00CB656D" w:rsidRPr="00CB656D" w:rsidRDefault="00CB656D" w:rsidP="00CB656D">
            <w:pPr>
              <w:pStyle w:val="TableText"/>
              <w:rPr>
                <w:szCs w:val="17"/>
              </w:rPr>
            </w:pPr>
            <w:r w:rsidRPr="00CB656D">
              <w:rPr>
                <w:szCs w:val="17"/>
              </w:rPr>
              <w:t>Liedtke 2011c</w:t>
            </w:r>
          </w:p>
        </w:tc>
      </w:tr>
    </w:tbl>
    <w:p w14:paraId="1527AFA0" w14:textId="469A112D" w:rsidR="00AE1794" w:rsidRPr="00247DE6" w:rsidRDefault="005B7DDF" w:rsidP="00247DE6">
      <w:pPr>
        <w:pStyle w:val="Caption"/>
      </w:pPr>
      <w:bookmarkStart w:id="488" w:name="_Ref170461499"/>
      <w:bookmarkStart w:id="489" w:name="_Toc232589643"/>
      <w:r w:rsidRPr="00247DE6">
        <w:t xml:space="preserve">Table </w:t>
      </w:r>
      <w:fldSimple w:instr=" SEQ Table \* ARABIC ">
        <w:r w:rsidR="00247DE6">
          <w:rPr>
            <w:noProof/>
          </w:rPr>
          <w:t>48</w:t>
        </w:r>
      </w:fldSimple>
      <w:bookmarkEnd w:id="488"/>
      <w:r w:rsidR="00AE1794" w:rsidRPr="00247DE6">
        <w:t>:</w:t>
      </w:r>
      <w:r w:rsidRPr="00247DE6">
        <w:t xml:space="preserve"> </w:t>
      </w:r>
      <w:r w:rsidR="00294CD3" w:rsidRPr="00247DE6">
        <w:t xml:space="preserve">Diquat – </w:t>
      </w:r>
      <w:r w:rsidR="00FB27A4" w:rsidRPr="00247DE6">
        <w:t>m</w:t>
      </w:r>
      <w:r w:rsidR="00AE1794" w:rsidRPr="00247DE6">
        <w:t>icrocosm studies on aquatic species</w:t>
      </w:r>
      <w:bookmarkEnd w:id="489"/>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98"/>
        <w:gridCol w:w="1280"/>
        <w:gridCol w:w="1437"/>
        <w:gridCol w:w="2134"/>
        <w:gridCol w:w="2314"/>
        <w:gridCol w:w="1265"/>
      </w:tblGrid>
      <w:tr w:rsidR="00AE1794" w:rsidRPr="000B2FA7" w14:paraId="17B902B8" w14:textId="77777777" w:rsidTr="00FB27A4">
        <w:trPr>
          <w:cantSplit/>
          <w:tblHeader/>
        </w:trPr>
        <w:tc>
          <w:tcPr>
            <w:tcW w:w="1198" w:type="dxa"/>
            <w:tcBorders>
              <w:right w:val="nil"/>
            </w:tcBorders>
            <w:shd w:val="clear" w:color="auto" w:fill="5C2946"/>
          </w:tcPr>
          <w:p w14:paraId="2E894626" w14:textId="77777777" w:rsidR="00AE1794" w:rsidRPr="00FB27A4" w:rsidRDefault="00AE1794" w:rsidP="00FB27A4">
            <w:pPr>
              <w:pStyle w:val="TableHead"/>
            </w:pPr>
            <w:r w:rsidRPr="00FB27A4">
              <w:t>Substance</w:t>
            </w:r>
          </w:p>
        </w:tc>
        <w:tc>
          <w:tcPr>
            <w:tcW w:w="1280" w:type="dxa"/>
            <w:tcBorders>
              <w:left w:val="nil"/>
              <w:right w:val="nil"/>
            </w:tcBorders>
            <w:shd w:val="clear" w:color="auto" w:fill="5C2946"/>
          </w:tcPr>
          <w:p w14:paraId="6354DC0C" w14:textId="77777777" w:rsidR="00AE1794" w:rsidRPr="00FB27A4" w:rsidRDefault="00AE1794" w:rsidP="00FB27A4">
            <w:pPr>
              <w:pStyle w:val="TableHead"/>
            </w:pPr>
            <w:r w:rsidRPr="00FB27A4">
              <w:t>Group</w:t>
            </w:r>
          </w:p>
        </w:tc>
        <w:tc>
          <w:tcPr>
            <w:tcW w:w="1437" w:type="dxa"/>
            <w:tcBorders>
              <w:left w:val="nil"/>
              <w:right w:val="nil"/>
            </w:tcBorders>
            <w:shd w:val="clear" w:color="auto" w:fill="5C2946"/>
          </w:tcPr>
          <w:p w14:paraId="498A93B2" w14:textId="77777777" w:rsidR="00AE1794" w:rsidRPr="00FB27A4" w:rsidRDefault="00AE1794" w:rsidP="00FB27A4">
            <w:pPr>
              <w:pStyle w:val="TableHead"/>
            </w:pPr>
            <w:r w:rsidRPr="00FB27A4">
              <w:t>Exposure</w:t>
            </w:r>
          </w:p>
        </w:tc>
        <w:tc>
          <w:tcPr>
            <w:tcW w:w="2134" w:type="dxa"/>
            <w:tcBorders>
              <w:left w:val="nil"/>
              <w:right w:val="nil"/>
            </w:tcBorders>
            <w:shd w:val="clear" w:color="auto" w:fill="5C2946"/>
          </w:tcPr>
          <w:p w14:paraId="6450FD9C" w14:textId="77777777" w:rsidR="00AE1794" w:rsidRPr="00FB27A4" w:rsidRDefault="00AE1794" w:rsidP="00FB27A4">
            <w:pPr>
              <w:pStyle w:val="TableHead"/>
            </w:pPr>
            <w:r w:rsidRPr="00FB27A4">
              <w:t>Species</w:t>
            </w:r>
          </w:p>
        </w:tc>
        <w:tc>
          <w:tcPr>
            <w:tcW w:w="2314" w:type="dxa"/>
            <w:tcBorders>
              <w:left w:val="nil"/>
              <w:right w:val="nil"/>
            </w:tcBorders>
            <w:shd w:val="clear" w:color="auto" w:fill="5C2946"/>
          </w:tcPr>
          <w:p w14:paraId="121E43BC" w14:textId="3751B80B" w:rsidR="00AE1794" w:rsidRPr="00FB27A4" w:rsidRDefault="00AE1794" w:rsidP="00FB27A4">
            <w:pPr>
              <w:pStyle w:val="TableHead"/>
            </w:pPr>
            <w:r w:rsidRPr="00FB27A4">
              <w:t>ER</w:t>
            </w:r>
            <w:r w:rsidRPr="00FB27A4">
              <w:rPr>
                <w:vertAlign w:val="subscript"/>
              </w:rPr>
              <w:t>50</w:t>
            </w:r>
            <w:r w:rsidRPr="00FB27A4">
              <w:t xml:space="preserve"> or EC</w:t>
            </w:r>
            <w:r w:rsidRPr="00FB27A4">
              <w:rPr>
                <w:vertAlign w:val="subscript"/>
              </w:rPr>
              <w:t>50</w:t>
            </w:r>
          </w:p>
        </w:tc>
        <w:tc>
          <w:tcPr>
            <w:tcW w:w="1265" w:type="dxa"/>
            <w:tcBorders>
              <w:left w:val="nil"/>
            </w:tcBorders>
            <w:shd w:val="clear" w:color="auto" w:fill="5C2946"/>
          </w:tcPr>
          <w:p w14:paraId="2E1932A7" w14:textId="77777777" w:rsidR="00AE1794" w:rsidRPr="00FB27A4" w:rsidRDefault="00AE1794" w:rsidP="00FB27A4">
            <w:pPr>
              <w:pStyle w:val="TableHead"/>
            </w:pPr>
            <w:r w:rsidRPr="00FB27A4">
              <w:t>Reference</w:t>
            </w:r>
          </w:p>
        </w:tc>
      </w:tr>
      <w:tr w:rsidR="00FB27A4" w:rsidRPr="000B2FA7" w14:paraId="24A0E39C" w14:textId="77777777" w:rsidTr="00FB27A4">
        <w:tc>
          <w:tcPr>
            <w:tcW w:w="1198" w:type="dxa"/>
            <w:vMerge w:val="restart"/>
            <w:tcBorders>
              <w:right w:val="nil"/>
            </w:tcBorders>
          </w:tcPr>
          <w:p w14:paraId="2FA9FC5A" w14:textId="77777777" w:rsidR="00FB27A4" w:rsidRPr="00FB27A4" w:rsidRDefault="00FB27A4" w:rsidP="00FB27A4">
            <w:pPr>
              <w:pStyle w:val="TableText"/>
            </w:pPr>
            <w:r w:rsidRPr="00FB27A4">
              <w:t>EC 240 g/L</w:t>
            </w:r>
          </w:p>
        </w:tc>
        <w:tc>
          <w:tcPr>
            <w:tcW w:w="1280" w:type="dxa"/>
            <w:vMerge w:val="restart"/>
            <w:tcBorders>
              <w:left w:val="nil"/>
              <w:right w:val="nil"/>
            </w:tcBorders>
          </w:tcPr>
          <w:p w14:paraId="2742C251" w14:textId="77777777" w:rsidR="00FB27A4" w:rsidRPr="00FB27A4" w:rsidRDefault="00FB27A4" w:rsidP="00FB27A4">
            <w:pPr>
              <w:pStyle w:val="TableText"/>
            </w:pPr>
            <w:r w:rsidRPr="00FB27A4">
              <w:t>Aquatic plants</w:t>
            </w:r>
          </w:p>
        </w:tc>
        <w:tc>
          <w:tcPr>
            <w:tcW w:w="1437" w:type="dxa"/>
            <w:tcBorders>
              <w:left w:val="nil"/>
              <w:right w:val="nil"/>
            </w:tcBorders>
          </w:tcPr>
          <w:p w14:paraId="47256B0D" w14:textId="77777777" w:rsidR="00FB27A4" w:rsidRPr="00FB27A4" w:rsidRDefault="00FB27A4" w:rsidP="00FB27A4">
            <w:pPr>
              <w:pStyle w:val="TableText"/>
            </w:pPr>
            <w:r w:rsidRPr="00FB27A4">
              <w:t>Spray application</w:t>
            </w:r>
          </w:p>
        </w:tc>
        <w:tc>
          <w:tcPr>
            <w:tcW w:w="2134" w:type="dxa"/>
            <w:tcBorders>
              <w:left w:val="nil"/>
              <w:right w:val="nil"/>
            </w:tcBorders>
          </w:tcPr>
          <w:p w14:paraId="0188B276" w14:textId="77777777" w:rsidR="00FB27A4" w:rsidRPr="00514EF5" w:rsidRDefault="00FB27A4" w:rsidP="00FB27A4">
            <w:pPr>
              <w:pStyle w:val="TableText"/>
              <w:rPr>
                <w:i/>
                <w:iCs/>
              </w:rPr>
            </w:pPr>
            <w:r w:rsidRPr="00514EF5">
              <w:rPr>
                <w:i/>
                <w:iCs/>
              </w:rPr>
              <w:t>Spirodela punctata</w:t>
            </w:r>
          </w:p>
          <w:p w14:paraId="7432F915" w14:textId="77777777" w:rsidR="00FB27A4" w:rsidRPr="00514EF5" w:rsidRDefault="00FB27A4" w:rsidP="00FB27A4">
            <w:pPr>
              <w:pStyle w:val="TableText"/>
              <w:rPr>
                <w:i/>
                <w:iCs/>
              </w:rPr>
            </w:pPr>
            <w:r w:rsidRPr="00514EF5">
              <w:rPr>
                <w:i/>
                <w:iCs/>
              </w:rPr>
              <w:t>Eichhornia crassipes</w:t>
            </w:r>
          </w:p>
          <w:p w14:paraId="628A9EE0" w14:textId="77777777" w:rsidR="00FB27A4" w:rsidRPr="00514EF5" w:rsidRDefault="00FB27A4" w:rsidP="00FB27A4">
            <w:pPr>
              <w:pStyle w:val="TableText"/>
              <w:rPr>
                <w:i/>
                <w:iCs/>
              </w:rPr>
            </w:pPr>
            <w:r w:rsidRPr="00514EF5">
              <w:rPr>
                <w:i/>
                <w:iCs/>
              </w:rPr>
              <w:t>Azolla caroliniana</w:t>
            </w:r>
          </w:p>
          <w:p w14:paraId="7AFDF3AE" w14:textId="77777777" w:rsidR="00FB27A4" w:rsidRPr="00514EF5" w:rsidRDefault="00FB27A4" w:rsidP="00FB27A4">
            <w:pPr>
              <w:pStyle w:val="TableText"/>
              <w:rPr>
                <w:i/>
                <w:iCs/>
              </w:rPr>
            </w:pPr>
            <w:r w:rsidRPr="00514EF5">
              <w:rPr>
                <w:i/>
                <w:iCs/>
              </w:rPr>
              <w:t>Pistia stratiotes</w:t>
            </w:r>
          </w:p>
          <w:p w14:paraId="7B7A4129" w14:textId="77777777" w:rsidR="00FB27A4" w:rsidRPr="00514EF5" w:rsidRDefault="00FB27A4" w:rsidP="00FB27A4">
            <w:pPr>
              <w:pStyle w:val="TableText"/>
              <w:rPr>
                <w:i/>
                <w:iCs/>
              </w:rPr>
            </w:pPr>
            <w:r w:rsidRPr="00514EF5">
              <w:rPr>
                <w:i/>
                <w:iCs/>
              </w:rPr>
              <w:t>Pteridium aquilinum</w:t>
            </w:r>
          </w:p>
          <w:p w14:paraId="1C22B1EA" w14:textId="77777777" w:rsidR="00FB27A4" w:rsidRPr="00514EF5" w:rsidRDefault="00FB27A4" w:rsidP="00FB27A4">
            <w:pPr>
              <w:pStyle w:val="TableText"/>
              <w:rPr>
                <w:i/>
                <w:iCs/>
              </w:rPr>
            </w:pPr>
            <w:r w:rsidRPr="00514EF5">
              <w:rPr>
                <w:i/>
                <w:iCs/>
              </w:rPr>
              <w:t>Brasenia schreberi</w:t>
            </w:r>
          </w:p>
          <w:p w14:paraId="7A1026C3" w14:textId="77777777" w:rsidR="00FB27A4" w:rsidRPr="00514EF5" w:rsidRDefault="00FB27A4" w:rsidP="00FB27A4">
            <w:pPr>
              <w:pStyle w:val="TableText"/>
              <w:rPr>
                <w:i/>
                <w:iCs/>
              </w:rPr>
            </w:pPr>
            <w:r w:rsidRPr="00514EF5">
              <w:rPr>
                <w:i/>
                <w:iCs/>
              </w:rPr>
              <w:t>Panicum repens</w:t>
            </w:r>
          </w:p>
          <w:p w14:paraId="58ABEEFD" w14:textId="77777777" w:rsidR="00FB27A4" w:rsidRPr="00FB27A4" w:rsidRDefault="00FB27A4" w:rsidP="00FB27A4">
            <w:pPr>
              <w:pStyle w:val="TableText"/>
            </w:pPr>
            <w:r w:rsidRPr="00514EF5">
              <w:rPr>
                <w:i/>
                <w:iCs/>
              </w:rPr>
              <w:t>Paspalum notatum</w:t>
            </w:r>
          </w:p>
        </w:tc>
        <w:tc>
          <w:tcPr>
            <w:tcW w:w="2314" w:type="dxa"/>
            <w:tcBorders>
              <w:left w:val="nil"/>
              <w:right w:val="nil"/>
            </w:tcBorders>
          </w:tcPr>
          <w:p w14:paraId="56FC4C55" w14:textId="77777777" w:rsidR="00FB27A4" w:rsidRPr="00FB27A4" w:rsidRDefault="00FB27A4" w:rsidP="00FB27A4">
            <w:pPr>
              <w:pStyle w:val="TableText"/>
            </w:pPr>
            <w:r w:rsidRPr="00FB27A4">
              <w:t>3.5 g ac/ha</w:t>
            </w:r>
          </w:p>
          <w:p w14:paraId="28092C5A" w14:textId="77777777" w:rsidR="00FB27A4" w:rsidRPr="00FB27A4" w:rsidRDefault="00FB27A4" w:rsidP="00FB27A4">
            <w:pPr>
              <w:pStyle w:val="TableText"/>
            </w:pPr>
            <w:r w:rsidRPr="00FB27A4">
              <w:t>26 g ac/ha</w:t>
            </w:r>
          </w:p>
          <w:p w14:paraId="02F73983" w14:textId="77777777" w:rsidR="00FB27A4" w:rsidRPr="00FB27A4" w:rsidRDefault="00FB27A4" w:rsidP="00FB27A4">
            <w:pPr>
              <w:pStyle w:val="TableText"/>
            </w:pPr>
            <w:r w:rsidRPr="00FB27A4">
              <w:t>48 g ac/ha</w:t>
            </w:r>
          </w:p>
          <w:p w14:paraId="61660EA2" w14:textId="77777777" w:rsidR="00FB27A4" w:rsidRPr="00FB27A4" w:rsidRDefault="00FB27A4" w:rsidP="00FB27A4">
            <w:pPr>
              <w:pStyle w:val="TableText"/>
            </w:pPr>
            <w:r w:rsidRPr="00FB27A4">
              <w:t>125 g ac/ha</w:t>
            </w:r>
          </w:p>
          <w:p w14:paraId="234C57F7" w14:textId="77777777" w:rsidR="00FB27A4" w:rsidRPr="00FB27A4" w:rsidRDefault="00FB27A4" w:rsidP="00FB27A4">
            <w:pPr>
              <w:pStyle w:val="TableText"/>
            </w:pPr>
            <w:r w:rsidRPr="00FB27A4">
              <w:t>336 g ac/ha</w:t>
            </w:r>
          </w:p>
          <w:p w14:paraId="42D7538E" w14:textId="77777777" w:rsidR="00FB27A4" w:rsidRPr="00FB27A4" w:rsidRDefault="00FB27A4" w:rsidP="00FB27A4">
            <w:pPr>
              <w:pStyle w:val="TableText"/>
            </w:pPr>
            <w:r w:rsidRPr="00FB27A4">
              <w:t>3504 g ac/ha</w:t>
            </w:r>
          </w:p>
          <w:p w14:paraId="59AD4A99" w14:textId="77777777" w:rsidR="00FB27A4" w:rsidRPr="00FB27A4" w:rsidRDefault="00FB27A4" w:rsidP="00FB27A4">
            <w:pPr>
              <w:pStyle w:val="TableText"/>
            </w:pPr>
            <w:r w:rsidRPr="00FB27A4">
              <w:t>3552 g ac/ha</w:t>
            </w:r>
          </w:p>
          <w:p w14:paraId="6813AB84" w14:textId="77777777" w:rsidR="00FB27A4" w:rsidRPr="00FB27A4" w:rsidRDefault="00FB27A4" w:rsidP="00FB27A4">
            <w:pPr>
              <w:pStyle w:val="TableText"/>
            </w:pPr>
            <w:r w:rsidRPr="00FB27A4">
              <w:t>14064 g ac/ha</w:t>
            </w:r>
          </w:p>
        </w:tc>
        <w:tc>
          <w:tcPr>
            <w:tcW w:w="1265" w:type="dxa"/>
            <w:tcBorders>
              <w:left w:val="nil"/>
            </w:tcBorders>
          </w:tcPr>
          <w:p w14:paraId="55A7E249" w14:textId="77777777" w:rsidR="00FB27A4" w:rsidRPr="00FB27A4" w:rsidRDefault="00FB27A4" w:rsidP="00FB27A4">
            <w:pPr>
              <w:pStyle w:val="TableText"/>
            </w:pPr>
            <w:r w:rsidRPr="00FB27A4">
              <w:t>Bellet 1990a</w:t>
            </w:r>
          </w:p>
        </w:tc>
      </w:tr>
      <w:tr w:rsidR="00FB27A4" w:rsidRPr="000B2FA7" w14:paraId="6E2BBF01" w14:textId="77777777" w:rsidTr="00FB27A4">
        <w:tc>
          <w:tcPr>
            <w:tcW w:w="1198" w:type="dxa"/>
            <w:vMerge/>
            <w:tcBorders>
              <w:right w:val="nil"/>
            </w:tcBorders>
          </w:tcPr>
          <w:p w14:paraId="4B48B063" w14:textId="77777777" w:rsidR="00FB27A4" w:rsidRPr="00FB27A4" w:rsidRDefault="00FB27A4" w:rsidP="00FB27A4">
            <w:pPr>
              <w:pStyle w:val="TableText"/>
            </w:pPr>
          </w:p>
        </w:tc>
        <w:tc>
          <w:tcPr>
            <w:tcW w:w="1280" w:type="dxa"/>
            <w:vMerge/>
            <w:tcBorders>
              <w:left w:val="nil"/>
              <w:right w:val="nil"/>
            </w:tcBorders>
          </w:tcPr>
          <w:p w14:paraId="3EA3A234" w14:textId="77777777" w:rsidR="00FB27A4" w:rsidRPr="00FB27A4" w:rsidRDefault="00FB27A4" w:rsidP="00FB27A4">
            <w:pPr>
              <w:pStyle w:val="TableText"/>
            </w:pPr>
          </w:p>
        </w:tc>
        <w:tc>
          <w:tcPr>
            <w:tcW w:w="1437" w:type="dxa"/>
            <w:tcBorders>
              <w:left w:val="nil"/>
              <w:right w:val="nil"/>
            </w:tcBorders>
          </w:tcPr>
          <w:p w14:paraId="26926F5F" w14:textId="77777777" w:rsidR="00FB27A4" w:rsidRPr="00FB27A4" w:rsidRDefault="00FB27A4" w:rsidP="00FB27A4">
            <w:pPr>
              <w:pStyle w:val="TableText"/>
            </w:pPr>
            <w:r w:rsidRPr="00FB27A4">
              <w:t>Water-injection application</w:t>
            </w:r>
          </w:p>
        </w:tc>
        <w:tc>
          <w:tcPr>
            <w:tcW w:w="2134" w:type="dxa"/>
            <w:tcBorders>
              <w:left w:val="nil"/>
              <w:right w:val="nil"/>
            </w:tcBorders>
          </w:tcPr>
          <w:p w14:paraId="5AC7581E" w14:textId="77777777" w:rsidR="00FB27A4" w:rsidRPr="00514EF5" w:rsidRDefault="00FB27A4" w:rsidP="00FB27A4">
            <w:pPr>
              <w:pStyle w:val="TableText"/>
              <w:rPr>
                <w:i/>
                <w:iCs/>
              </w:rPr>
            </w:pPr>
            <w:r w:rsidRPr="00514EF5">
              <w:rPr>
                <w:i/>
                <w:iCs/>
              </w:rPr>
              <w:t>Spirodela punctata</w:t>
            </w:r>
          </w:p>
          <w:p w14:paraId="2C8C511D" w14:textId="77777777" w:rsidR="00FB27A4" w:rsidRPr="00514EF5" w:rsidRDefault="00FB27A4" w:rsidP="00FB27A4">
            <w:pPr>
              <w:pStyle w:val="TableText"/>
              <w:rPr>
                <w:i/>
                <w:iCs/>
              </w:rPr>
            </w:pPr>
            <w:r w:rsidRPr="00514EF5">
              <w:rPr>
                <w:i/>
                <w:iCs/>
              </w:rPr>
              <w:t>Hydrilla verticillate</w:t>
            </w:r>
          </w:p>
          <w:p w14:paraId="1E1093B0" w14:textId="77777777" w:rsidR="00FB27A4" w:rsidRPr="00514EF5" w:rsidRDefault="00FB27A4" w:rsidP="00FB27A4">
            <w:pPr>
              <w:pStyle w:val="TableText"/>
              <w:rPr>
                <w:i/>
                <w:iCs/>
              </w:rPr>
            </w:pPr>
            <w:r w:rsidRPr="00514EF5">
              <w:rPr>
                <w:i/>
                <w:iCs/>
              </w:rPr>
              <w:t>Azolla caroliniana</w:t>
            </w:r>
          </w:p>
          <w:p w14:paraId="7CFE8BB8" w14:textId="77777777" w:rsidR="00FB27A4" w:rsidRPr="00514EF5" w:rsidRDefault="00FB27A4" w:rsidP="00FB27A4">
            <w:pPr>
              <w:pStyle w:val="TableText"/>
              <w:rPr>
                <w:i/>
                <w:iCs/>
              </w:rPr>
            </w:pPr>
            <w:r w:rsidRPr="00514EF5">
              <w:rPr>
                <w:i/>
                <w:iCs/>
              </w:rPr>
              <w:t>Eichhornia crassipes</w:t>
            </w:r>
          </w:p>
          <w:p w14:paraId="4C43084E" w14:textId="77777777" w:rsidR="00FB27A4" w:rsidRPr="00514EF5" w:rsidRDefault="00FB27A4" w:rsidP="00FB27A4">
            <w:pPr>
              <w:pStyle w:val="TableText"/>
              <w:rPr>
                <w:i/>
                <w:iCs/>
              </w:rPr>
            </w:pPr>
            <w:r w:rsidRPr="00514EF5">
              <w:rPr>
                <w:i/>
                <w:iCs/>
              </w:rPr>
              <w:t>Pistia stratiotes</w:t>
            </w:r>
          </w:p>
          <w:p w14:paraId="42A278EB" w14:textId="77777777" w:rsidR="00FB27A4" w:rsidRPr="00FB27A4" w:rsidRDefault="00FB27A4" w:rsidP="00FB27A4">
            <w:pPr>
              <w:pStyle w:val="TableText"/>
            </w:pPr>
            <w:r w:rsidRPr="00514EF5">
              <w:rPr>
                <w:i/>
                <w:iCs/>
              </w:rPr>
              <w:t>Panicum repens</w:t>
            </w:r>
          </w:p>
        </w:tc>
        <w:tc>
          <w:tcPr>
            <w:tcW w:w="2314" w:type="dxa"/>
            <w:tcBorders>
              <w:left w:val="nil"/>
              <w:right w:val="nil"/>
            </w:tcBorders>
          </w:tcPr>
          <w:p w14:paraId="6E05AE61" w14:textId="77777777" w:rsidR="00FB27A4" w:rsidRPr="00FB27A4" w:rsidRDefault="00FB27A4" w:rsidP="00FB27A4">
            <w:pPr>
              <w:pStyle w:val="TableText"/>
            </w:pPr>
            <w:r w:rsidRPr="00FB27A4">
              <w:t>3.1 µg ac/L</w:t>
            </w:r>
          </w:p>
          <w:p w14:paraId="6AFFA55D" w14:textId="77777777" w:rsidR="00FB27A4" w:rsidRPr="00FB27A4" w:rsidRDefault="00FB27A4" w:rsidP="00FB27A4">
            <w:pPr>
              <w:pStyle w:val="TableText"/>
            </w:pPr>
            <w:r w:rsidRPr="00FB27A4">
              <w:t>60 µg ac/L</w:t>
            </w:r>
          </w:p>
          <w:p w14:paraId="6C77D0CD" w14:textId="77777777" w:rsidR="00FB27A4" w:rsidRPr="00FB27A4" w:rsidRDefault="00FB27A4" w:rsidP="00FB27A4">
            <w:pPr>
              <w:pStyle w:val="TableText"/>
            </w:pPr>
            <w:r w:rsidRPr="00FB27A4">
              <w:t>80 µg ac/L</w:t>
            </w:r>
          </w:p>
          <w:p w14:paraId="4B923797" w14:textId="77777777" w:rsidR="00FB27A4" w:rsidRPr="00FB27A4" w:rsidRDefault="00FB27A4" w:rsidP="00FB27A4">
            <w:pPr>
              <w:pStyle w:val="TableText"/>
            </w:pPr>
            <w:r w:rsidRPr="00FB27A4">
              <w:t>90 µg ac/L</w:t>
            </w:r>
          </w:p>
          <w:p w14:paraId="436B8415" w14:textId="77777777" w:rsidR="00FB27A4" w:rsidRPr="00FB27A4" w:rsidRDefault="00FB27A4" w:rsidP="00FB27A4">
            <w:pPr>
              <w:pStyle w:val="TableText"/>
            </w:pPr>
            <w:r w:rsidRPr="00FB27A4">
              <w:t>90 µg ac/L</w:t>
            </w:r>
          </w:p>
          <w:p w14:paraId="0EB6E682" w14:textId="77777777" w:rsidR="00FB27A4" w:rsidRPr="00FB27A4" w:rsidRDefault="00FB27A4" w:rsidP="00FB27A4">
            <w:pPr>
              <w:pStyle w:val="TableText"/>
            </w:pPr>
            <w:r w:rsidRPr="00FB27A4">
              <w:t xml:space="preserve">15900 µg ac/L </w:t>
            </w:r>
          </w:p>
        </w:tc>
        <w:tc>
          <w:tcPr>
            <w:tcW w:w="1265" w:type="dxa"/>
            <w:tcBorders>
              <w:left w:val="nil"/>
            </w:tcBorders>
          </w:tcPr>
          <w:p w14:paraId="19B5CAA4" w14:textId="77777777" w:rsidR="00FB27A4" w:rsidRPr="00FB27A4" w:rsidRDefault="00FB27A4" w:rsidP="00FB27A4">
            <w:pPr>
              <w:pStyle w:val="TableText"/>
            </w:pPr>
            <w:r w:rsidRPr="00FB27A4">
              <w:t>Bellet 1990a</w:t>
            </w:r>
          </w:p>
        </w:tc>
      </w:tr>
    </w:tbl>
    <w:p w14:paraId="69B2B49E" w14:textId="07297933" w:rsidR="00AE1794" w:rsidRPr="00247DE6" w:rsidRDefault="005B7DDF" w:rsidP="00247DE6">
      <w:pPr>
        <w:pStyle w:val="Caption"/>
      </w:pPr>
      <w:bookmarkStart w:id="490" w:name="_Toc232589644"/>
      <w:r w:rsidRPr="00247DE6">
        <w:lastRenderedPageBreak/>
        <w:t xml:space="preserve">Table </w:t>
      </w:r>
      <w:fldSimple w:instr=" SEQ Table \* ARABIC ">
        <w:r w:rsidR="00247DE6">
          <w:rPr>
            <w:noProof/>
          </w:rPr>
          <w:t>49</w:t>
        </w:r>
      </w:fldSimple>
      <w:r w:rsidRPr="00247DE6">
        <w:t xml:space="preserve">: </w:t>
      </w:r>
      <w:r w:rsidR="00294CD3" w:rsidRPr="00247DE6">
        <w:t xml:space="preserve">Diquat – </w:t>
      </w:r>
      <w:r w:rsidR="00FB27A4" w:rsidRPr="00247DE6">
        <w:t>e</w:t>
      </w:r>
      <w:r w:rsidR="00AE1794" w:rsidRPr="00247DE6">
        <w:t>ffects on bees</w:t>
      </w:r>
      <w:bookmarkEnd w:id="490"/>
    </w:p>
    <w:tbl>
      <w:tblPr>
        <w:tblW w:w="5000" w:type="pct"/>
        <w:tblCellMar>
          <w:top w:w="57" w:type="dxa"/>
          <w:left w:w="57" w:type="dxa"/>
          <w:bottom w:w="57" w:type="dxa"/>
          <w:right w:w="57" w:type="dxa"/>
        </w:tblCellMar>
        <w:tblLook w:val="04A0" w:firstRow="1" w:lastRow="0" w:firstColumn="1" w:lastColumn="0" w:noHBand="0" w:noVBand="1"/>
      </w:tblPr>
      <w:tblGrid>
        <w:gridCol w:w="1659"/>
        <w:gridCol w:w="1490"/>
        <w:gridCol w:w="1135"/>
        <w:gridCol w:w="1494"/>
        <w:gridCol w:w="2065"/>
        <w:gridCol w:w="1909"/>
      </w:tblGrid>
      <w:tr w:rsidR="009D0B81" w:rsidRPr="000B2FA7" w14:paraId="634B57F1" w14:textId="77777777" w:rsidTr="003C297B">
        <w:trPr>
          <w:trHeight w:val="231"/>
          <w:tblHeader/>
        </w:trPr>
        <w:tc>
          <w:tcPr>
            <w:tcW w:w="850" w:type="pct"/>
            <w:tcBorders>
              <w:top w:val="single" w:sz="4" w:space="0" w:color="auto"/>
              <w:bottom w:val="single" w:sz="4" w:space="0" w:color="auto"/>
            </w:tcBorders>
            <w:shd w:val="clear" w:color="auto" w:fill="5C2946"/>
          </w:tcPr>
          <w:p w14:paraId="07C80D8F" w14:textId="77777777" w:rsidR="00AE1794" w:rsidRPr="003C297B" w:rsidRDefault="00AE1794" w:rsidP="003C297B">
            <w:pPr>
              <w:pStyle w:val="TableHead"/>
            </w:pPr>
            <w:r w:rsidRPr="003C297B">
              <w:t>Test substance</w:t>
            </w:r>
          </w:p>
        </w:tc>
        <w:tc>
          <w:tcPr>
            <w:tcW w:w="764" w:type="pct"/>
            <w:tcBorders>
              <w:top w:val="single" w:sz="4" w:space="0" w:color="auto"/>
              <w:bottom w:val="single" w:sz="4" w:space="0" w:color="auto"/>
            </w:tcBorders>
            <w:shd w:val="clear" w:color="auto" w:fill="5C2946"/>
          </w:tcPr>
          <w:p w14:paraId="20BCD99A" w14:textId="77777777" w:rsidR="00AE1794" w:rsidRPr="003C297B" w:rsidRDefault="00AE1794" w:rsidP="003C297B">
            <w:pPr>
              <w:pStyle w:val="TableHead"/>
            </w:pPr>
            <w:r w:rsidRPr="003C297B">
              <w:t>Species</w:t>
            </w:r>
          </w:p>
        </w:tc>
        <w:tc>
          <w:tcPr>
            <w:tcW w:w="582" w:type="pct"/>
            <w:tcBorders>
              <w:top w:val="single" w:sz="4" w:space="0" w:color="auto"/>
              <w:bottom w:val="single" w:sz="4" w:space="0" w:color="auto"/>
            </w:tcBorders>
            <w:shd w:val="clear" w:color="auto" w:fill="5C2946"/>
          </w:tcPr>
          <w:p w14:paraId="07F4BAB2" w14:textId="77777777" w:rsidR="00AE1794" w:rsidRPr="003C297B" w:rsidRDefault="00AE1794" w:rsidP="003C297B">
            <w:pPr>
              <w:pStyle w:val="TableHead"/>
            </w:pPr>
            <w:r w:rsidRPr="003C297B">
              <w:t>Life stage</w:t>
            </w:r>
          </w:p>
        </w:tc>
        <w:tc>
          <w:tcPr>
            <w:tcW w:w="766" w:type="pct"/>
            <w:tcBorders>
              <w:top w:val="single" w:sz="4" w:space="0" w:color="auto"/>
              <w:bottom w:val="single" w:sz="4" w:space="0" w:color="auto"/>
            </w:tcBorders>
            <w:shd w:val="clear" w:color="auto" w:fill="5C2946"/>
          </w:tcPr>
          <w:p w14:paraId="52AAF8A8" w14:textId="77777777" w:rsidR="00AE1794" w:rsidRPr="003C297B" w:rsidRDefault="00AE1794" w:rsidP="003C297B">
            <w:pPr>
              <w:pStyle w:val="TableHead"/>
            </w:pPr>
            <w:r w:rsidRPr="003C297B">
              <w:t>Exposure</w:t>
            </w:r>
          </w:p>
        </w:tc>
        <w:tc>
          <w:tcPr>
            <w:tcW w:w="1059" w:type="pct"/>
            <w:tcBorders>
              <w:top w:val="single" w:sz="4" w:space="0" w:color="auto"/>
              <w:bottom w:val="single" w:sz="4" w:space="0" w:color="auto"/>
            </w:tcBorders>
            <w:shd w:val="clear" w:color="auto" w:fill="5C2946"/>
          </w:tcPr>
          <w:p w14:paraId="04123581" w14:textId="77777777" w:rsidR="00AE1794" w:rsidRPr="003C297B" w:rsidRDefault="00AE1794" w:rsidP="003C297B">
            <w:pPr>
              <w:pStyle w:val="TableHead"/>
            </w:pPr>
            <w:r w:rsidRPr="003C297B">
              <w:t>Toxicity value</w:t>
            </w:r>
          </w:p>
        </w:tc>
        <w:tc>
          <w:tcPr>
            <w:tcW w:w="980" w:type="pct"/>
            <w:tcBorders>
              <w:top w:val="single" w:sz="4" w:space="0" w:color="auto"/>
              <w:bottom w:val="single" w:sz="4" w:space="0" w:color="auto"/>
            </w:tcBorders>
            <w:shd w:val="clear" w:color="auto" w:fill="5C2946"/>
          </w:tcPr>
          <w:p w14:paraId="499B3BA0" w14:textId="77777777" w:rsidR="00AE1794" w:rsidRPr="003C297B" w:rsidRDefault="00AE1794" w:rsidP="003C297B">
            <w:pPr>
              <w:pStyle w:val="TableHead"/>
            </w:pPr>
            <w:r w:rsidRPr="003C297B">
              <w:t>Reference</w:t>
            </w:r>
          </w:p>
        </w:tc>
      </w:tr>
      <w:tr w:rsidR="003C297B" w:rsidRPr="000B2FA7" w14:paraId="4AB2712D" w14:textId="77777777" w:rsidTr="003C297B">
        <w:tc>
          <w:tcPr>
            <w:tcW w:w="850" w:type="pct"/>
            <w:vMerge w:val="restart"/>
            <w:tcBorders>
              <w:top w:val="single" w:sz="4" w:space="0" w:color="auto"/>
              <w:bottom w:val="single" w:sz="4" w:space="0" w:color="auto"/>
            </w:tcBorders>
          </w:tcPr>
          <w:p w14:paraId="5C79AB31" w14:textId="77777777" w:rsidR="003C297B" w:rsidRPr="003C297B" w:rsidRDefault="003C297B" w:rsidP="003C297B">
            <w:pPr>
              <w:pStyle w:val="TableText"/>
            </w:pPr>
            <w:r w:rsidRPr="003C297B">
              <w:t>SL 200 g/L</w:t>
            </w:r>
          </w:p>
        </w:tc>
        <w:tc>
          <w:tcPr>
            <w:tcW w:w="764" w:type="pct"/>
            <w:vMerge w:val="restart"/>
            <w:tcBorders>
              <w:top w:val="single" w:sz="4" w:space="0" w:color="auto"/>
              <w:bottom w:val="single" w:sz="4" w:space="0" w:color="auto"/>
            </w:tcBorders>
          </w:tcPr>
          <w:p w14:paraId="42A94D31" w14:textId="77777777" w:rsidR="003C297B" w:rsidRPr="003C297B" w:rsidRDefault="003C297B" w:rsidP="003C297B">
            <w:pPr>
              <w:pStyle w:val="TableText"/>
            </w:pPr>
            <w:r w:rsidRPr="003C297B">
              <w:t>Apis mellifera</w:t>
            </w:r>
          </w:p>
        </w:tc>
        <w:tc>
          <w:tcPr>
            <w:tcW w:w="582" w:type="pct"/>
            <w:vMerge w:val="restart"/>
            <w:tcBorders>
              <w:top w:val="single" w:sz="4" w:space="0" w:color="auto"/>
              <w:bottom w:val="single" w:sz="4" w:space="0" w:color="auto"/>
            </w:tcBorders>
          </w:tcPr>
          <w:p w14:paraId="74033B32" w14:textId="77777777" w:rsidR="003C297B" w:rsidRPr="003C297B" w:rsidRDefault="003C297B" w:rsidP="003C297B">
            <w:pPr>
              <w:pStyle w:val="TableText"/>
            </w:pPr>
            <w:r w:rsidRPr="003C297B">
              <w:t>Adult</w:t>
            </w:r>
          </w:p>
        </w:tc>
        <w:tc>
          <w:tcPr>
            <w:tcW w:w="766" w:type="pct"/>
            <w:tcBorders>
              <w:top w:val="single" w:sz="4" w:space="0" w:color="auto"/>
              <w:bottom w:val="single" w:sz="4" w:space="0" w:color="auto"/>
            </w:tcBorders>
          </w:tcPr>
          <w:p w14:paraId="3B02EAAB" w14:textId="77777777" w:rsidR="003C297B" w:rsidRPr="003C297B" w:rsidRDefault="003C297B" w:rsidP="003C297B">
            <w:pPr>
              <w:pStyle w:val="TableText"/>
            </w:pPr>
            <w:r w:rsidRPr="003C297B">
              <w:t>Acute contact</w:t>
            </w:r>
          </w:p>
        </w:tc>
        <w:tc>
          <w:tcPr>
            <w:tcW w:w="1059" w:type="pct"/>
            <w:tcBorders>
              <w:top w:val="single" w:sz="4" w:space="0" w:color="auto"/>
              <w:bottom w:val="single" w:sz="4" w:space="0" w:color="auto"/>
            </w:tcBorders>
          </w:tcPr>
          <w:p w14:paraId="79F1858C" w14:textId="77777777" w:rsidR="003C297B" w:rsidRPr="003C297B" w:rsidRDefault="003C297B" w:rsidP="003C297B">
            <w:pPr>
              <w:pStyle w:val="TableText"/>
            </w:pPr>
            <w:r w:rsidRPr="003C297B">
              <w:t>LD50 105 µg ac/bee</w:t>
            </w:r>
          </w:p>
        </w:tc>
        <w:tc>
          <w:tcPr>
            <w:tcW w:w="980" w:type="pct"/>
            <w:tcBorders>
              <w:top w:val="single" w:sz="4" w:space="0" w:color="auto"/>
              <w:bottom w:val="single" w:sz="4" w:space="0" w:color="auto"/>
            </w:tcBorders>
          </w:tcPr>
          <w:p w14:paraId="419D4D7C" w14:textId="77777777" w:rsidR="003C297B" w:rsidRPr="003C297B" w:rsidRDefault="003C297B" w:rsidP="003C297B">
            <w:pPr>
              <w:pStyle w:val="TableText"/>
            </w:pPr>
            <w:r w:rsidRPr="003C297B">
              <w:t>Gough et al. 1987</w:t>
            </w:r>
          </w:p>
        </w:tc>
      </w:tr>
      <w:tr w:rsidR="003C297B" w:rsidRPr="000B2FA7" w14:paraId="30B9827E" w14:textId="77777777" w:rsidTr="003C297B">
        <w:tc>
          <w:tcPr>
            <w:tcW w:w="850" w:type="pct"/>
            <w:vMerge/>
            <w:tcBorders>
              <w:top w:val="single" w:sz="4" w:space="0" w:color="auto"/>
              <w:bottom w:val="single" w:sz="4" w:space="0" w:color="auto"/>
            </w:tcBorders>
          </w:tcPr>
          <w:p w14:paraId="3AACB11A" w14:textId="77777777" w:rsidR="003C297B" w:rsidRPr="003C297B" w:rsidRDefault="003C297B" w:rsidP="003C297B">
            <w:pPr>
              <w:pStyle w:val="TableText"/>
            </w:pPr>
          </w:p>
        </w:tc>
        <w:tc>
          <w:tcPr>
            <w:tcW w:w="764" w:type="pct"/>
            <w:vMerge/>
            <w:tcBorders>
              <w:top w:val="single" w:sz="4" w:space="0" w:color="auto"/>
              <w:bottom w:val="single" w:sz="4" w:space="0" w:color="auto"/>
            </w:tcBorders>
          </w:tcPr>
          <w:p w14:paraId="0E12FF8D" w14:textId="77777777" w:rsidR="003C297B" w:rsidRPr="003C297B" w:rsidRDefault="003C297B" w:rsidP="003C297B">
            <w:pPr>
              <w:pStyle w:val="TableText"/>
            </w:pPr>
          </w:p>
        </w:tc>
        <w:tc>
          <w:tcPr>
            <w:tcW w:w="582" w:type="pct"/>
            <w:vMerge/>
            <w:tcBorders>
              <w:top w:val="single" w:sz="4" w:space="0" w:color="auto"/>
              <w:bottom w:val="single" w:sz="4" w:space="0" w:color="auto"/>
            </w:tcBorders>
          </w:tcPr>
          <w:p w14:paraId="09E2742E" w14:textId="77777777" w:rsidR="003C297B" w:rsidRPr="003C297B" w:rsidRDefault="003C297B" w:rsidP="003C297B">
            <w:pPr>
              <w:pStyle w:val="TableText"/>
            </w:pPr>
          </w:p>
        </w:tc>
        <w:tc>
          <w:tcPr>
            <w:tcW w:w="766" w:type="pct"/>
            <w:tcBorders>
              <w:top w:val="single" w:sz="4" w:space="0" w:color="auto"/>
              <w:bottom w:val="single" w:sz="4" w:space="0" w:color="auto"/>
            </w:tcBorders>
          </w:tcPr>
          <w:p w14:paraId="4F8FC5C7" w14:textId="77777777" w:rsidR="003C297B" w:rsidRPr="003C297B" w:rsidRDefault="003C297B" w:rsidP="003C297B">
            <w:pPr>
              <w:pStyle w:val="TableText"/>
            </w:pPr>
            <w:r w:rsidRPr="003C297B">
              <w:t>Acute oral</w:t>
            </w:r>
          </w:p>
        </w:tc>
        <w:tc>
          <w:tcPr>
            <w:tcW w:w="1059" w:type="pct"/>
            <w:tcBorders>
              <w:top w:val="single" w:sz="4" w:space="0" w:color="auto"/>
              <w:bottom w:val="single" w:sz="4" w:space="0" w:color="auto"/>
            </w:tcBorders>
          </w:tcPr>
          <w:p w14:paraId="59A33E8E" w14:textId="77777777" w:rsidR="003C297B" w:rsidRPr="003C297B" w:rsidRDefault="003C297B" w:rsidP="003C297B">
            <w:pPr>
              <w:pStyle w:val="TableText"/>
            </w:pPr>
            <w:r w:rsidRPr="003C297B">
              <w:t>LD50 22 µg ac/bee</w:t>
            </w:r>
          </w:p>
        </w:tc>
        <w:tc>
          <w:tcPr>
            <w:tcW w:w="980" w:type="pct"/>
            <w:tcBorders>
              <w:top w:val="single" w:sz="4" w:space="0" w:color="auto"/>
              <w:bottom w:val="single" w:sz="4" w:space="0" w:color="auto"/>
            </w:tcBorders>
          </w:tcPr>
          <w:p w14:paraId="66A3B090" w14:textId="77777777" w:rsidR="003C297B" w:rsidRPr="003C297B" w:rsidRDefault="003C297B" w:rsidP="003C297B">
            <w:pPr>
              <w:pStyle w:val="TableText"/>
            </w:pPr>
            <w:r w:rsidRPr="003C297B">
              <w:t>Gough et al. 1987</w:t>
            </w:r>
          </w:p>
        </w:tc>
      </w:tr>
    </w:tbl>
    <w:p w14:paraId="2D67F95C" w14:textId="256CEFF0" w:rsidR="00AE1794" w:rsidRPr="00247DE6" w:rsidRDefault="005B7DDF" w:rsidP="00247DE6">
      <w:pPr>
        <w:pStyle w:val="Caption"/>
      </w:pPr>
      <w:bookmarkStart w:id="491" w:name="_Toc232589645"/>
      <w:r w:rsidRPr="00247DE6">
        <w:t xml:space="preserve">Table </w:t>
      </w:r>
      <w:fldSimple w:instr=" SEQ Table \* ARABIC ">
        <w:r w:rsidR="00247DE6">
          <w:rPr>
            <w:noProof/>
          </w:rPr>
          <w:t>50</w:t>
        </w:r>
      </w:fldSimple>
      <w:r w:rsidRPr="00247DE6">
        <w:t xml:space="preserve">: </w:t>
      </w:r>
      <w:r w:rsidR="00294CD3" w:rsidRPr="00247DE6">
        <w:t xml:space="preserve">Diquat – </w:t>
      </w:r>
      <w:r w:rsidR="003C297B" w:rsidRPr="00247DE6">
        <w:t>e</w:t>
      </w:r>
      <w:r w:rsidR="00AE1794" w:rsidRPr="00247DE6">
        <w:t>ffects on other non-target arthropods</w:t>
      </w:r>
      <w:bookmarkEnd w:id="49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4"/>
        <w:gridCol w:w="1053"/>
        <w:gridCol w:w="1981"/>
        <w:gridCol w:w="1376"/>
        <w:gridCol w:w="1826"/>
        <w:gridCol w:w="2072"/>
      </w:tblGrid>
      <w:tr w:rsidR="009D0B81" w:rsidRPr="000B2FA7" w14:paraId="6B6BEF17" w14:textId="77777777" w:rsidTr="003C297B">
        <w:trPr>
          <w:tblHeader/>
        </w:trPr>
        <w:tc>
          <w:tcPr>
            <w:tcW w:w="0" w:type="auto"/>
            <w:tcBorders>
              <w:right w:val="nil"/>
            </w:tcBorders>
            <w:shd w:val="clear" w:color="auto" w:fill="5C2946"/>
          </w:tcPr>
          <w:p w14:paraId="08D60502" w14:textId="77777777" w:rsidR="00AE1794" w:rsidRPr="003C297B" w:rsidRDefault="00AE1794" w:rsidP="003C297B">
            <w:pPr>
              <w:pStyle w:val="TableHead"/>
            </w:pPr>
            <w:r w:rsidRPr="003C297B">
              <w:t>Test substance</w:t>
            </w:r>
          </w:p>
        </w:tc>
        <w:tc>
          <w:tcPr>
            <w:tcW w:w="0" w:type="auto"/>
            <w:tcBorders>
              <w:left w:val="nil"/>
              <w:right w:val="nil"/>
            </w:tcBorders>
            <w:shd w:val="clear" w:color="auto" w:fill="5C2946"/>
          </w:tcPr>
          <w:p w14:paraId="158AD540" w14:textId="77777777" w:rsidR="00AE1794" w:rsidRPr="003C297B" w:rsidRDefault="00AE1794" w:rsidP="003C297B">
            <w:pPr>
              <w:pStyle w:val="TableHead"/>
            </w:pPr>
            <w:r w:rsidRPr="003C297B">
              <w:t>Group</w:t>
            </w:r>
          </w:p>
        </w:tc>
        <w:tc>
          <w:tcPr>
            <w:tcW w:w="0" w:type="auto"/>
            <w:tcBorders>
              <w:left w:val="nil"/>
              <w:right w:val="nil"/>
            </w:tcBorders>
            <w:shd w:val="clear" w:color="auto" w:fill="5C2946"/>
          </w:tcPr>
          <w:p w14:paraId="0A23C295" w14:textId="77777777" w:rsidR="00AE1794" w:rsidRPr="003C297B" w:rsidRDefault="00AE1794" w:rsidP="003C297B">
            <w:pPr>
              <w:pStyle w:val="TableHead"/>
            </w:pPr>
            <w:r w:rsidRPr="003C297B">
              <w:t>Species</w:t>
            </w:r>
          </w:p>
        </w:tc>
        <w:tc>
          <w:tcPr>
            <w:tcW w:w="0" w:type="auto"/>
            <w:tcBorders>
              <w:left w:val="nil"/>
              <w:right w:val="nil"/>
            </w:tcBorders>
            <w:shd w:val="clear" w:color="auto" w:fill="5C2946"/>
          </w:tcPr>
          <w:p w14:paraId="18EC88CD" w14:textId="77777777" w:rsidR="00AE1794" w:rsidRPr="003C297B" w:rsidRDefault="00AE1794" w:rsidP="003C297B">
            <w:pPr>
              <w:pStyle w:val="TableHead"/>
            </w:pPr>
            <w:r w:rsidRPr="003C297B">
              <w:t>Test substrate</w:t>
            </w:r>
          </w:p>
        </w:tc>
        <w:tc>
          <w:tcPr>
            <w:tcW w:w="0" w:type="auto"/>
            <w:tcBorders>
              <w:left w:val="nil"/>
              <w:right w:val="nil"/>
            </w:tcBorders>
            <w:shd w:val="clear" w:color="auto" w:fill="5C2946"/>
          </w:tcPr>
          <w:p w14:paraId="4548DC91" w14:textId="77777777" w:rsidR="00AE1794" w:rsidRPr="003C297B" w:rsidRDefault="00AE1794" w:rsidP="003C297B">
            <w:pPr>
              <w:pStyle w:val="TableHead"/>
            </w:pPr>
            <w:r w:rsidRPr="003C297B">
              <w:t>Toxicity value</w:t>
            </w:r>
          </w:p>
        </w:tc>
        <w:tc>
          <w:tcPr>
            <w:tcW w:w="0" w:type="auto"/>
            <w:tcBorders>
              <w:left w:val="nil"/>
            </w:tcBorders>
            <w:shd w:val="clear" w:color="auto" w:fill="5C2946"/>
          </w:tcPr>
          <w:p w14:paraId="17427414" w14:textId="77777777" w:rsidR="00AE1794" w:rsidRPr="003C297B" w:rsidRDefault="00AE1794" w:rsidP="003C297B">
            <w:pPr>
              <w:pStyle w:val="TableHead"/>
            </w:pPr>
            <w:r w:rsidRPr="003C297B">
              <w:t>Reference</w:t>
            </w:r>
          </w:p>
        </w:tc>
      </w:tr>
      <w:tr w:rsidR="003C297B" w:rsidRPr="000B2FA7" w14:paraId="0D1F9E5E" w14:textId="77777777" w:rsidTr="003C297B">
        <w:tc>
          <w:tcPr>
            <w:tcW w:w="0" w:type="auto"/>
            <w:vMerge w:val="restart"/>
            <w:tcBorders>
              <w:right w:val="nil"/>
            </w:tcBorders>
          </w:tcPr>
          <w:p w14:paraId="26C03EAB" w14:textId="77777777" w:rsidR="003C297B" w:rsidRPr="008B06DF" w:rsidRDefault="003C297B" w:rsidP="003C297B">
            <w:pPr>
              <w:pStyle w:val="TableText"/>
              <w:rPr>
                <w:i/>
                <w:iCs/>
              </w:rPr>
            </w:pPr>
            <w:r>
              <w:t>SL 200 g/L</w:t>
            </w:r>
          </w:p>
        </w:tc>
        <w:tc>
          <w:tcPr>
            <w:tcW w:w="0" w:type="auto"/>
            <w:vMerge w:val="restart"/>
            <w:tcBorders>
              <w:left w:val="nil"/>
              <w:right w:val="nil"/>
            </w:tcBorders>
          </w:tcPr>
          <w:p w14:paraId="3830DC98" w14:textId="77777777" w:rsidR="003C297B" w:rsidRDefault="003C297B" w:rsidP="003C297B">
            <w:pPr>
              <w:pStyle w:val="TableText"/>
            </w:pPr>
            <w:r>
              <w:t>Predatory</w:t>
            </w:r>
          </w:p>
          <w:p w14:paraId="458B8F15" w14:textId="77777777" w:rsidR="003C297B" w:rsidRPr="0025424A" w:rsidRDefault="003C297B" w:rsidP="003C297B">
            <w:pPr>
              <w:pStyle w:val="TableText"/>
            </w:pPr>
            <w:r>
              <w:t>arthropods</w:t>
            </w:r>
          </w:p>
        </w:tc>
        <w:tc>
          <w:tcPr>
            <w:tcW w:w="0" w:type="auto"/>
            <w:vMerge w:val="restart"/>
            <w:tcBorders>
              <w:left w:val="nil"/>
              <w:right w:val="nil"/>
            </w:tcBorders>
          </w:tcPr>
          <w:p w14:paraId="15FCE6A2" w14:textId="77777777" w:rsidR="003C297B" w:rsidRDefault="003C297B" w:rsidP="003C297B">
            <w:pPr>
              <w:pStyle w:val="TableText"/>
            </w:pPr>
            <w:r>
              <w:rPr>
                <w:i/>
                <w:iCs/>
              </w:rPr>
              <w:t>Typhlodromus pyri</w:t>
            </w:r>
          </w:p>
        </w:tc>
        <w:tc>
          <w:tcPr>
            <w:tcW w:w="0" w:type="auto"/>
            <w:tcBorders>
              <w:left w:val="nil"/>
              <w:right w:val="nil"/>
            </w:tcBorders>
          </w:tcPr>
          <w:p w14:paraId="22288BB4" w14:textId="77777777" w:rsidR="003C297B" w:rsidRPr="00CA558C" w:rsidRDefault="003C297B" w:rsidP="003C297B">
            <w:pPr>
              <w:pStyle w:val="TableText"/>
            </w:pPr>
            <w:r>
              <w:t>Glass plate</w:t>
            </w:r>
          </w:p>
        </w:tc>
        <w:tc>
          <w:tcPr>
            <w:tcW w:w="0" w:type="auto"/>
            <w:tcBorders>
              <w:left w:val="nil"/>
              <w:right w:val="nil"/>
            </w:tcBorders>
          </w:tcPr>
          <w:p w14:paraId="08842A5F" w14:textId="77777777" w:rsidR="003C297B" w:rsidRPr="00CA558C" w:rsidRDefault="003C297B" w:rsidP="003C297B">
            <w:pPr>
              <w:pStyle w:val="TableText"/>
            </w:pPr>
            <w:r>
              <w:t>LR</w:t>
            </w:r>
            <w:r w:rsidRPr="008B06DF">
              <w:rPr>
                <w:vertAlign w:val="subscript"/>
              </w:rPr>
              <w:t>50</w:t>
            </w:r>
            <w:r>
              <w:t xml:space="preserve"> 2.9 g ac/ha</w:t>
            </w:r>
          </w:p>
        </w:tc>
        <w:tc>
          <w:tcPr>
            <w:tcW w:w="0" w:type="auto"/>
            <w:tcBorders>
              <w:left w:val="nil"/>
            </w:tcBorders>
          </w:tcPr>
          <w:p w14:paraId="515A37E8" w14:textId="77777777" w:rsidR="003C297B" w:rsidRPr="00CA558C" w:rsidRDefault="003C297B" w:rsidP="003C297B">
            <w:pPr>
              <w:pStyle w:val="TableText"/>
            </w:pPr>
            <w:r>
              <w:t>Austin &amp; Elcock 1999a</w:t>
            </w:r>
          </w:p>
        </w:tc>
      </w:tr>
      <w:tr w:rsidR="003C297B" w:rsidRPr="000B2FA7" w14:paraId="681B7128" w14:textId="77777777" w:rsidTr="003C297B">
        <w:tc>
          <w:tcPr>
            <w:tcW w:w="0" w:type="auto"/>
            <w:vMerge/>
            <w:tcBorders>
              <w:right w:val="nil"/>
            </w:tcBorders>
          </w:tcPr>
          <w:p w14:paraId="110B42E2" w14:textId="77777777" w:rsidR="003C297B" w:rsidRDefault="003C297B" w:rsidP="003C297B">
            <w:pPr>
              <w:pStyle w:val="TableText"/>
            </w:pPr>
          </w:p>
        </w:tc>
        <w:tc>
          <w:tcPr>
            <w:tcW w:w="0" w:type="auto"/>
            <w:vMerge/>
            <w:tcBorders>
              <w:left w:val="nil"/>
              <w:right w:val="nil"/>
            </w:tcBorders>
          </w:tcPr>
          <w:p w14:paraId="78119D8F" w14:textId="77777777" w:rsidR="003C297B" w:rsidRPr="0025424A" w:rsidRDefault="003C297B" w:rsidP="003C297B">
            <w:pPr>
              <w:pStyle w:val="TableText"/>
            </w:pPr>
          </w:p>
        </w:tc>
        <w:tc>
          <w:tcPr>
            <w:tcW w:w="0" w:type="auto"/>
            <w:vMerge/>
            <w:tcBorders>
              <w:left w:val="nil"/>
              <w:right w:val="nil"/>
            </w:tcBorders>
          </w:tcPr>
          <w:p w14:paraId="56D65F66" w14:textId="77777777" w:rsidR="003C297B" w:rsidRPr="0025424A" w:rsidRDefault="003C297B" w:rsidP="003C297B">
            <w:pPr>
              <w:pStyle w:val="TableText"/>
            </w:pPr>
          </w:p>
        </w:tc>
        <w:tc>
          <w:tcPr>
            <w:tcW w:w="0" w:type="auto"/>
            <w:tcBorders>
              <w:left w:val="nil"/>
              <w:right w:val="nil"/>
            </w:tcBorders>
          </w:tcPr>
          <w:p w14:paraId="7916ADFC" w14:textId="77777777" w:rsidR="003C297B" w:rsidRDefault="003C297B" w:rsidP="003C297B">
            <w:pPr>
              <w:pStyle w:val="TableText"/>
            </w:pPr>
            <w:r>
              <w:t>Bean leaf disc</w:t>
            </w:r>
          </w:p>
        </w:tc>
        <w:tc>
          <w:tcPr>
            <w:tcW w:w="0" w:type="auto"/>
            <w:tcBorders>
              <w:left w:val="nil"/>
              <w:right w:val="nil"/>
            </w:tcBorders>
          </w:tcPr>
          <w:p w14:paraId="761D85E5" w14:textId="77777777" w:rsidR="003C297B" w:rsidRDefault="003C297B" w:rsidP="003C297B">
            <w:pPr>
              <w:pStyle w:val="TableText"/>
            </w:pPr>
            <w:r>
              <w:t>LR</w:t>
            </w:r>
            <w:r w:rsidRPr="008B06DF">
              <w:rPr>
                <w:vertAlign w:val="subscript"/>
              </w:rPr>
              <w:t>50</w:t>
            </w:r>
            <w:r>
              <w:t xml:space="preserve"> 4.1 g ac/ha</w:t>
            </w:r>
          </w:p>
          <w:p w14:paraId="65A68B04" w14:textId="77777777" w:rsidR="003C297B" w:rsidRPr="006818FB" w:rsidRDefault="003C297B" w:rsidP="003C297B">
            <w:pPr>
              <w:pStyle w:val="TableText"/>
            </w:pPr>
            <w:r>
              <w:t>ER</w:t>
            </w:r>
            <w:r w:rsidRPr="00B421BC">
              <w:rPr>
                <w:vertAlign w:val="subscript"/>
              </w:rPr>
              <w:t>50</w:t>
            </w:r>
            <w:r>
              <w:t xml:space="preserve"> &gt;1.0 g ac/ha</w:t>
            </w:r>
          </w:p>
        </w:tc>
        <w:tc>
          <w:tcPr>
            <w:tcW w:w="0" w:type="auto"/>
            <w:tcBorders>
              <w:left w:val="nil"/>
            </w:tcBorders>
          </w:tcPr>
          <w:p w14:paraId="412FF6CA" w14:textId="77777777" w:rsidR="003C297B" w:rsidRPr="00CA558C" w:rsidRDefault="003C297B" w:rsidP="003C297B">
            <w:pPr>
              <w:pStyle w:val="TableText"/>
            </w:pPr>
            <w:r>
              <w:t>Austin &amp; Elcock 1999b</w:t>
            </w:r>
          </w:p>
        </w:tc>
      </w:tr>
      <w:tr w:rsidR="003C297B" w:rsidRPr="000B2FA7" w14:paraId="45DBB8F7" w14:textId="77777777" w:rsidTr="003C297B">
        <w:tc>
          <w:tcPr>
            <w:tcW w:w="0" w:type="auto"/>
            <w:vMerge/>
            <w:tcBorders>
              <w:right w:val="nil"/>
            </w:tcBorders>
          </w:tcPr>
          <w:p w14:paraId="7FD0FA32" w14:textId="550E5AD5" w:rsidR="003C297B" w:rsidRDefault="003C297B" w:rsidP="003C297B">
            <w:pPr>
              <w:pStyle w:val="TableText"/>
            </w:pPr>
          </w:p>
        </w:tc>
        <w:tc>
          <w:tcPr>
            <w:tcW w:w="0" w:type="auto"/>
            <w:vMerge w:val="restart"/>
            <w:tcBorders>
              <w:left w:val="nil"/>
              <w:right w:val="nil"/>
            </w:tcBorders>
          </w:tcPr>
          <w:p w14:paraId="0F1B5B3C" w14:textId="77777777" w:rsidR="003C297B" w:rsidRDefault="003C297B" w:rsidP="003C297B">
            <w:pPr>
              <w:pStyle w:val="TableText"/>
            </w:pPr>
            <w:r>
              <w:t>Predatory</w:t>
            </w:r>
          </w:p>
          <w:p w14:paraId="2787C512" w14:textId="77777777" w:rsidR="003C297B" w:rsidRDefault="003C297B" w:rsidP="003C297B">
            <w:pPr>
              <w:pStyle w:val="TableText"/>
            </w:pPr>
            <w:r>
              <w:t>arthropods</w:t>
            </w:r>
          </w:p>
        </w:tc>
        <w:tc>
          <w:tcPr>
            <w:tcW w:w="0" w:type="auto"/>
            <w:tcBorders>
              <w:left w:val="nil"/>
              <w:right w:val="nil"/>
            </w:tcBorders>
          </w:tcPr>
          <w:p w14:paraId="1EA006D4" w14:textId="77777777" w:rsidR="003C297B" w:rsidRPr="0025424A" w:rsidRDefault="003C297B" w:rsidP="003C297B">
            <w:pPr>
              <w:pStyle w:val="TableText"/>
              <w:rPr>
                <w:i/>
                <w:iCs/>
              </w:rPr>
            </w:pPr>
            <w:r>
              <w:rPr>
                <w:i/>
                <w:iCs/>
              </w:rPr>
              <w:t>Poecilus melanarius</w:t>
            </w:r>
          </w:p>
        </w:tc>
        <w:tc>
          <w:tcPr>
            <w:tcW w:w="0" w:type="auto"/>
            <w:tcBorders>
              <w:left w:val="nil"/>
              <w:right w:val="nil"/>
            </w:tcBorders>
          </w:tcPr>
          <w:p w14:paraId="7C32AAD5" w14:textId="77777777" w:rsidR="003C297B" w:rsidRDefault="003C297B" w:rsidP="003C297B">
            <w:pPr>
              <w:pStyle w:val="TableText"/>
            </w:pPr>
            <w:r>
              <w:t>Loamy sand</w:t>
            </w:r>
          </w:p>
        </w:tc>
        <w:tc>
          <w:tcPr>
            <w:tcW w:w="0" w:type="auto"/>
            <w:tcBorders>
              <w:left w:val="nil"/>
              <w:right w:val="nil"/>
            </w:tcBorders>
          </w:tcPr>
          <w:p w14:paraId="3ED0B9F2" w14:textId="77777777" w:rsidR="003C297B" w:rsidRDefault="003C297B" w:rsidP="003C297B">
            <w:pPr>
              <w:pStyle w:val="TableText"/>
            </w:pPr>
            <w:r>
              <w:t>LR</w:t>
            </w:r>
            <w:r w:rsidRPr="00776B2A">
              <w:rPr>
                <w:vertAlign w:val="subscript"/>
              </w:rPr>
              <w:t>50</w:t>
            </w:r>
            <w:r>
              <w:t xml:space="preserve"> &gt;1600 g ac/ha</w:t>
            </w:r>
          </w:p>
          <w:p w14:paraId="687A4976" w14:textId="77777777" w:rsidR="003C297B" w:rsidRDefault="003C297B" w:rsidP="003C297B">
            <w:pPr>
              <w:pStyle w:val="TableText"/>
            </w:pPr>
            <w:r>
              <w:t>ER</w:t>
            </w:r>
            <w:r w:rsidRPr="00776B2A">
              <w:rPr>
                <w:vertAlign w:val="subscript"/>
              </w:rPr>
              <w:t>50</w:t>
            </w:r>
            <w:r>
              <w:t xml:space="preserve"> &gt;1600 g ac/ha</w:t>
            </w:r>
          </w:p>
        </w:tc>
        <w:tc>
          <w:tcPr>
            <w:tcW w:w="0" w:type="auto"/>
            <w:tcBorders>
              <w:left w:val="nil"/>
            </w:tcBorders>
          </w:tcPr>
          <w:p w14:paraId="366117D3" w14:textId="77777777" w:rsidR="003C297B" w:rsidRDefault="003C297B" w:rsidP="003C297B">
            <w:pPr>
              <w:pStyle w:val="TableText"/>
            </w:pPr>
            <w:r>
              <w:t>Gough et al. 1991</w:t>
            </w:r>
          </w:p>
        </w:tc>
      </w:tr>
      <w:tr w:rsidR="003C297B" w:rsidRPr="000B2FA7" w14:paraId="7015523C" w14:textId="77777777" w:rsidTr="003C297B">
        <w:tc>
          <w:tcPr>
            <w:tcW w:w="0" w:type="auto"/>
            <w:vMerge/>
            <w:tcBorders>
              <w:right w:val="nil"/>
            </w:tcBorders>
          </w:tcPr>
          <w:p w14:paraId="1953C83B" w14:textId="77777777" w:rsidR="003C297B" w:rsidRDefault="003C297B" w:rsidP="003C297B">
            <w:pPr>
              <w:pStyle w:val="TableText"/>
            </w:pPr>
          </w:p>
        </w:tc>
        <w:tc>
          <w:tcPr>
            <w:tcW w:w="0" w:type="auto"/>
            <w:vMerge/>
            <w:tcBorders>
              <w:left w:val="nil"/>
              <w:right w:val="nil"/>
            </w:tcBorders>
          </w:tcPr>
          <w:p w14:paraId="3E353382" w14:textId="77777777" w:rsidR="003C297B" w:rsidRDefault="003C297B" w:rsidP="003C297B">
            <w:pPr>
              <w:pStyle w:val="TableText"/>
            </w:pPr>
          </w:p>
        </w:tc>
        <w:tc>
          <w:tcPr>
            <w:tcW w:w="0" w:type="auto"/>
            <w:tcBorders>
              <w:left w:val="nil"/>
              <w:right w:val="nil"/>
            </w:tcBorders>
          </w:tcPr>
          <w:p w14:paraId="1A05E549" w14:textId="77777777" w:rsidR="003C297B" w:rsidRDefault="003C297B" w:rsidP="003C297B">
            <w:pPr>
              <w:pStyle w:val="TableText"/>
              <w:rPr>
                <w:i/>
                <w:iCs/>
              </w:rPr>
            </w:pPr>
            <w:r>
              <w:rPr>
                <w:i/>
                <w:iCs/>
              </w:rPr>
              <w:t xml:space="preserve">Pardosa </w:t>
            </w:r>
            <w:r w:rsidRPr="00776B2A">
              <w:t>spp.</w:t>
            </w:r>
          </w:p>
        </w:tc>
        <w:tc>
          <w:tcPr>
            <w:tcW w:w="0" w:type="auto"/>
            <w:tcBorders>
              <w:left w:val="nil"/>
              <w:right w:val="nil"/>
            </w:tcBorders>
          </w:tcPr>
          <w:p w14:paraId="6F39D9F0" w14:textId="77777777" w:rsidR="003C297B" w:rsidRDefault="003C297B" w:rsidP="003C297B">
            <w:pPr>
              <w:pStyle w:val="TableText"/>
            </w:pPr>
            <w:r>
              <w:t>Loamy sand</w:t>
            </w:r>
          </w:p>
        </w:tc>
        <w:tc>
          <w:tcPr>
            <w:tcW w:w="0" w:type="auto"/>
            <w:tcBorders>
              <w:left w:val="nil"/>
              <w:right w:val="nil"/>
            </w:tcBorders>
          </w:tcPr>
          <w:p w14:paraId="196AC3C7" w14:textId="77777777" w:rsidR="003C297B" w:rsidRDefault="003C297B" w:rsidP="003C297B">
            <w:pPr>
              <w:pStyle w:val="TableText"/>
            </w:pPr>
            <w:r>
              <w:t>LR</w:t>
            </w:r>
            <w:r w:rsidRPr="00776B2A">
              <w:rPr>
                <w:vertAlign w:val="subscript"/>
              </w:rPr>
              <w:t>50</w:t>
            </w:r>
            <w:r>
              <w:t xml:space="preserve"> &gt;1600 g ac/ha</w:t>
            </w:r>
          </w:p>
          <w:p w14:paraId="2FE558E0" w14:textId="77777777" w:rsidR="003C297B" w:rsidRDefault="003C297B" w:rsidP="003C297B">
            <w:pPr>
              <w:pStyle w:val="TableText"/>
            </w:pPr>
            <w:r>
              <w:t>ER</w:t>
            </w:r>
            <w:r w:rsidRPr="00776B2A">
              <w:rPr>
                <w:vertAlign w:val="subscript"/>
              </w:rPr>
              <w:t>50</w:t>
            </w:r>
            <w:r>
              <w:t xml:space="preserve"> &gt;1600 g ac/ha</w:t>
            </w:r>
          </w:p>
        </w:tc>
        <w:tc>
          <w:tcPr>
            <w:tcW w:w="0" w:type="auto"/>
            <w:tcBorders>
              <w:left w:val="nil"/>
            </w:tcBorders>
          </w:tcPr>
          <w:p w14:paraId="0C8F49F7" w14:textId="77777777" w:rsidR="003C297B" w:rsidRDefault="003C297B" w:rsidP="003C297B">
            <w:pPr>
              <w:pStyle w:val="TableText"/>
            </w:pPr>
            <w:r>
              <w:t>Gough et al. 1991</w:t>
            </w:r>
          </w:p>
        </w:tc>
      </w:tr>
      <w:tr w:rsidR="003C297B" w:rsidRPr="000B2FA7" w14:paraId="312681A9" w14:textId="77777777" w:rsidTr="003C297B">
        <w:tc>
          <w:tcPr>
            <w:tcW w:w="0" w:type="auto"/>
            <w:vMerge/>
            <w:tcBorders>
              <w:right w:val="nil"/>
            </w:tcBorders>
          </w:tcPr>
          <w:p w14:paraId="7D00A8E7" w14:textId="77777777" w:rsidR="003C297B" w:rsidRDefault="003C297B" w:rsidP="003C297B">
            <w:pPr>
              <w:pStyle w:val="TableText"/>
            </w:pPr>
          </w:p>
        </w:tc>
        <w:tc>
          <w:tcPr>
            <w:tcW w:w="0" w:type="auto"/>
            <w:vMerge w:val="restart"/>
            <w:tcBorders>
              <w:left w:val="nil"/>
              <w:right w:val="nil"/>
            </w:tcBorders>
          </w:tcPr>
          <w:p w14:paraId="1D5C8F58" w14:textId="77777777" w:rsidR="003C297B" w:rsidRDefault="003C297B" w:rsidP="003C297B">
            <w:pPr>
              <w:pStyle w:val="TableText"/>
            </w:pPr>
            <w:r>
              <w:t>Parasitic</w:t>
            </w:r>
          </w:p>
          <w:p w14:paraId="02F3EC54" w14:textId="77777777" w:rsidR="003C297B" w:rsidRPr="0025424A" w:rsidRDefault="003C297B" w:rsidP="003C297B">
            <w:pPr>
              <w:pStyle w:val="TableText"/>
            </w:pPr>
            <w:r>
              <w:t>arthropods</w:t>
            </w:r>
          </w:p>
        </w:tc>
        <w:tc>
          <w:tcPr>
            <w:tcW w:w="0" w:type="auto"/>
            <w:vMerge w:val="restart"/>
            <w:tcBorders>
              <w:left w:val="nil"/>
              <w:right w:val="nil"/>
            </w:tcBorders>
          </w:tcPr>
          <w:p w14:paraId="62BDFF52" w14:textId="77777777" w:rsidR="003C297B" w:rsidRPr="0025424A" w:rsidRDefault="003C297B" w:rsidP="003C297B">
            <w:pPr>
              <w:pStyle w:val="TableText"/>
              <w:rPr>
                <w:i/>
                <w:iCs/>
              </w:rPr>
            </w:pPr>
            <w:r w:rsidRPr="0025424A">
              <w:rPr>
                <w:i/>
                <w:iCs/>
              </w:rPr>
              <w:t>Aphidius rhopalosiphi</w:t>
            </w:r>
          </w:p>
        </w:tc>
        <w:tc>
          <w:tcPr>
            <w:tcW w:w="0" w:type="auto"/>
            <w:tcBorders>
              <w:left w:val="nil"/>
              <w:right w:val="nil"/>
            </w:tcBorders>
          </w:tcPr>
          <w:p w14:paraId="2DF8DE76" w14:textId="77777777" w:rsidR="003C297B" w:rsidRDefault="003C297B" w:rsidP="003C297B">
            <w:pPr>
              <w:pStyle w:val="TableText"/>
            </w:pPr>
            <w:r>
              <w:t>Glass plate</w:t>
            </w:r>
          </w:p>
        </w:tc>
        <w:tc>
          <w:tcPr>
            <w:tcW w:w="0" w:type="auto"/>
            <w:tcBorders>
              <w:left w:val="nil"/>
              <w:right w:val="nil"/>
            </w:tcBorders>
          </w:tcPr>
          <w:p w14:paraId="3F7B0E0A" w14:textId="77777777" w:rsidR="003C297B" w:rsidRPr="006818FB" w:rsidRDefault="003C297B" w:rsidP="003C297B">
            <w:pPr>
              <w:pStyle w:val="TableText"/>
            </w:pPr>
            <w:r>
              <w:t>LR</w:t>
            </w:r>
            <w:r w:rsidRPr="008B06DF">
              <w:rPr>
                <w:vertAlign w:val="subscript"/>
              </w:rPr>
              <w:t>50</w:t>
            </w:r>
            <w:r>
              <w:t xml:space="preserve"> 3.2 g ac/ha</w:t>
            </w:r>
          </w:p>
        </w:tc>
        <w:tc>
          <w:tcPr>
            <w:tcW w:w="0" w:type="auto"/>
            <w:tcBorders>
              <w:left w:val="nil"/>
            </w:tcBorders>
          </w:tcPr>
          <w:p w14:paraId="6ED65FCF" w14:textId="77777777" w:rsidR="003C297B" w:rsidRPr="00CA558C" w:rsidRDefault="003C297B" w:rsidP="003C297B">
            <w:pPr>
              <w:pStyle w:val="TableText"/>
            </w:pPr>
            <w:r>
              <w:t>Austin 1999a</w:t>
            </w:r>
          </w:p>
        </w:tc>
      </w:tr>
      <w:tr w:rsidR="003C297B" w:rsidRPr="000B2FA7" w14:paraId="6CCFEFB6" w14:textId="77777777" w:rsidTr="003C297B">
        <w:tc>
          <w:tcPr>
            <w:tcW w:w="0" w:type="auto"/>
            <w:vMerge/>
            <w:tcBorders>
              <w:right w:val="nil"/>
            </w:tcBorders>
          </w:tcPr>
          <w:p w14:paraId="2D48F4CE" w14:textId="77777777" w:rsidR="003C297B" w:rsidRDefault="003C297B" w:rsidP="003C297B">
            <w:pPr>
              <w:pStyle w:val="TableText"/>
            </w:pPr>
          </w:p>
        </w:tc>
        <w:tc>
          <w:tcPr>
            <w:tcW w:w="0" w:type="auto"/>
            <w:vMerge/>
            <w:tcBorders>
              <w:left w:val="nil"/>
              <w:right w:val="nil"/>
            </w:tcBorders>
          </w:tcPr>
          <w:p w14:paraId="62E45674" w14:textId="77777777" w:rsidR="003C297B" w:rsidRPr="0025424A" w:rsidRDefault="003C297B" w:rsidP="003C297B">
            <w:pPr>
              <w:pStyle w:val="TableText"/>
            </w:pPr>
          </w:p>
        </w:tc>
        <w:tc>
          <w:tcPr>
            <w:tcW w:w="0" w:type="auto"/>
            <w:vMerge/>
            <w:tcBorders>
              <w:left w:val="nil"/>
              <w:right w:val="nil"/>
            </w:tcBorders>
          </w:tcPr>
          <w:p w14:paraId="6CD59540" w14:textId="77777777" w:rsidR="003C297B" w:rsidRDefault="003C297B" w:rsidP="003C297B">
            <w:pPr>
              <w:pStyle w:val="TableText"/>
            </w:pPr>
          </w:p>
        </w:tc>
        <w:tc>
          <w:tcPr>
            <w:tcW w:w="0" w:type="auto"/>
            <w:tcBorders>
              <w:left w:val="nil"/>
              <w:right w:val="nil"/>
            </w:tcBorders>
          </w:tcPr>
          <w:p w14:paraId="58CBB4C8" w14:textId="77777777" w:rsidR="003C297B" w:rsidRDefault="003C297B" w:rsidP="003C297B">
            <w:pPr>
              <w:pStyle w:val="TableText"/>
            </w:pPr>
            <w:r>
              <w:t>Barley plants</w:t>
            </w:r>
          </w:p>
        </w:tc>
        <w:tc>
          <w:tcPr>
            <w:tcW w:w="0" w:type="auto"/>
            <w:tcBorders>
              <w:left w:val="nil"/>
              <w:right w:val="nil"/>
            </w:tcBorders>
          </w:tcPr>
          <w:p w14:paraId="19E3324D" w14:textId="77777777" w:rsidR="003C297B" w:rsidRPr="006818FB" w:rsidRDefault="003C297B" w:rsidP="003C297B">
            <w:pPr>
              <w:pStyle w:val="TableText"/>
            </w:pPr>
            <w:r>
              <w:t>LR</w:t>
            </w:r>
            <w:r w:rsidRPr="008B06DF">
              <w:rPr>
                <w:vertAlign w:val="subscript"/>
              </w:rPr>
              <w:t>50</w:t>
            </w:r>
            <w:r>
              <w:t xml:space="preserve"> 758 g ac/ha</w:t>
            </w:r>
          </w:p>
        </w:tc>
        <w:tc>
          <w:tcPr>
            <w:tcW w:w="0" w:type="auto"/>
            <w:tcBorders>
              <w:left w:val="nil"/>
            </w:tcBorders>
          </w:tcPr>
          <w:p w14:paraId="3C0D7F0D" w14:textId="77777777" w:rsidR="003C297B" w:rsidRPr="00CA558C" w:rsidRDefault="003C297B" w:rsidP="003C297B">
            <w:pPr>
              <w:pStyle w:val="TableText"/>
            </w:pPr>
            <w:r>
              <w:t>Austin 1999b</w:t>
            </w:r>
          </w:p>
        </w:tc>
      </w:tr>
      <w:tr w:rsidR="003C297B" w:rsidRPr="000B2FA7" w14:paraId="315D406E" w14:textId="77777777" w:rsidTr="003C297B">
        <w:tc>
          <w:tcPr>
            <w:tcW w:w="0" w:type="auto"/>
            <w:vMerge/>
            <w:tcBorders>
              <w:right w:val="nil"/>
            </w:tcBorders>
          </w:tcPr>
          <w:p w14:paraId="002BF8BB" w14:textId="77777777" w:rsidR="003C297B" w:rsidRDefault="003C297B" w:rsidP="003C297B">
            <w:pPr>
              <w:pStyle w:val="TableText"/>
              <w:keepNext/>
              <w:keepLines/>
            </w:pPr>
          </w:p>
        </w:tc>
        <w:tc>
          <w:tcPr>
            <w:tcW w:w="0" w:type="auto"/>
            <w:vMerge/>
            <w:tcBorders>
              <w:left w:val="nil"/>
              <w:right w:val="nil"/>
            </w:tcBorders>
          </w:tcPr>
          <w:p w14:paraId="31F1C8B8" w14:textId="77777777" w:rsidR="003C297B" w:rsidRPr="0025424A" w:rsidRDefault="003C297B" w:rsidP="003C297B">
            <w:pPr>
              <w:pStyle w:val="TableText"/>
              <w:keepNext/>
              <w:keepLines/>
            </w:pPr>
          </w:p>
        </w:tc>
        <w:tc>
          <w:tcPr>
            <w:tcW w:w="0" w:type="auto"/>
            <w:tcBorders>
              <w:left w:val="nil"/>
              <w:right w:val="nil"/>
            </w:tcBorders>
          </w:tcPr>
          <w:p w14:paraId="23AE09D2" w14:textId="77777777" w:rsidR="003C297B" w:rsidRPr="0025424A" w:rsidRDefault="003C297B" w:rsidP="003C297B">
            <w:pPr>
              <w:pStyle w:val="TableText"/>
              <w:keepNext/>
              <w:keepLines/>
              <w:rPr>
                <w:i/>
                <w:iCs/>
              </w:rPr>
            </w:pPr>
            <w:r w:rsidRPr="0025424A">
              <w:rPr>
                <w:i/>
                <w:iCs/>
              </w:rPr>
              <w:t>Aleochara bilineata</w:t>
            </w:r>
          </w:p>
        </w:tc>
        <w:tc>
          <w:tcPr>
            <w:tcW w:w="0" w:type="auto"/>
            <w:tcBorders>
              <w:left w:val="nil"/>
              <w:right w:val="nil"/>
            </w:tcBorders>
          </w:tcPr>
          <w:p w14:paraId="66BB9062" w14:textId="77777777" w:rsidR="003C297B" w:rsidRDefault="003C297B" w:rsidP="003C297B">
            <w:pPr>
              <w:pStyle w:val="TableText"/>
              <w:keepNext/>
              <w:keepLines/>
            </w:pPr>
            <w:r>
              <w:t>Artificial soil</w:t>
            </w:r>
          </w:p>
        </w:tc>
        <w:tc>
          <w:tcPr>
            <w:tcW w:w="0" w:type="auto"/>
            <w:tcBorders>
              <w:left w:val="nil"/>
              <w:right w:val="nil"/>
            </w:tcBorders>
          </w:tcPr>
          <w:p w14:paraId="449EEA4D" w14:textId="77777777" w:rsidR="003C297B" w:rsidRDefault="003C297B" w:rsidP="003C297B">
            <w:pPr>
              <w:pStyle w:val="TableText"/>
              <w:keepNext/>
              <w:keepLines/>
            </w:pPr>
            <w:r>
              <w:t>LR</w:t>
            </w:r>
            <w:r w:rsidRPr="008B06DF">
              <w:rPr>
                <w:vertAlign w:val="subscript"/>
              </w:rPr>
              <w:t>50</w:t>
            </w:r>
            <w:r>
              <w:t xml:space="preserve"> &gt;1000 g ac/ha</w:t>
            </w:r>
          </w:p>
          <w:p w14:paraId="1F8F58A0" w14:textId="77777777" w:rsidR="003C297B" w:rsidRPr="006818FB" w:rsidRDefault="003C297B" w:rsidP="003C297B">
            <w:pPr>
              <w:pStyle w:val="TableText"/>
              <w:keepNext/>
              <w:keepLines/>
            </w:pPr>
            <w:r>
              <w:t>ER</w:t>
            </w:r>
            <w:r w:rsidRPr="00B421BC">
              <w:rPr>
                <w:vertAlign w:val="subscript"/>
              </w:rPr>
              <w:t>50</w:t>
            </w:r>
            <w:r>
              <w:t xml:space="preserve"> &gt;1000 g ac/ha</w:t>
            </w:r>
          </w:p>
        </w:tc>
        <w:tc>
          <w:tcPr>
            <w:tcW w:w="0" w:type="auto"/>
            <w:tcBorders>
              <w:left w:val="nil"/>
            </w:tcBorders>
          </w:tcPr>
          <w:p w14:paraId="5947C4FF" w14:textId="77777777" w:rsidR="003C297B" w:rsidRPr="00CA558C" w:rsidRDefault="003C297B" w:rsidP="003C297B">
            <w:pPr>
              <w:pStyle w:val="TableText"/>
              <w:keepNext/>
              <w:keepLines/>
            </w:pPr>
            <w:r>
              <w:t>Beech 1997</w:t>
            </w:r>
          </w:p>
        </w:tc>
      </w:tr>
    </w:tbl>
    <w:p w14:paraId="3CAF7CC1" w14:textId="28036CA7" w:rsidR="00AE1794" w:rsidRPr="00247DE6" w:rsidRDefault="005B7DDF" w:rsidP="00247DE6">
      <w:pPr>
        <w:pStyle w:val="Caption"/>
      </w:pPr>
      <w:bookmarkStart w:id="492" w:name="_Toc232589646"/>
      <w:r w:rsidRPr="00247DE6">
        <w:t xml:space="preserve">Table </w:t>
      </w:r>
      <w:fldSimple w:instr=" SEQ Table \* ARABIC ">
        <w:r w:rsidR="00247DE6">
          <w:rPr>
            <w:noProof/>
          </w:rPr>
          <w:t>51</w:t>
        </w:r>
      </w:fldSimple>
      <w:r w:rsidRPr="00247DE6">
        <w:t xml:space="preserve">: </w:t>
      </w:r>
      <w:r w:rsidR="00294CD3" w:rsidRPr="00247DE6">
        <w:t xml:space="preserve">Diquat – </w:t>
      </w:r>
      <w:r w:rsidR="003C297B" w:rsidRPr="00247DE6">
        <w:t>l</w:t>
      </w:r>
      <w:r w:rsidR="00AE1794" w:rsidRPr="00247DE6">
        <w:t>aboratory studies on soil organisms</w:t>
      </w:r>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90"/>
        <w:gridCol w:w="1672"/>
        <w:gridCol w:w="952"/>
        <w:gridCol w:w="1886"/>
        <w:gridCol w:w="2225"/>
        <w:gridCol w:w="1527"/>
      </w:tblGrid>
      <w:tr w:rsidR="009D0B81" w:rsidRPr="000B2FA7" w14:paraId="0562D141" w14:textId="77777777" w:rsidTr="009D0B81">
        <w:trPr>
          <w:tblHeader/>
        </w:trPr>
        <w:tc>
          <w:tcPr>
            <w:tcW w:w="0" w:type="auto"/>
            <w:tcBorders>
              <w:bottom w:val="single" w:sz="4" w:space="0" w:color="auto"/>
            </w:tcBorders>
            <w:shd w:val="clear" w:color="auto" w:fill="5C2946"/>
          </w:tcPr>
          <w:p w14:paraId="3351CAC3" w14:textId="77777777" w:rsidR="00AE1794" w:rsidRPr="003C297B" w:rsidRDefault="00AE1794" w:rsidP="003C297B">
            <w:pPr>
              <w:pStyle w:val="TableHead"/>
            </w:pPr>
            <w:r w:rsidRPr="003C297B">
              <w:t>Test substance</w:t>
            </w:r>
          </w:p>
        </w:tc>
        <w:tc>
          <w:tcPr>
            <w:tcW w:w="0" w:type="auto"/>
            <w:tcBorders>
              <w:bottom w:val="single" w:sz="4" w:space="0" w:color="auto"/>
            </w:tcBorders>
            <w:shd w:val="clear" w:color="auto" w:fill="5C2946"/>
          </w:tcPr>
          <w:p w14:paraId="63DC5BBA" w14:textId="77777777" w:rsidR="00AE1794" w:rsidRPr="003C297B" w:rsidRDefault="00AE1794" w:rsidP="003C297B">
            <w:pPr>
              <w:pStyle w:val="TableHead"/>
            </w:pPr>
            <w:r w:rsidRPr="003C297B">
              <w:t>Group</w:t>
            </w:r>
          </w:p>
        </w:tc>
        <w:tc>
          <w:tcPr>
            <w:tcW w:w="0" w:type="auto"/>
            <w:tcBorders>
              <w:bottom w:val="single" w:sz="4" w:space="0" w:color="auto"/>
            </w:tcBorders>
            <w:shd w:val="clear" w:color="auto" w:fill="5C2946"/>
          </w:tcPr>
          <w:p w14:paraId="17B7D3F3" w14:textId="77777777" w:rsidR="00AE1794" w:rsidRPr="003C297B" w:rsidRDefault="00AE1794" w:rsidP="003C297B">
            <w:pPr>
              <w:pStyle w:val="TableHead"/>
            </w:pPr>
            <w:r w:rsidRPr="003C297B">
              <w:t>Exposure</w:t>
            </w:r>
          </w:p>
        </w:tc>
        <w:tc>
          <w:tcPr>
            <w:tcW w:w="0" w:type="auto"/>
            <w:tcBorders>
              <w:bottom w:val="single" w:sz="4" w:space="0" w:color="auto"/>
            </w:tcBorders>
            <w:shd w:val="clear" w:color="auto" w:fill="5C2946"/>
          </w:tcPr>
          <w:p w14:paraId="024AE1E7" w14:textId="77777777" w:rsidR="00AE1794" w:rsidRPr="003C297B" w:rsidRDefault="00AE1794" w:rsidP="003C297B">
            <w:pPr>
              <w:pStyle w:val="TableHead"/>
            </w:pPr>
            <w:r w:rsidRPr="003C297B">
              <w:t>Species/process</w:t>
            </w:r>
          </w:p>
        </w:tc>
        <w:tc>
          <w:tcPr>
            <w:tcW w:w="0" w:type="auto"/>
            <w:tcBorders>
              <w:bottom w:val="single" w:sz="4" w:space="0" w:color="auto"/>
            </w:tcBorders>
            <w:shd w:val="clear" w:color="auto" w:fill="5C2946"/>
          </w:tcPr>
          <w:p w14:paraId="0DC91F7B" w14:textId="77777777" w:rsidR="00AE1794" w:rsidRPr="003C297B" w:rsidRDefault="00AE1794" w:rsidP="003C297B">
            <w:pPr>
              <w:pStyle w:val="TableHead"/>
            </w:pPr>
            <w:r w:rsidRPr="003C297B">
              <w:t>Toxicity value</w:t>
            </w:r>
          </w:p>
        </w:tc>
        <w:tc>
          <w:tcPr>
            <w:tcW w:w="0" w:type="auto"/>
            <w:tcBorders>
              <w:bottom w:val="single" w:sz="4" w:space="0" w:color="auto"/>
            </w:tcBorders>
            <w:shd w:val="clear" w:color="auto" w:fill="5C2946"/>
          </w:tcPr>
          <w:p w14:paraId="77C96CE0" w14:textId="77777777" w:rsidR="00AE1794" w:rsidRPr="003C297B" w:rsidRDefault="00AE1794" w:rsidP="003C297B">
            <w:pPr>
              <w:pStyle w:val="TableHead"/>
            </w:pPr>
            <w:r w:rsidRPr="003C297B">
              <w:t>Reference</w:t>
            </w:r>
          </w:p>
        </w:tc>
      </w:tr>
      <w:tr w:rsidR="003C297B" w:rsidRPr="000B2FA7" w14:paraId="247BCFC8" w14:textId="77777777" w:rsidTr="003C297B">
        <w:tc>
          <w:tcPr>
            <w:tcW w:w="0" w:type="auto"/>
            <w:vMerge w:val="restart"/>
            <w:tcBorders>
              <w:top w:val="single" w:sz="4" w:space="0" w:color="auto"/>
              <w:left w:val="nil"/>
              <w:right w:val="nil"/>
            </w:tcBorders>
          </w:tcPr>
          <w:p w14:paraId="3B02521A" w14:textId="77777777" w:rsidR="003C297B" w:rsidRPr="003C297B" w:rsidRDefault="003C297B" w:rsidP="003C297B">
            <w:pPr>
              <w:pStyle w:val="TableText"/>
              <w:rPr>
                <w:szCs w:val="17"/>
              </w:rPr>
            </w:pPr>
            <w:r w:rsidRPr="003C297B">
              <w:rPr>
                <w:szCs w:val="17"/>
              </w:rPr>
              <w:t>Diquat</w:t>
            </w:r>
          </w:p>
        </w:tc>
        <w:tc>
          <w:tcPr>
            <w:tcW w:w="0" w:type="auto"/>
            <w:vMerge w:val="restart"/>
            <w:tcBorders>
              <w:top w:val="single" w:sz="4" w:space="0" w:color="auto"/>
              <w:left w:val="nil"/>
              <w:right w:val="nil"/>
            </w:tcBorders>
          </w:tcPr>
          <w:p w14:paraId="63147EB8" w14:textId="77777777" w:rsidR="003C297B" w:rsidRPr="003C297B" w:rsidRDefault="003C297B" w:rsidP="003C297B">
            <w:pPr>
              <w:pStyle w:val="TableText"/>
              <w:rPr>
                <w:szCs w:val="17"/>
              </w:rPr>
            </w:pPr>
            <w:r w:rsidRPr="003C297B">
              <w:rPr>
                <w:szCs w:val="17"/>
              </w:rPr>
              <w:t>Macro-organisms</w:t>
            </w:r>
          </w:p>
        </w:tc>
        <w:tc>
          <w:tcPr>
            <w:tcW w:w="0" w:type="auto"/>
            <w:tcBorders>
              <w:top w:val="single" w:sz="4" w:space="0" w:color="auto"/>
              <w:left w:val="nil"/>
              <w:bottom w:val="single" w:sz="4" w:space="0" w:color="auto"/>
              <w:right w:val="nil"/>
            </w:tcBorders>
          </w:tcPr>
          <w:p w14:paraId="244E396E" w14:textId="77777777" w:rsidR="003C297B" w:rsidRPr="003C297B" w:rsidRDefault="003C297B" w:rsidP="003C297B">
            <w:pPr>
              <w:pStyle w:val="TableText"/>
              <w:rPr>
                <w:szCs w:val="17"/>
              </w:rPr>
            </w:pPr>
            <w:r w:rsidRPr="003C297B">
              <w:rPr>
                <w:szCs w:val="17"/>
              </w:rPr>
              <w:t>Acute</w:t>
            </w:r>
          </w:p>
        </w:tc>
        <w:tc>
          <w:tcPr>
            <w:tcW w:w="0" w:type="auto"/>
            <w:tcBorders>
              <w:top w:val="single" w:sz="4" w:space="0" w:color="auto"/>
              <w:left w:val="nil"/>
              <w:bottom w:val="single" w:sz="4" w:space="0" w:color="auto"/>
              <w:right w:val="nil"/>
            </w:tcBorders>
          </w:tcPr>
          <w:p w14:paraId="67FDE99B" w14:textId="77777777" w:rsidR="003C297B" w:rsidRPr="003C297B" w:rsidRDefault="003C297B" w:rsidP="003C297B">
            <w:pPr>
              <w:pStyle w:val="TableText"/>
              <w:rPr>
                <w:i/>
                <w:iCs/>
                <w:szCs w:val="17"/>
              </w:rPr>
            </w:pPr>
            <w:r w:rsidRPr="003C297B">
              <w:rPr>
                <w:i/>
                <w:iCs/>
                <w:szCs w:val="17"/>
              </w:rPr>
              <w:t>Eisenia fetida</w:t>
            </w:r>
          </w:p>
        </w:tc>
        <w:tc>
          <w:tcPr>
            <w:tcW w:w="0" w:type="auto"/>
            <w:tcBorders>
              <w:top w:val="single" w:sz="4" w:space="0" w:color="auto"/>
              <w:left w:val="nil"/>
              <w:bottom w:val="single" w:sz="4" w:space="0" w:color="auto"/>
              <w:right w:val="nil"/>
            </w:tcBorders>
          </w:tcPr>
          <w:p w14:paraId="12F7C570" w14:textId="77777777" w:rsidR="003C297B" w:rsidRPr="003C297B" w:rsidRDefault="003C297B" w:rsidP="003C297B">
            <w:pPr>
              <w:pStyle w:val="TableText"/>
              <w:rPr>
                <w:szCs w:val="17"/>
              </w:rPr>
            </w:pPr>
            <w:r w:rsidRPr="003C297B">
              <w:rPr>
                <w:szCs w:val="17"/>
              </w:rPr>
              <w:t>LC</w:t>
            </w:r>
            <w:r w:rsidRPr="003C297B">
              <w:rPr>
                <w:szCs w:val="17"/>
                <w:vertAlign w:val="subscript"/>
              </w:rPr>
              <w:t>50</w:t>
            </w:r>
            <w:r w:rsidRPr="003C297B">
              <w:rPr>
                <w:szCs w:val="17"/>
              </w:rPr>
              <w:t xml:space="preserve"> 94 mg ac/kg ds</w:t>
            </w:r>
          </w:p>
        </w:tc>
        <w:tc>
          <w:tcPr>
            <w:tcW w:w="0" w:type="auto"/>
            <w:tcBorders>
              <w:top w:val="single" w:sz="4" w:space="0" w:color="auto"/>
              <w:left w:val="nil"/>
              <w:bottom w:val="single" w:sz="4" w:space="0" w:color="auto"/>
              <w:right w:val="nil"/>
            </w:tcBorders>
          </w:tcPr>
          <w:p w14:paraId="465E2344" w14:textId="77777777" w:rsidR="003C297B" w:rsidRPr="003C297B" w:rsidRDefault="003C297B" w:rsidP="003C297B">
            <w:pPr>
              <w:pStyle w:val="TableText"/>
              <w:rPr>
                <w:szCs w:val="17"/>
              </w:rPr>
            </w:pPr>
            <w:r w:rsidRPr="003C297B">
              <w:rPr>
                <w:szCs w:val="17"/>
              </w:rPr>
              <w:t>Bender 2006b</w:t>
            </w:r>
          </w:p>
        </w:tc>
      </w:tr>
      <w:tr w:rsidR="003C297B" w:rsidRPr="000B2FA7" w14:paraId="46F34A33" w14:textId="77777777" w:rsidTr="003C297B">
        <w:tc>
          <w:tcPr>
            <w:tcW w:w="0" w:type="auto"/>
            <w:vMerge/>
            <w:tcBorders>
              <w:left w:val="nil"/>
              <w:right w:val="nil"/>
            </w:tcBorders>
          </w:tcPr>
          <w:p w14:paraId="3CDEEA99" w14:textId="77777777" w:rsidR="003C297B" w:rsidRPr="003C297B" w:rsidRDefault="003C297B" w:rsidP="003C297B">
            <w:pPr>
              <w:pStyle w:val="TableText"/>
              <w:rPr>
                <w:szCs w:val="17"/>
              </w:rPr>
            </w:pPr>
          </w:p>
        </w:tc>
        <w:tc>
          <w:tcPr>
            <w:tcW w:w="0" w:type="auto"/>
            <w:vMerge/>
            <w:tcBorders>
              <w:left w:val="nil"/>
              <w:right w:val="nil"/>
            </w:tcBorders>
          </w:tcPr>
          <w:p w14:paraId="4EDAB93C" w14:textId="77777777" w:rsidR="003C297B" w:rsidRPr="003C297B" w:rsidRDefault="003C297B" w:rsidP="003C297B">
            <w:pPr>
              <w:pStyle w:val="TableText"/>
              <w:rPr>
                <w:szCs w:val="17"/>
              </w:rPr>
            </w:pPr>
          </w:p>
        </w:tc>
        <w:tc>
          <w:tcPr>
            <w:tcW w:w="0" w:type="auto"/>
            <w:vMerge w:val="restart"/>
            <w:tcBorders>
              <w:top w:val="single" w:sz="4" w:space="0" w:color="auto"/>
              <w:left w:val="nil"/>
              <w:right w:val="nil"/>
            </w:tcBorders>
          </w:tcPr>
          <w:p w14:paraId="380121D7"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tcPr>
          <w:p w14:paraId="1E7C164A" w14:textId="77777777" w:rsidR="003C297B" w:rsidRPr="003C297B" w:rsidRDefault="003C297B" w:rsidP="003C297B">
            <w:pPr>
              <w:pStyle w:val="TableText"/>
              <w:rPr>
                <w:szCs w:val="17"/>
              </w:rPr>
            </w:pPr>
            <w:r w:rsidRPr="003C297B">
              <w:rPr>
                <w:i/>
                <w:iCs/>
                <w:szCs w:val="17"/>
              </w:rPr>
              <w:t>Eisenia fetida</w:t>
            </w:r>
          </w:p>
        </w:tc>
        <w:tc>
          <w:tcPr>
            <w:tcW w:w="0" w:type="auto"/>
            <w:tcBorders>
              <w:top w:val="single" w:sz="4" w:space="0" w:color="auto"/>
              <w:left w:val="nil"/>
              <w:bottom w:val="single" w:sz="4" w:space="0" w:color="auto"/>
              <w:right w:val="nil"/>
            </w:tcBorders>
          </w:tcPr>
          <w:p w14:paraId="196FDEEA" w14:textId="77777777" w:rsidR="003C297B" w:rsidRPr="003C297B" w:rsidRDefault="003C297B" w:rsidP="003C297B">
            <w:pPr>
              <w:pStyle w:val="TableText"/>
              <w:rPr>
                <w:szCs w:val="17"/>
              </w:rPr>
            </w:pPr>
            <w:r w:rsidRPr="003C297B">
              <w:rPr>
                <w:szCs w:val="17"/>
              </w:rPr>
              <w:t>NOEC 37 mg ac/kg ds</w:t>
            </w:r>
          </w:p>
        </w:tc>
        <w:tc>
          <w:tcPr>
            <w:tcW w:w="0" w:type="auto"/>
            <w:tcBorders>
              <w:top w:val="single" w:sz="4" w:space="0" w:color="auto"/>
              <w:left w:val="nil"/>
              <w:bottom w:val="single" w:sz="4" w:space="0" w:color="auto"/>
              <w:right w:val="nil"/>
            </w:tcBorders>
          </w:tcPr>
          <w:p w14:paraId="73C77C2A" w14:textId="77777777" w:rsidR="003C297B" w:rsidRPr="003C297B" w:rsidRDefault="003C297B" w:rsidP="003C297B">
            <w:pPr>
              <w:pStyle w:val="TableText"/>
              <w:rPr>
                <w:szCs w:val="17"/>
              </w:rPr>
            </w:pPr>
            <w:r w:rsidRPr="003C297B">
              <w:rPr>
                <w:szCs w:val="17"/>
              </w:rPr>
              <w:t>Friedrich 2007a</w:t>
            </w:r>
          </w:p>
        </w:tc>
      </w:tr>
      <w:tr w:rsidR="003C297B" w:rsidRPr="000B2FA7" w14:paraId="3320EEED" w14:textId="77777777" w:rsidTr="003C297B">
        <w:tc>
          <w:tcPr>
            <w:tcW w:w="0" w:type="auto"/>
            <w:vMerge/>
            <w:tcBorders>
              <w:left w:val="nil"/>
              <w:right w:val="nil"/>
            </w:tcBorders>
          </w:tcPr>
          <w:p w14:paraId="7E725293" w14:textId="77777777" w:rsidR="003C297B" w:rsidRPr="003C297B" w:rsidRDefault="003C297B" w:rsidP="003C297B">
            <w:pPr>
              <w:pStyle w:val="TableText"/>
              <w:rPr>
                <w:szCs w:val="17"/>
              </w:rPr>
            </w:pPr>
          </w:p>
        </w:tc>
        <w:tc>
          <w:tcPr>
            <w:tcW w:w="0" w:type="auto"/>
            <w:vMerge/>
            <w:tcBorders>
              <w:left w:val="nil"/>
              <w:right w:val="nil"/>
            </w:tcBorders>
          </w:tcPr>
          <w:p w14:paraId="02D6DF9F" w14:textId="77777777" w:rsidR="003C297B" w:rsidRPr="003C297B" w:rsidRDefault="003C297B" w:rsidP="003C297B">
            <w:pPr>
              <w:pStyle w:val="TableText"/>
              <w:rPr>
                <w:szCs w:val="17"/>
              </w:rPr>
            </w:pPr>
          </w:p>
        </w:tc>
        <w:tc>
          <w:tcPr>
            <w:tcW w:w="0" w:type="auto"/>
            <w:vMerge/>
            <w:tcBorders>
              <w:left w:val="nil"/>
              <w:right w:val="nil"/>
            </w:tcBorders>
          </w:tcPr>
          <w:p w14:paraId="084D80F3"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2058A7DF" w14:textId="77777777" w:rsidR="003C297B" w:rsidRPr="003C297B" w:rsidRDefault="003C297B" w:rsidP="003C297B">
            <w:pPr>
              <w:pStyle w:val="TableText"/>
              <w:rPr>
                <w:i/>
                <w:iCs/>
                <w:szCs w:val="17"/>
              </w:rPr>
            </w:pPr>
            <w:r w:rsidRPr="003C297B">
              <w:rPr>
                <w:i/>
                <w:iCs/>
                <w:szCs w:val="17"/>
              </w:rPr>
              <w:t>Folsomia candida</w:t>
            </w:r>
          </w:p>
        </w:tc>
        <w:tc>
          <w:tcPr>
            <w:tcW w:w="0" w:type="auto"/>
            <w:tcBorders>
              <w:top w:val="single" w:sz="4" w:space="0" w:color="auto"/>
              <w:left w:val="nil"/>
              <w:bottom w:val="single" w:sz="4" w:space="0" w:color="auto"/>
              <w:right w:val="nil"/>
            </w:tcBorders>
          </w:tcPr>
          <w:p w14:paraId="042CEC53" w14:textId="77777777" w:rsidR="003C297B" w:rsidRPr="003C297B" w:rsidRDefault="003C297B" w:rsidP="003C297B">
            <w:pPr>
              <w:pStyle w:val="TableText"/>
              <w:rPr>
                <w:szCs w:val="17"/>
              </w:rPr>
            </w:pPr>
            <w:r w:rsidRPr="003C297B">
              <w:rPr>
                <w:szCs w:val="17"/>
              </w:rPr>
              <w:t>NOEC 9.4 mg ac/kg ds</w:t>
            </w:r>
          </w:p>
        </w:tc>
        <w:tc>
          <w:tcPr>
            <w:tcW w:w="0" w:type="auto"/>
            <w:tcBorders>
              <w:top w:val="single" w:sz="4" w:space="0" w:color="auto"/>
              <w:left w:val="nil"/>
              <w:bottom w:val="single" w:sz="4" w:space="0" w:color="auto"/>
              <w:right w:val="nil"/>
            </w:tcBorders>
          </w:tcPr>
          <w:p w14:paraId="4A72D9F8" w14:textId="77777777" w:rsidR="003C297B" w:rsidRPr="003C297B" w:rsidRDefault="003C297B" w:rsidP="003C297B">
            <w:pPr>
              <w:pStyle w:val="TableText"/>
              <w:rPr>
                <w:szCs w:val="17"/>
              </w:rPr>
            </w:pPr>
            <w:r w:rsidRPr="003C297B">
              <w:rPr>
                <w:szCs w:val="17"/>
              </w:rPr>
              <w:t>Friedrich 2007b</w:t>
            </w:r>
          </w:p>
        </w:tc>
      </w:tr>
      <w:tr w:rsidR="003C297B" w:rsidRPr="000B2FA7" w14:paraId="791C9AD5" w14:textId="77777777" w:rsidTr="003C297B">
        <w:tc>
          <w:tcPr>
            <w:tcW w:w="0" w:type="auto"/>
            <w:vMerge/>
            <w:tcBorders>
              <w:left w:val="nil"/>
              <w:right w:val="nil"/>
            </w:tcBorders>
          </w:tcPr>
          <w:p w14:paraId="117AC494"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2DD42A5F"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3F6A58BA"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6DDAA5B8" w14:textId="77777777" w:rsidR="003C297B" w:rsidRPr="003C297B" w:rsidRDefault="003C297B" w:rsidP="003C297B">
            <w:pPr>
              <w:pStyle w:val="TableText"/>
              <w:rPr>
                <w:i/>
                <w:iCs/>
                <w:szCs w:val="17"/>
              </w:rPr>
            </w:pPr>
            <w:r w:rsidRPr="003C297B">
              <w:rPr>
                <w:i/>
                <w:iCs/>
                <w:szCs w:val="17"/>
              </w:rPr>
              <w:t>Hypoaspis aculeifer</w:t>
            </w:r>
          </w:p>
        </w:tc>
        <w:tc>
          <w:tcPr>
            <w:tcW w:w="0" w:type="auto"/>
            <w:tcBorders>
              <w:top w:val="single" w:sz="4" w:space="0" w:color="auto"/>
              <w:left w:val="nil"/>
              <w:bottom w:val="single" w:sz="4" w:space="0" w:color="auto"/>
              <w:right w:val="nil"/>
            </w:tcBorders>
          </w:tcPr>
          <w:p w14:paraId="78146EFD" w14:textId="77777777" w:rsidR="003C297B" w:rsidRPr="003C297B" w:rsidRDefault="003C297B" w:rsidP="003C297B">
            <w:pPr>
              <w:pStyle w:val="TableText"/>
              <w:rPr>
                <w:szCs w:val="17"/>
              </w:rPr>
            </w:pPr>
            <w:r w:rsidRPr="003C297B">
              <w:rPr>
                <w:szCs w:val="17"/>
              </w:rPr>
              <w:t>NOEC 50 mg ac/kg ds</w:t>
            </w:r>
          </w:p>
        </w:tc>
        <w:tc>
          <w:tcPr>
            <w:tcW w:w="0" w:type="auto"/>
            <w:tcBorders>
              <w:top w:val="single" w:sz="4" w:space="0" w:color="auto"/>
              <w:left w:val="nil"/>
              <w:bottom w:val="single" w:sz="4" w:space="0" w:color="auto"/>
              <w:right w:val="nil"/>
            </w:tcBorders>
          </w:tcPr>
          <w:p w14:paraId="42F2D686" w14:textId="77777777" w:rsidR="003C297B" w:rsidRPr="003C297B" w:rsidRDefault="003C297B" w:rsidP="003C297B">
            <w:pPr>
              <w:pStyle w:val="TableText"/>
              <w:rPr>
                <w:szCs w:val="17"/>
              </w:rPr>
            </w:pPr>
            <w:r w:rsidRPr="003C297B">
              <w:rPr>
                <w:szCs w:val="17"/>
              </w:rPr>
              <w:t>Schultz 2007a</w:t>
            </w:r>
          </w:p>
        </w:tc>
      </w:tr>
      <w:tr w:rsidR="003C297B" w:rsidRPr="000B2FA7" w14:paraId="7EA6E52A" w14:textId="77777777" w:rsidTr="003C297B">
        <w:tc>
          <w:tcPr>
            <w:tcW w:w="0" w:type="auto"/>
            <w:vMerge/>
            <w:tcBorders>
              <w:left w:val="nil"/>
              <w:right w:val="nil"/>
            </w:tcBorders>
          </w:tcPr>
          <w:p w14:paraId="596CDA82" w14:textId="77777777" w:rsidR="003C297B" w:rsidRPr="003C297B" w:rsidRDefault="003C297B" w:rsidP="003C297B">
            <w:pPr>
              <w:pStyle w:val="TableText"/>
              <w:rPr>
                <w:szCs w:val="17"/>
              </w:rPr>
            </w:pPr>
          </w:p>
        </w:tc>
        <w:tc>
          <w:tcPr>
            <w:tcW w:w="0" w:type="auto"/>
            <w:vMerge w:val="restart"/>
            <w:tcBorders>
              <w:top w:val="single" w:sz="4" w:space="0" w:color="auto"/>
              <w:left w:val="nil"/>
              <w:right w:val="nil"/>
            </w:tcBorders>
          </w:tcPr>
          <w:p w14:paraId="40079441" w14:textId="77777777" w:rsidR="003C297B" w:rsidRPr="003C297B" w:rsidRDefault="003C297B" w:rsidP="003C297B">
            <w:pPr>
              <w:pStyle w:val="TableText"/>
              <w:rPr>
                <w:szCs w:val="17"/>
              </w:rPr>
            </w:pPr>
            <w:r w:rsidRPr="003C297B">
              <w:rPr>
                <w:szCs w:val="17"/>
              </w:rPr>
              <w:t>Micro-organisms</w:t>
            </w:r>
          </w:p>
        </w:tc>
        <w:tc>
          <w:tcPr>
            <w:tcW w:w="0" w:type="auto"/>
            <w:vMerge w:val="restart"/>
            <w:tcBorders>
              <w:top w:val="single" w:sz="4" w:space="0" w:color="auto"/>
              <w:left w:val="nil"/>
              <w:right w:val="nil"/>
            </w:tcBorders>
          </w:tcPr>
          <w:p w14:paraId="7DCF5215" w14:textId="77777777" w:rsidR="003C297B" w:rsidRPr="003C297B" w:rsidRDefault="003C297B" w:rsidP="003C297B">
            <w:pPr>
              <w:pStyle w:val="TableText"/>
              <w:rPr>
                <w:szCs w:val="17"/>
              </w:rPr>
            </w:pPr>
            <w:r w:rsidRPr="003C297B">
              <w:rPr>
                <w:szCs w:val="17"/>
              </w:rPr>
              <w:t>Chronic</w:t>
            </w:r>
          </w:p>
        </w:tc>
        <w:tc>
          <w:tcPr>
            <w:tcW w:w="0" w:type="auto"/>
            <w:vMerge w:val="restart"/>
            <w:tcBorders>
              <w:top w:val="single" w:sz="4" w:space="0" w:color="auto"/>
              <w:left w:val="nil"/>
              <w:right w:val="nil"/>
            </w:tcBorders>
          </w:tcPr>
          <w:p w14:paraId="158CF2FB" w14:textId="77777777" w:rsidR="003C297B" w:rsidRPr="003C297B" w:rsidRDefault="003C297B" w:rsidP="003C297B">
            <w:pPr>
              <w:pStyle w:val="TableText"/>
              <w:rPr>
                <w:i/>
                <w:iCs/>
                <w:szCs w:val="17"/>
              </w:rPr>
            </w:pPr>
            <w:r w:rsidRPr="003C297B">
              <w:rPr>
                <w:szCs w:val="17"/>
              </w:rPr>
              <w:t>Nitrification</w:t>
            </w:r>
          </w:p>
        </w:tc>
        <w:tc>
          <w:tcPr>
            <w:tcW w:w="0" w:type="auto"/>
            <w:tcBorders>
              <w:top w:val="single" w:sz="4" w:space="0" w:color="auto"/>
              <w:left w:val="nil"/>
              <w:bottom w:val="single" w:sz="4" w:space="0" w:color="auto"/>
              <w:right w:val="nil"/>
            </w:tcBorders>
          </w:tcPr>
          <w:p w14:paraId="5B524AB1" w14:textId="77777777" w:rsidR="003C297B" w:rsidRPr="003C297B" w:rsidRDefault="003C297B" w:rsidP="003C297B">
            <w:pPr>
              <w:pStyle w:val="TableText"/>
              <w:rPr>
                <w:szCs w:val="17"/>
              </w:rPr>
            </w:pPr>
            <w:r w:rsidRPr="003C297B">
              <w:rPr>
                <w:szCs w:val="17"/>
              </w:rPr>
              <w:t>NOEC 3.4 mg ac/kg ds</w:t>
            </w:r>
          </w:p>
        </w:tc>
        <w:tc>
          <w:tcPr>
            <w:tcW w:w="0" w:type="auto"/>
            <w:tcBorders>
              <w:top w:val="single" w:sz="4" w:space="0" w:color="auto"/>
              <w:left w:val="nil"/>
              <w:bottom w:val="single" w:sz="4" w:space="0" w:color="auto"/>
              <w:right w:val="nil"/>
            </w:tcBorders>
          </w:tcPr>
          <w:p w14:paraId="7F085B63" w14:textId="77777777" w:rsidR="003C297B" w:rsidRPr="003C297B" w:rsidRDefault="003C297B" w:rsidP="003C297B">
            <w:pPr>
              <w:pStyle w:val="TableText"/>
              <w:rPr>
                <w:szCs w:val="17"/>
              </w:rPr>
            </w:pPr>
            <w:r w:rsidRPr="003C297B">
              <w:rPr>
                <w:szCs w:val="17"/>
              </w:rPr>
              <w:t>Bender 2006c</w:t>
            </w:r>
          </w:p>
        </w:tc>
      </w:tr>
      <w:tr w:rsidR="003C297B" w:rsidRPr="000B2FA7" w14:paraId="7A5441FE" w14:textId="77777777" w:rsidTr="003C297B">
        <w:tc>
          <w:tcPr>
            <w:tcW w:w="0" w:type="auto"/>
            <w:vMerge/>
            <w:tcBorders>
              <w:left w:val="nil"/>
              <w:bottom w:val="single" w:sz="4" w:space="0" w:color="auto"/>
              <w:right w:val="nil"/>
            </w:tcBorders>
          </w:tcPr>
          <w:p w14:paraId="63B2745E"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50271A95"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07339735"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613C6DE5"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6650D962" w14:textId="77777777" w:rsidR="003C297B" w:rsidRPr="003C297B" w:rsidRDefault="003C297B" w:rsidP="003C297B">
            <w:pPr>
              <w:pStyle w:val="TableText"/>
              <w:rPr>
                <w:szCs w:val="17"/>
              </w:rPr>
            </w:pPr>
            <w:r w:rsidRPr="003C297B">
              <w:rPr>
                <w:szCs w:val="17"/>
              </w:rPr>
              <w:t>NOEC 500 mg ac/kg ds</w:t>
            </w:r>
          </w:p>
        </w:tc>
        <w:tc>
          <w:tcPr>
            <w:tcW w:w="0" w:type="auto"/>
            <w:tcBorders>
              <w:top w:val="single" w:sz="4" w:space="0" w:color="auto"/>
              <w:left w:val="nil"/>
              <w:bottom w:val="single" w:sz="4" w:space="0" w:color="auto"/>
              <w:right w:val="nil"/>
            </w:tcBorders>
          </w:tcPr>
          <w:p w14:paraId="46B073B8" w14:textId="77777777" w:rsidR="003C297B" w:rsidRPr="003C297B" w:rsidRDefault="003C297B" w:rsidP="003C297B">
            <w:pPr>
              <w:pStyle w:val="TableText"/>
              <w:rPr>
                <w:szCs w:val="17"/>
              </w:rPr>
            </w:pPr>
            <w:r w:rsidRPr="003C297B">
              <w:rPr>
                <w:szCs w:val="17"/>
              </w:rPr>
              <w:t>Schultz 2007b</w:t>
            </w:r>
          </w:p>
        </w:tc>
      </w:tr>
      <w:tr w:rsidR="003C297B" w:rsidRPr="000B2FA7" w14:paraId="066972BA" w14:textId="77777777" w:rsidTr="003C297B">
        <w:tc>
          <w:tcPr>
            <w:tcW w:w="0" w:type="auto"/>
            <w:vMerge w:val="restart"/>
            <w:tcBorders>
              <w:top w:val="single" w:sz="4" w:space="0" w:color="auto"/>
              <w:left w:val="nil"/>
              <w:right w:val="nil"/>
            </w:tcBorders>
          </w:tcPr>
          <w:p w14:paraId="0D74998C" w14:textId="77777777" w:rsidR="003C297B" w:rsidRPr="003C297B" w:rsidRDefault="003C297B" w:rsidP="003C297B">
            <w:pPr>
              <w:pStyle w:val="TableText"/>
              <w:rPr>
                <w:szCs w:val="17"/>
              </w:rPr>
            </w:pPr>
            <w:r w:rsidRPr="003C297B">
              <w:rPr>
                <w:szCs w:val="17"/>
              </w:rPr>
              <w:t>TOPPS</w:t>
            </w:r>
          </w:p>
        </w:tc>
        <w:tc>
          <w:tcPr>
            <w:tcW w:w="0" w:type="auto"/>
            <w:vMerge w:val="restart"/>
            <w:tcBorders>
              <w:top w:val="single" w:sz="4" w:space="0" w:color="auto"/>
              <w:left w:val="nil"/>
              <w:right w:val="nil"/>
            </w:tcBorders>
          </w:tcPr>
          <w:p w14:paraId="4D335578" w14:textId="77777777" w:rsidR="003C297B" w:rsidRPr="003C297B" w:rsidRDefault="003C297B" w:rsidP="003C297B">
            <w:pPr>
              <w:pStyle w:val="TableText"/>
              <w:rPr>
                <w:szCs w:val="17"/>
              </w:rPr>
            </w:pPr>
            <w:r w:rsidRPr="003C297B">
              <w:rPr>
                <w:szCs w:val="17"/>
              </w:rPr>
              <w:t>Macro-organisms</w:t>
            </w:r>
          </w:p>
        </w:tc>
        <w:tc>
          <w:tcPr>
            <w:tcW w:w="0" w:type="auto"/>
            <w:vMerge w:val="restart"/>
            <w:tcBorders>
              <w:top w:val="single" w:sz="4" w:space="0" w:color="auto"/>
              <w:left w:val="nil"/>
              <w:right w:val="nil"/>
            </w:tcBorders>
          </w:tcPr>
          <w:p w14:paraId="4562AC9E"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tcPr>
          <w:p w14:paraId="758502EF" w14:textId="77777777" w:rsidR="003C297B" w:rsidRPr="003C297B" w:rsidRDefault="003C297B" w:rsidP="003C297B">
            <w:pPr>
              <w:pStyle w:val="TableText"/>
              <w:rPr>
                <w:szCs w:val="17"/>
              </w:rPr>
            </w:pPr>
            <w:r w:rsidRPr="003C297B">
              <w:rPr>
                <w:i/>
                <w:iCs/>
                <w:szCs w:val="17"/>
              </w:rPr>
              <w:t>Eisenia fetida</w:t>
            </w:r>
          </w:p>
        </w:tc>
        <w:tc>
          <w:tcPr>
            <w:tcW w:w="0" w:type="auto"/>
            <w:tcBorders>
              <w:top w:val="single" w:sz="4" w:space="0" w:color="auto"/>
              <w:left w:val="nil"/>
              <w:bottom w:val="single" w:sz="4" w:space="0" w:color="auto"/>
              <w:right w:val="nil"/>
            </w:tcBorders>
          </w:tcPr>
          <w:p w14:paraId="0ACE8D5A" w14:textId="77777777" w:rsidR="003C297B" w:rsidRPr="003C297B" w:rsidRDefault="003C297B" w:rsidP="003C297B">
            <w:pPr>
              <w:pStyle w:val="TableText"/>
              <w:rPr>
                <w:szCs w:val="17"/>
              </w:rPr>
            </w:pPr>
            <w:r w:rsidRPr="003C297B">
              <w:rPr>
                <w:szCs w:val="17"/>
              </w:rPr>
              <w:t>NOEC 80 mg/kg ds</w:t>
            </w:r>
          </w:p>
        </w:tc>
        <w:tc>
          <w:tcPr>
            <w:tcW w:w="0" w:type="auto"/>
            <w:tcBorders>
              <w:top w:val="single" w:sz="4" w:space="0" w:color="auto"/>
              <w:left w:val="nil"/>
              <w:bottom w:val="single" w:sz="4" w:space="0" w:color="auto"/>
              <w:right w:val="nil"/>
            </w:tcBorders>
          </w:tcPr>
          <w:p w14:paraId="3111795B" w14:textId="77777777" w:rsidR="003C297B" w:rsidRPr="003C297B" w:rsidRDefault="003C297B" w:rsidP="003C297B">
            <w:pPr>
              <w:pStyle w:val="TableText"/>
              <w:rPr>
                <w:szCs w:val="17"/>
              </w:rPr>
            </w:pPr>
            <w:r w:rsidRPr="003C297B">
              <w:rPr>
                <w:szCs w:val="17"/>
              </w:rPr>
              <w:t>Friedrich 2011a</w:t>
            </w:r>
          </w:p>
        </w:tc>
      </w:tr>
      <w:tr w:rsidR="003C297B" w:rsidRPr="000B2FA7" w14:paraId="70B53DA1" w14:textId="77777777" w:rsidTr="003C297B">
        <w:tc>
          <w:tcPr>
            <w:tcW w:w="0" w:type="auto"/>
            <w:vMerge/>
            <w:tcBorders>
              <w:left w:val="nil"/>
              <w:right w:val="nil"/>
            </w:tcBorders>
          </w:tcPr>
          <w:p w14:paraId="1662F4CF" w14:textId="77777777" w:rsidR="003C297B" w:rsidRPr="003C297B" w:rsidRDefault="003C297B" w:rsidP="003C297B">
            <w:pPr>
              <w:pStyle w:val="TableText"/>
              <w:rPr>
                <w:szCs w:val="17"/>
              </w:rPr>
            </w:pPr>
          </w:p>
        </w:tc>
        <w:tc>
          <w:tcPr>
            <w:tcW w:w="0" w:type="auto"/>
            <w:vMerge/>
            <w:tcBorders>
              <w:left w:val="nil"/>
              <w:right w:val="nil"/>
            </w:tcBorders>
          </w:tcPr>
          <w:p w14:paraId="6D565541" w14:textId="77777777" w:rsidR="003C297B" w:rsidRPr="003C297B" w:rsidRDefault="003C297B" w:rsidP="003C297B">
            <w:pPr>
              <w:pStyle w:val="TableText"/>
              <w:rPr>
                <w:szCs w:val="17"/>
              </w:rPr>
            </w:pPr>
          </w:p>
        </w:tc>
        <w:tc>
          <w:tcPr>
            <w:tcW w:w="0" w:type="auto"/>
            <w:vMerge/>
            <w:tcBorders>
              <w:left w:val="nil"/>
              <w:right w:val="nil"/>
            </w:tcBorders>
          </w:tcPr>
          <w:p w14:paraId="24119753"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51E7169B" w14:textId="77777777" w:rsidR="003C297B" w:rsidRPr="003C297B" w:rsidRDefault="003C297B" w:rsidP="003C297B">
            <w:pPr>
              <w:pStyle w:val="TableText"/>
              <w:rPr>
                <w:i/>
                <w:iCs/>
                <w:szCs w:val="17"/>
              </w:rPr>
            </w:pPr>
            <w:r w:rsidRPr="003C297B">
              <w:rPr>
                <w:i/>
                <w:iCs/>
                <w:szCs w:val="17"/>
              </w:rPr>
              <w:t>Folsomia candida</w:t>
            </w:r>
          </w:p>
        </w:tc>
        <w:tc>
          <w:tcPr>
            <w:tcW w:w="0" w:type="auto"/>
            <w:tcBorders>
              <w:top w:val="single" w:sz="4" w:space="0" w:color="auto"/>
              <w:left w:val="nil"/>
              <w:bottom w:val="single" w:sz="4" w:space="0" w:color="auto"/>
              <w:right w:val="nil"/>
            </w:tcBorders>
          </w:tcPr>
          <w:p w14:paraId="295B0EC7" w14:textId="77777777" w:rsidR="003C297B" w:rsidRPr="003C297B" w:rsidRDefault="003C297B" w:rsidP="003C297B">
            <w:pPr>
              <w:pStyle w:val="TableText"/>
              <w:rPr>
                <w:szCs w:val="17"/>
              </w:rPr>
            </w:pPr>
            <w:r w:rsidRPr="003C297B">
              <w:rPr>
                <w:szCs w:val="17"/>
              </w:rPr>
              <w:t>NOEC 144 mg/kg ds</w:t>
            </w:r>
          </w:p>
        </w:tc>
        <w:tc>
          <w:tcPr>
            <w:tcW w:w="0" w:type="auto"/>
            <w:tcBorders>
              <w:top w:val="single" w:sz="4" w:space="0" w:color="auto"/>
              <w:left w:val="nil"/>
              <w:bottom w:val="single" w:sz="4" w:space="0" w:color="auto"/>
              <w:right w:val="nil"/>
            </w:tcBorders>
          </w:tcPr>
          <w:p w14:paraId="2552B34C" w14:textId="77777777" w:rsidR="003C297B" w:rsidRPr="003C297B" w:rsidRDefault="003C297B" w:rsidP="003C297B">
            <w:pPr>
              <w:pStyle w:val="TableText"/>
              <w:rPr>
                <w:szCs w:val="17"/>
              </w:rPr>
            </w:pPr>
            <w:r w:rsidRPr="003C297B">
              <w:rPr>
                <w:szCs w:val="17"/>
              </w:rPr>
              <w:t>Friedrich 2011b</w:t>
            </w:r>
          </w:p>
        </w:tc>
      </w:tr>
      <w:tr w:rsidR="003C297B" w:rsidRPr="000B2FA7" w14:paraId="4DE2EA1D" w14:textId="77777777" w:rsidTr="003C297B">
        <w:tc>
          <w:tcPr>
            <w:tcW w:w="0" w:type="auto"/>
            <w:vMerge/>
            <w:tcBorders>
              <w:left w:val="nil"/>
              <w:right w:val="nil"/>
            </w:tcBorders>
          </w:tcPr>
          <w:p w14:paraId="740A2D37"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45758E31"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49DCC757"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35D830C5" w14:textId="77777777" w:rsidR="003C297B" w:rsidRPr="003C297B" w:rsidRDefault="003C297B" w:rsidP="003C297B">
            <w:pPr>
              <w:pStyle w:val="TableText"/>
              <w:rPr>
                <w:i/>
                <w:iCs/>
                <w:szCs w:val="17"/>
              </w:rPr>
            </w:pPr>
            <w:r w:rsidRPr="003C297B">
              <w:rPr>
                <w:i/>
                <w:iCs/>
                <w:szCs w:val="17"/>
              </w:rPr>
              <w:t>Hypoaspis aculeifer</w:t>
            </w:r>
          </w:p>
        </w:tc>
        <w:tc>
          <w:tcPr>
            <w:tcW w:w="0" w:type="auto"/>
            <w:tcBorders>
              <w:top w:val="single" w:sz="4" w:space="0" w:color="auto"/>
              <w:left w:val="nil"/>
              <w:bottom w:val="single" w:sz="4" w:space="0" w:color="auto"/>
              <w:right w:val="nil"/>
            </w:tcBorders>
          </w:tcPr>
          <w:p w14:paraId="41D3B914" w14:textId="77777777" w:rsidR="003C297B" w:rsidRPr="003C297B" w:rsidRDefault="003C297B" w:rsidP="003C297B">
            <w:pPr>
              <w:pStyle w:val="TableText"/>
              <w:rPr>
                <w:szCs w:val="17"/>
              </w:rPr>
            </w:pPr>
            <w:r w:rsidRPr="003C297B">
              <w:rPr>
                <w:szCs w:val="17"/>
              </w:rPr>
              <w:t>NOEC 320 mg/kg ds</w:t>
            </w:r>
          </w:p>
        </w:tc>
        <w:tc>
          <w:tcPr>
            <w:tcW w:w="0" w:type="auto"/>
            <w:tcBorders>
              <w:top w:val="single" w:sz="4" w:space="0" w:color="auto"/>
              <w:left w:val="nil"/>
              <w:bottom w:val="single" w:sz="4" w:space="0" w:color="auto"/>
              <w:right w:val="nil"/>
            </w:tcBorders>
          </w:tcPr>
          <w:p w14:paraId="727000FD" w14:textId="77777777" w:rsidR="003C297B" w:rsidRPr="003C297B" w:rsidRDefault="003C297B" w:rsidP="003C297B">
            <w:pPr>
              <w:pStyle w:val="TableText"/>
              <w:rPr>
                <w:szCs w:val="17"/>
              </w:rPr>
            </w:pPr>
            <w:r w:rsidRPr="003C297B">
              <w:rPr>
                <w:szCs w:val="17"/>
              </w:rPr>
              <w:t>Schultz 2011a</w:t>
            </w:r>
          </w:p>
        </w:tc>
      </w:tr>
      <w:tr w:rsidR="003C297B" w:rsidRPr="000B2FA7" w14:paraId="726114F0" w14:textId="77777777" w:rsidTr="00E02163">
        <w:tc>
          <w:tcPr>
            <w:tcW w:w="0" w:type="auto"/>
            <w:vMerge/>
            <w:tcBorders>
              <w:left w:val="nil"/>
              <w:bottom w:val="single" w:sz="4" w:space="0" w:color="auto"/>
              <w:right w:val="nil"/>
            </w:tcBorders>
          </w:tcPr>
          <w:p w14:paraId="153C2C49"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407BA684" w14:textId="77777777" w:rsidR="003C297B" w:rsidRPr="003C297B" w:rsidRDefault="003C297B" w:rsidP="003C297B">
            <w:pPr>
              <w:pStyle w:val="TableText"/>
              <w:rPr>
                <w:szCs w:val="17"/>
              </w:rPr>
            </w:pPr>
            <w:r w:rsidRPr="003C297B">
              <w:rPr>
                <w:szCs w:val="17"/>
              </w:rPr>
              <w:t>Micro-organisms</w:t>
            </w:r>
          </w:p>
        </w:tc>
        <w:tc>
          <w:tcPr>
            <w:tcW w:w="0" w:type="auto"/>
            <w:tcBorders>
              <w:top w:val="single" w:sz="4" w:space="0" w:color="auto"/>
              <w:left w:val="nil"/>
              <w:bottom w:val="single" w:sz="4" w:space="0" w:color="auto"/>
              <w:right w:val="nil"/>
            </w:tcBorders>
          </w:tcPr>
          <w:p w14:paraId="62AFE00E"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tcPr>
          <w:p w14:paraId="10336B94" w14:textId="77777777" w:rsidR="003C297B" w:rsidRPr="003C297B" w:rsidRDefault="003C297B" w:rsidP="003C297B">
            <w:pPr>
              <w:pStyle w:val="TableText"/>
              <w:rPr>
                <w:szCs w:val="17"/>
              </w:rPr>
            </w:pPr>
            <w:r w:rsidRPr="003C297B">
              <w:rPr>
                <w:szCs w:val="17"/>
              </w:rPr>
              <w:t>Nitrification</w:t>
            </w:r>
          </w:p>
        </w:tc>
        <w:tc>
          <w:tcPr>
            <w:tcW w:w="0" w:type="auto"/>
            <w:tcBorders>
              <w:top w:val="single" w:sz="4" w:space="0" w:color="auto"/>
              <w:left w:val="nil"/>
              <w:bottom w:val="single" w:sz="4" w:space="0" w:color="auto"/>
              <w:right w:val="nil"/>
            </w:tcBorders>
          </w:tcPr>
          <w:p w14:paraId="1FB2D539" w14:textId="77777777" w:rsidR="003C297B" w:rsidRPr="003C297B" w:rsidRDefault="003C297B" w:rsidP="003C297B">
            <w:pPr>
              <w:pStyle w:val="TableText"/>
              <w:rPr>
                <w:szCs w:val="17"/>
              </w:rPr>
            </w:pPr>
            <w:r w:rsidRPr="003C297B">
              <w:rPr>
                <w:szCs w:val="17"/>
              </w:rPr>
              <w:t>NOEC 160 mg/kg ds</w:t>
            </w:r>
          </w:p>
        </w:tc>
        <w:tc>
          <w:tcPr>
            <w:tcW w:w="0" w:type="auto"/>
            <w:tcBorders>
              <w:top w:val="single" w:sz="4" w:space="0" w:color="auto"/>
              <w:left w:val="nil"/>
              <w:bottom w:val="single" w:sz="4" w:space="0" w:color="auto"/>
              <w:right w:val="nil"/>
            </w:tcBorders>
          </w:tcPr>
          <w:p w14:paraId="2AAAB7FC" w14:textId="77777777" w:rsidR="003C297B" w:rsidRPr="003C297B" w:rsidRDefault="003C297B" w:rsidP="003C297B">
            <w:pPr>
              <w:pStyle w:val="TableText"/>
              <w:rPr>
                <w:szCs w:val="17"/>
              </w:rPr>
            </w:pPr>
            <w:r w:rsidRPr="003C297B">
              <w:rPr>
                <w:szCs w:val="17"/>
              </w:rPr>
              <w:t>Schultz 2011b</w:t>
            </w:r>
          </w:p>
        </w:tc>
      </w:tr>
    </w:tbl>
    <w:p w14:paraId="00092CBB" w14:textId="1FB00E5A" w:rsidR="00AE1794" w:rsidRPr="00247DE6" w:rsidRDefault="005B7DDF" w:rsidP="00247DE6">
      <w:pPr>
        <w:pStyle w:val="Caption"/>
      </w:pPr>
      <w:bookmarkStart w:id="493" w:name="_Toc232589647"/>
      <w:r w:rsidRPr="00247DE6">
        <w:t xml:space="preserve">Table </w:t>
      </w:r>
      <w:fldSimple w:instr=" SEQ Table \* ARABIC ">
        <w:r w:rsidR="00247DE6">
          <w:rPr>
            <w:noProof/>
          </w:rPr>
          <w:t>52</w:t>
        </w:r>
      </w:fldSimple>
      <w:r w:rsidRPr="00247DE6">
        <w:t xml:space="preserve">: </w:t>
      </w:r>
      <w:r w:rsidR="00294CD3" w:rsidRPr="00247DE6">
        <w:t xml:space="preserve">Diquat – </w:t>
      </w:r>
      <w:r w:rsidR="003C297B" w:rsidRPr="00247DE6">
        <w:t>f</w:t>
      </w:r>
      <w:r w:rsidR="00AE1794" w:rsidRPr="00247DE6">
        <w:t>ield studies on soil organisms</w:t>
      </w:r>
      <w:bookmarkEnd w:id="493"/>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2"/>
        <w:gridCol w:w="2229"/>
        <w:gridCol w:w="3991"/>
        <w:gridCol w:w="2420"/>
      </w:tblGrid>
      <w:tr w:rsidR="00AE1794" w:rsidRPr="000B2FA7" w14:paraId="4B99CB57" w14:textId="77777777" w:rsidTr="00502F10">
        <w:trPr>
          <w:tblHeader/>
        </w:trPr>
        <w:tc>
          <w:tcPr>
            <w:tcW w:w="0" w:type="auto"/>
            <w:tcBorders>
              <w:right w:val="nil"/>
            </w:tcBorders>
            <w:shd w:val="clear" w:color="auto" w:fill="5C2946"/>
          </w:tcPr>
          <w:p w14:paraId="7B05A526" w14:textId="77777777" w:rsidR="00AE1794" w:rsidRPr="003C297B" w:rsidRDefault="00AE1794" w:rsidP="003C297B">
            <w:pPr>
              <w:pStyle w:val="TableHead"/>
            </w:pPr>
            <w:r w:rsidRPr="003C297B">
              <w:t>Substance</w:t>
            </w:r>
          </w:p>
        </w:tc>
        <w:tc>
          <w:tcPr>
            <w:tcW w:w="1143" w:type="pct"/>
            <w:tcBorders>
              <w:left w:val="nil"/>
              <w:right w:val="nil"/>
            </w:tcBorders>
            <w:shd w:val="clear" w:color="auto" w:fill="5C2946"/>
          </w:tcPr>
          <w:p w14:paraId="229D8AE2" w14:textId="77777777" w:rsidR="00AE1794" w:rsidRPr="003C297B" w:rsidRDefault="00AE1794" w:rsidP="003C297B">
            <w:pPr>
              <w:pStyle w:val="TableHead"/>
            </w:pPr>
            <w:r w:rsidRPr="003C297B">
              <w:t>Exposure</w:t>
            </w:r>
          </w:p>
        </w:tc>
        <w:tc>
          <w:tcPr>
            <w:tcW w:w="2046" w:type="pct"/>
            <w:tcBorders>
              <w:left w:val="nil"/>
              <w:right w:val="nil"/>
            </w:tcBorders>
            <w:shd w:val="clear" w:color="auto" w:fill="5C2946"/>
          </w:tcPr>
          <w:p w14:paraId="10E5CCC2" w14:textId="77777777" w:rsidR="00AE1794" w:rsidRPr="003C297B" w:rsidRDefault="00AE1794" w:rsidP="003C297B">
            <w:pPr>
              <w:pStyle w:val="TableHead"/>
            </w:pPr>
            <w:r w:rsidRPr="003C297B">
              <w:t>Effect</w:t>
            </w:r>
          </w:p>
        </w:tc>
        <w:tc>
          <w:tcPr>
            <w:tcW w:w="1241" w:type="pct"/>
            <w:tcBorders>
              <w:left w:val="nil"/>
            </w:tcBorders>
            <w:shd w:val="clear" w:color="auto" w:fill="5C2946"/>
          </w:tcPr>
          <w:p w14:paraId="5AECDAFC" w14:textId="77777777" w:rsidR="00AE1794" w:rsidRPr="003C297B" w:rsidRDefault="00AE1794" w:rsidP="003C297B">
            <w:pPr>
              <w:pStyle w:val="TableHead"/>
            </w:pPr>
            <w:r w:rsidRPr="003C297B">
              <w:t>Reference</w:t>
            </w:r>
          </w:p>
        </w:tc>
      </w:tr>
      <w:tr w:rsidR="003C297B" w:rsidRPr="000B2FA7" w14:paraId="3BBF43AE" w14:textId="77777777" w:rsidTr="00502F10">
        <w:tc>
          <w:tcPr>
            <w:tcW w:w="0" w:type="auto"/>
            <w:vMerge w:val="restart"/>
            <w:tcBorders>
              <w:right w:val="nil"/>
            </w:tcBorders>
          </w:tcPr>
          <w:p w14:paraId="661AA19E" w14:textId="77777777" w:rsidR="003C297B" w:rsidRPr="003C297B" w:rsidRDefault="003C297B" w:rsidP="003C297B">
            <w:pPr>
              <w:pStyle w:val="TableText"/>
            </w:pPr>
            <w:r w:rsidRPr="003C297B">
              <w:t>Diquat</w:t>
            </w:r>
          </w:p>
        </w:tc>
        <w:tc>
          <w:tcPr>
            <w:tcW w:w="1143" w:type="pct"/>
            <w:tcBorders>
              <w:left w:val="nil"/>
              <w:right w:val="nil"/>
            </w:tcBorders>
          </w:tcPr>
          <w:p w14:paraId="26B72283" w14:textId="77777777" w:rsidR="003C297B" w:rsidRPr="003C297B" w:rsidRDefault="003C297B" w:rsidP="003C297B">
            <w:pPr>
              <w:pStyle w:val="TableText"/>
            </w:pPr>
            <w:r w:rsidRPr="003C297B">
              <w:t>90, 198 and 720 kg ac/ha</w:t>
            </w:r>
          </w:p>
          <w:p w14:paraId="5AB3B595" w14:textId="77777777" w:rsidR="003C297B" w:rsidRPr="003C297B" w:rsidRDefault="003C297B" w:rsidP="003C297B">
            <w:pPr>
              <w:pStyle w:val="TableText"/>
            </w:pPr>
            <w:r w:rsidRPr="003C297B">
              <w:t>(50, 110 and 400% SAC)</w:t>
            </w:r>
          </w:p>
          <w:p w14:paraId="3B4A0599" w14:textId="77777777" w:rsidR="003C297B" w:rsidRPr="003C297B" w:rsidRDefault="003C297B" w:rsidP="003C297B">
            <w:pPr>
              <w:pStyle w:val="TableText"/>
            </w:pPr>
            <w:r w:rsidRPr="003C297B">
              <w:t>Incorporated to 150 mm</w:t>
            </w:r>
          </w:p>
        </w:tc>
        <w:tc>
          <w:tcPr>
            <w:tcW w:w="2046" w:type="pct"/>
            <w:vMerge w:val="restart"/>
            <w:tcBorders>
              <w:left w:val="nil"/>
              <w:right w:val="nil"/>
            </w:tcBorders>
          </w:tcPr>
          <w:p w14:paraId="21C58AB6" w14:textId="77777777" w:rsidR="003C297B" w:rsidRPr="003C297B" w:rsidRDefault="003C297B" w:rsidP="003C297B">
            <w:pPr>
              <w:pStyle w:val="TableText"/>
            </w:pPr>
            <w:r w:rsidRPr="003C297B">
              <w:t>Earthworm numbers and weight were all reduced at 1 year; however, no observed differences after 6 years</w:t>
            </w:r>
          </w:p>
        </w:tc>
        <w:tc>
          <w:tcPr>
            <w:tcW w:w="1241" w:type="pct"/>
            <w:vMerge w:val="restart"/>
            <w:tcBorders>
              <w:left w:val="nil"/>
            </w:tcBorders>
          </w:tcPr>
          <w:p w14:paraId="32673093" w14:textId="77777777" w:rsidR="003C297B" w:rsidRPr="003C297B" w:rsidRDefault="003C297B" w:rsidP="003C297B">
            <w:pPr>
              <w:pStyle w:val="TableText"/>
            </w:pPr>
            <w:r w:rsidRPr="003C297B">
              <w:t>Edwards 1980</w:t>
            </w:r>
          </w:p>
        </w:tc>
      </w:tr>
      <w:tr w:rsidR="003C297B" w:rsidRPr="000B2FA7" w14:paraId="475682B3" w14:textId="77777777" w:rsidTr="00502F10">
        <w:tc>
          <w:tcPr>
            <w:tcW w:w="0" w:type="auto"/>
            <w:vMerge/>
            <w:tcBorders>
              <w:right w:val="nil"/>
            </w:tcBorders>
          </w:tcPr>
          <w:p w14:paraId="3394409B" w14:textId="77777777" w:rsidR="003C297B" w:rsidRPr="003C297B" w:rsidRDefault="003C297B" w:rsidP="003C297B">
            <w:pPr>
              <w:pStyle w:val="TableText"/>
            </w:pPr>
          </w:p>
        </w:tc>
        <w:tc>
          <w:tcPr>
            <w:tcW w:w="1143" w:type="pct"/>
            <w:tcBorders>
              <w:left w:val="nil"/>
              <w:right w:val="nil"/>
            </w:tcBorders>
          </w:tcPr>
          <w:p w14:paraId="597F3E58" w14:textId="77777777" w:rsidR="003C297B" w:rsidRPr="003C297B" w:rsidRDefault="003C297B" w:rsidP="003C297B">
            <w:pPr>
              <w:pStyle w:val="TableText"/>
            </w:pPr>
            <w:r w:rsidRPr="003C297B">
              <w:t>15, 33 and 120 kg ac/ha</w:t>
            </w:r>
          </w:p>
          <w:p w14:paraId="01878D1D" w14:textId="77777777" w:rsidR="003C297B" w:rsidRPr="003C297B" w:rsidRDefault="003C297B" w:rsidP="003C297B">
            <w:pPr>
              <w:pStyle w:val="TableText"/>
            </w:pPr>
            <w:r w:rsidRPr="003C297B">
              <w:t>(50, 110 and 400% SAC)</w:t>
            </w:r>
          </w:p>
          <w:p w14:paraId="483D4E87" w14:textId="77777777" w:rsidR="003C297B" w:rsidRPr="003C297B" w:rsidRDefault="003C297B" w:rsidP="003C297B">
            <w:pPr>
              <w:pStyle w:val="TableText"/>
            </w:pPr>
            <w:r w:rsidRPr="003C297B">
              <w:t>Incorporated to 25 mm</w:t>
            </w:r>
          </w:p>
        </w:tc>
        <w:tc>
          <w:tcPr>
            <w:tcW w:w="2046" w:type="pct"/>
            <w:vMerge/>
            <w:tcBorders>
              <w:left w:val="nil"/>
              <w:right w:val="nil"/>
            </w:tcBorders>
          </w:tcPr>
          <w:p w14:paraId="72FA6556" w14:textId="77777777" w:rsidR="003C297B" w:rsidRPr="003C297B" w:rsidRDefault="003C297B" w:rsidP="003C297B">
            <w:pPr>
              <w:pStyle w:val="TableText"/>
            </w:pPr>
          </w:p>
        </w:tc>
        <w:tc>
          <w:tcPr>
            <w:tcW w:w="1241" w:type="pct"/>
            <w:vMerge/>
            <w:tcBorders>
              <w:left w:val="nil"/>
            </w:tcBorders>
          </w:tcPr>
          <w:p w14:paraId="0B0E86D0" w14:textId="77777777" w:rsidR="003C297B" w:rsidRPr="003C297B" w:rsidRDefault="003C297B" w:rsidP="003C297B">
            <w:pPr>
              <w:pStyle w:val="TableText"/>
            </w:pPr>
          </w:p>
        </w:tc>
      </w:tr>
      <w:tr w:rsidR="003C297B" w:rsidRPr="000B2FA7" w14:paraId="5AE158E8" w14:textId="77777777" w:rsidTr="00502F10">
        <w:tc>
          <w:tcPr>
            <w:tcW w:w="0" w:type="auto"/>
            <w:vMerge/>
            <w:tcBorders>
              <w:right w:val="nil"/>
            </w:tcBorders>
          </w:tcPr>
          <w:p w14:paraId="5CE0DC26" w14:textId="77777777" w:rsidR="003C297B" w:rsidRPr="003C297B" w:rsidRDefault="003C297B" w:rsidP="003C297B">
            <w:pPr>
              <w:pStyle w:val="TableText"/>
            </w:pPr>
          </w:p>
        </w:tc>
        <w:tc>
          <w:tcPr>
            <w:tcW w:w="1143" w:type="pct"/>
            <w:tcBorders>
              <w:left w:val="nil"/>
              <w:right w:val="nil"/>
            </w:tcBorders>
          </w:tcPr>
          <w:p w14:paraId="396A96D1" w14:textId="77777777" w:rsidR="003C297B" w:rsidRPr="003C297B" w:rsidRDefault="003C297B" w:rsidP="003C297B">
            <w:pPr>
              <w:pStyle w:val="TableText"/>
            </w:pPr>
            <w:r w:rsidRPr="003C297B">
              <w:t>112 kg ac/ha</w:t>
            </w:r>
          </w:p>
          <w:p w14:paraId="492890D0" w14:textId="77777777" w:rsidR="003C297B" w:rsidRPr="003C297B" w:rsidRDefault="003C297B" w:rsidP="003C297B">
            <w:pPr>
              <w:pStyle w:val="TableText"/>
            </w:pPr>
            <w:r w:rsidRPr="003C297B">
              <w:t>No incorporation</w:t>
            </w:r>
          </w:p>
        </w:tc>
        <w:tc>
          <w:tcPr>
            <w:tcW w:w="2046" w:type="pct"/>
            <w:vMerge w:val="restart"/>
            <w:tcBorders>
              <w:left w:val="nil"/>
              <w:right w:val="nil"/>
            </w:tcBorders>
          </w:tcPr>
          <w:p w14:paraId="344860F1" w14:textId="77777777" w:rsidR="003C297B" w:rsidRPr="003C297B" w:rsidRDefault="003C297B" w:rsidP="003C297B">
            <w:pPr>
              <w:pStyle w:val="TableText"/>
            </w:pPr>
            <w:r w:rsidRPr="003C297B">
              <w:t>No impact on earthworm numbers or weight at 5 months, 1 year or 2 years. SAC not reported.</w:t>
            </w:r>
          </w:p>
        </w:tc>
        <w:tc>
          <w:tcPr>
            <w:tcW w:w="1241" w:type="pct"/>
            <w:vMerge w:val="restart"/>
            <w:tcBorders>
              <w:left w:val="nil"/>
            </w:tcBorders>
          </w:tcPr>
          <w:p w14:paraId="57BBCE2C" w14:textId="77777777" w:rsidR="003C297B" w:rsidRPr="003C297B" w:rsidRDefault="003C297B" w:rsidP="003C297B">
            <w:pPr>
              <w:pStyle w:val="TableText"/>
            </w:pPr>
            <w:r w:rsidRPr="003C297B">
              <w:t>Wilkinson &amp; Edwards 1993</w:t>
            </w:r>
          </w:p>
        </w:tc>
      </w:tr>
      <w:tr w:rsidR="003C297B" w:rsidRPr="000B2FA7" w14:paraId="29489F12" w14:textId="77777777" w:rsidTr="00502F10">
        <w:tc>
          <w:tcPr>
            <w:tcW w:w="0" w:type="auto"/>
            <w:vMerge/>
            <w:tcBorders>
              <w:right w:val="nil"/>
            </w:tcBorders>
          </w:tcPr>
          <w:p w14:paraId="121C9DD7" w14:textId="77777777" w:rsidR="003C297B" w:rsidRPr="003C297B" w:rsidRDefault="003C297B" w:rsidP="003C297B">
            <w:pPr>
              <w:pStyle w:val="TableText"/>
            </w:pPr>
          </w:p>
        </w:tc>
        <w:tc>
          <w:tcPr>
            <w:tcW w:w="1143" w:type="pct"/>
            <w:tcBorders>
              <w:left w:val="nil"/>
              <w:right w:val="nil"/>
            </w:tcBorders>
          </w:tcPr>
          <w:p w14:paraId="6EE0079C" w14:textId="77777777" w:rsidR="003C297B" w:rsidRPr="003C297B" w:rsidRDefault="003C297B" w:rsidP="003C297B">
            <w:pPr>
              <w:pStyle w:val="TableText"/>
            </w:pPr>
            <w:r w:rsidRPr="003C297B">
              <w:t>1700 kg ac/ha</w:t>
            </w:r>
          </w:p>
          <w:p w14:paraId="2390E8F4" w14:textId="77777777" w:rsidR="003C297B" w:rsidRPr="003C297B" w:rsidRDefault="003C297B" w:rsidP="003C297B">
            <w:pPr>
              <w:pStyle w:val="TableText"/>
            </w:pPr>
            <w:r w:rsidRPr="003C297B">
              <w:t>Incorporated to 100 mm</w:t>
            </w:r>
          </w:p>
        </w:tc>
        <w:tc>
          <w:tcPr>
            <w:tcW w:w="2046" w:type="pct"/>
            <w:vMerge/>
            <w:tcBorders>
              <w:left w:val="nil"/>
              <w:right w:val="nil"/>
            </w:tcBorders>
          </w:tcPr>
          <w:p w14:paraId="0945A718" w14:textId="77777777" w:rsidR="003C297B" w:rsidRPr="003C297B" w:rsidRDefault="003C297B" w:rsidP="003C297B">
            <w:pPr>
              <w:pStyle w:val="TableText"/>
            </w:pPr>
          </w:p>
        </w:tc>
        <w:tc>
          <w:tcPr>
            <w:tcW w:w="1241" w:type="pct"/>
            <w:vMerge/>
            <w:tcBorders>
              <w:left w:val="nil"/>
            </w:tcBorders>
          </w:tcPr>
          <w:p w14:paraId="5027FE03" w14:textId="77777777" w:rsidR="003C297B" w:rsidRPr="003C297B" w:rsidRDefault="003C297B" w:rsidP="003C297B">
            <w:pPr>
              <w:pStyle w:val="TableText"/>
            </w:pPr>
          </w:p>
        </w:tc>
      </w:tr>
      <w:tr w:rsidR="003C297B" w:rsidRPr="000B2FA7" w14:paraId="0C125A83" w14:textId="77777777" w:rsidTr="00502F10">
        <w:tc>
          <w:tcPr>
            <w:tcW w:w="0" w:type="auto"/>
            <w:vMerge/>
            <w:tcBorders>
              <w:right w:val="nil"/>
            </w:tcBorders>
          </w:tcPr>
          <w:p w14:paraId="620B312E" w14:textId="77777777" w:rsidR="003C297B" w:rsidRPr="003C297B" w:rsidRDefault="003C297B" w:rsidP="003C297B">
            <w:pPr>
              <w:pStyle w:val="TableText"/>
            </w:pPr>
          </w:p>
        </w:tc>
        <w:tc>
          <w:tcPr>
            <w:tcW w:w="1143" w:type="pct"/>
            <w:tcBorders>
              <w:left w:val="nil"/>
              <w:right w:val="nil"/>
            </w:tcBorders>
          </w:tcPr>
          <w:p w14:paraId="626AA207" w14:textId="77777777" w:rsidR="003C297B" w:rsidRPr="003C297B" w:rsidRDefault="003C297B" w:rsidP="003C297B">
            <w:pPr>
              <w:pStyle w:val="TableText"/>
            </w:pPr>
            <w:r w:rsidRPr="003C297B">
              <w:t>1.0 kg ac/ha annually</w:t>
            </w:r>
          </w:p>
          <w:p w14:paraId="2FD6CB19" w14:textId="77777777" w:rsidR="003C297B" w:rsidRPr="003C297B" w:rsidRDefault="003C297B" w:rsidP="003C297B">
            <w:pPr>
              <w:pStyle w:val="TableText"/>
            </w:pPr>
            <w:r w:rsidRPr="003C297B">
              <w:t>(plateau 22.5 kg ac/ha)</w:t>
            </w:r>
          </w:p>
        </w:tc>
        <w:tc>
          <w:tcPr>
            <w:tcW w:w="2046" w:type="pct"/>
            <w:tcBorders>
              <w:left w:val="nil"/>
              <w:right w:val="nil"/>
            </w:tcBorders>
          </w:tcPr>
          <w:p w14:paraId="5E3A4EC7" w14:textId="77777777" w:rsidR="003C297B" w:rsidRPr="003C297B" w:rsidRDefault="003C297B" w:rsidP="003C297B">
            <w:pPr>
              <w:pStyle w:val="TableText"/>
            </w:pPr>
            <w:r w:rsidRPr="003C297B">
              <w:t>No significant impact on straw decomposition up to 9 months after litterbag burial in treated soil. SAC not reported.</w:t>
            </w:r>
          </w:p>
        </w:tc>
        <w:tc>
          <w:tcPr>
            <w:tcW w:w="1241" w:type="pct"/>
            <w:tcBorders>
              <w:left w:val="nil"/>
            </w:tcBorders>
          </w:tcPr>
          <w:p w14:paraId="7DED1A2E" w14:textId="77777777" w:rsidR="003C297B" w:rsidRPr="003C297B" w:rsidRDefault="003C297B" w:rsidP="003C297B">
            <w:pPr>
              <w:pStyle w:val="TableText"/>
            </w:pPr>
            <w:r w:rsidRPr="003C297B">
              <w:t>Mack 2010</w:t>
            </w:r>
          </w:p>
        </w:tc>
      </w:tr>
    </w:tbl>
    <w:p w14:paraId="4439E6D5" w14:textId="3AC47EEA" w:rsidR="00AE1794" w:rsidRPr="00247DE6" w:rsidRDefault="005B7DDF" w:rsidP="00247DE6">
      <w:pPr>
        <w:pStyle w:val="Caption"/>
      </w:pPr>
      <w:bookmarkStart w:id="494" w:name="_Toc232589648"/>
      <w:r w:rsidRPr="00247DE6">
        <w:t xml:space="preserve">Table </w:t>
      </w:r>
      <w:fldSimple w:instr=" SEQ Table \* ARABIC ">
        <w:r w:rsidR="00247DE6">
          <w:rPr>
            <w:noProof/>
          </w:rPr>
          <w:t>53</w:t>
        </w:r>
      </w:fldSimple>
      <w:r w:rsidRPr="00247DE6">
        <w:t xml:space="preserve">: </w:t>
      </w:r>
      <w:r w:rsidR="00294CD3" w:rsidRPr="00247DE6">
        <w:t xml:space="preserve">Diquat – </w:t>
      </w:r>
      <w:r w:rsidR="00502F10" w:rsidRPr="00247DE6">
        <w:t>l</w:t>
      </w:r>
      <w:r w:rsidR="00AE1794" w:rsidRPr="00247DE6">
        <w:t>aboratory studies on non-target terrestrial plants</w:t>
      </w:r>
      <w:bookmarkEnd w:id="494"/>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4"/>
        <w:gridCol w:w="1663"/>
        <w:gridCol w:w="1892"/>
        <w:gridCol w:w="1415"/>
        <w:gridCol w:w="1415"/>
        <w:gridCol w:w="1973"/>
      </w:tblGrid>
      <w:tr w:rsidR="00AE1794" w:rsidRPr="000B2FA7" w14:paraId="0F7F3A53" w14:textId="77777777" w:rsidTr="00502F10">
        <w:trPr>
          <w:tblHeader/>
        </w:trPr>
        <w:tc>
          <w:tcPr>
            <w:tcW w:w="0" w:type="auto"/>
            <w:tcBorders>
              <w:right w:val="nil"/>
            </w:tcBorders>
            <w:shd w:val="clear" w:color="auto" w:fill="5C2946"/>
          </w:tcPr>
          <w:p w14:paraId="7C595BC2" w14:textId="77777777" w:rsidR="00AE1794" w:rsidRPr="00502F10" w:rsidRDefault="00AE1794" w:rsidP="00502F10">
            <w:pPr>
              <w:pStyle w:val="TableHead"/>
            </w:pPr>
            <w:r w:rsidRPr="00502F10">
              <w:t>Test substance</w:t>
            </w:r>
          </w:p>
        </w:tc>
        <w:tc>
          <w:tcPr>
            <w:tcW w:w="0" w:type="auto"/>
            <w:tcBorders>
              <w:left w:val="nil"/>
              <w:right w:val="nil"/>
            </w:tcBorders>
            <w:shd w:val="clear" w:color="auto" w:fill="5C2946"/>
          </w:tcPr>
          <w:p w14:paraId="0B220E47" w14:textId="77777777" w:rsidR="00AE1794" w:rsidRPr="00502F10" w:rsidRDefault="00AE1794" w:rsidP="00502F10">
            <w:pPr>
              <w:pStyle w:val="TableHead"/>
            </w:pPr>
            <w:r w:rsidRPr="00502F10">
              <w:t>Exposure</w:t>
            </w:r>
          </w:p>
        </w:tc>
        <w:tc>
          <w:tcPr>
            <w:tcW w:w="0" w:type="auto"/>
            <w:tcBorders>
              <w:left w:val="nil"/>
              <w:right w:val="nil"/>
            </w:tcBorders>
            <w:shd w:val="clear" w:color="auto" w:fill="5C2946"/>
          </w:tcPr>
          <w:p w14:paraId="348A6361" w14:textId="77777777" w:rsidR="00AE1794" w:rsidRPr="00502F10" w:rsidRDefault="00AE1794" w:rsidP="00502F10">
            <w:pPr>
              <w:pStyle w:val="TableHead"/>
            </w:pPr>
            <w:r w:rsidRPr="00502F10">
              <w:t>Species</w:t>
            </w:r>
          </w:p>
        </w:tc>
        <w:tc>
          <w:tcPr>
            <w:tcW w:w="0" w:type="auto"/>
            <w:tcBorders>
              <w:left w:val="nil"/>
              <w:right w:val="nil"/>
            </w:tcBorders>
            <w:shd w:val="clear" w:color="auto" w:fill="5C2946"/>
          </w:tcPr>
          <w:p w14:paraId="3C1352CF" w14:textId="77777777" w:rsidR="00AE1794" w:rsidRPr="00502F10" w:rsidRDefault="00AE1794" w:rsidP="00502F10">
            <w:pPr>
              <w:pStyle w:val="TableHead"/>
            </w:pPr>
            <w:r w:rsidRPr="00502F10">
              <w:t>ER25</w:t>
            </w:r>
          </w:p>
        </w:tc>
        <w:tc>
          <w:tcPr>
            <w:tcW w:w="0" w:type="auto"/>
            <w:tcBorders>
              <w:left w:val="nil"/>
              <w:right w:val="nil"/>
            </w:tcBorders>
            <w:shd w:val="clear" w:color="auto" w:fill="5C2946"/>
          </w:tcPr>
          <w:p w14:paraId="4C5CAF7B" w14:textId="77777777" w:rsidR="00AE1794" w:rsidRPr="00502F10" w:rsidRDefault="00AE1794" w:rsidP="00502F10">
            <w:pPr>
              <w:pStyle w:val="TableHead"/>
            </w:pPr>
            <w:r w:rsidRPr="00502F10">
              <w:t>ER50</w:t>
            </w:r>
          </w:p>
        </w:tc>
        <w:tc>
          <w:tcPr>
            <w:tcW w:w="0" w:type="auto"/>
            <w:tcBorders>
              <w:left w:val="nil"/>
            </w:tcBorders>
            <w:shd w:val="clear" w:color="auto" w:fill="5C2946"/>
          </w:tcPr>
          <w:p w14:paraId="1AC4EB2F" w14:textId="77777777" w:rsidR="00AE1794" w:rsidRPr="00502F10" w:rsidRDefault="00AE1794" w:rsidP="00502F10">
            <w:pPr>
              <w:pStyle w:val="TableHead"/>
            </w:pPr>
            <w:r w:rsidRPr="00502F10">
              <w:t>Reference</w:t>
            </w:r>
          </w:p>
        </w:tc>
      </w:tr>
      <w:tr w:rsidR="00502F10" w14:paraId="4B2C7CB9" w14:textId="77777777" w:rsidTr="00502F10">
        <w:tc>
          <w:tcPr>
            <w:tcW w:w="0" w:type="auto"/>
            <w:vMerge w:val="restart"/>
            <w:tcBorders>
              <w:right w:val="nil"/>
            </w:tcBorders>
          </w:tcPr>
          <w:p w14:paraId="1EED4A3C" w14:textId="77777777" w:rsidR="00502F10" w:rsidRDefault="00502F10" w:rsidP="00502F10">
            <w:pPr>
              <w:pStyle w:val="TableText"/>
            </w:pPr>
            <w:r>
              <w:t>SL 200 g/L</w:t>
            </w:r>
          </w:p>
        </w:tc>
        <w:tc>
          <w:tcPr>
            <w:tcW w:w="0" w:type="auto"/>
            <w:vMerge w:val="restart"/>
            <w:tcBorders>
              <w:left w:val="nil"/>
              <w:right w:val="nil"/>
            </w:tcBorders>
          </w:tcPr>
          <w:p w14:paraId="1045AF99" w14:textId="77777777" w:rsidR="00502F10" w:rsidRPr="00A93294" w:rsidRDefault="00502F10" w:rsidP="00502F10">
            <w:pPr>
              <w:pStyle w:val="TableText"/>
            </w:pPr>
            <w:r w:rsidRPr="00A93294">
              <w:t>Pre-emergent</w:t>
            </w:r>
          </w:p>
        </w:tc>
        <w:tc>
          <w:tcPr>
            <w:tcW w:w="0" w:type="auto"/>
            <w:tcBorders>
              <w:left w:val="nil"/>
              <w:right w:val="nil"/>
            </w:tcBorders>
          </w:tcPr>
          <w:p w14:paraId="5C6E4537" w14:textId="77777777" w:rsidR="00502F10" w:rsidRDefault="00502F10" w:rsidP="00502F10">
            <w:pPr>
              <w:pStyle w:val="TableText"/>
              <w:rPr>
                <w:i/>
                <w:iCs/>
              </w:rPr>
            </w:pPr>
            <w:r>
              <w:rPr>
                <w:i/>
                <w:iCs/>
              </w:rPr>
              <w:t>Allium cepa</w:t>
            </w:r>
          </w:p>
          <w:p w14:paraId="0D623782" w14:textId="77777777" w:rsidR="00502F10" w:rsidRDefault="00502F10" w:rsidP="00502F10">
            <w:pPr>
              <w:pStyle w:val="TableText"/>
              <w:rPr>
                <w:i/>
                <w:iCs/>
              </w:rPr>
            </w:pPr>
            <w:r>
              <w:rPr>
                <w:i/>
                <w:iCs/>
              </w:rPr>
              <w:t>Cassia obtusifolia</w:t>
            </w:r>
          </w:p>
          <w:p w14:paraId="0BF8389E" w14:textId="77777777" w:rsidR="00502F10" w:rsidRDefault="00502F10" w:rsidP="00502F10">
            <w:pPr>
              <w:pStyle w:val="TableText"/>
              <w:rPr>
                <w:i/>
                <w:iCs/>
              </w:rPr>
            </w:pPr>
            <w:r>
              <w:rPr>
                <w:i/>
                <w:iCs/>
              </w:rPr>
              <w:t>Datura stramonium</w:t>
            </w:r>
          </w:p>
          <w:p w14:paraId="4CA0B653" w14:textId="77777777" w:rsidR="00502F10" w:rsidRDefault="00502F10" w:rsidP="00502F10">
            <w:pPr>
              <w:pStyle w:val="TableText"/>
              <w:rPr>
                <w:i/>
                <w:iCs/>
              </w:rPr>
            </w:pPr>
            <w:r>
              <w:rPr>
                <w:i/>
                <w:iCs/>
              </w:rPr>
              <w:t>Echinochloa crusgalli</w:t>
            </w:r>
          </w:p>
          <w:p w14:paraId="4C7F7F72" w14:textId="77777777" w:rsidR="00502F10" w:rsidRDefault="00502F10" w:rsidP="00502F10">
            <w:pPr>
              <w:pStyle w:val="TableText"/>
              <w:rPr>
                <w:i/>
                <w:iCs/>
              </w:rPr>
            </w:pPr>
            <w:r>
              <w:rPr>
                <w:i/>
                <w:iCs/>
              </w:rPr>
              <w:t>Glycine max</w:t>
            </w:r>
          </w:p>
          <w:p w14:paraId="52490477" w14:textId="77777777" w:rsidR="00502F10" w:rsidRDefault="00502F10" w:rsidP="00502F10">
            <w:pPr>
              <w:pStyle w:val="TableText"/>
              <w:rPr>
                <w:i/>
                <w:iCs/>
              </w:rPr>
            </w:pPr>
            <w:r>
              <w:rPr>
                <w:i/>
                <w:iCs/>
              </w:rPr>
              <w:lastRenderedPageBreak/>
              <w:t>Helianthus annuus</w:t>
            </w:r>
          </w:p>
          <w:p w14:paraId="563D3114" w14:textId="77777777" w:rsidR="00502F10" w:rsidRDefault="00502F10" w:rsidP="00502F10">
            <w:pPr>
              <w:pStyle w:val="TableText"/>
              <w:rPr>
                <w:i/>
                <w:iCs/>
              </w:rPr>
            </w:pPr>
            <w:r>
              <w:rPr>
                <w:i/>
                <w:iCs/>
              </w:rPr>
              <w:t>Ipomoea hederacea</w:t>
            </w:r>
          </w:p>
          <w:p w14:paraId="0490C308" w14:textId="77777777" w:rsidR="00502F10" w:rsidRDefault="00502F10" w:rsidP="00502F10">
            <w:pPr>
              <w:pStyle w:val="TableText"/>
              <w:rPr>
                <w:i/>
                <w:iCs/>
              </w:rPr>
            </w:pPr>
            <w:r>
              <w:rPr>
                <w:i/>
                <w:iCs/>
              </w:rPr>
              <w:t>Secale cereale</w:t>
            </w:r>
          </w:p>
          <w:p w14:paraId="4096B990" w14:textId="77777777" w:rsidR="00502F10" w:rsidRDefault="00502F10" w:rsidP="00502F10">
            <w:pPr>
              <w:pStyle w:val="TableText"/>
              <w:rPr>
                <w:i/>
                <w:iCs/>
              </w:rPr>
            </w:pPr>
            <w:r>
              <w:rPr>
                <w:i/>
                <w:iCs/>
              </w:rPr>
              <w:t>Solanum tuberosum</w:t>
            </w:r>
          </w:p>
          <w:p w14:paraId="715990DE" w14:textId="77777777" w:rsidR="00502F10" w:rsidRPr="00281369" w:rsidRDefault="00502F10" w:rsidP="00502F10">
            <w:pPr>
              <w:pStyle w:val="TableText"/>
              <w:rPr>
                <w:i/>
                <w:iCs/>
              </w:rPr>
            </w:pPr>
            <w:r>
              <w:rPr>
                <w:i/>
                <w:iCs/>
              </w:rPr>
              <w:t>Zea mays</w:t>
            </w:r>
          </w:p>
        </w:tc>
        <w:tc>
          <w:tcPr>
            <w:tcW w:w="0" w:type="auto"/>
            <w:tcBorders>
              <w:left w:val="nil"/>
              <w:right w:val="nil"/>
            </w:tcBorders>
          </w:tcPr>
          <w:p w14:paraId="14178066" w14:textId="77777777" w:rsidR="00502F10" w:rsidRDefault="00502F10" w:rsidP="00502F10">
            <w:pPr>
              <w:pStyle w:val="TableText"/>
            </w:pPr>
            <w:r>
              <w:lastRenderedPageBreak/>
              <w:t>&gt;8400 g ac/ha</w:t>
            </w:r>
          </w:p>
          <w:p w14:paraId="64A58452" w14:textId="77777777" w:rsidR="00502F10" w:rsidRDefault="00502F10" w:rsidP="00502F10">
            <w:pPr>
              <w:pStyle w:val="TableText"/>
            </w:pPr>
            <w:r>
              <w:t>&gt;8400 g ac/ha</w:t>
            </w:r>
          </w:p>
          <w:p w14:paraId="3CD231A1" w14:textId="77777777" w:rsidR="00502F10" w:rsidRDefault="00502F10" w:rsidP="00502F10">
            <w:pPr>
              <w:pStyle w:val="TableText"/>
            </w:pPr>
            <w:r>
              <w:t>&gt;8400 g ac/ha</w:t>
            </w:r>
          </w:p>
          <w:p w14:paraId="66C6C048" w14:textId="77777777" w:rsidR="00502F10" w:rsidRDefault="00502F10" w:rsidP="00502F10">
            <w:pPr>
              <w:pStyle w:val="TableText"/>
            </w:pPr>
            <w:r>
              <w:t>&gt;8400 g ac/ha</w:t>
            </w:r>
          </w:p>
          <w:p w14:paraId="71CB7F57" w14:textId="77777777" w:rsidR="00502F10" w:rsidRDefault="00502F10" w:rsidP="00502F10">
            <w:pPr>
              <w:pStyle w:val="TableText"/>
            </w:pPr>
            <w:r>
              <w:t>&gt;8400 g ac/ha</w:t>
            </w:r>
          </w:p>
          <w:p w14:paraId="26E1301B" w14:textId="77777777" w:rsidR="00502F10" w:rsidRDefault="00502F10" w:rsidP="00502F10">
            <w:pPr>
              <w:pStyle w:val="TableText"/>
            </w:pPr>
            <w:r>
              <w:lastRenderedPageBreak/>
              <w:t>&gt;8400 g ac/ha</w:t>
            </w:r>
          </w:p>
          <w:p w14:paraId="27FF4D42" w14:textId="77777777" w:rsidR="00502F10" w:rsidRDefault="00502F10" w:rsidP="00502F10">
            <w:pPr>
              <w:pStyle w:val="TableText"/>
            </w:pPr>
            <w:r>
              <w:t>&gt;8400 g ac/ha</w:t>
            </w:r>
          </w:p>
          <w:p w14:paraId="0843A177" w14:textId="77777777" w:rsidR="00502F10" w:rsidRDefault="00502F10" w:rsidP="00502F10">
            <w:pPr>
              <w:pStyle w:val="TableText"/>
            </w:pPr>
            <w:r>
              <w:t>&gt;8400 g ac/ha</w:t>
            </w:r>
          </w:p>
          <w:p w14:paraId="25960675" w14:textId="77777777" w:rsidR="00502F10" w:rsidRDefault="00502F10" w:rsidP="00502F10">
            <w:pPr>
              <w:pStyle w:val="TableText"/>
            </w:pPr>
            <w:r>
              <w:t>&gt;8400 g ac/ha</w:t>
            </w:r>
          </w:p>
          <w:p w14:paraId="07828123" w14:textId="77777777" w:rsidR="00502F10" w:rsidRDefault="00502F10" w:rsidP="00502F10">
            <w:pPr>
              <w:pStyle w:val="TableText"/>
            </w:pPr>
            <w:r>
              <w:t>&gt;8400 g ac/ha</w:t>
            </w:r>
          </w:p>
        </w:tc>
        <w:tc>
          <w:tcPr>
            <w:tcW w:w="0" w:type="auto"/>
            <w:tcBorders>
              <w:left w:val="nil"/>
              <w:right w:val="nil"/>
            </w:tcBorders>
          </w:tcPr>
          <w:p w14:paraId="34A0CBE5" w14:textId="77777777" w:rsidR="00502F10" w:rsidRDefault="00502F10" w:rsidP="00502F10">
            <w:pPr>
              <w:pStyle w:val="TableText"/>
            </w:pPr>
            <w:r>
              <w:lastRenderedPageBreak/>
              <w:t>&gt;8400 g ac/ha</w:t>
            </w:r>
          </w:p>
          <w:p w14:paraId="17BAE22A" w14:textId="77777777" w:rsidR="00502F10" w:rsidRDefault="00502F10" w:rsidP="00502F10">
            <w:pPr>
              <w:pStyle w:val="TableText"/>
            </w:pPr>
            <w:r>
              <w:t>&gt;8400 g ac/ha</w:t>
            </w:r>
          </w:p>
          <w:p w14:paraId="77833427" w14:textId="77777777" w:rsidR="00502F10" w:rsidRDefault="00502F10" w:rsidP="00502F10">
            <w:pPr>
              <w:pStyle w:val="TableText"/>
            </w:pPr>
            <w:r>
              <w:t>&gt;8400 g ac/ha</w:t>
            </w:r>
          </w:p>
          <w:p w14:paraId="7F74C6A2" w14:textId="77777777" w:rsidR="00502F10" w:rsidRDefault="00502F10" w:rsidP="00502F10">
            <w:pPr>
              <w:pStyle w:val="TableText"/>
            </w:pPr>
            <w:r>
              <w:t>&gt;8400 g ac/ha</w:t>
            </w:r>
          </w:p>
          <w:p w14:paraId="3DF52877" w14:textId="77777777" w:rsidR="00502F10" w:rsidRDefault="00502F10" w:rsidP="00502F10">
            <w:pPr>
              <w:pStyle w:val="TableText"/>
            </w:pPr>
            <w:r>
              <w:t>&gt;8400 g ac/ha</w:t>
            </w:r>
          </w:p>
          <w:p w14:paraId="011E4190" w14:textId="77777777" w:rsidR="00502F10" w:rsidRDefault="00502F10" w:rsidP="00502F10">
            <w:pPr>
              <w:pStyle w:val="TableText"/>
            </w:pPr>
            <w:r>
              <w:lastRenderedPageBreak/>
              <w:t>&gt;8400 g ac/ha</w:t>
            </w:r>
          </w:p>
          <w:p w14:paraId="00C5ED1C" w14:textId="77777777" w:rsidR="00502F10" w:rsidRDefault="00502F10" w:rsidP="00502F10">
            <w:pPr>
              <w:pStyle w:val="TableText"/>
            </w:pPr>
            <w:r>
              <w:t>&gt;8400 g ac/ha</w:t>
            </w:r>
          </w:p>
          <w:p w14:paraId="4425FCB3" w14:textId="77777777" w:rsidR="00502F10" w:rsidRDefault="00502F10" w:rsidP="00502F10">
            <w:pPr>
              <w:pStyle w:val="TableText"/>
            </w:pPr>
            <w:r>
              <w:t>&gt;8400 g ac/ha</w:t>
            </w:r>
          </w:p>
          <w:p w14:paraId="005C46D8" w14:textId="77777777" w:rsidR="00502F10" w:rsidRDefault="00502F10" w:rsidP="00502F10">
            <w:pPr>
              <w:pStyle w:val="TableText"/>
            </w:pPr>
            <w:r>
              <w:t>&gt;8400 g ac/ha</w:t>
            </w:r>
          </w:p>
          <w:p w14:paraId="6F166F3C" w14:textId="77777777" w:rsidR="00502F10" w:rsidRDefault="00502F10" w:rsidP="00502F10">
            <w:pPr>
              <w:pStyle w:val="TableText"/>
            </w:pPr>
            <w:r>
              <w:t>&gt;8400 g ac/ha</w:t>
            </w:r>
          </w:p>
        </w:tc>
        <w:tc>
          <w:tcPr>
            <w:tcW w:w="0" w:type="auto"/>
            <w:tcBorders>
              <w:left w:val="nil"/>
            </w:tcBorders>
          </w:tcPr>
          <w:p w14:paraId="4AB6356D" w14:textId="77777777" w:rsidR="00502F10" w:rsidRDefault="00502F10" w:rsidP="00502F10">
            <w:pPr>
              <w:pStyle w:val="TableText"/>
            </w:pPr>
            <w:r>
              <w:lastRenderedPageBreak/>
              <w:t>Shilling 1987</w:t>
            </w:r>
          </w:p>
        </w:tc>
      </w:tr>
      <w:tr w:rsidR="00502F10" w14:paraId="30B13D90" w14:textId="77777777" w:rsidTr="00502F10">
        <w:tc>
          <w:tcPr>
            <w:tcW w:w="0" w:type="auto"/>
            <w:vMerge/>
            <w:tcBorders>
              <w:right w:val="nil"/>
            </w:tcBorders>
          </w:tcPr>
          <w:p w14:paraId="04B9B527" w14:textId="77777777" w:rsidR="00502F10" w:rsidRDefault="00502F10" w:rsidP="00502F10">
            <w:pPr>
              <w:pStyle w:val="TableText"/>
            </w:pPr>
          </w:p>
        </w:tc>
        <w:tc>
          <w:tcPr>
            <w:tcW w:w="0" w:type="auto"/>
            <w:vMerge/>
            <w:tcBorders>
              <w:left w:val="nil"/>
              <w:right w:val="nil"/>
            </w:tcBorders>
          </w:tcPr>
          <w:p w14:paraId="63675AE1" w14:textId="77777777" w:rsidR="00502F10" w:rsidRDefault="00502F10" w:rsidP="00502F10">
            <w:pPr>
              <w:pStyle w:val="TableText"/>
            </w:pPr>
          </w:p>
        </w:tc>
        <w:tc>
          <w:tcPr>
            <w:tcW w:w="0" w:type="auto"/>
            <w:tcBorders>
              <w:left w:val="nil"/>
              <w:right w:val="nil"/>
            </w:tcBorders>
          </w:tcPr>
          <w:p w14:paraId="0F164F0B" w14:textId="77777777" w:rsidR="00502F10" w:rsidRDefault="00502F10" w:rsidP="00502F10">
            <w:pPr>
              <w:pStyle w:val="TableText"/>
              <w:rPr>
                <w:i/>
                <w:iCs/>
              </w:rPr>
            </w:pPr>
            <w:r>
              <w:rPr>
                <w:i/>
                <w:iCs/>
              </w:rPr>
              <w:t>Zea mays</w:t>
            </w:r>
          </w:p>
          <w:p w14:paraId="65E322A6" w14:textId="77777777" w:rsidR="00502F10" w:rsidRDefault="00502F10" w:rsidP="00502F10">
            <w:pPr>
              <w:pStyle w:val="TableText"/>
              <w:rPr>
                <w:i/>
                <w:iCs/>
              </w:rPr>
            </w:pPr>
            <w:r>
              <w:rPr>
                <w:i/>
                <w:iCs/>
              </w:rPr>
              <w:t>Helianthus annuus</w:t>
            </w:r>
          </w:p>
          <w:p w14:paraId="55B52959" w14:textId="77777777" w:rsidR="00502F10" w:rsidRDefault="00502F10" w:rsidP="00502F10">
            <w:pPr>
              <w:pStyle w:val="TableText"/>
              <w:rPr>
                <w:i/>
                <w:iCs/>
              </w:rPr>
            </w:pPr>
            <w:r>
              <w:rPr>
                <w:i/>
                <w:iCs/>
              </w:rPr>
              <w:t>Brassica napus</w:t>
            </w:r>
          </w:p>
          <w:p w14:paraId="22001C84" w14:textId="77777777" w:rsidR="00502F10" w:rsidRDefault="00502F10" w:rsidP="00502F10">
            <w:pPr>
              <w:pStyle w:val="TableText"/>
              <w:rPr>
                <w:i/>
                <w:iCs/>
              </w:rPr>
            </w:pPr>
            <w:r>
              <w:rPr>
                <w:i/>
                <w:iCs/>
              </w:rPr>
              <w:t>Triticum aestivum</w:t>
            </w:r>
          </w:p>
        </w:tc>
        <w:tc>
          <w:tcPr>
            <w:tcW w:w="0" w:type="auto"/>
            <w:tcBorders>
              <w:left w:val="nil"/>
              <w:right w:val="nil"/>
            </w:tcBorders>
          </w:tcPr>
          <w:p w14:paraId="7952BDFB" w14:textId="77777777" w:rsidR="00502F10" w:rsidRDefault="00502F10" w:rsidP="00502F10">
            <w:pPr>
              <w:pStyle w:val="TableText"/>
            </w:pPr>
            <w:r>
              <w:t>24578 g ac/ha</w:t>
            </w:r>
          </w:p>
          <w:p w14:paraId="764F31B4" w14:textId="77777777" w:rsidR="00502F10" w:rsidRDefault="00502F10" w:rsidP="00502F10">
            <w:pPr>
              <w:pStyle w:val="TableText"/>
            </w:pPr>
            <w:r>
              <w:t>34898 g ac/ha</w:t>
            </w:r>
          </w:p>
          <w:p w14:paraId="5732B968" w14:textId="77777777" w:rsidR="00502F10" w:rsidRDefault="00502F10" w:rsidP="00502F10">
            <w:pPr>
              <w:pStyle w:val="TableText"/>
            </w:pPr>
            <w:r>
              <w:t>&gt;22500 g ac/ha</w:t>
            </w:r>
          </w:p>
          <w:p w14:paraId="4FFF9DBA" w14:textId="77777777" w:rsidR="00502F10" w:rsidRDefault="00502F10" w:rsidP="00502F10">
            <w:pPr>
              <w:pStyle w:val="TableText"/>
            </w:pPr>
            <w:r>
              <w:t>&gt;75000 g ac/ha</w:t>
            </w:r>
          </w:p>
        </w:tc>
        <w:tc>
          <w:tcPr>
            <w:tcW w:w="0" w:type="auto"/>
            <w:tcBorders>
              <w:left w:val="nil"/>
              <w:right w:val="nil"/>
            </w:tcBorders>
          </w:tcPr>
          <w:p w14:paraId="1C52C556" w14:textId="77777777" w:rsidR="00502F10" w:rsidRDefault="00502F10" w:rsidP="00502F10">
            <w:pPr>
              <w:pStyle w:val="TableText"/>
            </w:pPr>
            <w:r>
              <w:t>&gt;75000 g ac/ha</w:t>
            </w:r>
          </w:p>
          <w:p w14:paraId="2E6922C6" w14:textId="77777777" w:rsidR="00502F10" w:rsidRDefault="00502F10" w:rsidP="00502F10">
            <w:pPr>
              <w:pStyle w:val="TableText"/>
            </w:pPr>
            <w:r>
              <w:t>&gt;75000 g ac/ha</w:t>
            </w:r>
          </w:p>
          <w:p w14:paraId="1267D80E" w14:textId="77777777" w:rsidR="00502F10" w:rsidRDefault="00502F10" w:rsidP="00502F10">
            <w:pPr>
              <w:pStyle w:val="TableText"/>
            </w:pPr>
            <w:r>
              <w:t>&gt;75000 g ac/ha</w:t>
            </w:r>
          </w:p>
          <w:p w14:paraId="34D8478F" w14:textId="77777777" w:rsidR="00502F10" w:rsidRDefault="00502F10" w:rsidP="00502F10">
            <w:pPr>
              <w:pStyle w:val="TableText"/>
            </w:pPr>
            <w:r>
              <w:t>&gt;75000 g ac/ha</w:t>
            </w:r>
          </w:p>
        </w:tc>
        <w:tc>
          <w:tcPr>
            <w:tcW w:w="0" w:type="auto"/>
            <w:tcBorders>
              <w:left w:val="nil"/>
            </w:tcBorders>
          </w:tcPr>
          <w:p w14:paraId="683E14CF" w14:textId="77777777" w:rsidR="00502F10" w:rsidRDefault="00502F10" w:rsidP="00502F10">
            <w:pPr>
              <w:pStyle w:val="TableText"/>
            </w:pPr>
            <w:r>
              <w:t>Balluff 2006</w:t>
            </w:r>
          </w:p>
        </w:tc>
      </w:tr>
      <w:tr w:rsidR="00502F10" w14:paraId="43029F42" w14:textId="77777777" w:rsidTr="00502F10">
        <w:tc>
          <w:tcPr>
            <w:tcW w:w="0" w:type="auto"/>
            <w:vMerge/>
            <w:tcBorders>
              <w:right w:val="nil"/>
            </w:tcBorders>
          </w:tcPr>
          <w:p w14:paraId="1A939A87" w14:textId="77777777" w:rsidR="00502F10" w:rsidRDefault="00502F10" w:rsidP="00502F10">
            <w:pPr>
              <w:pStyle w:val="TableText"/>
            </w:pPr>
          </w:p>
        </w:tc>
        <w:tc>
          <w:tcPr>
            <w:tcW w:w="0" w:type="auto"/>
            <w:tcBorders>
              <w:left w:val="nil"/>
              <w:right w:val="nil"/>
            </w:tcBorders>
          </w:tcPr>
          <w:p w14:paraId="2B9BDF06" w14:textId="77777777" w:rsidR="00502F10" w:rsidRDefault="00502F10" w:rsidP="00502F10">
            <w:pPr>
              <w:pStyle w:val="TableText"/>
            </w:pPr>
            <w:r>
              <w:t>Pre-emergent</w:t>
            </w:r>
          </w:p>
          <w:p w14:paraId="15C7A294" w14:textId="77777777" w:rsidR="00502F10" w:rsidRDefault="00502F10" w:rsidP="00502F10">
            <w:pPr>
              <w:pStyle w:val="TableText"/>
            </w:pPr>
            <w:r>
              <w:t>28d aged residues</w:t>
            </w:r>
          </w:p>
        </w:tc>
        <w:tc>
          <w:tcPr>
            <w:tcW w:w="0" w:type="auto"/>
            <w:tcBorders>
              <w:left w:val="nil"/>
              <w:right w:val="nil"/>
            </w:tcBorders>
          </w:tcPr>
          <w:p w14:paraId="26B4C07D" w14:textId="77777777" w:rsidR="00502F10" w:rsidRDefault="00502F10" w:rsidP="00502F10">
            <w:pPr>
              <w:pStyle w:val="TableText"/>
              <w:rPr>
                <w:i/>
                <w:iCs/>
              </w:rPr>
            </w:pPr>
            <w:r>
              <w:rPr>
                <w:i/>
                <w:iCs/>
              </w:rPr>
              <w:t>Zea mays</w:t>
            </w:r>
          </w:p>
          <w:p w14:paraId="7F494224" w14:textId="77777777" w:rsidR="00502F10" w:rsidRDefault="00502F10" w:rsidP="00502F10">
            <w:pPr>
              <w:pStyle w:val="TableText"/>
              <w:rPr>
                <w:i/>
                <w:iCs/>
              </w:rPr>
            </w:pPr>
            <w:r>
              <w:rPr>
                <w:i/>
                <w:iCs/>
              </w:rPr>
              <w:t>Helianthus annuus</w:t>
            </w:r>
          </w:p>
        </w:tc>
        <w:tc>
          <w:tcPr>
            <w:tcW w:w="0" w:type="auto"/>
            <w:tcBorders>
              <w:left w:val="nil"/>
              <w:right w:val="nil"/>
            </w:tcBorders>
          </w:tcPr>
          <w:p w14:paraId="387B4AE7" w14:textId="77777777" w:rsidR="00502F10" w:rsidRDefault="00502F10" w:rsidP="00502F10">
            <w:pPr>
              <w:pStyle w:val="TableText"/>
            </w:pPr>
            <w:r>
              <w:t>30900 g ac/ha</w:t>
            </w:r>
          </w:p>
          <w:p w14:paraId="6CF54214" w14:textId="77777777" w:rsidR="00502F10" w:rsidRDefault="00502F10" w:rsidP="00502F10">
            <w:pPr>
              <w:pStyle w:val="TableText"/>
            </w:pPr>
            <w:r>
              <w:t>62100 g ac/ha</w:t>
            </w:r>
          </w:p>
        </w:tc>
        <w:tc>
          <w:tcPr>
            <w:tcW w:w="0" w:type="auto"/>
            <w:tcBorders>
              <w:left w:val="nil"/>
              <w:right w:val="nil"/>
            </w:tcBorders>
          </w:tcPr>
          <w:p w14:paraId="17F4E205" w14:textId="77777777" w:rsidR="00502F10" w:rsidRDefault="00502F10" w:rsidP="00502F10">
            <w:pPr>
              <w:pStyle w:val="TableText"/>
            </w:pPr>
            <w:r>
              <w:t>48075 g ac/ha</w:t>
            </w:r>
          </w:p>
          <w:p w14:paraId="288F8AE5" w14:textId="77777777" w:rsidR="00502F10" w:rsidRDefault="00502F10" w:rsidP="00502F10">
            <w:pPr>
              <w:pStyle w:val="TableText"/>
            </w:pPr>
            <w:r>
              <w:t>77700 g ac/ha</w:t>
            </w:r>
          </w:p>
        </w:tc>
        <w:tc>
          <w:tcPr>
            <w:tcW w:w="0" w:type="auto"/>
            <w:tcBorders>
              <w:left w:val="nil"/>
            </w:tcBorders>
          </w:tcPr>
          <w:p w14:paraId="25D04C0F" w14:textId="77777777" w:rsidR="00502F10" w:rsidRDefault="00502F10" w:rsidP="00502F10">
            <w:pPr>
              <w:pStyle w:val="TableText"/>
            </w:pPr>
            <w:r>
              <w:t>Peterek 2009</w:t>
            </w:r>
          </w:p>
        </w:tc>
      </w:tr>
      <w:tr w:rsidR="00502F10" w14:paraId="7E4F4D07" w14:textId="77777777" w:rsidTr="00502F10">
        <w:tc>
          <w:tcPr>
            <w:tcW w:w="0" w:type="auto"/>
            <w:vMerge/>
            <w:tcBorders>
              <w:right w:val="nil"/>
            </w:tcBorders>
          </w:tcPr>
          <w:p w14:paraId="56A48F93" w14:textId="622AD49E" w:rsidR="00502F10" w:rsidRDefault="00502F10" w:rsidP="00502F10">
            <w:pPr>
              <w:pStyle w:val="TableText"/>
              <w:keepNext/>
              <w:keepLines/>
            </w:pPr>
          </w:p>
        </w:tc>
        <w:tc>
          <w:tcPr>
            <w:tcW w:w="0" w:type="auto"/>
            <w:vMerge w:val="restart"/>
            <w:tcBorders>
              <w:left w:val="nil"/>
              <w:right w:val="nil"/>
            </w:tcBorders>
          </w:tcPr>
          <w:p w14:paraId="0224EA20" w14:textId="77777777" w:rsidR="00502F10" w:rsidRPr="00A93294" w:rsidRDefault="00502F10" w:rsidP="00502F10">
            <w:pPr>
              <w:pStyle w:val="TableText"/>
              <w:keepNext/>
              <w:keepLines/>
            </w:pPr>
            <w:r>
              <w:t>Post-emergent</w:t>
            </w:r>
          </w:p>
        </w:tc>
        <w:tc>
          <w:tcPr>
            <w:tcW w:w="0" w:type="auto"/>
            <w:tcBorders>
              <w:left w:val="nil"/>
              <w:right w:val="nil"/>
            </w:tcBorders>
          </w:tcPr>
          <w:p w14:paraId="5D367A6E" w14:textId="77777777" w:rsidR="00502F10" w:rsidRDefault="00502F10" w:rsidP="00502F10">
            <w:pPr>
              <w:pStyle w:val="TableText"/>
              <w:keepNext/>
              <w:keepLines/>
              <w:rPr>
                <w:i/>
                <w:iCs/>
              </w:rPr>
            </w:pPr>
            <w:r>
              <w:rPr>
                <w:i/>
                <w:iCs/>
              </w:rPr>
              <w:t>Brassica oleracea</w:t>
            </w:r>
          </w:p>
          <w:p w14:paraId="0E03BFA2" w14:textId="77777777" w:rsidR="00502F10" w:rsidRDefault="00502F10" w:rsidP="00502F10">
            <w:pPr>
              <w:pStyle w:val="TableText"/>
              <w:keepNext/>
              <w:keepLines/>
              <w:rPr>
                <w:i/>
                <w:iCs/>
              </w:rPr>
            </w:pPr>
            <w:r>
              <w:rPr>
                <w:i/>
                <w:iCs/>
              </w:rPr>
              <w:t>Beta vulgaris</w:t>
            </w:r>
          </w:p>
          <w:p w14:paraId="40DB6306" w14:textId="77777777" w:rsidR="00502F10" w:rsidRDefault="00502F10" w:rsidP="00502F10">
            <w:pPr>
              <w:pStyle w:val="TableText"/>
              <w:keepNext/>
              <w:keepLines/>
              <w:rPr>
                <w:i/>
                <w:iCs/>
              </w:rPr>
            </w:pPr>
            <w:r>
              <w:rPr>
                <w:i/>
                <w:iCs/>
              </w:rPr>
              <w:t>Helianthus annuus</w:t>
            </w:r>
          </w:p>
          <w:p w14:paraId="3B72A75C" w14:textId="77777777" w:rsidR="00502F10" w:rsidRDefault="00502F10" w:rsidP="00502F10">
            <w:pPr>
              <w:pStyle w:val="TableText"/>
              <w:keepNext/>
              <w:keepLines/>
              <w:rPr>
                <w:i/>
                <w:iCs/>
              </w:rPr>
            </w:pPr>
            <w:r>
              <w:rPr>
                <w:i/>
                <w:iCs/>
              </w:rPr>
              <w:t>Daucus carota</w:t>
            </w:r>
          </w:p>
          <w:p w14:paraId="388B4785" w14:textId="77777777" w:rsidR="00502F10" w:rsidRDefault="00502F10" w:rsidP="00502F10">
            <w:pPr>
              <w:pStyle w:val="TableText"/>
              <w:keepNext/>
              <w:keepLines/>
              <w:rPr>
                <w:i/>
                <w:iCs/>
              </w:rPr>
            </w:pPr>
            <w:r>
              <w:rPr>
                <w:i/>
                <w:iCs/>
              </w:rPr>
              <w:t>Brassica napus</w:t>
            </w:r>
          </w:p>
          <w:p w14:paraId="52437DA6" w14:textId="77777777" w:rsidR="00502F10" w:rsidRDefault="00502F10" w:rsidP="00502F10">
            <w:pPr>
              <w:pStyle w:val="TableText"/>
              <w:keepNext/>
              <w:keepLines/>
              <w:rPr>
                <w:i/>
                <w:iCs/>
              </w:rPr>
            </w:pPr>
            <w:r>
              <w:rPr>
                <w:i/>
                <w:iCs/>
              </w:rPr>
              <w:t>Glycine max</w:t>
            </w:r>
          </w:p>
          <w:p w14:paraId="02383C53" w14:textId="77777777" w:rsidR="00502F10" w:rsidRDefault="00502F10" w:rsidP="00502F10">
            <w:pPr>
              <w:pStyle w:val="TableText"/>
              <w:keepNext/>
              <w:keepLines/>
              <w:rPr>
                <w:i/>
                <w:iCs/>
              </w:rPr>
            </w:pPr>
            <w:r>
              <w:rPr>
                <w:i/>
                <w:iCs/>
              </w:rPr>
              <w:t>Zea mays</w:t>
            </w:r>
          </w:p>
          <w:p w14:paraId="426EE8A9" w14:textId="77777777" w:rsidR="00502F10" w:rsidRDefault="00502F10" w:rsidP="00502F10">
            <w:pPr>
              <w:pStyle w:val="TableText"/>
              <w:keepNext/>
              <w:keepLines/>
              <w:rPr>
                <w:i/>
                <w:iCs/>
              </w:rPr>
            </w:pPr>
            <w:r>
              <w:rPr>
                <w:i/>
                <w:iCs/>
              </w:rPr>
              <w:t>Allium cepa</w:t>
            </w:r>
          </w:p>
          <w:p w14:paraId="33E07131" w14:textId="77777777" w:rsidR="00502F10" w:rsidRDefault="00502F10" w:rsidP="00502F10">
            <w:pPr>
              <w:pStyle w:val="TableText"/>
              <w:keepNext/>
              <w:keepLines/>
              <w:rPr>
                <w:i/>
                <w:iCs/>
              </w:rPr>
            </w:pPr>
            <w:r>
              <w:rPr>
                <w:i/>
                <w:iCs/>
              </w:rPr>
              <w:t>Lolium perenne</w:t>
            </w:r>
          </w:p>
          <w:p w14:paraId="44632E75" w14:textId="77777777" w:rsidR="00502F10" w:rsidRDefault="00502F10" w:rsidP="00502F10">
            <w:pPr>
              <w:pStyle w:val="TableText"/>
              <w:keepNext/>
              <w:keepLines/>
              <w:rPr>
                <w:i/>
                <w:iCs/>
              </w:rPr>
            </w:pPr>
            <w:r>
              <w:rPr>
                <w:i/>
                <w:iCs/>
              </w:rPr>
              <w:t>Avena sativa</w:t>
            </w:r>
          </w:p>
        </w:tc>
        <w:tc>
          <w:tcPr>
            <w:tcW w:w="0" w:type="auto"/>
            <w:tcBorders>
              <w:left w:val="nil"/>
              <w:right w:val="nil"/>
            </w:tcBorders>
          </w:tcPr>
          <w:p w14:paraId="2BFA0730" w14:textId="77777777" w:rsidR="00502F10" w:rsidRDefault="00502F10" w:rsidP="00502F10">
            <w:pPr>
              <w:pStyle w:val="TableText"/>
              <w:keepNext/>
              <w:keepLines/>
            </w:pPr>
            <w:r>
              <w:t>7.3 g ac/ha</w:t>
            </w:r>
          </w:p>
          <w:p w14:paraId="31F27742" w14:textId="77777777" w:rsidR="00502F10" w:rsidRDefault="00502F10" w:rsidP="00502F10">
            <w:pPr>
              <w:pStyle w:val="TableText"/>
              <w:keepNext/>
              <w:keepLines/>
            </w:pPr>
            <w:r>
              <w:t>9.6 g ac/ha</w:t>
            </w:r>
          </w:p>
          <w:p w14:paraId="3DD5E902" w14:textId="77777777" w:rsidR="00502F10" w:rsidRDefault="00502F10" w:rsidP="00502F10">
            <w:pPr>
              <w:pStyle w:val="TableText"/>
              <w:keepNext/>
              <w:keepLines/>
            </w:pPr>
            <w:r>
              <w:t>11 g ac/ha</w:t>
            </w:r>
          </w:p>
          <w:p w14:paraId="5258B6E2" w14:textId="77777777" w:rsidR="00502F10" w:rsidRDefault="00502F10" w:rsidP="00502F10">
            <w:pPr>
              <w:pStyle w:val="TableText"/>
              <w:keepNext/>
              <w:keepLines/>
            </w:pPr>
            <w:r>
              <w:t>25 g ac/ha</w:t>
            </w:r>
          </w:p>
          <w:p w14:paraId="306CEF0B" w14:textId="77777777" w:rsidR="00502F10" w:rsidRDefault="00502F10" w:rsidP="00502F10">
            <w:pPr>
              <w:pStyle w:val="TableText"/>
              <w:keepNext/>
              <w:keepLines/>
            </w:pPr>
            <w:r>
              <w:t>17 g ac/ha</w:t>
            </w:r>
          </w:p>
          <w:p w14:paraId="5E1B44E6" w14:textId="77777777" w:rsidR="00502F10" w:rsidRDefault="00502F10" w:rsidP="00502F10">
            <w:pPr>
              <w:pStyle w:val="TableText"/>
              <w:keepNext/>
              <w:keepLines/>
            </w:pPr>
            <w:r>
              <w:t>18 g ac/ha</w:t>
            </w:r>
          </w:p>
          <w:p w14:paraId="572F0578" w14:textId="77777777" w:rsidR="00502F10" w:rsidRDefault="00502F10" w:rsidP="00502F10">
            <w:pPr>
              <w:pStyle w:val="TableText"/>
              <w:keepNext/>
              <w:keepLines/>
            </w:pPr>
            <w:r>
              <w:t>125 g ac/ha</w:t>
            </w:r>
          </w:p>
          <w:p w14:paraId="41F1A53C" w14:textId="77777777" w:rsidR="00502F10" w:rsidRDefault="00502F10" w:rsidP="00502F10">
            <w:pPr>
              <w:pStyle w:val="TableText"/>
              <w:keepNext/>
              <w:keepLines/>
            </w:pPr>
            <w:r>
              <w:t>256 g ac/ha</w:t>
            </w:r>
          </w:p>
          <w:p w14:paraId="6E5CC410" w14:textId="77777777" w:rsidR="00502F10" w:rsidRDefault="00502F10" w:rsidP="00502F10">
            <w:pPr>
              <w:pStyle w:val="TableText"/>
              <w:keepNext/>
              <w:keepLines/>
            </w:pPr>
            <w:r>
              <w:t>287 g ac/ha</w:t>
            </w:r>
          </w:p>
          <w:p w14:paraId="77DA8EC6" w14:textId="77777777" w:rsidR="00502F10" w:rsidRDefault="00502F10" w:rsidP="00502F10">
            <w:pPr>
              <w:pStyle w:val="TableText"/>
              <w:keepNext/>
              <w:keepLines/>
            </w:pPr>
            <w:r>
              <w:t>&gt;500 g ac/ha</w:t>
            </w:r>
          </w:p>
        </w:tc>
        <w:tc>
          <w:tcPr>
            <w:tcW w:w="0" w:type="auto"/>
            <w:tcBorders>
              <w:left w:val="nil"/>
              <w:right w:val="nil"/>
            </w:tcBorders>
          </w:tcPr>
          <w:p w14:paraId="16A4309A" w14:textId="77777777" w:rsidR="00502F10" w:rsidRDefault="00502F10" w:rsidP="00502F10">
            <w:pPr>
              <w:pStyle w:val="TableText"/>
              <w:keepNext/>
              <w:keepLines/>
            </w:pPr>
            <w:r>
              <w:t>15 g ac/ha</w:t>
            </w:r>
          </w:p>
          <w:p w14:paraId="33E9425D" w14:textId="77777777" w:rsidR="00502F10" w:rsidRDefault="00502F10" w:rsidP="00502F10">
            <w:pPr>
              <w:pStyle w:val="TableText"/>
              <w:keepNext/>
              <w:keepLines/>
            </w:pPr>
            <w:r>
              <w:t>38 g ac/ha</w:t>
            </w:r>
          </w:p>
          <w:p w14:paraId="16A3A907" w14:textId="77777777" w:rsidR="00502F10" w:rsidRDefault="00502F10" w:rsidP="00502F10">
            <w:pPr>
              <w:pStyle w:val="TableText"/>
              <w:keepNext/>
              <w:keepLines/>
            </w:pPr>
            <w:r>
              <w:t>47 g ac/ha</w:t>
            </w:r>
          </w:p>
          <w:p w14:paraId="1F9830B6" w14:textId="77777777" w:rsidR="00502F10" w:rsidRDefault="00502F10" w:rsidP="00502F10">
            <w:pPr>
              <w:pStyle w:val="TableText"/>
              <w:keepNext/>
              <w:keepLines/>
            </w:pPr>
            <w:r>
              <w:t>53 g ac/ha</w:t>
            </w:r>
          </w:p>
          <w:p w14:paraId="2C916E51" w14:textId="77777777" w:rsidR="00502F10" w:rsidRDefault="00502F10" w:rsidP="00502F10">
            <w:pPr>
              <w:pStyle w:val="TableText"/>
              <w:keepNext/>
              <w:keepLines/>
            </w:pPr>
            <w:r>
              <w:t>57 g ac/ha</w:t>
            </w:r>
          </w:p>
          <w:p w14:paraId="6241D5BE" w14:textId="77777777" w:rsidR="00502F10" w:rsidRDefault="00502F10" w:rsidP="00502F10">
            <w:pPr>
              <w:pStyle w:val="TableText"/>
              <w:keepNext/>
              <w:keepLines/>
            </w:pPr>
            <w:r>
              <w:t>257 g ac/ha</w:t>
            </w:r>
          </w:p>
          <w:p w14:paraId="12B1BC55" w14:textId="77777777" w:rsidR="00502F10" w:rsidRDefault="00502F10" w:rsidP="00502F10">
            <w:pPr>
              <w:pStyle w:val="TableText"/>
              <w:keepNext/>
              <w:keepLines/>
            </w:pPr>
            <w:r>
              <w:t>419 g ac/ha</w:t>
            </w:r>
          </w:p>
          <w:p w14:paraId="4792C858" w14:textId="77777777" w:rsidR="00502F10" w:rsidRDefault="00502F10" w:rsidP="00502F10">
            <w:pPr>
              <w:pStyle w:val="TableText"/>
              <w:keepNext/>
              <w:keepLines/>
            </w:pPr>
            <w:r>
              <w:t>425 g ac/ha</w:t>
            </w:r>
          </w:p>
          <w:p w14:paraId="651CAC09" w14:textId="77777777" w:rsidR="00502F10" w:rsidRDefault="00502F10" w:rsidP="00502F10">
            <w:pPr>
              <w:pStyle w:val="TableText"/>
              <w:keepNext/>
              <w:keepLines/>
            </w:pPr>
            <w:r>
              <w:t>445 g ac/ha</w:t>
            </w:r>
          </w:p>
          <w:p w14:paraId="1800CDD5" w14:textId="77777777" w:rsidR="00502F10" w:rsidRDefault="00502F10" w:rsidP="00502F10">
            <w:pPr>
              <w:pStyle w:val="TableText"/>
              <w:keepNext/>
              <w:keepLines/>
            </w:pPr>
            <w:r>
              <w:t>&gt;500 g ac/ha</w:t>
            </w:r>
          </w:p>
        </w:tc>
        <w:tc>
          <w:tcPr>
            <w:tcW w:w="0" w:type="auto"/>
            <w:tcBorders>
              <w:left w:val="nil"/>
            </w:tcBorders>
          </w:tcPr>
          <w:p w14:paraId="71E521D1" w14:textId="77777777" w:rsidR="00502F10" w:rsidRDefault="00502F10" w:rsidP="00502F10">
            <w:pPr>
              <w:pStyle w:val="TableText"/>
              <w:keepNext/>
              <w:keepLines/>
            </w:pPr>
            <w:r>
              <w:t>Martin 2013</w:t>
            </w:r>
          </w:p>
        </w:tc>
      </w:tr>
      <w:tr w:rsidR="00502F10" w14:paraId="787A0878" w14:textId="77777777" w:rsidTr="00502F10">
        <w:tc>
          <w:tcPr>
            <w:tcW w:w="0" w:type="auto"/>
            <w:vMerge/>
            <w:tcBorders>
              <w:right w:val="nil"/>
            </w:tcBorders>
          </w:tcPr>
          <w:p w14:paraId="434AFA5B" w14:textId="77777777" w:rsidR="00502F10" w:rsidRDefault="00502F10" w:rsidP="00502F10">
            <w:pPr>
              <w:pStyle w:val="TableText"/>
              <w:widowControl w:val="0"/>
            </w:pPr>
          </w:p>
        </w:tc>
        <w:tc>
          <w:tcPr>
            <w:tcW w:w="0" w:type="auto"/>
            <w:vMerge/>
            <w:tcBorders>
              <w:left w:val="nil"/>
              <w:right w:val="nil"/>
            </w:tcBorders>
          </w:tcPr>
          <w:p w14:paraId="2E7355CB" w14:textId="77777777" w:rsidR="00502F10" w:rsidRDefault="00502F10" w:rsidP="00502F10">
            <w:pPr>
              <w:pStyle w:val="TableText"/>
              <w:widowControl w:val="0"/>
            </w:pPr>
          </w:p>
        </w:tc>
        <w:tc>
          <w:tcPr>
            <w:tcW w:w="0" w:type="auto"/>
            <w:tcBorders>
              <w:left w:val="nil"/>
              <w:right w:val="nil"/>
            </w:tcBorders>
          </w:tcPr>
          <w:p w14:paraId="19AF1355" w14:textId="77777777" w:rsidR="00502F10" w:rsidRDefault="00502F10" w:rsidP="00502F10">
            <w:pPr>
              <w:pStyle w:val="TableText"/>
              <w:widowControl w:val="0"/>
              <w:rPr>
                <w:i/>
                <w:iCs/>
              </w:rPr>
            </w:pPr>
            <w:r>
              <w:rPr>
                <w:i/>
                <w:iCs/>
              </w:rPr>
              <w:t>Zea mays</w:t>
            </w:r>
          </w:p>
          <w:p w14:paraId="6C855B66" w14:textId="77777777" w:rsidR="00502F10" w:rsidRDefault="00502F10" w:rsidP="00502F10">
            <w:pPr>
              <w:pStyle w:val="TableText"/>
              <w:widowControl w:val="0"/>
              <w:rPr>
                <w:i/>
                <w:iCs/>
              </w:rPr>
            </w:pPr>
            <w:r>
              <w:rPr>
                <w:i/>
                <w:iCs/>
              </w:rPr>
              <w:t>Triticum aestivum</w:t>
            </w:r>
          </w:p>
        </w:tc>
        <w:tc>
          <w:tcPr>
            <w:tcW w:w="0" w:type="auto"/>
            <w:tcBorders>
              <w:left w:val="nil"/>
              <w:right w:val="nil"/>
            </w:tcBorders>
          </w:tcPr>
          <w:p w14:paraId="531048BF" w14:textId="77777777" w:rsidR="00502F10" w:rsidRDefault="00502F10" w:rsidP="00502F10">
            <w:pPr>
              <w:pStyle w:val="TableText"/>
              <w:widowControl w:val="0"/>
            </w:pPr>
            <w:r>
              <w:t>44 g ac/ha</w:t>
            </w:r>
          </w:p>
          <w:p w14:paraId="32C3A86C" w14:textId="77777777" w:rsidR="00502F10" w:rsidRDefault="00502F10" w:rsidP="00502F10">
            <w:pPr>
              <w:pStyle w:val="TableText"/>
              <w:widowControl w:val="0"/>
            </w:pPr>
            <w:r>
              <w:t>215 g ac/ha</w:t>
            </w:r>
          </w:p>
        </w:tc>
        <w:tc>
          <w:tcPr>
            <w:tcW w:w="0" w:type="auto"/>
            <w:tcBorders>
              <w:left w:val="nil"/>
              <w:right w:val="nil"/>
            </w:tcBorders>
          </w:tcPr>
          <w:p w14:paraId="1720F354" w14:textId="77777777" w:rsidR="00502F10" w:rsidRDefault="00502F10" w:rsidP="00502F10">
            <w:pPr>
              <w:pStyle w:val="TableText"/>
              <w:widowControl w:val="0"/>
            </w:pPr>
            <w:r>
              <w:t>65 g ac/ha</w:t>
            </w:r>
          </w:p>
          <w:p w14:paraId="6623AAEA" w14:textId="77777777" w:rsidR="00502F10" w:rsidRDefault="00502F10" w:rsidP="00502F10">
            <w:pPr>
              <w:pStyle w:val="TableText"/>
              <w:widowControl w:val="0"/>
            </w:pPr>
            <w:r>
              <w:t>379 g ac/ha</w:t>
            </w:r>
          </w:p>
        </w:tc>
        <w:tc>
          <w:tcPr>
            <w:tcW w:w="0" w:type="auto"/>
            <w:tcBorders>
              <w:left w:val="nil"/>
            </w:tcBorders>
          </w:tcPr>
          <w:p w14:paraId="0160C534" w14:textId="77777777" w:rsidR="00502F10" w:rsidRDefault="00502F10" w:rsidP="00502F10">
            <w:pPr>
              <w:pStyle w:val="TableText"/>
              <w:widowControl w:val="0"/>
            </w:pPr>
            <w:r>
              <w:t>Porch &amp; Krueger 1999</w:t>
            </w:r>
          </w:p>
        </w:tc>
      </w:tr>
    </w:tbl>
    <w:p w14:paraId="0FB2FB41" w14:textId="2D49F8D4" w:rsidR="00AE1794" w:rsidRPr="00247DE6" w:rsidRDefault="005B7DDF" w:rsidP="00247DE6">
      <w:pPr>
        <w:pStyle w:val="Caption"/>
      </w:pPr>
      <w:bookmarkStart w:id="495" w:name="_Toc232589649"/>
      <w:r w:rsidRPr="00247DE6">
        <w:lastRenderedPageBreak/>
        <w:t xml:space="preserve">Table </w:t>
      </w:r>
      <w:fldSimple w:instr=" SEQ Table \* ARABIC ">
        <w:r w:rsidR="00247DE6">
          <w:rPr>
            <w:noProof/>
          </w:rPr>
          <w:t>54</w:t>
        </w:r>
      </w:fldSimple>
      <w:r w:rsidRPr="00247DE6">
        <w:t xml:space="preserve">: </w:t>
      </w:r>
      <w:r w:rsidR="00294CD3" w:rsidRPr="00247DE6">
        <w:t xml:space="preserve">Diquat – </w:t>
      </w:r>
      <w:r w:rsidR="00502F10" w:rsidRPr="00247DE6">
        <w:t>fi</w:t>
      </w:r>
      <w:r w:rsidR="00AE1794" w:rsidRPr="00247DE6">
        <w:t>eld studies on non-target terrestrial plants (post-emergent exposure)</w:t>
      </w:r>
      <w:bookmarkEnd w:id="49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9"/>
        <w:gridCol w:w="1246"/>
        <w:gridCol w:w="2395"/>
        <w:gridCol w:w="1413"/>
        <w:gridCol w:w="1413"/>
        <w:gridCol w:w="1496"/>
      </w:tblGrid>
      <w:tr w:rsidR="00AE1794" w:rsidRPr="000B2FA7" w14:paraId="3F99B15F" w14:textId="77777777" w:rsidTr="00502F10">
        <w:trPr>
          <w:tblHeader/>
        </w:trPr>
        <w:tc>
          <w:tcPr>
            <w:tcW w:w="0" w:type="auto"/>
            <w:tcBorders>
              <w:right w:val="nil"/>
            </w:tcBorders>
            <w:shd w:val="clear" w:color="auto" w:fill="5C2946"/>
          </w:tcPr>
          <w:p w14:paraId="605D9898" w14:textId="77777777" w:rsidR="00AE1794" w:rsidRPr="00502F10" w:rsidRDefault="00AE1794" w:rsidP="00502F10">
            <w:pPr>
              <w:pStyle w:val="TableHead"/>
            </w:pPr>
            <w:r w:rsidRPr="00502F10">
              <w:t>Test substance</w:t>
            </w:r>
          </w:p>
        </w:tc>
        <w:tc>
          <w:tcPr>
            <w:tcW w:w="0" w:type="auto"/>
            <w:tcBorders>
              <w:left w:val="nil"/>
              <w:right w:val="nil"/>
            </w:tcBorders>
            <w:shd w:val="clear" w:color="auto" w:fill="5C2946"/>
          </w:tcPr>
          <w:p w14:paraId="01B3F0F7" w14:textId="77777777" w:rsidR="00AE1794" w:rsidRPr="00502F10" w:rsidRDefault="00AE1794" w:rsidP="00502F10">
            <w:pPr>
              <w:pStyle w:val="TableHead"/>
            </w:pPr>
            <w:r w:rsidRPr="00502F10">
              <w:t>Location</w:t>
            </w:r>
          </w:p>
        </w:tc>
        <w:tc>
          <w:tcPr>
            <w:tcW w:w="0" w:type="auto"/>
            <w:tcBorders>
              <w:left w:val="nil"/>
              <w:right w:val="nil"/>
            </w:tcBorders>
            <w:shd w:val="clear" w:color="auto" w:fill="5C2946"/>
          </w:tcPr>
          <w:p w14:paraId="6F2FDCDD" w14:textId="77777777" w:rsidR="00AE1794" w:rsidRPr="00502F10" w:rsidRDefault="00AE1794" w:rsidP="00502F10">
            <w:pPr>
              <w:pStyle w:val="TableHead"/>
            </w:pPr>
            <w:r w:rsidRPr="00502F10">
              <w:t>Species</w:t>
            </w:r>
          </w:p>
        </w:tc>
        <w:tc>
          <w:tcPr>
            <w:tcW w:w="0" w:type="auto"/>
            <w:tcBorders>
              <w:left w:val="nil"/>
              <w:right w:val="nil"/>
            </w:tcBorders>
            <w:shd w:val="clear" w:color="auto" w:fill="5C2946"/>
          </w:tcPr>
          <w:p w14:paraId="1A38FFC7" w14:textId="77777777" w:rsidR="00AE1794" w:rsidRPr="00502F10" w:rsidRDefault="00AE1794" w:rsidP="00502F10">
            <w:pPr>
              <w:pStyle w:val="TableHead"/>
            </w:pPr>
            <w:r w:rsidRPr="00502F10">
              <w:t>ER25</w:t>
            </w:r>
          </w:p>
        </w:tc>
        <w:tc>
          <w:tcPr>
            <w:tcW w:w="0" w:type="auto"/>
            <w:tcBorders>
              <w:left w:val="nil"/>
              <w:right w:val="nil"/>
            </w:tcBorders>
            <w:shd w:val="clear" w:color="auto" w:fill="5C2946"/>
          </w:tcPr>
          <w:p w14:paraId="17B938A8" w14:textId="77777777" w:rsidR="00AE1794" w:rsidRPr="00502F10" w:rsidRDefault="00AE1794" w:rsidP="00502F10">
            <w:pPr>
              <w:pStyle w:val="TableHead"/>
            </w:pPr>
            <w:r w:rsidRPr="00502F10">
              <w:t>ER50</w:t>
            </w:r>
          </w:p>
        </w:tc>
        <w:tc>
          <w:tcPr>
            <w:tcW w:w="0" w:type="auto"/>
            <w:tcBorders>
              <w:left w:val="nil"/>
            </w:tcBorders>
            <w:shd w:val="clear" w:color="auto" w:fill="5C2946"/>
          </w:tcPr>
          <w:p w14:paraId="37BF43D2" w14:textId="77777777" w:rsidR="00AE1794" w:rsidRPr="00502F10" w:rsidRDefault="00AE1794" w:rsidP="00502F10">
            <w:pPr>
              <w:pStyle w:val="TableHead"/>
            </w:pPr>
            <w:r w:rsidRPr="00502F10">
              <w:t>Reference</w:t>
            </w:r>
          </w:p>
        </w:tc>
      </w:tr>
      <w:tr w:rsidR="00AE1794" w14:paraId="431D2B09" w14:textId="77777777" w:rsidTr="00502F10">
        <w:tc>
          <w:tcPr>
            <w:tcW w:w="0" w:type="auto"/>
            <w:tcBorders>
              <w:right w:val="nil"/>
            </w:tcBorders>
          </w:tcPr>
          <w:p w14:paraId="06365A70" w14:textId="77777777" w:rsidR="00AE1794" w:rsidRDefault="00AE1794" w:rsidP="00502F10">
            <w:pPr>
              <w:pStyle w:val="TableText"/>
              <w:keepNext/>
              <w:keepLines/>
            </w:pPr>
            <w:r>
              <w:t>SL 240 g/L</w:t>
            </w:r>
          </w:p>
        </w:tc>
        <w:tc>
          <w:tcPr>
            <w:tcW w:w="0" w:type="auto"/>
            <w:tcBorders>
              <w:left w:val="nil"/>
              <w:right w:val="nil"/>
            </w:tcBorders>
          </w:tcPr>
          <w:p w14:paraId="6E3834C1" w14:textId="77777777" w:rsidR="00AE1794" w:rsidRPr="009A3458" w:rsidRDefault="00AE1794" w:rsidP="00502F10">
            <w:pPr>
              <w:pStyle w:val="TableText"/>
              <w:keepNext/>
              <w:keepLines/>
            </w:pPr>
            <w:r>
              <w:t>Florida</w:t>
            </w:r>
          </w:p>
        </w:tc>
        <w:tc>
          <w:tcPr>
            <w:tcW w:w="0" w:type="auto"/>
            <w:tcBorders>
              <w:left w:val="nil"/>
              <w:right w:val="nil"/>
            </w:tcBorders>
          </w:tcPr>
          <w:p w14:paraId="7D4CC78C" w14:textId="77777777" w:rsidR="00AE1794" w:rsidRDefault="00AE1794" w:rsidP="00502F10">
            <w:pPr>
              <w:pStyle w:val="TableText"/>
              <w:keepNext/>
              <w:keepLines/>
              <w:rPr>
                <w:i/>
                <w:iCs/>
              </w:rPr>
            </w:pPr>
            <w:r>
              <w:rPr>
                <w:i/>
                <w:iCs/>
              </w:rPr>
              <w:t>Helianthus annuus</w:t>
            </w:r>
          </w:p>
          <w:p w14:paraId="05903462" w14:textId="77777777" w:rsidR="00AE1794" w:rsidRDefault="00AE1794" w:rsidP="00502F10">
            <w:pPr>
              <w:pStyle w:val="TableText"/>
              <w:keepNext/>
              <w:keepLines/>
              <w:rPr>
                <w:i/>
                <w:iCs/>
              </w:rPr>
            </w:pPr>
            <w:r>
              <w:rPr>
                <w:i/>
                <w:iCs/>
              </w:rPr>
              <w:t>Glycine max</w:t>
            </w:r>
          </w:p>
          <w:p w14:paraId="08364415" w14:textId="77777777" w:rsidR="00AE1794" w:rsidRDefault="00AE1794" w:rsidP="00502F10">
            <w:pPr>
              <w:pStyle w:val="TableText"/>
              <w:keepNext/>
              <w:keepLines/>
              <w:rPr>
                <w:i/>
                <w:iCs/>
              </w:rPr>
            </w:pPr>
            <w:r>
              <w:rPr>
                <w:i/>
                <w:iCs/>
              </w:rPr>
              <w:t>Gossypium hirsutum</w:t>
            </w:r>
          </w:p>
          <w:p w14:paraId="24DEA11D" w14:textId="77777777" w:rsidR="00AE1794" w:rsidRDefault="00AE1794" w:rsidP="00502F10">
            <w:pPr>
              <w:pStyle w:val="TableText"/>
              <w:keepNext/>
              <w:keepLines/>
              <w:rPr>
                <w:i/>
                <w:iCs/>
              </w:rPr>
            </w:pPr>
            <w:r>
              <w:rPr>
                <w:i/>
                <w:iCs/>
              </w:rPr>
              <w:t>Zea mays</w:t>
            </w:r>
          </w:p>
          <w:p w14:paraId="0BD793F4" w14:textId="77777777" w:rsidR="00AE1794" w:rsidRDefault="00AE1794" w:rsidP="00502F10">
            <w:pPr>
              <w:pStyle w:val="TableText"/>
              <w:keepNext/>
              <w:keepLines/>
              <w:rPr>
                <w:i/>
                <w:iCs/>
              </w:rPr>
            </w:pPr>
            <w:r>
              <w:rPr>
                <w:i/>
                <w:iCs/>
              </w:rPr>
              <w:t>Cyperus esculentus</w:t>
            </w:r>
          </w:p>
          <w:p w14:paraId="6853B6E1" w14:textId="77777777" w:rsidR="00AE1794" w:rsidRDefault="00AE1794" w:rsidP="00502F10">
            <w:pPr>
              <w:pStyle w:val="TableText"/>
              <w:keepNext/>
              <w:keepLines/>
              <w:rPr>
                <w:i/>
                <w:iCs/>
              </w:rPr>
            </w:pPr>
            <w:r>
              <w:rPr>
                <w:i/>
                <w:iCs/>
              </w:rPr>
              <w:t>Pinus elliottii</w:t>
            </w:r>
          </w:p>
          <w:p w14:paraId="6E9BBB43" w14:textId="77777777" w:rsidR="00AE1794" w:rsidRDefault="00AE1794" w:rsidP="00502F10">
            <w:pPr>
              <w:pStyle w:val="TableText"/>
              <w:keepNext/>
              <w:keepLines/>
              <w:rPr>
                <w:i/>
                <w:iCs/>
              </w:rPr>
            </w:pPr>
            <w:r>
              <w:rPr>
                <w:i/>
                <w:iCs/>
              </w:rPr>
              <w:t>Pterydium aquilinium</w:t>
            </w:r>
          </w:p>
          <w:p w14:paraId="676BFE43" w14:textId="77777777" w:rsidR="00AE1794" w:rsidRDefault="00AE1794" w:rsidP="00502F10">
            <w:pPr>
              <w:pStyle w:val="TableText"/>
              <w:keepNext/>
              <w:keepLines/>
              <w:rPr>
                <w:i/>
                <w:iCs/>
              </w:rPr>
            </w:pPr>
            <w:r>
              <w:rPr>
                <w:i/>
                <w:iCs/>
              </w:rPr>
              <w:t>Allium cepa</w:t>
            </w:r>
          </w:p>
          <w:p w14:paraId="3506332C" w14:textId="77777777" w:rsidR="00AE1794" w:rsidRPr="00281369" w:rsidRDefault="00AE1794" w:rsidP="00502F10">
            <w:pPr>
              <w:pStyle w:val="TableText"/>
              <w:keepNext/>
              <w:keepLines/>
              <w:rPr>
                <w:i/>
                <w:iCs/>
              </w:rPr>
            </w:pPr>
            <w:r>
              <w:rPr>
                <w:i/>
                <w:iCs/>
              </w:rPr>
              <w:t>Wordardia virginica</w:t>
            </w:r>
          </w:p>
        </w:tc>
        <w:tc>
          <w:tcPr>
            <w:tcW w:w="0" w:type="auto"/>
            <w:tcBorders>
              <w:left w:val="nil"/>
              <w:right w:val="nil"/>
            </w:tcBorders>
          </w:tcPr>
          <w:p w14:paraId="49E5E8DD" w14:textId="77777777" w:rsidR="00AE1794" w:rsidRDefault="00AE1794" w:rsidP="00502F10">
            <w:pPr>
              <w:pStyle w:val="TableText"/>
              <w:keepNext/>
              <w:keepLines/>
            </w:pPr>
            <w:r>
              <w:t>19 g ac/ha</w:t>
            </w:r>
          </w:p>
          <w:p w14:paraId="142343E0" w14:textId="77777777" w:rsidR="00AE1794" w:rsidRDefault="00AE1794" w:rsidP="00502F10">
            <w:pPr>
              <w:pStyle w:val="TableText"/>
              <w:keepNext/>
              <w:keepLines/>
            </w:pPr>
            <w:r>
              <w:t>7.2 g ac/ha</w:t>
            </w:r>
          </w:p>
          <w:p w14:paraId="27EF96D5" w14:textId="77777777" w:rsidR="00AE1794" w:rsidRDefault="00AE1794" w:rsidP="00502F10">
            <w:pPr>
              <w:pStyle w:val="TableText"/>
              <w:keepNext/>
              <w:keepLines/>
            </w:pPr>
            <w:r>
              <w:t>12 g ac/ha</w:t>
            </w:r>
          </w:p>
          <w:p w14:paraId="2D7A3489" w14:textId="77777777" w:rsidR="00AE1794" w:rsidRDefault="00AE1794" w:rsidP="00502F10">
            <w:pPr>
              <w:pStyle w:val="TableText"/>
              <w:keepNext/>
              <w:keepLines/>
            </w:pPr>
            <w:r>
              <w:t>46 g ac/ha</w:t>
            </w:r>
          </w:p>
          <w:p w14:paraId="443E265D" w14:textId="77777777" w:rsidR="00AE1794" w:rsidRDefault="00AE1794" w:rsidP="00502F10">
            <w:pPr>
              <w:pStyle w:val="TableText"/>
              <w:keepNext/>
              <w:keepLines/>
            </w:pPr>
            <w:r>
              <w:t>72 g ac/ha</w:t>
            </w:r>
          </w:p>
          <w:p w14:paraId="1F529946" w14:textId="77777777" w:rsidR="00AE1794" w:rsidRDefault="00AE1794" w:rsidP="00502F10">
            <w:pPr>
              <w:pStyle w:val="TableText"/>
              <w:keepNext/>
              <w:keepLines/>
            </w:pPr>
            <w:r>
              <w:t>19 g ac/ha</w:t>
            </w:r>
          </w:p>
          <w:p w14:paraId="3ECEE3F4" w14:textId="77777777" w:rsidR="00AE1794" w:rsidRDefault="00AE1794" w:rsidP="00502F10">
            <w:pPr>
              <w:pStyle w:val="TableText"/>
              <w:keepNext/>
              <w:keepLines/>
            </w:pPr>
            <w:r>
              <w:t>156 g ac/ha</w:t>
            </w:r>
          </w:p>
          <w:p w14:paraId="220BD318" w14:textId="77777777" w:rsidR="00AE1794" w:rsidRDefault="00AE1794" w:rsidP="00502F10">
            <w:pPr>
              <w:pStyle w:val="TableText"/>
              <w:keepNext/>
              <w:keepLines/>
            </w:pPr>
            <w:r>
              <w:t>247 g ac/ha</w:t>
            </w:r>
          </w:p>
          <w:p w14:paraId="3AAE1630" w14:textId="77777777" w:rsidR="00AE1794" w:rsidRDefault="00AE1794" w:rsidP="00502F10">
            <w:pPr>
              <w:pStyle w:val="TableText"/>
              <w:keepNext/>
              <w:keepLines/>
            </w:pPr>
            <w:r>
              <w:t>19 g ac/ha</w:t>
            </w:r>
          </w:p>
        </w:tc>
        <w:tc>
          <w:tcPr>
            <w:tcW w:w="0" w:type="auto"/>
            <w:tcBorders>
              <w:left w:val="nil"/>
              <w:right w:val="nil"/>
            </w:tcBorders>
          </w:tcPr>
          <w:p w14:paraId="4395FA71" w14:textId="77777777" w:rsidR="00AE1794" w:rsidRDefault="00AE1794" w:rsidP="00502F10">
            <w:pPr>
              <w:pStyle w:val="TableText"/>
              <w:keepNext/>
              <w:keepLines/>
            </w:pPr>
            <w:r>
              <w:t>50 g ac/ha</w:t>
            </w:r>
          </w:p>
          <w:p w14:paraId="6BB59412" w14:textId="77777777" w:rsidR="00AE1794" w:rsidRDefault="00AE1794" w:rsidP="00502F10">
            <w:pPr>
              <w:pStyle w:val="TableText"/>
              <w:keepNext/>
              <w:keepLines/>
            </w:pPr>
            <w:r>
              <w:t>53 g ac/ha</w:t>
            </w:r>
          </w:p>
          <w:p w14:paraId="2FFE5A45" w14:textId="77777777" w:rsidR="00AE1794" w:rsidRDefault="00AE1794" w:rsidP="00502F10">
            <w:pPr>
              <w:pStyle w:val="TableText"/>
              <w:keepNext/>
              <w:keepLines/>
            </w:pPr>
            <w:r>
              <w:t>55 g ac/ha</w:t>
            </w:r>
          </w:p>
          <w:p w14:paraId="4BD9D9EA" w14:textId="77777777" w:rsidR="00AE1794" w:rsidRDefault="00AE1794" w:rsidP="00502F10">
            <w:pPr>
              <w:pStyle w:val="TableText"/>
              <w:keepNext/>
              <w:keepLines/>
            </w:pPr>
            <w:r>
              <w:t>120 g ac/ha</w:t>
            </w:r>
          </w:p>
          <w:p w14:paraId="7F89BF78" w14:textId="77777777" w:rsidR="00AE1794" w:rsidRDefault="00AE1794" w:rsidP="00502F10">
            <w:pPr>
              <w:pStyle w:val="TableText"/>
              <w:keepNext/>
              <w:keepLines/>
            </w:pPr>
            <w:r>
              <w:t>240 g ac/ha</w:t>
            </w:r>
          </w:p>
          <w:p w14:paraId="62835A26" w14:textId="77777777" w:rsidR="00AE1794" w:rsidRDefault="00AE1794" w:rsidP="00502F10">
            <w:pPr>
              <w:pStyle w:val="TableText"/>
              <w:keepNext/>
              <w:keepLines/>
            </w:pPr>
            <w:r>
              <w:t>293 g ac/ha</w:t>
            </w:r>
          </w:p>
          <w:p w14:paraId="642651DF" w14:textId="77777777" w:rsidR="00AE1794" w:rsidRDefault="00AE1794" w:rsidP="00502F10">
            <w:pPr>
              <w:pStyle w:val="TableText"/>
              <w:keepNext/>
              <w:keepLines/>
            </w:pPr>
            <w:r>
              <w:t>485 g ac/ha</w:t>
            </w:r>
          </w:p>
          <w:p w14:paraId="2D1FD1B2" w14:textId="77777777" w:rsidR="00AE1794" w:rsidRDefault="00AE1794" w:rsidP="00502F10">
            <w:pPr>
              <w:pStyle w:val="TableText"/>
              <w:keepNext/>
              <w:keepLines/>
            </w:pPr>
            <w:r>
              <w:t>511 g ac/ha</w:t>
            </w:r>
          </w:p>
          <w:p w14:paraId="38BC72E8" w14:textId="77777777" w:rsidR="00AE1794" w:rsidRDefault="00AE1794" w:rsidP="00502F10">
            <w:pPr>
              <w:pStyle w:val="TableText"/>
              <w:keepNext/>
              <w:keepLines/>
            </w:pPr>
            <w:r>
              <w:t>538 g ac/ha</w:t>
            </w:r>
          </w:p>
        </w:tc>
        <w:tc>
          <w:tcPr>
            <w:tcW w:w="0" w:type="auto"/>
            <w:tcBorders>
              <w:left w:val="nil"/>
            </w:tcBorders>
          </w:tcPr>
          <w:p w14:paraId="3090EE92" w14:textId="77777777" w:rsidR="00AE1794" w:rsidRDefault="00AE1794" w:rsidP="00502F10">
            <w:pPr>
              <w:pStyle w:val="TableText"/>
              <w:keepNext/>
              <w:keepLines/>
            </w:pPr>
            <w:r>
              <w:t>Bellet 1990b</w:t>
            </w:r>
          </w:p>
        </w:tc>
      </w:tr>
      <w:tr w:rsidR="00AE1794" w14:paraId="7237EA57" w14:textId="77777777" w:rsidTr="00502F10">
        <w:tc>
          <w:tcPr>
            <w:tcW w:w="0" w:type="auto"/>
            <w:tcBorders>
              <w:right w:val="nil"/>
            </w:tcBorders>
          </w:tcPr>
          <w:p w14:paraId="5108C37F" w14:textId="77777777" w:rsidR="00AE1794" w:rsidRDefault="00AE1794" w:rsidP="00502F10">
            <w:pPr>
              <w:pStyle w:val="TableText"/>
              <w:keepNext/>
              <w:keepLines/>
            </w:pPr>
          </w:p>
        </w:tc>
        <w:tc>
          <w:tcPr>
            <w:tcW w:w="0" w:type="auto"/>
            <w:tcBorders>
              <w:left w:val="nil"/>
              <w:right w:val="nil"/>
            </w:tcBorders>
          </w:tcPr>
          <w:p w14:paraId="5840C710" w14:textId="77777777" w:rsidR="00AE1794" w:rsidRDefault="00AE1794" w:rsidP="00502F10">
            <w:pPr>
              <w:pStyle w:val="TableText"/>
              <w:keepNext/>
              <w:keepLines/>
            </w:pPr>
            <w:r>
              <w:t>Wisconsin</w:t>
            </w:r>
          </w:p>
        </w:tc>
        <w:tc>
          <w:tcPr>
            <w:tcW w:w="0" w:type="auto"/>
            <w:tcBorders>
              <w:left w:val="nil"/>
              <w:right w:val="nil"/>
            </w:tcBorders>
          </w:tcPr>
          <w:p w14:paraId="4821882E" w14:textId="77777777" w:rsidR="00AE1794" w:rsidRDefault="00AE1794" w:rsidP="00502F10">
            <w:pPr>
              <w:pStyle w:val="TableText"/>
              <w:keepNext/>
              <w:keepLines/>
              <w:rPr>
                <w:i/>
                <w:iCs/>
              </w:rPr>
            </w:pPr>
            <w:r>
              <w:rPr>
                <w:i/>
                <w:iCs/>
              </w:rPr>
              <w:t>Cyperus esculentus</w:t>
            </w:r>
          </w:p>
          <w:p w14:paraId="49721E9B" w14:textId="77777777" w:rsidR="00AE1794" w:rsidRDefault="00AE1794" w:rsidP="00502F10">
            <w:pPr>
              <w:pStyle w:val="TableText"/>
              <w:keepNext/>
              <w:keepLines/>
              <w:rPr>
                <w:i/>
                <w:iCs/>
              </w:rPr>
            </w:pPr>
            <w:r>
              <w:rPr>
                <w:i/>
                <w:iCs/>
              </w:rPr>
              <w:t>Helianthus annuus</w:t>
            </w:r>
          </w:p>
          <w:p w14:paraId="3A0D0E9B" w14:textId="77777777" w:rsidR="00AE1794" w:rsidRDefault="00AE1794" w:rsidP="00502F10">
            <w:pPr>
              <w:pStyle w:val="TableText"/>
              <w:keepNext/>
              <w:keepLines/>
              <w:rPr>
                <w:i/>
                <w:iCs/>
              </w:rPr>
            </w:pPr>
            <w:r>
              <w:rPr>
                <w:i/>
                <w:iCs/>
              </w:rPr>
              <w:t>Allium cepa</w:t>
            </w:r>
          </w:p>
          <w:p w14:paraId="21F6122C" w14:textId="77777777" w:rsidR="00AE1794" w:rsidRDefault="00AE1794" w:rsidP="00502F10">
            <w:pPr>
              <w:pStyle w:val="TableText"/>
              <w:keepNext/>
              <w:keepLines/>
              <w:rPr>
                <w:i/>
                <w:iCs/>
              </w:rPr>
            </w:pPr>
            <w:r>
              <w:rPr>
                <w:i/>
                <w:iCs/>
              </w:rPr>
              <w:t>Pinus strobes</w:t>
            </w:r>
          </w:p>
          <w:p w14:paraId="7823EEDC" w14:textId="77777777" w:rsidR="00AE1794" w:rsidRDefault="00AE1794" w:rsidP="00502F10">
            <w:pPr>
              <w:pStyle w:val="TableText"/>
              <w:keepNext/>
              <w:keepLines/>
              <w:rPr>
                <w:i/>
                <w:iCs/>
              </w:rPr>
            </w:pPr>
            <w:r>
              <w:rPr>
                <w:i/>
                <w:iCs/>
              </w:rPr>
              <w:t>Glycine max</w:t>
            </w:r>
          </w:p>
          <w:p w14:paraId="158F55B3" w14:textId="77777777" w:rsidR="00AE1794" w:rsidRDefault="00AE1794" w:rsidP="00502F10">
            <w:pPr>
              <w:pStyle w:val="TableText"/>
              <w:keepNext/>
              <w:keepLines/>
              <w:rPr>
                <w:i/>
                <w:iCs/>
              </w:rPr>
            </w:pPr>
            <w:r>
              <w:rPr>
                <w:i/>
                <w:iCs/>
              </w:rPr>
              <w:t>Zea mays</w:t>
            </w:r>
          </w:p>
          <w:p w14:paraId="36D77D88" w14:textId="77777777" w:rsidR="00AE1794" w:rsidRDefault="00AE1794" w:rsidP="00502F10">
            <w:pPr>
              <w:pStyle w:val="TableText"/>
              <w:keepNext/>
              <w:keepLines/>
              <w:rPr>
                <w:i/>
                <w:iCs/>
              </w:rPr>
            </w:pPr>
            <w:r>
              <w:rPr>
                <w:i/>
                <w:iCs/>
              </w:rPr>
              <w:t>Phaseolus vulgaris</w:t>
            </w:r>
          </w:p>
        </w:tc>
        <w:tc>
          <w:tcPr>
            <w:tcW w:w="0" w:type="auto"/>
            <w:tcBorders>
              <w:left w:val="nil"/>
              <w:right w:val="nil"/>
            </w:tcBorders>
          </w:tcPr>
          <w:p w14:paraId="03F7AB84" w14:textId="77777777" w:rsidR="00AE1794" w:rsidRDefault="00AE1794" w:rsidP="00502F10">
            <w:pPr>
              <w:pStyle w:val="TableText"/>
              <w:keepNext/>
              <w:keepLines/>
            </w:pPr>
            <w:r>
              <w:t>18 g ac/ha</w:t>
            </w:r>
          </w:p>
          <w:p w14:paraId="4F7BAA03" w14:textId="77777777" w:rsidR="00AE1794" w:rsidRDefault="00AE1794" w:rsidP="00502F10">
            <w:pPr>
              <w:pStyle w:val="TableText"/>
              <w:keepNext/>
              <w:keepLines/>
            </w:pPr>
            <w:r>
              <w:t>31 g ac/ha</w:t>
            </w:r>
          </w:p>
          <w:p w14:paraId="563624BB" w14:textId="77777777" w:rsidR="00AE1794" w:rsidRDefault="00AE1794" w:rsidP="00502F10">
            <w:pPr>
              <w:pStyle w:val="TableText"/>
              <w:keepNext/>
              <w:keepLines/>
            </w:pPr>
            <w:r>
              <w:t>36 g ac/ha</w:t>
            </w:r>
          </w:p>
          <w:p w14:paraId="762C0C7F" w14:textId="77777777" w:rsidR="00AE1794" w:rsidRDefault="00AE1794" w:rsidP="00502F10">
            <w:pPr>
              <w:pStyle w:val="TableText"/>
              <w:keepNext/>
              <w:keepLines/>
            </w:pPr>
            <w:r>
              <w:t>74 g ac/ha</w:t>
            </w:r>
          </w:p>
          <w:p w14:paraId="12E859ED" w14:textId="77777777" w:rsidR="00AE1794" w:rsidRDefault="00AE1794" w:rsidP="00502F10">
            <w:pPr>
              <w:pStyle w:val="TableText"/>
              <w:keepNext/>
              <w:keepLines/>
            </w:pPr>
            <w:r>
              <w:t>395 g ac/ha</w:t>
            </w:r>
          </w:p>
          <w:p w14:paraId="76CEA140" w14:textId="77777777" w:rsidR="00AE1794" w:rsidRDefault="00AE1794" w:rsidP="00502F10">
            <w:pPr>
              <w:pStyle w:val="TableText"/>
              <w:keepNext/>
              <w:keepLines/>
            </w:pPr>
            <w:r>
              <w:t>216 g ac/ha</w:t>
            </w:r>
          </w:p>
          <w:p w14:paraId="700D1161" w14:textId="77777777" w:rsidR="00AE1794" w:rsidRDefault="00AE1794" w:rsidP="00502F10">
            <w:pPr>
              <w:pStyle w:val="TableText"/>
              <w:keepNext/>
              <w:keepLines/>
            </w:pPr>
            <w:r>
              <w:t>393 g ac/ha</w:t>
            </w:r>
          </w:p>
        </w:tc>
        <w:tc>
          <w:tcPr>
            <w:tcW w:w="0" w:type="auto"/>
            <w:tcBorders>
              <w:left w:val="nil"/>
              <w:right w:val="nil"/>
            </w:tcBorders>
          </w:tcPr>
          <w:p w14:paraId="40609D44" w14:textId="77777777" w:rsidR="00AE1794" w:rsidRDefault="00AE1794" w:rsidP="00502F10">
            <w:pPr>
              <w:pStyle w:val="TableText"/>
              <w:keepNext/>
              <w:keepLines/>
            </w:pPr>
            <w:r>
              <w:t>35 g ac/ha</w:t>
            </w:r>
          </w:p>
          <w:p w14:paraId="557E0A40" w14:textId="77777777" w:rsidR="00AE1794" w:rsidRDefault="00AE1794" w:rsidP="00502F10">
            <w:pPr>
              <w:pStyle w:val="TableText"/>
              <w:keepNext/>
              <w:keepLines/>
            </w:pPr>
            <w:r>
              <w:t>63 g ac/ha</w:t>
            </w:r>
          </w:p>
          <w:p w14:paraId="5F5C1D34" w14:textId="77777777" w:rsidR="00AE1794" w:rsidRDefault="00AE1794" w:rsidP="00502F10">
            <w:pPr>
              <w:pStyle w:val="TableText"/>
              <w:keepNext/>
              <w:keepLines/>
            </w:pPr>
            <w:r>
              <w:t>74 g ac/ha</w:t>
            </w:r>
          </w:p>
          <w:p w14:paraId="6BD93991" w14:textId="77777777" w:rsidR="00AE1794" w:rsidRDefault="00AE1794" w:rsidP="00502F10">
            <w:pPr>
              <w:pStyle w:val="TableText"/>
              <w:keepNext/>
              <w:keepLines/>
            </w:pPr>
            <w:r>
              <w:t>150 g ac/ha</w:t>
            </w:r>
          </w:p>
          <w:p w14:paraId="07825C2D" w14:textId="77777777" w:rsidR="00AE1794" w:rsidRDefault="00AE1794" w:rsidP="00502F10">
            <w:pPr>
              <w:pStyle w:val="TableText"/>
              <w:keepNext/>
              <w:keepLines/>
            </w:pPr>
            <w:r>
              <w:t>191 g ac/ha</w:t>
            </w:r>
          </w:p>
          <w:p w14:paraId="2F16DE6D" w14:textId="77777777" w:rsidR="00AE1794" w:rsidRDefault="00AE1794" w:rsidP="00502F10">
            <w:pPr>
              <w:pStyle w:val="TableText"/>
              <w:keepNext/>
              <w:keepLines/>
            </w:pPr>
            <w:r>
              <w:t>539 g ac/ha</w:t>
            </w:r>
          </w:p>
          <w:p w14:paraId="1B5FB84B" w14:textId="77777777" w:rsidR="00AE1794" w:rsidRDefault="00AE1794" w:rsidP="00502F10">
            <w:pPr>
              <w:pStyle w:val="TableText"/>
              <w:keepNext/>
              <w:keepLines/>
            </w:pPr>
            <w:r>
              <w:t>884 g ac/ha</w:t>
            </w:r>
          </w:p>
        </w:tc>
        <w:tc>
          <w:tcPr>
            <w:tcW w:w="0" w:type="auto"/>
            <w:tcBorders>
              <w:left w:val="nil"/>
            </w:tcBorders>
          </w:tcPr>
          <w:p w14:paraId="422DCDAB" w14:textId="77777777" w:rsidR="00AE1794" w:rsidRDefault="00AE1794" w:rsidP="00502F10">
            <w:pPr>
              <w:pStyle w:val="TableText"/>
              <w:keepNext/>
              <w:keepLines/>
            </w:pPr>
            <w:r>
              <w:t>Bellet 1990b</w:t>
            </w:r>
          </w:p>
        </w:tc>
      </w:tr>
    </w:tbl>
    <w:p w14:paraId="6DD223E7" w14:textId="77777777" w:rsidR="003F537D" w:rsidRDefault="003F537D" w:rsidP="003F537D">
      <w:pPr>
        <w:pStyle w:val="NormalText"/>
        <w:sectPr w:rsidR="003F537D" w:rsidSect="009A2AA4">
          <w:headerReference w:type="even" r:id="rId49"/>
          <w:pgSz w:w="11906" w:h="16838" w:code="9"/>
          <w:pgMar w:top="2835" w:right="1134" w:bottom="1134" w:left="1134" w:header="1701" w:footer="680" w:gutter="0"/>
          <w:cols w:space="708"/>
          <w:docGrid w:linePitch="360"/>
        </w:sectPr>
      </w:pPr>
      <w:bookmarkStart w:id="496" w:name="_Toc149734923"/>
      <w:bookmarkStart w:id="497" w:name="_Toc153649660"/>
      <w:bookmarkStart w:id="498" w:name="_Toc156980643"/>
      <w:bookmarkStart w:id="499" w:name="_Ref221177184"/>
    </w:p>
    <w:p w14:paraId="44DE19CE" w14:textId="4F321008" w:rsidR="00AE1794" w:rsidRDefault="00AE1794" w:rsidP="00C97A0F">
      <w:pPr>
        <w:pStyle w:val="Heading1"/>
        <w:numPr>
          <w:ilvl w:val="0"/>
          <w:numId w:val="0"/>
        </w:numPr>
        <w:ind w:left="432" w:hanging="432"/>
      </w:pPr>
      <w:bookmarkStart w:id="500" w:name="_Toc233039044"/>
      <w:r>
        <w:lastRenderedPageBreak/>
        <w:t>Appendix C – Terrestrial vertebrate assessments</w:t>
      </w:r>
      <w:bookmarkEnd w:id="496"/>
      <w:bookmarkEnd w:id="497"/>
      <w:bookmarkEnd w:id="498"/>
      <w:bookmarkEnd w:id="499"/>
      <w:bookmarkEnd w:id="500"/>
    </w:p>
    <w:p w14:paraId="38025E7A" w14:textId="77777777" w:rsidR="002B1A69" w:rsidRPr="00B10F80" w:rsidRDefault="002B1A69" w:rsidP="00A97745">
      <w:pPr>
        <w:pStyle w:val="PreliminariesH2"/>
      </w:pPr>
      <w:bookmarkStart w:id="501" w:name="_Toc216683825"/>
      <w:r w:rsidRPr="00B10F80">
        <w:t xml:space="preserve">Risk assessment </w:t>
      </w:r>
      <w:r>
        <w:t>(</w:t>
      </w:r>
      <w:r w:rsidRPr="00B10F80">
        <w:t>according to EFSA 2009</w:t>
      </w:r>
      <w:r>
        <w:t>)</w:t>
      </w:r>
      <w:bookmarkEnd w:id="501"/>
    </w:p>
    <w:p w14:paraId="4DEF337B" w14:textId="77777777" w:rsidR="002B1A69" w:rsidRPr="002B1A69" w:rsidRDefault="002B1A69" w:rsidP="003F537D">
      <w:pPr>
        <w:pStyle w:val="NormalText"/>
      </w:pPr>
      <w:r w:rsidRPr="00EE6ACC">
        <w:t xml:space="preserve">Risks to terrestrial vertebrates following dietary exposure to contaminated food items are assessed using a tiered approach. The acute assessment assumes 100% of food items are obtained from the treatment area on the last day of application, while the </w:t>
      </w:r>
      <w:r w:rsidRPr="002B1A69">
        <w:t>chronic assessment assumes 50% of food items are obtained from the treatment area for the first 21 days after the last application (PT 0.5).</w:t>
      </w:r>
    </w:p>
    <w:p w14:paraId="6C96C242" w14:textId="6AB92583" w:rsidR="002B1A69" w:rsidRPr="002B1A69" w:rsidRDefault="002B1A69" w:rsidP="003F537D">
      <w:pPr>
        <w:pStyle w:val="NormalText"/>
      </w:pPr>
      <w:r w:rsidRPr="002B1A69">
        <w:t>The use patterns were divided up into groups which consist of crops that have similar growing patterns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r w:rsidRPr="002B1A69">
        <w:t>). It is assumed that the exposure of a ‘generic focal species’ within each group will be the same as they relate to feeding habits and other ecological needs. A ‘generic focal species’ is not a real species; however, it is considered representative of all those species potentially at risk. The APVMA utilises the EFSA (2009) generic focal species which are considered protective of species that occur in Australia. Interception of the spray by the crop is accounted for by calculating the residue level on the several food types, depending on the growth stage of the crop. This consideration is reflected in the EFSA (2009) shortcut values.</w:t>
      </w:r>
    </w:p>
    <w:p w14:paraId="6EA7503D" w14:textId="42DD5CFA" w:rsidR="002B1A69" w:rsidRPr="002B1A69" w:rsidRDefault="002B1A69" w:rsidP="003F537D">
      <w:pPr>
        <w:pStyle w:val="NormalText"/>
      </w:pPr>
      <w:r w:rsidRPr="002B1A69">
        <w:t>The maximum acceptable application rate following both acute and chronic exposure for each application timing have been calculated in this document to compare against the full rate ranges registered for each situation (</w:t>
      </w:r>
      <w:r w:rsidR="001B2D62">
        <w:fldChar w:fldCharType="begin" w:fldLock="1"/>
      </w:r>
      <w:r w:rsidR="001B2D62">
        <w:instrText xml:space="preserve"> REF _Ref170461194 \h </w:instrText>
      </w:r>
      <w:r w:rsidR="001B2D62">
        <w:fldChar w:fldCharType="separate"/>
      </w:r>
      <w:r w:rsidR="001B2D62" w:rsidRPr="00247DE6">
        <w:t xml:space="preserve">Table </w:t>
      </w:r>
      <w:r w:rsidR="001B2D62">
        <w:rPr>
          <w:noProof/>
        </w:rPr>
        <w:t>56</w:t>
      </w:r>
      <w:r w:rsidR="001B2D62">
        <w:fldChar w:fldCharType="end"/>
      </w:r>
      <w:r w:rsidRPr="002B1A69">
        <w:t xml:space="preserve"> for wild mammals; </w:t>
      </w:r>
      <w:r w:rsidR="001B2D62">
        <w:fldChar w:fldCharType="begin" w:fldLock="1"/>
      </w:r>
      <w:r w:rsidR="001B2D62">
        <w:instrText xml:space="preserve"> REF _Ref170461200 \h </w:instrText>
      </w:r>
      <w:r w:rsidR="001B2D62">
        <w:fldChar w:fldCharType="separate"/>
      </w:r>
      <w:r w:rsidR="001B2D62" w:rsidRPr="00247DE6">
        <w:t xml:space="preserve">Table </w:t>
      </w:r>
      <w:r w:rsidR="001B2D62">
        <w:rPr>
          <w:noProof/>
        </w:rPr>
        <w:t>57</w:t>
      </w:r>
      <w:r w:rsidR="001B2D62">
        <w:fldChar w:fldCharType="end"/>
      </w:r>
      <w:r w:rsidRPr="002B1A69">
        <w:t xml:space="preserve"> for birds). Only application timings considered relevant for the use situation have been considered. Note that these assessments do not include any refinements. Refinements to the risk assessment are considered in the following section.</w:t>
      </w:r>
    </w:p>
    <w:p w14:paraId="08AD47FD" w14:textId="788C8133" w:rsidR="00AE1794" w:rsidRPr="00247DE6" w:rsidRDefault="005B7DDF" w:rsidP="00247DE6">
      <w:pPr>
        <w:pStyle w:val="Caption"/>
      </w:pPr>
      <w:bookmarkStart w:id="502" w:name="_Ref170461176"/>
      <w:bookmarkStart w:id="503" w:name="_Toc232589650"/>
      <w:r w:rsidRPr="00247DE6">
        <w:t xml:space="preserve">Table </w:t>
      </w:r>
      <w:fldSimple w:instr=" SEQ Table \* ARABIC ">
        <w:r w:rsidR="000A5235">
          <w:rPr>
            <w:noProof/>
          </w:rPr>
          <w:t>55</w:t>
        </w:r>
      </w:fldSimple>
      <w:bookmarkEnd w:id="502"/>
      <w:r w:rsidRPr="00247DE6">
        <w:t xml:space="preserve">: </w:t>
      </w:r>
      <w:r w:rsidR="00AE1794" w:rsidRPr="00247DE6">
        <w:t>Seasonal exposure estimates for diquat in animal food items</w:t>
      </w:r>
      <w:bookmarkEnd w:id="5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5"/>
        <w:gridCol w:w="1110"/>
        <w:gridCol w:w="2946"/>
        <w:gridCol w:w="2541"/>
        <w:gridCol w:w="700"/>
        <w:gridCol w:w="1320"/>
      </w:tblGrid>
      <w:tr w:rsidR="002B1A69" w:rsidRPr="00EF5C2F" w14:paraId="08A81768" w14:textId="77777777" w:rsidTr="00514EF5">
        <w:trPr>
          <w:cantSplit/>
          <w:tblHeader/>
        </w:trPr>
        <w:tc>
          <w:tcPr>
            <w:tcW w:w="555" w:type="pct"/>
            <w:vMerge w:val="restart"/>
            <w:shd w:val="clear" w:color="auto" w:fill="5C2946"/>
          </w:tcPr>
          <w:p w14:paraId="4762854E" w14:textId="75DC5D7E" w:rsidR="002B1A69" w:rsidRPr="00EF5C2F" w:rsidRDefault="003870CA" w:rsidP="003F537D">
            <w:pPr>
              <w:pStyle w:val="TableHead"/>
            </w:pPr>
            <w:r>
              <w:t>Category</w:t>
            </w:r>
          </w:p>
        </w:tc>
        <w:tc>
          <w:tcPr>
            <w:tcW w:w="575" w:type="pct"/>
            <w:vMerge w:val="restart"/>
            <w:shd w:val="clear" w:color="auto" w:fill="5C2946"/>
          </w:tcPr>
          <w:p w14:paraId="29A0D316" w14:textId="77777777" w:rsidR="002B1A69" w:rsidRPr="00EF5C2F" w:rsidRDefault="002B1A69" w:rsidP="003F537D">
            <w:pPr>
              <w:pStyle w:val="TableHead"/>
            </w:pPr>
            <w:r w:rsidRPr="00EF5C2F">
              <w:t>EFSA 2009</w:t>
            </w:r>
          </w:p>
          <w:p w14:paraId="19CEACFD" w14:textId="77777777" w:rsidR="002B1A69" w:rsidRPr="00EF5C2F" w:rsidRDefault="002B1A69" w:rsidP="003F537D">
            <w:pPr>
              <w:pStyle w:val="TableHead"/>
            </w:pPr>
            <w:r w:rsidRPr="00EF5C2F">
              <w:t>crop group</w:t>
            </w:r>
          </w:p>
        </w:tc>
        <w:tc>
          <w:tcPr>
            <w:tcW w:w="1516" w:type="pct"/>
            <w:vMerge w:val="restart"/>
            <w:shd w:val="clear" w:color="auto" w:fill="5C2946"/>
          </w:tcPr>
          <w:p w14:paraId="28CF3004" w14:textId="77777777" w:rsidR="002B1A69" w:rsidRPr="00EF5C2F" w:rsidRDefault="002B1A69" w:rsidP="003F537D">
            <w:pPr>
              <w:pStyle w:val="TableHead"/>
            </w:pPr>
            <w:r w:rsidRPr="00EF5C2F">
              <w:t>Situation</w:t>
            </w:r>
          </w:p>
        </w:tc>
        <w:tc>
          <w:tcPr>
            <w:tcW w:w="1308" w:type="pct"/>
            <w:vMerge w:val="restart"/>
            <w:shd w:val="clear" w:color="auto" w:fill="5C2946"/>
          </w:tcPr>
          <w:p w14:paraId="2F71D595" w14:textId="77777777" w:rsidR="002B1A69" w:rsidRPr="00EF5C2F" w:rsidRDefault="002B1A69" w:rsidP="003F537D">
            <w:pPr>
              <w:pStyle w:val="TableHead"/>
              <w:jc w:val="right"/>
            </w:pPr>
            <w:r w:rsidRPr="00EF5C2F">
              <w:t>Application rate</w:t>
            </w:r>
          </w:p>
          <w:p w14:paraId="3D1B7D96" w14:textId="77777777" w:rsidR="002B1A69" w:rsidRPr="00EF5C2F" w:rsidRDefault="002B1A69" w:rsidP="003F537D">
            <w:pPr>
              <w:pStyle w:val="TableHead"/>
              <w:jc w:val="right"/>
            </w:pPr>
            <w:r w:rsidRPr="00EF5C2F">
              <w:t>&amp; frequency</w:t>
            </w:r>
          </w:p>
        </w:tc>
        <w:tc>
          <w:tcPr>
            <w:tcW w:w="364" w:type="pct"/>
            <w:vMerge w:val="restart"/>
            <w:shd w:val="clear" w:color="auto" w:fill="5C2946"/>
          </w:tcPr>
          <w:p w14:paraId="62ADAFC4" w14:textId="77777777" w:rsidR="002B1A69" w:rsidRPr="00EF5C2F" w:rsidRDefault="002B1A69" w:rsidP="003F537D">
            <w:pPr>
              <w:pStyle w:val="TableHead"/>
              <w:jc w:val="right"/>
            </w:pPr>
            <w:r>
              <w:t>FFT</w:t>
            </w:r>
          </w:p>
        </w:tc>
        <w:tc>
          <w:tcPr>
            <w:tcW w:w="682" w:type="pct"/>
            <w:shd w:val="clear" w:color="auto" w:fill="5C2946"/>
          </w:tcPr>
          <w:p w14:paraId="3C3CEEF6" w14:textId="3B7E1934" w:rsidR="002B1A69" w:rsidRPr="00EF5C2F" w:rsidRDefault="002B1A69" w:rsidP="003F537D">
            <w:pPr>
              <w:pStyle w:val="TableHead"/>
              <w:jc w:val="right"/>
            </w:pPr>
            <w:r w:rsidRPr="00EF5C2F">
              <w:t xml:space="preserve">Seasonal exposure rate </w:t>
            </w:r>
            <w:r w:rsidRPr="00EF5C2F">
              <w:rPr>
                <w:sz w:val="16"/>
                <w:szCs w:val="16"/>
              </w:rPr>
              <w:t>(g/ha)</w:t>
            </w:r>
            <w:r w:rsidR="00E61669">
              <w:rPr>
                <w:rFonts w:ascii="ZWAdobeF" w:hAnsi="ZWAdobeF" w:cs="ZWAdobeF"/>
                <w:sz w:val="2"/>
                <w:szCs w:val="2"/>
              </w:rPr>
              <w:t>35F</w:t>
            </w:r>
            <w:r w:rsidR="00602535">
              <w:rPr>
                <w:rFonts w:ascii="ZWAdobeF" w:hAnsi="ZWAdobeF" w:cs="ZWAdobeF"/>
                <w:color w:val="auto"/>
                <w:spacing w:val="0"/>
                <w:sz w:val="2"/>
                <w:szCs w:val="2"/>
              </w:rPr>
              <w:t>38F</w:t>
            </w:r>
            <w:r>
              <w:rPr>
                <w:rStyle w:val="FootnoteReference"/>
                <w:b/>
                <w:sz w:val="16"/>
                <w:szCs w:val="16"/>
              </w:rPr>
              <w:footnoteReference w:id="40"/>
            </w:r>
          </w:p>
        </w:tc>
      </w:tr>
      <w:tr w:rsidR="002B1A69" w:rsidRPr="00EF5C2F" w14:paraId="3A5DAD22" w14:textId="77777777" w:rsidTr="00514EF5">
        <w:trPr>
          <w:cantSplit/>
          <w:tblHeader/>
        </w:trPr>
        <w:tc>
          <w:tcPr>
            <w:tcW w:w="555" w:type="pct"/>
            <w:vMerge/>
            <w:tcBorders>
              <w:top w:val="nil"/>
              <w:bottom w:val="single" w:sz="4" w:space="0" w:color="auto"/>
            </w:tcBorders>
            <w:shd w:val="clear" w:color="auto" w:fill="5C2946"/>
          </w:tcPr>
          <w:p w14:paraId="3396A190" w14:textId="77777777" w:rsidR="002B1A69" w:rsidRPr="00EF5C2F" w:rsidRDefault="002B1A69" w:rsidP="003F537D">
            <w:pPr>
              <w:pStyle w:val="TableHead"/>
            </w:pPr>
          </w:p>
        </w:tc>
        <w:tc>
          <w:tcPr>
            <w:tcW w:w="575" w:type="pct"/>
            <w:vMerge/>
            <w:tcBorders>
              <w:bottom w:val="single" w:sz="4" w:space="0" w:color="auto"/>
            </w:tcBorders>
            <w:shd w:val="clear" w:color="auto" w:fill="5C2946"/>
          </w:tcPr>
          <w:p w14:paraId="34C0CE4E" w14:textId="77777777" w:rsidR="002B1A69" w:rsidRPr="00EF5C2F" w:rsidRDefault="002B1A69" w:rsidP="003F537D">
            <w:pPr>
              <w:pStyle w:val="TableHead"/>
            </w:pPr>
          </w:p>
        </w:tc>
        <w:tc>
          <w:tcPr>
            <w:tcW w:w="1516" w:type="pct"/>
            <w:vMerge/>
            <w:tcBorders>
              <w:bottom w:val="single" w:sz="4" w:space="0" w:color="auto"/>
            </w:tcBorders>
            <w:shd w:val="clear" w:color="auto" w:fill="5C2946"/>
          </w:tcPr>
          <w:p w14:paraId="63B75AA1" w14:textId="77777777" w:rsidR="002B1A69" w:rsidRPr="00EF5C2F" w:rsidRDefault="002B1A69" w:rsidP="003F537D">
            <w:pPr>
              <w:pStyle w:val="TableHead"/>
            </w:pPr>
          </w:p>
        </w:tc>
        <w:tc>
          <w:tcPr>
            <w:tcW w:w="1308" w:type="pct"/>
            <w:vMerge/>
            <w:tcBorders>
              <w:bottom w:val="single" w:sz="4" w:space="0" w:color="auto"/>
            </w:tcBorders>
            <w:shd w:val="clear" w:color="auto" w:fill="5C2946"/>
          </w:tcPr>
          <w:p w14:paraId="0C1CB998" w14:textId="77777777" w:rsidR="002B1A69" w:rsidRPr="00EF5C2F" w:rsidRDefault="002B1A69" w:rsidP="003F537D">
            <w:pPr>
              <w:pStyle w:val="TableHead"/>
              <w:jc w:val="right"/>
            </w:pPr>
          </w:p>
        </w:tc>
        <w:tc>
          <w:tcPr>
            <w:tcW w:w="364" w:type="pct"/>
            <w:vMerge/>
            <w:tcBorders>
              <w:bottom w:val="single" w:sz="4" w:space="0" w:color="auto"/>
            </w:tcBorders>
            <w:shd w:val="clear" w:color="auto" w:fill="5C2946"/>
          </w:tcPr>
          <w:p w14:paraId="4508AD4C" w14:textId="77777777" w:rsidR="002B1A69" w:rsidRPr="00EF5C2F" w:rsidRDefault="002B1A69" w:rsidP="003F537D">
            <w:pPr>
              <w:pStyle w:val="TableHead"/>
              <w:jc w:val="right"/>
            </w:pPr>
          </w:p>
        </w:tc>
        <w:tc>
          <w:tcPr>
            <w:tcW w:w="682" w:type="pct"/>
            <w:tcBorders>
              <w:bottom w:val="single" w:sz="4" w:space="0" w:color="auto"/>
            </w:tcBorders>
            <w:shd w:val="clear" w:color="auto" w:fill="5C2946"/>
          </w:tcPr>
          <w:p w14:paraId="78ED1579" w14:textId="77777777" w:rsidR="002B1A69" w:rsidRPr="00EF5C2F" w:rsidRDefault="002B1A69" w:rsidP="003F537D">
            <w:pPr>
              <w:pStyle w:val="TableHead"/>
              <w:jc w:val="right"/>
            </w:pPr>
            <w:r>
              <w:t>Maximum</w:t>
            </w:r>
          </w:p>
        </w:tc>
      </w:tr>
      <w:tr w:rsidR="002B1A69" w:rsidRPr="00CD311A" w14:paraId="7F6EFF87" w14:textId="77777777" w:rsidTr="00514EF5">
        <w:trPr>
          <w:cantSplit/>
        </w:trPr>
        <w:tc>
          <w:tcPr>
            <w:tcW w:w="555" w:type="pct"/>
            <w:vMerge w:val="restart"/>
            <w:tcBorders>
              <w:top w:val="single" w:sz="4" w:space="0" w:color="auto"/>
              <w:left w:val="nil"/>
              <w:bottom w:val="nil"/>
              <w:right w:val="nil"/>
            </w:tcBorders>
          </w:tcPr>
          <w:p w14:paraId="36C7B3AA" w14:textId="77777777" w:rsidR="002B1A69" w:rsidRPr="00EF5C2F" w:rsidRDefault="002B1A69" w:rsidP="003F537D">
            <w:pPr>
              <w:pStyle w:val="TableText"/>
            </w:pPr>
            <w:r>
              <w:t>Pre-harvest crop desiccation</w:t>
            </w:r>
          </w:p>
        </w:tc>
        <w:tc>
          <w:tcPr>
            <w:tcW w:w="575" w:type="pct"/>
            <w:tcBorders>
              <w:top w:val="single" w:sz="4" w:space="0" w:color="auto"/>
              <w:left w:val="nil"/>
              <w:bottom w:val="nil"/>
              <w:right w:val="nil"/>
            </w:tcBorders>
          </w:tcPr>
          <w:p w14:paraId="26445115" w14:textId="77777777" w:rsidR="002B1A69" w:rsidRPr="00EF5C2F" w:rsidRDefault="002B1A69" w:rsidP="003F537D">
            <w:pPr>
              <w:pStyle w:val="TableText"/>
            </w:pPr>
            <w:r>
              <w:t>Cereals</w:t>
            </w:r>
          </w:p>
        </w:tc>
        <w:tc>
          <w:tcPr>
            <w:tcW w:w="1516" w:type="pct"/>
            <w:tcBorders>
              <w:top w:val="single" w:sz="4" w:space="0" w:color="auto"/>
              <w:left w:val="nil"/>
              <w:bottom w:val="nil"/>
              <w:right w:val="nil"/>
            </w:tcBorders>
          </w:tcPr>
          <w:p w14:paraId="25E761AE" w14:textId="77777777" w:rsidR="002B1A69" w:rsidRPr="00CD311A" w:rsidRDefault="002B1A69" w:rsidP="003F537D">
            <w:pPr>
              <w:pStyle w:val="TableText"/>
            </w:pPr>
            <w:r w:rsidRPr="00CD311A">
              <w:t>Cereals, rice</w:t>
            </w:r>
          </w:p>
        </w:tc>
        <w:tc>
          <w:tcPr>
            <w:tcW w:w="1308" w:type="pct"/>
            <w:tcBorders>
              <w:top w:val="single" w:sz="4" w:space="0" w:color="auto"/>
              <w:left w:val="nil"/>
              <w:bottom w:val="nil"/>
              <w:right w:val="nil"/>
            </w:tcBorders>
          </w:tcPr>
          <w:p w14:paraId="389B1BE4" w14:textId="77777777" w:rsidR="002B1A69" w:rsidRPr="00CD311A" w:rsidRDefault="002B1A69" w:rsidP="003F537D">
            <w:pPr>
              <w:pStyle w:val="TableText"/>
              <w:jc w:val="right"/>
            </w:pPr>
            <w:r>
              <w:t xml:space="preserve">From </w:t>
            </w:r>
            <w:r w:rsidRPr="00CD311A">
              <w:t>1× 600 g ac/ha</w:t>
            </w:r>
          </w:p>
        </w:tc>
        <w:tc>
          <w:tcPr>
            <w:tcW w:w="364" w:type="pct"/>
            <w:tcBorders>
              <w:top w:val="single" w:sz="4" w:space="0" w:color="auto"/>
              <w:left w:val="nil"/>
              <w:bottom w:val="nil"/>
              <w:right w:val="nil"/>
            </w:tcBorders>
          </w:tcPr>
          <w:p w14:paraId="3189BED7" w14:textId="77777777" w:rsidR="002B1A69" w:rsidRPr="00CD311A" w:rsidRDefault="002B1A69" w:rsidP="003F537D">
            <w:pPr>
              <w:pStyle w:val="TableText"/>
              <w:jc w:val="right"/>
            </w:pPr>
            <w:r w:rsidRPr="009E064D">
              <w:t>1.0</w:t>
            </w:r>
          </w:p>
        </w:tc>
        <w:tc>
          <w:tcPr>
            <w:tcW w:w="682" w:type="pct"/>
            <w:tcBorders>
              <w:top w:val="single" w:sz="4" w:space="0" w:color="auto"/>
              <w:left w:val="nil"/>
              <w:bottom w:val="nil"/>
              <w:right w:val="nil"/>
            </w:tcBorders>
          </w:tcPr>
          <w:p w14:paraId="0C6AFCC0" w14:textId="77777777" w:rsidR="002B1A69" w:rsidRPr="00CD311A" w:rsidRDefault="002B1A69" w:rsidP="003F537D">
            <w:pPr>
              <w:pStyle w:val="TableText"/>
              <w:jc w:val="right"/>
            </w:pPr>
            <w:r>
              <w:t>600</w:t>
            </w:r>
          </w:p>
        </w:tc>
      </w:tr>
      <w:tr w:rsidR="002B1A69" w:rsidRPr="00CD311A" w:rsidDel="00DA6DCD" w14:paraId="3FCDB0D2" w14:textId="77777777" w:rsidTr="00514EF5">
        <w:trPr>
          <w:cantSplit/>
        </w:trPr>
        <w:tc>
          <w:tcPr>
            <w:tcW w:w="555" w:type="pct"/>
            <w:vMerge/>
            <w:tcBorders>
              <w:top w:val="nil"/>
              <w:left w:val="nil"/>
              <w:bottom w:val="nil"/>
              <w:right w:val="nil"/>
            </w:tcBorders>
          </w:tcPr>
          <w:p w14:paraId="604DDD92" w14:textId="77777777" w:rsidR="002B1A69" w:rsidRPr="00EF5C2F" w:rsidRDefault="002B1A69" w:rsidP="003F537D">
            <w:pPr>
              <w:pStyle w:val="TableText"/>
            </w:pPr>
          </w:p>
        </w:tc>
        <w:tc>
          <w:tcPr>
            <w:tcW w:w="575" w:type="pct"/>
            <w:tcBorders>
              <w:top w:val="nil"/>
              <w:left w:val="nil"/>
              <w:bottom w:val="nil"/>
              <w:right w:val="nil"/>
            </w:tcBorders>
          </w:tcPr>
          <w:p w14:paraId="263A09E0" w14:textId="77777777" w:rsidR="002B1A69" w:rsidRPr="00EF5C2F" w:rsidRDefault="002B1A69" w:rsidP="003F537D">
            <w:pPr>
              <w:pStyle w:val="TableText"/>
            </w:pPr>
            <w:r w:rsidRPr="008C6C1D">
              <w:t>Cotton</w:t>
            </w:r>
          </w:p>
        </w:tc>
        <w:tc>
          <w:tcPr>
            <w:tcW w:w="1516" w:type="pct"/>
            <w:tcBorders>
              <w:top w:val="nil"/>
              <w:left w:val="nil"/>
              <w:bottom w:val="nil"/>
              <w:right w:val="nil"/>
            </w:tcBorders>
          </w:tcPr>
          <w:p w14:paraId="1B999611" w14:textId="77777777" w:rsidR="002B1A69" w:rsidRPr="00CD311A" w:rsidRDefault="002B1A69" w:rsidP="003F537D">
            <w:pPr>
              <w:pStyle w:val="TableText"/>
            </w:pPr>
            <w:r w:rsidRPr="008C6C1D">
              <w:t>Cotton</w:t>
            </w:r>
          </w:p>
        </w:tc>
        <w:tc>
          <w:tcPr>
            <w:tcW w:w="1308" w:type="pct"/>
            <w:tcBorders>
              <w:top w:val="nil"/>
              <w:left w:val="nil"/>
              <w:bottom w:val="nil"/>
              <w:right w:val="nil"/>
            </w:tcBorders>
          </w:tcPr>
          <w:p w14:paraId="6E1ECCC9" w14:textId="77777777" w:rsidR="002B1A69" w:rsidRPr="00CD311A" w:rsidRDefault="002B1A69" w:rsidP="003F537D">
            <w:pPr>
              <w:pStyle w:val="TableText"/>
              <w:jc w:val="right"/>
            </w:pPr>
            <w:r>
              <w:t xml:space="preserve">From </w:t>
            </w:r>
            <w:r w:rsidRPr="008C6C1D">
              <w:t>1× 600 g ac/ha</w:t>
            </w:r>
          </w:p>
        </w:tc>
        <w:tc>
          <w:tcPr>
            <w:tcW w:w="364" w:type="pct"/>
            <w:tcBorders>
              <w:top w:val="nil"/>
              <w:left w:val="nil"/>
              <w:bottom w:val="nil"/>
              <w:right w:val="nil"/>
            </w:tcBorders>
          </w:tcPr>
          <w:p w14:paraId="2EA32738" w14:textId="77777777" w:rsidR="002B1A69" w:rsidRPr="00CD311A" w:rsidDel="00DA6DCD" w:rsidRDefault="002B1A69" w:rsidP="003F537D">
            <w:pPr>
              <w:pStyle w:val="TableText"/>
              <w:jc w:val="right"/>
            </w:pPr>
            <w:r w:rsidRPr="009E064D">
              <w:t>1.0</w:t>
            </w:r>
          </w:p>
        </w:tc>
        <w:tc>
          <w:tcPr>
            <w:tcW w:w="682" w:type="pct"/>
            <w:tcBorders>
              <w:top w:val="nil"/>
              <w:left w:val="nil"/>
              <w:bottom w:val="nil"/>
              <w:right w:val="nil"/>
            </w:tcBorders>
          </w:tcPr>
          <w:p w14:paraId="44244DE9" w14:textId="77777777" w:rsidR="002B1A69" w:rsidRPr="00CD311A" w:rsidDel="00DA6DCD" w:rsidRDefault="002B1A69" w:rsidP="003F537D">
            <w:pPr>
              <w:pStyle w:val="TableText"/>
              <w:jc w:val="right"/>
            </w:pPr>
            <w:r>
              <w:t>600</w:t>
            </w:r>
          </w:p>
        </w:tc>
      </w:tr>
      <w:tr w:rsidR="002B1A69" w:rsidRPr="008C6C1D" w14:paraId="1FF0D494" w14:textId="77777777" w:rsidTr="00514EF5">
        <w:trPr>
          <w:cantSplit/>
        </w:trPr>
        <w:tc>
          <w:tcPr>
            <w:tcW w:w="555" w:type="pct"/>
            <w:vMerge/>
            <w:tcBorders>
              <w:top w:val="nil"/>
              <w:left w:val="nil"/>
              <w:bottom w:val="nil"/>
              <w:right w:val="nil"/>
            </w:tcBorders>
          </w:tcPr>
          <w:p w14:paraId="51054593" w14:textId="77777777" w:rsidR="002B1A69" w:rsidRPr="00EF5C2F" w:rsidRDefault="002B1A69" w:rsidP="003F537D">
            <w:pPr>
              <w:pStyle w:val="TableText"/>
            </w:pPr>
          </w:p>
        </w:tc>
        <w:tc>
          <w:tcPr>
            <w:tcW w:w="575" w:type="pct"/>
            <w:tcBorders>
              <w:top w:val="nil"/>
              <w:left w:val="nil"/>
              <w:bottom w:val="single" w:sz="4" w:space="0" w:color="auto"/>
              <w:right w:val="nil"/>
            </w:tcBorders>
          </w:tcPr>
          <w:p w14:paraId="524AF7B6" w14:textId="77777777" w:rsidR="002B1A69" w:rsidRPr="008C6C1D" w:rsidRDefault="002B1A69" w:rsidP="003F537D">
            <w:pPr>
              <w:pStyle w:val="TableText"/>
            </w:pPr>
            <w:r>
              <w:t>Legume forage</w:t>
            </w:r>
          </w:p>
        </w:tc>
        <w:tc>
          <w:tcPr>
            <w:tcW w:w="1516" w:type="pct"/>
            <w:tcBorders>
              <w:top w:val="nil"/>
              <w:left w:val="nil"/>
              <w:bottom w:val="single" w:sz="4" w:space="0" w:color="auto"/>
              <w:right w:val="nil"/>
            </w:tcBorders>
          </w:tcPr>
          <w:p w14:paraId="210DDCC2" w14:textId="77777777" w:rsidR="002B1A69" w:rsidRPr="008C6C1D" w:rsidRDefault="002B1A69" w:rsidP="003F537D">
            <w:pPr>
              <w:pStyle w:val="TableText"/>
            </w:pPr>
            <w:r w:rsidRPr="00CD311A">
              <w:t>Lu</w:t>
            </w:r>
            <w:r>
              <w:t>cerne, lup</w:t>
            </w:r>
            <w:r w:rsidRPr="00CD311A">
              <w:t>ins</w:t>
            </w:r>
          </w:p>
        </w:tc>
        <w:tc>
          <w:tcPr>
            <w:tcW w:w="1308" w:type="pct"/>
            <w:tcBorders>
              <w:top w:val="nil"/>
              <w:left w:val="nil"/>
              <w:bottom w:val="single" w:sz="4" w:space="0" w:color="auto"/>
              <w:right w:val="nil"/>
            </w:tcBorders>
          </w:tcPr>
          <w:p w14:paraId="2BDAB793" w14:textId="77777777" w:rsidR="002B1A69" w:rsidRPr="008C6C1D" w:rsidRDefault="002B1A69" w:rsidP="003F537D">
            <w:pPr>
              <w:pStyle w:val="TableText"/>
              <w:jc w:val="right"/>
            </w:pPr>
            <w:r>
              <w:t xml:space="preserve">From </w:t>
            </w:r>
            <w:r w:rsidRPr="00CD311A">
              <w:t>1× 600 g ac/ha</w:t>
            </w:r>
          </w:p>
        </w:tc>
        <w:tc>
          <w:tcPr>
            <w:tcW w:w="364" w:type="pct"/>
            <w:tcBorders>
              <w:top w:val="nil"/>
              <w:left w:val="nil"/>
              <w:bottom w:val="single" w:sz="4" w:space="0" w:color="auto"/>
              <w:right w:val="nil"/>
            </w:tcBorders>
          </w:tcPr>
          <w:p w14:paraId="00C1459E" w14:textId="77777777" w:rsidR="002B1A69" w:rsidRPr="008C6C1D" w:rsidRDefault="002B1A69" w:rsidP="003F537D">
            <w:pPr>
              <w:pStyle w:val="TableText"/>
              <w:jc w:val="right"/>
            </w:pPr>
            <w:r w:rsidRPr="009E064D">
              <w:t>1.0</w:t>
            </w:r>
          </w:p>
        </w:tc>
        <w:tc>
          <w:tcPr>
            <w:tcW w:w="682" w:type="pct"/>
            <w:tcBorders>
              <w:top w:val="nil"/>
              <w:left w:val="nil"/>
              <w:bottom w:val="single" w:sz="4" w:space="0" w:color="auto"/>
              <w:right w:val="nil"/>
            </w:tcBorders>
          </w:tcPr>
          <w:p w14:paraId="11986F41" w14:textId="77777777" w:rsidR="002B1A69" w:rsidRPr="008C6C1D" w:rsidRDefault="002B1A69" w:rsidP="003F537D">
            <w:pPr>
              <w:pStyle w:val="TableText"/>
              <w:jc w:val="right"/>
            </w:pPr>
            <w:r>
              <w:t>600</w:t>
            </w:r>
          </w:p>
        </w:tc>
      </w:tr>
      <w:tr w:rsidR="002B1A69" w:rsidRPr="008C6C1D" w14:paraId="580E7223" w14:textId="77777777" w:rsidTr="00514EF5">
        <w:trPr>
          <w:cantSplit/>
        </w:trPr>
        <w:tc>
          <w:tcPr>
            <w:tcW w:w="555" w:type="pct"/>
            <w:vMerge/>
            <w:tcBorders>
              <w:top w:val="nil"/>
              <w:left w:val="nil"/>
              <w:bottom w:val="nil"/>
              <w:right w:val="nil"/>
            </w:tcBorders>
          </w:tcPr>
          <w:p w14:paraId="7517E713" w14:textId="77777777" w:rsidR="002B1A69" w:rsidRPr="00EF5C2F" w:rsidRDefault="002B1A69" w:rsidP="003F537D">
            <w:pPr>
              <w:pStyle w:val="TableText"/>
            </w:pPr>
          </w:p>
        </w:tc>
        <w:tc>
          <w:tcPr>
            <w:tcW w:w="575" w:type="pct"/>
            <w:tcBorders>
              <w:top w:val="single" w:sz="4" w:space="0" w:color="auto"/>
              <w:left w:val="nil"/>
              <w:bottom w:val="nil"/>
              <w:right w:val="nil"/>
            </w:tcBorders>
          </w:tcPr>
          <w:p w14:paraId="3108BA07" w14:textId="6F99B9BA" w:rsidR="002B1A69" w:rsidRPr="008C6C1D" w:rsidRDefault="002B1A69" w:rsidP="003F537D">
            <w:pPr>
              <w:pStyle w:val="TableText"/>
            </w:pPr>
            <w:r>
              <w:t>Maize</w:t>
            </w:r>
            <w:r w:rsidR="00E61669">
              <w:rPr>
                <w:rFonts w:ascii="ZWAdobeF" w:hAnsi="ZWAdobeF" w:cs="ZWAdobeF"/>
                <w:sz w:val="2"/>
                <w:szCs w:val="2"/>
              </w:rPr>
              <w:t>36F</w:t>
            </w:r>
            <w:r w:rsidR="00602535">
              <w:rPr>
                <w:rFonts w:ascii="ZWAdobeF" w:hAnsi="ZWAdobeF" w:cs="ZWAdobeF"/>
                <w:spacing w:val="0"/>
                <w:sz w:val="2"/>
                <w:szCs w:val="2"/>
              </w:rPr>
              <w:t>39F</w:t>
            </w:r>
            <w:r>
              <w:rPr>
                <w:rStyle w:val="FootnoteReference"/>
                <w:szCs w:val="17"/>
              </w:rPr>
              <w:footnoteReference w:id="41"/>
            </w:r>
          </w:p>
        </w:tc>
        <w:tc>
          <w:tcPr>
            <w:tcW w:w="1516" w:type="pct"/>
            <w:tcBorders>
              <w:top w:val="single" w:sz="4" w:space="0" w:color="auto"/>
              <w:left w:val="nil"/>
              <w:bottom w:val="nil"/>
              <w:right w:val="nil"/>
            </w:tcBorders>
          </w:tcPr>
          <w:p w14:paraId="36D572FD" w14:textId="77777777" w:rsidR="002B1A69" w:rsidRPr="008C6C1D" w:rsidRDefault="002B1A69" w:rsidP="003F537D">
            <w:pPr>
              <w:pStyle w:val="TableText"/>
            </w:pPr>
            <w:r>
              <w:t>Sugarcane</w:t>
            </w:r>
          </w:p>
        </w:tc>
        <w:tc>
          <w:tcPr>
            <w:tcW w:w="1308" w:type="pct"/>
            <w:tcBorders>
              <w:top w:val="single" w:sz="4" w:space="0" w:color="auto"/>
              <w:left w:val="nil"/>
              <w:bottom w:val="nil"/>
              <w:right w:val="nil"/>
            </w:tcBorders>
          </w:tcPr>
          <w:p w14:paraId="35A92296" w14:textId="77777777" w:rsidR="002B1A69" w:rsidRPr="008C6C1D" w:rsidRDefault="002B1A69" w:rsidP="003F537D">
            <w:pPr>
              <w:pStyle w:val="TableText"/>
              <w:jc w:val="right"/>
            </w:pPr>
            <w:r>
              <w:t xml:space="preserve">From </w:t>
            </w:r>
            <w:r w:rsidRPr="00CD311A">
              <w:t>1× 600 g ac/ha</w:t>
            </w:r>
          </w:p>
        </w:tc>
        <w:tc>
          <w:tcPr>
            <w:tcW w:w="364" w:type="pct"/>
            <w:tcBorders>
              <w:top w:val="single" w:sz="4" w:space="0" w:color="auto"/>
              <w:left w:val="nil"/>
              <w:bottom w:val="nil"/>
              <w:right w:val="nil"/>
            </w:tcBorders>
          </w:tcPr>
          <w:p w14:paraId="34A0A3B1" w14:textId="77777777" w:rsidR="002B1A69" w:rsidRPr="008C6C1D" w:rsidRDefault="002B1A69" w:rsidP="003F537D">
            <w:pPr>
              <w:pStyle w:val="TableText"/>
              <w:jc w:val="right"/>
            </w:pPr>
            <w:r w:rsidRPr="009E064D">
              <w:t>1.0</w:t>
            </w:r>
          </w:p>
        </w:tc>
        <w:tc>
          <w:tcPr>
            <w:tcW w:w="682" w:type="pct"/>
            <w:tcBorders>
              <w:top w:val="single" w:sz="4" w:space="0" w:color="auto"/>
              <w:left w:val="nil"/>
              <w:bottom w:val="nil"/>
              <w:right w:val="nil"/>
            </w:tcBorders>
          </w:tcPr>
          <w:p w14:paraId="11B496EB" w14:textId="77777777" w:rsidR="002B1A69" w:rsidRPr="008C6C1D" w:rsidRDefault="002B1A69" w:rsidP="003F537D">
            <w:pPr>
              <w:pStyle w:val="TableText"/>
              <w:jc w:val="right"/>
            </w:pPr>
            <w:r>
              <w:t>600</w:t>
            </w:r>
          </w:p>
        </w:tc>
      </w:tr>
      <w:tr w:rsidR="002B1A69" w:rsidRPr="008C6C1D" w14:paraId="10B967D8" w14:textId="77777777" w:rsidTr="00514EF5">
        <w:trPr>
          <w:cantSplit/>
        </w:trPr>
        <w:tc>
          <w:tcPr>
            <w:tcW w:w="555" w:type="pct"/>
            <w:vMerge/>
            <w:tcBorders>
              <w:top w:val="nil"/>
              <w:left w:val="nil"/>
              <w:bottom w:val="nil"/>
              <w:right w:val="nil"/>
            </w:tcBorders>
          </w:tcPr>
          <w:p w14:paraId="3D3D8E78" w14:textId="77777777" w:rsidR="002B1A69" w:rsidRPr="00EF5C2F"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7D8F5EB1"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0030A8FC" w14:textId="77777777" w:rsidR="002B1A69" w:rsidRDefault="002B1A69" w:rsidP="003F537D">
            <w:pPr>
              <w:pStyle w:val="TableText"/>
              <w:rPr>
                <w:szCs w:val="17"/>
              </w:rPr>
            </w:pPr>
            <w:r>
              <w:rPr>
                <w:szCs w:val="17"/>
              </w:rPr>
              <w:t>Sugarcane (hand spraying)</w:t>
            </w:r>
          </w:p>
        </w:tc>
        <w:tc>
          <w:tcPr>
            <w:tcW w:w="1308" w:type="pct"/>
            <w:tcBorders>
              <w:top w:val="nil"/>
              <w:left w:val="nil"/>
              <w:bottom w:val="single" w:sz="4" w:space="0" w:color="auto"/>
              <w:right w:val="nil"/>
            </w:tcBorders>
          </w:tcPr>
          <w:p w14:paraId="65CF889D" w14:textId="77777777" w:rsidR="002B1A69" w:rsidRDefault="002B1A69" w:rsidP="003F537D">
            <w:pPr>
              <w:pStyle w:val="TableText"/>
              <w:jc w:val="right"/>
              <w:rPr>
                <w:szCs w:val="17"/>
              </w:rPr>
            </w:pPr>
            <w:r w:rsidRPr="00CD311A">
              <w:rPr>
                <w:szCs w:val="17"/>
              </w:rPr>
              <w:t xml:space="preserve">1× </w:t>
            </w:r>
            <w:r>
              <w:rPr>
                <w:szCs w:val="17"/>
              </w:rPr>
              <w:t>2</w:t>
            </w:r>
            <w:r w:rsidRPr="00CD311A">
              <w:rPr>
                <w:szCs w:val="17"/>
              </w:rPr>
              <w:t>00 g ac/ha</w:t>
            </w:r>
          </w:p>
        </w:tc>
        <w:tc>
          <w:tcPr>
            <w:tcW w:w="364" w:type="pct"/>
            <w:tcBorders>
              <w:top w:val="nil"/>
              <w:left w:val="nil"/>
              <w:bottom w:val="single" w:sz="4" w:space="0" w:color="auto"/>
              <w:right w:val="nil"/>
            </w:tcBorders>
          </w:tcPr>
          <w:p w14:paraId="65B8CA4C" w14:textId="77777777" w:rsidR="002B1A69" w:rsidRPr="009E064D" w:rsidRDefault="002B1A69" w:rsidP="003F537D">
            <w:pPr>
              <w:pStyle w:val="TableText"/>
              <w:jc w:val="right"/>
              <w:rPr>
                <w:szCs w:val="17"/>
              </w:rPr>
            </w:pPr>
            <w:r>
              <w:rPr>
                <w:szCs w:val="17"/>
              </w:rPr>
              <w:t>0.4</w:t>
            </w:r>
          </w:p>
        </w:tc>
        <w:tc>
          <w:tcPr>
            <w:tcW w:w="682" w:type="pct"/>
            <w:tcBorders>
              <w:top w:val="nil"/>
              <w:left w:val="nil"/>
              <w:bottom w:val="single" w:sz="4" w:space="0" w:color="auto"/>
              <w:right w:val="nil"/>
            </w:tcBorders>
          </w:tcPr>
          <w:p w14:paraId="7D35B6F9" w14:textId="77777777" w:rsidR="002B1A69" w:rsidRPr="008C6C1D" w:rsidRDefault="002B1A69" w:rsidP="003F537D">
            <w:pPr>
              <w:pStyle w:val="TableText"/>
              <w:jc w:val="right"/>
              <w:rPr>
                <w:szCs w:val="17"/>
              </w:rPr>
            </w:pPr>
            <w:r>
              <w:rPr>
                <w:szCs w:val="17"/>
              </w:rPr>
              <w:t>80</w:t>
            </w:r>
          </w:p>
        </w:tc>
      </w:tr>
      <w:tr w:rsidR="002B1A69" w:rsidRPr="008C6C1D" w14:paraId="2939F045" w14:textId="77777777" w:rsidTr="00514EF5">
        <w:trPr>
          <w:cantSplit/>
        </w:trPr>
        <w:tc>
          <w:tcPr>
            <w:tcW w:w="555" w:type="pct"/>
            <w:vMerge/>
            <w:tcBorders>
              <w:top w:val="nil"/>
              <w:left w:val="nil"/>
              <w:bottom w:val="nil"/>
              <w:right w:val="nil"/>
            </w:tcBorders>
          </w:tcPr>
          <w:p w14:paraId="33D186D6" w14:textId="77777777" w:rsidR="002B1A69" w:rsidRPr="00EF5C2F"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082E9085" w14:textId="77777777" w:rsidR="002B1A69" w:rsidRPr="008C6C1D" w:rsidRDefault="002B1A69" w:rsidP="003F537D">
            <w:pPr>
              <w:pStyle w:val="TableText"/>
              <w:rPr>
                <w:szCs w:val="17"/>
              </w:rPr>
            </w:pPr>
            <w:r>
              <w:rPr>
                <w:szCs w:val="17"/>
              </w:rPr>
              <w:t>Oilseeds</w:t>
            </w:r>
          </w:p>
        </w:tc>
        <w:tc>
          <w:tcPr>
            <w:tcW w:w="1516" w:type="pct"/>
            <w:tcBorders>
              <w:top w:val="single" w:sz="4" w:space="0" w:color="auto"/>
              <w:left w:val="nil"/>
              <w:bottom w:val="nil"/>
              <w:right w:val="nil"/>
            </w:tcBorders>
          </w:tcPr>
          <w:p w14:paraId="7D6AEA72" w14:textId="77777777" w:rsidR="002B1A69" w:rsidRPr="008C6C1D" w:rsidRDefault="002B1A69" w:rsidP="003F537D">
            <w:pPr>
              <w:pStyle w:val="TableText"/>
              <w:rPr>
                <w:szCs w:val="17"/>
              </w:rPr>
            </w:pPr>
            <w:r w:rsidRPr="00CD311A">
              <w:rPr>
                <w:szCs w:val="17"/>
              </w:rPr>
              <w:t>Poppies</w:t>
            </w:r>
          </w:p>
        </w:tc>
        <w:tc>
          <w:tcPr>
            <w:tcW w:w="1308" w:type="pct"/>
            <w:tcBorders>
              <w:top w:val="single" w:sz="4" w:space="0" w:color="auto"/>
              <w:left w:val="nil"/>
              <w:bottom w:val="nil"/>
              <w:right w:val="nil"/>
            </w:tcBorders>
          </w:tcPr>
          <w:p w14:paraId="09B11718" w14:textId="77777777" w:rsidR="002B1A69" w:rsidRPr="008C6C1D" w:rsidRDefault="002B1A69" w:rsidP="003F537D">
            <w:pPr>
              <w:pStyle w:val="TableText"/>
              <w:jc w:val="right"/>
              <w:rPr>
                <w:szCs w:val="17"/>
              </w:rPr>
            </w:pPr>
            <w:r>
              <w:rPr>
                <w:szCs w:val="17"/>
              </w:rPr>
              <w:t xml:space="preserve">From </w:t>
            </w:r>
            <w:r w:rsidRPr="00CD311A">
              <w:rPr>
                <w:szCs w:val="17"/>
              </w:rPr>
              <w:t>1× 800 g ac/ha</w:t>
            </w:r>
          </w:p>
        </w:tc>
        <w:tc>
          <w:tcPr>
            <w:tcW w:w="364" w:type="pct"/>
            <w:tcBorders>
              <w:top w:val="single" w:sz="4" w:space="0" w:color="auto"/>
              <w:left w:val="nil"/>
              <w:bottom w:val="nil"/>
              <w:right w:val="nil"/>
            </w:tcBorders>
          </w:tcPr>
          <w:p w14:paraId="69CFBAF9" w14:textId="77777777" w:rsidR="002B1A69" w:rsidRPr="008C6C1D" w:rsidRDefault="002B1A69" w:rsidP="003F537D">
            <w:pPr>
              <w:pStyle w:val="TableText"/>
              <w:jc w:val="right"/>
              <w:rPr>
                <w:szCs w:val="17"/>
              </w:rPr>
            </w:pPr>
            <w:r w:rsidRPr="009E064D">
              <w:rPr>
                <w:szCs w:val="17"/>
              </w:rPr>
              <w:t>1.0</w:t>
            </w:r>
          </w:p>
        </w:tc>
        <w:tc>
          <w:tcPr>
            <w:tcW w:w="682" w:type="pct"/>
            <w:tcBorders>
              <w:top w:val="single" w:sz="4" w:space="0" w:color="auto"/>
              <w:left w:val="nil"/>
              <w:bottom w:val="nil"/>
              <w:right w:val="nil"/>
            </w:tcBorders>
          </w:tcPr>
          <w:p w14:paraId="6144D8B1" w14:textId="77777777" w:rsidR="002B1A69" w:rsidRPr="008C6C1D" w:rsidRDefault="002B1A69" w:rsidP="003F537D">
            <w:pPr>
              <w:pStyle w:val="TableText"/>
              <w:jc w:val="right"/>
              <w:rPr>
                <w:szCs w:val="17"/>
              </w:rPr>
            </w:pPr>
            <w:r>
              <w:rPr>
                <w:szCs w:val="17"/>
              </w:rPr>
              <w:t>800</w:t>
            </w:r>
          </w:p>
        </w:tc>
      </w:tr>
      <w:tr w:rsidR="002B1A69" w:rsidRPr="00CD311A" w14:paraId="55198599" w14:textId="77777777" w:rsidTr="00514EF5">
        <w:trPr>
          <w:cantSplit/>
        </w:trPr>
        <w:tc>
          <w:tcPr>
            <w:tcW w:w="555" w:type="pct"/>
            <w:vMerge/>
            <w:tcBorders>
              <w:top w:val="nil"/>
              <w:left w:val="nil"/>
              <w:bottom w:val="nil"/>
              <w:right w:val="nil"/>
            </w:tcBorders>
          </w:tcPr>
          <w:p w14:paraId="2EC3451C" w14:textId="77777777" w:rsidR="002B1A69" w:rsidRPr="00EF5C2F"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143F05F0" w14:textId="77777777" w:rsidR="002B1A69" w:rsidRPr="00EF5C2F" w:rsidRDefault="002B1A69" w:rsidP="003F537D">
            <w:pPr>
              <w:pStyle w:val="TableText"/>
              <w:rPr>
                <w:szCs w:val="17"/>
              </w:rPr>
            </w:pPr>
          </w:p>
        </w:tc>
        <w:tc>
          <w:tcPr>
            <w:tcW w:w="1516" w:type="pct"/>
            <w:tcBorders>
              <w:top w:val="nil"/>
              <w:left w:val="nil"/>
              <w:bottom w:val="single" w:sz="4" w:space="0" w:color="auto"/>
              <w:right w:val="nil"/>
            </w:tcBorders>
          </w:tcPr>
          <w:p w14:paraId="50D37598" w14:textId="77777777" w:rsidR="002B1A69" w:rsidRPr="00CD311A" w:rsidRDefault="002B1A69" w:rsidP="003F537D">
            <w:pPr>
              <w:pStyle w:val="TableText"/>
              <w:rPr>
                <w:szCs w:val="17"/>
              </w:rPr>
            </w:pPr>
            <w:r w:rsidRPr="00CD311A">
              <w:rPr>
                <w:szCs w:val="17"/>
              </w:rPr>
              <w:t>Oilseeds</w:t>
            </w:r>
          </w:p>
        </w:tc>
        <w:tc>
          <w:tcPr>
            <w:tcW w:w="1308" w:type="pct"/>
            <w:tcBorders>
              <w:top w:val="nil"/>
              <w:left w:val="nil"/>
              <w:bottom w:val="single" w:sz="4" w:space="0" w:color="auto"/>
              <w:right w:val="nil"/>
            </w:tcBorders>
          </w:tcPr>
          <w:p w14:paraId="5B5324E7" w14:textId="77777777" w:rsidR="002B1A69" w:rsidRPr="00CD311A" w:rsidRDefault="002B1A69" w:rsidP="003F537D">
            <w:pPr>
              <w:pStyle w:val="TableText"/>
              <w:jc w:val="right"/>
              <w:rPr>
                <w:szCs w:val="17"/>
              </w:rPr>
            </w:pPr>
            <w:r>
              <w:rPr>
                <w:szCs w:val="17"/>
              </w:rPr>
              <w:t xml:space="preserve">From </w:t>
            </w:r>
            <w:r w:rsidRPr="00CD311A">
              <w:rPr>
                <w:szCs w:val="17"/>
              </w:rPr>
              <w:t>1× 600 g ac/ha</w:t>
            </w:r>
          </w:p>
        </w:tc>
        <w:tc>
          <w:tcPr>
            <w:tcW w:w="364" w:type="pct"/>
            <w:tcBorders>
              <w:top w:val="nil"/>
              <w:left w:val="nil"/>
              <w:bottom w:val="single" w:sz="4" w:space="0" w:color="auto"/>
              <w:right w:val="nil"/>
            </w:tcBorders>
          </w:tcPr>
          <w:p w14:paraId="1FBBA635" w14:textId="77777777" w:rsidR="002B1A69" w:rsidRPr="00CD311A" w:rsidRDefault="002B1A69" w:rsidP="003F537D">
            <w:pPr>
              <w:pStyle w:val="TableText"/>
              <w:jc w:val="right"/>
              <w:rPr>
                <w:szCs w:val="17"/>
              </w:rPr>
            </w:pPr>
            <w:r w:rsidRPr="009E064D">
              <w:rPr>
                <w:szCs w:val="17"/>
              </w:rPr>
              <w:t>1.0</w:t>
            </w:r>
          </w:p>
        </w:tc>
        <w:tc>
          <w:tcPr>
            <w:tcW w:w="682" w:type="pct"/>
            <w:tcBorders>
              <w:top w:val="nil"/>
              <w:left w:val="nil"/>
              <w:bottom w:val="single" w:sz="4" w:space="0" w:color="auto"/>
              <w:right w:val="nil"/>
            </w:tcBorders>
          </w:tcPr>
          <w:p w14:paraId="7CE4157E" w14:textId="77777777" w:rsidR="002B1A69" w:rsidRPr="00CD311A" w:rsidRDefault="002B1A69" w:rsidP="003F537D">
            <w:pPr>
              <w:pStyle w:val="TableText"/>
              <w:jc w:val="right"/>
              <w:rPr>
                <w:szCs w:val="17"/>
              </w:rPr>
            </w:pPr>
            <w:r>
              <w:rPr>
                <w:szCs w:val="17"/>
              </w:rPr>
              <w:t>600</w:t>
            </w:r>
          </w:p>
        </w:tc>
      </w:tr>
      <w:tr w:rsidR="002B1A69" w:rsidRPr="00CD311A" w14:paraId="74C13687" w14:textId="77777777" w:rsidTr="00514EF5">
        <w:trPr>
          <w:cantSplit/>
        </w:trPr>
        <w:tc>
          <w:tcPr>
            <w:tcW w:w="555" w:type="pct"/>
            <w:vMerge/>
            <w:tcBorders>
              <w:top w:val="nil"/>
              <w:left w:val="nil"/>
              <w:bottom w:val="nil"/>
              <w:right w:val="nil"/>
            </w:tcBorders>
          </w:tcPr>
          <w:p w14:paraId="4F271E1D" w14:textId="77777777" w:rsidR="002B1A69" w:rsidRPr="00EF5C2F"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2ABB2F14" w14:textId="77777777" w:rsidR="002B1A69" w:rsidRPr="00EF5C2F" w:rsidRDefault="002B1A69" w:rsidP="003F537D">
            <w:pPr>
              <w:pStyle w:val="TableText"/>
              <w:rPr>
                <w:szCs w:val="17"/>
              </w:rPr>
            </w:pPr>
            <w:r w:rsidRPr="008C6C1D">
              <w:rPr>
                <w:szCs w:val="17"/>
              </w:rPr>
              <w:t>Potatoes</w:t>
            </w:r>
          </w:p>
        </w:tc>
        <w:tc>
          <w:tcPr>
            <w:tcW w:w="1516" w:type="pct"/>
            <w:tcBorders>
              <w:top w:val="single" w:sz="4" w:space="0" w:color="auto"/>
              <w:left w:val="nil"/>
              <w:bottom w:val="nil"/>
              <w:right w:val="nil"/>
            </w:tcBorders>
          </w:tcPr>
          <w:p w14:paraId="6A09E55C" w14:textId="77777777" w:rsidR="002B1A69" w:rsidRPr="00CD311A" w:rsidRDefault="002B1A69" w:rsidP="003F537D">
            <w:pPr>
              <w:pStyle w:val="TableText"/>
              <w:rPr>
                <w:szCs w:val="17"/>
              </w:rPr>
            </w:pPr>
            <w:r w:rsidRPr="008C6C1D">
              <w:rPr>
                <w:szCs w:val="17"/>
              </w:rPr>
              <w:t>Potatoes (haulm desiccation)</w:t>
            </w:r>
            <w:r>
              <w:rPr>
                <w:szCs w:val="17"/>
              </w:rPr>
              <w:t>, sweet potatoes</w:t>
            </w:r>
          </w:p>
        </w:tc>
        <w:tc>
          <w:tcPr>
            <w:tcW w:w="1308" w:type="pct"/>
            <w:tcBorders>
              <w:top w:val="single" w:sz="4" w:space="0" w:color="auto"/>
              <w:left w:val="nil"/>
              <w:bottom w:val="nil"/>
              <w:right w:val="nil"/>
            </w:tcBorders>
          </w:tcPr>
          <w:p w14:paraId="18B0E51F" w14:textId="77777777" w:rsidR="002B1A69" w:rsidRPr="00CD311A" w:rsidRDefault="002B1A69" w:rsidP="003F537D">
            <w:pPr>
              <w:pStyle w:val="TableText"/>
              <w:jc w:val="right"/>
              <w:rPr>
                <w:szCs w:val="17"/>
              </w:rPr>
            </w:pPr>
            <w:r>
              <w:rPr>
                <w:szCs w:val="17"/>
              </w:rPr>
              <w:t xml:space="preserve">From </w:t>
            </w:r>
            <w:r w:rsidRPr="008C6C1D">
              <w:rPr>
                <w:szCs w:val="17"/>
              </w:rPr>
              <w:t>1× 800 g ac/ha</w:t>
            </w:r>
          </w:p>
        </w:tc>
        <w:tc>
          <w:tcPr>
            <w:tcW w:w="364" w:type="pct"/>
            <w:tcBorders>
              <w:top w:val="single" w:sz="4" w:space="0" w:color="auto"/>
              <w:left w:val="nil"/>
              <w:bottom w:val="nil"/>
              <w:right w:val="nil"/>
            </w:tcBorders>
          </w:tcPr>
          <w:p w14:paraId="5552A2EA" w14:textId="77777777" w:rsidR="002B1A69" w:rsidRPr="00CD311A" w:rsidRDefault="002B1A69" w:rsidP="003F537D">
            <w:pPr>
              <w:pStyle w:val="TableText"/>
              <w:jc w:val="right"/>
              <w:rPr>
                <w:szCs w:val="17"/>
              </w:rPr>
            </w:pPr>
            <w:r w:rsidRPr="009E064D">
              <w:rPr>
                <w:szCs w:val="17"/>
              </w:rPr>
              <w:t>1.0</w:t>
            </w:r>
          </w:p>
        </w:tc>
        <w:tc>
          <w:tcPr>
            <w:tcW w:w="682" w:type="pct"/>
            <w:tcBorders>
              <w:top w:val="single" w:sz="4" w:space="0" w:color="auto"/>
              <w:left w:val="nil"/>
              <w:bottom w:val="nil"/>
              <w:right w:val="nil"/>
            </w:tcBorders>
          </w:tcPr>
          <w:p w14:paraId="5E40BDE1" w14:textId="77777777" w:rsidR="002B1A69" w:rsidRPr="00CD311A" w:rsidRDefault="002B1A69" w:rsidP="003F537D">
            <w:pPr>
              <w:pStyle w:val="TableText"/>
              <w:jc w:val="right"/>
              <w:rPr>
                <w:szCs w:val="17"/>
              </w:rPr>
            </w:pPr>
            <w:r>
              <w:rPr>
                <w:szCs w:val="17"/>
              </w:rPr>
              <w:t>800</w:t>
            </w:r>
          </w:p>
        </w:tc>
      </w:tr>
      <w:tr w:rsidR="002B1A69" w:rsidRPr="00CD311A" w14:paraId="3E27CE2E" w14:textId="77777777" w:rsidTr="00514EF5">
        <w:trPr>
          <w:cantSplit/>
        </w:trPr>
        <w:tc>
          <w:tcPr>
            <w:tcW w:w="555" w:type="pct"/>
            <w:vMerge/>
            <w:tcBorders>
              <w:top w:val="nil"/>
              <w:left w:val="nil"/>
              <w:bottom w:val="nil"/>
              <w:right w:val="nil"/>
            </w:tcBorders>
          </w:tcPr>
          <w:p w14:paraId="3355D86C" w14:textId="77777777" w:rsidR="002B1A69" w:rsidRPr="00EF5C2F"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7F5C78FA"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199A158B" w14:textId="77777777" w:rsidR="002B1A69" w:rsidRPr="00CD311A" w:rsidRDefault="002B1A69" w:rsidP="003F537D">
            <w:pPr>
              <w:pStyle w:val="TableText"/>
              <w:rPr>
                <w:szCs w:val="17"/>
              </w:rPr>
            </w:pPr>
            <w:r w:rsidRPr="00C74059">
              <w:rPr>
                <w:szCs w:val="17"/>
              </w:rPr>
              <w:t>Potatoes</w:t>
            </w:r>
            <w:r>
              <w:rPr>
                <w:szCs w:val="17"/>
              </w:rPr>
              <w:t xml:space="preserve"> (pre-harvest)</w:t>
            </w:r>
          </w:p>
        </w:tc>
        <w:tc>
          <w:tcPr>
            <w:tcW w:w="1308" w:type="pct"/>
            <w:tcBorders>
              <w:top w:val="nil"/>
              <w:left w:val="nil"/>
              <w:bottom w:val="single" w:sz="4" w:space="0" w:color="auto"/>
              <w:right w:val="nil"/>
            </w:tcBorders>
          </w:tcPr>
          <w:p w14:paraId="47393FC0" w14:textId="77777777" w:rsidR="002B1A69" w:rsidRDefault="002B1A69" w:rsidP="003F537D">
            <w:pPr>
              <w:pStyle w:val="TableText"/>
              <w:jc w:val="right"/>
              <w:rPr>
                <w:szCs w:val="17"/>
              </w:rPr>
            </w:pPr>
            <w:r w:rsidRPr="00CD311A">
              <w:rPr>
                <w:szCs w:val="17"/>
              </w:rPr>
              <w:t>1× 300 g ac/ha</w:t>
            </w:r>
          </w:p>
        </w:tc>
        <w:tc>
          <w:tcPr>
            <w:tcW w:w="364" w:type="pct"/>
            <w:tcBorders>
              <w:top w:val="nil"/>
              <w:left w:val="nil"/>
              <w:bottom w:val="single" w:sz="4" w:space="0" w:color="auto"/>
              <w:right w:val="nil"/>
            </w:tcBorders>
          </w:tcPr>
          <w:p w14:paraId="7A4F82D0" w14:textId="77777777" w:rsidR="002B1A69" w:rsidRPr="00CD311A" w:rsidRDefault="002B1A69" w:rsidP="003F537D">
            <w:pPr>
              <w:pStyle w:val="TableText"/>
              <w:jc w:val="right"/>
              <w:rPr>
                <w:szCs w:val="17"/>
              </w:rPr>
            </w:pPr>
            <w:r w:rsidRPr="009E064D">
              <w:rPr>
                <w:szCs w:val="17"/>
              </w:rPr>
              <w:t>1.0</w:t>
            </w:r>
          </w:p>
        </w:tc>
        <w:tc>
          <w:tcPr>
            <w:tcW w:w="682" w:type="pct"/>
            <w:tcBorders>
              <w:top w:val="nil"/>
              <w:left w:val="nil"/>
              <w:bottom w:val="single" w:sz="4" w:space="0" w:color="auto"/>
              <w:right w:val="nil"/>
            </w:tcBorders>
          </w:tcPr>
          <w:p w14:paraId="575A4C23" w14:textId="77777777" w:rsidR="002B1A69" w:rsidRPr="00CD311A" w:rsidRDefault="002B1A69" w:rsidP="003F537D">
            <w:pPr>
              <w:pStyle w:val="TableText"/>
              <w:jc w:val="right"/>
              <w:rPr>
                <w:szCs w:val="17"/>
              </w:rPr>
            </w:pPr>
            <w:r>
              <w:rPr>
                <w:szCs w:val="17"/>
              </w:rPr>
              <w:t>300</w:t>
            </w:r>
          </w:p>
        </w:tc>
      </w:tr>
      <w:tr w:rsidR="002B1A69" w:rsidRPr="008C6C1D" w14:paraId="6E213CA5" w14:textId="77777777" w:rsidTr="00514EF5">
        <w:trPr>
          <w:cantSplit/>
        </w:trPr>
        <w:tc>
          <w:tcPr>
            <w:tcW w:w="555" w:type="pct"/>
            <w:vMerge/>
            <w:tcBorders>
              <w:top w:val="nil"/>
              <w:left w:val="nil"/>
              <w:bottom w:val="nil"/>
              <w:right w:val="nil"/>
            </w:tcBorders>
          </w:tcPr>
          <w:p w14:paraId="181D9108" w14:textId="77777777" w:rsidR="002B1A69" w:rsidRPr="00EF5C2F"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41519CF9" w14:textId="77777777" w:rsidR="002B1A69" w:rsidRPr="008C6C1D" w:rsidRDefault="002B1A69" w:rsidP="003F537D">
            <w:pPr>
              <w:pStyle w:val="TableText"/>
              <w:rPr>
                <w:szCs w:val="17"/>
              </w:rPr>
            </w:pPr>
            <w:r>
              <w:rPr>
                <w:szCs w:val="17"/>
              </w:rPr>
              <w:t>Pulses</w:t>
            </w:r>
          </w:p>
        </w:tc>
        <w:tc>
          <w:tcPr>
            <w:tcW w:w="1516" w:type="pct"/>
            <w:tcBorders>
              <w:top w:val="single" w:sz="4" w:space="0" w:color="auto"/>
              <w:left w:val="nil"/>
              <w:bottom w:val="nil"/>
              <w:right w:val="nil"/>
            </w:tcBorders>
          </w:tcPr>
          <w:p w14:paraId="72FFD7B8" w14:textId="77777777" w:rsidR="002B1A69" w:rsidRPr="008C6C1D" w:rsidRDefault="002B1A69" w:rsidP="003F537D">
            <w:pPr>
              <w:pStyle w:val="TableText"/>
              <w:rPr>
                <w:szCs w:val="17"/>
              </w:rPr>
            </w:pPr>
            <w:r w:rsidRPr="00CD311A">
              <w:rPr>
                <w:szCs w:val="17"/>
              </w:rPr>
              <w:t>Pulses</w:t>
            </w:r>
          </w:p>
        </w:tc>
        <w:tc>
          <w:tcPr>
            <w:tcW w:w="1308" w:type="pct"/>
            <w:tcBorders>
              <w:top w:val="single" w:sz="4" w:space="0" w:color="auto"/>
              <w:left w:val="nil"/>
              <w:bottom w:val="nil"/>
              <w:right w:val="nil"/>
            </w:tcBorders>
          </w:tcPr>
          <w:p w14:paraId="5C0390D3" w14:textId="77777777" w:rsidR="002B1A69" w:rsidRDefault="002B1A69" w:rsidP="003F537D">
            <w:pPr>
              <w:pStyle w:val="TableText"/>
              <w:jc w:val="right"/>
              <w:rPr>
                <w:szCs w:val="17"/>
              </w:rPr>
            </w:pPr>
            <w:r>
              <w:rPr>
                <w:szCs w:val="17"/>
              </w:rPr>
              <w:t xml:space="preserve">From </w:t>
            </w:r>
            <w:r w:rsidRPr="00CD311A">
              <w:rPr>
                <w:szCs w:val="17"/>
              </w:rPr>
              <w:t>1× 600 g ac/ha</w:t>
            </w:r>
          </w:p>
        </w:tc>
        <w:tc>
          <w:tcPr>
            <w:tcW w:w="364" w:type="pct"/>
            <w:tcBorders>
              <w:top w:val="single" w:sz="4" w:space="0" w:color="auto"/>
              <w:left w:val="nil"/>
              <w:bottom w:val="nil"/>
              <w:right w:val="nil"/>
            </w:tcBorders>
          </w:tcPr>
          <w:p w14:paraId="0FD7C68C" w14:textId="77777777" w:rsidR="002B1A69" w:rsidRPr="008C6C1D" w:rsidRDefault="002B1A69" w:rsidP="003F537D">
            <w:pPr>
              <w:pStyle w:val="TableText"/>
              <w:jc w:val="right"/>
              <w:rPr>
                <w:szCs w:val="17"/>
              </w:rPr>
            </w:pPr>
            <w:r w:rsidRPr="009E064D">
              <w:rPr>
                <w:szCs w:val="17"/>
              </w:rPr>
              <w:t>1.0</w:t>
            </w:r>
          </w:p>
        </w:tc>
        <w:tc>
          <w:tcPr>
            <w:tcW w:w="682" w:type="pct"/>
            <w:tcBorders>
              <w:top w:val="single" w:sz="4" w:space="0" w:color="auto"/>
              <w:left w:val="nil"/>
              <w:bottom w:val="nil"/>
              <w:right w:val="nil"/>
            </w:tcBorders>
          </w:tcPr>
          <w:p w14:paraId="63E89ECE" w14:textId="77777777" w:rsidR="002B1A69" w:rsidRPr="008C6C1D" w:rsidRDefault="002B1A69" w:rsidP="003F537D">
            <w:pPr>
              <w:pStyle w:val="TableText"/>
              <w:jc w:val="right"/>
              <w:rPr>
                <w:szCs w:val="17"/>
              </w:rPr>
            </w:pPr>
            <w:r>
              <w:rPr>
                <w:szCs w:val="17"/>
              </w:rPr>
              <w:t>600</w:t>
            </w:r>
          </w:p>
        </w:tc>
      </w:tr>
      <w:tr w:rsidR="002B1A69" w:rsidRPr="00CD311A" w14:paraId="7FE9CBA6" w14:textId="77777777" w:rsidTr="00514EF5">
        <w:trPr>
          <w:cantSplit/>
        </w:trPr>
        <w:tc>
          <w:tcPr>
            <w:tcW w:w="555" w:type="pct"/>
            <w:vMerge/>
            <w:tcBorders>
              <w:top w:val="nil"/>
              <w:left w:val="nil"/>
              <w:bottom w:val="single" w:sz="4" w:space="0" w:color="auto"/>
              <w:right w:val="nil"/>
            </w:tcBorders>
          </w:tcPr>
          <w:p w14:paraId="0C2070CB" w14:textId="77777777" w:rsidR="002B1A69" w:rsidRPr="00EF5C2F"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5393D01F" w14:textId="77777777" w:rsidR="002B1A69" w:rsidRDefault="002B1A69" w:rsidP="003F537D">
            <w:pPr>
              <w:pStyle w:val="TableText"/>
              <w:rPr>
                <w:szCs w:val="17"/>
              </w:rPr>
            </w:pPr>
            <w:r>
              <w:rPr>
                <w:szCs w:val="17"/>
              </w:rPr>
              <w:t>Sunflower</w:t>
            </w:r>
          </w:p>
        </w:tc>
        <w:tc>
          <w:tcPr>
            <w:tcW w:w="1516" w:type="pct"/>
            <w:tcBorders>
              <w:top w:val="nil"/>
              <w:left w:val="nil"/>
              <w:bottom w:val="single" w:sz="4" w:space="0" w:color="auto"/>
              <w:right w:val="nil"/>
            </w:tcBorders>
          </w:tcPr>
          <w:p w14:paraId="68A40DD3" w14:textId="77777777" w:rsidR="002B1A69" w:rsidRPr="00CD311A" w:rsidRDefault="002B1A69" w:rsidP="003F537D">
            <w:pPr>
              <w:pStyle w:val="TableText"/>
              <w:rPr>
                <w:szCs w:val="17"/>
              </w:rPr>
            </w:pPr>
            <w:r w:rsidRPr="00CD311A">
              <w:rPr>
                <w:szCs w:val="17"/>
              </w:rPr>
              <w:t>Sunflower</w:t>
            </w:r>
          </w:p>
        </w:tc>
        <w:tc>
          <w:tcPr>
            <w:tcW w:w="1308" w:type="pct"/>
            <w:tcBorders>
              <w:top w:val="nil"/>
              <w:left w:val="nil"/>
              <w:bottom w:val="single" w:sz="4" w:space="0" w:color="auto"/>
              <w:right w:val="nil"/>
            </w:tcBorders>
          </w:tcPr>
          <w:p w14:paraId="78B34C50" w14:textId="77777777" w:rsidR="002B1A69" w:rsidRDefault="002B1A69" w:rsidP="003F537D">
            <w:pPr>
              <w:pStyle w:val="TableText"/>
              <w:jc w:val="right"/>
              <w:rPr>
                <w:szCs w:val="17"/>
              </w:rPr>
            </w:pPr>
            <w:r>
              <w:rPr>
                <w:szCs w:val="17"/>
              </w:rPr>
              <w:t xml:space="preserve">From </w:t>
            </w:r>
            <w:r w:rsidRPr="00CD311A">
              <w:rPr>
                <w:szCs w:val="17"/>
              </w:rPr>
              <w:t>1× 600 g ac/ha</w:t>
            </w:r>
          </w:p>
        </w:tc>
        <w:tc>
          <w:tcPr>
            <w:tcW w:w="364" w:type="pct"/>
            <w:tcBorders>
              <w:top w:val="nil"/>
              <w:left w:val="nil"/>
              <w:bottom w:val="single" w:sz="4" w:space="0" w:color="auto"/>
              <w:right w:val="nil"/>
            </w:tcBorders>
          </w:tcPr>
          <w:p w14:paraId="11839226" w14:textId="77777777" w:rsidR="002B1A69" w:rsidRPr="00CD311A" w:rsidRDefault="002B1A69" w:rsidP="003F537D">
            <w:pPr>
              <w:pStyle w:val="TableText"/>
              <w:jc w:val="right"/>
              <w:rPr>
                <w:szCs w:val="17"/>
              </w:rPr>
            </w:pPr>
            <w:r w:rsidRPr="009E064D">
              <w:rPr>
                <w:szCs w:val="17"/>
              </w:rPr>
              <w:t>1.0</w:t>
            </w:r>
          </w:p>
        </w:tc>
        <w:tc>
          <w:tcPr>
            <w:tcW w:w="682" w:type="pct"/>
            <w:tcBorders>
              <w:top w:val="nil"/>
              <w:left w:val="nil"/>
              <w:bottom w:val="single" w:sz="4" w:space="0" w:color="auto"/>
              <w:right w:val="nil"/>
            </w:tcBorders>
          </w:tcPr>
          <w:p w14:paraId="7F8A83A8" w14:textId="77777777" w:rsidR="002B1A69" w:rsidRPr="00CD311A" w:rsidRDefault="002B1A69" w:rsidP="003F537D">
            <w:pPr>
              <w:pStyle w:val="TableText"/>
              <w:jc w:val="right"/>
              <w:rPr>
                <w:szCs w:val="17"/>
              </w:rPr>
            </w:pPr>
            <w:r>
              <w:rPr>
                <w:szCs w:val="17"/>
              </w:rPr>
              <w:t>600</w:t>
            </w:r>
          </w:p>
        </w:tc>
      </w:tr>
      <w:tr w:rsidR="002B1A69" w:rsidRPr="00CD311A" w14:paraId="7B4B6CED" w14:textId="77777777" w:rsidTr="00514EF5">
        <w:trPr>
          <w:cantSplit/>
        </w:trPr>
        <w:tc>
          <w:tcPr>
            <w:tcW w:w="555" w:type="pct"/>
            <w:vMerge w:val="restart"/>
            <w:tcBorders>
              <w:top w:val="single" w:sz="4" w:space="0" w:color="auto"/>
              <w:left w:val="nil"/>
              <w:right w:val="nil"/>
            </w:tcBorders>
          </w:tcPr>
          <w:p w14:paraId="473696D1" w14:textId="77777777" w:rsidR="002B1A69" w:rsidRPr="00EF5C2F" w:rsidRDefault="002B1A69" w:rsidP="003F537D">
            <w:pPr>
              <w:pStyle w:val="TableText"/>
            </w:pPr>
            <w:r>
              <w:t>General weed control</w:t>
            </w:r>
          </w:p>
        </w:tc>
        <w:tc>
          <w:tcPr>
            <w:tcW w:w="575" w:type="pct"/>
            <w:tcBorders>
              <w:top w:val="single" w:sz="4" w:space="0" w:color="auto"/>
              <w:left w:val="nil"/>
              <w:bottom w:val="nil"/>
              <w:right w:val="nil"/>
            </w:tcBorders>
          </w:tcPr>
          <w:p w14:paraId="14449EFA" w14:textId="77777777" w:rsidR="002B1A69" w:rsidRPr="00EF5C2F" w:rsidRDefault="002B1A69" w:rsidP="003F537D">
            <w:pPr>
              <w:pStyle w:val="TableText"/>
              <w:rPr>
                <w:szCs w:val="17"/>
              </w:rPr>
            </w:pPr>
            <w:r>
              <w:rPr>
                <w:szCs w:val="17"/>
              </w:rPr>
              <w:t>Bare soil</w:t>
            </w:r>
          </w:p>
        </w:tc>
        <w:tc>
          <w:tcPr>
            <w:tcW w:w="1516" w:type="pct"/>
            <w:tcBorders>
              <w:top w:val="single" w:sz="4" w:space="0" w:color="auto"/>
              <w:left w:val="nil"/>
              <w:bottom w:val="nil"/>
              <w:right w:val="nil"/>
            </w:tcBorders>
          </w:tcPr>
          <w:p w14:paraId="2793A880" w14:textId="77777777" w:rsidR="002B1A69" w:rsidRPr="00CD311A" w:rsidRDefault="002B1A69" w:rsidP="003F537D">
            <w:pPr>
              <w:pStyle w:val="TableText"/>
              <w:rPr>
                <w:szCs w:val="17"/>
              </w:rPr>
            </w:pPr>
            <w:r>
              <w:rPr>
                <w:szCs w:val="17"/>
              </w:rPr>
              <w:t>M</w:t>
            </w:r>
            <w:r w:rsidRPr="00CD311A">
              <w:rPr>
                <w:szCs w:val="17"/>
              </w:rPr>
              <w:t>arket gardens</w:t>
            </w:r>
            <w:r>
              <w:rPr>
                <w:szCs w:val="17"/>
              </w:rPr>
              <w:t>,</w:t>
            </w:r>
            <w:r w:rsidRPr="00CD311A">
              <w:rPr>
                <w:szCs w:val="17"/>
              </w:rPr>
              <w:t xml:space="preserve"> </w:t>
            </w:r>
            <w:r>
              <w:rPr>
                <w:szCs w:val="17"/>
              </w:rPr>
              <w:t>r</w:t>
            </w:r>
            <w:r w:rsidRPr="00CD311A">
              <w:rPr>
                <w:szCs w:val="17"/>
              </w:rPr>
              <w:t>ow crops, vegetables</w:t>
            </w:r>
          </w:p>
        </w:tc>
        <w:tc>
          <w:tcPr>
            <w:tcW w:w="1308" w:type="pct"/>
            <w:tcBorders>
              <w:top w:val="single" w:sz="4" w:space="0" w:color="auto"/>
              <w:left w:val="nil"/>
              <w:bottom w:val="nil"/>
              <w:right w:val="nil"/>
            </w:tcBorders>
          </w:tcPr>
          <w:p w14:paraId="66B3FB82" w14:textId="77777777" w:rsidR="002B1A69" w:rsidRPr="00CD311A" w:rsidRDefault="002B1A69" w:rsidP="003F537D">
            <w:pPr>
              <w:pStyle w:val="TableText"/>
              <w:jc w:val="right"/>
              <w:rPr>
                <w:szCs w:val="17"/>
              </w:rPr>
            </w:pPr>
            <w:r>
              <w:rPr>
                <w:szCs w:val="17"/>
              </w:rPr>
              <w:t xml:space="preserve">From </w:t>
            </w:r>
            <w:r w:rsidRPr="00CD311A">
              <w:rPr>
                <w:szCs w:val="17"/>
              </w:rPr>
              <w:t>1× 800 g ac/ha</w:t>
            </w:r>
          </w:p>
        </w:tc>
        <w:tc>
          <w:tcPr>
            <w:tcW w:w="364" w:type="pct"/>
            <w:tcBorders>
              <w:top w:val="single" w:sz="4" w:space="0" w:color="auto"/>
              <w:left w:val="nil"/>
              <w:bottom w:val="nil"/>
              <w:right w:val="nil"/>
            </w:tcBorders>
          </w:tcPr>
          <w:p w14:paraId="21C48F3B" w14:textId="77777777" w:rsidR="002B1A69" w:rsidRPr="00CD311A" w:rsidRDefault="002B1A69" w:rsidP="003F537D">
            <w:pPr>
              <w:pStyle w:val="TableText"/>
              <w:jc w:val="right"/>
              <w:rPr>
                <w:szCs w:val="17"/>
              </w:rPr>
            </w:pPr>
            <w:r w:rsidRPr="009E064D">
              <w:rPr>
                <w:szCs w:val="17"/>
              </w:rPr>
              <w:t>1.0</w:t>
            </w:r>
          </w:p>
        </w:tc>
        <w:tc>
          <w:tcPr>
            <w:tcW w:w="682" w:type="pct"/>
            <w:tcBorders>
              <w:top w:val="single" w:sz="4" w:space="0" w:color="auto"/>
              <w:left w:val="nil"/>
              <w:bottom w:val="nil"/>
              <w:right w:val="nil"/>
            </w:tcBorders>
          </w:tcPr>
          <w:p w14:paraId="0CB79E95" w14:textId="77777777" w:rsidR="002B1A69" w:rsidRPr="00CD311A" w:rsidRDefault="002B1A69" w:rsidP="003F537D">
            <w:pPr>
              <w:pStyle w:val="TableText"/>
              <w:jc w:val="right"/>
              <w:rPr>
                <w:szCs w:val="17"/>
              </w:rPr>
            </w:pPr>
            <w:r>
              <w:rPr>
                <w:szCs w:val="17"/>
              </w:rPr>
              <w:t>800</w:t>
            </w:r>
          </w:p>
        </w:tc>
      </w:tr>
      <w:tr w:rsidR="002B1A69" w:rsidRPr="000D76AD" w14:paraId="034C2EB9" w14:textId="77777777" w:rsidTr="00514EF5">
        <w:trPr>
          <w:cantSplit/>
        </w:trPr>
        <w:tc>
          <w:tcPr>
            <w:tcW w:w="555" w:type="pct"/>
            <w:vMerge/>
            <w:tcBorders>
              <w:left w:val="nil"/>
              <w:right w:val="nil"/>
            </w:tcBorders>
          </w:tcPr>
          <w:p w14:paraId="179EC626" w14:textId="77777777" w:rsidR="002B1A69" w:rsidRDefault="002B1A69" w:rsidP="00303DF5">
            <w:pPr>
              <w:pStyle w:val="BodyText"/>
              <w:widowControl w:val="0"/>
              <w:spacing w:after="0"/>
              <w:rPr>
                <w:rFonts w:cs="Arial"/>
                <w:sz w:val="17"/>
                <w:szCs w:val="17"/>
              </w:rPr>
            </w:pPr>
          </w:p>
        </w:tc>
        <w:tc>
          <w:tcPr>
            <w:tcW w:w="575" w:type="pct"/>
            <w:tcBorders>
              <w:top w:val="nil"/>
              <w:left w:val="nil"/>
              <w:bottom w:val="nil"/>
              <w:right w:val="nil"/>
            </w:tcBorders>
          </w:tcPr>
          <w:p w14:paraId="412451A2" w14:textId="77777777" w:rsidR="002B1A69" w:rsidRDefault="002B1A69" w:rsidP="003F537D">
            <w:pPr>
              <w:pStyle w:val="TableText"/>
              <w:rPr>
                <w:szCs w:val="17"/>
              </w:rPr>
            </w:pPr>
          </w:p>
        </w:tc>
        <w:tc>
          <w:tcPr>
            <w:tcW w:w="1516" w:type="pct"/>
            <w:tcBorders>
              <w:top w:val="nil"/>
              <w:left w:val="nil"/>
              <w:bottom w:val="nil"/>
              <w:right w:val="nil"/>
            </w:tcBorders>
          </w:tcPr>
          <w:p w14:paraId="295C85AD" w14:textId="77777777" w:rsidR="002B1A69" w:rsidRDefault="002B1A69" w:rsidP="003F537D">
            <w:pPr>
              <w:pStyle w:val="TableText"/>
              <w:rPr>
                <w:szCs w:val="17"/>
              </w:rPr>
            </w:pPr>
            <w:r>
              <w:rPr>
                <w:szCs w:val="17"/>
              </w:rPr>
              <w:t>M</w:t>
            </w:r>
            <w:r w:rsidRPr="00CD311A">
              <w:rPr>
                <w:szCs w:val="17"/>
              </w:rPr>
              <w:t>arket gardens</w:t>
            </w:r>
            <w:r>
              <w:rPr>
                <w:szCs w:val="17"/>
              </w:rPr>
              <w:t>,</w:t>
            </w:r>
            <w:r w:rsidRPr="00CD311A">
              <w:rPr>
                <w:szCs w:val="17"/>
              </w:rPr>
              <w:t xml:space="preserve"> </w:t>
            </w:r>
            <w:r>
              <w:rPr>
                <w:szCs w:val="17"/>
              </w:rPr>
              <w:t>r</w:t>
            </w:r>
            <w:r w:rsidRPr="00CD311A">
              <w:rPr>
                <w:szCs w:val="17"/>
              </w:rPr>
              <w:t>ow crops, vegetables</w:t>
            </w:r>
            <w:r>
              <w:rPr>
                <w:szCs w:val="17"/>
              </w:rPr>
              <w:t xml:space="preserve"> (shielded inter-row spraying)</w:t>
            </w:r>
          </w:p>
        </w:tc>
        <w:tc>
          <w:tcPr>
            <w:tcW w:w="1308" w:type="pct"/>
            <w:tcBorders>
              <w:top w:val="nil"/>
              <w:left w:val="nil"/>
              <w:bottom w:val="nil"/>
              <w:right w:val="nil"/>
            </w:tcBorders>
          </w:tcPr>
          <w:p w14:paraId="5D80FECF" w14:textId="77777777" w:rsidR="002B1A69" w:rsidRDefault="002B1A69" w:rsidP="003F537D">
            <w:pPr>
              <w:pStyle w:val="TableText"/>
              <w:jc w:val="right"/>
              <w:rPr>
                <w:szCs w:val="17"/>
              </w:rPr>
            </w:pPr>
            <w:r>
              <w:rPr>
                <w:szCs w:val="17"/>
              </w:rPr>
              <w:t xml:space="preserve">From </w:t>
            </w:r>
            <w:r w:rsidRPr="00CD311A">
              <w:rPr>
                <w:szCs w:val="17"/>
              </w:rPr>
              <w:t>1× 800 g ac/ha</w:t>
            </w:r>
          </w:p>
        </w:tc>
        <w:tc>
          <w:tcPr>
            <w:tcW w:w="364" w:type="pct"/>
            <w:tcBorders>
              <w:top w:val="nil"/>
              <w:left w:val="nil"/>
              <w:bottom w:val="nil"/>
              <w:right w:val="nil"/>
            </w:tcBorders>
          </w:tcPr>
          <w:p w14:paraId="38BC378C" w14:textId="77770C9A" w:rsidR="002B1A69" w:rsidRPr="000D76AD" w:rsidRDefault="002B1A69" w:rsidP="003F537D">
            <w:pPr>
              <w:pStyle w:val="TableText"/>
              <w:jc w:val="right"/>
              <w:rPr>
                <w:szCs w:val="17"/>
              </w:rPr>
            </w:pPr>
            <w:r w:rsidRPr="000D76AD">
              <w:rPr>
                <w:szCs w:val="17"/>
              </w:rPr>
              <w:t>1.0</w:t>
            </w:r>
            <w:r w:rsidR="00E61669">
              <w:rPr>
                <w:rFonts w:ascii="ZWAdobeF" w:hAnsi="ZWAdobeF" w:cs="ZWAdobeF"/>
                <w:sz w:val="2"/>
                <w:szCs w:val="2"/>
              </w:rPr>
              <w:t>37F</w:t>
            </w:r>
            <w:r w:rsidR="00602535">
              <w:rPr>
                <w:rFonts w:ascii="ZWAdobeF" w:hAnsi="ZWAdobeF" w:cs="ZWAdobeF"/>
                <w:spacing w:val="0"/>
                <w:sz w:val="2"/>
                <w:szCs w:val="2"/>
              </w:rPr>
              <w:t>40F</w:t>
            </w:r>
            <w:r>
              <w:rPr>
                <w:rStyle w:val="FootnoteReference"/>
                <w:szCs w:val="17"/>
              </w:rPr>
              <w:footnoteReference w:id="42"/>
            </w:r>
          </w:p>
        </w:tc>
        <w:tc>
          <w:tcPr>
            <w:tcW w:w="682" w:type="pct"/>
            <w:tcBorders>
              <w:top w:val="nil"/>
              <w:left w:val="nil"/>
              <w:bottom w:val="nil"/>
              <w:right w:val="nil"/>
            </w:tcBorders>
          </w:tcPr>
          <w:p w14:paraId="27ABC25D" w14:textId="77777777" w:rsidR="002B1A69" w:rsidRPr="000D76AD" w:rsidRDefault="002B1A69" w:rsidP="003F537D">
            <w:pPr>
              <w:pStyle w:val="TableText"/>
              <w:jc w:val="right"/>
              <w:rPr>
                <w:szCs w:val="17"/>
              </w:rPr>
            </w:pPr>
            <w:r w:rsidRPr="000D76AD">
              <w:rPr>
                <w:szCs w:val="17"/>
              </w:rPr>
              <w:t>800</w:t>
            </w:r>
          </w:p>
        </w:tc>
      </w:tr>
      <w:tr w:rsidR="002B1A69" w:rsidRPr="00CD311A" w14:paraId="3CDCEA44" w14:textId="77777777" w:rsidTr="00514EF5">
        <w:trPr>
          <w:cantSplit/>
        </w:trPr>
        <w:tc>
          <w:tcPr>
            <w:tcW w:w="555" w:type="pct"/>
            <w:vMerge/>
            <w:tcBorders>
              <w:left w:val="nil"/>
              <w:right w:val="nil"/>
            </w:tcBorders>
          </w:tcPr>
          <w:p w14:paraId="1CA926E2" w14:textId="77777777" w:rsidR="002B1A69" w:rsidRDefault="002B1A69" w:rsidP="00303DF5">
            <w:pPr>
              <w:pStyle w:val="BodyText"/>
              <w:widowControl w:val="0"/>
              <w:spacing w:after="0"/>
              <w:rPr>
                <w:rFonts w:cs="Arial"/>
                <w:sz w:val="17"/>
                <w:szCs w:val="17"/>
              </w:rPr>
            </w:pPr>
          </w:p>
        </w:tc>
        <w:tc>
          <w:tcPr>
            <w:tcW w:w="575" w:type="pct"/>
            <w:tcBorders>
              <w:top w:val="nil"/>
              <w:left w:val="nil"/>
              <w:bottom w:val="nil"/>
              <w:right w:val="nil"/>
            </w:tcBorders>
          </w:tcPr>
          <w:p w14:paraId="20455E02" w14:textId="77777777" w:rsidR="002B1A69" w:rsidRDefault="002B1A69" w:rsidP="003F537D">
            <w:pPr>
              <w:pStyle w:val="TableText"/>
              <w:rPr>
                <w:szCs w:val="17"/>
              </w:rPr>
            </w:pPr>
          </w:p>
        </w:tc>
        <w:tc>
          <w:tcPr>
            <w:tcW w:w="1516" w:type="pct"/>
            <w:tcBorders>
              <w:top w:val="nil"/>
              <w:left w:val="nil"/>
              <w:bottom w:val="nil"/>
              <w:right w:val="nil"/>
            </w:tcBorders>
          </w:tcPr>
          <w:p w14:paraId="20343C29" w14:textId="77777777" w:rsidR="002B1A69" w:rsidRPr="00CD311A" w:rsidRDefault="002B1A69" w:rsidP="003F537D">
            <w:pPr>
              <w:pStyle w:val="TableText"/>
              <w:rPr>
                <w:szCs w:val="17"/>
              </w:rPr>
            </w:pPr>
            <w:r w:rsidRPr="00CD311A">
              <w:rPr>
                <w:szCs w:val="17"/>
              </w:rPr>
              <w:t>Oilseed</w:t>
            </w:r>
            <w:r>
              <w:rPr>
                <w:szCs w:val="17"/>
              </w:rPr>
              <w:t xml:space="preserve"> poppies</w:t>
            </w:r>
          </w:p>
        </w:tc>
        <w:tc>
          <w:tcPr>
            <w:tcW w:w="1308" w:type="pct"/>
            <w:tcBorders>
              <w:top w:val="nil"/>
              <w:left w:val="nil"/>
              <w:bottom w:val="nil"/>
              <w:right w:val="nil"/>
            </w:tcBorders>
          </w:tcPr>
          <w:p w14:paraId="0EF4A4AC" w14:textId="77777777" w:rsidR="002B1A69" w:rsidRPr="00CD311A" w:rsidRDefault="002B1A69" w:rsidP="003F537D">
            <w:pPr>
              <w:pStyle w:val="TableText"/>
              <w:jc w:val="right"/>
              <w:rPr>
                <w:szCs w:val="17"/>
              </w:rPr>
            </w:pPr>
            <w:r>
              <w:rPr>
                <w:szCs w:val="17"/>
              </w:rPr>
              <w:t xml:space="preserve">From </w:t>
            </w:r>
            <w:r w:rsidRPr="00CD311A">
              <w:rPr>
                <w:szCs w:val="17"/>
              </w:rPr>
              <w:t>1× 300 g ac/ha</w:t>
            </w:r>
          </w:p>
        </w:tc>
        <w:tc>
          <w:tcPr>
            <w:tcW w:w="364" w:type="pct"/>
            <w:tcBorders>
              <w:top w:val="nil"/>
              <w:left w:val="nil"/>
              <w:bottom w:val="nil"/>
              <w:right w:val="nil"/>
            </w:tcBorders>
          </w:tcPr>
          <w:p w14:paraId="5A5E21AA" w14:textId="77777777" w:rsidR="002B1A69" w:rsidRPr="00CD311A" w:rsidRDefault="002B1A69" w:rsidP="003F537D">
            <w:pPr>
              <w:pStyle w:val="TableText"/>
              <w:jc w:val="right"/>
              <w:rPr>
                <w:szCs w:val="17"/>
              </w:rPr>
            </w:pPr>
            <w:r w:rsidRPr="008C6E24">
              <w:rPr>
                <w:szCs w:val="17"/>
              </w:rPr>
              <w:t>1.0</w:t>
            </w:r>
          </w:p>
        </w:tc>
        <w:tc>
          <w:tcPr>
            <w:tcW w:w="682" w:type="pct"/>
            <w:tcBorders>
              <w:top w:val="nil"/>
              <w:left w:val="nil"/>
              <w:bottom w:val="nil"/>
              <w:right w:val="nil"/>
            </w:tcBorders>
          </w:tcPr>
          <w:p w14:paraId="683E6606" w14:textId="77777777" w:rsidR="002B1A69" w:rsidRPr="00CD311A" w:rsidRDefault="002B1A69" w:rsidP="003F537D">
            <w:pPr>
              <w:pStyle w:val="TableText"/>
              <w:jc w:val="right"/>
              <w:rPr>
                <w:szCs w:val="17"/>
              </w:rPr>
            </w:pPr>
            <w:r>
              <w:rPr>
                <w:szCs w:val="17"/>
              </w:rPr>
              <w:t>300</w:t>
            </w:r>
          </w:p>
        </w:tc>
      </w:tr>
      <w:tr w:rsidR="002B1A69" w:rsidRPr="005A5615" w14:paraId="3800DEF7" w14:textId="77777777" w:rsidTr="00514EF5">
        <w:trPr>
          <w:cantSplit/>
        </w:trPr>
        <w:tc>
          <w:tcPr>
            <w:tcW w:w="555" w:type="pct"/>
            <w:vMerge/>
            <w:tcBorders>
              <w:left w:val="nil"/>
              <w:right w:val="nil"/>
            </w:tcBorders>
          </w:tcPr>
          <w:p w14:paraId="021416BD" w14:textId="77777777" w:rsidR="002B1A69" w:rsidRDefault="002B1A69" w:rsidP="00303DF5">
            <w:pPr>
              <w:pStyle w:val="BodyText"/>
              <w:widowControl w:val="0"/>
              <w:spacing w:after="0"/>
              <w:rPr>
                <w:rFonts w:cs="Arial"/>
                <w:sz w:val="17"/>
                <w:szCs w:val="17"/>
              </w:rPr>
            </w:pPr>
          </w:p>
        </w:tc>
        <w:tc>
          <w:tcPr>
            <w:tcW w:w="575" w:type="pct"/>
            <w:tcBorders>
              <w:top w:val="nil"/>
              <w:left w:val="nil"/>
              <w:bottom w:val="nil"/>
              <w:right w:val="nil"/>
            </w:tcBorders>
          </w:tcPr>
          <w:p w14:paraId="57B8F094" w14:textId="77777777" w:rsidR="002B1A69" w:rsidRDefault="002B1A69" w:rsidP="003F537D">
            <w:pPr>
              <w:pStyle w:val="TableText"/>
              <w:rPr>
                <w:szCs w:val="17"/>
              </w:rPr>
            </w:pPr>
          </w:p>
        </w:tc>
        <w:tc>
          <w:tcPr>
            <w:tcW w:w="1516" w:type="pct"/>
            <w:tcBorders>
              <w:top w:val="nil"/>
              <w:left w:val="nil"/>
              <w:bottom w:val="nil"/>
              <w:right w:val="nil"/>
            </w:tcBorders>
          </w:tcPr>
          <w:p w14:paraId="6CF24624" w14:textId="77777777" w:rsidR="002B1A69" w:rsidRPr="00CD311A" w:rsidRDefault="002B1A69" w:rsidP="003F537D">
            <w:pPr>
              <w:pStyle w:val="TableText"/>
              <w:rPr>
                <w:szCs w:val="17"/>
              </w:rPr>
            </w:pPr>
            <w:r w:rsidRPr="00CD311A">
              <w:rPr>
                <w:szCs w:val="17"/>
              </w:rPr>
              <w:t>Hops</w:t>
            </w:r>
          </w:p>
        </w:tc>
        <w:tc>
          <w:tcPr>
            <w:tcW w:w="1308" w:type="pct"/>
            <w:tcBorders>
              <w:top w:val="nil"/>
              <w:left w:val="nil"/>
              <w:bottom w:val="nil"/>
              <w:right w:val="nil"/>
            </w:tcBorders>
          </w:tcPr>
          <w:p w14:paraId="2579C4E5" w14:textId="77777777" w:rsidR="002B1A69" w:rsidRPr="005A5615" w:rsidRDefault="002B1A69" w:rsidP="003F537D">
            <w:pPr>
              <w:pStyle w:val="TableText"/>
              <w:jc w:val="right"/>
              <w:rPr>
                <w:szCs w:val="17"/>
              </w:rPr>
            </w:pPr>
            <w:r w:rsidRPr="005A5615">
              <w:rPr>
                <w:szCs w:val="17"/>
              </w:rPr>
              <w:t>From 1× 280 g ac/ha</w:t>
            </w:r>
          </w:p>
        </w:tc>
        <w:tc>
          <w:tcPr>
            <w:tcW w:w="364" w:type="pct"/>
            <w:tcBorders>
              <w:top w:val="nil"/>
              <w:left w:val="nil"/>
              <w:bottom w:val="nil"/>
              <w:right w:val="nil"/>
            </w:tcBorders>
          </w:tcPr>
          <w:p w14:paraId="4B835BBC" w14:textId="77777777" w:rsidR="002B1A69" w:rsidRPr="005A5615" w:rsidRDefault="002B1A69" w:rsidP="003F537D">
            <w:pPr>
              <w:pStyle w:val="TableText"/>
              <w:jc w:val="right"/>
              <w:rPr>
                <w:szCs w:val="17"/>
              </w:rPr>
            </w:pPr>
            <w:r w:rsidRPr="005A5615">
              <w:rPr>
                <w:szCs w:val="17"/>
              </w:rPr>
              <w:t>1.0</w:t>
            </w:r>
          </w:p>
        </w:tc>
        <w:tc>
          <w:tcPr>
            <w:tcW w:w="682" w:type="pct"/>
            <w:tcBorders>
              <w:top w:val="nil"/>
              <w:left w:val="nil"/>
              <w:bottom w:val="nil"/>
              <w:right w:val="nil"/>
            </w:tcBorders>
          </w:tcPr>
          <w:p w14:paraId="09630D46" w14:textId="77777777" w:rsidR="002B1A69" w:rsidRPr="005A5615" w:rsidRDefault="002B1A69" w:rsidP="003F537D">
            <w:pPr>
              <w:pStyle w:val="TableText"/>
              <w:jc w:val="right"/>
              <w:rPr>
                <w:szCs w:val="17"/>
              </w:rPr>
            </w:pPr>
            <w:r w:rsidRPr="005A5615">
              <w:rPr>
                <w:szCs w:val="17"/>
              </w:rPr>
              <w:t>280</w:t>
            </w:r>
          </w:p>
        </w:tc>
      </w:tr>
      <w:tr w:rsidR="002B1A69" w:rsidRPr="005A5615" w14:paraId="7587C08D" w14:textId="77777777" w:rsidTr="00514EF5">
        <w:trPr>
          <w:cantSplit/>
        </w:trPr>
        <w:tc>
          <w:tcPr>
            <w:tcW w:w="555" w:type="pct"/>
            <w:vMerge/>
            <w:tcBorders>
              <w:left w:val="nil"/>
              <w:right w:val="nil"/>
            </w:tcBorders>
          </w:tcPr>
          <w:p w14:paraId="14768DD6" w14:textId="77777777" w:rsidR="002B1A69" w:rsidRDefault="002B1A69" w:rsidP="00303DF5">
            <w:pPr>
              <w:pStyle w:val="BodyText"/>
              <w:widowControl w:val="0"/>
              <w:spacing w:after="0"/>
              <w:rPr>
                <w:rFonts w:cs="Arial"/>
                <w:sz w:val="17"/>
                <w:szCs w:val="17"/>
              </w:rPr>
            </w:pPr>
          </w:p>
        </w:tc>
        <w:tc>
          <w:tcPr>
            <w:tcW w:w="575" w:type="pct"/>
            <w:tcBorders>
              <w:top w:val="nil"/>
              <w:left w:val="nil"/>
              <w:bottom w:val="nil"/>
              <w:right w:val="nil"/>
            </w:tcBorders>
          </w:tcPr>
          <w:p w14:paraId="232C17FF" w14:textId="77777777" w:rsidR="002B1A69" w:rsidRDefault="002B1A69" w:rsidP="003F537D">
            <w:pPr>
              <w:pStyle w:val="TableText"/>
              <w:rPr>
                <w:szCs w:val="17"/>
              </w:rPr>
            </w:pPr>
          </w:p>
        </w:tc>
        <w:tc>
          <w:tcPr>
            <w:tcW w:w="1516" w:type="pct"/>
            <w:tcBorders>
              <w:top w:val="nil"/>
              <w:left w:val="nil"/>
              <w:bottom w:val="nil"/>
              <w:right w:val="nil"/>
            </w:tcBorders>
          </w:tcPr>
          <w:p w14:paraId="6DA14F86" w14:textId="77777777" w:rsidR="002B1A69" w:rsidRPr="00CD311A" w:rsidRDefault="002B1A69" w:rsidP="003F537D">
            <w:pPr>
              <w:pStyle w:val="TableText"/>
              <w:rPr>
                <w:szCs w:val="17"/>
              </w:rPr>
            </w:pPr>
            <w:r w:rsidRPr="00CD311A">
              <w:rPr>
                <w:szCs w:val="17"/>
              </w:rPr>
              <w:t>Hops</w:t>
            </w:r>
            <w:r>
              <w:rPr>
                <w:szCs w:val="17"/>
              </w:rPr>
              <w:t xml:space="preserve"> (directed inter-row spraying)</w:t>
            </w:r>
          </w:p>
        </w:tc>
        <w:tc>
          <w:tcPr>
            <w:tcW w:w="1308" w:type="pct"/>
            <w:tcBorders>
              <w:top w:val="nil"/>
              <w:left w:val="nil"/>
              <w:bottom w:val="nil"/>
              <w:right w:val="nil"/>
            </w:tcBorders>
          </w:tcPr>
          <w:p w14:paraId="6074C93B" w14:textId="77777777" w:rsidR="002B1A69" w:rsidRPr="005A5615" w:rsidRDefault="002B1A69" w:rsidP="003F537D">
            <w:pPr>
              <w:pStyle w:val="TableText"/>
              <w:jc w:val="right"/>
              <w:rPr>
                <w:szCs w:val="17"/>
              </w:rPr>
            </w:pPr>
            <w:r w:rsidRPr="005A5615">
              <w:rPr>
                <w:szCs w:val="17"/>
              </w:rPr>
              <w:t>From 1× 280 g ac/ha</w:t>
            </w:r>
          </w:p>
        </w:tc>
        <w:tc>
          <w:tcPr>
            <w:tcW w:w="364" w:type="pct"/>
            <w:tcBorders>
              <w:top w:val="nil"/>
              <w:left w:val="nil"/>
              <w:bottom w:val="nil"/>
              <w:right w:val="nil"/>
            </w:tcBorders>
          </w:tcPr>
          <w:p w14:paraId="7B58B884" w14:textId="77777777" w:rsidR="002B1A69" w:rsidRPr="005A5615" w:rsidRDefault="002B1A69" w:rsidP="003F537D">
            <w:pPr>
              <w:pStyle w:val="TableText"/>
              <w:jc w:val="right"/>
              <w:rPr>
                <w:szCs w:val="17"/>
              </w:rPr>
            </w:pPr>
            <w:r w:rsidRPr="005A5615">
              <w:rPr>
                <w:szCs w:val="17"/>
              </w:rPr>
              <w:t>0.4</w:t>
            </w:r>
          </w:p>
        </w:tc>
        <w:tc>
          <w:tcPr>
            <w:tcW w:w="682" w:type="pct"/>
            <w:tcBorders>
              <w:top w:val="nil"/>
              <w:left w:val="nil"/>
              <w:bottom w:val="nil"/>
              <w:right w:val="nil"/>
            </w:tcBorders>
          </w:tcPr>
          <w:p w14:paraId="15ABA93A" w14:textId="77777777" w:rsidR="002B1A69" w:rsidRPr="005A5615" w:rsidRDefault="002B1A69" w:rsidP="003F537D">
            <w:pPr>
              <w:pStyle w:val="TableText"/>
              <w:jc w:val="right"/>
              <w:rPr>
                <w:szCs w:val="17"/>
              </w:rPr>
            </w:pPr>
            <w:r w:rsidRPr="005A5615">
              <w:rPr>
                <w:szCs w:val="17"/>
              </w:rPr>
              <w:t>112</w:t>
            </w:r>
          </w:p>
        </w:tc>
      </w:tr>
      <w:tr w:rsidR="002B1A69" w14:paraId="7F5A384C" w14:textId="77777777" w:rsidTr="00514EF5">
        <w:trPr>
          <w:cantSplit/>
        </w:trPr>
        <w:tc>
          <w:tcPr>
            <w:tcW w:w="555" w:type="pct"/>
            <w:vMerge/>
            <w:tcBorders>
              <w:left w:val="nil"/>
              <w:right w:val="nil"/>
            </w:tcBorders>
          </w:tcPr>
          <w:p w14:paraId="73F2E10C" w14:textId="77777777" w:rsidR="002B1A69"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47B08511"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59EDB2D1" w14:textId="77777777" w:rsidR="002B1A69" w:rsidRPr="00CD311A" w:rsidRDefault="002B1A69" w:rsidP="003F537D">
            <w:pPr>
              <w:pStyle w:val="TableText"/>
              <w:rPr>
                <w:szCs w:val="17"/>
              </w:rPr>
            </w:pPr>
            <w:r>
              <w:rPr>
                <w:szCs w:val="17"/>
              </w:rPr>
              <w:t>Asparagus</w:t>
            </w:r>
          </w:p>
        </w:tc>
        <w:tc>
          <w:tcPr>
            <w:tcW w:w="1308" w:type="pct"/>
            <w:tcBorders>
              <w:top w:val="nil"/>
              <w:left w:val="nil"/>
              <w:bottom w:val="single" w:sz="4" w:space="0" w:color="auto"/>
              <w:right w:val="nil"/>
            </w:tcBorders>
          </w:tcPr>
          <w:p w14:paraId="0EF1ED5F" w14:textId="77777777" w:rsidR="002B1A69" w:rsidRDefault="002B1A69" w:rsidP="003F537D">
            <w:pPr>
              <w:pStyle w:val="TableText"/>
              <w:jc w:val="right"/>
              <w:rPr>
                <w:szCs w:val="17"/>
              </w:rPr>
            </w:pPr>
            <w:r w:rsidRPr="00CD311A">
              <w:rPr>
                <w:szCs w:val="17"/>
              </w:rPr>
              <w:t>1× 280 g ac/ha</w:t>
            </w:r>
          </w:p>
        </w:tc>
        <w:tc>
          <w:tcPr>
            <w:tcW w:w="364" w:type="pct"/>
            <w:tcBorders>
              <w:top w:val="nil"/>
              <w:left w:val="nil"/>
              <w:bottom w:val="single" w:sz="4" w:space="0" w:color="auto"/>
              <w:right w:val="nil"/>
            </w:tcBorders>
          </w:tcPr>
          <w:p w14:paraId="722C0922" w14:textId="77777777" w:rsidR="002B1A69" w:rsidRDefault="002B1A69" w:rsidP="003F537D">
            <w:pPr>
              <w:pStyle w:val="TableText"/>
              <w:jc w:val="right"/>
              <w:rPr>
                <w:szCs w:val="17"/>
              </w:rPr>
            </w:pPr>
            <w:r>
              <w:rPr>
                <w:szCs w:val="17"/>
              </w:rPr>
              <w:t>1.0</w:t>
            </w:r>
          </w:p>
        </w:tc>
        <w:tc>
          <w:tcPr>
            <w:tcW w:w="682" w:type="pct"/>
            <w:tcBorders>
              <w:top w:val="nil"/>
              <w:left w:val="nil"/>
              <w:bottom w:val="single" w:sz="4" w:space="0" w:color="auto"/>
              <w:right w:val="nil"/>
            </w:tcBorders>
          </w:tcPr>
          <w:p w14:paraId="1E676353" w14:textId="77777777" w:rsidR="002B1A69" w:rsidRDefault="002B1A69" w:rsidP="003F537D">
            <w:pPr>
              <w:pStyle w:val="TableText"/>
              <w:jc w:val="right"/>
              <w:rPr>
                <w:szCs w:val="17"/>
              </w:rPr>
            </w:pPr>
            <w:r>
              <w:rPr>
                <w:szCs w:val="17"/>
              </w:rPr>
              <w:t>280</w:t>
            </w:r>
          </w:p>
        </w:tc>
      </w:tr>
      <w:tr w:rsidR="002B1A69" w:rsidRPr="00CD311A" w14:paraId="67B0AF74" w14:textId="77777777" w:rsidTr="00514EF5">
        <w:trPr>
          <w:cantSplit/>
        </w:trPr>
        <w:tc>
          <w:tcPr>
            <w:tcW w:w="555" w:type="pct"/>
            <w:vMerge/>
            <w:tcBorders>
              <w:left w:val="nil"/>
              <w:right w:val="nil"/>
            </w:tcBorders>
          </w:tcPr>
          <w:p w14:paraId="432EB0F2" w14:textId="77777777" w:rsidR="002B1A69"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71471F22" w14:textId="77777777" w:rsidR="002B1A69" w:rsidRDefault="002B1A69" w:rsidP="003F537D">
            <w:pPr>
              <w:pStyle w:val="TableText"/>
              <w:rPr>
                <w:szCs w:val="17"/>
              </w:rPr>
            </w:pPr>
            <w:r>
              <w:rPr>
                <w:szCs w:val="17"/>
              </w:rPr>
              <w:t>Cereals</w:t>
            </w:r>
          </w:p>
        </w:tc>
        <w:tc>
          <w:tcPr>
            <w:tcW w:w="1516" w:type="pct"/>
            <w:tcBorders>
              <w:top w:val="single" w:sz="4" w:space="0" w:color="auto"/>
              <w:left w:val="nil"/>
              <w:bottom w:val="nil"/>
              <w:right w:val="nil"/>
            </w:tcBorders>
          </w:tcPr>
          <w:p w14:paraId="508258C8" w14:textId="77777777" w:rsidR="002B1A69" w:rsidRPr="00CD311A" w:rsidRDefault="002B1A69" w:rsidP="003F537D">
            <w:pPr>
              <w:pStyle w:val="TableText"/>
              <w:rPr>
                <w:szCs w:val="17"/>
              </w:rPr>
            </w:pPr>
            <w:r>
              <w:rPr>
                <w:szCs w:val="17"/>
              </w:rPr>
              <w:t>Cereals (pre-harvest)</w:t>
            </w:r>
          </w:p>
        </w:tc>
        <w:tc>
          <w:tcPr>
            <w:tcW w:w="1308" w:type="pct"/>
            <w:tcBorders>
              <w:top w:val="single" w:sz="4" w:space="0" w:color="auto"/>
              <w:left w:val="nil"/>
              <w:bottom w:val="nil"/>
              <w:right w:val="nil"/>
            </w:tcBorders>
          </w:tcPr>
          <w:p w14:paraId="3394CD32" w14:textId="77777777" w:rsidR="002B1A69" w:rsidRPr="00CD311A" w:rsidRDefault="002B1A69" w:rsidP="003F537D">
            <w:pPr>
              <w:pStyle w:val="TableText"/>
              <w:jc w:val="right"/>
              <w:rPr>
                <w:szCs w:val="17"/>
              </w:rPr>
            </w:pPr>
            <w:r>
              <w:rPr>
                <w:szCs w:val="17"/>
              </w:rPr>
              <w:t xml:space="preserve">From </w:t>
            </w:r>
            <w:r w:rsidRPr="00CD311A">
              <w:rPr>
                <w:szCs w:val="17"/>
              </w:rPr>
              <w:t xml:space="preserve">1× </w:t>
            </w:r>
            <w:r>
              <w:rPr>
                <w:szCs w:val="17"/>
              </w:rPr>
              <w:t>60</w:t>
            </w:r>
            <w:r w:rsidRPr="00CD311A">
              <w:rPr>
                <w:szCs w:val="17"/>
              </w:rPr>
              <w:t>0 g ac/ha</w:t>
            </w:r>
          </w:p>
        </w:tc>
        <w:tc>
          <w:tcPr>
            <w:tcW w:w="364" w:type="pct"/>
            <w:tcBorders>
              <w:top w:val="single" w:sz="4" w:space="0" w:color="auto"/>
              <w:left w:val="nil"/>
              <w:bottom w:val="nil"/>
              <w:right w:val="nil"/>
            </w:tcBorders>
          </w:tcPr>
          <w:p w14:paraId="6E90B726" w14:textId="77777777" w:rsidR="002B1A69" w:rsidRPr="00CD311A" w:rsidRDefault="002B1A69" w:rsidP="003F537D">
            <w:pPr>
              <w:pStyle w:val="TableText"/>
              <w:jc w:val="right"/>
              <w:rPr>
                <w:szCs w:val="17"/>
              </w:rPr>
            </w:pPr>
            <w:r w:rsidRPr="008C6E24">
              <w:rPr>
                <w:szCs w:val="17"/>
              </w:rPr>
              <w:t>1.0</w:t>
            </w:r>
          </w:p>
        </w:tc>
        <w:tc>
          <w:tcPr>
            <w:tcW w:w="682" w:type="pct"/>
            <w:tcBorders>
              <w:top w:val="single" w:sz="4" w:space="0" w:color="auto"/>
              <w:left w:val="nil"/>
              <w:bottom w:val="nil"/>
              <w:right w:val="nil"/>
            </w:tcBorders>
          </w:tcPr>
          <w:p w14:paraId="40CF31A7" w14:textId="77777777" w:rsidR="002B1A69" w:rsidRPr="00CD311A" w:rsidRDefault="002B1A69" w:rsidP="003F537D">
            <w:pPr>
              <w:pStyle w:val="TableText"/>
              <w:jc w:val="right"/>
              <w:rPr>
                <w:szCs w:val="17"/>
              </w:rPr>
            </w:pPr>
            <w:r>
              <w:rPr>
                <w:szCs w:val="17"/>
              </w:rPr>
              <w:t>600</w:t>
            </w:r>
          </w:p>
        </w:tc>
      </w:tr>
      <w:tr w:rsidR="002B1A69" w:rsidRPr="00CD311A" w14:paraId="0CCD3E01" w14:textId="77777777" w:rsidTr="00514EF5">
        <w:trPr>
          <w:cantSplit/>
        </w:trPr>
        <w:tc>
          <w:tcPr>
            <w:tcW w:w="555" w:type="pct"/>
            <w:vMerge/>
            <w:tcBorders>
              <w:left w:val="nil"/>
              <w:right w:val="nil"/>
            </w:tcBorders>
          </w:tcPr>
          <w:p w14:paraId="0047E28A" w14:textId="77777777" w:rsidR="002B1A69"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60CA831A"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54145469" w14:textId="77777777" w:rsidR="002B1A69" w:rsidRPr="00CD311A" w:rsidRDefault="002B1A69" w:rsidP="003F537D">
            <w:pPr>
              <w:pStyle w:val="TableText"/>
              <w:rPr>
                <w:szCs w:val="17"/>
              </w:rPr>
            </w:pPr>
            <w:r w:rsidRPr="00CD311A">
              <w:rPr>
                <w:szCs w:val="17"/>
              </w:rPr>
              <w:t>Cereals</w:t>
            </w:r>
            <w:r>
              <w:rPr>
                <w:szCs w:val="17"/>
              </w:rPr>
              <w:t xml:space="preserve"> (up to tillering)</w:t>
            </w:r>
          </w:p>
        </w:tc>
        <w:tc>
          <w:tcPr>
            <w:tcW w:w="1308" w:type="pct"/>
            <w:tcBorders>
              <w:top w:val="nil"/>
              <w:left w:val="nil"/>
              <w:bottom w:val="single" w:sz="4" w:space="0" w:color="auto"/>
              <w:right w:val="nil"/>
            </w:tcBorders>
          </w:tcPr>
          <w:p w14:paraId="2AF731D0" w14:textId="77777777" w:rsidR="002B1A69" w:rsidRPr="00CD311A" w:rsidRDefault="002B1A69" w:rsidP="003F537D">
            <w:pPr>
              <w:pStyle w:val="TableText"/>
              <w:jc w:val="right"/>
              <w:rPr>
                <w:szCs w:val="17"/>
              </w:rPr>
            </w:pPr>
            <w:r>
              <w:rPr>
                <w:szCs w:val="17"/>
              </w:rPr>
              <w:t xml:space="preserve">From </w:t>
            </w:r>
            <w:r w:rsidRPr="00CD311A">
              <w:rPr>
                <w:szCs w:val="17"/>
              </w:rPr>
              <w:t xml:space="preserve">1× </w:t>
            </w:r>
            <w:r>
              <w:rPr>
                <w:szCs w:val="17"/>
              </w:rPr>
              <w:t>14</w:t>
            </w:r>
            <w:r w:rsidRPr="00CD311A">
              <w:rPr>
                <w:szCs w:val="17"/>
              </w:rPr>
              <w:t>0 g ac/ha</w:t>
            </w:r>
          </w:p>
        </w:tc>
        <w:tc>
          <w:tcPr>
            <w:tcW w:w="364" w:type="pct"/>
            <w:tcBorders>
              <w:top w:val="nil"/>
              <w:left w:val="nil"/>
              <w:bottom w:val="single" w:sz="4" w:space="0" w:color="auto"/>
              <w:right w:val="nil"/>
            </w:tcBorders>
          </w:tcPr>
          <w:p w14:paraId="683EC117" w14:textId="77777777" w:rsidR="002B1A69" w:rsidRPr="00CD311A" w:rsidRDefault="002B1A69" w:rsidP="003F537D">
            <w:pPr>
              <w:pStyle w:val="TableText"/>
              <w:jc w:val="right"/>
              <w:rPr>
                <w:szCs w:val="17"/>
              </w:rPr>
            </w:pPr>
            <w:r w:rsidRPr="008C6E24">
              <w:rPr>
                <w:szCs w:val="17"/>
              </w:rPr>
              <w:t>1.0</w:t>
            </w:r>
          </w:p>
        </w:tc>
        <w:tc>
          <w:tcPr>
            <w:tcW w:w="682" w:type="pct"/>
            <w:tcBorders>
              <w:top w:val="nil"/>
              <w:left w:val="nil"/>
              <w:bottom w:val="single" w:sz="4" w:space="0" w:color="auto"/>
              <w:right w:val="nil"/>
            </w:tcBorders>
          </w:tcPr>
          <w:p w14:paraId="4A8288F7" w14:textId="77777777" w:rsidR="002B1A69" w:rsidRPr="00CD311A" w:rsidRDefault="002B1A69" w:rsidP="003F537D">
            <w:pPr>
              <w:pStyle w:val="TableText"/>
              <w:jc w:val="right"/>
              <w:rPr>
                <w:szCs w:val="17"/>
              </w:rPr>
            </w:pPr>
            <w:r>
              <w:rPr>
                <w:szCs w:val="17"/>
              </w:rPr>
              <w:t>140</w:t>
            </w:r>
          </w:p>
        </w:tc>
      </w:tr>
      <w:tr w:rsidR="002B1A69" w:rsidRPr="00CD311A" w14:paraId="4D0FB726" w14:textId="77777777" w:rsidTr="00514EF5">
        <w:trPr>
          <w:cantSplit/>
        </w:trPr>
        <w:tc>
          <w:tcPr>
            <w:tcW w:w="555" w:type="pct"/>
            <w:vMerge/>
            <w:tcBorders>
              <w:left w:val="nil"/>
              <w:right w:val="nil"/>
            </w:tcBorders>
          </w:tcPr>
          <w:p w14:paraId="38D070C6" w14:textId="77777777" w:rsidR="002B1A69"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2F832F8D" w14:textId="77777777" w:rsidR="002B1A69" w:rsidRDefault="002B1A69" w:rsidP="003F537D">
            <w:pPr>
              <w:pStyle w:val="TableText"/>
              <w:rPr>
                <w:szCs w:val="17"/>
              </w:rPr>
            </w:pPr>
            <w:r>
              <w:rPr>
                <w:szCs w:val="17"/>
              </w:rPr>
              <w:t>Grassland</w:t>
            </w:r>
          </w:p>
        </w:tc>
        <w:tc>
          <w:tcPr>
            <w:tcW w:w="1516" w:type="pct"/>
            <w:tcBorders>
              <w:top w:val="single" w:sz="4" w:space="0" w:color="auto"/>
              <w:left w:val="nil"/>
              <w:bottom w:val="nil"/>
              <w:right w:val="nil"/>
            </w:tcBorders>
          </w:tcPr>
          <w:p w14:paraId="56C402F9" w14:textId="77777777" w:rsidR="002B1A69" w:rsidRPr="00CD311A" w:rsidRDefault="002B1A69" w:rsidP="003F537D">
            <w:pPr>
              <w:pStyle w:val="TableText"/>
              <w:rPr>
                <w:szCs w:val="17"/>
              </w:rPr>
            </w:pPr>
            <w:r w:rsidRPr="00CD311A">
              <w:rPr>
                <w:szCs w:val="17"/>
              </w:rPr>
              <w:t>Pasture</w:t>
            </w:r>
            <w:r>
              <w:rPr>
                <w:szCs w:val="17"/>
              </w:rPr>
              <w:t xml:space="preserve"> (grazed before spraying)</w:t>
            </w:r>
          </w:p>
        </w:tc>
        <w:tc>
          <w:tcPr>
            <w:tcW w:w="1308" w:type="pct"/>
            <w:tcBorders>
              <w:top w:val="single" w:sz="4" w:space="0" w:color="auto"/>
              <w:left w:val="nil"/>
              <w:bottom w:val="nil"/>
              <w:right w:val="nil"/>
            </w:tcBorders>
          </w:tcPr>
          <w:p w14:paraId="38B2E0A0" w14:textId="77777777" w:rsidR="002B1A69" w:rsidRPr="00CD311A" w:rsidRDefault="002B1A69" w:rsidP="003F537D">
            <w:pPr>
              <w:pStyle w:val="TableText"/>
              <w:jc w:val="right"/>
              <w:rPr>
                <w:szCs w:val="17"/>
              </w:rPr>
            </w:pPr>
            <w:r>
              <w:rPr>
                <w:szCs w:val="17"/>
              </w:rPr>
              <w:t xml:space="preserve">From </w:t>
            </w:r>
            <w:r w:rsidRPr="00CD311A">
              <w:rPr>
                <w:szCs w:val="17"/>
              </w:rPr>
              <w:t xml:space="preserve">1× </w:t>
            </w:r>
            <w:r>
              <w:rPr>
                <w:szCs w:val="17"/>
              </w:rPr>
              <w:t>30</w:t>
            </w:r>
            <w:r w:rsidRPr="00CD311A">
              <w:rPr>
                <w:szCs w:val="17"/>
              </w:rPr>
              <w:t>0 g ac/ha</w:t>
            </w:r>
          </w:p>
        </w:tc>
        <w:tc>
          <w:tcPr>
            <w:tcW w:w="364" w:type="pct"/>
            <w:tcBorders>
              <w:top w:val="single" w:sz="4" w:space="0" w:color="auto"/>
              <w:left w:val="nil"/>
              <w:bottom w:val="nil"/>
              <w:right w:val="nil"/>
            </w:tcBorders>
          </w:tcPr>
          <w:p w14:paraId="41602F9E" w14:textId="77777777" w:rsidR="002B1A69" w:rsidRPr="00CD311A" w:rsidRDefault="002B1A69" w:rsidP="003F537D">
            <w:pPr>
              <w:pStyle w:val="TableText"/>
              <w:jc w:val="right"/>
              <w:rPr>
                <w:szCs w:val="17"/>
              </w:rPr>
            </w:pPr>
            <w:r w:rsidRPr="008C6E24">
              <w:rPr>
                <w:szCs w:val="17"/>
              </w:rPr>
              <w:t>1.0</w:t>
            </w:r>
          </w:p>
        </w:tc>
        <w:tc>
          <w:tcPr>
            <w:tcW w:w="682" w:type="pct"/>
            <w:tcBorders>
              <w:top w:val="single" w:sz="4" w:space="0" w:color="auto"/>
              <w:left w:val="nil"/>
              <w:bottom w:val="nil"/>
              <w:right w:val="nil"/>
            </w:tcBorders>
          </w:tcPr>
          <w:p w14:paraId="220FA3E8" w14:textId="77777777" w:rsidR="002B1A69" w:rsidRPr="00CD311A" w:rsidRDefault="002B1A69" w:rsidP="003F537D">
            <w:pPr>
              <w:pStyle w:val="TableText"/>
              <w:jc w:val="right"/>
              <w:rPr>
                <w:szCs w:val="17"/>
              </w:rPr>
            </w:pPr>
            <w:r>
              <w:rPr>
                <w:szCs w:val="17"/>
              </w:rPr>
              <w:t>300</w:t>
            </w:r>
          </w:p>
        </w:tc>
      </w:tr>
      <w:tr w:rsidR="002B1A69" w:rsidRPr="00CD311A" w14:paraId="53A3E013" w14:textId="77777777" w:rsidTr="00514EF5">
        <w:trPr>
          <w:cantSplit/>
        </w:trPr>
        <w:tc>
          <w:tcPr>
            <w:tcW w:w="555" w:type="pct"/>
            <w:vMerge/>
            <w:tcBorders>
              <w:left w:val="nil"/>
              <w:right w:val="nil"/>
            </w:tcBorders>
          </w:tcPr>
          <w:p w14:paraId="6EF20BA9" w14:textId="77777777" w:rsidR="002B1A69" w:rsidRDefault="002B1A69" w:rsidP="00303DF5">
            <w:pPr>
              <w:pStyle w:val="BodyText"/>
              <w:widowControl w:val="0"/>
              <w:spacing w:after="0"/>
              <w:rPr>
                <w:rFonts w:cs="Arial"/>
                <w:sz w:val="17"/>
                <w:szCs w:val="17"/>
              </w:rPr>
            </w:pPr>
          </w:p>
        </w:tc>
        <w:tc>
          <w:tcPr>
            <w:tcW w:w="575" w:type="pct"/>
            <w:tcBorders>
              <w:top w:val="nil"/>
              <w:left w:val="nil"/>
              <w:bottom w:val="nil"/>
              <w:right w:val="nil"/>
            </w:tcBorders>
          </w:tcPr>
          <w:p w14:paraId="56B650F3" w14:textId="77777777" w:rsidR="002B1A69" w:rsidRDefault="002B1A69" w:rsidP="003F537D">
            <w:pPr>
              <w:pStyle w:val="TableText"/>
              <w:rPr>
                <w:szCs w:val="17"/>
              </w:rPr>
            </w:pPr>
          </w:p>
        </w:tc>
        <w:tc>
          <w:tcPr>
            <w:tcW w:w="1516" w:type="pct"/>
            <w:tcBorders>
              <w:top w:val="nil"/>
              <w:left w:val="nil"/>
              <w:bottom w:val="nil"/>
              <w:right w:val="nil"/>
            </w:tcBorders>
          </w:tcPr>
          <w:p w14:paraId="2B4C4C2D" w14:textId="77777777" w:rsidR="002B1A69" w:rsidRPr="00CD311A" w:rsidRDefault="002B1A69" w:rsidP="003F537D">
            <w:pPr>
              <w:pStyle w:val="TableText"/>
              <w:rPr>
                <w:szCs w:val="17"/>
              </w:rPr>
            </w:pPr>
            <w:r>
              <w:rPr>
                <w:szCs w:val="17"/>
              </w:rPr>
              <w:t>I</w:t>
            </w:r>
            <w:r w:rsidRPr="00CD311A">
              <w:rPr>
                <w:szCs w:val="17"/>
              </w:rPr>
              <w:t>nfested areas</w:t>
            </w:r>
          </w:p>
        </w:tc>
        <w:tc>
          <w:tcPr>
            <w:tcW w:w="1308" w:type="pct"/>
            <w:tcBorders>
              <w:top w:val="nil"/>
              <w:left w:val="nil"/>
              <w:bottom w:val="nil"/>
              <w:right w:val="nil"/>
            </w:tcBorders>
          </w:tcPr>
          <w:p w14:paraId="29132248" w14:textId="77777777" w:rsidR="002B1A69" w:rsidRPr="00CD311A" w:rsidRDefault="002B1A69" w:rsidP="003F537D">
            <w:pPr>
              <w:pStyle w:val="TableText"/>
              <w:jc w:val="right"/>
              <w:rPr>
                <w:szCs w:val="17"/>
              </w:rPr>
            </w:pPr>
            <w:r w:rsidRPr="00CD311A">
              <w:rPr>
                <w:szCs w:val="17"/>
              </w:rPr>
              <w:t xml:space="preserve">1× </w:t>
            </w:r>
            <w:r>
              <w:rPr>
                <w:szCs w:val="17"/>
              </w:rPr>
              <w:t>560</w:t>
            </w:r>
            <w:r w:rsidRPr="00CD311A">
              <w:rPr>
                <w:szCs w:val="17"/>
              </w:rPr>
              <w:t xml:space="preserve"> g ac/ha</w:t>
            </w:r>
          </w:p>
        </w:tc>
        <w:tc>
          <w:tcPr>
            <w:tcW w:w="364" w:type="pct"/>
            <w:tcBorders>
              <w:top w:val="nil"/>
              <w:left w:val="nil"/>
              <w:bottom w:val="nil"/>
              <w:right w:val="nil"/>
            </w:tcBorders>
          </w:tcPr>
          <w:p w14:paraId="5E16E604" w14:textId="77777777" w:rsidR="002B1A69" w:rsidRPr="00CD311A" w:rsidRDefault="002B1A69" w:rsidP="003F537D">
            <w:pPr>
              <w:pStyle w:val="TableText"/>
              <w:jc w:val="right"/>
              <w:rPr>
                <w:szCs w:val="17"/>
              </w:rPr>
            </w:pPr>
            <w:r w:rsidRPr="008C6E24">
              <w:rPr>
                <w:szCs w:val="17"/>
              </w:rPr>
              <w:t>1.0</w:t>
            </w:r>
          </w:p>
        </w:tc>
        <w:tc>
          <w:tcPr>
            <w:tcW w:w="682" w:type="pct"/>
            <w:tcBorders>
              <w:top w:val="nil"/>
              <w:left w:val="nil"/>
              <w:bottom w:val="nil"/>
              <w:right w:val="nil"/>
            </w:tcBorders>
          </w:tcPr>
          <w:p w14:paraId="2F831AB2" w14:textId="77777777" w:rsidR="002B1A69" w:rsidRPr="00CD311A" w:rsidRDefault="002B1A69" w:rsidP="003F537D">
            <w:pPr>
              <w:pStyle w:val="TableText"/>
              <w:jc w:val="right"/>
              <w:rPr>
                <w:szCs w:val="17"/>
              </w:rPr>
            </w:pPr>
            <w:r>
              <w:rPr>
                <w:szCs w:val="17"/>
              </w:rPr>
              <w:t>560</w:t>
            </w:r>
          </w:p>
        </w:tc>
      </w:tr>
      <w:tr w:rsidR="002B1A69" w:rsidRPr="00CD311A" w14:paraId="239D2A0F" w14:textId="77777777" w:rsidTr="00514EF5">
        <w:trPr>
          <w:cantSplit/>
        </w:trPr>
        <w:tc>
          <w:tcPr>
            <w:tcW w:w="555" w:type="pct"/>
            <w:vMerge/>
            <w:tcBorders>
              <w:left w:val="nil"/>
              <w:right w:val="nil"/>
            </w:tcBorders>
          </w:tcPr>
          <w:p w14:paraId="50D828B2" w14:textId="77777777" w:rsidR="002B1A69"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0F9E0ECE"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3DAABC05" w14:textId="77777777" w:rsidR="002B1A69" w:rsidRDefault="002B1A69" w:rsidP="003F537D">
            <w:pPr>
              <w:pStyle w:val="TableText"/>
              <w:rPr>
                <w:szCs w:val="17"/>
              </w:rPr>
            </w:pPr>
            <w:r>
              <w:rPr>
                <w:szCs w:val="17"/>
              </w:rPr>
              <w:t>I</w:t>
            </w:r>
            <w:r w:rsidRPr="00CD311A">
              <w:rPr>
                <w:szCs w:val="17"/>
              </w:rPr>
              <w:t>nfested areas</w:t>
            </w:r>
            <w:r>
              <w:rPr>
                <w:szCs w:val="17"/>
              </w:rPr>
              <w:t xml:space="preserve"> (knapsack sprayer and spot spraying)</w:t>
            </w:r>
          </w:p>
        </w:tc>
        <w:tc>
          <w:tcPr>
            <w:tcW w:w="1308" w:type="pct"/>
            <w:tcBorders>
              <w:top w:val="nil"/>
              <w:left w:val="nil"/>
              <w:bottom w:val="single" w:sz="4" w:space="0" w:color="auto"/>
              <w:right w:val="nil"/>
            </w:tcBorders>
          </w:tcPr>
          <w:p w14:paraId="59FBD4B8" w14:textId="77777777" w:rsidR="002B1A69" w:rsidRPr="00CD311A" w:rsidRDefault="002B1A69" w:rsidP="003F537D">
            <w:pPr>
              <w:pStyle w:val="TableText"/>
              <w:jc w:val="right"/>
              <w:rPr>
                <w:szCs w:val="17"/>
              </w:rPr>
            </w:pPr>
            <w:r>
              <w:rPr>
                <w:szCs w:val="17"/>
              </w:rPr>
              <w:t xml:space="preserve">From </w:t>
            </w:r>
            <w:r w:rsidRPr="00CD311A">
              <w:rPr>
                <w:szCs w:val="17"/>
              </w:rPr>
              <w:t xml:space="preserve">1× </w:t>
            </w:r>
            <w:r>
              <w:rPr>
                <w:szCs w:val="17"/>
              </w:rPr>
              <w:t>1333</w:t>
            </w:r>
            <w:r w:rsidRPr="00CD311A">
              <w:rPr>
                <w:szCs w:val="17"/>
              </w:rPr>
              <w:t xml:space="preserve"> g ac/ha</w:t>
            </w:r>
          </w:p>
        </w:tc>
        <w:tc>
          <w:tcPr>
            <w:tcW w:w="364" w:type="pct"/>
            <w:tcBorders>
              <w:top w:val="nil"/>
              <w:left w:val="nil"/>
              <w:bottom w:val="single" w:sz="4" w:space="0" w:color="auto"/>
              <w:right w:val="nil"/>
            </w:tcBorders>
          </w:tcPr>
          <w:p w14:paraId="2D1C8CEF" w14:textId="77777777" w:rsidR="002B1A69" w:rsidRPr="00CD311A" w:rsidRDefault="002B1A69" w:rsidP="003F537D">
            <w:pPr>
              <w:pStyle w:val="TableText"/>
              <w:jc w:val="right"/>
              <w:rPr>
                <w:szCs w:val="17"/>
              </w:rPr>
            </w:pPr>
            <w:r>
              <w:rPr>
                <w:szCs w:val="17"/>
              </w:rPr>
              <w:t>0.4</w:t>
            </w:r>
          </w:p>
        </w:tc>
        <w:tc>
          <w:tcPr>
            <w:tcW w:w="682" w:type="pct"/>
            <w:tcBorders>
              <w:top w:val="nil"/>
              <w:left w:val="nil"/>
              <w:bottom w:val="single" w:sz="4" w:space="0" w:color="auto"/>
              <w:right w:val="nil"/>
            </w:tcBorders>
          </w:tcPr>
          <w:p w14:paraId="3B576A7E" w14:textId="77777777" w:rsidR="002B1A69" w:rsidRPr="00CD311A" w:rsidRDefault="002B1A69" w:rsidP="003F537D">
            <w:pPr>
              <w:pStyle w:val="TableText"/>
              <w:jc w:val="right"/>
              <w:rPr>
                <w:szCs w:val="17"/>
              </w:rPr>
            </w:pPr>
            <w:r>
              <w:rPr>
                <w:szCs w:val="17"/>
              </w:rPr>
              <w:t>533</w:t>
            </w:r>
          </w:p>
        </w:tc>
      </w:tr>
      <w:tr w:rsidR="002B1A69" w:rsidRPr="00CD311A" w14:paraId="3BB0714D" w14:textId="77777777" w:rsidTr="00514EF5">
        <w:trPr>
          <w:cantSplit/>
        </w:trPr>
        <w:tc>
          <w:tcPr>
            <w:tcW w:w="555" w:type="pct"/>
            <w:vMerge/>
            <w:tcBorders>
              <w:left w:val="nil"/>
              <w:right w:val="nil"/>
            </w:tcBorders>
          </w:tcPr>
          <w:p w14:paraId="5F634376" w14:textId="77777777" w:rsidR="002B1A69" w:rsidRDefault="002B1A69" w:rsidP="00303DF5">
            <w:pPr>
              <w:pStyle w:val="BodyText"/>
              <w:widowControl w:val="0"/>
              <w:spacing w:after="0"/>
              <w:rPr>
                <w:rFonts w:cs="Arial"/>
                <w:sz w:val="17"/>
                <w:szCs w:val="17"/>
              </w:rPr>
            </w:pPr>
          </w:p>
        </w:tc>
        <w:tc>
          <w:tcPr>
            <w:tcW w:w="575" w:type="pct"/>
            <w:tcBorders>
              <w:top w:val="single" w:sz="4" w:space="0" w:color="auto"/>
              <w:left w:val="nil"/>
              <w:bottom w:val="single" w:sz="4" w:space="0" w:color="auto"/>
              <w:right w:val="nil"/>
            </w:tcBorders>
          </w:tcPr>
          <w:p w14:paraId="7E1FE0AD" w14:textId="77777777" w:rsidR="002B1A69" w:rsidRDefault="002B1A69" w:rsidP="003F537D">
            <w:pPr>
              <w:pStyle w:val="TableText"/>
            </w:pPr>
            <w:r>
              <w:t>Legume forage</w:t>
            </w:r>
          </w:p>
        </w:tc>
        <w:tc>
          <w:tcPr>
            <w:tcW w:w="1516" w:type="pct"/>
            <w:tcBorders>
              <w:top w:val="single" w:sz="4" w:space="0" w:color="auto"/>
              <w:left w:val="nil"/>
              <w:bottom w:val="single" w:sz="4" w:space="0" w:color="auto"/>
              <w:right w:val="nil"/>
            </w:tcBorders>
          </w:tcPr>
          <w:p w14:paraId="27FB52BF" w14:textId="2D2B6FD9" w:rsidR="002B1A69" w:rsidRPr="00E030E5" w:rsidRDefault="002B1A69" w:rsidP="003F537D">
            <w:pPr>
              <w:pStyle w:val="TableText"/>
            </w:pPr>
            <w:r w:rsidRPr="00E030E5">
              <w:t>Lucerne (</w:t>
            </w:r>
            <w:r>
              <w:t>grazed before spraying</w:t>
            </w:r>
            <w:r w:rsidRPr="00E030E5">
              <w:t>)</w:t>
            </w:r>
            <w:r w:rsidR="00E61669">
              <w:rPr>
                <w:rFonts w:ascii="ZWAdobeF" w:hAnsi="ZWAdobeF" w:cs="ZWAdobeF"/>
                <w:sz w:val="2"/>
                <w:szCs w:val="2"/>
              </w:rPr>
              <w:t>38F</w:t>
            </w:r>
            <w:r w:rsidR="00602535">
              <w:rPr>
                <w:rFonts w:ascii="ZWAdobeF" w:hAnsi="ZWAdobeF" w:cs="ZWAdobeF"/>
                <w:spacing w:val="0"/>
                <w:sz w:val="2"/>
                <w:szCs w:val="2"/>
              </w:rPr>
              <w:t>41F</w:t>
            </w:r>
            <w:r>
              <w:rPr>
                <w:rStyle w:val="FootnoteReference"/>
                <w:szCs w:val="17"/>
              </w:rPr>
              <w:footnoteReference w:id="43"/>
            </w:r>
          </w:p>
        </w:tc>
        <w:tc>
          <w:tcPr>
            <w:tcW w:w="1308" w:type="pct"/>
            <w:tcBorders>
              <w:top w:val="single" w:sz="4" w:space="0" w:color="auto"/>
              <w:left w:val="nil"/>
              <w:bottom w:val="single" w:sz="4" w:space="0" w:color="auto"/>
              <w:right w:val="nil"/>
            </w:tcBorders>
          </w:tcPr>
          <w:p w14:paraId="6FA233A3" w14:textId="77777777" w:rsidR="002B1A69" w:rsidRPr="00E030E5" w:rsidRDefault="002B1A69" w:rsidP="003F537D">
            <w:pPr>
              <w:pStyle w:val="TableText"/>
              <w:jc w:val="right"/>
            </w:pPr>
            <w:r>
              <w:t xml:space="preserve">From </w:t>
            </w:r>
            <w:r w:rsidRPr="00E030E5">
              <w:t xml:space="preserve">1× </w:t>
            </w:r>
            <w:r>
              <w:t>14</w:t>
            </w:r>
            <w:r w:rsidRPr="00E030E5">
              <w:t>0 g ac/ha</w:t>
            </w:r>
          </w:p>
        </w:tc>
        <w:tc>
          <w:tcPr>
            <w:tcW w:w="364" w:type="pct"/>
            <w:tcBorders>
              <w:top w:val="single" w:sz="4" w:space="0" w:color="auto"/>
              <w:left w:val="nil"/>
              <w:bottom w:val="single" w:sz="4" w:space="0" w:color="auto"/>
              <w:right w:val="nil"/>
            </w:tcBorders>
          </w:tcPr>
          <w:p w14:paraId="3CA3F4A4" w14:textId="77777777" w:rsidR="002B1A69" w:rsidRPr="00CD311A" w:rsidRDefault="002B1A69" w:rsidP="003F537D">
            <w:pPr>
              <w:pStyle w:val="TableText"/>
              <w:jc w:val="right"/>
            </w:pPr>
            <w:r w:rsidRPr="008C6E24">
              <w:t>1.0</w:t>
            </w:r>
          </w:p>
        </w:tc>
        <w:tc>
          <w:tcPr>
            <w:tcW w:w="682" w:type="pct"/>
            <w:tcBorders>
              <w:top w:val="single" w:sz="4" w:space="0" w:color="auto"/>
              <w:left w:val="nil"/>
              <w:bottom w:val="single" w:sz="4" w:space="0" w:color="auto"/>
              <w:right w:val="nil"/>
            </w:tcBorders>
          </w:tcPr>
          <w:p w14:paraId="78ED1E4D" w14:textId="77777777" w:rsidR="002B1A69" w:rsidRPr="00CD311A" w:rsidRDefault="002B1A69" w:rsidP="003F537D">
            <w:pPr>
              <w:pStyle w:val="TableText"/>
              <w:jc w:val="right"/>
            </w:pPr>
            <w:r>
              <w:t>140</w:t>
            </w:r>
          </w:p>
        </w:tc>
      </w:tr>
      <w:tr w:rsidR="002B1A69" w:rsidRPr="005A5615" w14:paraId="58704F15" w14:textId="77777777" w:rsidTr="00514EF5">
        <w:trPr>
          <w:cantSplit/>
        </w:trPr>
        <w:tc>
          <w:tcPr>
            <w:tcW w:w="555" w:type="pct"/>
            <w:vMerge/>
            <w:tcBorders>
              <w:left w:val="nil"/>
              <w:right w:val="nil"/>
            </w:tcBorders>
          </w:tcPr>
          <w:p w14:paraId="7AF75E3A" w14:textId="77777777" w:rsidR="002B1A69"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7EE6CD4E" w14:textId="77777777" w:rsidR="002B1A69" w:rsidRDefault="002B1A69" w:rsidP="003F537D">
            <w:pPr>
              <w:pStyle w:val="TableText"/>
            </w:pPr>
            <w:r>
              <w:t>Orchards</w:t>
            </w:r>
          </w:p>
        </w:tc>
        <w:tc>
          <w:tcPr>
            <w:tcW w:w="1516" w:type="pct"/>
            <w:tcBorders>
              <w:top w:val="single" w:sz="4" w:space="0" w:color="auto"/>
              <w:left w:val="nil"/>
              <w:bottom w:val="nil"/>
              <w:right w:val="nil"/>
            </w:tcBorders>
          </w:tcPr>
          <w:p w14:paraId="775F1B73" w14:textId="77777777" w:rsidR="002B1A69" w:rsidRPr="00CD311A" w:rsidRDefault="002B1A69" w:rsidP="003F537D">
            <w:pPr>
              <w:pStyle w:val="TableText"/>
            </w:pPr>
            <w:r w:rsidRPr="00CD311A">
              <w:t>Orchards</w:t>
            </w:r>
          </w:p>
        </w:tc>
        <w:tc>
          <w:tcPr>
            <w:tcW w:w="1308" w:type="pct"/>
            <w:tcBorders>
              <w:top w:val="single" w:sz="4" w:space="0" w:color="auto"/>
              <w:left w:val="nil"/>
              <w:bottom w:val="nil"/>
              <w:right w:val="nil"/>
            </w:tcBorders>
          </w:tcPr>
          <w:p w14:paraId="16ACFD32" w14:textId="77777777" w:rsidR="002B1A69" w:rsidRPr="005A5615" w:rsidRDefault="002B1A69" w:rsidP="003F537D">
            <w:pPr>
              <w:pStyle w:val="TableText"/>
              <w:jc w:val="right"/>
            </w:pPr>
            <w:r w:rsidRPr="005A5615">
              <w:t>1× 300 g ac/ha</w:t>
            </w:r>
          </w:p>
        </w:tc>
        <w:tc>
          <w:tcPr>
            <w:tcW w:w="364" w:type="pct"/>
            <w:tcBorders>
              <w:top w:val="single" w:sz="4" w:space="0" w:color="auto"/>
              <w:left w:val="nil"/>
              <w:bottom w:val="nil"/>
              <w:right w:val="nil"/>
            </w:tcBorders>
          </w:tcPr>
          <w:p w14:paraId="057A28BB" w14:textId="77777777" w:rsidR="002B1A69" w:rsidRPr="005A5615" w:rsidRDefault="002B1A69" w:rsidP="003F537D">
            <w:pPr>
              <w:pStyle w:val="TableText"/>
              <w:jc w:val="right"/>
            </w:pPr>
            <w:r w:rsidRPr="005A5615">
              <w:t>1.0</w:t>
            </w:r>
          </w:p>
        </w:tc>
        <w:tc>
          <w:tcPr>
            <w:tcW w:w="682" w:type="pct"/>
            <w:tcBorders>
              <w:top w:val="single" w:sz="4" w:space="0" w:color="auto"/>
              <w:left w:val="nil"/>
              <w:bottom w:val="nil"/>
              <w:right w:val="nil"/>
            </w:tcBorders>
          </w:tcPr>
          <w:p w14:paraId="3A793EF0" w14:textId="77777777" w:rsidR="002B1A69" w:rsidRPr="005A5615" w:rsidRDefault="002B1A69" w:rsidP="003F537D">
            <w:pPr>
              <w:pStyle w:val="TableText"/>
              <w:jc w:val="right"/>
            </w:pPr>
            <w:r w:rsidRPr="005A5615">
              <w:t>300</w:t>
            </w:r>
          </w:p>
        </w:tc>
      </w:tr>
      <w:tr w:rsidR="002B1A69" w:rsidRPr="005A5615" w14:paraId="5404E021" w14:textId="77777777" w:rsidTr="00514EF5">
        <w:trPr>
          <w:cantSplit/>
        </w:trPr>
        <w:tc>
          <w:tcPr>
            <w:tcW w:w="555" w:type="pct"/>
            <w:vMerge/>
            <w:tcBorders>
              <w:left w:val="nil"/>
              <w:right w:val="nil"/>
            </w:tcBorders>
          </w:tcPr>
          <w:p w14:paraId="6796C6EC" w14:textId="77777777" w:rsidR="002B1A69"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1E5A33F6" w14:textId="77777777" w:rsidR="002B1A69" w:rsidRDefault="002B1A69" w:rsidP="003F537D">
            <w:pPr>
              <w:pStyle w:val="TableText"/>
            </w:pPr>
          </w:p>
        </w:tc>
        <w:tc>
          <w:tcPr>
            <w:tcW w:w="1516" w:type="pct"/>
            <w:tcBorders>
              <w:top w:val="nil"/>
              <w:left w:val="nil"/>
              <w:bottom w:val="single" w:sz="4" w:space="0" w:color="auto"/>
              <w:right w:val="nil"/>
            </w:tcBorders>
          </w:tcPr>
          <w:p w14:paraId="0588313F" w14:textId="77777777" w:rsidR="002B1A69" w:rsidRPr="00CD311A" w:rsidRDefault="002B1A69" w:rsidP="003F537D">
            <w:pPr>
              <w:pStyle w:val="TableText"/>
            </w:pPr>
            <w:r w:rsidRPr="00CD311A">
              <w:t>Orchards</w:t>
            </w:r>
            <w:r>
              <w:t xml:space="preserve"> (directed spray under trees and inter-row spraying)</w:t>
            </w:r>
          </w:p>
        </w:tc>
        <w:tc>
          <w:tcPr>
            <w:tcW w:w="1308" w:type="pct"/>
            <w:tcBorders>
              <w:top w:val="nil"/>
              <w:left w:val="nil"/>
              <w:bottom w:val="single" w:sz="4" w:space="0" w:color="auto"/>
              <w:right w:val="nil"/>
            </w:tcBorders>
          </w:tcPr>
          <w:p w14:paraId="54D5FF4C" w14:textId="77777777" w:rsidR="002B1A69" w:rsidRPr="005A5615" w:rsidRDefault="002B1A69" w:rsidP="003F537D">
            <w:pPr>
              <w:pStyle w:val="TableText"/>
              <w:jc w:val="right"/>
            </w:pPr>
            <w:r w:rsidRPr="005A5615">
              <w:t>1× 300 g ac/ha</w:t>
            </w:r>
          </w:p>
        </w:tc>
        <w:tc>
          <w:tcPr>
            <w:tcW w:w="364" w:type="pct"/>
            <w:tcBorders>
              <w:top w:val="nil"/>
              <w:left w:val="nil"/>
              <w:bottom w:val="single" w:sz="4" w:space="0" w:color="auto"/>
              <w:right w:val="nil"/>
            </w:tcBorders>
          </w:tcPr>
          <w:p w14:paraId="30AFF667" w14:textId="77777777" w:rsidR="002B1A69" w:rsidRPr="005A5615" w:rsidRDefault="002B1A69" w:rsidP="003F537D">
            <w:pPr>
              <w:pStyle w:val="TableText"/>
              <w:jc w:val="right"/>
            </w:pPr>
            <w:r w:rsidRPr="005A5615">
              <w:t>0.4</w:t>
            </w:r>
          </w:p>
        </w:tc>
        <w:tc>
          <w:tcPr>
            <w:tcW w:w="682" w:type="pct"/>
            <w:tcBorders>
              <w:top w:val="nil"/>
              <w:left w:val="nil"/>
              <w:bottom w:val="single" w:sz="4" w:space="0" w:color="auto"/>
              <w:right w:val="nil"/>
            </w:tcBorders>
          </w:tcPr>
          <w:p w14:paraId="698CA78E" w14:textId="77777777" w:rsidR="002B1A69" w:rsidRPr="005A5615" w:rsidRDefault="002B1A69" w:rsidP="003F537D">
            <w:pPr>
              <w:pStyle w:val="TableText"/>
              <w:jc w:val="right"/>
            </w:pPr>
            <w:r w:rsidRPr="005A5615">
              <w:t>120</w:t>
            </w:r>
          </w:p>
        </w:tc>
      </w:tr>
      <w:tr w:rsidR="002B1A69" w:rsidRPr="005A5615" w14:paraId="02081C00" w14:textId="77777777" w:rsidTr="00514EF5">
        <w:trPr>
          <w:cantSplit/>
        </w:trPr>
        <w:tc>
          <w:tcPr>
            <w:tcW w:w="555" w:type="pct"/>
            <w:vMerge/>
            <w:tcBorders>
              <w:left w:val="nil"/>
              <w:right w:val="nil"/>
            </w:tcBorders>
          </w:tcPr>
          <w:p w14:paraId="5A174141" w14:textId="77777777" w:rsidR="002B1A69" w:rsidRDefault="002B1A69" w:rsidP="00303DF5">
            <w:pPr>
              <w:pStyle w:val="BodyText"/>
              <w:widowControl w:val="0"/>
              <w:spacing w:after="0"/>
              <w:rPr>
                <w:rFonts w:cs="Arial"/>
                <w:sz w:val="17"/>
                <w:szCs w:val="17"/>
              </w:rPr>
            </w:pPr>
          </w:p>
        </w:tc>
        <w:tc>
          <w:tcPr>
            <w:tcW w:w="575" w:type="pct"/>
            <w:tcBorders>
              <w:top w:val="single" w:sz="4" w:space="0" w:color="auto"/>
              <w:left w:val="nil"/>
              <w:bottom w:val="nil"/>
              <w:right w:val="nil"/>
            </w:tcBorders>
          </w:tcPr>
          <w:p w14:paraId="492F50B3" w14:textId="77777777" w:rsidR="002B1A69" w:rsidRDefault="002B1A69" w:rsidP="003F537D">
            <w:pPr>
              <w:pStyle w:val="TableText"/>
            </w:pPr>
            <w:r>
              <w:t>Vineyards</w:t>
            </w:r>
          </w:p>
        </w:tc>
        <w:tc>
          <w:tcPr>
            <w:tcW w:w="1516" w:type="pct"/>
            <w:tcBorders>
              <w:top w:val="single" w:sz="4" w:space="0" w:color="auto"/>
              <w:left w:val="nil"/>
              <w:bottom w:val="nil"/>
              <w:right w:val="nil"/>
            </w:tcBorders>
          </w:tcPr>
          <w:p w14:paraId="3737C70F" w14:textId="77777777" w:rsidR="002B1A69" w:rsidRPr="00CD311A" w:rsidRDefault="002B1A69" w:rsidP="003F537D">
            <w:pPr>
              <w:pStyle w:val="TableText"/>
            </w:pPr>
            <w:r w:rsidRPr="00CD311A">
              <w:t>Vineyards</w:t>
            </w:r>
          </w:p>
        </w:tc>
        <w:tc>
          <w:tcPr>
            <w:tcW w:w="1308" w:type="pct"/>
            <w:tcBorders>
              <w:top w:val="single" w:sz="4" w:space="0" w:color="auto"/>
              <w:left w:val="nil"/>
              <w:bottom w:val="nil"/>
              <w:right w:val="nil"/>
            </w:tcBorders>
          </w:tcPr>
          <w:p w14:paraId="71DC50BB" w14:textId="77777777" w:rsidR="002B1A69" w:rsidRPr="005A5615" w:rsidRDefault="002B1A69" w:rsidP="003F537D">
            <w:pPr>
              <w:pStyle w:val="TableText"/>
              <w:jc w:val="right"/>
            </w:pPr>
            <w:r w:rsidRPr="005A5615">
              <w:t>1× 300 g ac/ha</w:t>
            </w:r>
          </w:p>
        </w:tc>
        <w:tc>
          <w:tcPr>
            <w:tcW w:w="364" w:type="pct"/>
            <w:tcBorders>
              <w:top w:val="single" w:sz="4" w:space="0" w:color="auto"/>
              <w:left w:val="nil"/>
              <w:bottom w:val="nil"/>
              <w:right w:val="nil"/>
            </w:tcBorders>
          </w:tcPr>
          <w:p w14:paraId="2C11FE4F" w14:textId="77777777" w:rsidR="002B1A69" w:rsidRPr="005A5615" w:rsidRDefault="002B1A69" w:rsidP="003F537D">
            <w:pPr>
              <w:pStyle w:val="TableText"/>
              <w:jc w:val="right"/>
            </w:pPr>
            <w:r w:rsidRPr="005A5615">
              <w:t>1.0</w:t>
            </w:r>
          </w:p>
        </w:tc>
        <w:tc>
          <w:tcPr>
            <w:tcW w:w="682" w:type="pct"/>
            <w:tcBorders>
              <w:top w:val="single" w:sz="4" w:space="0" w:color="auto"/>
              <w:left w:val="nil"/>
              <w:bottom w:val="nil"/>
              <w:right w:val="nil"/>
            </w:tcBorders>
          </w:tcPr>
          <w:p w14:paraId="4955F796" w14:textId="77777777" w:rsidR="002B1A69" w:rsidRPr="005A5615" w:rsidRDefault="002B1A69" w:rsidP="003F537D">
            <w:pPr>
              <w:pStyle w:val="TableText"/>
              <w:jc w:val="right"/>
            </w:pPr>
            <w:r w:rsidRPr="005A5615">
              <w:t>300</w:t>
            </w:r>
          </w:p>
        </w:tc>
      </w:tr>
      <w:tr w:rsidR="002B1A69" w:rsidRPr="005A5615" w14:paraId="6548A96D" w14:textId="77777777" w:rsidTr="00514EF5">
        <w:trPr>
          <w:cantSplit/>
        </w:trPr>
        <w:tc>
          <w:tcPr>
            <w:tcW w:w="555" w:type="pct"/>
            <w:vMerge/>
            <w:tcBorders>
              <w:left w:val="nil"/>
              <w:bottom w:val="single" w:sz="4" w:space="0" w:color="auto"/>
              <w:right w:val="nil"/>
            </w:tcBorders>
          </w:tcPr>
          <w:p w14:paraId="0C26CBB3" w14:textId="77777777" w:rsidR="002B1A69" w:rsidRDefault="002B1A69" w:rsidP="00303DF5">
            <w:pPr>
              <w:pStyle w:val="BodyText"/>
              <w:widowControl w:val="0"/>
              <w:spacing w:after="0"/>
              <w:rPr>
                <w:rFonts w:cs="Arial"/>
                <w:sz w:val="17"/>
                <w:szCs w:val="17"/>
              </w:rPr>
            </w:pPr>
          </w:p>
        </w:tc>
        <w:tc>
          <w:tcPr>
            <w:tcW w:w="575" w:type="pct"/>
            <w:tcBorders>
              <w:top w:val="nil"/>
              <w:left w:val="nil"/>
              <w:bottom w:val="single" w:sz="4" w:space="0" w:color="auto"/>
              <w:right w:val="nil"/>
            </w:tcBorders>
          </w:tcPr>
          <w:p w14:paraId="47613F23" w14:textId="77777777" w:rsidR="002B1A69" w:rsidRDefault="002B1A69" w:rsidP="003F537D">
            <w:pPr>
              <w:pStyle w:val="TableText"/>
            </w:pPr>
          </w:p>
        </w:tc>
        <w:tc>
          <w:tcPr>
            <w:tcW w:w="1516" w:type="pct"/>
            <w:tcBorders>
              <w:top w:val="nil"/>
              <w:left w:val="nil"/>
              <w:bottom w:val="single" w:sz="4" w:space="0" w:color="auto"/>
              <w:right w:val="nil"/>
            </w:tcBorders>
          </w:tcPr>
          <w:p w14:paraId="78BFF985" w14:textId="77777777" w:rsidR="002B1A69" w:rsidRPr="00CD311A" w:rsidRDefault="002B1A69" w:rsidP="003F537D">
            <w:pPr>
              <w:pStyle w:val="TableText"/>
            </w:pPr>
            <w:r>
              <w:t>Vineyards (directed spray under vines and inter-row spraying)</w:t>
            </w:r>
          </w:p>
        </w:tc>
        <w:tc>
          <w:tcPr>
            <w:tcW w:w="1308" w:type="pct"/>
            <w:tcBorders>
              <w:top w:val="nil"/>
              <w:left w:val="nil"/>
              <w:bottom w:val="single" w:sz="4" w:space="0" w:color="auto"/>
              <w:right w:val="nil"/>
            </w:tcBorders>
          </w:tcPr>
          <w:p w14:paraId="77D44FBC" w14:textId="77777777" w:rsidR="002B1A69" w:rsidRPr="005A5615" w:rsidRDefault="002B1A69" w:rsidP="003F537D">
            <w:pPr>
              <w:pStyle w:val="TableText"/>
              <w:jc w:val="right"/>
            </w:pPr>
            <w:r w:rsidRPr="005A5615">
              <w:t>1× 300 g ac/ha</w:t>
            </w:r>
          </w:p>
        </w:tc>
        <w:tc>
          <w:tcPr>
            <w:tcW w:w="364" w:type="pct"/>
            <w:tcBorders>
              <w:top w:val="nil"/>
              <w:left w:val="nil"/>
              <w:bottom w:val="single" w:sz="4" w:space="0" w:color="auto"/>
              <w:right w:val="nil"/>
            </w:tcBorders>
          </w:tcPr>
          <w:p w14:paraId="2703D935" w14:textId="77777777" w:rsidR="002B1A69" w:rsidRPr="005A5615" w:rsidRDefault="002B1A69" w:rsidP="003F537D">
            <w:pPr>
              <w:pStyle w:val="TableText"/>
              <w:jc w:val="right"/>
            </w:pPr>
            <w:r w:rsidRPr="005A5615">
              <w:t>0.4</w:t>
            </w:r>
          </w:p>
        </w:tc>
        <w:tc>
          <w:tcPr>
            <w:tcW w:w="682" w:type="pct"/>
            <w:tcBorders>
              <w:top w:val="nil"/>
              <w:left w:val="nil"/>
              <w:bottom w:val="single" w:sz="4" w:space="0" w:color="auto"/>
              <w:right w:val="nil"/>
            </w:tcBorders>
          </w:tcPr>
          <w:p w14:paraId="59B08E1C" w14:textId="77777777" w:rsidR="002B1A69" w:rsidRPr="005A5615" w:rsidRDefault="002B1A69" w:rsidP="003F537D">
            <w:pPr>
              <w:pStyle w:val="TableText"/>
              <w:jc w:val="right"/>
            </w:pPr>
            <w:r w:rsidRPr="005A5615">
              <w:t>120</w:t>
            </w:r>
          </w:p>
        </w:tc>
      </w:tr>
      <w:tr w:rsidR="002B1A69" w:rsidRPr="00DE51F5" w14:paraId="43D40ABB" w14:textId="77777777" w:rsidTr="00514EF5">
        <w:trPr>
          <w:cantSplit/>
        </w:trPr>
        <w:tc>
          <w:tcPr>
            <w:tcW w:w="555" w:type="pct"/>
            <w:vMerge w:val="restart"/>
            <w:tcBorders>
              <w:top w:val="single" w:sz="4" w:space="0" w:color="auto"/>
              <w:left w:val="nil"/>
              <w:bottom w:val="nil"/>
              <w:right w:val="nil"/>
            </w:tcBorders>
          </w:tcPr>
          <w:p w14:paraId="2F98B1F6" w14:textId="77777777" w:rsidR="002B1A69" w:rsidRPr="00EF5C2F" w:rsidRDefault="002B1A69" w:rsidP="003F537D">
            <w:pPr>
              <w:pStyle w:val="TableText"/>
            </w:pPr>
            <w:r>
              <w:t xml:space="preserve">Combination products containing </w:t>
            </w:r>
            <w:r>
              <w:lastRenderedPageBreak/>
              <w:t>paraquat</w:t>
            </w:r>
          </w:p>
        </w:tc>
        <w:tc>
          <w:tcPr>
            <w:tcW w:w="575" w:type="pct"/>
            <w:tcBorders>
              <w:top w:val="single" w:sz="4" w:space="0" w:color="auto"/>
              <w:left w:val="nil"/>
              <w:bottom w:val="nil"/>
              <w:right w:val="nil"/>
            </w:tcBorders>
          </w:tcPr>
          <w:p w14:paraId="0FEFEB69" w14:textId="77777777" w:rsidR="002B1A69" w:rsidRPr="00EF5C2F" w:rsidRDefault="002B1A69" w:rsidP="003F537D">
            <w:pPr>
              <w:pStyle w:val="TableText"/>
            </w:pPr>
            <w:r>
              <w:lastRenderedPageBreak/>
              <w:t>Bare soil</w:t>
            </w:r>
          </w:p>
        </w:tc>
        <w:tc>
          <w:tcPr>
            <w:tcW w:w="1516" w:type="pct"/>
            <w:tcBorders>
              <w:top w:val="single" w:sz="4" w:space="0" w:color="auto"/>
              <w:left w:val="nil"/>
              <w:bottom w:val="nil"/>
              <w:right w:val="nil"/>
            </w:tcBorders>
          </w:tcPr>
          <w:p w14:paraId="0226C1BD" w14:textId="77777777" w:rsidR="002B1A69" w:rsidRPr="00DE51F5" w:rsidRDefault="002B1A69" w:rsidP="003F537D">
            <w:pPr>
              <w:pStyle w:val="TableText"/>
            </w:pPr>
            <w:r w:rsidRPr="00C74059">
              <w:t>Fallow (minimal disturbance)</w:t>
            </w:r>
          </w:p>
        </w:tc>
        <w:tc>
          <w:tcPr>
            <w:tcW w:w="1308" w:type="pct"/>
            <w:tcBorders>
              <w:top w:val="single" w:sz="4" w:space="0" w:color="auto"/>
              <w:left w:val="nil"/>
              <w:bottom w:val="nil"/>
              <w:right w:val="nil"/>
            </w:tcBorders>
          </w:tcPr>
          <w:p w14:paraId="23E311AE" w14:textId="77777777" w:rsidR="002B1A69" w:rsidRDefault="002B1A69" w:rsidP="003F537D">
            <w:pPr>
              <w:pStyle w:val="TableText"/>
              <w:jc w:val="right"/>
            </w:pPr>
            <w:r>
              <w:t>From 2</w:t>
            </w:r>
            <w:r w:rsidRPr="00947C88">
              <w:t xml:space="preserve">× </w:t>
            </w:r>
            <w:r>
              <w:t xml:space="preserve">368 </w:t>
            </w:r>
            <w:r w:rsidRPr="00947C88">
              <w:t>g ac/ha</w:t>
            </w:r>
          </w:p>
          <w:p w14:paraId="592A0585" w14:textId="77777777" w:rsidR="002B1A69" w:rsidRPr="00DE51F5" w:rsidRDefault="002B1A69" w:rsidP="003F537D">
            <w:pPr>
              <w:pStyle w:val="TableText"/>
              <w:jc w:val="right"/>
            </w:pPr>
            <w:r>
              <w:t>7d interval</w:t>
            </w:r>
          </w:p>
        </w:tc>
        <w:tc>
          <w:tcPr>
            <w:tcW w:w="364" w:type="pct"/>
            <w:tcBorders>
              <w:top w:val="single" w:sz="4" w:space="0" w:color="auto"/>
              <w:left w:val="nil"/>
              <w:bottom w:val="nil"/>
              <w:right w:val="nil"/>
            </w:tcBorders>
          </w:tcPr>
          <w:p w14:paraId="3C22B0D5" w14:textId="77777777" w:rsidR="002B1A69" w:rsidRPr="00DE51F5" w:rsidRDefault="002B1A69" w:rsidP="003F537D">
            <w:pPr>
              <w:pStyle w:val="TableText"/>
              <w:jc w:val="right"/>
            </w:pPr>
            <w:r>
              <w:t>1.0</w:t>
            </w:r>
          </w:p>
        </w:tc>
        <w:tc>
          <w:tcPr>
            <w:tcW w:w="682" w:type="pct"/>
            <w:tcBorders>
              <w:top w:val="single" w:sz="4" w:space="0" w:color="auto"/>
              <w:left w:val="nil"/>
              <w:bottom w:val="nil"/>
              <w:right w:val="nil"/>
            </w:tcBorders>
          </w:tcPr>
          <w:p w14:paraId="19E6BC57" w14:textId="77777777" w:rsidR="002B1A69" w:rsidRPr="00DE51F5" w:rsidRDefault="002B1A69" w:rsidP="003F537D">
            <w:pPr>
              <w:pStyle w:val="TableText"/>
              <w:jc w:val="right"/>
            </w:pPr>
            <w:r>
              <w:t>595</w:t>
            </w:r>
          </w:p>
        </w:tc>
      </w:tr>
      <w:tr w:rsidR="002B1A69" w:rsidRPr="00DE51F5" w14:paraId="33FB4370" w14:textId="77777777" w:rsidTr="00514EF5">
        <w:trPr>
          <w:cantSplit/>
        </w:trPr>
        <w:tc>
          <w:tcPr>
            <w:tcW w:w="555" w:type="pct"/>
            <w:vMerge/>
            <w:tcBorders>
              <w:top w:val="nil"/>
              <w:left w:val="nil"/>
              <w:bottom w:val="nil"/>
              <w:right w:val="nil"/>
            </w:tcBorders>
          </w:tcPr>
          <w:p w14:paraId="38AC7975" w14:textId="77777777" w:rsidR="002B1A69" w:rsidRDefault="002B1A69" w:rsidP="003F537D">
            <w:pPr>
              <w:pStyle w:val="TableText"/>
              <w:rPr>
                <w:szCs w:val="17"/>
              </w:rPr>
            </w:pPr>
          </w:p>
        </w:tc>
        <w:tc>
          <w:tcPr>
            <w:tcW w:w="575" w:type="pct"/>
            <w:tcBorders>
              <w:top w:val="nil"/>
              <w:left w:val="nil"/>
              <w:bottom w:val="nil"/>
              <w:right w:val="nil"/>
            </w:tcBorders>
          </w:tcPr>
          <w:p w14:paraId="4BBC48F5" w14:textId="77777777" w:rsidR="002B1A69" w:rsidRDefault="002B1A69" w:rsidP="003F537D">
            <w:pPr>
              <w:pStyle w:val="TableText"/>
            </w:pPr>
          </w:p>
        </w:tc>
        <w:tc>
          <w:tcPr>
            <w:tcW w:w="1516" w:type="pct"/>
            <w:tcBorders>
              <w:top w:val="nil"/>
              <w:left w:val="nil"/>
              <w:bottom w:val="nil"/>
              <w:right w:val="nil"/>
            </w:tcBorders>
          </w:tcPr>
          <w:p w14:paraId="1147B579" w14:textId="77777777" w:rsidR="002B1A69" w:rsidRPr="00DE51F5" w:rsidRDefault="002B1A69" w:rsidP="003F537D">
            <w:pPr>
              <w:pStyle w:val="TableText"/>
            </w:pPr>
            <w:r w:rsidRPr="00C74059">
              <w:t>Fallow (minimal disturbance)</w:t>
            </w:r>
          </w:p>
        </w:tc>
        <w:tc>
          <w:tcPr>
            <w:tcW w:w="1308" w:type="pct"/>
            <w:tcBorders>
              <w:top w:val="nil"/>
              <w:left w:val="nil"/>
              <w:bottom w:val="nil"/>
              <w:right w:val="nil"/>
            </w:tcBorders>
          </w:tcPr>
          <w:p w14:paraId="0709ADF7" w14:textId="77777777" w:rsidR="002B1A69" w:rsidRPr="00DE51F5" w:rsidRDefault="002B1A69" w:rsidP="003F537D">
            <w:pPr>
              <w:pStyle w:val="TableText"/>
              <w:jc w:val="right"/>
            </w:pPr>
            <w:r>
              <w:t>From 1</w:t>
            </w:r>
            <w:r w:rsidRPr="00947C88">
              <w:t xml:space="preserve">× </w:t>
            </w:r>
            <w:r>
              <w:t xml:space="preserve">368 </w:t>
            </w:r>
            <w:r w:rsidRPr="00947C88">
              <w:t>g ac/ha</w:t>
            </w:r>
          </w:p>
        </w:tc>
        <w:tc>
          <w:tcPr>
            <w:tcW w:w="364" w:type="pct"/>
            <w:tcBorders>
              <w:top w:val="nil"/>
              <w:left w:val="nil"/>
              <w:bottom w:val="nil"/>
              <w:right w:val="nil"/>
            </w:tcBorders>
          </w:tcPr>
          <w:p w14:paraId="19638964" w14:textId="77777777" w:rsidR="002B1A69" w:rsidRPr="00DE51F5" w:rsidRDefault="002B1A69" w:rsidP="003F537D">
            <w:pPr>
              <w:pStyle w:val="TableText"/>
              <w:jc w:val="right"/>
            </w:pPr>
            <w:r>
              <w:t>1.0</w:t>
            </w:r>
          </w:p>
        </w:tc>
        <w:tc>
          <w:tcPr>
            <w:tcW w:w="682" w:type="pct"/>
            <w:tcBorders>
              <w:top w:val="nil"/>
              <w:left w:val="nil"/>
              <w:bottom w:val="nil"/>
              <w:right w:val="nil"/>
            </w:tcBorders>
          </w:tcPr>
          <w:p w14:paraId="1A9A7EB2" w14:textId="77777777" w:rsidR="002B1A69" w:rsidRPr="00DE51F5" w:rsidRDefault="002B1A69" w:rsidP="003F537D">
            <w:pPr>
              <w:pStyle w:val="TableText"/>
              <w:jc w:val="right"/>
            </w:pPr>
            <w:r>
              <w:t>368</w:t>
            </w:r>
          </w:p>
        </w:tc>
      </w:tr>
      <w:tr w:rsidR="002B1A69" w:rsidRPr="00DE51F5" w14:paraId="1943672A" w14:textId="77777777" w:rsidTr="00514EF5">
        <w:trPr>
          <w:cantSplit/>
        </w:trPr>
        <w:tc>
          <w:tcPr>
            <w:tcW w:w="555" w:type="pct"/>
            <w:vMerge/>
            <w:tcBorders>
              <w:top w:val="nil"/>
              <w:left w:val="nil"/>
              <w:bottom w:val="nil"/>
              <w:right w:val="nil"/>
            </w:tcBorders>
          </w:tcPr>
          <w:p w14:paraId="4956F22F" w14:textId="77777777" w:rsidR="002B1A69" w:rsidRDefault="002B1A69" w:rsidP="003F537D">
            <w:pPr>
              <w:pStyle w:val="TableText"/>
              <w:rPr>
                <w:szCs w:val="17"/>
              </w:rPr>
            </w:pPr>
          </w:p>
        </w:tc>
        <w:tc>
          <w:tcPr>
            <w:tcW w:w="575" w:type="pct"/>
            <w:tcBorders>
              <w:top w:val="nil"/>
              <w:left w:val="nil"/>
              <w:bottom w:val="nil"/>
              <w:right w:val="nil"/>
            </w:tcBorders>
          </w:tcPr>
          <w:p w14:paraId="2795CE64" w14:textId="77777777" w:rsidR="002B1A69" w:rsidRDefault="002B1A69" w:rsidP="003F537D">
            <w:pPr>
              <w:pStyle w:val="TableText"/>
            </w:pPr>
          </w:p>
        </w:tc>
        <w:tc>
          <w:tcPr>
            <w:tcW w:w="1516" w:type="pct"/>
            <w:tcBorders>
              <w:top w:val="nil"/>
              <w:left w:val="nil"/>
              <w:bottom w:val="nil"/>
              <w:right w:val="nil"/>
            </w:tcBorders>
          </w:tcPr>
          <w:p w14:paraId="391B9996" w14:textId="77777777" w:rsidR="002B1A69" w:rsidRPr="00DE51F5" w:rsidRDefault="002B1A69" w:rsidP="003F537D">
            <w:pPr>
              <w:pStyle w:val="TableText"/>
            </w:pPr>
            <w:r>
              <w:t>F</w:t>
            </w:r>
            <w:r w:rsidRPr="00C74059">
              <w:t>allow (full disturbance)</w:t>
            </w:r>
          </w:p>
        </w:tc>
        <w:tc>
          <w:tcPr>
            <w:tcW w:w="1308" w:type="pct"/>
            <w:tcBorders>
              <w:top w:val="nil"/>
              <w:left w:val="nil"/>
              <w:bottom w:val="nil"/>
              <w:right w:val="nil"/>
            </w:tcBorders>
          </w:tcPr>
          <w:p w14:paraId="72DFDF5D" w14:textId="77777777" w:rsidR="002B1A69" w:rsidRPr="00DE51F5" w:rsidRDefault="002B1A69" w:rsidP="003F537D">
            <w:pPr>
              <w:pStyle w:val="TableText"/>
              <w:jc w:val="right"/>
            </w:pPr>
            <w:r>
              <w:t>From 1</w:t>
            </w:r>
            <w:r w:rsidRPr="00947C88">
              <w:t xml:space="preserve">× </w:t>
            </w:r>
            <w:r>
              <w:t xml:space="preserve">276 </w:t>
            </w:r>
            <w:r w:rsidRPr="00947C88">
              <w:t>g ac/ha</w:t>
            </w:r>
          </w:p>
        </w:tc>
        <w:tc>
          <w:tcPr>
            <w:tcW w:w="364" w:type="pct"/>
            <w:tcBorders>
              <w:top w:val="nil"/>
              <w:left w:val="nil"/>
              <w:bottom w:val="nil"/>
              <w:right w:val="nil"/>
            </w:tcBorders>
          </w:tcPr>
          <w:p w14:paraId="1188E4C1" w14:textId="77777777" w:rsidR="002B1A69" w:rsidRPr="00DE51F5" w:rsidRDefault="002B1A69" w:rsidP="003F537D">
            <w:pPr>
              <w:pStyle w:val="TableText"/>
              <w:jc w:val="right"/>
            </w:pPr>
            <w:r>
              <w:t>1.0</w:t>
            </w:r>
          </w:p>
        </w:tc>
        <w:tc>
          <w:tcPr>
            <w:tcW w:w="682" w:type="pct"/>
            <w:tcBorders>
              <w:top w:val="nil"/>
              <w:left w:val="nil"/>
              <w:bottom w:val="nil"/>
              <w:right w:val="nil"/>
            </w:tcBorders>
          </w:tcPr>
          <w:p w14:paraId="4BBC7E3A" w14:textId="77777777" w:rsidR="002B1A69" w:rsidRPr="00DE51F5" w:rsidRDefault="002B1A69" w:rsidP="003F537D">
            <w:pPr>
              <w:pStyle w:val="TableText"/>
              <w:jc w:val="right"/>
            </w:pPr>
            <w:r>
              <w:t>276</w:t>
            </w:r>
          </w:p>
        </w:tc>
      </w:tr>
      <w:tr w:rsidR="002B1A69" w:rsidRPr="00DE51F5" w14:paraId="0D20358E" w14:textId="77777777" w:rsidTr="00514EF5">
        <w:trPr>
          <w:cantSplit/>
        </w:trPr>
        <w:tc>
          <w:tcPr>
            <w:tcW w:w="555" w:type="pct"/>
            <w:vMerge/>
            <w:tcBorders>
              <w:top w:val="nil"/>
              <w:left w:val="nil"/>
              <w:bottom w:val="nil"/>
              <w:right w:val="nil"/>
            </w:tcBorders>
          </w:tcPr>
          <w:p w14:paraId="49D985E8" w14:textId="77777777" w:rsidR="002B1A69" w:rsidRDefault="002B1A69" w:rsidP="003F537D">
            <w:pPr>
              <w:pStyle w:val="TableText"/>
              <w:rPr>
                <w:szCs w:val="17"/>
              </w:rPr>
            </w:pPr>
          </w:p>
        </w:tc>
        <w:tc>
          <w:tcPr>
            <w:tcW w:w="575" w:type="pct"/>
            <w:tcBorders>
              <w:top w:val="nil"/>
              <w:left w:val="nil"/>
              <w:bottom w:val="nil"/>
              <w:right w:val="nil"/>
            </w:tcBorders>
          </w:tcPr>
          <w:p w14:paraId="38F2F258" w14:textId="77777777" w:rsidR="002B1A69" w:rsidRDefault="002B1A69" w:rsidP="003F537D">
            <w:pPr>
              <w:pStyle w:val="TableText"/>
            </w:pPr>
          </w:p>
        </w:tc>
        <w:tc>
          <w:tcPr>
            <w:tcW w:w="1516" w:type="pct"/>
            <w:tcBorders>
              <w:top w:val="nil"/>
              <w:left w:val="nil"/>
              <w:bottom w:val="nil"/>
              <w:right w:val="nil"/>
            </w:tcBorders>
          </w:tcPr>
          <w:p w14:paraId="5B47E45F" w14:textId="77777777" w:rsidR="002B1A69" w:rsidRPr="00DE51F5" w:rsidRDefault="002B1A69" w:rsidP="003F537D">
            <w:pPr>
              <w:pStyle w:val="TableText"/>
            </w:pPr>
            <w:r>
              <w:t>M</w:t>
            </w:r>
            <w:r w:rsidRPr="00C74059">
              <w:t>arket gardens</w:t>
            </w:r>
            <w:r>
              <w:t>, n</w:t>
            </w:r>
            <w:r w:rsidRPr="00C74059">
              <w:t>urserie</w:t>
            </w:r>
            <w:r>
              <w:t xml:space="preserve">s, potatoes (pre/early-emergence), rice (pre-emergence), vegetables </w:t>
            </w:r>
          </w:p>
        </w:tc>
        <w:tc>
          <w:tcPr>
            <w:tcW w:w="1308" w:type="pct"/>
            <w:tcBorders>
              <w:top w:val="nil"/>
              <w:left w:val="nil"/>
              <w:bottom w:val="nil"/>
              <w:right w:val="nil"/>
            </w:tcBorders>
          </w:tcPr>
          <w:p w14:paraId="7010F882" w14:textId="77777777" w:rsidR="002B1A69" w:rsidRPr="00DE51F5" w:rsidRDefault="002B1A69" w:rsidP="003F537D">
            <w:pPr>
              <w:pStyle w:val="TableText"/>
              <w:jc w:val="right"/>
            </w:pPr>
            <w:r>
              <w:t xml:space="preserve">From </w:t>
            </w:r>
            <w:r w:rsidRPr="00947C88">
              <w:t xml:space="preserve">1× </w:t>
            </w:r>
            <w:r>
              <w:t xml:space="preserve">368 </w:t>
            </w:r>
            <w:r w:rsidRPr="00947C88">
              <w:t>g ac/ha</w:t>
            </w:r>
          </w:p>
        </w:tc>
        <w:tc>
          <w:tcPr>
            <w:tcW w:w="364" w:type="pct"/>
            <w:tcBorders>
              <w:top w:val="nil"/>
              <w:left w:val="nil"/>
              <w:bottom w:val="nil"/>
              <w:right w:val="nil"/>
            </w:tcBorders>
          </w:tcPr>
          <w:p w14:paraId="561A97EC" w14:textId="77777777" w:rsidR="002B1A69" w:rsidRPr="00DE51F5" w:rsidRDefault="002B1A69" w:rsidP="003F537D">
            <w:pPr>
              <w:pStyle w:val="TableText"/>
              <w:jc w:val="right"/>
            </w:pPr>
            <w:r>
              <w:t>1.0</w:t>
            </w:r>
          </w:p>
        </w:tc>
        <w:tc>
          <w:tcPr>
            <w:tcW w:w="682" w:type="pct"/>
            <w:tcBorders>
              <w:top w:val="nil"/>
              <w:left w:val="nil"/>
              <w:bottom w:val="nil"/>
              <w:right w:val="nil"/>
            </w:tcBorders>
          </w:tcPr>
          <w:p w14:paraId="55432CF2" w14:textId="77777777" w:rsidR="002B1A69" w:rsidRPr="00DE51F5" w:rsidRDefault="002B1A69" w:rsidP="003F537D">
            <w:pPr>
              <w:pStyle w:val="TableText"/>
              <w:jc w:val="right"/>
            </w:pPr>
            <w:r>
              <w:t>368</w:t>
            </w:r>
          </w:p>
        </w:tc>
      </w:tr>
      <w:tr w:rsidR="002B1A69" w:rsidRPr="00CD311A" w14:paraId="66BC73B5" w14:textId="77777777" w:rsidTr="00514EF5">
        <w:trPr>
          <w:cantSplit/>
        </w:trPr>
        <w:tc>
          <w:tcPr>
            <w:tcW w:w="555" w:type="pct"/>
            <w:vMerge/>
            <w:tcBorders>
              <w:top w:val="nil"/>
              <w:left w:val="nil"/>
              <w:bottom w:val="nil"/>
              <w:right w:val="nil"/>
            </w:tcBorders>
          </w:tcPr>
          <w:p w14:paraId="27B342CF" w14:textId="77777777" w:rsidR="002B1A69" w:rsidRDefault="002B1A69" w:rsidP="003F537D">
            <w:pPr>
              <w:pStyle w:val="TableText"/>
              <w:rPr>
                <w:szCs w:val="17"/>
              </w:rPr>
            </w:pPr>
          </w:p>
        </w:tc>
        <w:tc>
          <w:tcPr>
            <w:tcW w:w="575" w:type="pct"/>
            <w:tcBorders>
              <w:top w:val="nil"/>
              <w:left w:val="nil"/>
              <w:bottom w:val="single" w:sz="4" w:space="0" w:color="auto"/>
              <w:right w:val="nil"/>
            </w:tcBorders>
          </w:tcPr>
          <w:p w14:paraId="2316B7D9" w14:textId="77777777" w:rsidR="002B1A69" w:rsidRPr="00CD311A" w:rsidRDefault="002B1A69" w:rsidP="003F537D">
            <w:pPr>
              <w:pStyle w:val="TableText"/>
              <w:rPr>
                <w:szCs w:val="17"/>
              </w:rPr>
            </w:pPr>
          </w:p>
        </w:tc>
        <w:tc>
          <w:tcPr>
            <w:tcW w:w="1516" w:type="pct"/>
            <w:tcBorders>
              <w:top w:val="nil"/>
              <w:left w:val="nil"/>
              <w:bottom w:val="single" w:sz="4" w:space="0" w:color="auto"/>
              <w:right w:val="nil"/>
            </w:tcBorders>
          </w:tcPr>
          <w:p w14:paraId="3997BF99" w14:textId="77777777" w:rsidR="002B1A69" w:rsidRPr="00CD311A" w:rsidRDefault="002B1A69" w:rsidP="003F537D">
            <w:pPr>
              <w:pStyle w:val="TableText"/>
              <w:rPr>
                <w:szCs w:val="17"/>
              </w:rPr>
            </w:pPr>
            <w:r>
              <w:rPr>
                <w:szCs w:val="17"/>
              </w:rPr>
              <w:t>Spot spray in m</w:t>
            </w:r>
            <w:r w:rsidRPr="00C74059">
              <w:rPr>
                <w:szCs w:val="17"/>
              </w:rPr>
              <w:t>arket gardens</w:t>
            </w:r>
            <w:r>
              <w:rPr>
                <w:szCs w:val="17"/>
              </w:rPr>
              <w:t>, n</w:t>
            </w:r>
            <w:r w:rsidRPr="00C74059">
              <w:rPr>
                <w:szCs w:val="17"/>
              </w:rPr>
              <w:t>urserie</w:t>
            </w:r>
            <w:r>
              <w:rPr>
                <w:szCs w:val="17"/>
              </w:rPr>
              <w:t>s, potatoes (pre/early emergence)</w:t>
            </w:r>
          </w:p>
        </w:tc>
        <w:tc>
          <w:tcPr>
            <w:tcW w:w="1308" w:type="pct"/>
            <w:tcBorders>
              <w:top w:val="nil"/>
              <w:left w:val="nil"/>
              <w:bottom w:val="single" w:sz="4" w:space="0" w:color="auto"/>
              <w:right w:val="nil"/>
            </w:tcBorders>
          </w:tcPr>
          <w:p w14:paraId="0D9E1A2A"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nil"/>
              <w:left w:val="nil"/>
              <w:bottom w:val="single" w:sz="4" w:space="0" w:color="auto"/>
              <w:right w:val="nil"/>
            </w:tcBorders>
          </w:tcPr>
          <w:p w14:paraId="055E7EF9" w14:textId="77777777" w:rsidR="002B1A69" w:rsidRPr="00CD311A" w:rsidRDefault="002B1A69" w:rsidP="003F537D">
            <w:pPr>
              <w:pStyle w:val="TableText"/>
              <w:jc w:val="right"/>
              <w:rPr>
                <w:szCs w:val="17"/>
              </w:rPr>
            </w:pPr>
            <w:r>
              <w:rPr>
                <w:szCs w:val="17"/>
              </w:rPr>
              <w:t>0.4</w:t>
            </w:r>
          </w:p>
        </w:tc>
        <w:tc>
          <w:tcPr>
            <w:tcW w:w="682" w:type="pct"/>
            <w:tcBorders>
              <w:top w:val="nil"/>
              <w:left w:val="nil"/>
              <w:bottom w:val="single" w:sz="4" w:space="0" w:color="auto"/>
              <w:right w:val="nil"/>
            </w:tcBorders>
          </w:tcPr>
          <w:p w14:paraId="1539D566" w14:textId="77777777" w:rsidR="002B1A69" w:rsidRPr="00CD311A" w:rsidRDefault="002B1A69" w:rsidP="003F537D">
            <w:pPr>
              <w:pStyle w:val="TableText"/>
              <w:jc w:val="right"/>
              <w:rPr>
                <w:szCs w:val="17"/>
              </w:rPr>
            </w:pPr>
            <w:r>
              <w:rPr>
                <w:szCs w:val="17"/>
              </w:rPr>
              <w:t>147</w:t>
            </w:r>
          </w:p>
        </w:tc>
      </w:tr>
      <w:tr w:rsidR="002B1A69" w14:paraId="7CD1BF3B" w14:textId="77777777" w:rsidTr="00514EF5">
        <w:trPr>
          <w:cantSplit/>
        </w:trPr>
        <w:tc>
          <w:tcPr>
            <w:tcW w:w="555" w:type="pct"/>
            <w:vMerge/>
            <w:tcBorders>
              <w:top w:val="nil"/>
              <w:left w:val="nil"/>
              <w:bottom w:val="nil"/>
              <w:right w:val="nil"/>
            </w:tcBorders>
          </w:tcPr>
          <w:p w14:paraId="66AFD5CC" w14:textId="77777777" w:rsidR="002B1A69" w:rsidRDefault="002B1A69" w:rsidP="003F537D">
            <w:pPr>
              <w:pStyle w:val="TableText"/>
              <w:rPr>
                <w:szCs w:val="17"/>
              </w:rPr>
            </w:pPr>
          </w:p>
        </w:tc>
        <w:tc>
          <w:tcPr>
            <w:tcW w:w="575" w:type="pct"/>
            <w:tcBorders>
              <w:top w:val="single" w:sz="4" w:space="0" w:color="auto"/>
              <w:left w:val="nil"/>
              <w:bottom w:val="single" w:sz="4" w:space="0" w:color="auto"/>
              <w:right w:val="nil"/>
            </w:tcBorders>
          </w:tcPr>
          <w:p w14:paraId="02A9D44C" w14:textId="77777777" w:rsidR="002B1A69" w:rsidRPr="00CD311A" w:rsidRDefault="002B1A69" w:rsidP="003F537D">
            <w:pPr>
              <w:pStyle w:val="TableText"/>
              <w:rPr>
                <w:szCs w:val="17"/>
              </w:rPr>
            </w:pPr>
            <w:r>
              <w:rPr>
                <w:szCs w:val="17"/>
              </w:rPr>
              <w:t>Cotton</w:t>
            </w:r>
          </w:p>
        </w:tc>
        <w:tc>
          <w:tcPr>
            <w:tcW w:w="1516" w:type="pct"/>
            <w:tcBorders>
              <w:top w:val="single" w:sz="4" w:space="0" w:color="auto"/>
              <w:left w:val="nil"/>
              <w:bottom w:val="single" w:sz="4" w:space="0" w:color="auto"/>
              <w:right w:val="nil"/>
            </w:tcBorders>
          </w:tcPr>
          <w:p w14:paraId="48420B46" w14:textId="77777777" w:rsidR="002B1A69" w:rsidRDefault="002B1A69" w:rsidP="003F537D">
            <w:pPr>
              <w:pStyle w:val="TableText"/>
              <w:rPr>
                <w:szCs w:val="17"/>
              </w:rPr>
            </w:pPr>
            <w:r w:rsidRPr="00CD311A">
              <w:rPr>
                <w:szCs w:val="17"/>
              </w:rPr>
              <w:t>Cotton desiccant</w:t>
            </w:r>
          </w:p>
        </w:tc>
        <w:tc>
          <w:tcPr>
            <w:tcW w:w="1308" w:type="pct"/>
            <w:tcBorders>
              <w:top w:val="single" w:sz="4" w:space="0" w:color="auto"/>
              <w:left w:val="nil"/>
              <w:bottom w:val="single" w:sz="4" w:space="0" w:color="auto"/>
              <w:right w:val="nil"/>
            </w:tcBorders>
          </w:tcPr>
          <w:p w14:paraId="28B767F5" w14:textId="77777777" w:rsidR="002B1A69" w:rsidRDefault="002B1A69" w:rsidP="003F537D">
            <w:pPr>
              <w:pStyle w:val="TableText"/>
              <w:jc w:val="right"/>
              <w:rPr>
                <w:szCs w:val="17"/>
              </w:rPr>
            </w:pPr>
            <w:r>
              <w:rPr>
                <w:szCs w:val="17"/>
              </w:rPr>
              <w:t xml:space="preserve">From </w:t>
            </w:r>
            <w:r w:rsidRPr="00CD311A">
              <w:rPr>
                <w:szCs w:val="17"/>
              </w:rPr>
              <w:t>1× 184 g ac/ha</w:t>
            </w:r>
          </w:p>
        </w:tc>
        <w:tc>
          <w:tcPr>
            <w:tcW w:w="364" w:type="pct"/>
            <w:tcBorders>
              <w:top w:val="single" w:sz="4" w:space="0" w:color="auto"/>
              <w:left w:val="nil"/>
              <w:bottom w:val="single" w:sz="4" w:space="0" w:color="auto"/>
              <w:right w:val="nil"/>
            </w:tcBorders>
          </w:tcPr>
          <w:p w14:paraId="1F1BDF39" w14:textId="77777777" w:rsidR="002B1A69" w:rsidRDefault="002B1A69" w:rsidP="003F537D">
            <w:pPr>
              <w:pStyle w:val="TableText"/>
              <w:jc w:val="right"/>
              <w:rPr>
                <w:szCs w:val="17"/>
              </w:rPr>
            </w:pPr>
            <w:r>
              <w:rPr>
                <w:szCs w:val="17"/>
              </w:rPr>
              <w:t>1.0</w:t>
            </w:r>
          </w:p>
        </w:tc>
        <w:tc>
          <w:tcPr>
            <w:tcW w:w="682" w:type="pct"/>
            <w:tcBorders>
              <w:top w:val="single" w:sz="4" w:space="0" w:color="auto"/>
              <w:left w:val="nil"/>
              <w:bottom w:val="single" w:sz="4" w:space="0" w:color="auto"/>
              <w:right w:val="nil"/>
            </w:tcBorders>
          </w:tcPr>
          <w:p w14:paraId="0B4F508C" w14:textId="77777777" w:rsidR="002B1A69" w:rsidRDefault="002B1A69" w:rsidP="003F537D">
            <w:pPr>
              <w:pStyle w:val="TableText"/>
              <w:jc w:val="right"/>
              <w:rPr>
                <w:szCs w:val="17"/>
              </w:rPr>
            </w:pPr>
            <w:r>
              <w:rPr>
                <w:szCs w:val="17"/>
              </w:rPr>
              <w:t>184</w:t>
            </w:r>
          </w:p>
        </w:tc>
      </w:tr>
      <w:tr w:rsidR="002B1A69" w:rsidRPr="00CD311A" w14:paraId="5769F559" w14:textId="77777777" w:rsidTr="00514EF5">
        <w:trPr>
          <w:cantSplit/>
        </w:trPr>
        <w:tc>
          <w:tcPr>
            <w:tcW w:w="555" w:type="pct"/>
            <w:vMerge/>
            <w:tcBorders>
              <w:top w:val="nil"/>
              <w:left w:val="nil"/>
              <w:bottom w:val="nil"/>
              <w:right w:val="nil"/>
            </w:tcBorders>
          </w:tcPr>
          <w:p w14:paraId="15A2395D" w14:textId="77777777" w:rsidR="002B1A69" w:rsidRDefault="002B1A69" w:rsidP="003F537D">
            <w:pPr>
              <w:pStyle w:val="TableText"/>
              <w:rPr>
                <w:szCs w:val="17"/>
              </w:rPr>
            </w:pPr>
          </w:p>
        </w:tc>
        <w:tc>
          <w:tcPr>
            <w:tcW w:w="575" w:type="pct"/>
            <w:tcBorders>
              <w:top w:val="single" w:sz="4" w:space="0" w:color="auto"/>
              <w:left w:val="nil"/>
              <w:bottom w:val="nil"/>
              <w:right w:val="nil"/>
            </w:tcBorders>
          </w:tcPr>
          <w:p w14:paraId="0B7F733D" w14:textId="77777777" w:rsidR="002B1A69" w:rsidRPr="00CD311A" w:rsidRDefault="002B1A69" w:rsidP="003F537D">
            <w:pPr>
              <w:pStyle w:val="TableText"/>
              <w:rPr>
                <w:szCs w:val="17"/>
              </w:rPr>
            </w:pPr>
            <w:r w:rsidRPr="00CD311A">
              <w:rPr>
                <w:szCs w:val="17"/>
              </w:rPr>
              <w:t>Grassland</w:t>
            </w:r>
          </w:p>
        </w:tc>
        <w:tc>
          <w:tcPr>
            <w:tcW w:w="1516" w:type="pct"/>
            <w:tcBorders>
              <w:top w:val="single" w:sz="4" w:space="0" w:color="auto"/>
              <w:left w:val="nil"/>
              <w:bottom w:val="nil"/>
              <w:right w:val="nil"/>
            </w:tcBorders>
          </w:tcPr>
          <w:p w14:paraId="3374A575" w14:textId="77777777" w:rsidR="002B1A69" w:rsidRPr="00CD311A" w:rsidRDefault="002B1A69" w:rsidP="003F537D">
            <w:pPr>
              <w:pStyle w:val="TableText"/>
              <w:rPr>
                <w:szCs w:val="17"/>
              </w:rPr>
            </w:pPr>
            <w:r>
              <w:rPr>
                <w:szCs w:val="17"/>
              </w:rPr>
              <w:t>Public service areas, rights of way</w:t>
            </w:r>
            <w:r w:rsidRPr="00A51DA6">
              <w:rPr>
                <w:szCs w:val="17"/>
              </w:rPr>
              <w:t>, pasture</w:t>
            </w:r>
          </w:p>
        </w:tc>
        <w:tc>
          <w:tcPr>
            <w:tcW w:w="1308" w:type="pct"/>
            <w:tcBorders>
              <w:top w:val="single" w:sz="4" w:space="0" w:color="auto"/>
              <w:left w:val="nil"/>
              <w:bottom w:val="nil"/>
              <w:right w:val="nil"/>
            </w:tcBorders>
          </w:tcPr>
          <w:p w14:paraId="1CFC391F"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single" w:sz="4" w:space="0" w:color="auto"/>
              <w:left w:val="nil"/>
              <w:bottom w:val="nil"/>
              <w:right w:val="nil"/>
            </w:tcBorders>
          </w:tcPr>
          <w:p w14:paraId="132815E8" w14:textId="77777777" w:rsidR="002B1A69" w:rsidRPr="00CD311A" w:rsidRDefault="002B1A69" w:rsidP="003F537D">
            <w:pPr>
              <w:pStyle w:val="TableText"/>
              <w:jc w:val="right"/>
              <w:rPr>
                <w:szCs w:val="17"/>
              </w:rPr>
            </w:pPr>
            <w:r>
              <w:rPr>
                <w:szCs w:val="17"/>
              </w:rPr>
              <w:t>1.0</w:t>
            </w:r>
          </w:p>
        </w:tc>
        <w:tc>
          <w:tcPr>
            <w:tcW w:w="682" w:type="pct"/>
            <w:tcBorders>
              <w:top w:val="single" w:sz="4" w:space="0" w:color="auto"/>
              <w:left w:val="nil"/>
              <w:bottom w:val="nil"/>
              <w:right w:val="nil"/>
            </w:tcBorders>
          </w:tcPr>
          <w:p w14:paraId="03DD2F3D" w14:textId="77777777" w:rsidR="002B1A69" w:rsidRPr="00CD311A" w:rsidRDefault="002B1A69" w:rsidP="003F537D">
            <w:pPr>
              <w:pStyle w:val="TableText"/>
              <w:jc w:val="right"/>
              <w:rPr>
                <w:szCs w:val="17"/>
              </w:rPr>
            </w:pPr>
            <w:r>
              <w:rPr>
                <w:szCs w:val="17"/>
              </w:rPr>
              <w:t>368</w:t>
            </w:r>
          </w:p>
        </w:tc>
      </w:tr>
      <w:tr w:rsidR="002B1A69" w:rsidRPr="00CD311A" w14:paraId="4DBB4E37" w14:textId="77777777" w:rsidTr="00514EF5">
        <w:trPr>
          <w:cantSplit/>
        </w:trPr>
        <w:tc>
          <w:tcPr>
            <w:tcW w:w="555" w:type="pct"/>
            <w:vMerge/>
            <w:tcBorders>
              <w:top w:val="nil"/>
              <w:left w:val="nil"/>
              <w:bottom w:val="nil"/>
              <w:right w:val="nil"/>
            </w:tcBorders>
          </w:tcPr>
          <w:p w14:paraId="16F64E65" w14:textId="77777777" w:rsidR="002B1A69" w:rsidRDefault="002B1A69" w:rsidP="003F537D">
            <w:pPr>
              <w:pStyle w:val="TableText"/>
              <w:rPr>
                <w:szCs w:val="17"/>
              </w:rPr>
            </w:pPr>
          </w:p>
        </w:tc>
        <w:tc>
          <w:tcPr>
            <w:tcW w:w="575" w:type="pct"/>
            <w:tcBorders>
              <w:top w:val="nil"/>
              <w:left w:val="nil"/>
              <w:bottom w:val="nil"/>
              <w:right w:val="nil"/>
            </w:tcBorders>
          </w:tcPr>
          <w:p w14:paraId="022A4439" w14:textId="77777777" w:rsidR="002B1A69" w:rsidRPr="00CD311A" w:rsidRDefault="002B1A69" w:rsidP="003F537D">
            <w:pPr>
              <w:pStyle w:val="TableText"/>
              <w:rPr>
                <w:szCs w:val="17"/>
              </w:rPr>
            </w:pPr>
          </w:p>
        </w:tc>
        <w:tc>
          <w:tcPr>
            <w:tcW w:w="1516" w:type="pct"/>
            <w:tcBorders>
              <w:top w:val="nil"/>
              <w:left w:val="nil"/>
              <w:bottom w:val="nil"/>
              <w:right w:val="nil"/>
            </w:tcBorders>
          </w:tcPr>
          <w:p w14:paraId="2A87F5C8" w14:textId="77777777" w:rsidR="002B1A69" w:rsidRPr="00CD311A" w:rsidRDefault="002B1A69" w:rsidP="003F537D">
            <w:pPr>
              <w:pStyle w:val="TableText"/>
              <w:rPr>
                <w:szCs w:val="17"/>
              </w:rPr>
            </w:pPr>
            <w:r>
              <w:rPr>
                <w:szCs w:val="17"/>
              </w:rPr>
              <w:t>Spot spray in public service areas, rights of way</w:t>
            </w:r>
          </w:p>
        </w:tc>
        <w:tc>
          <w:tcPr>
            <w:tcW w:w="1308" w:type="pct"/>
            <w:tcBorders>
              <w:top w:val="nil"/>
              <w:left w:val="nil"/>
              <w:bottom w:val="nil"/>
              <w:right w:val="nil"/>
            </w:tcBorders>
          </w:tcPr>
          <w:p w14:paraId="3CECC08B"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nil"/>
              <w:left w:val="nil"/>
              <w:bottom w:val="nil"/>
              <w:right w:val="nil"/>
            </w:tcBorders>
          </w:tcPr>
          <w:p w14:paraId="61A35887" w14:textId="77777777" w:rsidR="002B1A69" w:rsidRPr="00CD311A" w:rsidRDefault="002B1A69" w:rsidP="003F537D">
            <w:pPr>
              <w:pStyle w:val="TableText"/>
              <w:jc w:val="right"/>
              <w:rPr>
                <w:szCs w:val="17"/>
              </w:rPr>
            </w:pPr>
            <w:r>
              <w:rPr>
                <w:szCs w:val="17"/>
              </w:rPr>
              <w:t>0.4</w:t>
            </w:r>
          </w:p>
        </w:tc>
        <w:tc>
          <w:tcPr>
            <w:tcW w:w="682" w:type="pct"/>
            <w:tcBorders>
              <w:top w:val="nil"/>
              <w:left w:val="nil"/>
              <w:bottom w:val="nil"/>
              <w:right w:val="nil"/>
            </w:tcBorders>
          </w:tcPr>
          <w:p w14:paraId="5288308C" w14:textId="77777777" w:rsidR="002B1A69" w:rsidRPr="00CD311A" w:rsidRDefault="002B1A69" w:rsidP="003F537D">
            <w:pPr>
              <w:pStyle w:val="TableText"/>
              <w:jc w:val="right"/>
              <w:rPr>
                <w:szCs w:val="17"/>
              </w:rPr>
            </w:pPr>
            <w:r>
              <w:rPr>
                <w:szCs w:val="17"/>
              </w:rPr>
              <w:t>147</w:t>
            </w:r>
          </w:p>
        </w:tc>
      </w:tr>
      <w:tr w:rsidR="002B1A69" w:rsidRPr="00CD311A" w14:paraId="45C9B632" w14:textId="77777777" w:rsidTr="00514EF5">
        <w:trPr>
          <w:cantSplit/>
        </w:trPr>
        <w:tc>
          <w:tcPr>
            <w:tcW w:w="555" w:type="pct"/>
            <w:vMerge/>
            <w:tcBorders>
              <w:top w:val="nil"/>
              <w:left w:val="nil"/>
              <w:bottom w:val="nil"/>
              <w:right w:val="nil"/>
            </w:tcBorders>
          </w:tcPr>
          <w:p w14:paraId="25B46847" w14:textId="77777777" w:rsidR="002B1A69" w:rsidRDefault="002B1A69" w:rsidP="003F537D">
            <w:pPr>
              <w:pStyle w:val="TableText"/>
              <w:rPr>
                <w:szCs w:val="17"/>
              </w:rPr>
            </w:pPr>
          </w:p>
        </w:tc>
        <w:tc>
          <w:tcPr>
            <w:tcW w:w="575" w:type="pct"/>
            <w:tcBorders>
              <w:top w:val="nil"/>
              <w:left w:val="nil"/>
              <w:bottom w:val="single" w:sz="4" w:space="0" w:color="auto"/>
              <w:right w:val="nil"/>
            </w:tcBorders>
          </w:tcPr>
          <w:p w14:paraId="15112C89" w14:textId="77777777" w:rsidR="002B1A69" w:rsidRPr="00CD311A" w:rsidRDefault="002B1A69" w:rsidP="003F537D">
            <w:pPr>
              <w:pStyle w:val="TableText"/>
              <w:rPr>
                <w:szCs w:val="17"/>
              </w:rPr>
            </w:pPr>
          </w:p>
        </w:tc>
        <w:tc>
          <w:tcPr>
            <w:tcW w:w="1516" w:type="pct"/>
            <w:tcBorders>
              <w:top w:val="nil"/>
              <w:left w:val="nil"/>
              <w:bottom w:val="single" w:sz="4" w:space="0" w:color="auto"/>
              <w:right w:val="nil"/>
            </w:tcBorders>
          </w:tcPr>
          <w:p w14:paraId="4EE634D9" w14:textId="77777777" w:rsidR="002B1A69" w:rsidRPr="00CD311A" w:rsidRDefault="002B1A69" w:rsidP="003F537D">
            <w:pPr>
              <w:pStyle w:val="TableText"/>
              <w:rPr>
                <w:szCs w:val="17"/>
              </w:rPr>
            </w:pPr>
            <w:r>
              <w:rPr>
                <w:szCs w:val="17"/>
              </w:rPr>
              <w:t>Hay freezing</w:t>
            </w:r>
          </w:p>
        </w:tc>
        <w:tc>
          <w:tcPr>
            <w:tcW w:w="1308" w:type="pct"/>
            <w:tcBorders>
              <w:top w:val="nil"/>
              <w:left w:val="nil"/>
              <w:bottom w:val="single" w:sz="4" w:space="0" w:color="auto"/>
              <w:right w:val="nil"/>
            </w:tcBorders>
          </w:tcPr>
          <w:p w14:paraId="708641B2" w14:textId="77777777" w:rsidR="002B1A69" w:rsidRPr="00CD311A" w:rsidRDefault="002B1A69" w:rsidP="003F537D">
            <w:pPr>
              <w:pStyle w:val="TableText"/>
              <w:jc w:val="right"/>
              <w:rPr>
                <w:szCs w:val="17"/>
              </w:rPr>
            </w:pPr>
            <w:r w:rsidRPr="00947C88">
              <w:rPr>
                <w:szCs w:val="17"/>
              </w:rPr>
              <w:t xml:space="preserve">1× </w:t>
            </w:r>
            <w:r>
              <w:rPr>
                <w:szCs w:val="17"/>
              </w:rPr>
              <w:t xml:space="preserve">173 </w:t>
            </w:r>
            <w:r w:rsidRPr="00947C88">
              <w:rPr>
                <w:szCs w:val="17"/>
              </w:rPr>
              <w:t>g ac/ha</w:t>
            </w:r>
          </w:p>
        </w:tc>
        <w:tc>
          <w:tcPr>
            <w:tcW w:w="364" w:type="pct"/>
            <w:tcBorders>
              <w:top w:val="nil"/>
              <w:left w:val="nil"/>
              <w:bottom w:val="single" w:sz="4" w:space="0" w:color="auto"/>
              <w:right w:val="nil"/>
            </w:tcBorders>
          </w:tcPr>
          <w:p w14:paraId="699333D6" w14:textId="77777777" w:rsidR="002B1A69" w:rsidRPr="00CD311A" w:rsidRDefault="002B1A69" w:rsidP="003F537D">
            <w:pPr>
              <w:pStyle w:val="TableText"/>
              <w:jc w:val="right"/>
              <w:rPr>
                <w:szCs w:val="17"/>
              </w:rPr>
            </w:pPr>
            <w:r>
              <w:rPr>
                <w:szCs w:val="17"/>
              </w:rPr>
              <w:t>1.0</w:t>
            </w:r>
          </w:p>
        </w:tc>
        <w:tc>
          <w:tcPr>
            <w:tcW w:w="682" w:type="pct"/>
            <w:tcBorders>
              <w:top w:val="nil"/>
              <w:left w:val="nil"/>
              <w:bottom w:val="single" w:sz="4" w:space="0" w:color="auto"/>
              <w:right w:val="nil"/>
            </w:tcBorders>
          </w:tcPr>
          <w:p w14:paraId="4F38816B" w14:textId="77777777" w:rsidR="002B1A69" w:rsidRPr="00CD311A" w:rsidRDefault="002B1A69" w:rsidP="003F537D">
            <w:pPr>
              <w:pStyle w:val="TableText"/>
              <w:jc w:val="right"/>
              <w:rPr>
                <w:szCs w:val="17"/>
              </w:rPr>
            </w:pPr>
            <w:r>
              <w:rPr>
                <w:szCs w:val="17"/>
              </w:rPr>
              <w:t>173</w:t>
            </w:r>
          </w:p>
        </w:tc>
      </w:tr>
      <w:tr w:rsidR="002B1A69" w:rsidRPr="000A0283" w14:paraId="1D2B984E" w14:textId="77777777" w:rsidTr="00514EF5">
        <w:trPr>
          <w:cantSplit/>
        </w:trPr>
        <w:tc>
          <w:tcPr>
            <w:tcW w:w="555" w:type="pct"/>
            <w:vMerge/>
            <w:tcBorders>
              <w:top w:val="nil"/>
              <w:left w:val="nil"/>
              <w:bottom w:val="nil"/>
              <w:right w:val="nil"/>
            </w:tcBorders>
          </w:tcPr>
          <w:p w14:paraId="665F6B36" w14:textId="77777777" w:rsidR="002B1A69" w:rsidRDefault="002B1A69" w:rsidP="003F537D">
            <w:pPr>
              <w:pStyle w:val="TableText"/>
              <w:rPr>
                <w:szCs w:val="17"/>
              </w:rPr>
            </w:pPr>
          </w:p>
        </w:tc>
        <w:tc>
          <w:tcPr>
            <w:tcW w:w="575" w:type="pct"/>
            <w:tcBorders>
              <w:top w:val="single" w:sz="4" w:space="0" w:color="auto"/>
              <w:left w:val="nil"/>
              <w:bottom w:val="single" w:sz="4" w:space="0" w:color="auto"/>
              <w:right w:val="nil"/>
            </w:tcBorders>
          </w:tcPr>
          <w:p w14:paraId="75A0E8A8" w14:textId="77777777" w:rsidR="002B1A69" w:rsidRDefault="002B1A69" w:rsidP="003F537D">
            <w:pPr>
              <w:pStyle w:val="TableText"/>
              <w:rPr>
                <w:szCs w:val="17"/>
              </w:rPr>
            </w:pPr>
            <w:r>
              <w:rPr>
                <w:szCs w:val="17"/>
              </w:rPr>
              <w:t>Legume forage</w:t>
            </w:r>
          </w:p>
        </w:tc>
        <w:tc>
          <w:tcPr>
            <w:tcW w:w="1516" w:type="pct"/>
            <w:tcBorders>
              <w:top w:val="single" w:sz="4" w:space="0" w:color="auto"/>
              <w:left w:val="nil"/>
              <w:bottom w:val="single" w:sz="4" w:space="0" w:color="auto"/>
              <w:right w:val="nil"/>
            </w:tcBorders>
          </w:tcPr>
          <w:p w14:paraId="390A6067" w14:textId="77777777" w:rsidR="002B1A69" w:rsidRPr="00FF66B6" w:rsidRDefault="002B1A69" w:rsidP="003F537D">
            <w:pPr>
              <w:pStyle w:val="TableText"/>
              <w:rPr>
                <w:szCs w:val="17"/>
                <w:highlight w:val="magenta"/>
              </w:rPr>
            </w:pPr>
            <w:r>
              <w:rPr>
                <w:szCs w:val="17"/>
              </w:rPr>
              <w:t>Lucerne (grazed before spraying)</w:t>
            </w:r>
          </w:p>
        </w:tc>
        <w:tc>
          <w:tcPr>
            <w:tcW w:w="1308" w:type="pct"/>
            <w:tcBorders>
              <w:top w:val="single" w:sz="4" w:space="0" w:color="auto"/>
              <w:left w:val="nil"/>
              <w:bottom w:val="single" w:sz="4" w:space="0" w:color="auto"/>
              <w:right w:val="nil"/>
            </w:tcBorders>
          </w:tcPr>
          <w:p w14:paraId="5E21347F" w14:textId="77777777" w:rsidR="002B1A69" w:rsidRPr="000A0283" w:rsidRDefault="002B1A69" w:rsidP="003F537D">
            <w:pPr>
              <w:pStyle w:val="TableText"/>
              <w:jc w:val="right"/>
              <w:rPr>
                <w:szCs w:val="17"/>
              </w:rPr>
            </w:pPr>
            <w:r>
              <w:rPr>
                <w:szCs w:val="17"/>
              </w:rPr>
              <w:t xml:space="preserve">From </w:t>
            </w:r>
            <w:r w:rsidRPr="000A0283">
              <w:rPr>
                <w:szCs w:val="17"/>
              </w:rPr>
              <w:t xml:space="preserve">1× </w:t>
            </w:r>
            <w:r>
              <w:rPr>
                <w:szCs w:val="17"/>
              </w:rPr>
              <w:t>276</w:t>
            </w:r>
            <w:r w:rsidRPr="000A0283">
              <w:rPr>
                <w:szCs w:val="17"/>
              </w:rPr>
              <w:t xml:space="preserve"> g ac/ha</w:t>
            </w:r>
          </w:p>
        </w:tc>
        <w:tc>
          <w:tcPr>
            <w:tcW w:w="364" w:type="pct"/>
            <w:tcBorders>
              <w:top w:val="single" w:sz="4" w:space="0" w:color="auto"/>
              <w:left w:val="nil"/>
              <w:bottom w:val="single" w:sz="4" w:space="0" w:color="auto"/>
              <w:right w:val="nil"/>
            </w:tcBorders>
          </w:tcPr>
          <w:p w14:paraId="3AE7C740" w14:textId="77777777" w:rsidR="002B1A69" w:rsidRPr="000A0283" w:rsidRDefault="002B1A69" w:rsidP="003F537D">
            <w:pPr>
              <w:pStyle w:val="TableText"/>
              <w:jc w:val="right"/>
              <w:rPr>
                <w:szCs w:val="17"/>
              </w:rPr>
            </w:pPr>
            <w:r>
              <w:rPr>
                <w:szCs w:val="17"/>
              </w:rPr>
              <w:t>1.0</w:t>
            </w:r>
          </w:p>
        </w:tc>
        <w:tc>
          <w:tcPr>
            <w:tcW w:w="682" w:type="pct"/>
            <w:tcBorders>
              <w:top w:val="single" w:sz="4" w:space="0" w:color="auto"/>
              <w:left w:val="nil"/>
              <w:bottom w:val="single" w:sz="4" w:space="0" w:color="auto"/>
              <w:right w:val="nil"/>
            </w:tcBorders>
          </w:tcPr>
          <w:p w14:paraId="68D3B74B" w14:textId="77777777" w:rsidR="002B1A69" w:rsidRPr="000A0283" w:rsidRDefault="002B1A69" w:rsidP="003F537D">
            <w:pPr>
              <w:pStyle w:val="TableText"/>
              <w:jc w:val="right"/>
              <w:rPr>
                <w:szCs w:val="17"/>
              </w:rPr>
            </w:pPr>
            <w:r>
              <w:rPr>
                <w:szCs w:val="17"/>
              </w:rPr>
              <w:t>276</w:t>
            </w:r>
          </w:p>
        </w:tc>
      </w:tr>
      <w:tr w:rsidR="002B1A69" w:rsidRPr="000A0283" w14:paraId="743CB77A" w14:textId="77777777" w:rsidTr="00514EF5">
        <w:trPr>
          <w:cantSplit/>
        </w:trPr>
        <w:tc>
          <w:tcPr>
            <w:tcW w:w="555" w:type="pct"/>
            <w:vMerge/>
            <w:tcBorders>
              <w:top w:val="nil"/>
              <w:left w:val="nil"/>
              <w:bottom w:val="nil"/>
              <w:right w:val="nil"/>
            </w:tcBorders>
          </w:tcPr>
          <w:p w14:paraId="2C7EBCEE" w14:textId="77777777" w:rsidR="002B1A69" w:rsidRDefault="002B1A69" w:rsidP="003F537D">
            <w:pPr>
              <w:pStyle w:val="TableText"/>
              <w:rPr>
                <w:szCs w:val="17"/>
              </w:rPr>
            </w:pPr>
          </w:p>
        </w:tc>
        <w:tc>
          <w:tcPr>
            <w:tcW w:w="575" w:type="pct"/>
            <w:tcBorders>
              <w:top w:val="single" w:sz="4" w:space="0" w:color="auto"/>
              <w:left w:val="nil"/>
              <w:bottom w:val="nil"/>
              <w:right w:val="nil"/>
            </w:tcBorders>
          </w:tcPr>
          <w:p w14:paraId="1522D313" w14:textId="77777777" w:rsidR="002B1A69" w:rsidRDefault="002B1A69" w:rsidP="003F537D">
            <w:pPr>
              <w:pStyle w:val="TableText"/>
              <w:rPr>
                <w:szCs w:val="17"/>
              </w:rPr>
            </w:pPr>
            <w:r>
              <w:rPr>
                <w:szCs w:val="17"/>
              </w:rPr>
              <w:t>Maize</w:t>
            </w:r>
          </w:p>
        </w:tc>
        <w:tc>
          <w:tcPr>
            <w:tcW w:w="1516" w:type="pct"/>
            <w:tcBorders>
              <w:top w:val="single" w:sz="4" w:space="0" w:color="auto"/>
              <w:left w:val="nil"/>
              <w:bottom w:val="nil"/>
              <w:right w:val="nil"/>
            </w:tcBorders>
          </w:tcPr>
          <w:p w14:paraId="740846DB" w14:textId="77777777" w:rsidR="002B1A69" w:rsidRPr="000A0283" w:rsidRDefault="002B1A69" w:rsidP="003F537D">
            <w:pPr>
              <w:pStyle w:val="TableText"/>
              <w:rPr>
                <w:szCs w:val="17"/>
              </w:rPr>
            </w:pPr>
            <w:r w:rsidRPr="000A0283">
              <w:rPr>
                <w:szCs w:val="17"/>
              </w:rPr>
              <w:t>Sugarcane (over the top spray)</w:t>
            </w:r>
          </w:p>
        </w:tc>
        <w:tc>
          <w:tcPr>
            <w:tcW w:w="1308" w:type="pct"/>
            <w:tcBorders>
              <w:top w:val="single" w:sz="4" w:space="0" w:color="auto"/>
              <w:left w:val="nil"/>
              <w:bottom w:val="nil"/>
              <w:right w:val="nil"/>
            </w:tcBorders>
          </w:tcPr>
          <w:p w14:paraId="7C934048" w14:textId="77777777" w:rsidR="002B1A69" w:rsidRPr="000A0283" w:rsidRDefault="002B1A69" w:rsidP="003F537D">
            <w:pPr>
              <w:pStyle w:val="TableText"/>
              <w:jc w:val="right"/>
              <w:rPr>
                <w:szCs w:val="17"/>
              </w:rPr>
            </w:pPr>
            <w:r>
              <w:rPr>
                <w:szCs w:val="17"/>
              </w:rPr>
              <w:t xml:space="preserve">From </w:t>
            </w:r>
            <w:r w:rsidRPr="000A0283">
              <w:rPr>
                <w:szCs w:val="17"/>
              </w:rPr>
              <w:t>1× 230 g ac/ha</w:t>
            </w:r>
          </w:p>
        </w:tc>
        <w:tc>
          <w:tcPr>
            <w:tcW w:w="364" w:type="pct"/>
            <w:tcBorders>
              <w:top w:val="single" w:sz="4" w:space="0" w:color="auto"/>
              <w:left w:val="nil"/>
              <w:bottom w:val="nil"/>
              <w:right w:val="nil"/>
            </w:tcBorders>
          </w:tcPr>
          <w:p w14:paraId="38160CC2" w14:textId="77777777" w:rsidR="002B1A69" w:rsidRPr="000A0283" w:rsidRDefault="002B1A69" w:rsidP="003F537D">
            <w:pPr>
              <w:pStyle w:val="TableText"/>
              <w:jc w:val="right"/>
              <w:rPr>
                <w:szCs w:val="17"/>
              </w:rPr>
            </w:pPr>
            <w:r>
              <w:rPr>
                <w:szCs w:val="17"/>
              </w:rPr>
              <w:t>1.0</w:t>
            </w:r>
          </w:p>
        </w:tc>
        <w:tc>
          <w:tcPr>
            <w:tcW w:w="682" w:type="pct"/>
            <w:tcBorders>
              <w:top w:val="single" w:sz="4" w:space="0" w:color="auto"/>
              <w:left w:val="nil"/>
              <w:bottom w:val="nil"/>
              <w:right w:val="nil"/>
            </w:tcBorders>
          </w:tcPr>
          <w:p w14:paraId="40F43908" w14:textId="77777777" w:rsidR="002B1A69" w:rsidRPr="000A0283" w:rsidRDefault="002B1A69" w:rsidP="003F537D">
            <w:pPr>
              <w:pStyle w:val="TableText"/>
              <w:jc w:val="right"/>
              <w:rPr>
                <w:szCs w:val="17"/>
              </w:rPr>
            </w:pPr>
            <w:r>
              <w:rPr>
                <w:szCs w:val="17"/>
              </w:rPr>
              <w:t>230</w:t>
            </w:r>
          </w:p>
        </w:tc>
      </w:tr>
      <w:tr w:rsidR="002B1A69" w:rsidRPr="000A0283" w14:paraId="247F2568" w14:textId="77777777" w:rsidTr="00514EF5">
        <w:trPr>
          <w:cantSplit/>
        </w:trPr>
        <w:tc>
          <w:tcPr>
            <w:tcW w:w="555" w:type="pct"/>
            <w:vMerge/>
            <w:tcBorders>
              <w:top w:val="nil"/>
              <w:left w:val="nil"/>
              <w:bottom w:val="nil"/>
              <w:right w:val="nil"/>
            </w:tcBorders>
          </w:tcPr>
          <w:p w14:paraId="5857BFC6" w14:textId="77777777" w:rsidR="002B1A69" w:rsidRDefault="002B1A69" w:rsidP="003F537D">
            <w:pPr>
              <w:pStyle w:val="TableText"/>
              <w:rPr>
                <w:szCs w:val="17"/>
              </w:rPr>
            </w:pPr>
          </w:p>
        </w:tc>
        <w:tc>
          <w:tcPr>
            <w:tcW w:w="575" w:type="pct"/>
            <w:tcBorders>
              <w:top w:val="nil"/>
              <w:left w:val="nil"/>
              <w:bottom w:val="single" w:sz="4" w:space="0" w:color="auto"/>
              <w:right w:val="nil"/>
            </w:tcBorders>
          </w:tcPr>
          <w:p w14:paraId="396503E5"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7353306B" w14:textId="77777777" w:rsidR="002B1A69" w:rsidRPr="000A0283" w:rsidRDefault="002B1A69" w:rsidP="003F537D">
            <w:pPr>
              <w:pStyle w:val="TableText"/>
              <w:rPr>
                <w:szCs w:val="17"/>
              </w:rPr>
            </w:pPr>
            <w:r w:rsidRPr="000A0283">
              <w:rPr>
                <w:szCs w:val="17"/>
              </w:rPr>
              <w:t>Sugarcane (inter-row spray)</w:t>
            </w:r>
          </w:p>
        </w:tc>
        <w:tc>
          <w:tcPr>
            <w:tcW w:w="1308" w:type="pct"/>
            <w:tcBorders>
              <w:top w:val="nil"/>
              <w:left w:val="nil"/>
              <w:bottom w:val="single" w:sz="4" w:space="0" w:color="auto"/>
              <w:right w:val="nil"/>
            </w:tcBorders>
          </w:tcPr>
          <w:p w14:paraId="59757CF8" w14:textId="77777777" w:rsidR="002B1A69" w:rsidRPr="000A0283" w:rsidRDefault="002B1A69" w:rsidP="003F537D">
            <w:pPr>
              <w:pStyle w:val="TableText"/>
              <w:jc w:val="right"/>
              <w:rPr>
                <w:szCs w:val="17"/>
              </w:rPr>
            </w:pPr>
            <w:r>
              <w:rPr>
                <w:szCs w:val="17"/>
              </w:rPr>
              <w:t xml:space="preserve">From </w:t>
            </w:r>
            <w:r w:rsidRPr="000A0283">
              <w:rPr>
                <w:szCs w:val="17"/>
              </w:rPr>
              <w:t>1× 230 g ac/ha</w:t>
            </w:r>
          </w:p>
        </w:tc>
        <w:tc>
          <w:tcPr>
            <w:tcW w:w="364" w:type="pct"/>
            <w:tcBorders>
              <w:top w:val="nil"/>
              <w:left w:val="nil"/>
              <w:bottom w:val="single" w:sz="4" w:space="0" w:color="auto"/>
              <w:right w:val="nil"/>
            </w:tcBorders>
          </w:tcPr>
          <w:p w14:paraId="0B4818ED" w14:textId="77777777" w:rsidR="002B1A69" w:rsidRPr="000A0283" w:rsidRDefault="002B1A69" w:rsidP="003F537D">
            <w:pPr>
              <w:pStyle w:val="TableText"/>
              <w:jc w:val="right"/>
              <w:rPr>
                <w:szCs w:val="17"/>
              </w:rPr>
            </w:pPr>
            <w:r>
              <w:rPr>
                <w:szCs w:val="17"/>
              </w:rPr>
              <w:t>1.0</w:t>
            </w:r>
          </w:p>
        </w:tc>
        <w:tc>
          <w:tcPr>
            <w:tcW w:w="682" w:type="pct"/>
            <w:tcBorders>
              <w:top w:val="nil"/>
              <w:left w:val="nil"/>
              <w:bottom w:val="single" w:sz="4" w:space="0" w:color="auto"/>
              <w:right w:val="nil"/>
            </w:tcBorders>
          </w:tcPr>
          <w:p w14:paraId="67F105FA" w14:textId="77777777" w:rsidR="002B1A69" w:rsidRPr="000A0283" w:rsidRDefault="002B1A69" w:rsidP="003F537D">
            <w:pPr>
              <w:pStyle w:val="TableText"/>
              <w:jc w:val="right"/>
              <w:rPr>
                <w:szCs w:val="17"/>
              </w:rPr>
            </w:pPr>
            <w:r>
              <w:rPr>
                <w:szCs w:val="17"/>
              </w:rPr>
              <w:t>230</w:t>
            </w:r>
          </w:p>
        </w:tc>
      </w:tr>
      <w:tr w:rsidR="002B1A69" w:rsidRPr="000A0283" w14:paraId="2250DD80" w14:textId="77777777" w:rsidTr="00514EF5">
        <w:trPr>
          <w:cantSplit/>
        </w:trPr>
        <w:tc>
          <w:tcPr>
            <w:tcW w:w="555" w:type="pct"/>
            <w:vMerge/>
            <w:tcBorders>
              <w:top w:val="nil"/>
              <w:left w:val="nil"/>
              <w:bottom w:val="nil"/>
              <w:right w:val="nil"/>
            </w:tcBorders>
          </w:tcPr>
          <w:p w14:paraId="3CCADB9A" w14:textId="77777777" w:rsidR="002B1A69" w:rsidRDefault="002B1A69" w:rsidP="003F537D">
            <w:pPr>
              <w:pStyle w:val="TableText"/>
              <w:rPr>
                <w:szCs w:val="17"/>
              </w:rPr>
            </w:pPr>
          </w:p>
        </w:tc>
        <w:tc>
          <w:tcPr>
            <w:tcW w:w="575" w:type="pct"/>
            <w:tcBorders>
              <w:top w:val="single" w:sz="4" w:space="0" w:color="auto"/>
              <w:left w:val="nil"/>
              <w:bottom w:val="nil"/>
              <w:right w:val="nil"/>
            </w:tcBorders>
          </w:tcPr>
          <w:p w14:paraId="4D576E19" w14:textId="77777777" w:rsidR="002B1A69" w:rsidRDefault="002B1A69" w:rsidP="003F537D">
            <w:pPr>
              <w:pStyle w:val="TableText"/>
              <w:rPr>
                <w:szCs w:val="17"/>
              </w:rPr>
            </w:pPr>
            <w:r>
              <w:rPr>
                <w:szCs w:val="17"/>
              </w:rPr>
              <w:t>Potatoes</w:t>
            </w:r>
          </w:p>
        </w:tc>
        <w:tc>
          <w:tcPr>
            <w:tcW w:w="1516" w:type="pct"/>
            <w:tcBorders>
              <w:top w:val="single" w:sz="4" w:space="0" w:color="auto"/>
              <w:left w:val="nil"/>
              <w:bottom w:val="nil"/>
              <w:right w:val="nil"/>
            </w:tcBorders>
          </w:tcPr>
          <w:p w14:paraId="2E27960A" w14:textId="77777777" w:rsidR="002B1A69" w:rsidRPr="000A0283" w:rsidRDefault="002B1A69" w:rsidP="003F537D">
            <w:pPr>
              <w:pStyle w:val="TableText"/>
              <w:rPr>
                <w:szCs w:val="17"/>
              </w:rPr>
            </w:pPr>
            <w:r w:rsidRPr="00C74059">
              <w:rPr>
                <w:szCs w:val="17"/>
              </w:rPr>
              <w:t>Potatoes</w:t>
            </w:r>
            <w:r>
              <w:rPr>
                <w:szCs w:val="17"/>
              </w:rPr>
              <w:t xml:space="preserve"> (pre-harvest)</w:t>
            </w:r>
          </w:p>
        </w:tc>
        <w:tc>
          <w:tcPr>
            <w:tcW w:w="1308" w:type="pct"/>
            <w:tcBorders>
              <w:top w:val="single" w:sz="4" w:space="0" w:color="auto"/>
              <w:left w:val="nil"/>
              <w:bottom w:val="nil"/>
              <w:right w:val="nil"/>
            </w:tcBorders>
          </w:tcPr>
          <w:p w14:paraId="3FB3D91F" w14:textId="77777777" w:rsidR="002B1A69" w:rsidRDefault="002B1A69" w:rsidP="003F537D">
            <w:pPr>
              <w:pStyle w:val="TableText"/>
              <w:jc w:val="right"/>
              <w:rPr>
                <w:szCs w:val="17"/>
              </w:rPr>
            </w:pPr>
            <w:r w:rsidRPr="00947C88">
              <w:rPr>
                <w:szCs w:val="17"/>
              </w:rPr>
              <w:t xml:space="preserve">1× </w:t>
            </w:r>
            <w:r>
              <w:rPr>
                <w:szCs w:val="17"/>
              </w:rPr>
              <w:t xml:space="preserve">368 </w:t>
            </w:r>
            <w:r w:rsidRPr="00947C88">
              <w:rPr>
                <w:szCs w:val="17"/>
              </w:rPr>
              <w:t>g ac/ha</w:t>
            </w:r>
          </w:p>
        </w:tc>
        <w:tc>
          <w:tcPr>
            <w:tcW w:w="364" w:type="pct"/>
            <w:tcBorders>
              <w:top w:val="single" w:sz="4" w:space="0" w:color="auto"/>
              <w:left w:val="nil"/>
              <w:bottom w:val="nil"/>
              <w:right w:val="nil"/>
            </w:tcBorders>
          </w:tcPr>
          <w:p w14:paraId="719D4BC8" w14:textId="77777777" w:rsidR="002B1A69" w:rsidRPr="000A0283" w:rsidRDefault="002B1A69" w:rsidP="003F537D">
            <w:pPr>
              <w:pStyle w:val="TableText"/>
              <w:jc w:val="right"/>
              <w:rPr>
                <w:szCs w:val="17"/>
              </w:rPr>
            </w:pPr>
            <w:r>
              <w:rPr>
                <w:szCs w:val="17"/>
              </w:rPr>
              <w:t>1.0</w:t>
            </w:r>
          </w:p>
        </w:tc>
        <w:tc>
          <w:tcPr>
            <w:tcW w:w="682" w:type="pct"/>
            <w:tcBorders>
              <w:top w:val="single" w:sz="4" w:space="0" w:color="auto"/>
              <w:left w:val="nil"/>
              <w:bottom w:val="nil"/>
              <w:right w:val="nil"/>
            </w:tcBorders>
          </w:tcPr>
          <w:p w14:paraId="3A712979" w14:textId="77777777" w:rsidR="002B1A69" w:rsidRPr="000A0283" w:rsidRDefault="002B1A69" w:rsidP="003F537D">
            <w:pPr>
              <w:pStyle w:val="TableText"/>
              <w:jc w:val="right"/>
              <w:rPr>
                <w:szCs w:val="17"/>
              </w:rPr>
            </w:pPr>
            <w:r>
              <w:rPr>
                <w:szCs w:val="17"/>
              </w:rPr>
              <w:t>368</w:t>
            </w:r>
          </w:p>
        </w:tc>
      </w:tr>
      <w:tr w:rsidR="002B1A69" w:rsidRPr="000A0283" w14:paraId="3986436A" w14:textId="77777777" w:rsidTr="00514EF5">
        <w:trPr>
          <w:cantSplit/>
        </w:trPr>
        <w:tc>
          <w:tcPr>
            <w:tcW w:w="555" w:type="pct"/>
            <w:vMerge/>
            <w:tcBorders>
              <w:top w:val="nil"/>
              <w:left w:val="nil"/>
              <w:bottom w:val="nil"/>
              <w:right w:val="nil"/>
            </w:tcBorders>
          </w:tcPr>
          <w:p w14:paraId="134E4979" w14:textId="77777777" w:rsidR="002B1A69" w:rsidRDefault="002B1A69" w:rsidP="003F537D">
            <w:pPr>
              <w:pStyle w:val="TableText"/>
              <w:rPr>
                <w:szCs w:val="17"/>
              </w:rPr>
            </w:pPr>
          </w:p>
        </w:tc>
        <w:tc>
          <w:tcPr>
            <w:tcW w:w="575" w:type="pct"/>
            <w:tcBorders>
              <w:top w:val="nil"/>
              <w:left w:val="nil"/>
              <w:bottom w:val="single" w:sz="4" w:space="0" w:color="auto"/>
              <w:right w:val="nil"/>
            </w:tcBorders>
          </w:tcPr>
          <w:p w14:paraId="3D6575DB"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786736A9" w14:textId="77777777" w:rsidR="002B1A69" w:rsidRPr="000A0283" w:rsidRDefault="002B1A69" w:rsidP="003F537D">
            <w:pPr>
              <w:pStyle w:val="TableText"/>
              <w:rPr>
                <w:szCs w:val="17"/>
              </w:rPr>
            </w:pPr>
            <w:r>
              <w:rPr>
                <w:szCs w:val="17"/>
              </w:rPr>
              <w:t>Spot spray in potatoes (pre-harvest)</w:t>
            </w:r>
          </w:p>
        </w:tc>
        <w:tc>
          <w:tcPr>
            <w:tcW w:w="1308" w:type="pct"/>
            <w:tcBorders>
              <w:top w:val="nil"/>
              <w:left w:val="nil"/>
              <w:bottom w:val="single" w:sz="4" w:space="0" w:color="auto"/>
              <w:right w:val="nil"/>
            </w:tcBorders>
          </w:tcPr>
          <w:p w14:paraId="2AA8E503" w14:textId="77777777" w:rsidR="002B1A69" w:rsidRDefault="002B1A69" w:rsidP="003F537D">
            <w:pPr>
              <w:pStyle w:val="TableText"/>
              <w:jc w:val="right"/>
              <w:rPr>
                <w:szCs w:val="17"/>
              </w:rPr>
            </w:pPr>
            <w:r w:rsidRPr="00947C88">
              <w:rPr>
                <w:szCs w:val="17"/>
              </w:rPr>
              <w:t xml:space="preserve">1× </w:t>
            </w:r>
            <w:r>
              <w:rPr>
                <w:szCs w:val="17"/>
              </w:rPr>
              <w:t xml:space="preserve">368 </w:t>
            </w:r>
            <w:r w:rsidRPr="00947C88">
              <w:rPr>
                <w:szCs w:val="17"/>
              </w:rPr>
              <w:t>g ac/ha</w:t>
            </w:r>
          </w:p>
        </w:tc>
        <w:tc>
          <w:tcPr>
            <w:tcW w:w="364" w:type="pct"/>
            <w:tcBorders>
              <w:top w:val="nil"/>
              <w:left w:val="nil"/>
              <w:bottom w:val="single" w:sz="4" w:space="0" w:color="auto"/>
              <w:right w:val="nil"/>
            </w:tcBorders>
          </w:tcPr>
          <w:p w14:paraId="2C66620F" w14:textId="77777777" w:rsidR="002B1A69" w:rsidRPr="000A0283" w:rsidRDefault="002B1A69" w:rsidP="003F537D">
            <w:pPr>
              <w:pStyle w:val="TableText"/>
              <w:jc w:val="right"/>
              <w:rPr>
                <w:szCs w:val="17"/>
              </w:rPr>
            </w:pPr>
            <w:r>
              <w:rPr>
                <w:szCs w:val="17"/>
              </w:rPr>
              <w:t>0.4</w:t>
            </w:r>
          </w:p>
        </w:tc>
        <w:tc>
          <w:tcPr>
            <w:tcW w:w="682" w:type="pct"/>
            <w:tcBorders>
              <w:top w:val="nil"/>
              <w:left w:val="nil"/>
              <w:bottom w:val="single" w:sz="4" w:space="0" w:color="auto"/>
              <w:right w:val="nil"/>
            </w:tcBorders>
          </w:tcPr>
          <w:p w14:paraId="6ECC953D" w14:textId="77777777" w:rsidR="002B1A69" w:rsidRPr="000A0283" w:rsidRDefault="002B1A69" w:rsidP="003F537D">
            <w:pPr>
              <w:pStyle w:val="TableText"/>
              <w:jc w:val="right"/>
              <w:rPr>
                <w:szCs w:val="17"/>
              </w:rPr>
            </w:pPr>
            <w:r>
              <w:rPr>
                <w:szCs w:val="17"/>
              </w:rPr>
              <w:t>147</w:t>
            </w:r>
          </w:p>
        </w:tc>
      </w:tr>
      <w:tr w:rsidR="002B1A69" w:rsidRPr="00CD311A" w14:paraId="61EB7B48" w14:textId="77777777" w:rsidTr="00514EF5">
        <w:trPr>
          <w:cantSplit/>
        </w:trPr>
        <w:tc>
          <w:tcPr>
            <w:tcW w:w="555" w:type="pct"/>
            <w:vMerge/>
            <w:tcBorders>
              <w:top w:val="nil"/>
              <w:left w:val="nil"/>
              <w:bottom w:val="nil"/>
              <w:right w:val="nil"/>
            </w:tcBorders>
          </w:tcPr>
          <w:p w14:paraId="6ED515E4" w14:textId="77777777" w:rsidR="002B1A69" w:rsidRDefault="002B1A69" w:rsidP="003F537D">
            <w:pPr>
              <w:pStyle w:val="TableText"/>
              <w:rPr>
                <w:szCs w:val="17"/>
              </w:rPr>
            </w:pPr>
          </w:p>
        </w:tc>
        <w:tc>
          <w:tcPr>
            <w:tcW w:w="575" w:type="pct"/>
            <w:tcBorders>
              <w:top w:val="single" w:sz="4" w:space="0" w:color="auto"/>
              <w:left w:val="nil"/>
              <w:bottom w:val="nil"/>
              <w:right w:val="nil"/>
            </w:tcBorders>
          </w:tcPr>
          <w:p w14:paraId="7FB5CA9A" w14:textId="77777777" w:rsidR="002B1A69" w:rsidRDefault="002B1A69" w:rsidP="003F537D">
            <w:pPr>
              <w:pStyle w:val="TableText"/>
              <w:rPr>
                <w:szCs w:val="17"/>
              </w:rPr>
            </w:pPr>
            <w:r>
              <w:rPr>
                <w:szCs w:val="17"/>
              </w:rPr>
              <w:t>Orchards</w:t>
            </w:r>
          </w:p>
        </w:tc>
        <w:tc>
          <w:tcPr>
            <w:tcW w:w="1516" w:type="pct"/>
            <w:tcBorders>
              <w:top w:val="single" w:sz="4" w:space="0" w:color="auto"/>
              <w:left w:val="nil"/>
              <w:bottom w:val="nil"/>
              <w:right w:val="nil"/>
            </w:tcBorders>
          </w:tcPr>
          <w:p w14:paraId="7C2A8308" w14:textId="77777777" w:rsidR="002B1A69" w:rsidRPr="00CD311A" w:rsidRDefault="002B1A69" w:rsidP="003F537D">
            <w:pPr>
              <w:pStyle w:val="TableText"/>
              <w:rPr>
                <w:szCs w:val="17"/>
              </w:rPr>
            </w:pPr>
            <w:r>
              <w:rPr>
                <w:szCs w:val="17"/>
              </w:rPr>
              <w:t>F</w:t>
            </w:r>
            <w:r w:rsidRPr="00A51DA6">
              <w:rPr>
                <w:szCs w:val="17"/>
              </w:rPr>
              <w:t>orests, orchards, plantations</w:t>
            </w:r>
            <w:r>
              <w:rPr>
                <w:szCs w:val="17"/>
              </w:rPr>
              <w:t>, bananas, duboisia, tea tree</w:t>
            </w:r>
          </w:p>
        </w:tc>
        <w:tc>
          <w:tcPr>
            <w:tcW w:w="1308" w:type="pct"/>
            <w:tcBorders>
              <w:top w:val="single" w:sz="4" w:space="0" w:color="auto"/>
              <w:left w:val="nil"/>
              <w:bottom w:val="nil"/>
              <w:right w:val="nil"/>
            </w:tcBorders>
          </w:tcPr>
          <w:p w14:paraId="05F1CB50"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single" w:sz="4" w:space="0" w:color="auto"/>
              <w:left w:val="nil"/>
              <w:bottom w:val="nil"/>
              <w:right w:val="nil"/>
            </w:tcBorders>
          </w:tcPr>
          <w:p w14:paraId="281163DA" w14:textId="77777777" w:rsidR="002B1A69" w:rsidRPr="00CD311A" w:rsidRDefault="002B1A69" w:rsidP="003F537D">
            <w:pPr>
              <w:pStyle w:val="TableText"/>
              <w:jc w:val="right"/>
              <w:rPr>
                <w:szCs w:val="17"/>
              </w:rPr>
            </w:pPr>
            <w:r>
              <w:rPr>
                <w:szCs w:val="17"/>
              </w:rPr>
              <w:t>1.0</w:t>
            </w:r>
          </w:p>
        </w:tc>
        <w:tc>
          <w:tcPr>
            <w:tcW w:w="682" w:type="pct"/>
            <w:tcBorders>
              <w:top w:val="single" w:sz="4" w:space="0" w:color="auto"/>
              <w:left w:val="nil"/>
              <w:bottom w:val="nil"/>
              <w:right w:val="nil"/>
            </w:tcBorders>
          </w:tcPr>
          <w:p w14:paraId="3E3066FB" w14:textId="77777777" w:rsidR="002B1A69" w:rsidRPr="00CD311A" w:rsidRDefault="002B1A69" w:rsidP="003F537D">
            <w:pPr>
              <w:pStyle w:val="TableText"/>
              <w:jc w:val="right"/>
              <w:rPr>
                <w:szCs w:val="17"/>
              </w:rPr>
            </w:pPr>
            <w:r>
              <w:rPr>
                <w:szCs w:val="17"/>
              </w:rPr>
              <w:t>368</w:t>
            </w:r>
          </w:p>
        </w:tc>
      </w:tr>
      <w:tr w:rsidR="002B1A69" w:rsidRPr="00CD311A" w14:paraId="60382B30" w14:textId="77777777" w:rsidTr="00514EF5">
        <w:trPr>
          <w:cantSplit/>
        </w:trPr>
        <w:tc>
          <w:tcPr>
            <w:tcW w:w="555" w:type="pct"/>
            <w:vMerge/>
            <w:tcBorders>
              <w:top w:val="nil"/>
              <w:left w:val="nil"/>
              <w:bottom w:val="nil"/>
              <w:right w:val="nil"/>
            </w:tcBorders>
          </w:tcPr>
          <w:p w14:paraId="21E559AB" w14:textId="77777777" w:rsidR="002B1A69" w:rsidRDefault="002B1A69" w:rsidP="003F537D">
            <w:pPr>
              <w:pStyle w:val="TableText"/>
              <w:rPr>
                <w:szCs w:val="17"/>
              </w:rPr>
            </w:pPr>
          </w:p>
        </w:tc>
        <w:tc>
          <w:tcPr>
            <w:tcW w:w="575" w:type="pct"/>
            <w:tcBorders>
              <w:top w:val="nil"/>
              <w:left w:val="nil"/>
              <w:bottom w:val="nil"/>
              <w:right w:val="nil"/>
            </w:tcBorders>
          </w:tcPr>
          <w:p w14:paraId="76ADA6CC" w14:textId="77777777" w:rsidR="002B1A69" w:rsidRDefault="002B1A69" w:rsidP="003F537D">
            <w:pPr>
              <w:pStyle w:val="TableText"/>
              <w:rPr>
                <w:szCs w:val="17"/>
              </w:rPr>
            </w:pPr>
          </w:p>
        </w:tc>
        <w:tc>
          <w:tcPr>
            <w:tcW w:w="1516" w:type="pct"/>
            <w:tcBorders>
              <w:top w:val="nil"/>
              <w:left w:val="nil"/>
              <w:bottom w:val="nil"/>
              <w:right w:val="nil"/>
            </w:tcBorders>
          </w:tcPr>
          <w:p w14:paraId="7EE4CA5B" w14:textId="77777777" w:rsidR="002B1A69" w:rsidRPr="00CD311A" w:rsidRDefault="002B1A69" w:rsidP="003F537D">
            <w:pPr>
              <w:pStyle w:val="TableText"/>
              <w:rPr>
                <w:szCs w:val="17"/>
              </w:rPr>
            </w:pPr>
            <w:r>
              <w:rPr>
                <w:szCs w:val="17"/>
              </w:rPr>
              <w:t>Spot application in orchards, plantations, bananas, duboisia</w:t>
            </w:r>
          </w:p>
        </w:tc>
        <w:tc>
          <w:tcPr>
            <w:tcW w:w="1308" w:type="pct"/>
            <w:tcBorders>
              <w:top w:val="nil"/>
              <w:left w:val="nil"/>
              <w:bottom w:val="nil"/>
              <w:right w:val="nil"/>
            </w:tcBorders>
          </w:tcPr>
          <w:p w14:paraId="2A33F4C7"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nil"/>
              <w:left w:val="nil"/>
              <w:bottom w:val="nil"/>
              <w:right w:val="nil"/>
            </w:tcBorders>
          </w:tcPr>
          <w:p w14:paraId="2642498A" w14:textId="77777777" w:rsidR="002B1A69" w:rsidRPr="00CD311A" w:rsidRDefault="002B1A69" w:rsidP="003F537D">
            <w:pPr>
              <w:pStyle w:val="TableText"/>
              <w:jc w:val="right"/>
              <w:rPr>
                <w:szCs w:val="17"/>
              </w:rPr>
            </w:pPr>
            <w:r>
              <w:rPr>
                <w:szCs w:val="17"/>
              </w:rPr>
              <w:t>0.4</w:t>
            </w:r>
          </w:p>
        </w:tc>
        <w:tc>
          <w:tcPr>
            <w:tcW w:w="682" w:type="pct"/>
            <w:tcBorders>
              <w:top w:val="nil"/>
              <w:left w:val="nil"/>
              <w:bottom w:val="nil"/>
              <w:right w:val="nil"/>
            </w:tcBorders>
          </w:tcPr>
          <w:p w14:paraId="580C0567" w14:textId="77777777" w:rsidR="002B1A69" w:rsidRPr="00CD311A" w:rsidRDefault="002B1A69" w:rsidP="003F537D">
            <w:pPr>
              <w:pStyle w:val="TableText"/>
              <w:jc w:val="right"/>
              <w:rPr>
                <w:szCs w:val="17"/>
              </w:rPr>
            </w:pPr>
            <w:r>
              <w:rPr>
                <w:szCs w:val="17"/>
              </w:rPr>
              <w:t>147</w:t>
            </w:r>
          </w:p>
        </w:tc>
      </w:tr>
      <w:tr w:rsidR="002B1A69" w:rsidRPr="00CD311A" w14:paraId="686FD63D" w14:textId="77777777" w:rsidTr="00514EF5">
        <w:trPr>
          <w:cantSplit/>
        </w:trPr>
        <w:tc>
          <w:tcPr>
            <w:tcW w:w="555" w:type="pct"/>
            <w:vMerge/>
            <w:tcBorders>
              <w:top w:val="nil"/>
              <w:left w:val="nil"/>
              <w:bottom w:val="nil"/>
              <w:right w:val="nil"/>
            </w:tcBorders>
          </w:tcPr>
          <w:p w14:paraId="65DDCA6B" w14:textId="77777777" w:rsidR="002B1A69" w:rsidRDefault="002B1A69" w:rsidP="003F537D">
            <w:pPr>
              <w:pStyle w:val="TableText"/>
              <w:rPr>
                <w:szCs w:val="17"/>
              </w:rPr>
            </w:pPr>
          </w:p>
        </w:tc>
        <w:tc>
          <w:tcPr>
            <w:tcW w:w="575" w:type="pct"/>
            <w:tcBorders>
              <w:top w:val="nil"/>
              <w:left w:val="nil"/>
              <w:bottom w:val="single" w:sz="4" w:space="0" w:color="auto"/>
              <w:right w:val="nil"/>
            </w:tcBorders>
          </w:tcPr>
          <w:p w14:paraId="08AB5FFD"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318E1CB7" w14:textId="766EB411" w:rsidR="002B1A69" w:rsidRPr="00CD311A" w:rsidRDefault="002B1A69" w:rsidP="003F537D">
            <w:pPr>
              <w:pStyle w:val="TableText"/>
              <w:rPr>
                <w:szCs w:val="17"/>
              </w:rPr>
            </w:pPr>
            <w:r w:rsidRPr="00A51DA6">
              <w:rPr>
                <w:szCs w:val="17"/>
              </w:rPr>
              <w:t>Spot application in avocado, custard apples, lychees, mangos</w:t>
            </w:r>
            <w:r w:rsidR="00E61669">
              <w:rPr>
                <w:rFonts w:ascii="ZWAdobeF" w:hAnsi="ZWAdobeF" w:cs="ZWAdobeF"/>
                <w:sz w:val="2"/>
                <w:szCs w:val="2"/>
              </w:rPr>
              <w:t>39F</w:t>
            </w:r>
            <w:r w:rsidR="00602535">
              <w:rPr>
                <w:rFonts w:ascii="ZWAdobeF" w:hAnsi="ZWAdobeF" w:cs="ZWAdobeF"/>
                <w:spacing w:val="0"/>
                <w:sz w:val="2"/>
                <w:szCs w:val="2"/>
              </w:rPr>
              <w:t>42F</w:t>
            </w:r>
            <w:r w:rsidRPr="00A51DA6">
              <w:rPr>
                <w:rStyle w:val="FootnoteReference"/>
                <w:szCs w:val="17"/>
              </w:rPr>
              <w:footnoteReference w:id="44"/>
            </w:r>
          </w:p>
        </w:tc>
        <w:tc>
          <w:tcPr>
            <w:tcW w:w="1308" w:type="pct"/>
            <w:tcBorders>
              <w:top w:val="nil"/>
              <w:left w:val="nil"/>
              <w:bottom w:val="single" w:sz="4" w:space="0" w:color="auto"/>
              <w:right w:val="nil"/>
            </w:tcBorders>
          </w:tcPr>
          <w:p w14:paraId="33F06DFA" w14:textId="77777777" w:rsidR="002B1A69" w:rsidRDefault="002B1A69" w:rsidP="003F537D">
            <w:pPr>
              <w:pStyle w:val="TableText"/>
              <w:jc w:val="right"/>
              <w:rPr>
                <w:szCs w:val="17"/>
              </w:rPr>
            </w:pPr>
            <w:r>
              <w:rPr>
                <w:szCs w:val="17"/>
              </w:rPr>
              <w:t>From 2</w:t>
            </w:r>
            <w:r w:rsidRPr="00947C88">
              <w:rPr>
                <w:szCs w:val="17"/>
              </w:rPr>
              <w:t xml:space="preserve">× </w:t>
            </w:r>
            <w:r>
              <w:rPr>
                <w:szCs w:val="17"/>
              </w:rPr>
              <w:t xml:space="preserve">276 </w:t>
            </w:r>
            <w:r w:rsidRPr="00947C88">
              <w:rPr>
                <w:szCs w:val="17"/>
              </w:rPr>
              <w:t>g ac/ha</w:t>
            </w:r>
          </w:p>
          <w:p w14:paraId="29B7CCF7" w14:textId="77777777" w:rsidR="002B1A69" w:rsidRPr="00CD311A" w:rsidRDefault="002B1A69" w:rsidP="003F537D">
            <w:pPr>
              <w:pStyle w:val="TableText"/>
              <w:jc w:val="right"/>
              <w:rPr>
                <w:szCs w:val="17"/>
              </w:rPr>
            </w:pPr>
            <w:r>
              <w:rPr>
                <w:szCs w:val="17"/>
              </w:rPr>
              <w:t>14d interval</w:t>
            </w:r>
          </w:p>
        </w:tc>
        <w:tc>
          <w:tcPr>
            <w:tcW w:w="364" w:type="pct"/>
            <w:tcBorders>
              <w:top w:val="nil"/>
              <w:left w:val="nil"/>
              <w:bottom w:val="single" w:sz="4" w:space="0" w:color="auto"/>
              <w:right w:val="nil"/>
            </w:tcBorders>
          </w:tcPr>
          <w:p w14:paraId="0B3EDB9A" w14:textId="77777777" w:rsidR="002B1A69" w:rsidRPr="00CD311A" w:rsidRDefault="002B1A69" w:rsidP="003F537D">
            <w:pPr>
              <w:pStyle w:val="TableText"/>
              <w:jc w:val="right"/>
              <w:rPr>
                <w:szCs w:val="17"/>
              </w:rPr>
            </w:pPr>
            <w:r>
              <w:rPr>
                <w:szCs w:val="17"/>
              </w:rPr>
              <w:t>0.4</w:t>
            </w:r>
          </w:p>
        </w:tc>
        <w:tc>
          <w:tcPr>
            <w:tcW w:w="682" w:type="pct"/>
            <w:tcBorders>
              <w:top w:val="nil"/>
              <w:left w:val="nil"/>
              <w:bottom w:val="single" w:sz="4" w:space="0" w:color="auto"/>
              <w:right w:val="nil"/>
            </w:tcBorders>
          </w:tcPr>
          <w:p w14:paraId="057B5B72" w14:textId="77777777" w:rsidR="002B1A69" w:rsidRPr="00CD311A" w:rsidRDefault="002B1A69" w:rsidP="003F537D">
            <w:pPr>
              <w:pStyle w:val="TableText"/>
              <w:jc w:val="right"/>
              <w:rPr>
                <w:szCs w:val="17"/>
              </w:rPr>
            </w:pPr>
            <w:r>
              <w:rPr>
                <w:szCs w:val="17"/>
              </w:rPr>
              <w:t>152</w:t>
            </w:r>
          </w:p>
        </w:tc>
      </w:tr>
      <w:tr w:rsidR="002B1A69" w:rsidRPr="00CD311A" w14:paraId="77FC0334" w14:textId="77777777" w:rsidTr="00514EF5">
        <w:trPr>
          <w:cantSplit/>
        </w:trPr>
        <w:tc>
          <w:tcPr>
            <w:tcW w:w="555" w:type="pct"/>
            <w:vMerge/>
            <w:tcBorders>
              <w:top w:val="nil"/>
              <w:left w:val="nil"/>
              <w:bottom w:val="nil"/>
              <w:right w:val="nil"/>
            </w:tcBorders>
          </w:tcPr>
          <w:p w14:paraId="257ADA59" w14:textId="77777777" w:rsidR="002B1A69" w:rsidRDefault="002B1A69" w:rsidP="003F537D">
            <w:pPr>
              <w:pStyle w:val="TableText"/>
              <w:rPr>
                <w:szCs w:val="17"/>
              </w:rPr>
            </w:pPr>
          </w:p>
        </w:tc>
        <w:tc>
          <w:tcPr>
            <w:tcW w:w="575" w:type="pct"/>
            <w:tcBorders>
              <w:top w:val="single" w:sz="4" w:space="0" w:color="auto"/>
              <w:left w:val="nil"/>
              <w:bottom w:val="nil"/>
              <w:right w:val="nil"/>
            </w:tcBorders>
          </w:tcPr>
          <w:p w14:paraId="7517494B" w14:textId="77777777" w:rsidR="002B1A69" w:rsidRDefault="002B1A69" w:rsidP="003F537D">
            <w:pPr>
              <w:pStyle w:val="TableText"/>
              <w:rPr>
                <w:szCs w:val="17"/>
              </w:rPr>
            </w:pPr>
            <w:r>
              <w:rPr>
                <w:szCs w:val="17"/>
              </w:rPr>
              <w:t>Vineyards</w:t>
            </w:r>
          </w:p>
        </w:tc>
        <w:tc>
          <w:tcPr>
            <w:tcW w:w="1516" w:type="pct"/>
            <w:tcBorders>
              <w:top w:val="single" w:sz="4" w:space="0" w:color="auto"/>
              <w:left w:val="nil"/>
              <w:bottom w:val="nil"/>
              <w:right w:val="nil"/>
            </w:tcBorders>
          </w:tcPr>
          <w:p w14:paraId="1963AE98" w14:textId="77777777" w:rsidR="002B1A69" w:rsidRPr="00CD311A" w:rsidRDefault="002B1A69" w:rsidP="003F537D">
            <w:pPr>
              <w:pStyle w:val="TableText"/>
              <w:rPr>
                <w:szCs w:val="17"/>
              </w:rPr>
            </w:pPr>
            <w:r w:rsidRPr="00A51DA6">
              <w:rPr>
                <w:szCs w:val="17"/>
              </w:rPr>
              <w:t>Vineyards</w:t>
            </w:r>
          </w:p>
        </w:tc>
        <w:tc>
          <w:tcPr>
            <w:tcW w:w="1308" w:type="pct"/>
            <w:tcBorders>
              <w:top w:val="single" w:sz="4" w:space="0" w:color="auto"/>
              <w:left w:val="nil"/>
              <w:bottom w:val="nil"/>
              <w:right w:val="nil"/>
            </w:tcBorders>
          </w:tcPr>
          <w:p w14:paraId="202DC9DF"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single" w:sz="4" w:space="0" w:color="auto"/>
              <w:left w:val="nil"/>
              <w:bottom w:val="nil"/>
              <w:right w:val="nil"/>
            </w:tcBorders>
          </w:tcPr>
          <w:p w14:paraId="17A642E3" w14:textId="77777777" w:rsidR="002B1A69" w:rsidRPr="00CD311A" w:rsidRDefault="002B1A69" w:rsidP="003F537D">
            <w:pPr>
              <w:pStyle w:val="TableText"/>
              <w:jc w:val="right"/>
              <w:rPr>
                <w:szCs w:val="17"/>
              </w:rPr>
            </w:pPr>
            <w:r>
              <w:rPr>
                <w:szCs w:val="17"/>
              </w:rPr>
              <w:t>1.0</w:t>
            </w:r>
          </w:p>
        </w:tc>
        <w:tc>
          <w:tcPr>
            <w:tcW w:w="682" w:type="pct"/>
            <w:tcBorders>
              <w:top w:val="single" w:sz="4" w:space="0" w:color="auto"/>
              <w:left w:val="nil"/>
              <w:bottom w:val="nil"/>
              <w:right w:val="nil"/>
            </w:tcBorders>
          </w:tcPr>
          <w:p w14:paraId="6060ADE5" w14:textId="77777777" w:rsidR="002B1A69" w:rsidRPr="00CD311A" w:rsidRDefault="002B1A69" w:rsidP="003F537D">
            <w:pPr>
              <w:pStyle w:val="TableText"/>
              <w:jc w:val="right"/>
              <w:rPr>
                <w:szCs w:val="17"/>
              </w:rPr>
            </w:pPr>
            <w:r>
              <w:rPr>
                <w:szCs w:val="17"/>
              </w:rPr>
              <w:t>368</w:t>
            </w:r>
          </w:p>
        </w:tc>
      </w:tr>
      <w:tr w:rsidR="002B1A69" w:rsidRPr="00CD311A" w14:paraId="5194CED0" w14:textId="77777777" w:rsidTr="00514EF5">
        <w:trPr>
          <w:cantSplit/>
        </w:trPr>
        <w:tc>
          <w:tcPr>
            <w:tcW w:w="555" w:type="pct"/>
            <w:vMerge/>
            <w:tcBorders>
              <w:top w:val="nil"/>
              <w:left w:val="nil"/>
              <w:right w:val="nil"/>
            </w:tcBorders>
          </w:tcPr>
          <w:p w14:paraId="1A13DA01" w14:textId="77777777" w:rsidR="002B1A69" w:rsidRDefault="002B1A69" w:rsidP="003F537D">
            <w:pPr>
              <w:pStyle w:val="TableText"/>
              <w:rPr>
                <w:szCs w:val="17"/>
              </w:rPr>
            </w:pPr>
          </w:p>
        </w:tc>
        <w:tc>
          <w:tcPr>
            <w:tcW w:w="575" w:type="pct"/>
            <w:tcBorders>
              <w:top w:val="nil"/>
              <w:left w:val="nil"/>
              <w:bottom w:val="single" w:sz="4" w:space="0" w:color="auto"/>
              <w:right w:val="nil"/>
            </w:tcBorders>
          </w:tcPr>
          <w:p w14:paraId="069F1270" w14:textId="77777777" w:rsidR="002B1A69" w:rsidRDefault="002B1A69" w:rsidP="003F537D">
            <w:pPr>
              <w:pStyle w:val="TableText"/>
              <w:rPr>
                <w:szCs w:val="17"/>
              </w:rPr>
            </w:pPr>
          </w:p>
        </w:tc>
        <w:tc>
          <w:tcPr>
            <w:tcW w:w="1516" w:type="pct"/>
            <w:tcBorders>
              <w:top w:val="nil"/>
              <w:left w:val="nil"/>
              <w:bottom w:val="single" w:sz="4" w:space="0" w:color="auto"/>
              <w:right w:val="nil"/>
            </w:tcBorders>
          </w:tcPr>
          <w:p w14:paraId="1F92FD66" w14:textId="77777777" w:rsidR="002B1A69" w:rsidRPr="00CD311A" w:rsidRDefault="002B1A69" w:rsidP="003F537D">
            <w:pPr>
              <w:pStyle w:val="TableText"/>
              <w:rPr>
                <w:szCs w:val="17"/>
              </w:rPr>
            </w:pPr>
            <w:r>
              <w:rPr>
                <w:szCs w:val="17"/>
              </w:rPr>
              <w:t>Spot application in vineyards</w:t>
            </w:r>
          </w:p>
        </w:tc>
        <w:tc>
          <w:tcPr>
            <w:tcW w:w="1308" w:type="pct"/>
            <w:tcBorders>
              <w:top w:val="nil"/>
              <w:left w:val="nil"/>
              <w:bottom w:val="single" w:sz="4" w:space="0" w:color="auto"/>
              <w:right w:val="nil"/>
            </w:tcBorders>
          </w:tcPr>
          <w:p w14:paraId="650FFA0F" w14:textId="77777777" w:rsidR="002B1A69" w:rsidRPr="00CD311A" w:rsidRDefault="002B1A69" w:rsidP="003F537D">
            <w:pPr>
              <w:pStyle w:val="TableText"/>
              <w:jc w:val="right"/>
              <w:rPr>
                <w:szCs w:val="17"/>
              </w:rPr>
            </w:pPr>
            <w:r>
              <w:rPr>
                <w:szCs w:val="17"/>
              </w:rPr>
              <w:t xml:space="preserve">From </w:t>
            </w:r>
            <w:r w:rsidRPr="00947C88">
              <w:rPr>
                <w:szCs w:val="17"/>
              </w:rPr>
              <w:t xml:space="preserve">1× </w:t>
            </w:r>
            <w:r>
              <w:rPr>
                <w:szCs w:val="17"/>
              </w:rPr>
              <w:t xml:space="preserve">368 </w:t>
            </w:r>
            <w:r w:rsidRPr="00947C88">
              <w:rPr>
                <w:szCs w:val="17"/>
              </w:rPr>
              <w:t>g ac/ha</w:t>
            </w:r>
          </w:p>
        </w:tc>
        <w:tc>
          <w:tcPr>
            <w:tcW w:w="364" w:type="pct"/>
            <w:tcBorders>
              <w:top w:val="nil"/>
              <w:left w:val="nil"/>
              <w:bottom w:val="single" w:sz="4" w:space="0" w:color="auto"/>
              <w:right w:val="nil"/>
            </w:tcBorders>
          </w:tcPr>
          <w:p w14:paraId="30F900A5" w14:textId="77777777" w:rsidR="002B1A69" w:rsidRPr="00CD311A" w:rsidRDefault="002B1A69" w:rsidP="003F537D">
            <w:pPr>
              <w:pStyle w:val="TableText"/>
              <w:jc w:val="right"/>
              <w:rPr>
                <w:szCs w:val="17"/>
              </w:rPr>
            </w:pPr>
            <w:r>
              <w:rPr>
                <w:szCs w:val="17"/>
              </w:rPr>
              <w:t>0.4</w:t>
            </w:r>
          </w:p>
        </w:tc>
        <w:tc>
          <w:tcPr>
            <w:tcW w:w="682" w:type="pct"/>
            <w:tcBorders>
              <w:top w:val="nil"/>
              <w:left w:val="nil"/>
              <w:bottom w:val="single" w:sz="4" w:space="0" w:color="auto"/>
              <w:right w:val="nil"/>
            </w:tcBorders>
          </w:tcPr>
          <w:p w14:paraId="5B9A82B2" w14:textId="77777777" w:rsidR="002B1A69" w:rsidRPr="00CD311A" w:rsidRDefault="002B1A69" w:rsidP="003F537D">
            <w:pPr>
              <w:pStyle w:val="TableText"/>
              <w:jc w:val="right"/>
              <w:rPr>
                <w:szCs w:val="17"/>
              </w:rPr>
            </w:pPr>
            <w:r>
              <w:rPr>
                <w:szCs w:val="17"/>
              </w:rPr>
              <w:t>147</w:t>
            </w:r>
          </w:p>
        </w:tc>
      </w:tr>
    </w:tbl>
    <w:p w14:paraId="338013CE" w14:textId="77777777" w:rsidR="002B1A69" w:rsidRDefault="002B1A69" w:rsidP="003F537D">
      <w:pPr>
        <w:pStyle w:val="SourceTableNote"/>
      </w:pPr>
      <w:bookmarkStart w:id="506" w:name="_Hlk199248698"/>
      <w:r w:rsidRPr="00696A67">
        <w:t xml:space="preserve">Risk assessment scenarios as described in APVMA </w:t>
      </w:r>
      <w:r>
        <w:t>(</w:t>
      </w:r>
      <w:r w:rsidRPr="00696A67">
        <w:t>2024</w:t>
      </w:r>
      <w:r>
        <w:t>)</w:t>
      </w:r>
      <w:r w:rsidRPr="00696A67">
        <w:t xml:space="preserve"> but with modifications to account for comments and omissions/errors in original report</w:t>
      </w:r>
    </w:p>
    <w:p w14:paraId="538491BD" w14:textId="77777777" w:rsidR="002B1A69" w:rsidRDefault="002B1A69" w:rsidP="003F537D">
      <w:pPr>
        <w:pStyle w:val="SourceTableNote"/>
      </w:pPr>
      <w:r>
        <w:t>FFT = fraction of field treated = 0.4 for spot sprayer uses (default value)</w:t>
      </w:r>
    </w:p>
    <w:p w14:paraId="1FD7D994" w14:textId="77777777" w:rsidR="002B1A69" w:rsidRDefault="002B1A69" w:rsidP="003F537D">
      <w:pPr>
        <w:pStyle w:val="SourceTableNote"/>
      </w:pPr>
      <w:r>
        <w:t>S</w:t>
      </w:r>
      <w:r w:rsidRPr="002C16B6">
        <w:t xml:space="preserve">easonal exposure rates </w:t>
      </w:r>
      <w:r>
        <w:t xml:space="preserve">are </w:t>
      </w:r>
      <w:r w:rsidRPr="002C16B6">
        <w:t xml:space="preserve">based on </w:t>
      </w:r>
      <w:r>
        <w:t xml:space="preserve">the </w:t>
      </w:r>
      <w:r w:rsidRPr="002C16B6">
        <w:t>indicated application rate, frequency</w:t>
      </w:r>
      <w:r>
        <w:t>, FFT</w:t>
      </w:r>
      <w:r w:rsidRPr="002C16B6">
        <w:t xml:space="preserve"> and</w:t>
      </w:r>
      <w:r>
        <w:t xml:space="preserve"> default</w:t>
      </w:r>
      <w:r w:rsidRPr="002C16B6">
        <w:t xml:space="preserve"> DT</w:t>
      </w:r>
      <w:r w:rsidRPr="002C16B6">
        <w:rPr>
          <w:vertAlign w:val="subscript"/>
        </w:rPr>
        <w:t>50</w:t>
      </w:r>
      <w:r>
        <w:t xml:space="preserve"> (10 d)</w:t>
      </w:r>
    </w:p>
    <w:p w14:paraId="36C2B50B" w14:textId="77777777" w:rsidR="002B1A69" w:rsidRDefault="002B1A69" w:rsidP="003F537D">
      <w:pPr>
        <w:pStyle w:val="SourceTableNote"/>
      </w:pPr>
      <w:r>
        <w:tab/>
        <w:t>Seasonal exposure rate, single application = application rate × FFT</w:t>
      </w:r>
    </w:p>
    <w:p w14:paraId="66A83C43" w14:textId="77777777" w:rsidR="002B1A69" w:rsidRDefault="002B1A69" w:rsidP="003F537D">
      <w:pPr>
        <w:pStyle w:val="SourceTableNote"/>
      </w:pPr>
      <w:r>
        <w:t>Seasonal exposure rate, multiple applications = application rate × (1 – EXP(-1 × number of applications × LN(2) ∕ DT</w:t>
      </w:r>
      <w:r w:rsidRPr="00CD180A">
        <w:rPr>
          <w:vertAlign w:val="subscript"/>
        </w:rPr>
        <w:t>50</w:t>
      </w:r>
      <w:r>
        <w:t xml:space="preserve"> × application interval) ∕ (1 – EXP(-1 × LN(2) ∕ DT</w:t>
      </w:r>
      <w:r w:rsidRPr="00CD180A">
        <w:rPr>
          <w:vertAlign w:val="subscript"/>
        </w:rPr>
        <w:t>50</w:t>
      </w:r>
      <w:r>
        <w:t xml:space="preserve"> × application interval))) × FFT</w:t>
      </w:r>
    </w:p>
    <w:p w14:paraId="0B620715" w14:textId="2E538D46" w:rsidR="00AE1794" w:rsidRPr="00247DE6" w:rsidRDefault="005B7DDF" w:rsidP="00247DE6">
      <w:pPr>
        <w:pStyle w:val="Caption"/>
      </w:pPr>
      <w:bookmarkStart w:id="507" w:name="_Ref170461194"/>
      <w:bookmarkStart w:id="508" w:name="_Toc232589651"/>
      <w:bookmarkEnd w:id="506"/>
      <w:r w:rsidRPr="00247DE6">
        <w:t xml:space="preserve">Table </w:t>
      </w:r>
      <w:fldSimple w:instr=" SEQ Table \* ARABIC ">
        <w:r w:rsidR="00247DE6">
          <w:rPr>
            <w:noProof/>
          </w:rPr>
          <w:t>56</w:t>
        </w:r>
      </w:fldSimple>
      <w:bookmarkEnd w:id="507"/>
      <w:r w:rsidRPr="00247DE6">
        <w:t xml:space="preserve">: </w:t>
      </w:r>
      <w:r w:rsidR="002B1A69" w:rsidRPr="00247DE6">
        <w:t xml:space="preserve">Assessment of </w:t>
      </w:r>
      <w:r w:rsidR="00AE1794" w:rsidRPr="00247DE6">
        <w:t>risks to wild mammals (</w:t>
      </w:r>
      <w:r w:rsidR="002B1A69" w:rsidRPr="00247DE6">
        <w:t xml:space="preserve">acute </w:t>
      </w:r>
      <w:r w:rsidR="00AE1794" w:rsidRPr="00247DE6">
        <w:t xml:space="preserve">RAL </w:t>
      </w:r>
      <w:r w:rsidR="002B1A69" w:rsidRPr="00247DE6">
        <w:t xml:space="preserve">21 </w:t>
      </w:r>
      <w:r w:rsidR="00AE1794" w:rsidRPr="00247DE6">
        <w:t>mg/kg bw</w:t>
      </w:r>
      <w:r w:rsidR="002B1A69" w:rsidRPr="00247DE6">
        <w:t>; chronic RAL 4.0 mg ac/kg bw/d</w:t>
      </w:r>
      <w:r w:rsidR="00AE1794" w:rsidRPr="00247DE6">
        <w:t>)</w:t>
      </w:r>
      <w:bookmarkEnd w:id="508"/>
    </w:p>
    <w:tbl>
      <w:tblPr>
        <w:tblW w:w="5000" w:type="pct"/>
        <w:tblCellMar>
          <w:top w:w="57" w:type="dxa"/>
          <w:left w:w="57" w:type="dxa"/>
          <w:bottom w:w="57" w:type="dxa"/>
          <w:right w:w="57" w:type="dxa"/>
        </w:tblCellMar>
        <w:tblLook w:val="0000" w:firstRow="0" w:lastRow="0" w:firstColumn="0" w:lastColumn="0" w:noHBand="0" w:noVBand="0"/>
      </w:tblPr>
      <w:tblGrid>
        <w:gridCol w:w="1721"/>
        <w:gridCol w:w="1292"/>
        <w:gridCol w:w="1578"/>
        <w:gridCol w:w="1291"/>
        <w:gridCol w:w="967"/>
        <w:gridCol w:w="967"/>
        <w:gridCol w:w="967"/>
        <w:gridCol w:w="969"/>
      </w:tblGrid>
      <w:tr w:rsidR="002B1A69" w:rsidRPr="00CE16D2" w14:paraId="0C3DF73E" w14:textId="77777777" w:rsidTr="00B36690">
        <w:trPr>
          <w:cantSplit/>
          <w:tblHeader/>
        </w:trPr>
        <w:tc>
          <w:tcPr>
            <w:tcW w:w="882" w:type="pct"/>
            <w:vMerge w:val="restart"/>
            <w:tcBorders>
              <w:top w:val="single" w:sz="4" w:space="0" w:color="auto"/>
              <w:right w:val="single" w:sz="4" w:space="0" w:color="auto"/>
            </w:tcBorders>
            <w:shd w:val="clear" w:color="auto" w:fill="5C2946"/>
          </w:tcPr>
          <w:p w14:paraId="29592C4A" w14:textId="77777777" w:rsidR="002B1A69" w:rsidRPr="00B36690" w:rsidRDefault="002B1A69" w:rsidP="00B36690">
            <w:pPr>
              <w:pStyle w:val="TableHead"/>
            </w:pPr>
            <w:r w:rsidRPr="00B36690">
              <w:t>Situation</w:t>
            </w:r>
          </w:p>
        </w:tc>
        <w:tc>
          <w:tcPr>
            <w:tcW w:w="662" w:type="pct"/>
            <w:vMerge w:val="restart"/>
            <w:tcBorders>
              <w:top w:val="single" w:sz="4" w:space="0" w:color="auto"/>
              <w:left w:val="single" w:sz="4" w:space="0" w:color="auto"/>
              <w:right w:val="single" w:sz="4" w:space="0" w:color="auto"/>
            </w:tcBorders>
            <w:shd w:val="clear" w:color="auto" w:fill="5C2946"/>
          </w:tcPr>
          <w:p w14:paraId="5D04ED2C" w14:textId="77777777" w:rsidR="002B1A69" w:rsidRPr="00B36690" w:rsidRDefault="002B1A69" w:rsidP="00B36690">
            <w:pPr>
              <w:pStyle w:val="TableHead"/>
            </w:pPr>
            <w:r w:rsidRPr="00B36690">
              <w:t>Crop group</w:t>
            </w:r>
          </w:p>
        </w:tc>
        <w:tc>
          <w:tcPr>
            <w:tcW w:w="809" w:type="pct"/>
            <w:vMerge w:val="restart"/>
            <w:tcBorders>
              <w:top w:val="single" w:sz="4" w:space="0" w:color="auto"/>
              <w:left w:val="single" w:sz="4" w:space="0" w:color="auto"/>
              <w:right w:val="single" w:sz="4" w:space="0" w:color="auto"/>
            </w:tcBorders>
            <w:shd w:val="clear" w:color="auto" w:fill="5C2946"/>
          </w:tcPr>
          <w:p w14:paraId="210B861B" w14:textId="77777777" w:rsidR="002B1A69" w:rsidRPr="00B36690" w:rsidRDefault="002B1A69" w:rsidP="00B36690">
            <w:pPr>
              <w:pStyle w:val="TableHead"/>
            </w:pPr>
            <w:r w:rsidRPr="00B36690">
              <w:t>Generic focal species</w:t>
            </w:r>
          </w:p>
        </w:tc>
        <w:tc>
          <w:tcPr>
            <w:tcW w:w="662" w:type="pct"/>
            <w:vMerge w:val="restart"/>
            <w:tcBorders>
              <w:top w:val="single" w:sz="4" w:space="0" w:color="auto"/>
              <w:left w:val="single" w:sz="4" w:space="0" w:color="auto"/>
              <w:right w:val="single" w:sz="4" w:space="0" w:color="auto"/>
            </w:tcBorders>
            <w:shd w:val="clear" w:color="auto" w:fill="5C2946"/>
          </w:tcPr>
          <w:p w14:paraId="52247A79" w14:textId="77777777" w:rsidR="002B1A69" w:rsidRPr="00B36690" w:rsidRDefault="002B1A69" w:rsidP="00B36690">
            <w:pPr>
              <w:pStyle w:val="TableHead"/>
            </w:pPr>
            <w:r w:rsidRPr="00B36690">
              <w:t>Crop stage</w:t>
            </w:r>
          </w:p>
        </w:tc>
        <w:tc>
          <w:tcPr>
            <w:tcW w:w="992" w:type="pct"/>
            <w:gridSpan w:val="2"/>
            <w:tcBorders>
              <w:top w:val="single" w:sz="4" w:space="0" w:color="auto"/>
              <w:left w:val="single" w:sz="4" w:space="0" w:color="auto"/>
              <w:bottom w:val="single" w:sz="4" w:space="0" w:color="auto"/>
              <w:right w:val="single" w:sz="4" w:space="0" w:color="auto"/>
            </w:tcBorders>
            <w:shd w:val="clear" w:color="auto" w:fill="5C2946"/>
          </w:tcPr>
          <w:p w14:paraId="5C7B446E" w14:textId="77777777" w:rsidR="002B1A69" w:rsidRPr="00B36690" w:rsidRDefault="002B1A69" w:rsidP="00B36690">
            <w:pPr>
              <w:pStyle w:val="TableHead"/>
              <w:jc w:val="right"/>
            </w:pPr>
            <w:r w:rsidRPr="00B36690">
              <w:t>Shortcut value</w:t>
            </w:r>
          </w:p>
        </w:tc>
        <w:tc>
          <w:tcPr>
            <w:tcW w:w="993" w:type="pct"/>
            <w:gridSpan w:val="2"/>
            <w:tcBorders>
              <w:top w:val="single" w:sz="4" w:space="0" w:color="auto"/>
              <w:left w:val="single" w:sz="4" w:space="0" w:color="auto"/>
              <w:bottom w:val="single" w:sz="4" w:space="0" w:color="auto"/>
            </w:tcBorders>
            <w:shd w:val="clear" w:color="auto" w:fill="5C2946"/>
          </w:tcPr>
          <w:p w14:paraId="7FFD0CF2" w14:textId="77777777" w:rsidR="002B1A69" w:rsidRPr="00B36690" w:rsidRDefault="002B1A69" w:rsidP="00B36690">
            <w:pPr>
              <w:pStyle w:val="TableHead"/>
              <w:jc w:val="right"/>
            </w:pPr>
            <w:r w:rsidRPr="00B36690">
              <w:t xml:space="preserve">Acceptable rate </w:t>
            </w:r>
          </w:p>
          <w:p w14:paraId="29E689B7" w14:textId="77777777" w:rsidR="002B1A69" w:rsidRPr="00B36690" w:rsidRDefault="002B1A69" w:rsidP="00B36690">
            <w:pPr>
              <w:pStyle w:val="TableHead"/>
              <w:jc w:val="right"/>
            </w:pPr>
            <w:r w:rsidRPr="00B36690">
              <w:t>(g ac/ha)</w:t>
            </w:r>
          </w:p>
        </w:tc>
      </w:tr>
      <w:tr w:rsidR="002B1A69" w:rsidRPr="00CE16D2" w14:paraId="1F54E633" w14:textId="77777777" w:rsidTr="00B36690">
        <w:trPr>
          <w:cantSplit/>
          <w:tblHeader/>
        </w:trPr>
        <w:tc>
          <w:tcPr>
            <w:tcW w:w="882" w:type="pct"/>
            <w:vMerge/>
            <w:tcBorders>
              <w:bottom w:val="single" w:sz="4" w:space="0" w:color="auto"/>
              <w:right w:val="single" w:sz="4" w:space="0" w:color="auto"/>
            </w:tcBorders>
            <w:shd w:val="clear" w:color="auto" w:fill="5C2946"/>
          </w:tcPr>
          <w:p w14:paraId="4042BD1F" w14:textId="77777777" w:rsidR="002B1A69" w:rsidRPr="00B36690" w:rsidRDefault="002B1A69" w:rsidP="00B36690">
            <w:pPr>
              <w:pStyle w:val="TableHead"/>
            </w:pPr>
          </w:p>
        </w:tc>
        <w:tc>
          <w:tcPr>
            <w:tcW w:w="662" w:type="pct"/>
            <w:vMerge/>
            <w:tcBorders>
              <w:left w:val="single" w:sz="4" w:space="0" w:color="auto"/>
              <w:bottom w:val="single" w:sz="4" w:space="0" w:color="auto"/>
              <w:right w:val="single" w:sz="4" w:space="0" w:color="auto"/>
            </w:tcBorders>
            <w:shd w:val="clear" w:color="auto" w:fill="5C2946"/>
          </w:tcPr>
          <w:p w14:paraId="5B5E1F8F" w14:textId="77777777" w:rsidR="002B1A69" w:rsidRPr="00B36690" w:rsidRDefault="002B1A69" w:rsidP="00B36690">
            <w:pPr>
              <w:pStyle w:val="TableHead"/>
            </w:pPr>
          </w:p>
        </w:tc>
        <w:tc>
          <w:tcPr>
            <w:tcW w:w="809" w:type="pct"/>
            <w:vMerge/>
            <w:tcBorders>
              <w:left w:val="single" w:sz="4" w:space="0" w:color="auto"/>
              <w:bottom w:val="single" w:sz="4" w:space="0" w:color="auto"/>
              <w:right w:val="single" w:sz="4" w:space="0" w:color="auto"/>
            </w:tcBorders>
            <w:shd w:val="clear" w:color="auto" w:fill="5C2946"/>
          </w:tcPr>
          <w:p w14:paraId="44ED8DDC" w14:textId="77777777" w:rsidR="002B1A69" w:rsidRPr="00B36690" w:rsidRDefault="002B1A69" w:rsidP="00B36690">
            <w:pPr>
              <w:pStyle w:val="TableHead"/>
            </w:pPr>
          </w:p>
        </w:tc>
        <w:tc>
          <w:tcPr>
            <w:tcW w:w="662" w:type="pct"/>
            <w:vMerge/>
            <w:tcBorders>
              <w:left w:val="single" w:sz="4" w:space="0" w:color="auto"/>
              <w:bottom w:val="single" w:sz="4" w:space="0" w:color="auto"/>
              <w:right w:val="single" w:sz="4" w:space="0" w:color="auto"/>
            </w:tcBorders>
            <w:shd w:val="clear" w:color="auto" w:fill="5C2946"/>
          </w:tcPr>
          <w:p w14:paraId="686813C0" w14:textId="77777777" w:rsidR="002B1A69" w:rsidRPr="00B36690" w:rsidRDefault="002B1A69" w:rsidP="00B36690">
            <w:pPr>
              <w:pStyle w:val="TableHead"/>
            </w:pPr>
          </w:p>
        </w:tc>
        <w:tc>
          <w:tcPr>
            <w:tcW w:w="496" w:type="pct"/>
            <w:tcBorders>
              <w:top w:val="single" w:sz="4" w:space="0" w:color="auto"/>
              <w:left w:val="single" w:sz="4" w:space="0" w:color="auto"/>
              <w:bottom w:val="single" w:sz="4" w:space="0" w:color="auto"/>
              <w:right w:val="single" w:sz="4" w:space="0" w:color="auto"/>
            </w:tcBorders>
            <w:shd w:val="clear" w:color="auto" w:fill="5C2946"/>
          </w:tcPr>
          <w:p w14:paraId="7BCA9CFD" w14:textId="77777777" w:rsidR="002B1A69" w:rsidRPr="00B36690" w:rsidRDefault="002B1A69" w:rsidP="00B36690">
            <w:pPr>
              <w:pStyle w:val="TableHead"/>
              <w:jc w:val="right"/>
            </w:pPr>
            <w:r w:rsidRPr="00B36690">
              <w:t>acute</w:t>
            </w:r>
          </w:p>
        </w:tc>
        <w:tc>
          <w:tcPr>
            <w:tcW w:w="496" w:type="pct"/>
            <w:tcBorders>
              <w:top w:val="single" w:sz="4" w:space="0" w:color="auto"/>
              <w:left w:val="single" w:sz="4" w:space="0" w:color="auto"/>
              <w:bottom w:val="single" w:sz="4" w:space="0" w:color="auto"/>
              <w:right w:val="single" w:sz="4" w:space="0" w:color="auto"/>
            </w:tcBorders>
            <w:shd w:val="clear" w:color="auto" w:fill="5C2946"/>
          </w:tcPr>
          <w:p w14:paraId="26F599DC" w14:textId="77777777" w:rsidR="002B1A69" w:rsidRPr="00B36690" w:rsidRDefault="002B1A69" w:rsidP="00B36690">
            <w:pPr>
              <w:pStyle w:val="TableHead"/>
              <w:jc w:val="right"/>
            </w:pPr>
            <w:r w:rsidRPr="00B36690">
              <w:t>chronic</w:t>
            </w:r>
          </w:p>
        </w:tc>
        <w:tc>
          <w:tcPr>
            <w:tcW w:w="496" w:type="pct"/>
            <w:tcBorders>
              <w:top w:val="single" w:sz="4" w:space="0" w:color="auto"/>
              <w:left w:val="single" w:sz="4" w:space="0" w:color="auto"/>
              <w:bottom w:val="single" w:sz="4" w:space="0" w:color="auto"/>
              <w:right w:val="single" w:sz="4" w:space="0" w:color="auto"/>
            </w:tcBorders>
            <w:shd w:val="clear" w:color="auto" w:fill="5C2946"/>
          </w:tcPr>
          <w:p w14:paraId="371C61D1" w14:textId="77777777" w:rsidR="002B1A69" w:rsidRPr="00B36690" w:rsidRDefault="002B1A69" w:rsidP="00B36690">
            <w:pPr>
              <w:pStyle w:val="TableHead"/>
              <w:jc w:val="right"/>
            </w:pPr>
            <w:r w:rsidRPr="00B36690">
              <w:t>acute</w:t>
            </w:r>
          </w:p>
        </w:tc>
        <w:tc>
          <w:tcPr>
            <w:tcW w:w="497" w:type="pct"/>
            <w:tcBorders>
              <w:top w:val="single" w:sz="4" w:space="0" w:color="auto"/>
              <w:left w:val="single" w:sz="4" w:space="0" w:color="auto"/>
              <w:bottom w:val="single" w:sz="4" w:space="0" w:color="auto"/>
            </w:tcBorders>
            <w:shd w:val="clear" w:color="auto" w:fill="5C2946"/>
          </w:tcPr>
          <w:p w14:paraId="56E1610C" w14:textId="77777777" w:rsidR="002B1A69" w:rsidRPr="00B36690" w:rsidRDefault="002B1A69" w:rsidP="00B36690">
            <w:pPr>
              <w:pStyle w:val="TableHead"/>
              <w:jc w:val="right"/>
            </w:pPr>
            <w:r w:rsidRPr="00B36690">
              <w:t>chronic</w:t>
            </w:r>
          </w:p>
        </w:tc>
      </w:tr>
      <w:tr w:rsidR="002B1A69" w:rsidRPr="006E15AF" w14:paraId="06E156F8" w14:textId="77777777" w:rsidTr="00303DF5">
        <w:trPr>
          <w:cantSplit/>
          <w:trHeight w:val="13"/>
        </w:trPr>
        <w:tc>
          <w:tcPr>
            <w:tcW w:w="882" w:type="pct"/>
            <w:tcBorders>
              <w:top w:val="single" w:sz="4" w:space="0" w:color="auto"/>
              <w:bottom w:val="single" w:sz="4" w:space="0" w:color="auto"/>
            </w:tcBorders>
          </w:tcPr>
          <w:p w14:paraId="170FE807" w14:textId="77777777" w:rsidR="002B1A69" w:rsidRPr="00B36690" w:rsidRDefault="002B1A69" w:rsidP="00B36690">
            <w:pPr>
              <w:pStyle w:val="TableText"/>
            </w:pPr>
            <w:r w:rsidRPr="00B36690">
              <w:t>General weed control in fallow, market gardens, nurseries, potatoes (early/pre-emergence), rice, row crops, vegetables, oilseeds, hops, asparagus</w:t>
            </w:r>
          </w:p>
        </w:tc>
        <w:tc>
          <w:tcPr>
            <w:tcW w:w="662" w:type="pct"/>
            <w:tcBorders>
              <w:top w:val="single" w:sz="4" w:space="0" w:color="auto"/>
              <w:bottom w:val="single" w:sz="4" w:space="0" w:color="auto"/>
            </w:tcBorders>
          </w:tcPr>
          <w:p w14:paraId="5845228B" w14:textId="77777777" w:rsidR="002B1A69" w:rsidRPr="00B36690" w:rsidRDefault="002B1A69" w:rsidP="00B36690">
            <w:pPr>
              <w:pStyle w:val="TableText"/>
            </w:pPr>
            <w:r w:rsidRPr="00B36690">
              <w:t>Bare soil</w:t>
            </w:r>
          </w:p>
        </w:tc>
        <w:tc>
          <w:tcPr>
            <w:tcW w:w="809" w:type="pct"/>
            <w:tcBorders>
              <w:top w:val="single" w:sz="4" w:space="0" w:color="auto"/>
              <w:bottom w:val="single" w:sz="4" w:space="0" w:color="auto"/>
            </w:tcBorders>
          </w:tcPr>
          <w:p w14:paraId="6F4B0BB4" w14:textId="77777777" w:rsidR="002B1A69" w:rsidRPr="00B36690" w:rsidRDefault="002B1A69" w:rsidP="00B36690">
            <w:pPr>
              <w:pStyle w:val="TableText"/>
            </w:pPr>
            <w:r w:rsidRPr="00B36690">
              <w:t>Small omnivore</w:t>
            </w:r>
          </w:p>
        </w:tc>
        <w:tc>
          <w:tcPr>
            <w:tcW w:w="662" w:type="pct"/>
            <w:tcBorders>
              <w:top w:val="single" w:sz="4" w:space="0" w:color="auto"/>
              <w:bottom w:val="single" w:sz="4" w:space="0" w:color="auto"/>
            </w:tcBorders>
          </w:tcPr>
          <w:p w14:paraId="2D0CF719" w14:textId="77777777" w:rsidR="002B1A69" w:rsidRPr="00B36690" w:rsidRDefault="002B1A69" w:rsidP="00B36690">
            <w:pPr>
              <w:pStyle w:val="TableText"/>
            </w:pPr>
            <w:r w:rsidRPr="00B36690">
              <w:t>BBCH &lt;10</w:t>
            </w:r>
          </w:p>
        </w:tc>
        <w:tc>
          <w:tcPr>
            <w:tcW w:w="496" w:type="pct"/>
            <w:tcBorders>
              <w:top w:val="single" w:sz="4" w:space="0" w:color="auto"/>
              <w:bottom w:val="single" w:sz="4" w:space="0" w:color="auto"/>
            </w:tcBorders>
          </w:tcPr>
          <w:p w14:paraId="6570338D" w14:textId="77777777" w:rsidR="002B1A69" w:rsidRPr="00B36690" w:rsidRDefault="002B1A69" w:rsidP="00B36690">
            <w:pPr>
              <w:pStyle w:val="TableText"/>
              <w:jc w:val="right"/>
            </w:pPr>
            <w:r w:rsidRPr="00B36690">
              <w:t>14.3</w:t>
            </w:r>
          </w:p>
        </w:tc>
        <w:tc>
          <w:tcPr>
            <w:tcW w:w="496" w:type="pct"/>
            <w:tcBorders>
              <w:top w:val="single" w:sz="4" w:space="0" w:color="auto"/>
              <w:bottom w:val="single" w:sz="4" w:space="0" w:color="auto"/>
            </w:tcBorders>
          </w:tcPr>
          <w:p w14:paraId="1C768E47" w14:textId="77777777" w:rsidR="002B1A69" w:rsidRPr="00B36690" w:rsidRDefault="002B1A69" w:rsidP="00B36690">
            <w:pPr>
              <w:pStyle w:val="TableText"/>
              <w:jc w:val="right"/>
            </w:pPr>
            <w:r w:rsidRPr="00B36690">
              <w:t>5.7</w:t>
            </w:r>
          </w:p>
        </w:tc>
        <w:tc>
          <w:tcPr>
            <w:tcW w:w="496" w:type="pct"/>
            <w:tcBorders>
              <w:top w:val="single" w:sz="4" w:space="0" w:color="auto"/>
              <w:bottom w:val="single" w:sz="4" w:space="0" w:color="auto"/>
            </w:tcBorders>
          </w:tcPr>
          <w:p w14:paraId="0B3CFC68" w14:textId="77777777" w:rsidR="002B1A69" w:rsidRPr="00B36690" w:rsidRDefault="002B1A69" w:rsidP="00B36690">
            <w:pPr>
              <w:pStyle w:val="TableText"/>
              <w:jc w:val="right"/>
            </w:pPr>
            <w:r w:rsidRPr="00B36690">
              <w:t>1469</w:t>
            </w:r>
          </w:p>
        </w:tc>
        <w:tc>
          <w:tcPr>
            <w:tcW w:w="497" w:type="pct"/>
            <w:tcBorders>
              <w:top w:val="single" w:sz="4" w:space="0" w:color="auto"/>
              <w:bottom w:val="single" w:sz="4" w:space="0" w:color="auto"/>
            </w:tcBorders>
          </w:tcPr>
          <w:p w14:paraId="3DABE79D" w14:textId="77777777" w:rsidR="002B1A69" w:rsidRPr="00B36690" w:rsidRDefault="002B1A69" w:rsidP="00B36690">
            <w:pPr>
              <w:pStyle w:val="TableText"/>
              <w:jc w:val="right"/>
            </w:pPr>
            <w:r w:rsidRPr="00B36690">
              <w:t>2664</w:t>
            </w:r>
          </w:p>
        </w:tc>
      </w:tr>
      <w:tr w:rsidR="002B1A69" w:rsidRPr="006E15AF" w14:paraId="7810226E" w14:textId="77777777" w:rsidTr="00303DF5">
        <w:trPr>
          <w:cantSplit/>
          <w:trHeight w:val="13"/>
        </w:trPr>
        <w:tc>
          <w:tcPr>
            <w:tcW w:w="882" w:type="pct"/>
            <w:vMerge w:val="restart"/>
            <w:tcBorders>
              <w:top w:val="single" w:sz="4" w:space="0" w:color="auto"/>
            </w:tcBorders>
          </w:tcPr>
          <w:p w14:paraId="0DD20EE9" w14:textId="77777777" w:rsidR="002B1A69" w:rsidRPr="00B36690" w:rsidRDefault="002B1A69" w:rsidP="00B36690">
            <w:pPr>
              <w:pStyle w:val="TableText"/>
            </w:pPr>
            <w:r w:rsidRPr="00B36690">
              <w:t xml:space="preserve">General weed </w:t>
            </w:r>
            <w:r w:rsidRPr="00B36690">
              <w:lastRenderedPageBreak/>
              <w:t>control in cereals (up to tillering)</w:t>
            </w:r>
          </w:p>
        </w:tc>
        <w:tc>
          <w:tcPr>
            <w:tcW w:w="662" w:type="pct"/>
            <w:vMerge w:val="restart"/>
            <w:tcBorders>
              <w:top w:val="single" w:sz="4" w:space="0" w:color="auto"/>
            </w:tcBorders>
          </w:tcPr>
          <w:p w14:paraId="4E92B791" w14:textId="77777777" w:rsidR="002B1A69" w:rsidRPr="00B36690" w:rsidRDefault="002B1A69" w:rsidP="00B36690">
            <w:pPr>
              <w:pStyle w:val="TableText"/>
            </w:pPr>
            <w:r w:rsidRPr="00B36690">
              <w:lastRenderedPageBreak/>
              <w:t>Cereals</w:t>
            </w:r>
          </w:p>
        </w:tc>
        <w:tc>
          <w:tcPr>
            <w:tcW w:w="809" w:type="pct"/>
            <w:tcBorders>
              <w:top w:val="single" w:sz="4" w:space="0" w:color="auto"/>
            </w:tcBorders>
          </w:tcPr>
          <w:p w14:paraId="6D9914FB" w14:textId="77777777" w:rsidR="002B1A69" w:rsidRPr="00B36690" w:rsidRDefault="002B1A69" w:rsidP="00B36690">
            <w:pPr>
              <w:pStyle w:val="TableText"/>
            </w:pPr>
            <w:r w:rsidRPr="00B36690">
              <w:t>Large herbivore</w:t>
            </w:r>
          </w:p>
        </w:tc>
        <w:tc>
          <w:tcPr>
            <w:tcW w:w="662" w:type="pct"/>
            <w:tcBorders>
              <w:top w:val="single" w:sz="4" w:space="0" w:color="auto"/>
            </w:tcBorders>
          </w:tcPr>
          <w:p w14:paraId="24C6E330" w14:textId="77777777" w:rsidR="002B1A69" w:rsidRPr="00B36690" w:rsidRDefault="002B1A69" w:rsidP="00B36690">
            <w:pPr>
              <w:pStyle w:val="TableText"/>
            </w:pPr>
            <w:r w:rsidRPr="00B36690">
              <w:t>Early (shoots)</w:t>
            </w:r>
          </w:p>
        </w:tc>
        <w:tc>
          <w:tcPr>
            <w:tcW w:w="496" w:type="pct"/>
            <w:tcBorders>
              <w:top w:val="single" w:sz="4" w:space="0" w:color="auto"/>
            </w:tcBorders>
          </w:tcPr>
          <w:p w14:paraId="7D06619B" w14:textId="77777777" w:rsidR="002B1A69" w:rsidRPr="00B36690" w:rsidRDefault="002B1A69" w:rsidP="00B36690">
            <w:pPr>
              <w:pStyle w:val="TableText"/>
              <w:jc w:val="right"/>
            </w:pPr>
            <w:r w:rsidRPr="00B36690">
              <w:t>42.1</w:t>
            </w:r>
          </w:p>
        </w:tc>
        <w:tc>
          <w:tcPr>
            <w:tcW w:w="496" w:type="pct"/>
            <w:tcBorders>
              <w:top w:val="single" w:sz="4" w:space="0" w:color="auto"/>
            </w:tcBorders>
          </w:tcPr>
          <w:p w14:paraId="78DB67D9" w14:textId="77777777" w:rsidR="002B1A69" w:rsidRPr="00B36690" w:rsidRDefault="002B1A69" w:rsidP="00B36690">
            <w:pPr>
              <w:pStyle w:val="TableText"/>
              <w:jc w:val="right"/>
            </w:pPr>
            <w:r w:rsidRPr="00B36690">
              <w:t>22.3</w:t>
            </w:r>
          </w:p>
        </w:tc>
        <w:tc>
          <w:tcPr>
            <w:tcW w:w="496" w:type="pct"/>
            <w:tcBorders>
              <w:top w:val="single" w:sz="4" w:space="0" w:color="auto"/>
            </w:tcBorders>
          </w:tcPr>
          <w:p w14:paraId="142BE972" w14:textId="77777777" w:rsidR="002B1A69" w:rsidRPr="00B36690" w:rsidRDefault="002B1A69" w:rsidP="00B36690">
            <w:pPr>
              <w:pStyle w:val="TableText"/>
              <w:jc w:val="right"/>
            </w:pPr>
            <w:r w:rsidRPr="00B36690">
              <w:t>499</w:t>
            </w:r>
          </w:p>
        </w:tc>
        <w:tc>
          <w:tcPr>
            <w:tcW w:w="497" w:type="pct"/>
            <w:tcBorders>
              <w:top w:val="single" w:sz="4" w:space="0" w:color="auto"/>
            </w:tcBorders>
          </w:tcPr>
          <w:p w14:paraId="73A76665" w14:textId="77777777" w:rsidR="002B1A69" w:rsidRPr="00B36690" w:rsidRDefault="002B1A69" w:rsidP="00B36690">
            <w:pPr>
              <w:pStyle w:val="TableText"/>
              <w:jc w:val="right"/>
            </w:pPr>
            <w:r w:rsidRPr="00B36690">
              <w:t>681</w:t>
            </w:r>
          </w:p>
        </w:tc>
      </w:tr>
      <w:tr w:rsidR="002B1A69" w:rsidRPr="006E15AF" w14:paraId="20B97D55" w14:textId="77777777" w:rsidTr="00303DF5">
        <w:trPr>
          <w:cantSplit/>
          <w:trHeight w:val="13"/>
        </w:trPr>
        <w:tc>
          <w:tcPr>
            <w:tcW w:w="882" w:type="pct"/>
            <w:vMerge/>
          </w:tcPr>
          <w:p w14:paraId="1E05CBFA" w14:textId="77777777" w:rsidR="002B1A69" w:rsidRPr="00B36690" w:rsidRDefault="002B1A69" w:rsidP="00B36690">
            <w:pPr>
              <w:pStyle w:val="TableText"/>
            </w:pPr>
          </w:p>
        </w:tc>
        <w:tc>
          <w:tcPr>
            <w:tcW w:w="662" w:type="pct"/>
            <w:vMerge/>
          </w:tcPr>
          <w:p w14:paraId="5F6EEC97" w14:textId="77777777" w:rsidR="002B1A69" w:rsidRPr="00B36690" w:rsidRDefault="002B1A69" w:rsidP="00B36690">
            <w:pPr>
              <w:pStyle w:val="TableText"/>
            </w:pPr>
          </w:p>
        </w:tc>
        <w:tc>
          <w:tcPr>
            <w:tcW w:w="809" w:type="pct"/>
          </w:tcPr>
          <w:p w14:paraId="3D775497" w14:textId="77777777" w:rsidR="002B1A69" w:rsidRPr="00B36690" w:rsidRDefault="002B1A69" w:rsidP="00B36690">
            <w:pPr>
              <w:pStyle w:val="TableText"/>
            </w:pPr>
            <w:r w:rsidRPr="00B36690">
              <w:t>Small omnivore</w:t>
            </w:r>
          </w:p>
        </w:tc>
        <w:tc>
          <w:tcPr>
            <w:tcW w:w="662" w:type="pct"/>
          </w:tcPr>
          <w:p w14:paraId="25F508BD" w14:textId="77777777" w:rsidR="002B1A69" w:rsidRPr="00B36690" w:rsidRDefault="002B1A69" w:rsidP="00B36690">
            <w:pPr>
              <w:pStyle w:val="TableText"/>
            </w:pPr>
            <w:r w:rsidRPr="00B36690">
              <w:t>BBCH 10-29</w:t>
            </w:r>
          </w:p>
        </w:tc>
        <w:tc>
          <w:tcPr>
            <w:tcW w:w="496" w:type="pct"/>
          </w:tcPr>
          <w:p w14:paraId="445CF302" w14:textId="77777777" w:rsidR="002B1A69" w:rsidRPr="00B36690" w:rsidRDefault="002B1A69" w:rsidP="00B36690">
            <w:pPr>
              <w:pStyle w:val="TableText"/>
              <w:jc w:val="right"/>
            </w:pPr>
            <w:r w:rsidRPr="00B36690">
              <w:t>17.2</w:t>
            </w:r>
          </w:p>
        </w:tc>
        <w:tc>
          <w:tcPr>
            <w:tcW w:w="496" w:type="pct"/>
          </w:tcPr>
          <w:p w14:paraId="3CE35DFB" w14:textId="77777777" w:rsidR="002B1A69" w:rsidRPr="00B36690" w:rsidRDefault="002B1A69" w:rsidP="00B36690">
            <w:pPr>
              <w:pStyle w:val="TableText"/>
              <w:jc w:val="right"/>
            </w:pPr>
            <w:r w:rsidRPr="00B36690">
              <w:t>7.8</w:t>
            </w:r>
          </w:p>
        </w:tc>
        <w:tc>
          <w:tcPr>
            <w:tcW w:w="496" w:type="pct"/>
          </w:tcPr>
          <w:p w14:paraId="7999403F" w14:textId="77777777" w:rsidR="002B1A69" w:rsidRPr="00B36690" w:rsidRDefault="002B1A69" w:rsidP="00B36690">
            <w:pPr>
              <w:pStyle w:val="TableText"/>
              <w:jc w:val="right"/>
            </w:pPr>
            <w:r w:rsidRPr="00B36690">
              <w:t>1221</w:t>
            </w:r>
          </w:p>
        </w:tc>
        <w:tc>
          <w:tcPr>
            <w:tcW w:w="497" w:type="pct"/>
          </w:tcPr>
          <w:p w14:paraId="07429778" w14:textId="77777777" w:rsidR="002B1A69" w:rsidRPr="00B36690" w:rsidRDefault="002B1A69" w:rsidP="00B36690">
            <w:pPr>
              <w:pStyle w:val="TableText"/>
              <w:jc w:val="right"/>
            </w:pPr>
            <w:r w:rsidRPr="00B36690">
              <w:t>1947</w:t>
            </w:r>
          </w:p>
        </w:tc>
      </w:tr>
      <w:tr w:rsidR="002B1A69" w:rsidRPr="006E15AF" w14:paraId="01076664" w14:textId="77777777" w:rsidTr="00303DF5">
        <w:trPr>
          <w:cantSplit/>
          <w:trHeight w:val="13"/>
        </w:trPr>
        <w:tc>
          <w:tcPr>
            <w:tcW w:w="882" w:type="pct"/>
            <w:vMerge/>
            <w:tcBorders>
              <w:bottom w:val="single" w:sz="4" w:space="0" w:color="auto"/>
            </w:tcBorders>
          </w:tcPr>
          <w:p w14:paraId="0709FC33" w14:textId="77777777" w:rsidR="002B1A69" w:rsidRPr="00B36690" w:rsidRDefault="002B1A69" w:rsidP="00B36690">
            <w:pPr>
              <w:pStyle w:val="TableText"/>
            </w:pPr>
          </w:p>
        </w:tc>
        <w:tc>
          <w:tcPr>
            <w:tcW w:w="662" w:type="pct"/>
            <w:vMerge/>
            <w:tcBorders>
              <w:bottom w:val="single" w:sz="4" w:space="0" w:color="auto"/>
            </w:tcBorders>
          </w:tcPr>
          <w:p w14:paraId="251CED99" w14:textId="77777777" w:rsidR="002B1A69" w:rsidRPr="00B36690" w:rsidRDefault="002B1A69" w:rsidP="00B36690">
            <w:pPr>
              <w:pStyle w:val="TableText"/>
            </w:pPr>
          </w:p>
        </w:tc>
        <w:tc>
          <w:tcPr>
            <w:tcW w:w="809" w:type="pct"/>
            <w:tcBorders>
              <w:bottom w:val="single" w:sz="4" w:space="0" w:color="auto"/>
            </w:tcBorders>
          </w:tcPr>
          <w:p w14:paraId="61D3BB7B"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12CC40AB" w14:textId="77777777" w:rsidR="002B1A69" w:rsidRPr="00B36690" w:rsidRDefault="002B1A69" w:rsidP="00B36690">
            <w:pPr>
              <w:pStyle w:val="TableText"/>
            </w:pPr>
            <w:r w:rsidRPr="00B36690">
              <w:t>BBCH 10-19</w:t>
            </w:r>
          </w:p>
        </w:tc>
        <w:tc>
          <w:tcPr>
            <w:tcW w:w="496" w:type="pct"/>
            <w:tcBorders>
              <w:bottom w:val="single" w:sz="4" w:space="0" w:color="auto"/>
            </w:tcBorders>
          </w:tcPr>
          <w:p w14:paraId="40D99193" w14:textId="77777777" w:rsidR="002B1A69" w:rsidRPr="00B36690" w:rsidRDefault="002B1A69" w:rsidP="00B36690">
            <w:pPr>
              <w:pStyle w:val="TableText"/>
              <w:jc w:val="right"/>
            </w:pPr>
            <w:r w:rsidRPr="00B36690">
              <w:t>7.6</w:t>
            </w:r>
          </w:p>
        </w:tc>
        <w:tc>
          <w:tcPr>
            <w:tcW w:w="496" w:type="pct"/>
            <w:tcBorders>
              <w:bottom w:val="single" w:sz="4" w:space="0" w:color="auto"/>
            </w:tcBorders>
          </w:tcPr>
          <w:p w14:paraId="75B289BE" w14:textId="77777777" w:rsidR="002B1A69" w:rsidRPr="00B36690" w:rsidRDefault="002B1A69" w:rsidP="00B36690">
            <w:pPr>
              <w:pStyle w:val="TableText"/>
              <w:jc w:val="right"/>
            </w:pPr>
            <w:r w:rsidRPr="00B36690">
              <w:t>4.2</w:t>
            </w:r>
          </w:p>
        </w:tc>
        <w:tc>
          <w:tcPr>
            <w:tcW w:w="496" w:type="pct"/>
            <w:tcBorders>
              <w:bottom w:val="single" w:sz="4" w:space="0" w:color="auto"/>
            </w:tcBorders>
          </w:tcPr>
          <w:p w14:paraId="5D5B39F4" w14:textId="77777777" w:rsidR="002B1A69" w:rsidRPr="00B36690" w:rsidRDefault="002B1A69" w:rsidP="00B36690">
            <w:pPr>
              <w:pStyle w:val="TableText"/>
              <w:jc w:val="right"/>
            </w:pPr>
            <w:r w:rsidRPr="00B36690">
              <w:t>2763</w:t>
            </w:r>
          </w:p>
        </w:tc>
        <w:tc>
          <w:tcPr>
            <w:tcW w:w="497" w:type="pct"/>
            <w:tcBorders>
              <w:bottom w:val="single" w:sz="4" w:space="0" w:color="auto"/>
            </w:tcBorders>
          </w:tcPr>
          <w:p w14:paraId="0FCB3044" w14:textId="77777777" w:rsidR="002B1A69" w:rsidRPr="00B36690" w:rsidRDefault="002B1A69" w:rsidP="00B36690">
            <w:pPr>
              <w:pStyle w:val="TableText"/>
              <w:jc w:val="right"/>
            </w:pPr>
            <w:r w:rsidRPr="00B36690">
              <w:t>3616</w:t>
            </w:r>
          </w:p>
        </w:tc>
      </w:tr>
      <w:tr w:rsidR="002B1A69" w:rsidRPr="006E15AF" w14:paraId="389BDC9F" w14:textId="77777777" w:rsidTr="00303DF5">
        <w:trPr>
          <w:cantSplit/>
          <w:trHeight w:val="13"/>
        </w:trPr>
        <w:tc>
          <w:tcPr>
            <w:tcW w:w="882" w:type="pct"/>
            <w:vMerge w:val="restart"/>
          </w:tcPr>
          <w:p w14:paraId="13EFBAF6" w14:textId="77777777" w:rsidR="002B1A69" w:rsidRPr="00B36690" w:rsidRDefault="002B1A69" w:rsidP="00B36690">
            <w:pPr>
              <w:pStyle w:val="TableText"/>
            </w:pPr>
            <w:r w:rsidRPr="00B36690">
              <w:t>General weed control in cereals (pre-harvest)</w:t>
            </w:r>
          </w:p>
        </w:tc>
        <w:tc>
          <w:tcPr>
            <w:tcW w:w="662" w:type="pct"/>
            <w:vMerge w:val="restart"/>
          </w:tcPr>
          <w:p w14:paraId="6EE41E6C" w14:textId="77777777" w:rsidR="002B1A69" w:rsidRPr="00B36690" w:rsidRDefault="002B1A69" w:rsidP="00B36690">
            <w:pPr>
              <w:pStyle w:val="TableText"/>
            </w:pPr>
            <w:r w:rsidRPr="00B36690">
              <w:t>Cereals</w:t>
            </w:r>
          </w:p>
        </w:tc>
        <w:tc>
          <w:tcPr>
            <w:tcW w:w="809" w:type="pct"/>
            <w:tcBorders>
              <w:top w:val="single" w:sz="4" w:space="0" w:color="auto"/>
            </w:tcBorders>
          </w:tcPr>
          <w:p w14:paraId="406FFD46"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2354352E" w14:textId="77777777" w:rsidR="002B1A69" w:rsidRPr="00B36690" w:rsidRDefault="002B1A69" w:rsidP="00B36690">
            <w:pPr>
              <w:pStyle w:val="TableText"/>
            </w:pPr>
            <w:r w:rsidRPr="00B36690">
              <w:t>BBCH ≥40</w:t>
            </w:r>
          </w:p>
        </w:tc>
        <w:tc>
          <w:tcPr>
            <w:tcW w:w="496" w:type="pct"/>
            <w:tcBorders>
              <w:top w:val="single" w:sz="4" w:space="0" w:color="auto"/>
            </w:tcBorders>
          </w:tcPr>
          <w:p w14:paraId="7088FBE0" w14:textId="77777777" w:rsidR="002B1A69" w:rsidRPr="00B36690" w:rsidRDefault="002B1A69" w:rsidP="00B36690">
            <w:pPr>
              <w:pStyle w:val="TableText"/>
              <w:jc w:val="right"/>
            </w:pPr>
            <w:r w:rsidRPr="00B36690">
              <w:t>40.9</w:t>
            </w:r>
          </w:p>
        </w:tc>
        <w:tc>
          <w:tcPr>
            <w:tcW w:w="496" w:type="pct"/>
            <w:tcBorders>
              <w:top w:val="single" w:sz="4" w:space="0" w:color="auto"/>
            </w:tcBorders>
          </w:tcPr>
          <w:p w14:paraId="5233BC3B" w14:textId="77777777" w:rsidR="002B1A69" w:rsidRPr="00B36690" w:rsidRDefault="002B1A69" w:rsidP="00B36690">
            <w:pPr>
              <w:pStyle w:val="TableText"/>
              <w:jc w:val="right"/>
            </w:pPr>
            <w:r w:rsidRPr="00B36690">
              <w:t>21.7</w:t>
            </w:r>
          </w:p>
        </w:tc>
        <w:tc>
          <w:tcPr>
            <w:tcW w:w="496" w:type="pct"/>
            <w:tcBorders>
              <w:top w:val="single" w:sz="4" w:space="0" w:color="auto"/>
            </w:tcBorders>
            <w:shd w:val="clear" w:color="auto" w:fill="FF0000"/>
          </w:tcPr>
          <w:p w14:paraId="25C90704" w14:textId="77777777" w:rsidR="002B1A69" w:rsidRPr="00B36690" w:rsidRDefault="002B1A69" w:rsidP="00B36690">
            <w:pPr>
              <w:pStyle w:val="TableText"/>
              <w:jc w:val="right"/>
            </w:pPr>
            <w:r w:rsidRPr="00B36690">
              <w:t>513</w:t>
            </w:r>
          </w:p>
        </w:tc>
        <w:tc>
          <w:tcPr>
            <w:tcW w:w="497" w:type="pct"/>
            <w:tcBorders>
              <w:top w:val="single" w:sz="4" w:space="0" w:color="auto"/>
            </w:tcBorders>
          </w:tcPr>
          <w:p w14:paraId="2C1EE74A" w14:textId="77777777" w:rsidR="002B1A69" w:rsidRPr="00B36690" w:rsidRDefault="002B1A69" w:rsidP="00B36690">
            <w:pPr>
              <w:pStyle w:val="TableText"/>
              <w:jc w:val="right"/>
            </w:pPr>
            <w:r w:rsidRPr="00B36690">
              <w:t>700</w:t>
            </w:r>
          </w:p>
        </w:tc>
      </w:tr>
      <w:tr w:rsidR="002B1A69" w:rsidRPr="006E15AF" w14:paraId="65F5759A" w14:textId="77777777" w:rsidTr="00303DF5">
        <w:trPr>
          <w:cantSplit/>
          <w:trHeight w:val="13"/>
        </w:trPr>
        <w:tc>
          <w:tcPr>
            <w:tcW w:w="882" w:type="pct"/>
            <w:vMerge/>
          </w:tcPr>
          <w:p w14:paraId="4E6B9854" w14:textId="77777777" w:rsidR="002B1A69" w:rsidRPr="00B36690" w:rsidRDefault="002B1A69" w:rsidP="00B36690">
            <w:pPr>
              <w:pStyle w:val="TableText"/>
            </w:pPr>
          </w:p>
        </w:tc>
        <w:tc>
          <w:tcPr>
            <w:tcW w:w="662" w:type="pct"/>
            <w:vMerge/>
          </w:tcPr>
          <w:p w14:paraId="10BF9CD2" w14:textId="77777777" w:rsidR="002B1A69" w:rsidRPr="00B36690" w:rsidRDefault="002B1A69" w:rsidP="00B36690">
            <w:pPr>
              <w:pStyle w:val="TableText"/>
            </w:pPr>
          </w:p>
        </w:tc>
        <w:tc>
          <w:tcPr>
            <w:tcW w:w="809" w:type="pct"/>
          </w:tcPr>
          <w:p w14:paraId="21EFD0A6" w14:textId="77777777" w:rsidR="002B1A69" w:rsidRPr="00B36690" w:rsidRDefault="002B1A69" w:rsidP="00B36690">
            <w:pPr>
              <w:pStyle w:val="TableText"/>
            </w:pPr>
            <w:r w:rsidRPr="00B36690">
              <w:t>Small omnivore</w:t>
            </w:r>
          </w:p>
        </w:tc>
        <w:tc>
          <w:tcPr>
            <w:tcW w:w="662" w:type="pct"/>
          </w:tcPr>
          <w:p w14:paraId="0824382A" w14:textId="77777777" w:rsidR="002B1A69" w:rsidRPr="00B36690" w:rsidRDefault="002B1A69" w:rsidP="00B36690">
            <w:pPr>
              <w:pStyle w:val="TableText"/>
            </w:pPr>
            <w:r w:rsidRPr="00B36690">
              <w:t>BBCH ≥40</w:t>
            </w:r>
          </w:p>
        </w:tc>
        <w:tc>
          <w:tcPr>
            <w:tcW w:w="496" w:type="pct"/>
          </w:tcPr>
          <w:p w14:paraId="708B5E26" w14:textId="77777777" w:rsidR="002B1A69" w:rsidRPr="00B36690" w:rsidRDefault="002B1A69" w:rsidP="00B36690">
            <w:pPr>
              <w:pStyle w:val="TableText"/>
              <w:jc w:val="right"/>
            </w:pPr>
            <w:r w:rsidRPr="00B36690">
              <w:t>5.2</w:t>
            </w:r>
          </w:p>
        </w:tc>
        <w:tc>
          <w:tcPr>
            <w:tcW w:w="496" w:type="pct"/>
          </w:tcPr>
          <w:p w14:paraId="2DA7CF2B" w14:textId="77777777" w:rsidR="002B1A69" w:rsidRPr="00B36690" w:rsidRDefault="002B1A69" w:rsidP="00B36690">
            <w:pPr>
              <w:pStyle w:val="TableText"/>
              <w:jc w:val="right"/>
            </w:pPr>
            <w:r w:rsidRPr="00B36690">
              <w:t>2.3</w:t>
            </w:r>
          </w:p>
        </w:tc>
        <w:tc>
          <w:tcPr>
            <w:tcW w:w="496" w:type="pct"/>
          </w:tcPr>
          <w:p w14:paraId="19C365BD" w14:textId="77777777" w:rsidR="002B1A69" w:rsidRPr="00B36690" w:rsidRDefault="002B1A69" w:rsidP="00B36690">
            <w:pPr>
              <w:pStyle w:val="TableText"/>
              <w:jc w:val="right"/>
            </w:pPr>
            <w:r w:rsidRPr="00B36690">
              <w:t>4038</w:t>
            </w:r>
          </w:p>
        </w:tc>
        <w:tc>
          <w:tcPr>
            <w:tcW w:w="497" w:type="pct"/>
          </w:tcPr>
          <w:p w14:paraId="7822B137" w14:textId="77777777" w:rsidR="002B1A69" w:rsidRPr="00B36690" w:rsidRDefault="002B1A69" w:rsidP="00B36690">
            <w:pPr>
              <w:pStyle w:val="TableText"/>
              <w:jc w:val="right"/>
            </w:pPr>
            <w:r w:rsidRPr="00B36690">
              <w:t>6603</w:t>
            </w:r>
          </w:p>
        </w:tc>
      </w:tr>
      <w:tr w:rsidR="002B1A69" w:rsidRPr="006E15AF" w14:paraId="58030F81" w14:textId="77777777" w:rsidTr="00303DF5">
        <w:trPr>
          <w:cantSplit/>
          <w:trHeight w:val="13"/>
        </w:trPr>
        <w:tc>
          <w:tcPr>
            <w:tcW w:w="882" w:type="pct"/>
            <w:vMerge/>
            <w:tcBorders>
              <w:bottom w:val="single" w:sz="4" w:space="0" w:color="auto"/>
            </w:tcBorders>
          </w:tcPr>
          <w:p w14:paraId="14AD8112" w14:textId="77777777" w:rsidR="002B1A69" w:rsidRPr="00B36690" w:rsidRDefault="002B1A69" w:rsidP="00B36690">
            <w:pPr>
              <w:pStyle w:val="TableText"/>
            </w:pPr>
          </w:p>
        </w:tc>
        <w:tc>
          <w:tcPr>
            <w:tcW w:w="662" w:type="pct"/>
            <w:vMerge/>
            <w:tcBorders>
              <w:bottom w:val="single" w:sz="4" w:space="0" w:color="auto"/>
            </w:tcBorders>
          </w:tcPr>
          <w:p w14:paraId="5F3D4722" w14:textId="77777777" w:rsidR="002B1A69" w:rsidRPr="00B36690" w:rsidRDefault="002B1A69" w:rsidP="00B36690">
            <w:pPr>
              <w:pStyle w:val="TableText"/>
            </w:pPr>
          </w:p>
        </w:tc>
        <w:tc>
          <w:tcPr>
            <w:tcW w:w="809" w:type="pct"/>
            <w:tcBorders>
              <w:bottom w:val="single" w:sz="4" w:space="0" w:color="auto"/>
            </w:tcBorders>
          </w:tcPr>
          <w:p w14:paraId="4CDEDB03"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1C84DF01" w14:textId="77777777" w:rsidR="002B1A69" w:rsidRPr="00B36690" w:rsidRDefault="002B1A69" w:rsidP="00B36690">
            <w:pPr>
              <w:pStyle w:val="TableText"/>
            </w:pPr>
            <w:r w:rsidRPr="00B36690">
              <w:t>BBCH ≥20</w:t>
            </w:r>
          </w:p>
        </w:tc>
        <w:tc>
          <w:tcPr>
            <w:tcW w:w="496" w:type="pct"/>
            <w:tcBorders>
              <w:bottom w:val="single" w:sz="4" w:space="0" w:color="auto"/>
            </w:tcBorders>
          </w:tcPr>
          <w:p w14:paraId="306BE5D5"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365CE642"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24FA4F90"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31CB1C22" w14:textId="77777777" w:rsidR="002B1A69" w:rsidRPr="00B36690" w:rsidRDefault="002B1A69" w:rsidP="00B36690">
            <w:pPr>
              <w:pStyle w:val="TableText"/>
              <w:jc w:val="right"/>
            </w:pPr>
            <w:r w:rsidRPr="00B36690">
              <w:t>7993</w:t>
            </w:r>
          </w:p>
        </w:tc>
      </w:tr>
      <w:tr w:rsidR="002B1A69" w:rsidRPr="006E15AF" w14:paraId="67239D6C" w14:textId="77777777" w:rsidTr="00303DF5">
        <w:trPr>
          <w:cantSplit/>
          <w:trHeight w:val="13"/>
        </w:trPr>
        <w:tc>
          <w:tcPr>
            <w:tcW w:w="882" w:type="pct"/>
            <w:vMerge w:val="restart"/>
          </w:tcPr>
          <w:p w14:paraId="0876A8D3" w14:textId="77777777" w:rsidR="002B1A69" w:rsidRPr="00B36690" w:rsidRDefault="002B1A69" w:rsidP="00B36690">
            <w:pPr>
              <w:pStyle w:val="TableText"/>
            </w:pPr>
            <w:r w:rsidRPr="00B36690">
              <w:t>Pre-harvest desiccation in cereals and rice</w:t>
            </w:r>
          </w:p>
        </w:tc>
        <w:tc>
          <w:tcPr>
            <w:tcW w:w="662" w:type="pct"/>
            <w:vMerge w:val="restart"/>
          </w:tcPr>
          <w:p w14:paraId="4B375BC7" w14:textId="77777777" w:rsidR="002B1A69" w:rsidRPr="00B36690" w:rsidRDefault="002B1A69" w:rsidP="00B36690">
            <w:pPr>
              <w:pStyle w:val="TableText"/>
            </w:pPr>
            <w:r w:rsidRPr="00B36690">
              <w:t>Cereals</w:t>
            </w:r>
          </w:p>
        </w:tc>
        <w:tc>
          <w:tcPr>
            <w:tcW w:w="809" w:type="pct"/>
            <w:tcBorders>
              <w:top w:val="single" w:sz="4" w:space="0" w:color="auto"/>
            </w:tcBorders>
          </w:tcPr>
          <w:p w14:paraId="25C8B2D1"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1F80C762" w14:textId="77777777" w:rsidR="002B1A69" w:rsidRPr="00B36690" w:rsidRDefault="002B1A69" w:rsidP="00B36690">
            <w:pPr>
              <w:pStyle w:val="TableText"/>
            </w:pPr>
            <w:r w:rsidRPr="00B36690">
              <w:t>BBCH ≥40</w:t>
            </w:r>
          </w:p>
        </w:tc>
        <w:tc>
          <w:tcPr>
            <w:tcW w:w="496" w:type="pct"/>
            <w:tcBorders>
              <w:top w:val="single" w:sz="4" w:space="0" w:color="auto"/>
            </w:tcBorders>
          </w:tcPr>
          <w:p w14:paraId="2A6DAAB5" w14:textId="77777777" w:rsidR="002B1A69" w:rsidRPr="00B36690" w:rsidRDefault="002B1A69" w:rsidP="00B36690">
            <w:pPr>
              <w:pStyle w:val="TableText"/>
              <w:jc w:val="right"/>
            </w:pPr>
            <w:r w:rsidRPr="00B36690">
              <w:t>40.9</w:t>
            </w:r>
          </w:p>
        </w:tc>
        <w:tc>
          <w:tcPr>
            <w:tcW w:w="496" w:type="pct"/>
            <w:tcBorders>
              <w:top w:val="single" w:sz="4" w:space="0" w:color="auto"/>
            </w:tcBorders>
          </w:tcPr>
          <w:p w14:paraId="4C3AACC2" w14:textId="77777777" w:rsidR="002B1A69" w:rsidRPr="00B36690" w:rsidRDefault="002B1A69" w:rsidP="00B36690">
            <w:pPr>
              <w:pStyle w:val="TableText"/>
              <w:jc w:val="right"/>
            </w:pPr>
            <w:r w:rsidRPr="00B36690">
              <w:t>21.7</w:t>
            </w:r>
          </w:p>
        </w:tc>
        <w:tc>
          <w:tcPr>
            <w:tcW w:w="496" w:type="pct"/>
            <w:tcBorders>
              <w:top w:val="single" w:sz="4" w:space="0" w:color="auto"/>
            </w:tcBorders>
            <w:shd w:val="clear" w:color="auto" w:fill="FF0000"/>
          </w:tcPr>
          <w:p w14:paraId="02026180" w14:textId="77777777" w:rsidR="002B1A69" w:rsidRPr="00B36690" w:rsidRDefault="002B1A69" w:rsidP="00B36690">
            <w:pPr>
              <w:pStyle w:val="TableText"/>
              <w:jc w:val="right"/>
            </w:pPr>
            <w:r w:rsidRPr="00B36690">
              <w:t>513</w:t>
            </w:r>
          </w:p>
        </w:tc>
        <w:tc>
          <w:tcPr>
            <w:tcW w:w="497" w:type="pct"/>
            <w:tcBorders>
              <w:top w:val="single" w:sz="4" w:space="0" w:color="auto"/>
            </w:tcBorders>
          </w:tcPr>
          <w:p w14:paraId="306328DE" w14:textId="77777777" w:rsidR="002B1A69" w:rsidRPr="00B36690" w:rsidRDefault="002B1A69" w:rsidP="00B36690">
            <w:pPr>
              <w:pStyle w:val="TableText"/>
              <w:jc w:val="right"/>
            </w:pPr>
            <w:r w:rsidRPr="00B36690">
              <w:t>700</w:t>
            </w:r>
          </w:p>
        </w:tc>
      </w:tr>
      <w:tr w:rsidR="002B1A69" w:rsidRPr="006E15AF" w14:paraId="5AA77D5C" w14:textId="77777777" w:rsidTr="00303DF5">
        <w:trPr>
          <w:cantSplit/>
          <w:trHeight w:val="13"/>
        </w:trPr>
        <w:tc>
          <w:tcPr>
            <w:tcW w:w="882" w:type="pct"/>
            <w:vMerge/>
          </w:tcPr>
          <w:p w14:paraId="5C5B21BB" w14:textId="77777777" w:rsidR="002B1A69" w:rsidRPr="00B36690" w:rsidRDefault="002B1A69" w:rsidP="00B36690">
            <w:pPr>
              <w:pStyle w:val="TableText"/>
            </w:pPr>
          </w:p>
        </w:tc>
        <w:tc>
          <w:tcPr>
            <w:tcW w:w="662" w:type="pct"/>
            <w:vMerge/>
          </w:tcPr>
          <w:p w14:paraId="2F29F98C" w14:textId="77777777" w:rsidR="002B1A69" w:rsidRPr="00B36690" w:rsidRDefault="002B1A69" w:rsidP="00B36690">
            <w:pPr>
              <w:pStyle w:val="TableText"/>
            </w:pPr>
          </w:p>
        </w:tc>
        <w:tc>
          <w:tcPr>
            <w:tcW w:w="809" w:type="pct"/>
          </w:tcPr>
          <w:p w14:paraId="785737F0" w14:textId="77777777" w:rsidR="002B1A69" w:rsidRPr="00B36690" w:rsidRDefault="002B1A69" w:rsidP="00B36690">
            <w:pPr>
              <w:pStyle w:val="TableText"/>
            </w:pPr>
            <w:r w:rsidRPr="00B36690">
              <w:t>Small omnivore</w:t>
            </w:r>
          </w:p>
        </w:tc>
        <w:tc>
          <w:tcPr>
            <w:tcW w:w="662" w:type="pct"/>
          </w:tcPr>
          <w:p w14:paraId="4509E859" w14:textId="77777777" w:rsidR="002B1A69" w:rsidRPr="00B36690" w:rsidRDefault="002B1A69" w:rsidP="00B36690">
            <w:pPr>
              <w:pStyle w:val="TableText"/>
            </w:pPr>
            <w:r w:rsidRPr="00B36690">
              <w:t>BBCH ≥40</w:t>
            </w:r>
          </w:p>
        </w:tc>
        <w:tc>
          <w:tcPr>
            <w:tcW w:w="496" w:type="pct"/>
          </w:tcPr>
          <w:p w14:paraId="28238968" w14:textId="77777777" w:rsidR="002B1A69" w:rsidRPr="00B36690" w:rsidRDefault="002B1A69" w:rsidP="00B36690">
            <w:pPr>
              <w:pStyle w:val="TableText"/>
              <w:jc w:val="right"/>
            </w:pPr>
            <w:r w:rsidRPr="00B36690">
              <w:t>5.2</w:t>
            </w:r>
          </w:p>
        </w:tc>
        <w:tc>
          <w:tcPr>
            <w:tcW w:w="496" w:type="pct"/>
          </w:tcPr>
          <w:p w14:paraId="765B23E9" w14:textId="77777777" w:rsidR="002B1A69" w:rsidRPr="00B36690" w:rsidRDefault="002B1A69" w:rsidP="00B36690">
            <w:pPr>
              <w:pStyle w:val="TableText"/>
              <w:jc w:val="right"/>
            </w:pPr>
            <w:r w:rsidRPr="00B36690">
              <w:t>2.3</w:t>
            </w:r>
          </w:p>
        </w:tc>
        <w:tc>
          <w:tcPr>
            <w:tcW w:w="496" w:type="pct"/>
          </w:tcPr>
          <w:p w14:paraId="217D8647" w14:textId="77777777" w:rsidR="002B1A69" w:rsidRPr="00B36690" w:rsidRDefault="002B1A69" w:rsidP="00B36690">
            <w:pPr>
              <w:pStyle w:val="TableText"/>
              <w:jc w:val="right"/>
            </w:pPr>
            <w:r w:rsidRPr="00B36690">
              <w:t>4038</w:t>
            </w:r>
          </w:p>
        </w:tc>
        <w:tc>
          <w:tcPr>
            <w:tcW w:w="497" w:type="pct"/>
          </w:tcPr>
          <w:p w14:paraId="6795032B" w14:textId="77777777" w:rsidR="002B1A69" w:rsidRPr="00B36690" w:rsidRDefault="002B1A69" w:rsidP="00B36690">
            <w:pPr>
              <w:pStyle w:val="TableText"/>
              <w:jc w:val="right"/>
            </w:pPr>
            <w:r w:rsidRPr="00B36690">
              <w:t>6603</w:t>
            </w:r>
          </w:p>
        </w:tc>
      </w:tr>
      <w:tr w:rsidR="002B1A69" w:rsidRPr="006E15AF" w14:paraId="3F8379DF" w14:textId="77777777" w:rsidTr="00303DF5">
        <w:trPr>
          <w:cantSplit/>
          <w:trHeight w:val="13"/>
        </w:trPr>
        <w:tc>
          <w:tcPr>
            <w:tcW w:w="882" w:type="pct"/>
            <w:vMerge/>
            <w:tcBorders>
              <w:bottom w:val="single" w:sz="4" w:space="0" w:color="auto"/>
            </w:tcBorders>
          </w:tcPr>
          <w:p w14:paraId="66810C1C" w14:textId="77777777" w:rsidR="002B1A69" w:rsidRPr="00B36690" w:rsidRDefault="002B1A69" w:rsidP="00B36690">
            <w:pPr>
              <w:pStyle w:val="TableText"/>
            </w:pPr>
          </w:p>
        </w:tc>
        <w:tc>
          <w:tcPr>
            <w:tcW w:w="662" w:type="pct"/>
            <w:vMerge/>
            <w:tcBorders>
              <w:bottom w:val="single" w:sz="4" w:space="0" w:color="auto"/>
            </w:tcBorders>
          </w:tcPr>
          <w:p w14:paraId="7FBA7844" w14:textId="77777777" w:rsidR="002B1A69" w:rsidRPr="00B36690" w:rsidRDefault="002B1A69" w:rsidP="00B36690">
            <w:pPr>
              <w:pStyle w:val="TableText"/>
            </w:pPr>
          </w:p>
        </w:tc>
        <w:tc>
          <w:tcPr>
            <w:tcW w:w="809" w:type="pct"/>
            <w:tcBorders>
              <w:bottom w:val="single" w:sz="4" w:space="0" w:color="auto"/>
            </w:tcBorders>
          </w:tcPr>
          <w:p w14:paraId="2FA4D0B3"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60E73094" w14:textId="77777777" w:rsidR="002B1A69" w:rsidRPr="00B36690" w:rsidRDefault="002B1A69" w:rsidP="00B36690">
            <w:pPr>
              <w:pStyle w:val="TableText"/>
            </w:pPr>
            <w:r w:rsidRPr="00B36690">
              <w:t>BBCH ≥20</w:t>
            </w:r>
          </w:p>
        </w:tc>
        <w:tc>
          <w:tcPr>
            <w:tcW w:w="496" w:type="pct"/>
            <w:tcBorders>
              <w:bottom w:val="single" w:sz="4" w:space="0" w:color="auto"/>
            </w:tcBorders>
          </w:tcPr>
          <w:p w14:paraId="203F7788"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3DD9671C"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58557AAE"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6250596C" w14:textId="77777777" w:rsidR="002B1A69" w:rsidRPr="00B36690" w:rsidRDefault="002B1A69" w:rsidP="00B36690">
            <w:pPr>
              <w:pStyle w:val="TableText"/>
              <w:jc w:val="right"/>
            </w:pPr>
            <w:r w:rsidRPr="00B36690">
              <w:t>7993</w:t>
            </w:r>
          </w:p>
        </w:tc>
      </w:tr>
      <w:tr w:rsidR="002B1A69" w:rsidRPr="006E15AF" w14:paraId="7CBBC046" w14:textId="77777777" w:rsidTr="00303DF5">
        <w:trPr>
          <w:cantSplit/>
          <w:trHeight w:val="13"/>
        </w:trPr>
        <w:tc>
          <w:tcPr>
            <w:tcW w:w="882" w:type="pct"/>
            <w:vMerge w:val="restart"/>
          </w:tcPr>
          <w:p w14:paraId="31E74098" w14:textId="77777777" w:rsidR="002B1A69" w:rsidRPr="00B36690" w:rsidRDefault="002B1A69" w:rsidP="00B36690">
            <w:pPr>
              <w:pStyle w:val="TableText"/>
            </w:pPr>
            <w:r w:rsidRPr="00B36690">
              <w:t>Pre-harvest desiccation in cotton</w:t>
            </w:r>
          </w:p>
        </w:tc>
        <w:tc>
          <w:tcPr>
            <w:tcW w:w="662" w:type="pct"/>
            <w:vMerge w:val="restart"/>
          </w:tcPr>
          <w:p w14:paraId="0FA5E63B" w14:textId="77777777" w:rsidR="002B1A69" w:rsidRPr="00B36690" w:rsidRDefault="002B1A69" w:rsidP="00B36690">
            <w:pPr>
              <w:pStyle w:val="TableText"/>
            </w:pPr>
            <w:r w:rsidRPr="00B36690">
              <w:t>Cotton</w:t>
            </w:r>
          </w:p>
        </w:tc>
        <w:tc>
          <w:tcPr>
            <w:tcW w:w="809" w:type="pct"/>
            <w:tcBorders>
              <w:top w:val="single" w:sz="4" w:space="0" w:color="auto"/>
            </w:tcBorders>
          </w:tcPr>
          <w:p w14:paraId="6A7E2532"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0465DF1C" w14:textId="77777777" w:rsidR="002B1A69" w:rsidRPr="00B36690" w:rsidRDefault="002B1A69" w:rsidP="00B36690">
            <w:pPr>
              <w:pStyle w:val="TableText"/>
            </w:pPr>
            <w:r w:rsidRPr="00B36690">
              <w:t>BBCH ≥50</w:t>
            </w:r>
          </w:p>
        </w:tc>
        <w:tc>
          <w:tcPr>
            <w:tcW w:w="496" w:type="pct"/>
            <w:tcBorders>
              <w:top w:val="single" w:sz="4" w:space="0" w:color="auto"/>
            </w:tcBorders>
          </w:tcPr>
          <w:p w14:paraId="532CF6E2" w14:textId="77777777" w:rsidR="002B1A69" w:rsidRPr="00B36690" w:rsidRDefault="002B1A69" w:rsidP="00B36690">
            <w:pPr>
              <w:pStyle w:val="TableText"/>
              <w:jc w:val="right"/>
            </w:pPr>
            <w:r w:rsidRPr="00B36690">
              <w:t>34.1</w:t>
            </w:r>
          </w:p>
        </w:tc>
        <w:tc>
          <w:tcPr>
            <w:tcW w:w="496" w:type="pct"/>
            <w:tcBorders>
              <w:top w:val="single" w:sz="4" w:space="0" w:color="auto"/>
            </w:tcBorders>
          </w:tcPr>
          <w:p w14:paraId="7F082167" w14:textId="77777777" w:rsidR="002B1A69" w:rsidRPr="00B36690" w:rsidRDefault="002B1A69" w:rsidP="00B36690">
            <w:pPr>
              <w:pStyle w:val="TableText"/>
              <w:jc w:val="right"/>
            </w:pPr>
            <w:r w:rsidRPr="00B36690">
              <w:t>18.1</w:t>
            </w:r>
          </w:p>
        </w:tc>
        <w:tc>
          <w:tcPr>
            <w:tcW w:w="496" w:type="pct"/>
            <w:tcBorders>
              <w:top w:val="single" w:sz="4" w:space="0" w:color="auto"/>
            </w:tcBorders>
          </w:tcPr>
          <w:p w14:paraId="75F65C6F" w14:textId="77777777" w:rsidR="002B1A69" w:rsidRPr="00B36690" w:rsidRDefault="002B1A69" w:rsidP="00B36690">
            <w:pPr>
              <w:pStyle w:val="TableText"/>
              <w:jc w:val="right"/>
            </w:pPr>
            <w:r w:rsidRPr="00B36690">
              <w:t>616</w:t>
            </w:r>
          </w:p>
        </w:tc>
        <w:tc>
          <w:tcPr>
            <w:tcW w:w="497" w:type="pct"/>
            <w:tcBorders>
              <w:top w:val="single" w:sz="4" w:space="0" w:color="auto"/>
            </w:tcBorders>
          </w:tcPr>
          <w:p w14:paraId="0744FD72" w14:textId="77777777" w:rsidR="002B1A69" w:rsidRPr="00B36690" w:rsidRDefault="002B1A69" w:rsidP="00B36690">
            <w:pPr>
              <w:pStyle w:val="TableText"/>
              <w:jc w:val="right"/>
            </w:pPr>
            <w:r w:rsidRPr="00B36690">
              <w:t>839</w:t>
            </w:r>
          </w:p>
        </w:tc>
      </w:tr>
      <w:tr w:rsidR="002B1A69" w:rsidRPr="006E15AF" w14:paraId="56284621" w14:textId="77777777" w:rsidTr="00303DF5">
        <w:trPr>
          <w:cantSplit/>
          <w:trHeight w:val="13"/>
        </w:trPr>
        <w:tc>
          <w:tcPr>
            <w:tcW w:w="882" w:type="pct"/>
            <w:vMerge/>
          </w:tcPr>
          <w:p w14:paraId="49CC30AB" w14:textId="77777777" w:rsidR="002B1A69" w:rsidRPr="00B36690" w:rsidRDefault="002B1A69" w:rsidP="00B36690">
            <w:pPr>
              <w:pStyle w:val="TableText"/>
            </w:pPr>
          </w:p>
        </w:tc>
        <w:tc>
          <w:tcPr>
            <w:tcW w:w="662" w:type="pct"/>
            <w:vMerge/>
          </w:tcPr>
          <w:p w14:paraId="3973F80C" w14:textId="77777777" w:rsidR="002B1A69" w:rsidRPr="00B36690" w:rsidRDefault="002B1A69" w:rsidP="00B36690">
            <w:pPr>
              <w:pStyle w:val="TableText"/>
            </w:pPr>
          </w:p>
        </w:tc>
        <w:tc>
          <w:tcPr>
            <w:tcW w:w="809" w:type="pct"/>
          </w:tcPr>
          <w:p w14:paraId="30FFBBBA" w14:textId="77777777" w:rsidR="002B1A69" w:rsidRPr="00B36690" w:rsidRDefault="002B1A69" w:rsidP="00B36690">
            <w:pPr>
              <w:pStyle w:val="TableText"/>
            </w:pPr>
            <w:r w:rsidRPr="00B36690">
              <w:t>Small omnivore</w:t>
            </w:r>
          </w:p>
        </w:tc>
        <w:tc>
          <w:tcPr>
            <w:tcW w:w="662" w:type="pct"/>
          </w:tcPr>
          <w:p w14:paraId="5DD1A077" w14:textId="77777777" w:rsidR="002B1A69" w:rsidRPr="00B36690" w:rsidRDefault="002B1A69" w:rsidP="00B36690">
            <w:pPr>
              <w:pStyle w:val="TableText"/>
            </w:pPr>
            <w:r w:rsidRPr="00B36690">
              <w:t>BBCH ≥50</w:t>
            </w:r>
          </w:p>
        </w:tc>
        <w:tc>
          <w:tcPr>
            <w:tcW w:w="496" w:type="pct"/>
          </w:tcPr>
          <w:p w14:paraId="4E05E386" w14:textId="77777777" w:rsidR="002B1A69" w:rsidRPr="00B36690" w:rsidRDefault="002B1A69" w:rsidP="00B36690">
            <w:pPr>
              <w:pStyle w:val="TableText"/>
              <w:jc w:val="right"/>
            </w:pPr>
            <w:r w:rsidRPr="00B36690">
              <w:t>4.3</w:t>
            </w:r>
          </w:p>
        </w:tc>
        <w:tc>
          <w:tcPr>
            <w:tcW w:w="496" w:type="pct"/>
          </w:tcPr>
          <w:p w14:paraId="52F673E7" w14:textId="77777777" w:rsidR="002B1A69" w:rsidRPr="00B36690" w:rsidRDefault="002B1A69" w:rsidP="00B36690">
            <w:pPr>
              <w:pStyle w:val="TableText"/>
              <w:jc w:val="right"/>
            </w:pPr>
            <w:r w:rsidRPr="00B36690">
              <w:t>1.9</w:t>
            </w:r>
          </w:p>
        </w:tc>
        <w:tc>
          <w:tcPr>
            <w:tcW w:w="496" w:type="pct"/>
          </w:tcPr>
          <w:p w14:paraId="53C95828" w14:textId="77777777" w:rsidR="002B1A69" w:rsidRPr="00B36690" w:rsidRDefault="002B1A69" w:rsidP="00B36690">
            <w:pPr>
              <w:pStyle w:val="TableText"/>
              <w:jc w:val="right"/>
            </w:pPr>
            <w:r w:rsidRPr="00B36690">
              <w:t>4884</w:t>
            </w:r>
          </w:p>
        </w:tc>
        <w:tc>
          <w:tcPr>
            <w:tcW w:w="497" w:type="pct"/>
          </w:tcPr>
          <w:p w14:paraId="6E47DE4E" w14:textId="77777777" w:rsidR="002B1A69" w:rsidRPr="00B36690" w:rsidRDefault="002B1A69" w:rsidP="00B36690">
            <w:pPr>
              <w:pStyle w:val="TableText"/>
              <w:jc w:val="right"/>
            </w:pPr>
            <w:r w:rsidRPr="00B36690">
              <w:t>7993</w:t>
            </w:r>
          </w:p>
        </w:tc>
      </w:tr>
      <w:tr w:rsidR="002B1A69" w:rsidRPr="006E15AF" w14:paraId="11805B37" w14:textId="77777777" w:rsidTr="00303DF5">
        <w:trPr>
          <w:cantSplit/>
          <w:trHeight w:val="13"/>
        </w:trPr>
        <w:tc>
          <w:tcPr>
            <w:tcW w:w="882" w:type="pct"/>
            <w:vMerge/>
            <w:tcBorders>
              <w:bottom w:val="single" w:sz="4" w:space="0" w:color="auto"/>
            </w:tcBorders>
          </w:tcPr>
          <w:p w14:paraId="62173A20" w14:textId="77777777" w:rsidR="002B1A69" w:rsidRPr="00B36690" w:rsidRDefault="002B1A69" w:rsidP="00B36690">
            <w:pPr>
              <w:pStyle w:val="TableText"/>
            </w:pPr>
          </w:p>
        </w:tc>
        <w:tc>
          <w:tcPr>
            <w:tcW w:w="662" w:type="pct"/>
            <w:vMerge/>
            <w:tcBorders>
              <w:bottom w:val="single" w:sz="4" w:space="0" w:color="auto"/>
            </w:tcBorders>
          </w:tcPr>
          <w:p w14:paraId="301DCB2C" w14:textId="77777777" w:rsidR="002B1A69" w:rsidRPr="00B36690" w:rsidRDefault="002B1A69" w:rsidP="00B36690">
            <w:pPr>
              <w:pStyle w:val="TableText"/>
            </w:pPr>
          </w:p>
        </w:tc>
        <w:tc>
          <w:tcPr>
            <w:tcW w:w="809" w:type="pct"/>
            <w:tcBorders>
              <w:bottom w:val="single" w:sz="4" w:space="0" w:color="auto"/>
            </w:tcBorders>
          </w:tcPr>
          <w:p w14:paraId="02081FE5"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0CBC3D8E" w14:textId="77777777" w:rsidR="002B1A69" w:rsidRPr="00B36690" w:rsidRDefault="002B1A69" w:rsidP="00B36690">
            <w:pPr>
              <w:pStyle w:val="TableText"/>
            </w:pPr>
            <w:r w:rsidRPr="00B36690">
              <w:t>BBCH ≥20</w:t>
            </w:r>
          </w:p>
        </w:tc>
        <w:tc>
          <w:tcPr>
            <w:tcW w:w="496" w:type="pct"/>
            <w:tcBorders>
              <w:bottom w:val="single" w:sz="4" w:space="0" w:color="auto"/>
            </w:tcBorders>
          </w:tcPr>
          <w:p w14:paraId="2C922E41"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7F0550E3"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09FD0AE5"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4B9796C8" w14:textId="77777777" w:rsidR="002B1A69" w:rsidRPr="00B36690" w:rsidRDefault="002B1A69" w:rsidP="00B36690">
            <w:pPr>
              <w:pStyle w:val="TableText"/>
              <w:jc w:val="right"/>
            </w:pPr>
            <w:r w:rsidRPr="00B36690">
              <w:t>7993</w:t>
            </w:r>
          </w:p>
        </w:tc>
      </w:tr>
      <w:tr w:rsidR="002B1A69" w:rsidRPr="008E4070" w14:paraId="5C0C25FB" w14:textId="77777777" w:rsidTr="00303DF5">
        <w:trPr>
          <w:cantSplit/>
          <w:trHeight w:val="13"/>
        </w:trPr>
        <w:tc>
          <w:tcPr>
            <w:tcW w:w="882" w:type="pct"/>
            <w:vMerge w:val="restart"/>
          </w:tcPr>
          <w:p w14:paraId="0437F752" w14:textId="77777777" w:rsidR="002B1A69" w:rsidRPr="00B36690" w:rsidRDefault="002B1A69" w:rsidP="00B36690">
            <w:pPr>
              <w:pStyle w:val="TableText"/>
            </w:pPr>
            <w:r w:rsidRPr="00B36690">
              <w:t>General weed control in infested areas, hay freezing, pasture, public service areas, rights of way</w:t>
            </w:r>
          </w:p>
        </w:tc>
        <w:tc>
          <w:tcPr>
            <w:tcW w:w="662" w:type="pct"/>
            <w:vMerge w:val="restart"/>
          </w:tcPr>
          <w:p w14:paraId="7217A9F3" w14:textId="77777777" w:rsidR="002B1A69" w:rsidRPr="00B36690" w:rsidRDefault="002B1A69" w:rsidP="00B36690">
            <w:pPr>
              <w:pStyle w:val="TableText"/>
            </w:pPr>
            <w:r w:rsidRPr="00B36690">
              <w:t>Grassland</w:t>
            </w:r>
          </w:p>
        </w:tc>
        <w:tc>
          <w:tcPr>
            <w:tcW w:w="809" w:type="pct"/>
            <w:tcBorders>
              <w:top w:val="single" w:sz="4" w:space="0" w:color="auto"/>
            </w:tcBorders>
          </w:tcPr>
          <w:p w14:paraId="10DFD314"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75B16D38" w14:textId="77777777" w:rsidR="002B1A69" w:rsidRPr="00B36690" w:rsidRDefault="002B1A69" w:rsidP="00B36690">
            <w:pPr>
              <w:pStyle w:val="TableText"/>
            </w:pPr>
            <w:r w:rsidRPr="00B36690">
              <w:t>All season</w:t>
            </w:r>
          </w:p>
        </w:tc>
        <w:tc>
          <w:tcPr>
            <w:tcW w:w="496" w:type="pct"/>
            <w:tcBorders>
              <w:top w:val="single" w:sz="4" w:space="0" w:color="auto"/>
            </w:tcBorders>
          </w:tcPr>
          <w:p w14:paraId="32B7FE12" w14:textId="77777777" w:rsidR="002B1A69" w:rsidRPr="00B36690" w:rsidRDefault="002B1A69" w:rsidP="00B36690">
            <w:pPr>
              <w:pStyle w:val="TableText"/>
              <w:jc w:val="right"/>
            </w:pPr>
            <w:r w:rsidRPr="00B36690">
              <w:t>136.4</w:t>
            </w:r>
          </w:p>
        </w:tc>
        <w:tc>
          <w:tcPr>
            <w:tcW w:w="496" w:type="pct"/>
            <w:tcBorders>
              <w:top w:val="single" w:sz="4" w:space="0" w:color="auto"/>
            </w:tcBorders>
          </w:tcPr>
          <w:p w14:paraId="579AD4C6" w14:textId="77777777" w:rsidR="002B1A69" w:rsidRPr="00B36690" w:rsidRDefault="002B1A69" w:rsidP="00B36690">
            <w:pPr>
              <w:pStyle w:val="TableText"/>
              <w:jc w:val="right"/>
            </w:pPr>
            <w:r w:rsidRPr="00B36690">
              <w:t>72.3</w:t>
            </w:r>
          </w:p>
        </w:tc>
        <w:tc>
          <w:tcPr>
            <w:tcW w:w="496" w:type="pct"/>
            <w:tcBorders>
              <w:top w:val="single" w:sz="4" w:space="0" w:color="auto"/>
            </w:tcBorders>
            <w:shd w:val="clear" w:color="auto" w:fill="FF0000"/>
          </w:tcPr>
          <w:p w14:paraId="69E1A0C5" w14:textId="77777777" w:rsidR="002B1A69" w:rsidRPr="00B36690" w:rsidRDefault="002B1A69" w:rsidP="00B36690">
            <w:pPr>
              <w:pStyle w:val="TableText"/>
              <w:jc w:val="right"/>
            </w:pPr>
            <w:r w:rsidRPr="00B36690">
              <w:t>154</w:t>
            </w:r>
          </w:p>
        </w:tc>
        <w:tc>
          <w:tcPr>
            <w:tcW w:w="497" w:type="pct"/>
            <w:tcBorders>
              <w:top w:val="single" w:sz="4" w:space="0" w:color="auto"/>
            </w:tcBorders>
            <w:shd w:val="clear" w:color="auto" w:fill="FF0000"/>
          </w:tcPr>
          <w:p w14:paraId="0FE1948A" w14:textId="77777777" w:rsidR="002B1A69" w:rsidRPr="00B36690" w:rsidRDefault="002B1A69" w:rsidP="00B36690">
            <w:pPr>
              <w:pStyle w:val="TableText"/>
              <w:jc w:val="right"/>
            </w:pPr>
            <w:r w:rsidRPr="00B36690">
              <w:t>210</w:t>
            </w:r>
          </w:p>
        </w:tc>
      </w:tr>
      <w:tr w:rsidR="002B1A69" w:rsidRPr="006E15AF" w14:paraId="1BACA06E" w14:textId="77777777" w:rsidTr="00303DF5">
        <w:trPr>
          <w:cantSplit/>
          <w:trHeight w:val="13"/>
        </w:trPr>
        <w:tc>
          <w:tcPr>
            <w:tcW w:w="882" w:type="pct"/>
            <w:vMerge/>
          </w:tcPr>
          <w:p w14:paraId="591A02B2" w14:textId="77777777" w:rsidR="002B1A69" w:rsidRPr="00B36690" w:rsidRDefault="002B1A69" w:rsidP="00B36690">
            <w:pPr>
              <w:pStyle w:val="TableText"/>
            </w:pPr>
          </w:p>
        </w:tc>
        <w:tc>
          <w:tcPr>
            <w:tcW w:w="662" w:type="pct"/>
            <w:vMerge/>
          </w:tcPr>
          <w:p w14:paraId="55E651CF" w14:textId="77777777" w:rsidR="002B1A69" w:rsidRPr="00B36690" w:rsidRDefault="002B1A69" w:rsidP="00B36690">
            <w:pPr>
              <w:pStyle w:val="TableText"/>
            </w:pPr>
          </w:p>
        </w:tc>
        <w:tc>
          <w:tcPr>
            <w:tcW w:w="809" w:type="pct"/>
          </w:tcPr>
          <w:p w14:paraId="7FDD68A8" w14:textId="77777777" w:rsidR="002B1A69" w:rsidRPr="00B36690" w:rsidRDefault="002B1A69" w:rsidP="00B36690">
            <w:pPr>
              <w:pStyle w:val="TableText"/>
            </w:pPr>
            <w:r w:rsidRPr="00B36690">
              <w:t>Large herbivore</w:t>
            </w:r>
          </w:p>
        </w:tc>
        <w:tc>
          <w:tcPr>
            <w:tcW w:w="662" w:type="pct"/>
          </w:tcPr>
          <w:p w14:paraId="6C04FBE6" w14:textId="77777777" w:rsidR="002B1A69" w:rsidRPr="00B36690" w:rsidRDefault="002B1A69" w:rsidP="00B36690">
            <w:pPr>
              <w:pStyle w:val="TableText"/>
            </w:pPr>
            <w:r w:rsidRPr="00B36690">
              <w:t>All season</w:t>
            </w:r>
          </w:p>
        </w:tc>
        <w:tc>
          <w:tcPr>
            <w:tcW w:w="496" w:type="pct"/>
          </w:tcPr>
          <w:p w14:paraId="1640A4F6" w14:textId="77777777" w:rsidR="002B1A69" w:rsidRPr="00B36690" w:rsidRDefault="002B1A69" w:rsidP="00B36690">
            <w:pPr>
              <w:pStyle w:val="TableText"/>
              <w:jc w:val="right"/>
            </w:pPr>
            <w:r w:rsidRPr="00B36690">
              <w:t>32.6</w:t>
            </w:r>
          </w:p>
        </w:tc>
        <w:tc>
          <w:tcPr>
            <w:tcW w:w="496" w:type="pct"/>
          </w:tcPr>
          <w:p w14:paraId="49053554" w14:textId="77777777" w:rsidR="002B1A69" w:rsidRPr="00B36690" w:rsidRDefault="002B1A69" w:rsidP="00B36690">
            <w:pPr>
              <w:pStyle w:val="TableText"/>
              <w:jc w:val="right"/>
            </w:pPr>
            <w:r w:rsidRPr="00B36690">
              <w:t>17.3</w:t>
            </w:r>
          </w:p>
        </w:tc>
        <w:tc>
          <w:tcPr>
            <w:tcW w:w="496" w:type="pct"/>
          </w:tcPr>
          <w:p w14:paraId="67DBA7B0" w14:textId="77777777" w:rsidR="002B1A69" w:rsidRPr="00B36690" w:rsidRDefault="002B1A69" w:rsidP="00B36690">
            <w:pPr>
              <w:pStyle w:val="TableText"/>
              <w:jc w:val="right"/>
            </w:pPr>
            <w:r w:rsidRPr="00B36690">
              <w:t>644</w:t>
            </w:r>
          </w:p>
        </w:tc>
        <w:tc>
          <w:tcPr>
            <w:tcW w:w="497" w:type="pct"/>
          </w:tcPr>
          <w:p w14:paraId="70BCF269" w14:textId="77777777" w:rsidR="002B1A69" w:rsidRPr="00B36690" w:rsidRDefault="002B1A69" w:rsidP="00B36690">
            <w:pPr>
              <w:pStyle w:val="TableText"/>
              <w:jc w:val="right"/>
            </w:pPr>
            <w:r w:rsidRPr="00B36690">
              <w:t>878</w:t>
            </w:r>
          </w:p>
        </w:tc>
      </w:tr>
      <w:tr w:rsidR="002B1A69" w:rsidRPr="006E15AF" w14:paraId="603B9CC7" w14:textId="77777777" w:rsidTr="00303DF5">
        <w:trPr>
          <w:cantSplit/>
          <w:trHeight w:val="13"/>
        </w:trPr>
        <w:tc>
          <w:tcPr>
            <w:tcW w:w="882" w:type="pct"/>
            <w:vMerge/>
          </w:tcPr>
          <w:p w14:paraId="48936038" w14:textId="77777777" w:rsidR="002B1A69" w:rsidRPr="00B36690" w:rsidRDefault="002B1A69" w:rsidP="00B36690">
            <w:pPr>
              <w:pStyle w:val="TableText"/>
            </w:pPr>
          </w:p>
        </w:tc>
        <w:tc>
          <w:tcPr>
            <w:tcW w:w="662" w:type="pct"/>
            <w:vMerge/>
          </w:tcPr>
          <w:p w14:paraId="58DF3064" w14:textId="77777777" w:rsidR="002B1A69" w:rsidRPr="00B36690" w:rsidRDefault="002B1A69" w:rsidP="00B36690">
            <w:pPr>
              <w:pStyle w:val="TableText"/>
            </w:pPr>
          </w:p>
        </w:tc>
        <w:tc>
          <w:tcPr>
            <w:tcW w:w="809" w:type="pct"/>
          </w:tcPr>
          <w:p w14:paraId="05504353" w14:textId="77777777" w:rsidR="002B1A69" w:rsidRPr="00B36690" w:rsidRDefault="002B1A69" w:rsidP="00B36690">
            <w:pPr>
              <w:pStyle w:val="TableText"/>
            </w:pPr>
            <w:r w:rsidRPr="00B36690">
              <w:t>Small omnivore</w:t>
            </w:r>
          </w:p>
        </w:tc>
        <w:tc>
          <w:tcPr>
            <w:tcW w:w="662" w:type="pct"/>
          </w:tcPr>
          <w:p w14:paraId="73337634" w14:textId="77777777" w:rsidR="002B1A69" w:rsidRPr="00B36690" w:rsidRDefault="002B1A69" w:rsidP="00B36690">
            <w:pPr>
              <w:pStyle w:val="TableText"/>
            </w:pPr>
            <w:r w:rsidRPr="00B36690">
              <w:t>New sown or late season</w:t>
            </w:r>
          </w:p>
        </w:tc>
        <w:tc>
          <w:tcPr>
            <w:tcW w:w="496" w:type="pct"/>
          </w:tcPr>
          <w:p w14:paraId="184AABCB" w14:textId="77777777" w:rsidR="002B1A69" w:rsidRPr="00B36690" w:rsidRDefault="002B1A69" w:rsidP="00B36690">
            <w:pPr>
              <w:pStyle w:val="TableText"/>
              <w:jc w:val="right"/>
            </w:pPr>
            <w:r w:rsidRPr="00B36690">
              <w:t>14.4</w:t>
            </w:r>
          </w:p>
        </w:tc>
        <w:tc>
          <w:tcPr>
            <w:tcW w:w="496" w:type="pct"/>
          </w:tcPr>
          <w:p w14:paraId="03AD4AD0" w14:textId="77777777" w:rsidR="002B1A69" w:rsidRPr="00B36690" w:rsidRDefault="002B1A69" w:rsidP="00B36690">
            <w:pPr>
              <w:pStyle w:val="TableText"/>
              <w:jc w:val="right"/>
            </w:pPr>
            <w:r w:rsidRPr="00B36690">
              <w:t>6.6</w:t>
            </w:r>
          </w:p>
        </w:tc>
        <w:tc>
          <w:tcPr>
            <w:tcW w:w="496" w:type="pct"/>
          </w:tcPr>
          <w:p w14:paraId="2A1BCCA7" w14:textId="77777777" w:rsidR="002B1A69" w:rsidRPr="00B36690" w:rsidRDefault="002B1A69" w:rsidP="00B36690">
            <w:pPr>
              <w:pStyle w:val="TableText"/>
              <w:jc w:val="right"/>
            </w:pPr>
            <w:r w:rsidRPr="00B36690">
              <w:t>1458</w:t>
            </w:r>
          </w:p>
        </w:tc>
        <w:tc>
          <w:tcPr>
            <w:tcW w:w="497" w:type="pct"/>
          </w:tcPr>
          <w:p w14:paraId="0786FA43" w14:textId="77777777" w:rsidR="002B1A69" w:rsidRPr="00B36690" w:rsidRDefault="002B1A69" w:rsidP="00B36690">
            <w:pPr>
              <w:pStyle w:val="TableText"/>
              <w:jc w:val="right"/>
            </w:pPr>
            <w:r w:rsidRPr="00B36690">
              <w:t>2301</w:t>
            </w:r>
          </w:p>
        </w:tc>
      </w:tr>
      <w:tr w:rsidR="002B1A69" w:rsidRPr="006E15AF" w14:paraId="3468A7C1" w14:textId="77777777" w:rsidTr="00303DF5">
        <w:trPr>
          <w:cantSplit/>
          <w:trHeight w:val="13"/>
        </w:trPr>
        <w:tc>
          <w:tcPr>
            <w:tcW w:w="882" w:type="pct"/>
            <w:vMerge/>
            <w:tcBorders>
              <w:bottom w:val="single" w:sz="4" w:space="0" w:color="auto"/>
            </w:tcBorders>
          </w:tcPr>
          <w:p w14:paraId="69FA6039" w14:textId="77777777" w:rsidR="002B1A69" w:rsidRPr="00B36690" w:rsidRDefault="002B1A69" w:rsidP="00B36690">
            <w:pPr>
              <w:pStyle w:val="TableText"/>
            </w:pPr>
          </w:p>
        </w:tc>
        <w:tc>
          <w:tcPr>
            <w:tcW w:w="662" w:type="pct"/>
            <w:vMerge/>
            <w:tcBorders>
              <w:bottom w:val="single" w:sz="4" w:space="0" w:color="auto"/>
            </w:tcBorders>
          </w:tcPr>
          <w:p w14:paraId="454A540E" w14:textId="77777777" w:rsidR="002B1A69" w:rsidRPr="00B36690" w:rsidRDefault="002B1A69" w:rsidP="00B36690">
            <w:pPr>
              <w:pStyle w:val="TableText"/>
            </w:pPr>
          </w:p>
        </w:tc>
        <w:tc>
          <w:tcPr>
            <w:tcW w:w="809" w:type="pct"/>
            <w:tcBorders>
              <w:bottom w:val="single" w:sz="4" w:space="0" w:color="auto"/>
            </w:tcBorders>
          </w:tcPr>
          <w:p w14:paraId="4F8785C3"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1D235A2A" w14:textId="77777777" w:rsidR="002B1A69" w:rsidRPr="00B36690" w:rsidRDefault="002B1A69" w:rsidP="00B36690">
            <w:pPr>
              <w:pStyle w:val="TableText"/>
            </w:pPr>
            <w:r w:rsidRPr="00B36690">
              <w:t>Late season</w:t>
            </w:r>
          </w:p>
        </w:tc>
        <w:tc>
          <w:tcPr>
            <w:tcW w:w="496" w:type="pct"/>
            <w:tcBorders>
              <w:bottom w:val="single" w:sz="4" w:space="0" w:color="auto"/>
            </w:tcBorders>
          </w:tcPr>
          <w:p w14:paraId="7046CC4E"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6718BE60"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3B4C5466"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7A4E99A1" w14:textId="77777777" w:rsidR="002B1A69" w:rsidRPr="00B36690" w:rsidRDefault="002B1A69" w:rsidP="00B36690">
            <w:pPr>
              <w:pStyle w:val="TableText"/>
              <w:jc w:val="right"/>
            </w:pPr>
            <w:r w:rsidRPr="00B36690">
              <w:t>7993</w:t>
            </w:r>
          </w:p>
        </w:tc>
      </w:tr>
      <w:tr w:rsidR="002B1A69" w:rsidRPr="006E15AF" w14:paraId="78257978" w14:textId="77777777" w:rsidTr="00303DF5">
        <w:trPr>
          <w:cantSplit/>
          <w:trHeight w:val="13"/>
        </w:trPr>
        <w:tc>
          <w:tcPr>
            <w:tcW w:w="882" w:type="pct"/>
            <w:vMerge w:val="restart"/>
          </w:tcPr>
          <w:p w14:paraId="2DF8711B" w14:textId="77777777" w:rsidR="002B1A69" w:rsidRPr="00B36690" w:rsidRDefault="002B1A69" w:rsidP="00B36690">
            <w:pPr>
              <w:pStyle w:val="TableText"/>
            </w:pPr>
            <w:r w:rsidRPr="00B36690">
              <w:t>General weed control in lucerne (grazed before application)</w:t>
            </w:r>
          </w:p>
        </w:tc>
        <w:tc>
          <w:tcPr>
            <w:tcW w:w="662" w:type="pct"/>
            <w:vMerge w:val="restart"/>
          </w:tcPr>
          <w:p w14:paraId="2F17D20E" w14:textId="77777777" w:rsidR="002B1A69" w:rsidRPr="00B36690" w:rsidRDefault="002B1A69" w:rsidP="00B36690">
            <w:pPr>
              <w:pStyle w:val="TableText"/>
            </w:pPr>
            <w:r w:rsidRPr="00B36690">
              <w:t>Legume forage</w:t>
            </w:r>
          </w:p>
        </w:tc>
        <w:tc>
          <w:tcPr>
            <w:tcW w:w="809" w:type="pct"/>
            <w:tcBorders>
              <w:top w:val="single" w:sz="4" w:space="0" w:color="auto"/>
            </w:tcBorders>
          </w:tcPr>
          <w:p w14:paraId="3FE2343C" w14:textId="77777777" w:rsidR="002B1A69" w:rsidRPr="00B36690" w:rsidRDefault="002B1A69" w:rsidP="00B36690">
            <w:pPr>
              <w:pStyle w:val="TableText"/>
            </w:pPr>
            <w:r w:rsidRPr="00B36690">
              <w:t>Small omnivore</w:t>
            </w:r>
          </w:p>
        </w:tc>
        <w:tc>
          <w:tcPr>
            <w:tcW w:w="662" w:type="pct"/>
            <w:tcBorders>
              <w:top w:val="single" w:sz="4" w:space="0" w:color="auto"/>
            </w:tcBorders>
          </w:tcPr>
          <w:p w14:paraId="63FAB0C5" w14:textId="77777777" w:rsidR="002B1A69" w:rsidRPr="00B36690" w:rsidRDefault="002B1A69" w:rsidP="00B36690">
            <w:pPr>
              <w:pStyle w:val="TableText"/>
            </w:pPr>
            <w:r w:rsidRPr="00B36690">
              <w:t>BBCH 10-49</w:t>
            </w:r>
          </w:p>
        </w:tc>
        <w:tc>
          <w:tcPr>
            <w:tcW w:w="496" w:type="pct"/>
            <w:tcBorders>
              <w:top w:val="single" w:sz="4" w:space="0" w:color="auto"/>
            </w:tcBorders>
          </w:tcPr>
          <w:p w14:paraId="235C60A4" w14:textId="77777777" w:rsidR="002B1A69" w:rsidRPr="00B36690" w:rsidRDefault="002B1A69" w:rsidP="00B36690">
            <w:pPr>
              <w:pStyle w:val="TableText"/>
              <w:jc w:val="right"/>
            </w:pPr>
            <w:r w:rsidRPr="00B36690">
              <w:t>17.2</w:t>
            </w:r>
          </w:p>
        </w:tc>
        <w:tc>
          <w:tcPr>
            <w:tcW w:w="496" w:type="pct"/>
            <w:tcBorders>
              <w:top w:val="single" w:sz="4" w:space="0" w:color="auto"/>
            </w:tcBorders>
          </w:tcPr>
          <w:p w14:paraId="29F43CB6" w14:textId="77777777" w:rsidR="002B1A69" w:rsidRPr="00B36690" w:rsidRDefault="002B1A69" w:rsidP="00B36690">
            <w:pPr>
              <w:pStyle w:val="TableText"/>
              <w:jc w:val="right"/>
            </w:pPr>
            <w:r w:rsidRPr="00B36690">
              <w:t>7.8</w:t>
            </w:r>
          </w:p>
        </w:tc>
        <w:tc>
          <w:tcPr>
            <w:tcW w:w="496" w:type="pct"/>
            <w:tcBorders>
              <w:top w:val="single" w:sz="4" w:space="0" w:color="auto"/>
            </w:tcBorders>
          </w:tcPr>
          <w:p w14:paraId="19C9D063" w14:textId="77777777" w:rsidR="002B1A69" w:rsidRPr="00B36690" w:rsidRDefault="002B1A69" w:rsidP="00B36690">
            <w:pPr>
              <w:pStyle w:val="TableText"/>
              <w:jc w:val="right"/>
            </w:pPr>
            <w:r w:rsidRPr="00B36690">
              <w:t>1221</w:t>
            </w:r>
          </w:p>
        </w:tc>
        <w:tc>
          <w:tcPr>
            <w:tcW w:w="497" w:type="pct"/>
            <w:tcBorders>
              <w:top w:val="single" w:sz="4" w:space="0" w:color="auto"/>
            </w:tcBorders>
          </w:tcPr>
          <w:p w14:paraId="6E4C1744" w14:textId="77777777" w:rsidR="002B1A69" w:rsidRPr="00B36690" w:rsidRDefault="002B1A69" w:rsidP="00B36690">
            <w:pPr>
              <w:pStyle w:val="TableText"/>
              <w:jc w:val="right"/>
            </w:pPr>
            <w:r w:rsidRPr="00B36690">
              <w:t>1947</w:t>
            </w:r>
          </w:p>
        </w:tc>
      </w:tr>
      <w:tr w:rsidR="002B1A69" w:rsidRPr="006E15AF" w14:paraId="3154692D" w14:textId="77777777" w:rsidTr="00303DF5">
        <w:trPr>
          <w:cantSplit/>
          <w:trHeight w:val="13"/>
        </w:trPr>
        <w:tc>
          <w:tcPr>
            <w:tcW w:w="882" w:type="pct"/>
            <w:vMerge/>
            <w:tcBorders>
              <w:bottom w:val="single" w:sz="4" w:space="0" w:color="auto"/>
            </w:tcBorders>
          </w:tcPr>
          <w:p w14:paraId="50B1F4D7" w14:textId="77777777" w:rsidR="002B1A69" w:rsidRPr="00B36690" w:rsidRDefault="002B1A69" w:rsidP="00B36690">
            <w:pPr>
              <w:pStyle w:val="TableText"/>
            </w:pPr>
          </w:p>
        </w:tc>
        <w:tc>
          <w:tcPr>
            <w:tcW w:w="662" w:type="pct"/>
            <w:vMerge/>
            <w:tcBorders>
              <w:bottom w:val="single" w:sz="4" w:space="0" w:color="auto"/>
            </w:tcBorders>
          </w:tcPr>
          <w:p w14:paraId="560ACCDF" w14:textId="77777777" w:rsidR="002B1A69" w:rsidRPr="00B36690" w:rsidRDefault="002B1A69" w:rsidP="00B36690">
            <w:pPr>
              <w:pStyle w:val="TableText"/>
            </w:pPr>
          </w:p>
        </w:tc>
        <w:tc>
          <w:tcPr>
            <w:tcW w:w="809" w:type="pct"/>
            <w:tcBorders>
              <w:bottom w:val="single" w:sz="4" w:space="0" w:color="auto"/>
            </w:tcBorders>
          </w:tcPr>
          <w:p w14:paraId="77626F02"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1649A46D" w14:textId="77777777" w:rsidR="002B1A69" w:rsidRPr="00B36690" w:rsidRDefault="002B1A69" w:rsidP="00B36690">
            <w:pPr>
              <w:pStyle w:val="TableText"/>
            </w:pPr>
            <w:r w:rsidRPr="00B36690">
              <w:t>BBCH 10-19</w:t>
            </w:r>
          </w:p>
        </w:tc>
        <w:tc>
          <w:tcPr>
            <w:tcW w:w="496" w:type="pct"/>
            <w:tcBorders>
              <w:bottom w:val="single" w:sz="4" w:space="0" w:color="auto"/>
            </w:tcBorders>
          </w:tcPr>
          <w:p w14:paraId="2235B773" w14:textId="77777777" w:rsidR="002B1A69" w:rsidRPr="00B36690" w:rsidRDefault="002B1A69" w:rsidP="00B36690">
            <w:pPr>
              <w:pStyle w:val="TableText"/>
              <w:jc w:val="right"/>
            </w:pPr>
            <w:r w:rsidRPr="00B36690">
              <w:t>7.6</w:t>
            </w:r>
          </w:p>
        </w:tc>
        <w:tc>
          <w:tcPr>
            <w:tcW w:w="496" w:type="pct"/>
            <w:tcBorders>
              <w:bottom w:val="single" w:sz="4" w:space="0" w:color="auto"/>
            </w:tcBorders>
          </w:tcPr>
          <w:p w14:paraId="01CB860E" w14:textId="77777777" w:rsidR="002B1A69" w:rsidRPr="00B36690" w:rsidRDefault="002B1A69" w:rsidP="00B36690">
            <w:pPr>
              <w:pStyle w:val="TableText"/>
              <w:jc w:val="right"/>
            </w:pPr>
            <w:r w:rsidRPr="00B36690">
              <w:t>4.2</w:t>
            </w:r>
          </w:p>
        </w:tc>
        <w:tc>
          <w:tcPr>
            <w:tcW w:w="496" w:type="pct"/>
            <w:tcBorders>
              <w:bottom w:val="single" w:sz="4" w:space="0" w:color="auto"/>
            </w:tcBorders>
          </w:tcPr>
          <w:p w14:paraId="77E2814D" w14:textId="77777777" w:rsidR="002B1A69" w:rsidRPr="00B36690" w:rsidRDefault="002B1A69" w:rsidP="00B36690">
            <w:pPr>
              <w:pStyle w:val="TableText"/>
              <w:jc w:val="right"/>
            </w:pPr>
            <w:r w:rsidRPr="00B36690">
              <w:t>2763</w:t>
            </w:r>
          </w:p>
        </w:tc>
        <w:tc>
          <w:tcPr>
            <w:tcW w:w="497" w:type="pct"/>
            <w:tcBorders>
              <w:bottom w:val="single" w:sz="4" w:space="0" w:color="auto"/>
            </w:tcBorders>
          </w:tcPr>
          <w:p w14:paraId="47876C59" w14:textId="77777777" w:rsidR="002B1A69" w:rsidRPr="00B36690" w:rsidRDefault="002B1A69" w:rsidP="00B36690">
            <w:pPr>
              <w:pStyle w:val="TableText"/>
              <w:jc w:val="right"/>
            </w:pPr>
            <w:r w:rsidRPr="00B36690">
              <w:t>3616</w:t>
            </w:r>
          </w:p>
        </w:tc>
      </w:tr>
      <w:tr w:rsidR="002B1A69" w:rsidRPr="006E15AF" w14:paraId="63BE2A83" w14:textId="77777777" w:rsidTr="00303DF5">
        <w:trPr>
          <w:cantSplit/>
          <w:trHeight w:val="13"/>
        </w:trPr>
        <w:tc>
          <w:tcPr>
            <w:tcW w:w="882" w:type="pct"/>
            <w:vMerge w:val="restart"/>
          </w:tcPr>
          <w:p w14:paraId="0E53AAD5" w14:textId="77777777" w:rsidR="002B1A69" w:rsidRPr="00B36690" w:rsidRDefault="002B1A69" w:rsidP="00B36690">
            <w:pPr>
              <w:pStyle w:val="TableText"/>
            </w:pPr>
            <w:r w:rsidRPr="00B36690">
              <w:t>Pre-harvest desiccation in lucerne and lupins</w:t>
            </w:r>
          </w:p>
        </w:tc>
        <w:tc>
          <w:tcPr>
            <w:tcW w:w="662" w:type="pct"/>
            <w:vMerge w:val="restart"/>
          </w:tcPr>
          <w:p w14:paraId="3ACD6BCB" w14:textId="77777777" w:rsidR="002B1A69" w:rsidRPr="00B36690" w:rsidRDefault="002B1A69" w:rsidP="00B36690">
            <w:pPr>
              <w:pStyle w:val="TableText"/>
            </w:pPr>
            <w:r w:rsidRPr="00B36690">
              <w:t>Legume forage</w:t>
            </w:r>
          </w:p>
        </w:tc>
        <w:tc>
          <w:tcPr>
            <w:tcW w:w="809" w:type="pct"/>
            <w:tcBorders>
              <w:top w:val="single" w:sz="4" w:space="0" w:color="auto"/>
            </w:tcBorders>
          </w:tcPr>
          <w:p w14:paraId="75AD3059"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1024ABDD" w14:textId="77777777" w:rsidR="002B1A69" w:rsidRPr="00B36690" w:rsidRDefault="002B1A69" w:rsidP="00B36690">
            <w:pPr>
              <w:pStyle w:val="TableText"/>
            </w:pPr>
            <w:r w:rsidRPr="00B36690">
              <w:t>BBCH ≥50</w:t>
            </w:r>
          </w:p>
        </w:tc>
        <w:tc>
          <w:tcPr>
            <w:tcW w:w="496" w:type="pct"/>
            <w:tcBorders>
              <w:top w:val="single" w:sz="4" w:space="0" w:color="auto"/>
            </w:tcBorders>
          </w:tcPr>
          <w:p w14:paraId="69E1F58E" w14:textId="77777777" w:rsidR="002B1A69" w:rsidRPr="00B36690" w:rsidRDefault="002B1A69" w:rsidP="00B36690">
            <w:pPr>
              <w:pStyle w:val="TableText"/>
              <w:jc w:val="right"/>
            </w:pPr>
            <w:r w:rsidRPr="00B36690">
              <w:t>40.9</w:t>
            </w:r>
          </w:p>
        </w:tc>
        <w:tc>
          <w:tcPr>
            <w:tcW w:w="496" w:type="pct"/>
            <w:tcBorders>
              <w:top w:val="single" w:sz="4" w:space="0" w:color="auto"/>
            </w:tcBorders>
          </w:tcPr>
          <w:p w14:paraId="1C96323D" w14:textId="77777777" w:rsidR="002B1A69" w:rsidRPr="00B36690" w:rsidRDefault="002B1A69" w:rsidP="00B36690">
            <w:pPr>
              <w:pStyle w:val="TableText"/>
              <w:jc w:val="right"/>
            </w:pPr>
            <w:r w:rsidRPr="00B36690">
              <w:t>21.7</w:t>
            </w:r>
          </w:p>
        </w:tc>
        <w:tc>
          <w:tcPr>
            <w:tcW w:w="496" w:type="pct"/>
            <w:tcBorders>
              <w:top w:val="single" w:sz="4" w:space="0" w:color="auto"/>
            </w:tcBorders>
            <w:shd w:val="clear" w:color="auto" w:fill="FF0000"/>
          </w:tcPr>
          <w:p w14:paraId="491205FB" w14:textId="77777777" w:rsidR="002B1A69" w:rsidRPr="00B36690" w:rsidRDefault="002B1A69" w:rsidP="00B36690">
            <w:pPr>
              <w:pStyle w:val="TableText"/>
              <w:jc w:val="right"/>
            </w:pPr>
            <w:r w:rsidRPr="00B36690">
              <w:t>513</w:t>
            </w:r>
          </w:p>
        </w:tc>
        <w:tc>
          <w:tcPr>
            <w:tcW w:w="497" w:type="pct"/>
            <w:tcBorders>
              <w:top w:val="single" w:sz="4" w:space="0" w:color="auto"/>
            </w:tcBorders>
          </w:tcPr>
          <w:p w14:paraId="537C5463" w14:textId="77777777" w:rsidR="002B1A69" w:rsidRPr="00B36690" w:rsidRDefault="002B1A69" w:rsidP="00B36690">
            <w:pPr>
              <w:pStyle w:val="TableText"/>
              <w:jc w:val="right"/>
            </w:pPr>
            <w:r w:rsidRPr="00B36690">
              <w:t>700</w:t>
            </w:r>
          </w:p>
        </w:tc>
      </w:tr>
      <w:tr w:rsidR="002B1A69" w:rsidRPr="006E15AF" w14:paraId="64A2E54F" w14:textId="77777777" w:rsidTr="00303DF5">
        <w:trPr>
          <w:cantSplit/>
          <w:trHeight w:val="13"/>
        </w:trPr>
        <w:tc>
          <w:tcPr>
            <w:tcW w:w="882" w:type="pct"/>
            <w:vMerge/>
          </w:tcPr>
          <w:p w14:paraId="1171C78C" w14:textId="77777777" w:rsidR="002B1A69" w:rsidRPr="00B36690" w:rsidRDefault="002B1A69" w:rsidP="00B36690">
            <w:pPr>
              <w:pStyle w:val="TableText"/>
            </w:pPr>
          </w:p>
        </w:tc>
        <w:tc>
          <w:tcPr>
            <w:tcW w:w="662" w:type="pct"/>
            <w:vMerge/>
          </w:tcPr>
          <w:p w14:paraId="5501052C" w14:textId="77777777" w:rsidR="002B1A69" w:rsidRPr="00B36690" w:rsidRDefault="002B1A69" w:rsidP="00B36690">
            <w:pPr>
              <w:pStyle w:val="TableText"/>
            </w:pPr>
          </w:p>
        </w:tc>
        <w:tc>
          <w:tcPr>
            <w:tcW w:w="809" w:type="pct"/>
          </w:tcPr>
          <w:p w14:paraId="2330557C" w14:textId="77777777" w:rsidR="002B1A69" w:rsidRPr="00B36690" w:rsidRDefault="002B1A69" w:rsidP="00B36690">
            <w:pPr>
              <w:pStyle w:val="TableText"/>
            </w:pPr>
            <w:r w:rsidRPr="00B36690">
              <w:t>Small omnivore</w:t>
            </w:r>
          </w:p>
        </w:tc>
        <w:tc>
          <w:tcPr>
            <w:tcW w:w="662" w:type="pct"/>
          </w:tcPr>
          <w:p w14:paraId="104C2A20" w14:textId="77777777" w:rsidR="002B1A69" w:rsidRPr="00B36690" w:rsidRDefault="002B1A69" w:rsidP="00B36690">
            <w:pPr>
              <w:pStyle w:val="TableText"/>
            </w:pPr>
            <w:r w:rsidRPr="00B36690">
              <w:t>BBCH ≥50</w:t>
            </w:r>
          </w:p>
        </w:tc>
        <w:tc>
          <w:tcPr>
            <w:tcW w:w="496" w:type="pct"/>
          </w:tcPr>
          <w:p w14:paraId="54F8CA51" w14:textId="77777777" w:rsidR="002B1A69" w:rsidRPr="00B36690" w:rsidRDefault="002B1A69" w:rsidP="00B36690">
            <w:pPr>
              <w:pStyle w:val="TableText"/>
              <w:jc w:val="right"/>
            </w:pPr>
            <w:r w:rsidRPr="00B36690">
              <w:t>5.2</w:t>
            </w:r>
          </w:p>
        </w:tc>
        <w:tc>
          <w:tcPr>
            <w:tcW w:w="496" w:type="pct"/>
          </w:tcPr>
          <w:p w14:paraId="67766435" w14:textId="77777777" w:rsidR="002B1A69" w:rsidRPr="00B36690" w:rsidRDefault="002B1A69" w:rsidP="00B36690">
            <w:pPr>
              <w:pStyle w:val="TableText"/>
              <w:jc w:val="right"/>
            </w:pPr>
            <w:r w:rsidRPr="00B36690">
              <w:t>2.3</w:t>
            </w:r>
          </w:p>
        </w:tc>
        <w:tc>
          <w:tcPr>
            <w:tcW w:w="496" w:type="pct"/>
          </w:tcPr>
          <w:p w14:paraId="43EF3CD7" w14:textId="77777777" w:rsidR="002B1A69" w:rsidRPr="00B36690" w:rsidRDefault="002B1A69" w:rsidP="00B36690">
            <w:pPr>
              <w:pStyle w:val="TableText"/>
              <w:jc w:val="right"/>
            </w:pPr>
            <w:r w:rsidRPr="00B36690">
              <w:t>4038</w:t>
            </w:r>
          </w:p>
        </w:tc>
        <w:tc>
          <w:tcPr>
            <w:tcW w:w="497" w:type="pct"/>
          </w:tcPr>
          <w:p w14:paraId="4BFDDA0C" w14:textId="77777777" w:rsidR="002B1A69" w:rsidRPr="00B36690" w:rsidRDefault="002B1A69" w:rsidP="00B36690">
            <w:pPr>
              <w:pStyle w:val="TableText"/>
              <w:jc w:val="right"/>
            </w:pPr>
            <w:r w:rsidRPr="00B36690">
              <w:t>6603</w:t>
            </w:r>
          </w:p>
        </w:tc>
      </w:tr>
      <w:tr w:rsidR="002B1A69" w:rsidRPr="006E15AF" w14:paraId="54246D25" w14:textId="77777777" w:rsidTr="00303DF5">
        <w:trPr>
          <w:cantSplit/>
          <w:trHeight w:val="13"/>
        </w:trPr>
        <w:tc>
          <w:tcPr>
            <w:tcW w:w="882" w:type="pct"/>
            <w:vMerge/>
            <w:tcBorders>
              <w:bottom w:val="single" w:sz="4" w:space="0" w:color="auto"/>
            </w:tcBorders>
          </w:tcPr>
          <w:p w14:paraId="5843F791" w14:textId="77777777" w:rsidR="002B1A69" w:rsidRPr="00B36690" w:rsidRDefault="002B1A69" w:rsidP="00B36690">
            <w:pPr>
              <w:pStyle w:val="TableText"/>
            </w:pPr>
          </w:p>
        </w:tc>
        <w:tc>
          <w:tcPr>
            <w:tcW w:w="662" w:type="pct"/>
            <w:vMerge/>
            <w:tcBorders>
              <w:bottom w:val="single" w:sz="4" w:space="0" w:color="auto"/>
            </w:tcBorders>
          </w:tcPr>
          <w:p w14:paraId="427D56C8" w14:textId="77777777" w:rsidR="002B1A69" w:rsidRPr="00B36690" w:rsidRDefault="002B1A69" w:rsidP="00B36690">
            <w:pPr>
              <w:pStyle w:val="TableText"/>
            </w:pPr>
          </w:p>
        </w:tc>
        <w:tc>
          <w:tcPr>
            <w:tcW w:w="809" w:type="pct"/>
            <w:tcBorders>
              <w:bottom w:val="single" w:sz="4" w:space="0" w:color="auto"/>
            </w:tcBorders>
          </w:tcPr>
          <w:p w14:paraId="5D772014"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3E168EE9" w14:textId="77777777" w:rsidR="002B1A69" w:rsidRPr="00B36690" w:rsidRDefault="002B1A69" w:rsidP="00B36690">
            <w:pPr>
              <w:pStyle w:val="TableText"/>
            </w:pPr>
            <w:r w:rsidRPr="00B36690">
              <w:t>BBCH ≥20</w:t>
            </w:r>
          </w:p>
        </w:tc>
        <w:tc>
          <w:tcPr>
            <w:tcW w:w="496" w:type="pct"/>
            <w:tcBorders>
              <w:bottom w:val="single" w:sz="4" w:space="0" w:color="auto"/>
            </w:tcBorders>
          </w:tcPr>
          <w:p w14:paraId="02754CDA"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6911F041"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703ADC22"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1D1BF220" w14:textId="77777777" w:rsidR="002B1A69" w:rsidRPr="00B36690" w:rsidRDefault="002B1A69" w:rsidP="00B36690">
            <w:pPr>
              <w:pStyle w:val="TableText"/>
              <w:jc w:val="right"/>
            </w:pPr>
            <w:r w:rsidRPr="00B36690">
              <w:t>7993</w:t>
            </w:r>
          </w:p>
        </w:tc>
      </w:tr>
      <w:tr w:rsidR="002B1A69" w:rsidRPr="008E4070" w14:paraId="2F01E581" w14:textId="77777777" w:rsidTr="00303DF5">
        <w:trPr>
          <w:cantSplit/>
          <w:trHeight w:val="13"/>
        </w:trPr>
        <w:tc>
          <w:tcPr>
            <w:tcW w:w="882" w:type="pct"/>
            <w:vMerge w:val="restart"/>
          </w:tcPr>
          <w:p w14:paraId="147C1523" w14:textId="77777777" w:rsidR="002B1A69" w:rsidRPr="00B36690" w:rsidRDefault="002B1A69" w:rsidP="00B36690">
            <w:pPr>
              <w:pStyle w:val="TableText"/>
            </w:pPr>
            <w:r w:rsidRPr="00B36690">
              <w:t>General weed control in sugarcane (over the top spray and inter-row spray)</w:t>
            </w:r>
          </w:p>
        </w:tc>
        <w:tc>
          <w:tcPr>
            <w:tcW w:w="662" w:type="pct"/>
            <w:vMerge w:val="restart"/>
          </w:tcPr>
          <w:p w14:paraId="77439A61" w14:textId="77777777" w:rsidR="002B1A69" w:rsidRPr="00B36690" w:rsidRDefault="002B1A69" w:rsidP="00B36690">
            <w:pPr>
              <w:pStyle w:val="TableText"/>
            </w:pPr>
            <w:r w:rsidRPr="00B36690">
              <w:t>Maize</w:t>
            </w:r>
          </w:p>
        </w:tc>
        <w:tc>
          <w:tcPr>
            <w:tcW w:w="809" w:type="pct"/>
            <w:tcBorders>
              <w:top w:val="single" w:sz="4" w:space="0" w:color="auto"/>
            </w:tcBorders>
          </w:tcPr>
          <w:p w14:paraId="7786840E"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7E8500FF" w14:textId="77777777" w:rsidR="002B1A69" w:rsidRPr="00B36690" w:rsidRDefault="002B1A69" w:rsidP="00B36690">
            <w:pPr>
              <w:pStyle w:val="TableText"/>
            </w:pPr>
            <w:r w:rsidRPr="00B36690">
              <w:t>BBCH 10-29</w:t>
            </w:r>
          </w:p>
        </w:tc>
        <w:tc>
          <w:tcPr>
            <w:tcW w:w="496" w:type="pct"/>
            <w:tcBorders>
              <w:top w:val="single" w:sz="4" w:space="0" w:color="auto"/>
            </w:tcBorders>
          </w:tcPr>
          <w:p w14:paraId="4F8436D7" w14:textId="77777777" w:rsidR="002B1A69" w:rsidRPr="00B36690" w:rsidRDefault="002B1A69" w:rsidP="00B36690">
            <w:pPr>
              <w:pStyle w:val="TableText"/>
              <w:jc w:val="right"/>
            </w:pPr>
            <w:r w:rsidRPr="00B36690">
              <w:t>136.4</w:t>
            </w:r>
          </w:p>
        </w:tc>
        <w:tc>
          <w:tcPr>
            <w:tcW w:w="496" w:type="pct"/>
            <w:tcBorders>
              <w:top w:val="single" w:sz="4" w:space="0" w:color="auto"/>
            </w:tcBorders>
          </w:tcPr>
          <w:p w14:paraId="1E38A7DB" w14:textId="77777777" w:rsidR="002B1A69" w:rsidRPr="00B36690" w:rsidRDefault="002B1A69" w:rsidP="00B36690">
            <w:pPr>
              <w:pStyle w:val="TableText"/>
              <w:jc w:val="right"/>
            </w:pPr>
            <w:r w:rsidRPr="00B36690">
              <w:t>72.3</w:t>
            </w:r>
          </w:p>
        </w:tc>
        <w:tc>
          <w:tcPr>
            <w:tcW w:w="496" w:type="pct"/>
            <w:tcBorders>
              <w:top w:val="single" w:sz="4" w:space="0" w:color="auto"/>
            </w:tcBorders>
            <w:shd w:val="clear" w:color="auto" w:fill="FF0000"/>
          </w:tcPr>
          <w:p w14:paraId="7E8C368D" w14:textId="77777777" w:rsidR="002B1A69" w:rsidRPr="00B36690" w:rsidRDefault="002B1A69" w:rsidP="00B36690">
            <w:pPr>
              <w:pStyle w:val="TableText"/>
              <w:jc w:val="right"/>
            </w:pPr>
            <w:r w:rsidRPr="00B36690">
              <w:t>154</w:t>
            </w:r>
          </w:p>
        </w:tc>
        <w:tc>
          <w:tcPr>
            <w:tcW w:w="497" w:type="pct"/>
            <w:tcBorders>
              <w:top w:val="single" w:sz="4" w:space="0" w:color="auto"/>
            </w:tcBorders>
            <w:shd w:val="clear" w:color="auto" w:fill="FF0000"/>
          </w:tcPr>
          <w:p w14:paraId="6415AFB0" w14:textId="77777777" w:rsidR="002B1A69" w:rsidRPr="00B36690" w:rsidRDefault="002B1A69" w:rsidP="00B36690">
            <w:pPr>
              <w:pStyle w:val="TableText"/>
              <w:jc w:val="right"/>
            </w:pPr>
            <w:r w:rsidRPr="00B36690">
              <w:t>210</w:t>
            </w:r>
          </w:p>
        </w:tc>
      </w:tr>
      <w:tr w:rsidR="002B1A69" w:rsidRPr="006E15AF" w14:paraId="18CCCEE3" w14:textId="77777777" w:rsidTr="00303DF5">
        <w:trPr>
          <w:cantSplit/>
          <w:trHeight w:val="13"/>
        </w:trPr>
        <w:tc>
          <w:tcPr>
            <w:tcW w:w="882" w:type="pct"/>
            <w:vMerge/>
          </w:tcPr>
          <w:p w14:paraId="76CE5549" w14:textId="77777777" w:rsidR="002B1A69" w:rsidRPr="00B36690" w:rsidRDefault="002B1A69" w:rsidP="00B36690">
            <w:pPr>
              <w:pStyle w:val="TableText"/>
            </w:pPr>
          </w:p>
        </w:tc>
        <w:tc>
          <w:tcPr>
            <w:tcW w:w="662" w:type="pct"/>
            <w:vMerge/>
          </w:tcPr>
          <w:p w14:paraId="64AAC009" w14:textId="77777777" w:rsidR="002B1A69" w:rsidRPr="00B36690" w:rsidRDefault="002B1A69" w:rsidP="00B36690">
            <w:pPr>
              <w:pStyle w:val="TableText"/>
            </w:pPr>
          </w:p>
        </w:tc>
        <w:tc>
          <w:tcPr>
            <w:tcW w:w="809" w:type="pct"/>
          </w:tcPr>
          <w:p w14:paraId="0596167B" w14:textId="77777777" w:rsidR="002B1A69" w:rsidRPr="00B36690" w:rsidRDefault="002B1A69" w:rsidP="00B36690">
            <w:pPr>
              <w:pStyle w:val="TableText"/>
            </w:pPr>
            <w:r w:rsidRPr="00B36690">
              <w:t>Small omnivore</w:t>
            </w:r>
          </w:p>
        </w:tc>
        <w:tc>
          <w:tcPr>
            <w:tcW w:w="662" w:type="pct"/>
          </w:tcPr>
          <w:p w14:paraId="69E90DCD" w14:textId="77777777" w:rsidR="002B1A69" w:rsidRPr="00B36690" w:rsidRDefault="002B1A69" w:rsidP="00B36690">
            <w:pPr>
              <w:pStyle w:val="TableText"/>
            </w:pPr>
            <w:r w:rsidRPr="00B36690">
              <w:t>BBCH 10-29</w:t>
            </w:r>
          </w:p>
        </w:tc>
        <w:tc>
          <w:tcPr>
            <w:tcW w:w="496" w:type="pct"/>
          </w:tcPr>
          <w:p w14:paraId="2CC35641" w14:textId="77777777" w:rsidR="002B1A69" w:rsidRPr="00B36690" w:rsidRDefault="002B1A69" w:rsidP="00B36690">
            <w:pPr>
              <w:pStyle w:val="TableText"/>
              <w:jc w:val="right"/>
            </w:pPr>
            <w:r w:rsidRPr="00B36690">
              <w:t>17.2</w:t>
            </w:r>
          </w:p>
        </w:tc>
        <w:tc>
          <w:tcPr>
            <w:tcW w:w="496" w:type="pct"/>
          </w:tcPr>
          <w:p w14:paraId="5CD0BADA" w14:textId="77777777" w:rsidR="002B1A69" w:rsidRPr="00B36690" w:rsidRDefault="002B1A69" w:rsidP="00B36690">
            <w:pPr>
              <w:pStyle w:val="TableText"/>
              <w:jc w:val="right"/>
            </w:pPr>
            <w:r w:rsidRPr="00B36690">
              <w:t>7.8</w:t>
            </w:r>
          </w:p>
        </w:tc>
        <w:tc>
          <w:tcPr>
            <w:tcW w:w="496" w:type="pct"/>
          </w:tcPr>
          <w:p w14:paraId="4E9D22B9" w14:textId="77777777" w:rsidR="002B1A69" w:rsidRPr="00B36690" w:rsidRDefault="002B1A69" w:rsidP="00B36690">
            <w:pPr>
              <w:pStyle w:val="TableText"/>
              <w:jc w:val="right"/>
            </w:pPr>
            <w:r w:rsidRPr="00B36690">
              <w:t>1221</w:t>
            </w:r>
          </w:p>
        </w:tc>
        <w:tc>
          <w:tcPr>
            <w:tcW w:w="497" w:type="pct"/>
          </w:tcPr>
          <w:p w14:paraId="7D49F1C3" w14:textId="77777777" w:rsidR="002B1A69" w:rsidRPr="00B36690" w:rsidRDefault="002B1A69" w:rsidP="00B36690">
            <w:pPr>
              <w:pStyle w:val="TableText"/>
              <w:jc w:val="right"/>
            </w:pPr>
            <w:r w:rsidRPr="00B36690">
              <w:t>1947</w:t>
            </w:r>
          </w:p>
        </w:tc>
      </w:tr>
      <w:tr w:rsidR="002B1A69" w:rsidRPr="006E15AF" w14:paraId="0C12A0CC" w14:textId="77777777" w:rsidTr="00303DF5">
        <w:trPr>
          <w:cantSplit/>
          <w:trHeight w:val="13"/>
        </w:trPr>
        <w:tc>
          <w:tcPr>
            <w:tcW w:w="882" w:type="pct"/>
            <w:vMerge/>
            <w:tcBorders>
              <w:bottom w:val="single" w:sz="4" w:space="0" w:color="auto"/>
            </w:tcBorders>
          </w:tcPr>
          <w:p w14:paraId="0429967D" w14:textId="77777777" w:rsidR="002B1A69" w:rsidRPr="00B36690" w:rsidRDefault="002B1A69" w:rsidP="00B36690">
            <w:pPr>
              <w:pStyle w:val="TableText"/>
            </w:pPr>
          </w:p>
        </w:tc>
        <w:tc>
          <w:tcPr>
            <w:tcW w:w="662" w:type="pct"/>
            <w:vMerge/>
            <w:tcBorders>
              <w:bottom w:val="single" w:sz="4" w:space="0" w:color="auto"/>
            </w:tcBorders>
          </w:tcPr>
          <w:p w14:paraId="4A7ED97B" w14:textId="77777777" w:rsidR="002B1A69" w:rsidRPr="00B36690" w:rsidRDefault="002B1A69" w:rsidP="00B36690">
            <w:pPr>
              <w:pStyle w:val="TableText"/>
            </w:pPr>
          </w:p>
        </w:tc>
        <w:tc>
          <w:tcPr>
            <w:tcW w:w="809" w:type="pct"/>
            <w:tcBorders>
              <w:bottom w:val="single" w:sz="4" w:space="0" w:color="auto"/>
            </w:tcBorders>
          </w:tcPr>
          <w:p w14:paraId="7F6A13A1"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2380006D" w14:textId="77777777" w:rsidR="002B1A69" w:rsidRPr="00B36690" w:rsidRDefault="002B1A69" w:rsidP="00B36690">
            <w:pPr>
              <w:pStyle w:val="TableText"/>
            </w:pPr>
            <w:r w:rsidRPr="00B36690">
              <w:t>BBCH 10-19</w:t>
            </w:r>
          </w:p>
        </w:tc>
        <w:tc>
          <w:tcPr>
            <w:tcW w:w="496" w:type="pct"/>
            <w:tcBorders>
              <w:bottom w:val="single" w:sz="4" w:space="0" w:color="auto"/>
            </w:tcBorders>
          </w:tcPr>
          <w:p w14:paraId="009D0FAC" w14:textId="77777777" w:rsidR="002B1A69" w:rsidRPr="00B36690" w:rsidRDefault="002B1A69" w:rsidP="00B36690">
            <w:pPr>
              <w:pStyle w:val="TableText"/>
              <w:jc w:val="right"/>
            </w:pPr>
            <w:r w:rsidRPr="00B36690">
              <w:t>7.6</w:t>
            </w:r>
          </w:p>
        </w:tc>
        <w:tc>
          <w:tcPr>
            <w:tcW w:w="496" w:type="pct"/>
            <w:tcBorders>
              <w:bottom w:val="single" w:sz="4" w:space="0" w:color="auto"/>
            </w:tcBorders>
          </w:tcPr>
          <w:p w14:paraId="246EE432" w14:textId="77777777" w:rsidR="002B1A69" w:rsidRPr="00B36690" w:rsidRDefault="002B1A69" w:rsidP="00B36690">
            <w:pPr>
              <w:pStyle w:val="TableText"/>
              <w:jc w:val="right"/>
            </w:pPr>
            <w:r w:rsidRPr="00B36690">
              <w:t>4.2</w:t>
            </w:r>
          </w:p>
        </w:tc>
        <w:tc>
          <w:tcPr>
            <w:tcW w:w="496" w:type="pct"/>
            <w:tcBorders>
              <w:bottom w:val="single" w:sz="4" w:space="0" w:color="auto"/>
            </w:tcBorders>
          </w:tcPr>
          <w:p w14:paraId="4D351A2C" w14:textId="77777777" w:rsidR="002B1A69" w:rsidRPr="00B36690" w:rsidRDefault="002B1A69" w:rsidP="00B36690">
            <w:pPr>
              <w:pStyle w:val="TableText"/>
              <w:jc w:val="right"/>
            </w:pPr>
            <w:r w:rsidRPr="00B36690">
              <w:t>2763</w:t>
            </w:r>
          </w:p>
        </w:tc>
        <w:tc>
          <w:tcPr>
            <w:tcW w:w="497" w:type="pct"/>
            <w:tcBorders>
              <w:bottom w:val="single" w:sz="4" w:space="0" w:color="auto"/>
            </w:tcBorders>
          </w:tcPr>
          <w:p w14:paraId="0939DE52" w14:textId="77777777" w:rsidR="002B1A69" w:rsidRPr="00B36690" w:rsidRDefault="002B1A69" w:rsidP="00B36690">
            <w:pPr>
              <w:pStyle w:val="TableText"/>
              <w:jc w:val="right"/>
            </w:pPr>
            <w:r w:rsidRPr="00B36690">
              <w:t>3616</w:t>
            </w:r>
          </w:p>
        </w:tc>
      </w:tr>
      <w:tr w:rsidR="002B1A69" w:rsidRPr="006E15AF" w14:paraId="6EC62B77" w14:textId="77777777" w:rsidTr="00303DF5">
        <w:trPr>
          <w:cantSplit/>
          <w:trHeight w:val="13"/>
        </w:trPr>
        <w:tc>
          <w:tcPr>
            <w:tcW w:w="882" w:type="pct"/>
            <w:vMerge w:val="restart"/>
          </w:tcPr>
          <w:p w14:paraId="41AF5DA5" w14:textId="77777777" w:rsidR="002B1A69" w:rsidRPr="00B36690" w:rsidRDefault="002B1A69" w:rsidP="00B36690">
            <w:pPr>
              <w:pStyle w:val="TableText"/>
            </w:pPr>
            <w:r w:rsidRPr="00B36690">
              <w:t>Pre-harvest desiccation in sugarcane</w:t>
            </w:r>
          </w:p>
        </w:tc>
        <w:tc>
          <w:tcPr>
            <w:tcW w:w="662" w:type="pct"/>
            <w:vMerge w:val="restart"/>
          </w:tcPr>
          <w:p w14:paraId="7FA84ADE" w14:textId="77777777" w:rsidR="002B1A69" w:rsidRPr="00B36690" w:rsidRDefault="002B1A69" w:rsidP="00B36690">
            <w:pPr>
              <w:pStyle w:val="TableText"/>
            </w:pPr>
            <w:r w:rsidRPr="00B36690">
              <w:t>Maize</w:t>
            </w:r>
          </w:p>
        </w:tc>
        <w:tc>
          <w:tcPr>
            <w:tcW w:w="809" w:type="pct"/>
            <w:tcBorders>
              <w:top w:val="single" w:sz="4" w:space="0" w:color="auto"/>
            </w:tcBorders>
          </w:tcPr>
          <w:p w14:paraId="764D353C"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0B00321D" w14:textId="77777777" w:rsidR="002B1A69" w:rsidRPr="00B36690" w:rsidRDefault="002B1A69" w:rsidP="00B36690">
            <w:pPr>
              <w:pStyle w:val="TableText"/>
            </w:pPr>
            <w:r w:rsidRPr="00B36690">
              <w:t>BBCH ≥40</w:t>
            </w:r>
          </w:p>
        </w:tc>
        <w:tc>
          <w:tcPr>
            <w:tcW w:w="496" w:type="pct"/>
            <w:tcBorders>
              <w:top w:val="single" w:sz="4" w:space="0" w:color="auto"/>
            </w:tcBorders>
          </w:tcPr>
          <w:p w14:paraId="218F4AFE" w14:textId="77777777" w:rsidR="002B1A69" w:rsidRPr="00B36690" w:rsidRDefault="002B1A69" w:rsidP="00B36690">
            <w:pPr>
              <w:pStyle w:val="TableText"/>
              <w:jc w:val="right"/>
            </w:pPr>
            <w:r w:rsidRPr="00B36690">
              <w:t>34.1</w:t>
            </w:r>
          </w:p>
        </w:tc>
        <w:tc>
          <w:tcPr>
            <w:tcW w:w="496" w:type="pct"/>
            <w:tcBorders>
              <w:top w:val="single" w:sz="4" w:space="0" w:color="auto"/>
            </w:tcBorders>
          </w:tcPr>
          <w:p w14:paraId="113CBE8E" w14:textId="77777777" w:rsidR="002B1A69" w:rsidRPr="00B36690" w:rsidRDefault="002B1A69" w:rsidP="00B36690">
            <w:pPr>
              <w:pStyle w:val="TableText"/>
              <w:jc w:val="right"/>
            </w:pPr>
            <w:r w:rsidRPr="00B36690">
              <w:t>18.1</w:t>
            </w:r>
          </w:p>
        </w:tc>
        <w:tc>
          <w:tcPr>
            <w:tcW w:w="496" w:type="pct"/>
            <w:tcBorders>
              <w:top w:val="single" w:sz="4" w:space="0" w:color="auto"/>
            </w:tcBorders>
          </w:tcPr>
          <w:p w14:paraId="6266FD9D" w14:textId="77777777" w:rsidR="002B1A69" w:rsidRPr="00B36690" w:rsidRDefault="002B1A69" w:rsidP="00B36690">
            <w:pPr>
              <w:pStyle w:val="TableText"/>
              <w:jc w:val="right"/>
            </w:pPr>
            <w:r w:rsidRPr="00B36690">
              <w:t>616</w:t>
            </w:r>
          </w:p>
        </w:tc>
        <w:tc>
          <w:tcPr>
            <w:tcW w:w="497" w:type="pct"/>
            <w:tcBorders>
              <w:top w:val="single" w:sz="4" w:space="0" w:color="auto"/>
            </w:tcBorders>
          </w:tcPr>
          <w:p w14:paraId="241C5A6F" w14:textId="77777777" w:rsidR="002B1A69" w:rsidRPr="00B36690" w:rsidRDefault="002B1A69" w:rsidP="00B36690">
            <w:pPr>
              <w:pStyle w:val="TableText"/>
              <w:jc w:val="right"/>
            </w:pPr>
            <w:r w:rsidRPr="00B36690">
              <w:t>839</w:t>
            </w:r>
          </w:p>
        </w:tc>
      </w:tr>
      <w:tr w:rsidR="002B1A69" w:rsidRPr="006E15AF" w14:paraId="70D067EA" w14:textId="77777777" w:rsidTr="00303DF5">
        <w:trPr>
          <w:cantSplit/>
          <w:trHeight w:val="13"/>
        </w:trPr>
        <w:tc>
          <w:tcPr>
            <w:tcW w:w="882" w:type="pct"/>
            <w:vMerge/>
          </w:tcPr>
          <w:p w14:paraId="437E5796" w14:textId="77777777" w:rsidR="002B1A69" w:rsidRPr="00B36690" w:rsidRDefault="002B1A69" w:rsidP="00B36690">
            <w:pPr>
              <w:pStyle w:val="TableText"/>
            </w:pPr>
          </w:p>
        </w:tc>
        <w:tc>
          <w:tcPr>
            <w:tcW w:w="662" w:type="pct"/>
            <w:vMerge/>
          </w:tcPr>
          <w:p w14:paraId="60F2E9EF" w14:textId="77777777" w:rsidR="002B1A69" w:rsidRPr="00B36690" w:rsidRDefault="002B1A69" w:rsidP="00B36690">
            <w:pPr>
              <w:pStyle w:val="TableText"/>
            </w:pPr>
          </w:p>
        </w:tc>
        <w:tc>
          <w:tcPr>
            <w:tcW w:w="809" w:type="pct"/>
          </w:tcPr>
          <w:p w14:paraId="62056ADC" w14:textId="77777777" w:rsidR="002B1A69" w:rsidRPr="00B36690" w:rsidRDefault="002B1A69" w:rsidP="00B36690">
            <w:pPr>
              <w:pStyle w:val="TableText"/>
            </w:pPr>
            <w:r w:rsidRPr="00B36690">
              <w:t>Small omnivore</w:t>
            </w:r>
          </w:p>
        </w:tc>
        <w:tc>
          <w:tcPr>
            <w:tcW w:w="662" w:type="pct"/>
          </w:tcPr>
          <w:p w14:paraId="04E16F7D" w14:textId="77777777" w:rsidR="002B1A69" w:rsidRPr="00B36690" w:rsidRDefault="002B1A69" w:rsidP="00B36690">
            <w:pPr>
              <w:pStyle w:val="TableText"/>
            </w:pPr>
            <w:r w:rsidRPr="00B36690">
              <w:t>BBCH ≥40</w:t>
            </w:r>
          </w:p>
        </w:tc>
        <w:tc>
          <w:tcPr>
            <w:tcW w:w="496" w:type="pct"/>
          </w:tcPr>
          <w:p w14:paraId="577EC1A9" w14:textId="77777777" w:rsidR="002B1A69" w:rsidRPr="00B36690" w:rsidRDefault="002B1A69" w:rsidP="00B36690">
            <w:pPr>
              <w:pStyle w:val="TableText"/>
              <w:jc w:val="right"/>
            </w:pPr>
            <w:r w:rsidRPr="00B36690">
              <w:t>4.3</w:t>
            </w:r>
          </w:p>
        </w:tc>
        <w:tc>
          <w:tcPr>
            <w:tcW w:w="496" w:type="pct"/>
          </w:tcPr>
          <w:p w14:paraId="34D85387" w14:textId="77777777" w:rsidR="002B1A69" w:rsidRPr="00B36690" w:rsidRDefault="002B1A69" w:rsidP="00B36690">
            <w:pPr>
              <w:pStyle w:val="TableText"/>
              <w:jc w:val="right"/>
            </w:pPr>
            <w:r w:rsidRPr="00B36690">
              <w:t>1.9</w:t>
            </w:r>
          </w:p>
        </w:tc>
        <w:tc>
          <w:tcPr>
            <w:tcW w:w="496" w:type="pct"/>
          </w:tcPr>
          <w:p w14:paraId="6A09216E" w14:textId="77777777" w:rsidR="002B1A69" w:rsidRPr="00B36690" w:rsidRDefault="002B1A69" w:rsidP="00B36690">
            <w:pPr>
              <w:pStyle w:val="TableText"/>
              <w:jc w:val="right"/>
            </w:pPr>
            <w:r w:rsidRPr="00B36690">
              <w:t>4884</w:t>
            </w:r>
          </w:p>
        </w:tc>
        <w:tc>
          <w:tcPr>
            <w:tcW w:w="497" w:type="pct"/>
          </w:tcPr>
          <w:p w14:paraId="7B546C6C" w14:textId="77777777" w:rsidR="002B1A69" w:rsidRPr="00B36690" w:rsidRDefault="002B1A69" w:rsidP="00B36690">
            <w:pPr>
              <w:pStyle w:val="TableText"/>
              <w:jc w:val="right"/>
            </w:pPr>
            <w:r w:rsidRPr="00B36690">
              <w:t>7993</w:t>
            </w:r>
          </w:p>
        </w:tc>
      </w:tr>
      <w:tr w:rsidR="002B1A69" w:rsidRPr="006E15AF" w14:paraId="5B326CF1" w14:textId="77777777" w:rsidTr="00303DF5">
        <w:trPr>
          <w:cantSplit/>
          <w:trHeight w:val="13"/>
        </w:trPr>
        <w:tc>
          <w:tcPr>
            <w:tcW w:w="882" w:type="pct"/>
            <w:vMerge/>
            <w:tcBorders>
              <w:bottom w:val="single" w:sz="4" w:space="0" w:color="auto"/>
            </w:tcBorders>
          </w:tcPr>
          <w:p w14:paraId="062F5F71" w14:textId="77777777" w:rsidR="002B1A69" w:rsidRPr="00B36690" w:rsidRDefault="002B1A69" w:rsidP="00B36690">
            <w:pPr>
              <w:pStyle w:val="TableText"/>
            </w:pPr>
          </w:p>
        </w:tc>
        <w:tc>
          <w:tcPr>
            <w:tcW w:w="662" w:type="pct"/>
            <w:vMerge/>
            <w:tcBorders>
              <w:bottom w:val="single" w:sz="4" w:space="0" w:color="auto"/>
            </w:tcBorders>
          </w:tcPr>
          <w:p w14:paraId="626D2706" w14:textId="77777777" w:rsidR="002B1A69" w:rsidRPr="00B36690" w:rsidRDefault="002B1A69" w:rsidP="00B36690">
            <w:pPr>
              <w:pStyle w:val="TableText"/>
            </w:pPr>
          </w:p>
        </w:tc>
        <w:tc>
          <w:tcPr>
            <w:tcW w:w="809" w:type="pct"/>
            <w:tcBorders>
              <w:bottom w:val="single" w:sz="4" w:space="0" w:color="auto"/>
            </w:tcBorders>
          </w:tcPr>
          <w:p w14:paraId="107EFB22"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7274F4AE" w14:textId="77777777" w:rsidR="002B1A69" w:rsidRPr="00B36690" w:rsidRDefault="002B1A69" w:rsidP="00B36690">
            <w:pPr>
              <w:pStyle w:val="TableText"/>
            </w:pPr>
            <w:r w:rsidRPr="00B36690">
              <w:t>BBCH ≥20</w:t>
            </w:r>
          </w:p>
        </w:tc>
        <w:tc>
          <w:tcPr>
            <w:tcW w:w="496" w:type="pct"/>
            <w:tcBorders>
              <w:bottom w:val="single" w:sz="4" w:space="0" w:color="auto"/>
            </w:tcBorders>
          </w:tcPr>
          <w:p w14:paraId="0BDBB34C"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067A164C"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14B6111E"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27BB6585" w14:textId="77777777" w:rsidR="002B1A69" w:rsidRPr="00B36690" w:rsidRDefault="002B1A69" w:rsidP="00B36690">
            <w:pPr>
              <w:pStyle w:val="TableText"/>
              <w:jc w:val="right"/>
            </w:pPr>
            <w:r w:rsidRPr="00B36690">
              <w:t>7993</w:t>
            </w:r>
          </w:p>
        </w:tc>
      </w:tr>
      <w:tr w:rsidR="002B1A69" w:rsidRPr="006E15AF" w14:paraId="53780BB7" w14:textId="77777777" w:rsidTr="00303DF5">
        <w:trPr>
          <w:cantSplit/>
          <w:trHeight w:val="13"/>
        </w:trPr>
        <w:tc>
          <w:tcPr>
            <w:tcW w:w="882" w:type="pct"/>
            <w:vMerge w:val="restart"/>
          </w:tcPr>
          <w:p w14:paraId="388A3A49" w14:textId="77777777" w:rsidR="002B1A69" w:rsidRPr="00B36690" w:rsidRDefault="002B1A69" w:rsidP="00B36690">
            <w:pPr>
              <w:pStyle w:val="TableText"/>
            </w:pPr>
            <w:r w:rsidRPr="00B36690">
              <w:t>Pre-harvest desiccation in poppies and oilseeds</w:t>
            </w:r>
          </w:p>
        </w:tc>
        <w:tc>
          <w:tcPr>
            <w:tcW w:w="662" w:type="pct"/>
            <w:vMerge w:val="restart"/>
          </w:tcPr>
          <w:p w14:paraId="29EAC91B" w14:textId="77777777" w:rsidR="002B1A69" w:rsidRPr="00B36690" w:rsidRDefault="002B1A69" w:rsidP="00B36690">
            <w:pPr>
              <w:pStyle w:val="TableText"/>
            </w:pPr>
            <w:r w:rsidRPr="00B36690">
              <w:t>Oilseeds</w:t>
            </w:r>
          </w:p>
        </w:tc>
        <w:tc>
          <w:tcPr>
            <w:tcW w:w="809" w:type="pct"/>
            <w:tcBorders>
              <w:top w:val="single" w:sz="4" w:space="0" w:color="auto"/>
            </w:tcBorders>
          </w:tcPr>
          <w:p w14:paraId="2F31C855"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23DF2F36" w14:textId="77777777" w:rsidR="002B1A69" w:rsidRPr="00B36690" w:rsidRDefault="002B1A69" w:rsidP="00B36690">
            <w:pPr>
              <w:pStyle w:val="TableText"/>
            </w:pPr>
            <w:r w:rsidRPr="00B36690">
              <w:t>BBCH ≥40</w:t>
            </w:r>
          </w:p>
        </w:tc>
        <w:tc>
          <w:tcPr>
            <w:tcW w:w="496" w:type="pct"/>
            <w:tcBorders>
              <w:top w:val="single" w:sz="4" w:space="0" w:color="auto"/>
            </w:tcBorders>
          </w:tcPr>
          <w:p w14:paraId="4422E549" w14:textId="77777777" w:rsidR="002B1A69" w:rsidRPr="00B36690" w:rsidRDefault="002B1A69" w:rsidP="00B36690">
            <w:pPr>
              <w:pStyle w:val="TableText"/>
              <w:jc w:val="right"/>
            </w:pPr>
            <w:r w:rsidRPr="00B36690">
              <w:t>34.1</w:t>
            </w:r>
          </w:p>
        </w:tc>
        <w:tc>
          <w:tcPr>
            <w:tcW w:w="496" w:type="pct"/>
            <w:tcBorders>
              <w:top w:val="single" w:sz="4" w:space="0" w:color="auto"/>
            </w:tcBorders>
          </w:tcPr>
          <w:p w14:paraId="09C303FB" w14:textId="77777777" w:rsidR="002B1A69" w:rsidRPr="00B36690" w:rsidRDefault="002B1A69" w:rsidP="00B36690">
            <w:pPr>
              <w:pStyle w:val="TableText"/>
              <w:jc w:val="right"/>
            </w:pPr>
            <w:r w:rsidRPr="00B36690">
              <w:t>18.1</w:t>
            </w:r>
          </w:p>
        </w:tc>
        <w:tc>
          <w:tcPr>
            <w:tcW w:w="496" w:type="pct"/>
            <w:tcBorders>
              <w:top w:val="single" w:sz="4" w:space="0" w:color="auto"/>
            </w:tcBorders>
            <w:shd w:val="clear" w:color="auto" w:fill="FF0000"/>
          </w:tcPr>
          <w:p w14:paraId="197C5B39" w14:textId="77777777" w:rsidR="002B1A69" w:rsidRPr="00B36690" w:rsidRDefault="002B1A69" w:rsidP="00B36690">
            <w:pPr>
              <w:pStyle w:val="TableText"/>
              <w:jc w:val="right"/>
            </w:pPr>
            <w:r w:rsidRPr="00B36690">
              <w:t>616</w:t>
            </w:r>
          </w:p>
        </w:tc>
        <w:tc>
          <w:tcPr>
            <w:tcW w:w="497" w:type="pct"/>
            <w:tcBorders>
              <w:top w:val="single" w:sz="4" w:space="0" w:color="auto"/>
            </w:tcBorders>
          </w:tcPr>
          <w:p w14:paraId="52C46589" w14:textId="77777777" w:rsidR="002B1A69" w:rsidRPr="00B36690" w:rsidRDefault="002B1A69" w:rsidP="00B36690">
            <w:pPr>
              <w:pStyle w:val="TableText"/>
              <w:jc w:val="right"/>
            </w:pPr>
            <w:r w:rsidRPr="00B36690">
              <w:t>839</w:t>
            </w:r>
          </w:p>
        </w:tc>
      </w:tr>
      <w:tr w:rsidR="002B1A69" w:rsidRPr="006E15AF" w14:paraId="5C1B2F84" w14:textId="77777777" w:rsidTr="00303DF5">
        <w:trPr>
          <w:cantSplit/>
          <w:trHeight w:val="13"/>
        </w:trPr>
        <w:tc>
          <w:tcPr>
            <w:tcW w:w="882" w:type="pct"/>
            <w:vMerge/>
          </w:tcPr>
          <w:p w14:paraId="3F66483E" w14:textId="77777777" w:rsidR="002B1A69" w:rsidRPr="00B36690" w:rsidRDefault="002B1A69" w:rsidP="00B36690">
            <w:pPr>
              <w:pStyle w:val="TableText"/>
            </w:pPr>
          </w:p>
        </w:tc>
        <w:tc>
          <w:tcPr>
            <w:tcW w:w="662" w:type="pct"/>
            <w:vMerge/>
          </w:tcPr>
          <w:p w14:paraId="51EE476B" w14:textId="77777777" w:rsidR="002B1A69" w:rsidRPr="00B36690" w:rsidRDefault="002B1A69" w:rsidP="00B36690">
            <w:pPr>
              <w:pStyle w:val="TableText"/>
            </w:pPr>
          </w:p>
        </w:tc>
        <w:tc>
          <w:tcPr>
            <w:tcW w:w="809" w:type="pct"/>
          </w:tcPr>
          <w:p w14:paraId="3D36A5FE" w14:textId="77777777" w:rsidR="002B1A69" w:rsidRPr="00B36690" w:rsidRDefault="002B1A69" w:rsidP="00B36690">
            <w:pPr>
              <w:pStyle w:val="TableText"/>
            </w:pPr>
            <w:r w:rsidRPr="00B36690">
              <w:t>Large herbivore</w:t>
            </w:r>
          </w:p>
        </w:tc>
        <w:tc>
          <w:tcPr>
            <w:tcW w:w="662" w:type="pct"/>
          </w:tcPr>
          <w:p w14:paraId="748ADE1B" w14:textId="77777777" w:rsidR="002B1A69" w:rsidRPr="00B36690" w:rsidRDefault="002B1A69" w:rsidP="00B36690">
            <w:pPr>
              <w:pStyle w:val="TableText"/>
            </w:pPr>
            <w:r w:rsidRPr="00B36690">
              <w:t>All season</w:t>
            </w:r>
          </w:p>
        </w:tc>
        <w:tc>
          <w:tcPr>
            <w:tcW w:w="496" w:type="pct"/>
          </w:tcPr>
          <w:p w14:paraId="0E77B40A" w14:textId="77777777" w:rsidR="002B1A69" w:rsidRPr="00B36690" w:rsidRDefault="002B1A69" w:rsidP="00B36690">
            <w:pPr>
              <w:pStyle w:val="TableText"/>
              <w:jc w:val="right"/>
            </w:pPr>
            <w:r w:rsidRPr="00B36690">
              <w:t>35.1</w:t>
            </w:r>
          </w:p>
        </w:tc>
        <w:tc>
          <w:tcPr>
            <w:tcW w:w="496" w:type="pct"/>
          </w:tcPr>
          <w:p w14:paraId="21428B6C" w14:textId="77777777" w:rsidR="002B1A69" w:rsidRPr="00B36690" w:rsidRDefault="002B1A69" w:rsidP="00B36690">
            <w:pPr>
              <w:pStyle w:val="TableText"/>
              <w:jc w:val="right"/>
            </w:pPr>
            <w:r w:rsidRPr="00B36690">
              <w:t>14.3</w:t>
            </w:r>
          </w:p>
        </w:tc>
        <w:tc>
          <w:tcPr>
            <w:tcW w:w="496" w:type="pct"/>
            <w:shd w:val="clear" w:color="auto" w:fill="FF0000"/>
          </w:tcPr>
          <w:p w14:paraId="10EB7306" w14:textId="77777777" w:rsidR="002B1A69" w:rsidRPr="00B36690" w:rsidRDefault="002B1A69" w:rsidP="00B36690">
            <w:pPr>
              <w:pStyle w:val="TableText"/>
              <w:jc w:val="right"/>
            </w:pPr>
            <w:r w:rsidRPr="00B36690">
              <w:t>598</w:t>
            </w:r>
          </w:p>
        </w:tc>
        <w:tc>
          <w:tcPr>
            <w:tcW w:w="497" w:type="pct"/>
          </w:tcPr>
          <w:p w14:paraId="33A856EA" w14:textId="77777777" w:rsidR="002B1A69" w:rsidRPr="00B36690" w:rsidRDefault="002B1A69" w:rsidP="00B36690">
            <w:pPr>
              <w:pStyle w:val="TableText"/>
              <w:jc w:val="right"/>
            </w:pPr>
            <w:r w:rsidRPr="00B36690">
              <w:t>1062</w:t>
            </w:r>
          </w:p>
        </w:tc>
      </w:tr>
      <w:tr w:rsidR="002B1A69" w:rsidRPr="006E15AF" w14:paraId="776B8525" w14:textId="77777777" w:rsidTr="00303DF5">
        <w:trPr>
          <w:cantSplit/>
          <w:trHeight w:val="13"/>
        </w:trPr>
        <w:tc>
          <w:tcPr>
            <w:tcW w:w="882" w:type="pct"/>
            <w:vMerge/>
          </w:tcPr>
          <w:p w14:paraId="19FAB2FF" w14:textId="77777777" w:rsidR="002B1A69" w:rsidRPr="00B36690" w:rsidRDefault="002B1A69" w:rsidP="00B36690">
            <w:pPr>
              <w:pStyle w:val="TableText"/>
            </w:pPr>
          </w:p>
        </w:tc>
        <w:tc>
          <w:tcPr>
            <w:tcW w:w="662" w:type="pct"/>
            <w:vMerge/>
          </w:tcPr>
          <w:p w14:paraId="41B1A486" w14:textId="77777777" w:rsidR="002B1A69" w:rsidRPr="00B36690" w:rsidRDefault="002B1A69" w:rsidP="00B36690">
            <w:pPr>
              <w:pStyle w:val="TableText"/>
            </w:pPr>
          </w:p>
        </w:tc>
        <w:tc>
          <w:tcPr>
            <w:tcW w:w="809" w:type="pct"/>
          </w:tcPr>
          <w:p w14:paraId="570171E2" w14:textId="77777777" w:rsidR="002B1A69" w:rsidRPr="00B36690" w:rsidRDefault="002B1A69" w:rsidP="00B36690">
            <w:pPr>
              <w:pStyle w:val="TableText"/>
            </w:pPr>
            <w:r w:rsidRPr="00B36690">
              <w:t>Small omnivore</w:t>
            </w:r>
          </w:p>
        </w:tc>
        <w:tc>
          <w:tcPr>
            <w:tcW w:w="662" w:type="pct"/>
          </w:tcPr>
          <w:p w14:paraId="6D7AD6B2" w14:textId="77777777" w:rsidR="002B1A69" w:rsidRPr="00B36690" w:rsidRDefault="002B1A69" w:rsidP="00B36690">
            <w:pPr>
              <w:pStyle w:val="TableText"/>
            </w:pPr>
            <w:r w:rsidRPr="00B36690">
              <w:t>BBCH ≥40</w:t>
            </w:r>
          </w:p>
        </w:tc>
        <w:tc>
          <w:tcPr>
            <w:tcW w:w="496" w:type="pct"/>
          </w:tcPr>
          <w:p w14:paraId="1C8B6493" w14:textId="77777777" w:rsidR="002B1A69" w:rsidRPr="00B36690" w:rsidRDefault="002B1A69" w:rsidP="00B36690">
            <w:pPr>
              <w:pStyle w:val="TableText"/>
              <w:jc w:val="right"/>
            </w:pPr>
            <w:r w:rsidRPr="00B36690">
              <w:t>4.3</w:t>
            </w:r>
          </w:p>
        </w:tc>
        <w:tc>
          <w:tcPr>
            <w:tcW w:w="496" w:type="pct"/>
          </w:tcPr>
          <w:p w14:paraId="2A9E2343" w14:textId="77777777" w:rsidR="002B1A69" w:rsidRPr="00B36690" w:rsidRDefault="002B1A69" w:rsidP="00B36690">
            <w:pPr>
              <w:pStyle w:val="TableText"/>
              <w:jc w:val="right"/>
            </w:pPr>
            <w:r w:rsidRPr="00B36690">
              <w:t>1.9</w:t>
            </w:r>
          </w:p>
        </w:tc>
        <w:tc>
          <w:tcPr>
            <w:tcW w:w="496" w:type="pct"/>
          </w:tcPr>
          <w:p w14:paraId="0FBB7C3D" w14:textId="77777777" w:rsidR="002B1A69" w:rsidRPr="00B36690" w:rsidRDefault="002B1A69" w:rsidP="00B36690">
            <w:pPr>
              <w:pStyle w:val="TableText"/>
              <w:jc w:val="right"/>
            </w:pPr>
            <w:r w:rsidRPr="00B36690">
              <w:t>4884</w:t>
            </w:r>
          </w:p>
        </w:tc>
        <w:tc>
          <w:tcPr>
            <w:tcW w:w="497" w:type="pct"/>
          </w:tcPr>
          <w:p w14:paraId="2699DACC" w14:textId="77777777" w:rsidR="002B1A69" w:rsidRPr="00B36690" w:rsidRDefault="002B1A69" w:rsidP="00B36690">
            <w:pPr>
              <w:pStyle w:val="TableText"/>
              <w:jc w:val="right"/>
            </w:pPr>
            <w:r w:rsidRPr="00B36690">
              <w:t>7993</w:t>
            </w:r>
          </w:p>
        </w:tc>
      </w:tr>
      <w:tr w:rsidR="002B1A69" w:rsidRPr="006E15AF" w14:paraId="2716C80D" w14:textId="77777777" w:rsidTr="00303DF5">
        <w:trPr>
          <w:cantSplit/>
          <w:trHeight w:val="13"/>
        </w:trPr>
        <w:tc>
          <w:tcPr>
            <w:tcW w:w="882" w:type="pct"/>
            <w:vMerge/>
            <w:tcBorders>
              <w:bottom w:val="single" w:sz="4" w:space="0" w:color="auto"/>
            </w:tcBorders>
          </w:tcPr>
          <w:p w14:paraId="72DFCFC1" w14:textId="77777777" w:rsidR="002B1A69" w:rsidRPr="00B36690" w:rsidRDefault="002B1A69" w:rsidP="00B36690">
            <w:pPr>
              <w:pStyle w:val="TableText"/>
            </w:pPr>
          </w:p>
        </w:tc>
        <w:tc>
          <w:tcPr>
            <w:tcW w:w="662" w:type="pct"/>
            <w:vMerge/>
            <w:tcBorders>
              <w:bottom w:val="single" w:sz="4" w:space="0" w:color="auto"/>
            </w:tcBorders>
          </w:tcPr>
          <w:p w14:paraId="0F320DEF" w14:textId="77777777" w:rsidR="002B1A69" w:rsidRPr="00B36690" w:rsidRDefault="002B1A69" w:rsidP="00B36690">
            <w:pPr>
              <w:pStyle w:val="TableText"/>
            </w:pPr>
          </w:p>
        </w:tc>
        <w:tc>
          <w:tcPr>
            <w:tcW w:w="809" w:type="pct"/>
            <w:tcBorders>
              <w:bottom w:val="single" w:sz="4" w:space="0" w:color="auto"/>
            </w:tcBorders>
          </w:tcPr>
          <w:p w14:paraId="0E4D562E"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47EFD9B5" w14:textId="77777777" w:rsidR="002B1A69" w:rsidRPr="00B36690" w:rsidRDefault="002B1A69" w:rsidP="00B36690">
            <w:pPr>
              <w:pStyle w:val="TableText"/>
            </w:pPr>
            <w:r w:rsidRPr="00B36690">
              <w:t>BBCH ≥20</w:t>
            </w:r>
          </w:p>
        </w:tc>
        <w:tc>
          <w:tcPr>
            <w:tcW w:w="496" w:type="pct"/>
            <w:tcBorders>
              <w:bottom w:val="single" w:sz="4" w:space="0" w:color="auto"/>
            </w:tcBorders>
          </w:tcPr>
          <w:p w14:paraId="577FDB08"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5F02996C"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01C4A412"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6FD7063A" w14:textId="77777777" w:rsidR="002B1A69" w:rsidRPr="00B36690" w:rsidRDefault="002B1A69" w:rsidP="00B36690">
            <w:pPr>
              <w:pStyle w:val="TableText"/>
              <w:jc w:val="right"/>
            </w:pPr>
            <w:r w:rsidRPr="00B36690">
              <w:t>7993</w:t>
            </w:r>
          </w:p>
        </w:tc>
      </w:tr>
      <w:tr w:rsidR="002B1A69" w:rsidRPr="008E4070" w14:paraId="469AE269" w14:textId="77777777" w:rsidTr="00303DF5">
        <w:trPr>
          <w:cantSplit/>
          <w:trHeight w:val="13"/>
        </w:trPr>
        <w:tc>
          <w:tcPr>
            <w:tcW w:w="882" w:type="pct"/>
            <w:vMerge w:val="restart"/>
          </w:tcPr>
          <w:p w14:paraId="30055132" w14:textId="77777777" w:rsidR="002B1A69" w:rsidRPr="00B36690" w:rsidRDefault="002B1A69" w:rsidP="00B36690">
            <w:pPr>
              <w:pStyle w:val="TableText"/>
            </w:pPr>
            <w:r w:rsidRPr="00B36690">
              <w:t>General weed control in bananas, duboisia, forests, orchards, plantations, tea tree, and tropical fruits</w:t>
            </w:r>
          </w:p>
        </w:tc>
        <w:tc>
          <w:tcPr>
            <w:tcW w:w="662" w:type="pct"/>
            <w:vMerge w:val="restart"/>
          </w:tcPr>
          <w:p w14:paraId="5708C706" w14:textId="77777777" w:rsidR="002B1A69" w:rsidRPr="00B36690" w:rsidRDefault="002B1A69" w:rsidP="00B36690">
            <w:pPr>
              <w:pStyle w:val="TableText"/>
            </w:pPr>
            <w:r w:rsidRPr="00B36690">
              <w:t>Orchards</w:t>
            </w:r>
          </w:p>
        </w:tc>
        <w:tc>
          <w:tcPr>
            <w:tcW w:w="809" w:type="pct"/>
            <w:tcBorders>
              <w:top w:val="single" w:sz="4" w:space="0" w:color="auto"/>
            </w:tcBorders>
          </w:tcPr>
          <w:p w14:paraId="06C8258C"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475522B5" w14:textId="77777777" w:rsidR="002B1A69" w:rsidRPr="00B36690" w:rsidRDefault="002B1A69" w:rsidP="00B36690">
            <w:pPr>
              <w:pStyle w:val="TableText"/>
            </w:pPr>
            <w:r w:rsidRPr="00B36690">
              <w:t>Ground directed</w:t>
            </w:r>
          </w:p>
        </w:tc>
        <w:tc>
          <w:tcPr>
            <w:tcW w:w="496" w:type="pct"/>
            <w:tcBorders>
              <w:top w:val="single" w:sz="4" w:space="0" w:color="auto"/>
            </w:tcBorders>
          </w:tcPr>
          <w:p w14:paraId="28215219" w14:textId="77777777" w:rsidR="002B1A69" w:rsidRPr="00B36690" w:rsidRDefault="002B1A69" w:rsidP="00B36690">
            <w:pPr>
              <w:pStyle w:val="TableText"/>
              <w:jc w:val="right"/>
            </w:pPr>
            <w:r w:rsidRPr="00B36690">
              <w:t>136.4</w:t>
            </w:r>
          </w:p>
        </w:tc>
        <w:tc>
          <w:tcPr>
            <w:tcW w:w="496" w:type="pct"/>
            <w:tcBorders>
              <w:top w:val="single" w:sz="4" w:space="0" w:color="auto"/>
            </w:tcBorders>
          </w:tcPr>
          <w:p w14:paraId="2157427B" w14:textId="77777777" w:rsidR="002B1A69" w:rsidRPr="00B36690" w:rsidRDefault="002B1A69" w:rsidP="00B36690">
            <w:pPr>
              <w:pStyle w:val="TableText"/>
              <w:jc w:val="right"/>
            </w:pPr>
            <w:r w:rsidRPr="00B36690">
              <w:t>72.3</w:t>
            </w:r>
          </w:p>
        </w:tc>
        <w:tc>
          <w:tcPr>
            <w:tcW w:w="496" w:type="pct"/>
            <w:tcBorders>
              <w:top w:val="single" w:sz="4" w:space="0" w:color="auto"/>
            </w:tcBorders>
            <w:shd w:val="clear" w:color="auto" w:fill="FF0000"/>
          </w:tcPr>
          <w:p w14:paraId="2B9E2168" w14:textId="77777777" w:rsidR="002B1A69" w:rsidRPr="00B36690" w:rsidRDefault="002B1A69" w:rsidP="00B36690">
            <w:pPr>
              <w:pStyle w:val="TableText"/>
              <w:jc w:val="right"/>
            </w:pPr>
            <w:r w:rsidRPr="00B36690">
              <w:t>154</w:t>
            </w:r>
          </w:p>
        </w:tc>
        <w:tc>
          <w:tcPr>
            <w:tcW w:w="497" w:type="pct"/>
            <w:tcBorders>
              <w:top w:val="single" w:sz="4" w:space="0" w:color="auto"/>
            </w:tcBorders>
            <w:shd w:val="clear" w:color="auto" w:fill="FF0000"/>
          </w:tcPr>
          <w:p w14:paraId="6C745983" w14:textId="77777777" w:rsidR="002B1A69" w:rsidRPr="00B36690" w:rsidRDefault="002B1A69" w:rsidP="00B36690">
            <w:pPr>
              <w:pStyle w:val="TableText"/>
              <w:jc w:val="right"/>
            </w:pPr>
            <w:r w:rsidRPr="00B36690">
              <w:t>210</w:t>
            </w:r>
          </w:p>
        </w:tc>
      </w:tr>
      <w:tr w:rsidR="002B1A69" w:rsidRPr="006E15AF" w14:paraId="6BADB5EF" w14:textId="77777777" w:rsidTr="00303DF5">
        <w:trPr>
          <w:cantSplit/>
          <w:trHeight w:val="13"/>
        </w:trPr>
        <w:tc>
          <w:tcPr>
            <w:tcW w:w="882" w:type="pct"/>
            <w:vMerge/>
          </w:tcPr>
          <w:p w14:paraId="3EECBEAB" w14:textId="77777777" w:rsidR="002B1A69" w:rsidRPr="00B36690" w:rsidRDefault="002B1A69" w:rsidP="00B36690">
            <w:pPr>
              <w:pStyle w:val="TableText"/>
            </w:pPr>
          </w:p>
        </w:tc>
        <w:tc>
          <w:tcPr>
            <w:tcW w:w="662" w:type="pct"/>
            <w:vMerge/>
          </w:tcPr>
          <w:p w14:paraId="1B5B8EE0" w14:textId="77777777" w:rsidR="002B1A69" w:rsidRPr="00B36690" w:rsidRDefault="002B1A69" w:rsidP="00B36690">
            <w:pPr>
              <w:pStyle w:val="TableText"/>
            </w:pPr>
          </w:p>
        </w:tc>
        <w:tc>
          <w:tcPr>
            <w:tcW w:w="809" w:type="pct"/>
          </w:tcPr>
          <w:p w14:paraId="2284D84E" w14:textId="77777777" w:rsidR="002B1A69" w:rsidRPr="00B36690" w:rsidRDefault="002B1A69" w:rsidP="00B36690">
            <w:pPr>
              <w:pStyle w:val="TableText"/>
            </w:pPr>
            <w:r w:rsidRPr="00B36690">
              <w:t>Large herbivore</w:t>
            </w:r>
          </w:p>
        </w:tc>
        <w:tc>
          <w:tcPr>
            <w:tcW w:w="662" w:type="pct"/>
          </w:tcPr>
          <w:p w14:paraId="5D6AF343" w14:textId="77777777" w:rsidR="002B1A69" w:rsidRPr="00B36690" w:rsidRDefault="002B1A69" w:rsidP="00B36690">
            <w:pPr>
              <w:pStyle w:val="TableText"/>
            </w:pPr>
            <w:r w:rsidRPr="00B36690">
              <w:t>Ground directed</w:t>
            </w:r>
          </w:p>
        </w:tc>
        <w:tc>
          <w:tcPr>
            <w:tcW w:w="496" w:type="pct"/>
          </w:tcPr>
          <w:p w14:paraId="6B0343C1" w14:textId="77777777" w:rsidR="002B1A69" w:rsidRPr="00B36690" w:rsidRDefault="002B1A69" w:rsidP="00B36690">
            <w:pPr>
              <w:pStyle w:val="TableText"/>
              <w:jc w:val="right"/>
            </w:pPr>
            <w:r w:rsidRPr="00B36690">
              <w:t>35.1</w:t>
            </w:r>
          </w:p>
        </w:tc>
        <w:tc>
          <w:tcPr>
            <w:tcW w:w="496" w:type="pct"/>
          </w:tcPr>
          <w:p w14:paraId="774B2AF6" w14:textId="77777777" w:rsidR="002B1A69" w:rsidRPr="00B36690" w:rsidRDefault="002B1A69" w:rsidP="00B36690">
            <w:pPr>
              <w:pStyle w:val="TableText"/>
              <w:jc w:val="right"/>
            </w:pPr>
            <w:r w:rsidRPr="00B36690">
              <w:t>14.3</w:t>
            </w:r>
          </w:p>
        </w:tc>
        <w:tc>
          <w:tcPr>
            <w:tcW w:w="496" w:type="pct"/>
          </w:tcPr>
          <w:p w14:paraId="19BC1648" w14:textId="77777777" w:rsidR="002B1A69" w:rsidRPr="00B36690" w:rsidRDefault="002B1A69" w:rsidP="00B36690">
            <w:pPr>
              <w:pStyle w:val="TableText"/>
              <w:jc w:val="right"/>
            </w:pPr>
            <w:r w:rsidRPr="00B36690">
              <w:t>598</w:t>
            </w:r>
          </w:p>
        </w:tc>
        <w:tc>
          <w:tcPr>
            <w:tcW w:w="497" w:type="pct"/>
          </w:tcPr>
          <w:p w14:paraId="5FAF85D2" w14:textId="77777777" w:rsidR="002B1A69" w:rsidRPr="00B36690" w:rsidRDefault="002B1A69" w:rsidP="00B36690">
            <w:pPr>
              <w:pStyle w:val="TableText"/>
              <w:jc w:val="right"/>
            </w:pPr>
            <w:r w:rsidRPr="00B36690">
              <w:t>1062</w:t>
            </w:r>
          </w:p>
        </w:tc>
      </w:tr>
      <w:tr w:rsidR="002B1A69" w:rsidRPr="006E15AF" w14:paraId="0997DF58" w14:textId="77777777" w:rsidTr="00303DF5">
        <w:trPr>
          <w:cantSplit/>
          <w:trHeight w:val="13"/>
        </w:trPr>
        <w:tc>
          <w:tcPr>
            <w:tcW w:w="882" w:type="pct"/>
            <w:vMerge/>
          </w:tcPr>
          <w:p w14:paraId="02297A34" w14:textId="77777777" w:rsidR="002B1A69" w:rsidRPr="00B36690" w:rsidRDefault="002B1A69" w:rsidP="00B36690">
            <w:pPr>
              <w:pStyle w:val="TableText"/>
            </w:pPr>
          </w:p>
        </w:tc>
        <w:tc>
          <w:tcPr>
            <w:tcW w:w="662" w:type="pct"/>
            <w:vMerge/>
          </w:tcPr>
          <w:p w14:paraId="0C41D16B" w14:textId="77777777" w:rsidR="002B1A69" w:rsidRPr="00B36690" w:rsidRDefault="002B1A69" w:rsidP="00B36690">
            <w:pPr>
              <w:pStyle w:val="TableText"/>
            </w:pPr>
          </w:p>
        </w:tc>
        <w:tc>
          <w:tcPr>
            <w:tcW w:w="809" w:type="pct"/>
          </w:tcPr>
          <w:p w14:paraId="540BB603" w14:textId="77777777" w:rsidR="002B1A69" w:rsidRPr="00B36690" w:rsidRDefault="002B1A69" w:rsidP="00B36690">
            <w:pPr>
              <w:pStyle w:val="TableText"/>
            </w:pPr>
            <w:r w:rsidRPr="00B36690">
              <w:t>Small omnivore</w:t>
            </w:r>
          </w:p>
        </w:tc>
        <w:tc>
          <w:tcPr>
            <w:tcW w:w="662" w:type="pct"/>
          </w:tcPr>
          <w:p w14:paraId="60526E24" w14:textId="77777777" w:rsidR="002B1A69" w:rsidRPr="00B36690" w:rsidRDefault="002B1A69" w:rsidP="00B36690">
            <w:pPr>
              <w:pStyle w:val="TableText"/>
            </w:pPr>
            <w:r w:rsidRPr="00B36690">
              <w:t>Ground directed</w:t>
            </w:r>
          </w:p>
        </w:tc>
        <w:tc>
          <w:tcPr>
            <w:tcW w:w="496" w:type="pct"/>
          </w:tcPr>
          <w:p w14:paraId="55583C8F" w14:textId="77777777" w:rsidR="002B1A69" w:rsidRPr="00B36690" w:rsidRDefault="002B1A69" w:rsidP="00B36690">
            <w:pPr>
              <w:pStyle w:val="TableText"/>
              <w:jc w:val="right"/>
            </w:pPr>
            <w:r w:rsidRPr="00B36690">
              <w:t>17.2</w:t>
            </w:r>
          </w:p>
        </w:tc>
        <w:tc>
          <w:tcPr>
            <w:tcW w:w="496" w:type="pct"/>
          </w:tcPr>
          <w:p w14:paraId="35181FDA" w14:textId="77777777" w:rsidR="002B1A69" w:rsidRPr="00B36690" w:rsidRDefault="002B1A69" w:rsidP="00B36690">
            <w:pPr>
              <w:pStyle w:val="TableText"/>
              <w:jc w:val="right"/>
            </w:pPr>
            <w:r w:rsidRPr="00B36690">
              <w:t>7.8</w:t>
            </w:r>
          </w:p>
        </w:tc>
        <w:tc>
          <w:tcPr>
            <w:tcW w:w="496" w:type="pct"/>
          </w:tcPr>
          <w:p w14:paraId="798AC93B" w14:textId="77777777" w:rsidR="002B1A69" w:rsidRPr="00B36690" w:rsidRDefault="002B1A69" w:rsidP="00B36690">
            <w:pPr>
              <w:pStyle w:val="TableText"/>
              <w:jc w:val="right"/>
            </w:pPr>
            <w:r w:rsidRPr="00B36690">
              <w:t>1221</w:t>
            </w:r>
          </w:p>
        </w:tc>
        <w:tc>
          <w:tcPr>
            <w:tcW w:w="497" w:type="pct"/>
          </w:tcPr>
          <w:p w14:paraId="5C56D0DF" w14:textId="77777777" w:rsidR="002B1A69" w:rsidRPr="00B36690" w:rsidRDefault="002B1A69" w:rsidP="00B36690">
            <w:pPr>
              <w:pStyle w:val="TableText"/>
              <w:jc w:val="right"/>
            </w:pPr>
            <w:r w:rsidRPr="00B36690">
              <w:t>1947</w:t>
            </w:r>
          </w:p>
        </w:tc>
      </w:tr>
      <w:tr w:rsidR="002B1A69" w:rsidRPr="006E15AF" w14:paraId="72B485AD" w14:textId="77777777" w:rsidTr="00303DF5">
        <w:trPr>
          <w:cantSplit/>
          <w:trHeight w:val="13"/>
        </w:trPr>
        <w:tc>
          <w:tcPr>
            <w:tcW w:w="882" w:type="pct"/>
            <w:vMerge/>
            <w:tcBorders>
              <w:bottom w:val="single" w:sz="4" w:space="0" w:color="auto"/>
            </w:tcBorders>
          </w:tcPr>
          <w:p w14:paraId="225FEEC3" w14:textId="77777777" w:rsidR="002B1A69" w:rsidRPr="00B36690" w:rsidRDefault="002B1A69" w:rsidP="00B36690">
            <w:pPr>
              <w:pStyle w:val="TableText"/>
            </w:pPr>
          </w:p>
        </w:tc>
        <w:tc>
          <w:tcPr>
            <w:tcW w:w="662" w:type="pct"/>
            <w:vMerge/>
            <w:tcBorders>
              <w:bottom w:val="single" w:sz="4" w:space="0" w:color="auto"/>
            </w:tcBorders>
          </w:tcPr>
          <w:p w14:paraId="555786BB" w14:textId="77777777" w:rsidR="002B1A69" w:rsidRPr="00B36690" w:rsidRDefault="002B1A69" w:rsidP="00B36690">
            <w:pPr>
              <w:pStyle w:val="TableText"/>
            </w:pPr>
          </w:p>
        </w:tc>
        <w:tc>
          <w:tcPr>
            <w:tcW w:w="809" w:type="pct"/>
            <w:tcBorders>
              <w:bottom w:val="single" w:sz="4" w:space="0" w:color="auto"/>
            </w:tcBorders>
          </w:tcPr>
          <w:p w14:paraId="19D8903F"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24229256" w14:textId="77777777" w:rsidR="002B1A69" w:rsidRPr="00B36690" w:rsidRDefault="002B1A69" w:rsidP="00B36690">
            <w:pPr>
              <w:pStyle w:val="TableText"/>
            </w:pPr>
            <w:r w:rsidRPr="00B36690">
              <w:t>Ground directed</w:t>
            </w:r>
          </w:p>
        </w:tc>
        <w:tc>
          <w:tcPr>
            <w:tcW w:w="496" w:type="pct"/>
            <w:tcBorders>
              <w:bottom w:val="single" w:sz="4" w:space="0" w:color="auto"/>
            </w:tcBorders>
          </w:tcPr>
          <w:p w14:paraId="5D54B1BA"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15330729"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61A67A85"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4AB73D39" w14:textId="77777777" w:rsidR="002B1A69" w:rsidRPr="00B36690" w:rsidRDefault="002B1A69" w:rsidP="00B36690">
            <w:pPr>
              <w:pStyle w:val="TableText"/>
              <w:jc w:val="right"/>
            </w:pPr>
            <w:r w:rsidRPr="00B36690">
              <w:t>7993</w:t>
            </w:r>
          </w:p>
        </w:tc>
      </w:tr>
      <w:tr w:rsidR="002B1A69" w:rsidRPr="008E4070" w14:paraId="58C38F4A" w14:textId="77777777" w:rsidTr="00303DF5">
        <w:trPr>
          <w:cantSplit/>
          <w:trHeight w:val="13"/>
        </w:trPr>
        <w:tc>
          <w:tcPr>
            <w:tcW w:w="882" w:type="pct"/>
            <w:vMerge w:val="restart"/>
          </w:tcPr>
          <w:p w14:paraId="1279331D" w14:textId="77777777" w:rsidR="002B1A69" w:rsidRPr="00B36690" w:rsidRDefault="002B1A69" w:rsidP="00B36690">
            <w:pPr>
              <w:pStyle w:val="TableText"/>
            </w:pPr>
            <w:r w:rsidRPr="00B36690">
              <w:t>Pre-harvest desiccation in potatoes</w:t>
            </w:r>
          </w:p>
        </w:tc>
        <w:tc>
          <w:tcPr>
            <w:tcW w:w="662" w:type="pct"/>
            <w:vMerge w:val="restart"/>
          </w:tcPr>
          <w:p w14:paraId="4EAA9D5A" w14:textId="77777777" w:rsidR="002B1A69" w:rsidRPr="00B36690" w:rsidRDefault="002B1A69" w:rsidP="00B36690">
            <w:pPr>
              <w:pStyle w:val="TableText"/>
            </w:pPr>
            <w:r w:rsidRPr="00B36690">
              <w:t>Potatoes</w:t>
            </w:r>
          </w:p>
        </w:tc>
        <w:tc>
          <w:tcPr>
            <w:tcW w:w="809" w:type="pct"/>
            <w:tcBorders>
              <w:top w:val="single" w:sz="4" w:space="0" w:color="auto"/>
            </w:tcBorders>
          </w:tcPr>
          <w:p w14:paraId="026359EB"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387D4624" w14:textId="77777777" w:rsidR="002B1A69" w:rsidRPr="00B36690" w:rsidRDefault="002B1A69" w:rsidP="00B36690">
            <w:pPr>
              <w:pStyle w:val="TableText"/>
            </w:pPr>
            <w:r w:rsidRPr="00B36690">
              <w:t>BBCH ≥40</w:t>
            </w:r>
          </w:p>
        </w:tc>
        <w:tc>
          <w:tcPr>
            <w:tcW w:w="496" w:type="pct"/>
            <w:tcBorders>
              <w:top w:val="single" w:sz="4" w:space="0" w:color="auto"/>
            </w:tcBorders>
          </w:tcPr>
          <w:p w14:paraId="38F8AEA5" w14:textId="77777777" w:rsidR="002B1A69" w:rsidRPr="00B36690" w:rsidRDefault="002B1A69" w:rsidP="00B36690">
            <w:pPr>
              <w:pStyle w:val="TableText"/>
              <w:jc w:val="right"/>
            </w:pPr>
            <w:r w:rsidRPr="00B36690">
              <w:t>40.9</w:t>
            </w:r>
          </w:p>
        </w:tc>
        <w:tc>
          <w:tcPr>
            <w:tcW w:w="496" w:type="pct"/>
            <w:tcBorders>
              <w:top w:val="single" w:sz="4" w:space="0" w:color="auto"/>
            </w:tcBorders>
          </w:tcPr>
          <w:p w14:paraId="3750B913" w14:textId="77777777" w:rsidR="002B1A69" w:rsidRPr="00B36690" w:rsidRDefault="002B1A69" w:rsidP="00B36690">
            <w:pPr>
              <w:pStyle w:val="TableText"/>
              <w:jc w:val="right"/>
            </w:pPr>
            <w:r w:rsidRPr="00B36690">
              <w:t>21.7</w:t>
            </w:r>
          </w:p>
        </w:tc>
        <w:tc>
          <w:tcPr>
            <w:tcW w:w="496" w:type="pct"/>
            <w:tcBorders>
              <w:top w:val="single" w:sz="4" w:space="0" w:color="auto"/>
            </w:tcBorders>
            <w:shd w:val="clear" w:color="auto" w:fill="FF0000"/>
          </w:tcPr>
          <w:p w14:paraId="2ED8CC2B" w14:textId="77777777" w:rsidR="002B1A69" w:rsidRPr="00B36690" w:rsidRDefault="002B1A69" w:rsidP="00B36690">
            <w:pPr>
              <w:pStyle w:val="TableText"/>
              <w:jc w:val="right"/>
            </w:pPr>
            <w:r w:rsidRPr="00B36690">
              <w:t>513</w:t>
            </w:r>
          </w:p>
        </w:tc>
        <w:tc>
          <w:tcPr>
            <w:tcW w:w="497" w:type="pct"/>
            <w:tcBorders>
              <w:top w:val="single" w:sz="4" w:space="0" w:color="auto"/>
            </w:tcBorders>
            <w:shd w:val="clear" w:color="auto" w:fill="FF0000"/>
          </w:tcPr>
          <w:p w14:paraId="4E1D6549" w14:textId="77777777" w:rsidR="002B1A69" w:rsidRPr="00B36690" w:rsidRDefault="002B1A69" w:rsidP="00B36690">
            <w:pPr>
              <w:pStyle w:val="TableText"/>
              <w:jc w:val="right"/>
            </w:pPr>
            <w:r w:rsidRPr="00B36690">
              <w:t>700</w:t>
            </w:r>
          </w:p>
        </w:tc>
      </w:tr>
      <w:tr w:rsidR="002B1A69" w:rsidRPr="006E15AF" w14:paraId="272C66CD" w14:textId="77777777" w:rsidTr="00303DF5">
        <w:trPr>
          <w:cantSplit/>
          <w:trHeight w:val="13"/>
        </w:trPr>
        <w:tc>
          <w:tcPr>
            <w:tcW w:w="882" w:type="pct"/>
            <w:vMerge/>
          </w:tcPr>
          <w:p w14:paraId="615CE7B1" w14:textId="77777777" w:rsidR="002B1A69" w:rsidRPr="00B36690" w:rsidRDefault="002B1A69" w:rsidP="00B36690">
            <w:pPr>
              <w:pStyle w:val="TableText"/>
            </w:pPr>
          </w:p>
        </w:tc>
        <w:tc>
          <w:tcPr>
            <w:tcW w:w="662" w:type="pct"/>
            <w:vMerge/>
          </w:tcPr>
          <w:p w14:paraId="44315B06" w14:textId="77777777" w:rsidR="002B1A69" w:rsidRPr="00B36690" w:rsidRDefault="002B1A69" w:rsidP="00B36690">
            <w:pPr>
              <w:pStyle w:val="TableText"/>
            </w:pPr>
          </w:p>
        </w:tc>
        <w:tc>
          <w:tcPr>
            <w:tcW w:w="809" w:type="pct"/>
          </w:tcPr>
          <w:p w14:paraId="347DDA55" w14:textId="77777777" w:rsidR="002B1A69" w:rsidRPr="00B36690" w:rsidRDefault="002B1A69" w:rsidP="00B36690">
            <w:pPr>
              <w:pStyle w:val="TableText"/>
            </w:pPr>
            <w:r w:rsidRPr="00B36690">
              <w:t>Large herbivore</w:t>
            </w:r>
          </w:p>
        </w:tc>
        <w:tc>
          <w:tcPr>
            <w:tcW w:w="662" w:type="pct"/>
          </w:tcPr>
          <w:p w14:paraId="5B2DD0F5" w14:textId="77777777" w:rsidR="002B1A69" w:rsidRPr="00B36690" w:rsidRDefault="002B1A69" w:rsidP="00B36690">
            <w:pPr>
              <w:pStyle w:val="TableText"/>
            </w:pPr>
            <w:r w:rsidRPr="00B36690">
              <w:t>BBCH ≥40</w:t>
            </w:r>
          </w:p>
        </w:tc>
        <w:tc>
          <w:tcPr>
            <w:tcW w:w="496" w:type="pct"/>
          </w:tcPr>
          <w:p w14:paraId="07B63E4B" w14:textId="77777777" w:rsidR="002B1A69" w:rsidRPr="00B36690" w:rsidRDefault="002B1A69" w:rsidP="00B36690">
            <w:pPr>
              <w:pStyle w:val="TableText"/>
              <w:jc w:val="right"/>
            </w:pPr>
            <w:r w:rsidRPr="00B36690">
              <w:t>10.5</w:t>
            </w:r>
          </w:p>
        </w:tc>
        <w:tc>
          <w:tcPr>
            <w:tcW w:w="496" w:type="pct"/>
          </w:tcPr>
          <w:p w14:paraId="75807D50" w14:textId="77777777" w:rsidR="002B1A69" w:rsidRPr="00B36690" w:rsidRDefault="002B1A69" w:rsidP="00B36690">
            <w:pPr>
              <w:pStyle w:val="TableText"/>
              <w:jc w:val="right"/>
            </w:pPr>
            <w:r w:rsidRPr="00B36690">
              <w:t>4.3</w:t>
            </w:r>
          </w:p>
        </w:tc>
        <w:tc>
          <w:tcPr>
            <w:tcW w:w="496" w:type="pct"/>
          </w:tcPr>
          <w:p w14:paraId="5D545D7F" w14:textId="77777777" w:rsidR="002B1A69" w:rsidRPr="00B36690" w:rsidRDefault="002B1A69" w:rsidP="00B36690">
            <w:pPr>
              <w:pStyle w:val="TableText"/>
              <w:jc w:val="right"/>
            </w:pPr>
            <w:r w:rsidRPr="00B36690">
              <w:t>2000</w:t>
            </w:r>
          </w:p>
        </w:tc>
        <w:tc>
          <w:tcPr>
            <w:tcW w:w="497" w:type="pct"/>
          </w:tcPr>
          <w:p w14:paraId="0893BFA9" w14:textId="77777777" w:rsidR="002B1A69" w:rsidRPr="00B36690" w:rsidRDefault="002B1A69" w:rsidP="00B36690">
            <w:pPr>
              <w:pStyle w:val="TableText"/>
              <w:jc w:val="right"/>
            </w:pPr>
            <w:r w:rsidRPr="00B36690">
              <w:t>3532</w:t>
            </w:r>
          </w:p>
        </w:tc>
      </w:tr>
      <w:tr w:rsidR="002B1A69" w:rsidRPr="006E15AF" w14:paraId="1AD9AE04" w14:textId="77777777" w:rsidTr="00303DF5">
        <w:trPr>
          <w:cantSplit/>
          <w:trHeight w:val="13"/>
        </w:trPr>
        <w:tc>
          <w:tcPr>
            <w:tcW w:w="882" w:type="pct"/>
            <w:vMerge/>
          </w:tcPr>
          <w:p w14:paraId="6D7086FC" w14:textId="77777777" w:rsidR="002B1A69" w:rsidRPr="00B36690" w:rsidRDefault="002B1A69" w:rsidP="00B36690">
            <w:pPr>
              <w:pStyle w:val="TableText"/>
            </w:pPr>
          </w:p>
        </w:tc>
        <w:tc>
          <w:tcPr>
            <w:tcW w:w="662" w:type="pct"/>
            <w:vMerge/>
          </w:tcPr>
          <w:p w14:paraId="10F75A73" w14:textId="77777777" w:rsidR="002B1A69" w:rsidRPr="00B36690" w:rsidRDefault="002B1A69" w:rsidP="00B36690">
            <w:pPr>
              <w:pStyle w:val="TableText"/>
            </w:pPr>
          </w:p>
        </w:tc>
        <w:tc>
          <w:tcPr>
            <w:tcW w:w="809" w:type="pct"/>
          </w:tcPr>
          <w:p w14:paraId="7C55ACA4" w14:textId="77777777" w:rsidR="002B1A69" w:rsidRPr="00B36690" w:rsidRDefault="002B1A69" w:rsidP="00B36690">
            <w:pPr>
              <w:pStyle w:val="TableText"/>
            </w:pPr>
            <w:r w:rsidRPr="00B36690">
              <w:t>Small omnivore</w:t>
            </w:r>
          </w:p>
        </w:tc>
        <w:tc>
          <w:tcPr>
            <w:tcW w:w="662" w:type="pct"/>
          </w:tcPr>
          <w:p w14:paraId="7DCCF8A0" w14:textId="77777777" w:rsidR="002B1A69" w:rsidRPr="00B36690" w:rsidRDefault="002B1A69" w:rsidP="00B36690">
            <w:pPr>
              <w:pStyle w:val="TableText"/>
            </w:pPr>
            <w:r w:rsidRPr="00B36690">
              <w:t>BBCH ≥40</w:t>
            </w:r>
          </w:p>
        </w:tc>
        <w:tc>
          <w:tcPr>
            <w:tcW w:w="496" w:type="pct"/>
          </w:tcPr>
          <w:p w14:paraId="3B6B0571" w14:textId="77777777" w:rsidR="002B1A69" w:rsidRPr="00B36690" w:rsidRDefault="002B1A69" w:rsidP="00B36690">
            <w:pPr>
              <w:pStyle w:val="TableText"/>
              <w:jc w:val="right"/>
            </w:pPr>
            <w:r w:rsidRPr="00B36690">
              <w:t>5.2</w:t>
            </w:r>
          </w:p>
        </w:tc>
        <w:tc>
          <w:tcPr>
            <w:tcW w:w="496" w:type="pct"/>
          </w:tcPr>
          <w:p w14:paraId="13BC8882" w14:textId="77777777" w:rsidR="002B1A69" w:rsidRPr="00B36690" w:rsidRDefault="002B1A69" w:rsidP="00B36690">
            <w:pPr>
              <w:pStyle w:val="TableText"/>
              <w:jc w:val="right"/>
            </w:pPr>
            <w:r w:rsidRPr="00B36690">
              <w:t>2.3</w:t>
            </w:r>
          </w:p>
        </w:tc>
        <w:tc>
          <w:tcPr>
            <w:tcW w:w="496" w:type="pct"/>
          </w:tcPr>
          <w:p w14:paraId="42CDAF81" w14:textId="77777777" w:rsidR="002B1A69" w:rsidRPr="00B36690" w:rsidRDefault="002B1A69" w:rsidP="00B36690">
            <w:pPr>
              <w:pStyle w:val="TableText"/>
              <w:jc w:val="right"/>
            </w:pPr>
            <w:r w:rsidRPr="00B36690">
              <w:t>4038</w:t>
            </w:r>
          </w:p>
        </w:tc>
        <w:tc>
          <w:tcPr>
            <w:tcW w:w="497" w:type="pct"/>
          </w:tcPr>
          <w:p w14:paraId="67D2BE41" w14:textId="77777777" w:rsidR="002B1A69" w:rsidRPr="00B36690" w:rsidRDefault="002B1A69" w:rsidP="00B36690">
            <w:pPr>
              <w:pStyle w:val="TableText"/>
              <w:jc w:val="right"/>
            </w:pPr>
            <w:r w:rsidRPr="00B36690">
              <w:t>6603</w:t>
            </w:r>
          </w:p>
        </w:tc>
      </w:tr>
      <w:tr w:rsidR="002B1A69" w:rsidRPr="006E15AF" w14:paraId="2551D77F" w14:textId="77777777" w:rsidTr="00303DF5">
        <w:trPr>
          <w:cantSplit/>
          <w:trHeight w:val="13"/>
        </w:trPr>
        <w:tc>
          <w:tcPr>
            <w:tcW w:w="882" w:type="pct"/>
            <w:vMerge/>
            <w:tcBorders>
              <w:bottom w:val="single" w:sz="4" w:space="0" w:color="auto"/>
            </w:tcBorders>
          </w:tcPr>
          <w:p w14:paraId="2BF5803C" w14:textId="77777777" w:rsidR="002B1A69" w:rsidRPr="00B36690" w:rsidRDefault="002B1A69" w:rsidP="00B36690">
            <w:pPr>
              <w:pStyle w:val="TableText"/>
            </w:pPr>
          </w:p>
        </w:tc>
        <w:tc>
          <w:tcPr>
            <w:tcW w:w="662" w:type="pct"/>
            <w:vMerge/>
            <w:tcBorders>
              <w:bottom w:val="single" w:sz="4" w:space="0" w:color="auto"/>
            </w:tcBorders>
          </w:tcPr>
          <w:p w14:paraId="04453ACB" w14:textId="77777777" w:rsidR="002B1A69" w:rsidRPr="00B36690" w:rsidRDefault="002B1A69" w:rsidP="00B36690">
            <w:pPr>
              <w:pStyle w:val="TableText"/>
            </w:pPr>
          </w:p>
        </w:tc>
        <w:tc>
          <w:tcPr>
            <w:tcW w:w="809" w:type="pct"/>
            <w:tcBorders>
              <w:bottom w:val="single" w:sz="4" w:space="0" w:color="auto"/>
            </w:tcBorders>
          </w:tcPr>
          <w:p w14:paraId="6EED2BAD"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1BB172F4" w14:textId="77777777" w:rsidR="002B1A69" w:rsidRPr="00B36690" w:rsidRDefault="002B1A69" w:rsidP="00B36690">
            <w:pPr>
              <w:pStyle w:val="TableText"/>
            </w:pPr>
            <w:r w:rsidRPr="00B36690">
              <w:t>BBCH ≥20</w:t>
            </w:r>
          </w:p>
        </w:tc>
        <w:tc>
          <w:tcPr>
            <w:tcW w:w="496" w:type="pct"/>
            <w:tcBorders>
              <w:bottom w:val="single" w:sz="4" w:space="0" w:color="auto"/>
            </w:tcBorders>
          </w:tcPr>
          <w:p w14:paraId="0193ABB9"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192F8AB6"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4FE92BEE"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3F471733" w14:textId="77777777" w:rsidR="002B1A69" w:rsidRPr="00B36690" w:rsidRDefault="002B1A69" w:rsidP="00B36690">
            <w:pPr>
              <w:pStyle w:val="TableText"/>
              <w:jc w:val="right"/>
            </w:pPr>
            <w:r w:rsidRPr="00B36690">
              <w:t>7993</w:t>
            </w:r>
          </w:p>
        </w:tc>
      </w:tr>
      <w:tr w:rsidR="002B1A69" w:rsidRPr="006E15AF" w14:paraId="4B384FB0" w14:textId="77777777" w:rsidTr="00303DF5">
        <w:trPr>
          <w:cantSplit/>
          <w:trHeight w:val="13"/>
        </w:trPr>
        <w:tc>
          <w:tcPr>
            <w:tcW w:w="882" w:type="pct"/>
            <w:vMerge w:val="restart"/>
            <w:tcBorders>
              <w:top w:val="single" w:sz="4" w:space="0" w:color="auto"/>
            </w:tcBorders>
          </w:tcPr>
          <w:p w14:paraId="4FC4E00E" w14:textId="77777777" w:rsidR="002B1A69" w:rsidRPr="00B36690" w:rsidRDefault="002B1A69" w:rsidP="00B36690">
            <w:pPr>
              <w:pStyle w:val="TableText"/>
            </w:pPr>
            <w:r w:rsidRPr="00B36690">
              <w:t>General weed control in potatoes (pre-harvest)</w:t>
            </w:r>
          </w:p>
        </w:tc>
        <w:tc>
          <w:tcPr>
            <w:tcW w:w="662" w:type="pct"/>
            <w:vMerge w:val="restart"/>
            <w:tcBorders>
              <w:top w:val="single" w:sz="4" w:space="0" w:color="auto"/>
            </w:tcBorders>
          </w:tcPr>
          <w:p w14:paraId="4ED44669" w14:textId="77777777" w:rsidR="002B1A69" w:rsidRPr="00B36690" w:rsidRDefault="002B1A69" w:rsidP="00B36690">
            <w:pPr>
              <w:pStyle w:val="TableText"/>
            </w:pPr>
            <w:r w:rsidRPr="00B36690">
              <w:t>Potatoes</w:t>
            </w:r>
          </w:p>
        </w:tc>
        <w:tc>
          <w:tcPr>
            <w:tcW w:w="809" w:type="pct"/>
            <w:tcBorders>
              <w:top w:val="single" w:sz="4" w:space="0" w:color="auto"/>
            </w:tcBorders>
          </w:tcPr>
          <w:p w14:paraId="409E155E"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0BA68E38" w14:textId="77777777" w:rsidR="002B1A69" w:rsidRPr="00B36690" w:rsidRDefault="002B1A69" w:rsidP="00B36690">
            <w:pPr>
              <w:pStyle w:val="TableText"/>
            </w:pPr>
            <w:r w:rsidRPr="00B36690">
              <w:t>BBCH ≥40</w:t>
            </w:r>
          </w:p>
        </w:tc>
        <w:tc>
          <w:tcPr>
            <w:tcW w:w="496" w:type="pct"/>
            <w:tcBorders>
              <w:top w:val="single" w:sz="4" w:space="0" w:color="auto"/>
            </w:tcBorders>
          </w:tcPr>
          <w:p w14:paraId="0FAAB05F" w14:textId="77777777" w:rsidR="002B1A69" w:rsidRPr="00B36690" w:rsidRDefault="002B1A69" w:rsidP="00B36690">
            <w:pPr>
              <w:pStyle w:val="TableText"/>
              <w:jc w:val="right"/>
            </w:pPr>
            <w:r w:rsidRPr="00B36690">
              <w:t>40.9</w:t>
            </w:r>
          </w:p>
        </w:tc>
        <w:tc>
          <w:tcPr>
            <w:tcW w:w="496" w:type="pct"/>
            <w:tcBorders>
              <w:top w:val="single" w:sz="4" w:space="0" w:color="auto"/>
            </w:tcBorders>
          </w:tcPr>
          <w:p w14:paraId="223CDE91" w14:textId="77777777" w:rsidR="002B1A69" w:rsidRPr="00B36690" w:rsidRDefault="002B1A69" w:rsidP="00B36690">
            <w:pPr>
              <w:pStyle w:val="TableText"/>
              <w:jc w:val="right"/>
            </w:pPr>
            <w:r w:rsidRPr="00B36690">
              <w:t>21.7</w:t>
            </w:r>
          </w:p>
        </w:tc>
        <w:tc>
          <w:tcPr>
            <w:tcW w:w="496" w:type="pct"/>
            <w:tcBorders>
              <w:top w:val="single" w:sz="4" w:space="0" w:color="auto"/>
            </w:tcBorders>
          </w:tcPr>
          <w:p w14:paraId="1433210B" w14:textId="77777777" w:rsidR="002B1A69" w:rsidRPr="00B36690" w:rsidRDefault="002B1A69" w:rsidP="00B36690">
            <w:pPr>
              <w:pStyle w:val="TableText"/>
              <w:jc w:val="right"/>
            </w:pPr>
            <w:r w:rsidRPr="00B36690">
              <w:t>513</w:t>
            </w:r>
          </w:p>
        </w:tc>
        <w:tc>
          <w:tcPr>
            <w:tcW w:w="497" w:type="pct"/>
            <w:tcBorders>
              <w:top w:val="single" w:sz="4" w:space="0" w:color="auto"/>
            </w:tcBorders>
          </w:tcPr>
          <w:p w14:paraId="08875799" w14:textId="77777777" w:rsidR="002B1A69" w:rsidRPr="00B36690" w:rsidRDefault="002B1A69" w:rsidP="00B36690">
            <w:pPr>
              <w:pStyle w:val="TableText"/>
              <w:jc w:val="right"/>
            </w:pPr>
            <w:r w:rsidRPr="00B36690">
              <w:t>700</w:t>
            </w:r>
          </w:p>
        </w:tc>
      </w:tr>
      <w:tr w:rsidR="002B1A69" w:rsidRPr="006E15AF" w14:paraId="7614D48E" w14:textId="77777777" w:rsidTr="00303DF5">
        <w:trPr>
          <w:cantSplit/>
          <w:trHeight w:val="13"/>
        </w:trPr>
        <w:tc>
          <w:tcPr>
            <w:tcW w:w="882" w:type="pct"/>
            <w:vMerge/>
          </w:tcPr>
          <w:p w14:paraId="4A55FB3D" w14:textId="77777777" w:rsidR="002B1A69" w:rsidRPr="00B36690" w:rsidRDefault="002B1A69" w:rsidP="00B36690">
            <w:pPr>
              <w:pStyle w:val="TableText"/>
            </w:pPr>
          </w:p>
        </w:tc>
        <w:tc>
          <w:tcPr>
            <w:tcW w:w="662" w:type="pct"/>
            <w:vMerge/>
          </w:tcPr>
          <w:p w14:paraId="5F942701" w14:textId="77777777" w:rsidR="002B1A69" w:rsidRPr="00B36690" w:rsidRDefault="002B1A69" w:rsidP="00B36690">
            <w:pPr>
              <w:pStyle w:val="TableText"/>
            </w:pPr>
          </w:p>
        </w:tc>
        <w:tc>
          <w:tcPr>
            <w:tcW w:w="809" w:type="pct"/>
          </w:tcPr>
          <w:p w14:paraId="51A93504" w14:textId="77777777" w:rsidR="002B1A69" w:rsidRPr="00B36690" w:rsidRDefault="002B1A69" w:rsidP="00B36690">
            <w:pPr>
              <w:pStyle w:val="TableText"/>
            </w:pPr>
            <w:r w:rsidRPr="00B36690">
              <w:t>Large herbivore</w:t>
            </w:r>
          </w:p>
        </w:tc>
        <w:tc>
          <w:tcPr>
            <w:tcW w:w="662" w:type="pct"/>
          </w:tcPr>
          <w:p w14:paraId="6363CA9E" w14:textId="77777777" w:rsidR="002B1A69" w:rsidRPr="00B36690" w:rsidRDefault="002B1A69" w:rsidP="00B36690">
            <w:pPr>
              <w:pStyle w:val="TableText"/>
            </w:pPr>
            <w:r w:rsidRPr="00B36690">
              <w:t>BBCH ≥40</w:t>
            </w:r>
          </w:p>
        </w:tc>
        <w:tc>
          <w:tcPr>
            <w:tcW w:w="496" w:type="pct"/>
          </w:tcPr>
          <w:p w14:paraId="06610C62" w14:textId="77777777" w:rsidR="002B1A69" w:rsidRPr="00B36690" w:rsidRDefault="002B1A69" w:rsidP="00B36690">
            <w:pPr>
              <w:pStyle w:val="TableText"/>
              <w:jc w:val="right"/>
            </w:pPr>
            <w:r w:rsidRPr="00B36690">
              <w:t>10.5</w:t>
            </w:r>
          </w:p>
        </w:tc>
        <w:tc>
          <w:tcPr>
            <w:tcW w:w="496" w:type="pct"/>
          </w:tcPr>
          <w:p w14:paraId="5424BE2D" w14:textId="77777777" w:rsidR="002B1A69" w:rsidRPr="00B36690" w:rsidRDefault="002B1A69" w:rsidP="00B36690">
            <w:pPr>
              <w:pStyle w:val="TableText"/>
              <w:jc w:val="right"/>
            </w:pPr>
            <w:r w:rsidRPr="00B36690">
              <w:t>4.3</w:t>
            </w:r>
          </w:p>
        </w:tc>
        <w:tc>
          <w:tcPr>
            <w:tcW w:w="496" w:type="pct"/>
          </w:tcPr>
          <w:p w14:paraId="20A0B57E" w14:textId="77777777" w:rsidR="002B1A69" w:rsidRPr="00B36690" w:rsidRDefault="002B1A69" w:rsidP="00B36690">
            <w:pPr>
              <w:pStyle w:val="TableText"/>
              <w:jc w:val="right"/>
            </w:pPr>
            <w:r w:rsidRPr="00B36690">
              <w:t>2000</w:t>
            </w:r>
          </w:p>
        </w:tc>
        <w:tc>
          <w:tcPr>
            <w:tcW w:w="497" w:type="pct"/>
          </w:tcPr>
          <w:p w14:paraId="505F60E3" w14:textId="77777777" w:rsidR="002B1A69" w:rsidRPr="00B36690" w:rsidRDefault="002B1A69" w:rsidP="00B36690">
            <w:pPr>
              <w:pStyle w:val="TableText"/>
              <w:jc w:val="right"/>
            </w:pPr>
            <w:r w:rsidRPr="00B36690">
              <w:t>3532</w:t>
            </w:r>
          </w:p>
        </w:tc>
      </w:tr>
      <w:tr w:rsidR="002B1A69" w:rsidRPr="006E15AF" w14:paraId="522776F5" w14:textId="77777777" w:rsidTr="00303DF5">
        <w:trPr>
          <w:cantSplit/>
          <w:trHeight w:val="13"/>
        </w:trPr>
        <w:tc>
          <w:tcPr>
            <w:tcW w:w="882" w:type="pct"/>
            <w:vMerge/>
          </w:tcPr>
          <w:p w14:paraId="182B419A" w14:textId="77777777" w:rsidR="002B1A69" w:rsidRPr="00B36690" w:rsidRDefault="002B1A69" w:rsidP="00B36690">
            <w:pPr>
              <w:pStyle w:val="TableText"/>
            </w:pPr>
          </w:p>
        </w:tc>
        <w:tc>
          <w:tcPr>
            <w:tcW w:w="662" w:type="pct"/>
            <w:vMerge/>
          </w:tcPr>
          <w:p w14:paraId="4E8067B8" w14:textId="77777777" w:rsidR="002B1A69" w:rsidRPr="00B36690" w:rsidRDefault="002B1A69" w:rsidP="00B36690">
            <w:pPr>
              <w:pStyle w:val="TableText"/>
            </w:pPr>
          </w:p>
        </w:tc>
        <w:tc>
          <w:tcPr>
            <w:tcW w:w="809" w:type="pct"/>
          </w:tcPr>
          <w:p w14:paraId="2F17CF38" w14:textId="77777777" w:rsidR="002B1A69" w:rsidRPr="00B36690" w:rsidRDefault="002B1A69" w:rsidP="00B36690">
            <w:pPr>
              <w:pStyle w:val="TableText"/>
            </w:pPr>
            <w:r w:rsidRPr="00B36690">
              <w:t>Small omnivore</w:t>
            </w:r>
          </w:p>
        </w:tc>
        <w:tc>
          <w:tcPr>
            <w:tcW w:w="662" w:type="pct"/>
          </w:tcPr>
          <w:p w14:paraId="3F7554DC" w14:textId="77777777" w:rsidR="002B1A69" w:rsidRPr="00B36690" w:rsidRDefault="002B1A69" w:rsidP="00B36690">
            <w:pPr>
              <w:pStyle w:val="TableText"/>
            </w:pPr>
            <w:r w:rsidRPr="00B36690">
              <w:t>BBCH ≥40</w:t>
            </w:r>
          </w:p>
        </w:tc>
        <w:tc>
          <w:tcPr>
            <w:tcW w:w="496" w:type="pct"/>
          </w:tcPr>
          <w:p w14:paraId="13455AA2" w14:textId="77777777" w:rsidR="002B1A69" w:rsidRPr="00B36690" w:rsidRDefault="002B1A69" w:rsidP="00B36690">
            <w:pPr>
              <w:pStyle w:val="TableText"/>
              <w:jc w:val="right"/>
            </w:pPr>
            <w:r w:rsidRPr="00B36690">
              <w:t>5.2</w:t>
            </w:r>
          </w:p>
        </w:tc>
        <w:tc>
          <w:tcPr>
            <w:tcW w:w="496" w:type="pct"/>
          </w:tcPr>
          <w:p w14:paraId="66B2C31A" w14:textId="77777777" w:rsidR="002B1A69" w:rsidRPr="00B36690" w:rsidRDefault="002B1A69" w:rsidP="00B36690">
            <w:pPr>
              <w:pStyle w:val="TableText"/>
              <w:jc w:val="right"/>
            </w:pPr>
            <w:r w:rsidRPr="00B36690">
              <w:t>2.3</w:t>
            </w:r>
          </w:p>
        </w:tc>
        <w:tc>
          <w:tcPr>
            <w:tcW w:w="496" w:type="pct"/>
          </w:tcPr>
          <w:p w14:paraId="72F3BCDF" w14:textId="77777777" w:rsidR="002B1A69" w:rsidRPr="00B36690" w:rsidRDefault="002B1A69" w:rsidP="00B36690">
            <w:pPr>
              <w:pStyle w:val="TableText"/>
              <w:jc w:val="right"/>
            </w:pPr>
            <w:r w:rsidRPr="00B36690">
              <w:t>4038</w:t>
            </w:r>
          </w:p>
        </w:tc>
        <w:tc>
          <w:tcPr>
            <w:tcW w:w="497" w:type="pct"/>
          </w:tcPr>
          <w:p w14:paraId="0BA19D98" w14:textId="77777777" w:rsidR="002B1A69" w:rsidRPr="00B36690" w:rsidRDefault="002B1A69" w:rsidP="00B36690">
            <w:pPr>
              <w:pStyle w:val="TableText"/>
              <w:jc w:val="right"/>
            </w:pPr>
            <w:r w:rsidRPr="00B36690">
              <w:t>6603</w:t>
            </w:r>
          </w:p>
        </w:tc>
      </w:tr>
      <w:tr w:rsidR="002B1A69" w:rsidRPr="006E15AF" w14:paraId="764FB804" w14:textId="77777777" w:rsidTr="00303DF5">
        <w:trPr>
          <w:cantSplit/>
          <w:trHeight w:val="13"/>
        </w:trPr>
        <w:tc>
          <w:tcPr>
            <w:tcW w:w="882" w:type="pct"/>
            <w:vMerge/>
            <w:tcBorders>
              <w:bottom w:val="single" w:sz="4" w:space="0" w:color="auto"/>
            </w:tcBorders>
          </w:tcPr>
          <w:p w14:paraId="4F0B6B52" w14:textId="77777777" w:rsidR="002B1A69" w:rsidRPr="00B5044A" w:rsidRDefault="002B1A69" w:rsidP="00303DF5">
            <w:pPr>
              <w:pStyle w:val="TableText"/>
              <w:widowControl w:val="0"/>
              <w:suppressAutoHyphens w:val="0"/>
              <w:spacing w:before="0" w:after="0" w:line="240" w:lineRule="auto"/>
              <w:rPr>
                <w:szCs w:val="17"/>
              </w:rPr>
            </w:pPr>
          </w:p>
        </w:tc>
        <w:tc>
          <w:tcPr>
            <w:tcW w:w="662" w:type="pct"/>
            <w:vMerge/>
            <w:tcBorders>
              <w:bottom w:val="single" w:sz="4" w:space="0" w:color="auto"/>
            </w:tcBorders>
          </w:tcPr>
          <w:p w14:paraId="04210C39" w14:textId="77777777" w:rsidR="002B1A69" w:rsidRDefault="002B1A69" w:rsidP="00303DF5">
            <w:pPr>
              <w:pStyle w:val="TableText"/>
              <w:widowControl w:val="0"/>
              <w:suppressAutoHyphens w:val="0"/>
              <w:spacing w:before="0" w:after="0" w:line="240" w:lineRule="auto"/>
              <w:rPr>
                <w:szCs w:val="17"/>
              </w:rPr>
            </w:pPr>
          </w:p>
        </w:tc>
        <w:tc>
          <w:tcPr>
            <w:tcW w:w="809" w:type="pct"/>
            <w:tcBorders>
              <w:bottom w:val="single" w:sz="4" w:space="0" w:color="auto"/>
            </w:tcBorders>
          </w:tcPr>
          <w:p w14:paraId="02DE9B9C"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31046C4A" w14:textId="77777777" w:rsidR="002B1A69" w:rsidRPr="00B36690" w:rsidRDefault="002B1A69" w:rsidP="00B36690">
            <w:pPr>
              <w:pStyle w:val="TableText"/>
            </w:pPr>
            <w:r w:rsidRPr="00B36690">
              <w:t>BBCH ≥20</w:t>
            </w:r>
          </w:p>
        </w:tc>
        <w:tc>
          <w:tcPr>
            <w:tcW w:w="496" w:type="pct"/>
            <w:tcBorders>
              <w:bottom w:val="single" w:sz="4" w:space="0" w:color="auto"/>
            </w:tcBorders>
          </w:tcPr>
          <w:p w14:paraId="11BB2AB4"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5462015F"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4EDB8C60"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57A52A2C" w14:textId="77777777" w:rsidR="002B1A69" w:rsidRPr="00B36690" w:rsidRDefault="002B1A69" w:rsidP="00B36690">
            <w:pPr>
              <w:pStyle w:val="TableText"/>
              <w:jc w:val="right"/>
            </w:pPr>
            <w:r w:rsidRPr="00B36690">
              <w:t>7993</w:t>
            </w:r>
          </w:p>
        </w:tc>
      </w:tr>
      <w:tr w:rsidR="002B1A69" w:rsidRPr="006E15AF" w14:paraId="0ACE823D" w14:textId="77777777" w:rsidTr="00303DF5">
        <w:trPr>
          <w:cantSplit/>
          <w:trHeight w:val="13"/>
        </w:trPr>
        <w:tc>
          <w:tcPr>
            <w:tcW w:w="882" w:type="pct"/>
            <w:vMerge w:val="restart"/>
          </w:tcPr>
          <w:p w14:paraId="6B537014" w14:textId="77777777" w:rsidR="002B1A69" w:rsidRPr="00B36690" w:rsidRDefault="002B1A69" w:rsidP="00B36690">
            <w:pPr>
              <w:pStyle w:val="TableText"/>
            </w:pPr>
            <w:r w:rsidRPr="00B36690">
              <w:t>Pre-harvest desiccation in pulses</w:t>
            </w:r>
          </w:p>
        </w:tc>
        <w:tc>
          <w:tcPr>
            <w:tcW w:w="662" w:type="pct"/>
            <w:vMerge w:val="restart"/>
          </w:tcPr>
          <w:p w14:paraId="7AFFAE91" w14:textId="77777777" w:rsidR="002B1A69" w:rsidRPr="00B36690" w:rsidRDefault="002B1A69" w:rsidP="00B36690">
            <w:pPr>
              <w:pStyle w:val="TableText"/>
            </w:pPr>
            <w:r w:rsidRPr="00B36690">
              <w:t>Pulses</w:t>
            </w:r>
          </w:p>
        </w:tc>
        <w:tc>
          <w:tcPr>
            <w:tcW w:w="809" w:type="pct"/>
            <w:tcBorders>
              <w:top w:val="single" w:sz="4" w:space="0" w:color="auto"/>
            </w:tcBorders>
          </w:tcPr>
          <w:p w14:paraId="3DD8E1E5"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445ED35A" w14:textId="77777777" w:rsidR="002B1A69" w:rsidRPr="00B36690" w:rsidRDefault="002B1A69" w:rsidP="00B36690">
            <w:pPr>
              <w:pStyle w:val="TableText"/>
            </w:pPr>
            <w:r w:rsidRPr="00B36690">
              <w:t>BBCH ≥50</w:t>
            </w:r>
          </w:p>
        </w:tc>
        <w:tc>
          <w:tcPr>
            <w:tcW w:w="496" w:type="pct"/>
            <w:tcBorders>
              <w:top w:val="single" w:sz="4" w:space="0" w:color="auto"/>
            </w:tcBorders>
          </w:tcPr>
          <w:p w14:paraId="04DEF047" w14:textId="77777777" w:rsidR="002B1A69" w:rsidRPr="00B36690" w:rsidRDefault="002B1A69" w:rsidP="00B36690">
            <w:pPr>
              <w:pStyle w:val="TableText"/>
              <w:jc w:val="right"/>
            </w:pPr>
            <w:r w:rsidRPr="00B36690">
              <w:t>40.9</w:t>
            </w:r>
          </w:p>
        </w:tc>
        <w:tc>
          <w:tcPr>
            <w:tcW w:w="496" w:type="pct"/>
            <w:tcBorders>
              <w:top w:val="single" w:sz="4" w:space="0" w:color="auto"/>
            </w:tcBorders>
          </w:tcPr>
          <w:p w14:paraId="77B47954" w14:textId="77777777" w:rsidR="002B1A69" w:rsidRPr="00B36690" w:rsidRDefault="002B1A69" w:rsidP="00B36690">
            <w:pPr>
              <w:pStyle w:val="TableText"/>
              <w:jc w:val="right"/>
            </w:pPr>
            <w:r w:rsidRPr="00B36690">
              <w:t>21.7</w:t>
            </w:r>
          </w:p>
        </w:tc>
        <w:tc>
          <w:tcPr>
            <w:tcW w:w="496" w:type="pct"/>
            <w:tcBorders>
              <w:top w:val="single" w:sz="4" w:space="0" w:color="auto"/>
            </w:tcBorders>
            <w:shd w:val="clear" w:color="auto" w:fill="FF0000"/>
          </w:tcPr>
          <w:p w14:paraId="619F8BCB" w14:textId="77777777" w:rsidR="002B1A69" w:rsidRPr="00B36690" w:rsidRDefault="002B1A69" w:rsidP="00B36690">
            <w:pPr>
              <w:pStyle w:val="TableText"/>
              <w:jc w:val="right"/>
            </w:pPr>
            <w:r w:rsidRPr="00B36690">
              <w:t>513</w:t>
            </w:r>
          </w:p>
        </w:tc>
        <w:tc>
          <w:tcPr>
            <w:tcW w:w="497" w:type="pct"/>
            <w:tcBorders>
              <w:top w:val="single" w:sz="4" w:space="0" w:color="auto"/>
            </w:tcBorders>
          </w:tcPr>
          <w:p w14:paraId="40C2C363" w14:textId="77777777" w:rsidR="002B1A69" w:rsidRPr="00B36690" w:rsidRDefault="002B1A69" w:rsidP="00B36690">
            <w:pPr>
              <w:pStyle w:val="TableText"/>
              <w:jc w:val="right"/>
            </w:pPr>
            <w:r w:rsidRPr="00B36690">
              <w:t>700</w:t>
            </w:r>
          </w:p>
        </w:tc>
      </w:tr>
      <w:tr w:rsidR="002B1A69" w:rsidRPr="006E15AF" w14:paraId="4CFABE69" w14:textId="77777777" w:rsidTr="00303DF5">
        <w:trPr>
          <w:cantSplit/>
          <w:trHeight w:val="13"/>
        </w:trPr>
        <w:tc>
          <w:tcPr>
            <w:tcW w:w="882" w:type="pct"/>
            <w:vMerge/>
          </w:tcPr>
          <w:p w14:paraId="2F670666" w14:textId="77777777" w:rsidR="002B1A69" w:rsidRPr="00B36690" w:rsidRDefault="002B1A69" w:rsidP="00B36690">
            <w:pPr>
              <w:pStyle w:val="TableText"/>
            </w:pPr>
          </w:p>
        </w:tc>
        <w:tc>
          <w:tcPr>
            <w:tcW w:w="662" w:type="pct"/>
            <w:vMerge/>
          </w:tcPr>
          <w:p w14:paraId="1E6D3F4A" w14:textId="77777777" w:rsidR="002B1A69" w:rsidRPr="00B36690" w:rsidRDefault="002B1A69" w:rsidP="00B36690">
            <w:pPr>
              <w:pStyle w:val="TableText"/>
            </w:pPr>
          </w:p>
        </w:tc>
        <w:tc>
          <w:tcPr>
            <w:tcW w:w="809" w:type="pct"/>
          </w:tcPr>
          <w:p w14:paraId="6021B141" w14:textId="77777777" w:rsidR="002B1A69" w:rsidRPr="00B36690" w:rsidRDefault="002B1A69" w:rsidP="00B36690">
            <w:pPr>
              <w:pStyle w:val="TableText"/>
            </w:pPr>
            <w:r w:rsidRPr="00B36690">
              <w:t>Large herbivore</w:t>
            </w:r>
          </w:p>
        </w:tc>
        <w:tc>
          <w:tcPr>
            <w:tcW w:w="662" w:type="pct"/>
          </w:tcPr>
          <w:p w14:paraId="0799ED5F" w14:textId="77777777" w:rsidR="002B1A69" w:rsidRPr="00B36690" w:rsidRDefault="002B1A69" w:rsidP="00B36690">
            <w:pPr>
              <w:pStyle w:val="TableText"/>
            </w:pPr>
            <w:r w:rsidRPr="00B36690">
              <w:t>BBCH ≥50</w:t>
            </w:r>
          </w:p>
        </w:tc>
        <w:tc>
          <w:tcPr>
            <w:tcW w:w="496" w:type="pct"/>
          </w:tcPr>
          <w:p w14:paraId="3734186C" w14:textId="77777777" w:rsidR="002B1A69" w:rsidRPr="00B36690" w:rsidRDefault="002B1A69" w:rsidP="00B36690">
            <w:pPr>
              <w:pStyle w:val="TableText"/>
              <w:jc w:val="right"/>
            </w:pPr>
            <w:r w:rsidRPr="00B36690">
              <w:t>10.5</w:t>
            </w:r>
          </w:p>
        </w:tc>
        <w:tc>
          <w:tcPr>
            <w:tcW w:w="496" w:type="pct"/>
          </w:tcPr>
          <w:p w14:paraId="6499C8F0" w14:textId="77777777" w:rsidR="002B1A69" w:rsidRPr="00B36690" w:rsidRDefault="002B1A69" w:rsidP="00B36690">
            <w:pPr>
              <w:pStyle w:val="TableText"/>
              <w:jc w:val="right"/>
            </w:pPr>
            <w:r w:rsidRPr="00B36690">
              <w:t>4.3</w:t>
            </w:r>
          </w:p>
        </w:tc>
        <w:tc>
          <w:tcPr>
            <w:tcW w:w="496" w:type="pct"/>
          </w:tcPr>
          <w:p w14:paraId="7ABE99FE" w14:textId="77777777" w:rsidR="002B1A69" w:rsidRPr="00B36690" w:rsidRDefault="002B1A69" w:rsidP="00B36690">
            <w:pPr>
              <w:pStyle w:val="TableText"/>
              <w:jc w:val="right"/>
            </w:pPr>
            <w:r w:rsidRPr="00B36690">
              <w:t>2000</w:t>
            </w:r>
          </w:p>
        </w:tc>
        <w:tc>
          <w:tcPr>
            <w:tcW w:w="497" w:type="pct"/>
          </w:tcPr>
          <w:p w14:paraId="7D269A4F" w14:textId="77777777" w:rsidR="002B1A69" w:rsidRPr="00B36690" w:rsidRDefault="002B1A69" w:rsidP="00B36690">
            <w:pPr>
              <w:pStyle w:val="TableText"/>
              <w:jc w:val="right"/>
            </w:pPr>
            <w:r w:rsidRPr="00B36690">
              <w:t>3532</w:t>
            </w:r>
          </w:p>
        </w:tc>
      </w:tr>
      <w:tr w:rsidR="002B1A69" w:rsidRPr="006E15AF" w14:paraId="57C462F4" w14:textId="77777777" w:rsidTr="00303DF5">
        <w:trPr>
          <w:cantSplit/>
          <w:trHeight w:val="13"/>
        </w:trPr>
        <w:tc>
          <w:tcPr>
            <w:tcW w:w="882" w:type="pct"/>
            <w:vMerge/>
          </w:tcPr>
          <w:p w14:paraId="4A67A9C5" w14:textId="77777777" w:rsidR="002B1A69" w:rsidRPr="00B36690" w:rsidRDefault="002B1A69" w:rsidP="00B36690">
            <w:pPr>
              <w:pStyle w:val="TableText"/>
            </w:pPr>
          </w:p>
        </w:tc>
        <w:tc>
          <w:tcPr>
            <w:tcW w:w="662" w:type="pct"/>
            <w:vMerge/>
          </w:tcPr>
          <w:p w14:paraId="05E8CC6D" w14:textId="77777777" w:rsidR="002B1A69" w:rsidRPr="00B36690" w:rsidRDefault="002B1A69" w:rsidP="00B36690">
            <w:pPr>
              <w:pStyle w:val="TableText"/>
            </w:pPr>
          </w:p>
        </w:tc>
        <w:tc>
          <w:tcPr>
            <w:tcW w:w="809" w:type="pct"/>
          </w:tcPr>
          <w:p w14:paraId="4EF72D9D" w14:textId="77777777" w:rsidR="002B1A69" w:rsidRPr="00B36690" w:rsidRDefault="002B1A69" w:rsidP="00B36690">
            <w:pPr>
              <w:pStyle w:val="TableText"/>
            </w:pPr>
            <w:r w:rsidRPr="00B36690">
              <w:t>Small omnivore</w:t>
            </w:r>
          </w:p>
        </w:tc>
        <w:tc>
          <w:tcPr>
            <w:tcW w:w="662" w:type="pct"/>
          </w:tcPr>
          <w:p w14:paraId="7B9DCCD4" w14:textId="77777777" w:rsidR="002B1A69" w:rsidRPr="00B36690" w:rsidRDefault="002B1A69" w:rsidP="00B36690">
            <w:pPr>
              <w:pStyle w:val="TableText"/>
            </w:pPr>
            <w:r w:rsidRPr="00B36690">
              <w:t>BBCH ≥50</w:t>
            </w:r>
          </w:p>
        </w:tc>
        <w:tc>
          <w:tcPr>
            <w:tcW w:w="496" w:type="pct"/>
          </w:tcPr>
          <w:p w14:paraId="6FC7D753" w14:textId="77777777" w:rsidR="002B1A69" w:rsidRPr="00B36690" w:rsidRDefault="002B1A69" w:rsidP="00B36690">
            <w:pPr>
              <w:pStyle w:val="TableText"/>
              <w:jc w:val="right"/>
            </w:pPr>
            <w:r w:rsidRPr="00B36690">
              <w:t>5.2</w:t>
            </w:r>
          </w:p>
        </w:tc>
        <w:tc>
          <w:tcPr>
            <w:tcW w:w="496" w:type="pct"/>
          </w:tcPr>
          <w:p w14:paraId="609C8429" w14:textId="77777777" w:rsidR="002B1A69" w:rsidRPr="00B36690" w:rsidRDefault="002B1A69" w:rsidP="00B36690">
            <w:pPr>
              <w:pStyle w:val="TableText"/>
              <w:jc w:val="right"/>
            </w:pPr>
            <w:r w:rsidRPr="00B36690">
              <w:t>2.3</w:t>
            </w:r>
          </w:p>
        </w:tc>
        <w:tc>
          <w:tcPr>
            <w:tcW w:w="496" w:type="pct"/>
          </w:tcPr>
          <w:p w14:paraId="6F870038" w14:textId="77777777" w:rsidR="002B1A69" w:rsidRPr="00B36690" w:rsidRDefault="002B1A69" w:rsidP="00B36690">
            <w:pPr>
              <w:pStyle w:val="TableText"/>
              <w:jc w:val="right"/>
            </w:pPr>
            <w:r w:rsidRPr="00B36690">
              <w:t>4038</w:t>
            </w:r>
          </w:p>
        </w:tc>
        <w:tc>
          <w:tcPr>
            <w:tcW w:w="497" w:type="pct"/>
          </w:tcPr>
          <w:p w14:paraId="292050B1" w14:textId="77777777" w:rsidR="002B1A69" w:rsidRPr="00B36690" w:rsidRDefault="002B1A69" w:rsidP="00B36690">
            <w:pPr>
              <w:pStyle w:val="TableText"/>
              <w:jc w:val="right"/>
            </w:pPr>
            <w:r w:rsidRPr="00B36690">
              <w:t>6603</w:t>
            </w:r>
          </w:p>
        </w:tc>
      </w:tr>
      <w:tr w:rsidR="002B1A69" w:rsidRPr="006E15AF" w14:paraId="63544C78" w14:textId="77777777" w:rsidTr="00303DF5">
        <w:trPr>
          <w:cantSplit/>
          <w:trHeight w:val="13"/>
        </w:trPr>
        <w:tc>
          <w:tcPr>
            <w:tcW w:w="882" w:type="pct"/>
            <w:vMerge/>
          </w:tcPr>
          <w:p w14:paraId="2414FD83" w14:textId="77777777" w:rsidR="002B1A69" w:rsidRPr="00B36690" w:rsidRDefault="002B1A69" w:rsidP="00B36690">
            <w:pPr>
              <w:pStyle w:val="TableText"/>
            </w:pPr>
          </w:p>
        </w:tc>
        <w:tc>
          <w:tcPr>
            <w:tcW w:w="662" w:type="pct"/>
            <w:vMerge/>
          </w:tcPr>
          <w:p w14:paraId="544E6062" w14:textId="77777777" w:rsidR="002B1A69" w:rsidRPr="00B36690" w:rsidRDefault="002B1A69" w:rsidP="00B36690">
            <w:pPr>
              <w:pStyle w:val="TableText"/>
            </w:pPr>
          </w:p>
        </w:tc>
        <w:tc>
          <w:tcPr>
            <w:tcW w:w="809" w:type="pct"/>
          </w:tcPr>
          <w:p w14:paraId="5DD4689D" w14:textId="77777777" w:rsidR="002B1A69" w:rsidRPr="00B36690" w:rsidRDefault="002B1A69" w:rsidP="00B36690">
            <w:pPr>
              <w:pStyle w:val="TableText"/>
            </w:pPr>
          </w:p>
        </w:tc>
        <w:tc>
          <w:tcPr>
            <w:tcW w:w="662" w:type="pct"/>
          </w:tcPr>
          <w:p w14:paraId="38BE4725" w14:textId="77777777" w:rsidR="002B1A69" w:rsidRPr="00B36690" w:rsidRDefault="002B1A69" w:rsidP="00B36690">
            <w:pPr>
              <w:pStyle w:val="TableText"/>
            </w:pPr>
            <w:r w:rsidRPr="00B36690">
              <w:t>BBCH 81-99</w:t>
            </w:r>
          </w:p>
        </w:tc>
        <w:tc>
          <w:tcPr>
            <w:tcW w:w="496" w:type="pct"/>
          </w:tcPr>
          <w:p w14:paraId="76BC36CC" w14:textId="77777777" w:rsidR="002B1A69" w:rsidRPr="00B36690" w:rsidRDefault="002B1A69" w:rsidP="00B36690">
            <w:pPr>
              <w:pStyle w:val="TableText"/>
              <w:jc w:val="right"/>
            </w:pPr>
            <w:r w:rsidRPr="00B36690">
              <w:t>14.4</w:t>
            </w:r>
          </w:p>
        </w:tc>
        <w:tc>
          <w:tcPr>
            <w:tcW w:w="496" w:type="pct"/>
          </w:tcPr>
          <w:p w14:paraId="2D8F2094" w14:textId="77777777" w:rsidR="002B1A69" w:rsidRPr="00B36690" w:rsidRDefault="002B1A69" w:rsidP="00B36690">
            <w:pPr>
              <w:pStyle w:val="TableText"/>
              <w:jc w:val="right"/>
            </w:pPr>
            <w:r w:rsidRPr="00B36690">
              <w:t>6.6</w:t>
            </w:r>
          </w:p>
        </w:tc>
        <w:tc>
          <w:tcPr>
            <w:tcW w:w="496" w:type="pct"/>
          </w:tcPr>
          <w:p w14:paraId="66E199F7" w14:textId="77777777" w:rsidR="002B1A69" w:rsidRPr="00B36690" w:rsidRDefault="002B1A69" w:rsidP="00B36690">
            <w:pPr>
              <w:pStyle w:val="TableText"/>
              <w:jc w:val="right"/>
            </w:pPr>
            <w:r w:rsidRPr="00B36690">
              <w:t>1458</w:t>
            </w:r>
          </w:p>
        </w:tc>
        <w:tc>
          <w:tcPr>
            <w:tcW w:w="497" w:type="pct"/>
          </w:tcPr>
          <w:p w14:paraId="77DC8E84" w14:textId="77777777" w:rsidR="002B1A69" w:rsidRPr="00B36690" w:rsidRDefault="002B1A69" w:rsidP="00B36690">
            <w:pPr>
              <w:pStyle w:val="TableText"/>
              <w:jc w:val="right"/>
            </w:pPr>
            <w:r w:rsidRPr="00B36690">
              <w:t>2301</w:t>
            </w:r>
          </w:p>
        </w:tc>
      </w:tr>
      <w:tr w:rsidR="002B1A69" w:rsidRPr="006E15AF" w14:paraId="2A187675" w14:textId="77777777" w:rsidTr="00303DF5">
        <w:trPr>
          <w:cantSplit/>
          <w:trHeight w:val="13"/>
        </w:trPr>
        <w:tc>
          <w:tcPr>
            <w:tcW w:w="882" w:type="pct"/>
            <w:vMerge/>
            <w:tcBorders>
              <w:bottom w:val="single" w:sz="4" w:space="0" w:color="auto"/>
            </w:tcBorders>
          </w:tcPr>
          <w:p w14:paraId="340694CD" w14:textId="77777777" w:rsidR="002B1A69" w:rsidRPr="00B36690" w:rsidRDefault="002B1A69" w:rsidP="00B36690">
            <w:pPr>
              <w:pStyle w:val="TableText"/>
            </w:pPr>
          </w:p>
        </w:tc>
        <w:tc>
          <w:tcPr>
            <w:tcW w:w="662" w:type="pct"/>
            <w:vMerge/>
            <w:tcBorders>
              <w:bottom w:val="single" w:sz="4" w:space="0" w:color="auto"/>
            </w:tcBorders>
          </w:tcPr>
          <w:p w14:paraId="7B8743F3" w14:textId="77777777" w:rsidR="002B1A69" w:rsidRPr="00B36690" w:rsidRDefault="002B1A69" w:rsidP="00B36690">
            <w:pPr>
              <w:pStyle w:val="TableText"/>
            </w:pPr>
          </w:p>
        </w:tc>
        <w:tc>
          <w:tcPr>
            <w:tcW w:w="809" w:type="pct"/>
            <w:tcBorders>
              <w:bottom w:val="single" w:sz="4" w:space="0" w:color="auto"/>
            </w:tcBorders>
          </w:tcPr>
          <w:p w14:paraId="0F46CC6C"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2A1D0A8D" w14:textId="77777777" w:rsidR="002B1A69" w:rsidRPr="00B36690" w:rsidRDefault="002B1A69" w:rsidP="00B36690">
            <w:pPr>
              <w:pStyle w:val="TableText"/>
            </w:pPr>
            <w:r w:rsidRPr="00B36690">
              <w:t>BBCH ≥20</w:t>
            </w:r>
          </w:p>
        </w:tc>
        <w:tc>
          <w:tcPr>
            <w:tcW w:w="496" w:type="pct"/>
            <w:tcBorders>
              <w:bottom w:val="single" w:sz="4" w:space="0" w:color="auto"/>
            </w:tcBorders>
          </w:tcPr>
          <w:p w14:paraId="372A895B"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75E4427E"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50D7E531"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058067BD" w14:textId="77777777" w:rsidR="002B1A69" w:rsidRPr="00B36690" w:rsidRDefault="002B1A69" w:rsidP="00B36690">
            <w:pPr>
              <w:pStyle w:val="TableText"/>
              <w:jc w:val="right"/>
            </w:pPr>
            <w:r w:rsidRPr="00B36690">
              <w:t>7993</w:t>
            </w:r>
          </w:p>
        </w:tc>
      </w:tr>
      <w:tr w:rsidR="002B1A69" w:rsidRPr="006E15AF" w14:paraId="32F3F064" w14:textId="77777777" w:rsidTr="00303DF5">
        <w:trPr>
          <w:cantSplit/>
          <w:trHeight w:val="13"/>
        </w:trPr>
        <w:tc>
          <w:tcPr>
            <w:tcW w:w="882" w:type="pct"/>
            <w:vMerge w:val="restart"/>
            <w:tcBorders>
              <w:top w:val="single" w:sz="4" w:space="0" w:color="auto"/>
            </w:tcBorders>
          </w:tcPr>
          <w:p w14:paraId="07853435" w14:textId="77777777" w:rsidR="002B1A69" w:rsidRPr="00B36690" w:rsidRDefault="002B1A69" w:rsidP="00B36690">
            <w:pPr>
              <w:pStyle w:val="TableText"/>
            </w:pPr>
            <w:r w:rsidRPr="00B36690">
              <w:t>Pre-harvest desiccation in sunflower</w:t>
            </w:r>
          </w:p>
        </w:tc>
        <w:tc>
          <w:tcPr>
            <w:tcW w:w="662" w:type="pct"/>
            <w:vMerge w:val="restart"/>
            <w:tcBorders>
              <w:top w:val="single" w:sz="4" w:space="0" w:color="auto"/>
            </w:tcBorders>
          </w:tcPr>
          <w:p w14:paraId="1C309698" w14:textId="77777777" w:rsidR="002B1A69" w:rsidRPr="00B36690" w:rsidRDefault="002B1A69" w:rsidP="00B36690">
            <w:pPr>
              <w:pStyle w:val="TableText"/>
            </w:pPr>
            <w:r w:rsidRPr="00B36690">
              <w:t>Sunflower</w:t>
            </w:r>
          </w:p>
        </w:tc>
        <w:tc>
          <w:tcPr>
            <w:tcW w:w="809" w:type="pct"/>
            <w:tcBorders>
              <w:top w:val="single" w:sz="4" w:space="0" w:color="auto"/>
            </w:tcBorders>
          </w:tcPr>
          <w:p w14:paraId="0F0E07AF"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28497C79" w14:textId="77777777" w:rsidR="002B1A69" w:rsidRPr="00B36690" w:rsidRDefault="002B1A69" w:rsidP="00B36690">
            <w:pPr>
              <w:pStyle w:val="TableText"/>
            </w:pPr>
            <w:r w:rsidRPr="00B36690">
              <w:t>BBCH ≥40</w:t>
            </w:r>
          </w:p>
        </w:tc>
        <w:tc>
          <w:tcPr>
            <w:tcW w:w="496" w:type="pct"/>
            <w:tcBorders>
              <w:top w:val="single" w:sz="4" w:space="0" w:color="auto"/>
            </w:tcBorders>
          </w:tcPr>
          <w:p w14:paraId="2638F4C4" w14:textId="77777777" w:rsidR="002B1A69" w:rsidRPr="00B36690" w:rsidRDefault="002B1A69" w:rsidP="00B36690">
            <w:pPr>
              <w:pStyle w:val="TableText"/>
              <w:jc w:val="right"/>
            </w:pPr>
            <w:r w:rsidRPr="00B36690">
              <w:t>34.1</w:t>
            </w:r>
          </w:p>
        </w:tc>
        <w:tc>
          <w:tcPr>
            <w:tcW w:w="496" w:type="pct"/>
            <w:tcBorders>
              <w:top w:val="single" w:sz="4" w:space="0" w:color="auto"/>
            </w:tcBorders>
          </w:tcPr>
          <w:p w14:paraId="7212CFA1" w14:textId="77777777" w:rsidR="002B1A69" w:rsidRPr="00B36690" w:rsidRDefault="002B1A69" w:rsidP="00B36690">
            <w:pPr>
              <w:pStyle w:val="TableText"/>
              <w:jc w:val="right"/>
            </w:pPr>
            <w:r w:rsidRPr="00B36690">
              <w:t>18.1</w:t>
            </w:r>
          </w:p>
        </w:tc>
        <w:tc>
          <w:tcPr>
            <w:tcW w:w="496" w:type="pct"/>
            <w:tcBorders>
              <w:top w:val="single" w:sz="4" w:space="0" w:color="auto"/>
            </w:tcBorders>
          </w:tcPr>
          <w:p w14:paraId="56B437D1" w14:textId="77777777" w:rsidR="002B1A69" w:rsidRPr="00B36690" w:rsidRDefault="002B1A69" w:rsidP="00B36690">
            <w:pPr>
              <w:pStyle w:val="TableText"/>
              <w:jc w:val="right"/>
            </w:pPr>
            <w:r w:rsidRPr="00B36690">
              <w:t>616</w:t>
            </w:r>
          </w:p>
        </w:tc>
        <w:tc>
          <w:tcPr>
            <w:tcW w:w="497" w:type="pct"/>
            <w:tcBorders>
              <w:top w:val="single" w:sz="4" w:space="0" w:color="auto"/>
            </w:tcBorders>
          </w:tcPr>
          <w:p w14:paraId="5ACE2F28" w14:textId="77777777" w:rsidR="002B1A69" w:rsidRPr="00B36690" w:rsidRDefault="002B1A69" w:rsidP="00B36690">
            <w:pPr>
              <w:pStyle w:val="TableText"/>
              <w:jc w:val="right"/>
            </w:pPr>
            <w:r w:rsidRPr="00B36690">
              <w:t>839</w:t>
            </w:r>
          </w:p>
        </w:tc>
      </w:tr>
      <w:tr w:rsidR="002B1A69" w:rsidRPr="006E15AF" w14:paraId="10D42DEB" w14:textId="77777777" w:rsidTr="00303DF5">
        <w:trPr>
          <w:cantSplit/>
          <w:trHeight w:val="13"/>
        </w:trPr>
        <w:tc>
          <w:tcPr>
            <w:tcW w:w="882" w:type="pct"/>
            <w:vMerge/>
          </w:tcPr>
          <w:p w14:paraId="535A0485" w14:textId="77777777" w:rsidR="002B1A69" w:rsidRPr="00B36690" w:rsidRDefault="002B1A69" w:rsidP="00B36690">
            <w:pPr>
              <w:pStyle w:val="TableText"/>
            </w:pPr>
          </w:p>
        </w:tc>
        <w:tc>
          <w:tcPr>
            <w:tcW w:w="662" w:type="pct"/>
            <w:vMerge/>
          </w:tcPr>
          <w:p w14:paraId="3F6C3423" w14:textId="77777777" w:rsidR="002B1A69" w:rsidRPr="00B36690" w:rsidRDefault="002B1A69" w:rsidP="00B36690">
            <w:pPr>
              <w:pStyle w:val="TableText"/>
            </w:pPr>
          </w:p>
        </w:tc>
        <w:tc>
          <w:tcPr>
            <w:tcW w:w="809" w:type="pct"/>
          </w:tcPr>
          <w:p w14:paraId="35190A0B" w14:textId="77777777" w:rsidR="002B1A69" w:rsidRPr="00B36690" w:rsidRDefault="002B1A69" w:rsidP="00B36690">
            <w:pPr>
              <w:pStyle w:val="TableText"/>
            </w:pPr>
            <w:r w:rsidRPr="00B36690">
              <w:t>Large herbivore</w:t>
            </w:r>
          </w:p>
        </w:tc>
        <w:tc>
          <w:tcPr>
            <w:tcW w:w="662" w:type="pct"/>
          </w:tcPr>
          <w:p w14:paraId="1CA30DFB" w14:textId="77777777" w:rsidR="002B1A69" w:rsidRPr="00B36690" w:rsidRDefault="002B1A69" w:rsidP="00B36690">
            <w:pPr>
              <w:pStyle w:val="TableText"/>
            </w:pPr>
            <w:r w:rsidRPr="00B36690">
              <w:t>BBCH ≥40</w:t>
            </w:r>
          </w:p>
        </w:tc>
        <w:tc>
          <w:tcPr>
            <w:tcW w:w="496" w:type="pct"/>
          </w:tcPr>
          <w:p w14:paraId="365C22B0" w14:textId="77777777" w:rsidR="002B1A69" w:rsidRPr="00B36690" w:rsidRDefault="002B1A69" w:rsidP="00B36690">
            <w:pPr>
              <w:pStyle w:val="TableText"/>
              <w:jc w:val="right"/>
            </w:pPr>
            <w:r w:rsidRPr="00B36690">
              <w:t>8.8</w:t>
            </w:r>
          </w:p>
        </w:tc>
        <w:tc>
          <w:tcPr>
            <w:tcW w:w="496" w:type="pct"/>
          </w:tcPr>
          <w:p w14:paraId="07AB7EE0" w14:textId="77777777" w:rsidR="002B1A69" w:rsidRPr="00B36690" w:rsidRDefault="002B1A69" w:rsidP="00B36690">
            <w:pPr>
              <w:pStyle w:val="TableText"/>
              <w:jc w:val="right"/>
            </w:pPr>
            <w:r w:rsidRPr="00B36690">
              <w:t>3.6</w:t>
            </w:r>
          </w:p>
        </w:tc>
        <w:tc>
          <w:tcPr>
            <w:tcW w:w="496" w:type="pct"/>
          </w:tcPr>
          <w:p w14:paraId="592F0F0C" w14:textId="77777777" w:rsidR="002B1A69" w:rsidRPr="00B36690" w:rsidRDefault="002B1A69" w:rsidP="00B36690">
            <w:pPr>
              <w:pStyle w:val="TableText"/>
              <w:jc w:val="right"/>
            </w:pPr>
            <w:r w:rsidRPr="00B36690">
              <w:t>2386</w:t>
            </w:r>
          </w:p>
        </w:tc>
        <w:tc>
          <w:tcPr>
            <w:tcW w:w="497" w:type="pct"/>
          </w:tcPr>
          <w:p w14:paraId="7D61179F" w14:textId="77777777" w:rsidR="002B1A69" w:rsidRPr="00B36690" w:rsidRDefault="002B1A69" w:rsidP="00B36690">
            <w:pPr>
              <w:pStyle w:val="TableText"/>
              <w:jc w:val="right"/>
            </w:pPr>
            <w:r w:rsidRPr="00B36690">
              <w:t>4219</w:t>
            </w:r>
          </w:p>
        </w:tc>
      </w:tr>
      <w:tr w:rsidR="002B1A69" w:rsidRPr="006E15AF" w14:paraId="2AA204E4" w14:textId="77777777" w:rsidTr="00303DF5">
        <w:trPr>
          <w:cantSplit/>
          <w:trHeight w:val="13"/>
        </w:trPr>
        <w:tc>
          <w:tcPr>
            <w:tcW w:w="882" w:type="pct"/>
            <w:vMerge/>
          </w:tcPr>
          <w:p w14:paraId="36F24D4A" w14:textId="77777777" w:rsidR="002B1A69" w:rsidRPr="00B36690" w:rsidRDefault="002B1A69" w:rsidP="00B36690">
            <w:pPr>
              <w:pStyle w:val="TableText"/>
            </w:pPr>
          </w:p>
        </w:tc>
        <w:tc>
          <w:tcPr>
            <w:tcW w:w="662" w:type="pct"/>
            <w:vMerge/>
          </w:tcPr>
          <w:p w14:paraId="088BDD36" w14:textId="77777777" w:rsidR="002B1A69" w:rsidRPr="00B36690" w:rsidRDefault="002B1A69" w:rsidP="00B36690">
            <w:pPr>
              <w:pStyle w:val="TableText"/>
            </w:pPr>
          </w:p>
        </w:tc>
        <w:tc>
          <w:tcPr>
            <w:tcW w:w="809" w:type="pct"/>
          </w:tcPr>
          <w:p w14:paraId="78B22579" w14:textId="77777777" w:rsidR="002B1A69" w:rsidRPr="00B36690" w:rsidRDefault="002B1A69" w:rsidP="00B36690">
            <w:pPr>
              <w:pStyle w:val="TableText"/>
            </w:pPr>
            <w:r w:rsidRPr="00B36690">
              <w:t>Small omnivore</w:t>
            </w:r>
          </w:p>
        </w:tc>
        <w:tc>
          <w:tcPr>
            <w:tcW w:w="662" w:type="pct"/>
          </w:tcPr>
          <w:p w14:paraId="65549063" w14:textId="77777777" w:rsidR="002B1A69" w:rsidRPr="00B36690" w:rsidRDefault="002B1A69" w:rsidP="00B36690">
            <w:pPr>
              <w:pStyle w:val="TableText"/>
            </w:pPr>
            <w:r w:rsidRPr="00B36690">
              <w:t>BBCH ≥40</w:t>
            </w:r>
          </w:p>
        </w:tc>
        <w:tc>
          <w:tcPr>
            <w:tcW w:w="496" w:type="pct"/>
          </w:tcPr>
          <w:p w14:paraId="78340280" w14:textId="77777777" w:rsidR="002B1A69" w:rsidRPr="00B36690" w:rsidRDefault="002B1A69" w:rsidP="00B36690">
            <w:pPr>
              <w:pStyle w:val="TableText"/>
              <w:jc w:val="right"/>
            </w:pPr>
            <w:r w:rsidRPr="00B36690">
              <w:t>4.3</w:t>
            </w:r>
          </w:p>
        </w:tc>
        <w:tc>
          <w:tcPr>
            <w:tcW w:w="496" w:type="pct"/>
          </w:tcPr>
          <w:p w14:paraId="7E50CED9" w14:textId="77777777" w:rsidR="002B1A69" w:rsidRPr="00B36690" w:rsidRDefault="002B1A69" w:rsidP="00B36690">
            <w:pPr>
              <w:pStyle w:val="TableText"/>
              <w:jc w:val="right"/>
            </w:pPr>
            <w:r w:rsidRPr="00B36690">
              <w:t>1.9</w:t>
            </w:r>
          </w:p>
        </w:tc>
        <w:tc>
          <w:tcPr>
            <w:tcW w:w="496" w:type="pct"/>
          </w:tcPr>
          <w:p w14:paraId="7D1C5FD4" w14:textId="77777777" w:rsidR="002B1A69" w:rsidRPr="00B36690" w:rsidRDefault="002B1A69" w:rsidP="00B36690">
            <w:pPr>
              <w:pStyle w:val="TableText"/>
              <w:jc w:val="right"/>
            </w:pPr>
            <w:r w:rsidRPr="00B36690">
              <w:t>4884</w:t>
            </w:r>
          </w:p>
        </w:tc>
        <w:tc>
          <w:tcPr>
            <w:tcW w:w="497" w:type="pct"/>
          </w:tcPr>
          <w:p w14:paraId="449531BD" w14:textId="77777777" w:rsidR="002B1A69" w:rsidRPr="00B36690" w:rsidRDefault="002B1A69" w:rsidP="00B36690">
            <w:pPr>
              <w:pStyle w:val="TableText"/>
              <w:jc w:val="right"/>
            </w:pPr>
            <w:r w:rsidRPr="00B36690">
              <w:t>7993</w:t>
            </w:r>
          </w:p>
        </w:tc>
      </w:tr>
      <w:tr w:rsidR="002B1A69" w:rsidRPr="006E15AF" w14:paraId="54F330D8" w14:textId="77777777" w:rsidTr="00303DF5">
        <w:trPr>
          <w:cantSplit/>
          <w:trHeight w:val="13"/>
        </w:trPr>
        <w:tc>
          <w:tcPr>
            <w:tcW w:w="882" w:type="pct"/>
            <w:vMerge/>
            <w:tcBorders>
              <w:bottom w:val="single" w:sz="4" w:space="0" w:color="auto"/>
            </w:tcBorders>
          </w:tcPr>
          <w:p w14:paraId="24A26184" w14:textId="77777777" w:rsidR="002B1A69" w:rsidRPr="00B36690" w:rsidRDefault="002B1A69" w:rsidP="00B36690">
            <w:pPr>
              <w:pStyle w:val="TableText"/>
            </w:pPr>
          </w:p>
        </w:tc>
        <w:tc>
          <w:tcPr>
            <w:tcW w:w="662" w:type="pct"/>
            <w:vMerge/>
            <w:tcBorders>
              <w:bottom w:val="single" w:sz="4" w:space="0" w:color="auto"/>
            </w:tcBorders>
          </w:tcPr>
          <w:p w14:paraId="0483D1C2" w14:textId="77777777" w:rsidR="002B1A69" w:rsidRPr="00B36690" w:rsidRDefault="002B1A69" w:rsidP="00B36690">
            <w:pPr>
              <w:pStyle w:val="TableText"/>
            </w:pPr>
          </w:p>
        </w:tc>
        <w:tc>
          <w:tcPr>
            <w:tcW w:w="809" w:type="pct"/>
            <w:tcBorders>
              <w:bottom w:val="single" w:sz="4" w:space="0" w:color="auto"/>
            </w:tcBorders>
          </w:tcPr>
          <w:p w14:paraId="5012B9EC" w14:textId="77777777" w:rsidR="002B1A69" w:rsidRPr="00B36690" w:rsidRDefault="002B1A69" w:rsidP="00B36690">
            <w:pPr>
              <w:pStyle w:val="TableText"/>
            </w:pPr>
            <w:r w:rsidRPr="00B36690">
              <w:t>Small insectivore</w:t>
            </w:r>
          </w:p>
        </w:tc>
        <w:tc>
          <w:tcPr>
            <w:tcW w:w="662" w:type="pct"/>
            <w:tcBorders>
              <w:bottom w:val="single" w:sz="4" w:space="0" w:color="auto"/>
            </w:tcBorders>
          </w:tcPr>
          <w:p w14:paraId="79736048" w14:textId="77777777" w:rsidR="002B1A69" w:rsidRPr="00B36690" w:rsidRDefault="002B1A69" w:rsidP="00B36690">
            <w:pPr>
              <w:pStyle w:val="TableText"/>
            </w:pPr>
            <w:r w:rsidRPr="00B36690">
              <w:t>BBCH ≥20</w:t>
            </w:r>
          </w:p>
        </w:tc>
        <w:tc>
          <w:tcPr>
            <w:tcW w:w="496" w:type="pct"/>
            <w:tcBorders>
              <w:bottom w:val="single" w:sz="4" w:space="0" w:color="auto"/>
            </w:tcBorders>
          </w:tcPr>
          <w:p w14:paraId="5A41AA48" w14:textId="77777777" w:rsidR="002B1A69" w:rsidRPr="00B36690" w:rsidRDefault="002B1A69" w:rsidP="00B36690">
            <w:pPr>
              <w:pStyle w:val="TableText"/>
              <w:jc w:val="right"/>
            </w:pPr>
            <w:r w:rsidRPr="00B36690">
              <w:t>5.4</w:t>
            </w:r>
          </w:p>
        </w:tc>
        <w:tc>
          <w:tcPr>
            <w:tcW w:w="496" w:type="pct"/>
            <w:tcBorders>
              <w:bottom w:val="single" w:sz="4" w:space="0" w:color="auto"/>
            </w:tcBorders>
          </w:tcPr>
          <w:p w14:paraId="242E7D60" w14:textId="77777777" w:rsidR="002B1A69" w:rsidRPr="00B36690" w:rsidRDefault="002B1A69" w:rsidP="00B36690">
            <w:pPr>
              <w:pStyle w:val="TableText"/>
              <w:jc w:val="right"/>
            </w:pPr>
            <w:r w:rsidRPr="00B36690">
              <w:t>1.9</w:t>
            </w:r>
          </w:p>
        </w:tc>
        <w:tc>
          <w:tcPr>
            <w:tcW w:w="496" w:type="pct"/>
            <w:tcBorders>
              <w:bottom w:val="single" w:sz="4" w:space="0" w:color="auto"/>
            </w:tcBorders>
          </w:tcPr>
          <w:p w14:paraId="268C90F6" w14:textId="77777777" w:rsidR="002B1A69" w:rsidRPr="00B36690" w:rsidRDefault="002B1A69" w:rsidP="00B36690">
            <w:pPr>
              <w:pStyle w:val="TableText"/>
              <w:jc w:val="right"/>
            </w:pPr>
            <w:r w:rsidRPr="00B36690">
              <w:t>3889</w:t>
            </w:r>
          </w:p>
        </w:tc>
        <w:tc>
          <w:tcPr>
            <w:tcW w:w="497" w:type="pct"/>
            <w:tcBorders>
              <w:bottom w:val="single" w:sz="4" w:space="0" w:color="auto"/>
            </w:tcBorders>
          </w:tcPr>
          <w:p w14:paraId="79A1F2F9" w14:textId="77777777" w:rsidR="002B1A69" w:rsidRPr="00B36690" w:rsidRDefault="002B1A69" w:rsidP="00B36690">
            <w:pPr>
              <w:pStyle w:val="TableText"/>
              <w:jc w:val="right"/>
            </w:pPr>
            <w:r w:rsidRPr="00B36690">
              <w:t>7993</w:t>
            </w:r>
          </w:p>
        </w:tc>
      </w:tr>
      <w:tr w:rsidR="002B1A69" w:rsidRPr="00DB693A" w14:paraId="628BFF1E" w14:textId="77777777" w:rsidTr="00303DF5">
        <w:trPr>
          <w:cantSplit/>
          <w:trHeight w:val="13"/>
        </w:trPr>
        <w:tc>
          <w:tcPr>
            <w:tcW w:w="882" w:type="pct"/>
            <w:vMerge w:val="restart"/>
            <w:tcBorders>
              <w:top w:val="single" w:sz="4" w:space="0" w:color="auto"/>
            </w:tcBorders>
          </w:tcPr>
          <w:p w14:paraId="10A5A803" w14:textId="77777777" w:rsidR="002B1A69" w:rsidRPr="00B36690" w:rsidRDefault="002B1A69" w:rsidP="00B36690">
            <w:pPr>
              <w:pStyle w:val="TableText"/>
            </w:pPr>
            <w:r w:rsidRPr="00B36690">
              <w:t>General weed control in vineyards</w:t>
            </w:r>
          </w:p>
        </w:tc>
        <w:tc>
          <w:tcPr>
            <w:tcW w:w="662" w:type="pct"/>
            <w:vMerge w:val="restart"/>
            <w:tcBorders>
              <w:top w:val="single" w:sz="4" w:space="0" w:color="auto"/>
            </w:tcBorders>
          </w:tcPr>
          <w:p w14:paraId="3E2B30E4" w14:textId="77777777" w:rsidR="002B1A69" w:rsidRPr="00B36690" w:rsidRDefault="002B1A69" w:rsidP="00B36690">
            <w:pPr>
              <w:pStyle w:val="TableText"/>
            </w:pPr>
            <w:r w:rsidRPr="00B36690">
              <w:t>Vineyards</w:t>
            </w:r>
          </w:p>
        </w:tc>
        <w:tc>
          <w:tcPr>
            <w:tcW w:w="809" w:type="pct"/>
            <w:tcBorders>
              <w:top w:val="single" w:sz="4" w:space="0" w:color="auto"/>
            </w:tcBorders>
          </w:tcPr>
          <w:p w14:paraId="19FF5E57" w14:textId="77777777" w:rsidR="002B1A69" w:rsidRPr="00B36690" w:rsidRDefault="002B1A69" w:rsidP="00B36690">
            <w:pPr>
              <w:pStyle w:val="TableText"/>
            </w:pPr>
            <w:r w:rsidRPr="00B36690">
              <w:t>Small herbivore</w:t>
            </w:r>
          </w:p>
        </w:tc>
        <w:tc>
          <w:tcPr>
            <w:tcW w:w="662" w:type="pct"/>
            <w:tcBorders>
              <w:top w:val="single" w:sz="4" w:space="0" w:color="auto"/>
            </w:tcBorders>
          </w:tcPr>
          <w:p w14:paraId="74D2FC54" w14:textId="77777777" w:rsidR="002B1A69" w:rsidRPr="00B36690" w:rsidRDefault="002B1A69" w:rsidP="00B36690">
            <w:pPr>
              <w:pStyle w:val="TableText"/>
            </w:pPr>
            <w:r w:rsidRPr="00B36690">
              <w:t>Ground directed</w:t>
            </w:r>
          </w:p>
        </w:tc>
        <w:tc>
          <w:tcPr>
            <w:tcW w:w="496" w:type="pct"/>
            <w:tcBorders>
              <w:top w:val="single" w:sz="4" w:space="0" w:color="auto"/>
            </w:tcBorders>
          </w:tcPr>
          <w:p w14:paraId="5D2722B7" w14:textId="77777777" w:rsidR="002B1A69" w:rsidRPr="00B36690" w:rsidRDefault="002B1A69" w:rsidP="00B36690">
            <w:pPr>
              <w:pStyle w:val="TableText"/>
              <w:jc w:val="right"/>
            </w:pPr>
            <w:r w:rsidRPr="00B36690">
              <w:t>136.4</w:t>
            </w:r>
          </w:p>
        </w:tc>
        <w:tc>
          <w:tcPr>
            <w:tcW w:w="496" w:type="pct"/>
            <w:tcBorders>
              <w:top w:val="single" w:sz="4" w:space="0" w:color="auto"/>
            </w:tcBorders>
          </w:tcPr>
          <w:p w14:paraId="416BBE97" w14:textId="77777777" w:rsidR="002B1A69" w:rsidRPr="00B36690" w:rsidRDefault="002B1A69" w:rsidP="00B36690">
            <w:pPr>
              <w:pStyle w:val="TableText"/>
              <w:jc w:val="right"/>
            </w:pPr>
            <w:r w:rsidRPr="00B36690">
              <w:t>72.3</w:t>
            </w:r>
          </w:p>
        </w:tc>
        <w:tc>
          <w:tcPr>
            <w:tcW w:w="496" w:type="pct"/>
            <w:tcBorders>
              <w:top w:val="single" w:sz="4" w:space="0" w:color="auto"/>
            </w:tcBorders>
            <w:shd w:val="clear" w:color="auto" w:fill="FF0000"/>
          </w:tcPr>
          <w:p w14:paraId="5D7B8736" w14:textId="77777777" w:rsidR="002B1A69" w:rsidRPr="00B36690" w:rsidRDefault="002B1A69" w:rsidP="00B36690">
            <w:pPr>
              <w:pStyle w:val="TableText"/>
              <w:jc w:val="right"/>
            </w:pPr>
            <w:r w:rsidRPr="00B36690">
              <w:t>154</w:t>
            </w:r>
          </w:p>
        </w:tc>
        <w:tc>
          <w:tcPr>
            <w:tcW w:w="497" w:type="pct"/>
            <w:tcBorders>
              <w:top w:val="single" w:sz="4" w:space="0" w:color="auto"/>
            </w:tcBorders>
            <w:shd w:val="clear" w:color="auto" w:fill="FF0000"/>
          </w:tcPr>
          <w:p w14:paraId="66FF1315" w14:textId="77777777" w:rsidR="002B1A69" w:rsidRPr="00B36690" w:rsidRDefault="002B1A69" w:rsidP="00B36690">
            <w:pPr>
              <w:pStyle w:val="TableText"/>
              <w:jc w:val="right"/>
            </w:pPr>
            <w:r w:rsidRPr="00B36690">
              <w:t>210</w:t>
            </w:r>
          </w:p>
        </w:tc>
      </w:tr>
      <w:tr w:rsidR="002B1A69" w:rsidRPr="006E15AF" w14:paraId="4D0F95DA" w14:textId="77777777" w:rsidTr="00303DF5">
        <w:trPr>
          <w:cantSplit/>
          <w:trHeight w:val="13"/>
        </w:trPr>
        <w:tc>
          <w:tcPr>
            <w:tcW w:w="882" w:type="pct"/>
            <w:vMerge/>
          </w:tcPr>
          <w:p w14:paraId="2FC710B8" w14:textId="77777777" w:rsidR="002B1A69" w:rsidRPr="00B36690" w:rsidRDefault="002B1A69" w:rsidP="00B36690">
            <w:pPr>
              <w:pStyle w:val="TableText"/>
            </w:pPr>
          </w:p>
        </w:tc>
        <w:tc>
          <w:tcPr>
            <w:tcW w:w="662" w:type="pct"/>
            <w:vMerge/>
          </w:tcPr>
          <w:p w14:paraId="02D92F20" w14:textId="77777777" w:rsidR="002B1A69" w:rsidRPr="00B36690" w:rsidRDefault="002B1A69" w:rsidP="00B36690">
            <w:pPr>
              <w:pStyle w:val="TableText"/>
            </w:pPr>
          </w:p>
        </w:tc>
        <w:tc>
          <w:tcPr>
            <w:tcW w:w="809" w:type="pct"/>
          </w:tcPr>
          <w:p w14:paraId="60F18EA7" w14:textId="77777777" w:rsidR="002B1A69" w:rsidRPr="00B36690" w:rsidRDefault="002B1A69" w:rsidP="00B36690">
            <w:pPr>
              <w:pStyle w:val="TableText"/>
            </w:pPr>
            <w:r w:rsidRPr="00B36690">
              <w:t>Large herbivore</w:t>
            </w:r>
          </w:p>
        </w:tc>
        <w:tc>
          <w:tcPr>
            <w:tcW w:w="662" w:type="pct"/>
          </w:tcPr>
          <w:p w14:paraId="2DFA8712" w14:textId="77777777" w:rsidR="002B1A69" w:rsidRPr="00B36690" w:rsidRDefault="002B1A69" w:rsidP="00B36690">
            <w:pPr>
              <w:pStyle w:val="TableText"/>
            </w:pPr>
            <w:r w:rsidRPr="00B36690">
              <w:t>Ground directed</w:t>
            </w:r>
          </w:p>
        </w:tc>
        <w:tc>
          <w:tcPr>
            <w:tcW w:w="496" w:type="pct"/>
          </w:tcPr>
          <w:p w14:paraId="7F1C8551" w14:textId="77777777" w:rsidR="002B1A69" w:rsidRPr="00B36690" w:rsidRDefault="002B1A69" w:rsidP="00B36690">
            <w:pPr>
              <w:pStyle w:val="TableText"/>
              <w:jc w:val="right"/>
            </w:pPr>
            <w:r w:rsidRPr="00B36690">
              <w:t>27.2</w:t>
            </w:r>
          </w:p>
        </w:tc>
        <w:tc>
          <w:tcPr>
            <w:tcW w:w="496" w:type="pct"/>
          </w:tcPr>
          <w:p w14:paraId="04337515" w14:textId="77777777" w:rsidR="002B1A69" w:rsidRPr="00B36690" w:rsidRDefault="002B1A69" w:rsidP="00B36690">
            <w:pPr>
              <w:pStyle w:val="TableText"/>
              <w:jc w:val="right"/>
            </w:pPr>
            <w:r w:rsidRPr="00B36690">
              <w:t>11.1</w:t>
            </w:r>
          </w:p>
        </w:tc>
        <w:tc>
          <w:tcPr>
            <w:tcW w:w="496" w:type="pct"/>
          </w:tcPr>
          <w:p w14:paraId="451F5576" w14:textId="77777777" w:rsidR="002B1A69" w:rsidRPr="00B36690" w:rsidRDefault="002B1A69" w:rsidP="00B36690">
            <w:pPr>
              <w:pStyle w:val="TableText"/>
              <w:jc w:val="right"/>
            </w:pPr>
            <w:r w:rsidRPr="00B36690">
              <w:t>772</w:t>
            </w:r>
          </w:p>
        </w:tc>
        <w:tc>
          <w:tcPr>
            <w:tcW w:w="497" w:type="pct"/>
          </w:tcPr>
          <w:p w14:paraId="5E1E577F" w14:textId="77777777" w:rsidR="002B1A69" w:rsidRPr="00B36690" w:rsidRDefault="002B1A69" w:rsidP="00B36690">
            <w:pPr>
              <w:pStyle w:val="TableText"/>
              <w:jc w:val="right"/>
            </w:pPr>
            <w:r w:rsidRPr="00B36690">
              <w:t>1368</w:t>
            </w:r>
          </w:p>
        </w:tc>
      </w:tr>
      <w:tr w:rsidR="002B1A69" w:rsidRPr="006E15AF" w14:paraId="4CCECFF3" w14:textId="77777777" w:rsidTr="00303DF5">
        <w:trPr>
          <w:cantSplit/>
          <w:trHeight w:val="13"/>
        </w:trPr>
        <w:tc>
          <w:tcPr>
            <w:tcW w:w="882" w:type="pct"/>
            <w:vMerge/>
            <w:tcBorders>
              <w:bottom w:val="single" w:sz="4" w:space="0" w:color="auto"/>
            </w:tcBorders>
          </w:tcPr>
          <w:p w14:paraId="69F4A98E" w14:textId="77777777" w:rsidR="002B1A69" w:rsidRPr="00B36690" w:rsidRDefault="002B1A69" w:rsidP="00B36690">
            <w:pPr>
              <w:pStyle w:val="TableText"/>
            </w:pPr>
          </w:p>
        </w:tc>
        <w:tc>
          <w:tcPr>
            <w:tcW w:w="662" w:type="pct"/>
            <w:vMerge/>
            <w:tcBorders>
              <w:bottom w:val="single" w:sz="4" w:space="0" w:color="auto"/>
            </w:tcBorders>
          </w:tcPr>
          <w:p w14:paraId="6A1992DC" w14:textId="77777777" w:rsidR="002B1A69" w:rsidRPr="00B36690" w:rsidRDefault="002B1A69" w:rsidP="00B36690">
            <w:pPr>
              <w:pStyle w:val="TableText"/>
            </w:pPr>
          </w:p>
        </w:tc>
        <w:tc>
          <w:tcPr>
            <w:tcW w:w="809" w:type="pct"/>
            <w:tcBorders>
              <w:bottom w:val="single" w:sz="4" w:space="0" w:color="auto"/>
            </w:tcBorders>
          </w:tcPr>
          <w:p w14:paraId="7223FFCC" w14:textId="77777777" w:rsidR="002B1A69" w:rsidRPr="00B36690" w:rsidRDefault="002B1A69" w:rsidP="00B36690">
            <w:pPr>
              <w:pStyle w:val="TableText"/>
            </w:pPr>
            <w:r w:rsidRPr="00B36690">
              <w:t>Small omnivore</w:t>
            </w:r>
          </w:p>
        </w:tc>
        <w:tc>
          <w:tcPr>
            <w:tcW w:w="662" w:type="pct"/>
            <w:tcBorders>
              <w:bottom w:val="single" w:sz="4" w:space="0" w:color="auto"/>
            </w:tcBorders>
          </w:tcPr>
          <w:p w14:paraId="6A193B4E" w14:textId="77777777" w:rsidR="002B1A69" w:rsidRPr="00B36690" w:rsidRDefault="002B1A69" w:rsidP="00B36690">
            <w:pPr>
              <w:pStyle w:val="TableText"/>
            </w:pPr>
            <w:r w:rsidRPr="00B36690">
              <w:t>Ground directed</w:t>
            </w:r>
          </w:p>
        </w:tc>
        <w:tc>
          <w:tcPr>
            <w:tcW w:w="496" w:type="pct"/>
            <w:tcBorders>
              <w:bottom w:val="single" w:sz="4" w:space="0" w:color="auto"/>
            </w:tcBorders>
          </w:tcPr>
          <w:p w14:paraId="65050576" w14:textId="77777777" w:rsidR="002B1A69" w:rsidRPr="00B36690" w:rsidRDefault="002B1A69" w:rsidP="00B36690">
            <w:pPr>
              <w:pStyle w:val="TableText"/>
              <w:jc w:val="right"/>
            </w:pPr>
            <w:r w:rsidRPr="00B36690">
              <w:t>17.2</w:t>
            </w:r>
          </w:p>
        </w:tc>
        <w:tc>
          <w:tcPr>
            <w:tcW w:w="496" w:type="pct"/>
            <w:tcBorders>
              <w:bottom w:val="single" w:sz="4" w:space="0" w:color="auto"/>
            </w:tcBorders>
          </w:tcPr>
          <w:p w14:paraId="0CAF6FD0" w14:textId="77777777" w:rsidR="002B1A69" w:rsidRPr="00B36690" w:rsidRDefault="002B1A69" w:rsidP="00B36690">
            <w:pPr>
              <w:pStyle w:val="TableText"/>
              <w:jc w:val="right"/>
            </w:pPr>
            <w:r w:rsidRPr="00B36690">
              <w:t>7.8</w:t>
            </w:r>
          </w:p>
        </w:tc>
        <w:tc>
          <w:tcPr>
            <w:tcW w:w="496" w:type="pct"/>
            <w:tcBorders>
              <w:bottom w:val="single" w:sz="4" w:space="0" w:color="auto"/>
            </w:tcBorders>
          </w:tcPr>
          <w:p w14:paraId="41614046" w14:textId="77777777" w:rsidR="002B1A69" w:rsidRPr="00B36690" w:rsidRDefault="002B1A69" w:rsidP="00B36690">
            <w:pPr>
              <w:pStyle w:val="TableText"/>
              <w:jc w:val="right"/>
            </w:pPr>
            <w:r w:rsidRPr="00B36690">
              <w:t>1221</w:t>
            </w:r>
          </w:p>
        </w:tc>
        <w:tc>
          <w:tcPr>
            <w:tcW w:w="497" w:type="pct"/>
            <w:tcBorders>
              <w:bottom w:val="single" w:sz="4" w:space="0" w:color="auto"/>
            </w:tcBorders>
          </w:tcPr>
          <w:p w14:paraId="4AEBA2BB" w14:textId="77777777" w:rsidR="002B1A69" w:rsidRPr="00B36690" w:rsidRDefault="002B1A69" w:rsidP="00B36690">
            <w:pPr>
              <w:pStyle w:val="TableText"/>
              <w:jc w:val="right"/>
            </w:pPr>
            <w:r w:rsidRPr="00B36690">
              <w:t>1947</w:t>
            </w:r>
          </w:p>
        </w:tc>
      </w:tr>
    </w:tbl>
    <w:p w14:paraId="342F968E" w14:textId="739E9849" w:rsidR="002B1A69" w:rsidRPr="006E15AF" w:rsidRDefault="002B1A69" w:rsidP="00B36690">
      <w:pPr>
        <w:pStyle w:val="SourceTableNote"/>
      </w:pPr>
      <w:r w:rsidRPr="006E15AF">
        <w:t xml:space="preserve">Crop groups and situations as indicated in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p>
    <w:p w14:paraId="20AF9636" w14:textId="77777777" w:rsidR="002B1A69" w:rsidRPr="006E15AF" w:rsidRDefault="002B1A69" w:rsidP="00B36690">
      <w:pPr>
        <w:pStyle w:val="SourceTableNote"/>
      </w:pPr>
      <w:r w:rsidRPr="006E15AF">
        <w:t>Generic focal species and shortcut values for indicated crop groups from EFSA (2009)</w:t>
      </w:r>
    </w:p>
    <w:p w14:paraId="0B225A2E" w14:textId="77777777" w:rsidR="002B1A69" w:rsidRPr="006E15AF" w:rsidRDefault="002B1A69" w:rsidP="00B36690">
      <w:pPr>
        <w:pStyle w:val="SourceTableNote"/>
      </w:pPr>
      <w:r w:rsidRPr="006E15AF">
        <w:t>RAL = regulatory acceptable level</w:t>
      </w:r>
    </w:p>
    <w:p w14:paraId="3FEA51E8" w14:textId="77777777" w:rsidR="002B1A69" w:rsidRPr="006E15AF" w:rsidRDefault="002B1A69" w:rsidP="00B36690">
      <w:pPr>
        <w:pStyle w:val="SourceTableNote"/>
      </w:pPr>
      <w:r w:rsidRPr="006E15AF">
        <w:t xml:space="preserve">Acute = </w:t>
      </w:r>
      <w:r w:rsidRPr="009C3652">
        <w:t>LD</w:t>
      </w:r>
      <w:r w:rsidRPr="009C3652">
        <w:rPr>
          <w:vertAlign w:val="subscript"/>
        </w:rPr>
        <w:t>50</w:t>
      </w:r>
      <w:r w:rsidRPr="009C3652">
        <w:t xml:space="preserve"> </w:t>
      </w:r>
      <w:r>
        <w:t>208</w:t>
      </w:r>
      <w:r w:rsidRPr="009C3652">
        <w:t xml:space="preserve"> mg/kg bw (</w:t>
      </w:r>
      <w:r w:rsidRPr="00443630">
        <w:t>Rittenhouse 1979, McCall &amp; Robinson 1990</w:t>
      </w:r>
      <w:r w:rsidRPr="009C3652">
        <w:t>) and assessment factor of 10</w:t>
      </w:r>
    </w:p>
    <w:p w14:paraId="1B54F7CB" w14:textId="77777777" w:rsidR="002B1A69" w:rsidRPr="006E15AF" w:rsidRDefault="002B1A69" w:rsidP="00B36690">
      <w:pPr>
        <w:pStyle w:val="SourceTableNote"/>
      </w:pPr>
      <w:r w:rsidRPr="006E15AF">
        <w:lastRenderedPageBreak/>
        <w:tab/>
        <w:t xml:space="preserve">Chronic = </w:t>
      </w:r>
      <w:r w:rsidRPr="00DE51F5">
        <w:t>NOAEL 4.0 mg/kg bw/d (Hodge 1990) and assessment factor of 1</w:t>
      </w:r>
    </w:p>
    <w:p w14:paraId="25B2D74D" w14:textId="77777777" w:rsidR="002B1A69" w:rsidRPr="006E15AF" w:rsidRDefault="002B1A69" w:rsidP="00B36690">
      <w:pPr>
        <w:pStyle w:val="SourceTableNote"/>
      </w:pPr>
      <w:r w:rsidRPr="006E15AF">
        <w:t>Maximum acceptable rate (g ac/ha)</w:t>
      </w:r>
    </w:p>
    <w:p w14:paraId="58FA736C" w14:textId="77777777" w:rsidR="002B1A69" w:rsidRPr="006E15AF" w:rsidRDefault="002B1A69" w:rsidP="00B36690">
      <w:pPr>
        <w:pStyle w:val="SourceTableNote"/>
      </w:pPr>
      <w:r w:rsidRPr="006E15AF">
        <w:t>= RAL × 1000 / (shortcut value × PT (acute 1.0, chronic 0.5) × TWA factor (acute 1.0, chronic 0.53))</w:t>
      </w:r>
    </w:p>
    <w:p w14:paraId="1126C72D" w14:textId="0906FAEA" w:rsidR="002B1A69" w:rsidRDefault="002B1A69" w:rsidP="00B36690">
      <w:pPr>
        <w:pStyle w:val="SourceTableNote"/>
      </w:pPr>
      <w:r>
        <w:t xml:space="preserve">Acceptable rates in bold </w:t>
      </w:r>
      <w:r w:rsidRPr="006E15AF">
        <w:t xml:space="preserve">indicate where the acceptable use rate is lower than the maximum seasonal rate for the use situations as quoted in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r w:rsidRPr="006E15AF">
        <w:t>. Therefore, further refinement would be required to demonstrate an acceptable risk for one or more on-label use rates.</w:t>
      </w:r>
    </w:p>
    <w:p w14:paraId="5B206225" w14:textId="7B610A66" w:rsidR="00644988" w:rsidRPr="00247DE6" w:rsidRDefault="00EF240E" w:rsidP="00247DE6">
      <w:pPr>
        <w:pStyle w:val="Caption"/>
      </w:pPr>
      <w:bookmarkStart w:id="509" w:name="_Ref170461200"/>
      <w:bookmarkStart w:id="510" w:name="_Toc232589652"/>
      <w:bookmarkStart w:id="511" w:name="_Hlk153967490"/>
      <w:r w:rsidRPr="00247DE6">
        <w:t xml:space="preserve">Table </w:t>
      </w:r>
      <w:fldSimple w:instr=" SEQ Table \* ARABIC ">
        <w:r w:rsidR="00247DE6">
          <w:rPr>
            <w:noProof/>
          </w:rPr>
          <w:t>57</w:t>
        </w:r>
      </w:fldSimple>
      <w:bookmarkEnd w:id="509"/>
      <w:r w:rsidRPr="00247DE6">
        <w:t xml:space="preserve">: </w:t>
      </w:r>
      <w:r w:rsidR="002B1A69" w:rsidRPr="00247DE6">
        <w:t xml:space="preserve">Assessment of </w:t>
      </w:r>
      <w:r w:rsidR="00644988" w:rsidRPr="00247DE6">
        <w:t>risks to birds (</w:t>
      </w:r>
      <w:r w:rsidR="002B1A69" w:rsidRPr="00247DE6">
        <w:t xml:space="preserve">acute </w:t>
      </w:r>
      <w:r w:rsidR="00644988" w:rsidRPr="00247DE6">
        <w:t>RAL 7.0 mg/kg bw</w:t>
      </w:r>
      <w:r w:rsidR="002B1A69" w:rsidRPr="00247DE6">
        <w:t>; chronic RAL 3.2 mg ac/kg bw/d</w:t>
      </w:r>
      <w:r w:rsidR="00644988" w:rsidRPr="00247DE6">
        <w:t>)</w:t>
      </w:r>
      <w:bookmarkEnd w:id="510"/>
    </w:p>
    <w:tbl>
      <w:tblPr>
        <w:tblW w:w="5000" w:type="pct"/>
        <w:tblCellMar>
          <w:top w:w="57" w:type="dxa"/>
          <w:left w:w="57" w:type="dxa"/>
          <w:bottom w:w="57" w:type="dxa"/>
          <w:right w:w="57" w:type="dxa"/>
        </w:tblCellMar>
        <w:tblLook w:val="0000" w:firstRow="0" w:lastRow="0" w:firstColumn="0" w:lastColumn="0" w:noHBand="0" w:noVBand="0"/>
      </w:tblPr>
      <w:tblGrid>
        <w:gridCol w:w="1702"/>
        <w:gridCol w:w="1272"/>
        <w:gridCol w:w="1712"/>
        <w:gridCol w:w="1272"/>
        <w:gridCol w:w="948"/>
        <w:gridCol w:w="948"/>
        <w:gridCol w:w="948"/>
        <w:gridCol w:w="950"/>
      </w:tblGrid>
      <w:tr w:rsidR="002B1A69" w:rsidRPr="00CE16D2" w14:paraId="6E7E3945" w14:textId="77777777" w:rsidTr="00B36690">
        <w:trPr>
          <w:cantSplit/>
          <w:tblHeader/>
        </w:trPr>
        <w:tc>
          <w:tcPr>
            <w:tcW w:w="873" w:type="pct"/>
            <w:vMerge w:val="restart"/>
            <w:tcBorders>
              <w:top w:val="single" w:sz="4" w:space="0" w:color="auto"/>
              <w:bottom w:val="single" w:sz="4" w:space="0" w:color="auto"/>
              <w:right w:val="single" w:sz="4" w:space="0" w:color="auto"/>
            </w:tcBorders>
            <w:shd w:val="clear" w:color="auto" w:fill="5C2946"/>
          </w:tcPr>
          <w:p w14:paraId="523F9EFC" w14:textId="77777777" w:rsidR="002B1A69" w:rsidRPr="00B36690" w:rsidRDefault="002B1A69" w:rsidP="00B36690">
            <w:pPr>
              <w:pStyle w:val="TableHead"/>
            </w:pPr>
            <w:r w:rsidRPr="00B36690">
              <w:t>Situation</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5C2946"/>
          </w:tcPr>
          <w:p w14:paraId="6DC305B5" w14:textId="77777777" w:rsidR="002B1A69" w:rsidRPr="00B36690" w:rsidRDefault="002B1A69" w:rsidP="00B36690">
            <w:pPr>
              <w:pStyle w:val="TableHead"/>
            </w:pPr>
            <w:r w:rsidRPr="00B36690">
              <w:t>Crop group</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5C2946"/>
          </w:tcPr>
          <w:p w14:paraId="6DBEDAA0" w14:textId="77777777" w:rsidR="002B1A69" w:rsidRPr="00B36690" w:rsidRDefault="002B1A69" w:rsidP="00B36690">
            <w:pPr>
              <w:pStyle w:val="TableHead"/>
            </w:pPr>
            <w:r w:rsidRPr="00B36690">
              <w:t>Generic focal species</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5C2946"/>
          </w:tcPr>
          <w:p w14:paraId="4DD61F4A" w14:textId="77777777" w:rsidR="002B1A69" w:rsidRPr="00B36690" w:rsidRDefault="002B1A69" w:rsidP="00B36690">
            <w:pPr>
              <w:pStyle w:val="TableHead"/>
            </w:pPr>
            <w:r w:rsidRPr="00B36690">
              <w:t>Crop stage</w:t>
            </w:r>
          </w:p>
        </w:tc>
        <w:tc>
          <w:tcPr>
            <w:tcW w:w="972" w:type="pct"/>
            <w:gridSpan w:val="2"/>
            <w:tcBorders>
              <w:top w:val="single" w:sz="4" w:space="0" w:color="auto"/>
              <w:left w:val="single" w:sz="4" w:space="0" w:color="auto"/>
              <w:bottom w:val="single" w:sz="4" w:space="0" w:color="auto"/>
              <w:right w:val="single" w:sz="4" w:space="0" w:color="auto"/>
            </w:tcBorders>
            <w:shd w:val="clear" w:color="auto" w:fill="5C2946"/>
          </w:tcPr>
          <w:p w14:paraId="2A7B3AC4" w14:textId="77777777" w:rsidR="002B1A69" w:rsidRPr="00B36690" w:rsidRDefault="002B1A69" w:rsidP="00B36690">
            <w:pPr>
              <w:pStyle w:val="TableHead"/>
              <w:jc w:val="right"/>
            </w:pPr>
            <w:r w:rsidRPr="00B36690">
              <w:t>Shortcut value</w:t>
            </w:r>
          </w:p>
        </w:tc>
        <w:tc>
          <w:tcPr>
            <w:tcW w:w="973" w:type="pct"/>
            <w:gridSpan w:val="2"/>
            <w:tcBorders>
              <w:top w:val="single" w:sz="4" w:space="0" w:color="auto"/>
              <w:left w:val="single" w:sz="4" w:space="0" w:color="auto"/>
              <w:bottom w:val="single" w:sz="4" w:space="0" w:color="auto"/>
            </w:tcBorders>
            <w:shd w:val="clear" w:color="auto" w:fill="5C2946"/>
          </w:tcPr>
          <w:p w14:paraId="548A45B9" w14:textId="77777777" w:rsidR="002B1A69" w:rsidRPr="00B36690" w:rsidRDefault="002B1A69" w:rsidP="00B36690">
            <w:pPr>
              <w:pStyle w:val="TableHead"/>
              <w:jc w:val="right"/>
            </w:pPr>
            <w:r w:rsidRPr="00B36690">
              <w:t xml:space="preserve">Acceptable rate </w:t>
            </w:r>
          </w:p>
          <w:p w14:paraId="57A19FD9" w14:textId="77777777" w:rsidR="002B1A69" w:rsidRPr="00B36690" w:rsidRDefault="002B1A69" w:rsidP="00B36690">
            <w:pPr>
              <w:pStyle w:val="TableHead"/>
              <w:jc w:val="right"/>
            </w:pPr>
            <w:r w:rsidRPr="00B36690">
              <w:t>(g ac/ha)</w:t>
            </w:r>
          </w:p>
        </w:tc>
      </w:tr>
      <w:tr w:rsidR="002B1A69" w:rsidRPr="00CE16D2" w14:paraId="6AB2CC5C" w14:textId="77777777" w:rsidTr="00B36690">
        <w:trPr>
          <w:cantSplit/>
          <w:tblHeader/>
        </w:trPr>
        <w:tc>
          <w:tcPr>
            <w:tcW w:w="873" w:type="pct"/>
            <w:vMerge/>
            <w:tcBorders>
              <w:bottom w:val="single" w:sz="4" w:space="0" w:color="auto"/>
              <w:right w:val="single" w:sz="4" w:space="0" w:color="auto"/>
            </w:tcBorders>
            <w:shd w:val="clear" w:color="auto" w:fill="5C2946"/>
          </w:tcPr>
          <w:p w14:paraId="7B680C6A" w14:textId="77777777" w:rsidR="002B1A69" w:rsidRPr="00B36690" w:rsidRDefault="002B1A69" w:rsidP="00B36690">
            <w:pPr>
              <w:pStyle w:val="TableHead"/>
            </w:pPr>
          </w:p>
        </w:tc>
        <w:tc>
          <w:tcPr>
            <w:tcW w:w="652" w:type="pct"/>
            <w:vMerge/>
            <w:tcBorders>
              <w:left w:val="single" w:sz="4" w:space="0" w:color="auto"/>
              <w:bottom w:val="single" w:sz="4" w:space="0" w:color="auto"/>
              <w:right w:val="single" w:sz="4" w:space="0" w:color="auto"/>
            </w:tcBorders>
            <w:shd w:val="clear" w:color="auto" w:fill="5C2946"/>
          </w:tcPr>
          <w:p w14:paraId="61B1448E" w14:textId="77777777" w:rsidR="002B1A69" w:rsidRPr="00B36690" w:rsidRDefault="002B1A69" w:rsidP="00B36690">
            <w:pPr>
              <w:pStyle w:val="TableHead"/>
            </w:pPr>
          </w:p>
        </w:tc>
        <w:tc>
          <w:tcPr>
            <w:tcW w:w="878" w:type="pct"/>
            <w:vMerge/>
            <w:tcBorders>
              <w:left w:val="single" w:sz="4" w:space="0" w:color="auto"/>
              <w:bottom w:val="single" w:sz="4" w:space="0" w:color="auto"/>
              <w:right w:val="single" w:sz="4" w:space="0" w:color="auto"/>
            </w:tcBorders>
            <w:shd w:val="clear" w:color="auto" w:fill="5C2946"/>
          </w:tcPr>
          <w:p w14:paraId="689FD3C6" w14:textId="77777777" w:rsidR="002B1A69" w:rsidRPr="00B36690" w:rsidRDefault="002B1A69" w:rsidP="00B36690">
            <w:pPr>
              <w:pStyle w:val="TableHead"/>
            </w:pPr>
          </w:p>
        </w:tc>
        <w:tc>
          <w:tcPr>
            <w:tcW w:w="652" w:type="pct"/>
            <w:vMerge/>
            <w:tcBorders>
              <w:left w:val="single" w:sz="4" w:space="0" w:color="auto"/>
              <w:bottom w:val="single" w:sz="4" w:space="0" w:color="auto"/>
              <w:right w:val="single" w:sz="4" w:space="0" w:color="auto"/>
            </w:tcBorders>
            <w:shd w:val="clear" w:color="auto" w:fill="5C2946"/>
          </w:tcPr>
          <w:p w14:paraId="568C4B1D" w14:textId="77777777" w:rsidR="002B1A69" w:rsidRPr="00B36690" w:rsidRDefault="002B1A69" w:rsidP="00B36690">
            <w:pPr>
              <w:pStyle w:val="TableHead"/>
            </w:pPr>
          </w:p>
        </w:tc>
        <w:tc>
          <w:tcPr>
            <w:tcW w:w="486" w:type="pct"/>
            <w:tcBorders>
              <w:top w:val="single" w:sz="4" w:space="0" w:color="auto"/>
              <w:left w:val="single" w:sz="4" w:space="0" w:color="auto"/>
              <w:bottom w:val="single" w:sz="4" w:space="0" w:color="auto"/>
              <w:right w:val="single" w:sz="4" w:space="0" w:color="auto"/>
            </w:tcBorders>
            <w:shd w:val="clear" w:color="auto" w:fill="5C2946"/>
          </w:tcPr>
          <w:p w14:paraId="5F2A7EDC" w14:textId="77777777" w:rsidR="002B1A69" w:rsidRPr="00B36690" w:rsidRDefault="002B1A69" w:rsidP="00B36690">
            <w:pPr>
              <w:pStyle w:val="TableHead"/>
              <w:jc w:val="right"/>
            </w:pPr>
            <w:r w:rsidRPr="00B36690">
              <w:t>acute</w:t>
            </w:r>
          </w:p>
        </w:tc>
        <w:tc>
          <w:tcPr>
            <w:tcW w:w="486" w:type="pct"/>
            <w:tcBorders>
              <w:top w:val="single" w:sz="4" w:space="0" w:color="auto"/>
              <w:left w:val="single" w:sz="4" w:space="0" w:color="auto"/>
              <w:bottom w:val="single" w:sz="4" w:space="0" w:color="auto"/>
              <w:right w:val="single" w:sz="4" w:space="0" w:color="auto"/>
            </w:tcBorders>
            <w:shd w:val="clear" w:color="auto" w:fill="5C2946"/>
          </w:tcPr>
          <w:p w14:paraId="7C51AA44" w14:textId="77777777" w:rsidR="002B1A69" w:rsidRPr="00B36690" w:rsidRDefault="002B1A69" w:rsidP="00B36690">
            <w:pPr>
              <w:pStyle w:val="TableHead"/>
              <w:jc w:val="right"/>
            </w:pPr>
            <w:r w:rsidRPr="00B36690">
              <w:t>chronic</w:t>
            </w:r>
          </w:p>
        </w:tc>
        <w:tc>
          <w:tcPr>
            <w:tcW w:w="486" w:type="pct"/>
            <w:tcBorders>
              <w:top w:val="single" w:sz="4" w:space="0" w:color="auto"/>
              <w:left w:val="single" w:sz="4" w:space="0" w:color="auto"/>
              <w:bottom w:val="single" w:sz="4" w:space="0" w:color="auto"/>
              <w:right w:val="single" w:sz="4" w:space="0" w:color="auto"/>
            </w:tcBorders>
            <w:shd w:val="clear" w:color="auto" w:fill="5C2946"/>
          </w:tcPr>
          <w:p w14:paraId="63FDE591" w14:textId="77777777" w:rsidR="002B1A69" w:rsidRPr="00B36690" w:rsidRDefault="002B1A69" w:rsidP="00B36690">
            <w:pPr>
              <w:pStyle w:val="TableHead"/>
              <w:jc w:val="right"/>
            </w:pPr>
            <w:r w:rsidRPr="00B36690">
              <w:t>acute</w:t>
            </w:r>
          </w:p>
        </w:tc>
        <w:tc>
          <w:tcPr>
            <w:tcW w:w="487" w:type="pct"/>
            <w:tcBorders>
              <w:top w:val="single" w:sz="4" w:space="0" w:color="auto"/>
              <w:left w:val="single" w:sz="4" w:space="0" w:color="auto"/>
              <w:bottom w:val="single" w:sz="4" w:space="0" w:color="auto"/>
            </w:tcBorders>
            <w:shd w:val="clear" w:color="auto" w:fill="5C2946"/>
          </w:tcPr>
          <w:p w14:paraId="1E5CD70D" w14:textId="77777777" w:rsidR="002B1A69" w:rsidRPr="00B36690" w:rsidRDefault="002B1A69" w:rsidP="00B36690">
            <w:pPr>
              <w:pStyle w:val="TableHead"/>
              <w:jc w:val="right"/>
            </w:pPr>
            <w:r w:rsidRPr="00B36690">
              <w:t>chronic</w:t>
            </w:r>
          </w:p>
        </w:tc>
      </w:tr>
      <w:tr w:rsidR="002B1A69" w:rsidRPr="006E15AF" w14:paraId="577ED549" w14:textId="77777777" w:rsidTr="002B1A69">
        <w:trPr>
          <w:cantSplit/>
          <w:trHeight w:val="13"/>
        </w:trPr>
        <w:tc>
          <w:tcPr>
            <w:tcW w:w="873" w:type="pct"/>
            <w:vMerge w:val="restart"/>
            <w:tcBorders>
              <w:top w:val="single" w:sz="4" w:space="0" w:color="auto"/>
            </w:tcBorders>
          </w:tcPr>
          <w:p w14:paraId="6856DFED" w14:textId="77777777" w:rsidR="002B1A69" w:rsidRPr="00B36690" w:rsidRDefault="002B1A69" w:rsidP="00B36690">
            <w:pPr>
              <w:pStyle w:val="TableText"/>
            </w:pPr>
            <w:r w:rsidRPr="00B36690">
              <w:t>General weed control in fallow, market gardens, nurseries, potatoes (early/pre-emergence), rice, row crops, vegetables, oilseeds, hops, asparagus</w:t>
            </w:r>
          </w:p>
        </w:tc>
        <w:tc>
          <w:tcPr>
            <w:tcW w:w="652" w:type="pct"/>
            <w:vMerge w:val="restart"/>
            <w:tcBorders>
              <w:top w:val="single" w:sz="4" w:space="0" w:color="auto"/>
            </w:tcBorders>
          </w:tcPr>
          <w:p w14:paraId="67D986A0" w14:textId="77777777" w:rsidR="002B1A69" w:rsidRPr="00B36690" w:rsidRDefault="002B1A69" w:rsidP="00B36690">
            <w:pPr>
              <w:pStyle w:val="TableText"/>
            </w:pPr>
            <w:r w:rsidRPr="00B36690">
              <w:t>Bare soil</w:t>
            </w:r>
          </w:p>
        </w:tc>
        <w:tc>
          <w:tcPr>
            <w:tcW w:w="878" w:type="pct"/>
            <w:tcBorders>
              <w:top w:val="single" w:sz="4" w:space="0" w:color="auto"/>
            </w:tcBorders>
          </w:tcPr>
          <w:p w14:paraId="1F0E87D0"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0B7CE852" w14:textId="77777777" w:rsidR="002B1A69" w:rsidRPr="00B36690" w:rsidRDefault="002B1A69" w:rsidP="00B36690">
            <w:pPr>
              <w:pStyle w:val="TableText"/>
            </w:pPr>
            <w:r w:rsidRPr="00B36690">
              <w:t>BBCH &lt;10</w:t>
            </w:r>
          </w:p>
        </w:tc>
        <w:tc>
          <w:tcPr>
            <w:tcW w:w="486" w:type="pct"/>
            <w:tcBorders>
              <w:top w:val="single" w:sz="4" w:space="0" w:color="auto"/>
            </w:tcBorders>
          </w:tcPr>
          <w:p w14:paraId="51E93647" w14:textId="77777777" w:rsidR="002B1A69" w:rsidRPr="00B36690" w:rsidRDefault="002B1A69" w:rsidP="00B36690">
            <w:pPr>
              <w:pStyle w:val="TableText"/>
              <w:jc w:val="right"/>
            </w:pPr>
            <w:r w:rsidRPr="00B36690">
              <w:t>24.7</w:t>
            </w:r>
          </w:p>
        </w:tc>
        <w:tc>
          <w:tcPr>
            <w:tcW w:w="486" w:type="pct"/>
            <w:tcBorders>
              <w:top w:val="single" w:sz="4" w:space="0" w:color="auto"/>
            </w:tcBorders>
          </w:tcPr>
          <w:p w14:paraId="7AD42D3D" w14:textId="77777777" w:rsidR="002B1A69" w:rsidRPr="00B36690" w:rsidRDefault="002B1A69" w:rsidP="00B36690">
            <w:pPr>
              <w:pStyle w:val="TableText"/>
              <w:jc w:val="right"/>
            </w:pPr>
            <w:r w:rsidRPr="00B36690">
              <w:t>11.4</w:t>
            </w:r>
          </w:p>
        </w:tc>
        <w:tc>
          <w:tcPr>
            <w:tcW w:w="486" w:type="pct"/>
            <w:tcBorders>
              <w:top w:val="single" w:sz="4" w:space="0" w:color="auto"/>
            </w:tcBorders>
            <w:shd w:val="clear" w:color="auto" w:fill="FF0000"/>
          </w:tcPr>
          <w:p w14:paraId="38D86922" w14:textId="77777777" w:rsidR="002B1A69" w:rsidRPr="00B36690" w:rsidRDefault="002B1A69" w:rsidP="00B36690">
            <w:pPr>
              <w:pStyle w:val="TableText"/>
              <w:jc w:val="right"/>
            </w:pPr>
            <w:r w:rsidRPr="00B36690">
              <w:t>283</w:t>
            </w:r>
          </w:p>
        </w:tc>
        <w:tc>
          <w:tcPr>
            <w:tcW w:w="487" w:type="pct"/>
            <w:tcBorders>
              <w:top w:val="single" w:sz="4" w:space="0" w:color="auto"/>
            </w:tcBorders>
          </w:tcPr>
          <w:p w14:paraId="61460D73" w14:textId="77777777" w:rsidR="002B1A69" w:rsidRPr="00B36690" w:rsidRDefault="002B1A69" w:rsidP="00B36690">
            <w:pPr>
              <w:pStyle w:val="TableText"/>
              <w:jc w:val="right"/>
            </w:pPr>
            <w:r w:rsidRPr="00B36690">
              <w:t>1066</w:t>
            </w:r>
          </w:p>
        </w:tc>
      </w:tr>
      <w:tr w:rsidR="002B1A69" w:rsidRPr="006E15AF" w14:paraId="2E6B1E23" w14:textId="77777777" w:rsidTr="002B1A69">
        <w:trPr>
          <w:cantSplit/>
          <w:trHeight w:val="13"/>
        </w:trPr>
        <w:tc>
          <w:tcPr>
            <w:tcW w:w="873" w:type="pct"/>
            <w:vMerge/>
            <w:tcBorders>
              <w:top w:val="single" w:sz="4" w:space="0" w:color="auto"/>
            </w:tcBorders>
          </w:tcPr>
          <w:p w14:paraId="37C92990" w14:textId="77777777" w:rsidR="002B1A69" w:rsidRPr="00B36690" w:rsidRDefault="002B1A69" w:rsidP="00B36690">
            <w:pPr>
              <w:pStyle w:val="TableText"/>
            </w:pPr>
          </w:p>
        </w:tc>
        <w:tc>
          <w:tcPr>
            <w:tcW w:w="652" w:type="pct"/>
            <w:vMerge/>
            <w:tcBorders>
              <w:top w:val="single" w:sz="4" w:space="0" w:color="auto"/>
            </w:tcBorders>
          </w:tcPr>
          <w:p w14:paraId="3B4C3D33" w14:textId="77777777" w:rsidR="002B1A69" w:rsidRPr="00B36690" w:rsidRDefault="002B1A69" w:rsidP="00B36690">
            <w:pPr>
              <w:pStyle w:val="TableText"/>
            </w:pPr>
          </w:p>
        </w:tc>
        <w:tc>
          <w:tcPr>
            <w:tcW w:w="878" w:type="pct"/>
          </w:tcPr>
          <w:p w14:paraId="76D496BB" w14:textId="77777777" w:rsidR="002B1A69" w:rsidRPr="00B36690" w:rsidRDefault="002B1A69" w:rsidP="00B36690">
            <w:pPr>
              <w:pStyle w:val="TableText"/>
            </w:pPr>
            <w:r w:rsidRPr="00B36690">
              <w:t>Small omnivore</w:t>
            </w:r>
          </w:p>
        </w:tc>
        <w:tc>
          <w:tcPr>
            <w:tcW w:w="652" w:type="pct"/>
          </w:tcPr>
          <w:p w14:paraId="54A76F88" w14:textId="77777777" w:rsidR="002B1A69" w:rsidRPr="00B36690" w:rsidRDefault="002B1A69" w:rsidP="00B36690">
            <w:pPr>
              <w:pStyle w:val="TableText"/>
            </w:pPr>
            <w:r w:rsidRPr="00B36690">
              <w:t>BBCH &lt;10</w:t>
            </w:r>
          </w:p>
        </w:tc>
        <w:tc>
          <w:tcPr>
            <w:tcW w:w="486" w:type="pct"/>
          </w:tcPr>
          <w:p w14:paraId="366E87F4" w14:textId="77777777" w:rsidR="002B1A69" w:rsidRPr="00B36690" w:rsidRDefault="002B1A69" w:rsidP="00B36690">
            <w:pPr>
              <w:pStyle w:val="TableText"/>
              <w:jc w:val="right"/>
            </w:pPr>
            <w:r w:rsidRPr="00B36690">
              <w:t>17.4</w:t>
            </w:r>
          </w:p>
        </w:tc>
        <w:tc>
          <w:tcPr>
            <w:tcW w:w="486" w:type="pct"/>
          </w:tcPr>
          <w:p w14:paraId="4962636C" w14:textId="77777777" w:rsidR="002B1A69" w:rsidRPr="00B36690" w:rsidRDefault="002B1A69" w:rsidP="00B36690">
            <w:pPr>
              <w:pStyle w:val="TableText"/>
              <w:jc w:val="right"/>
            </w:pPr>
            <w:r w:rsidRPr="00B36690">
              <w:t>8.2</w:t>
            </w:r>
          </w:p>
        </w:tc>
        <w:tc>
          <w:tcPr>
            <w:tcW w:w="486" w:type="pct"/>
            <w:shd w:val="clear" w:color="auto" w:fill="FF0000"/>
          </w:tcPr>
          <w:p w14:paraId="5E8D0085" w14:textId="77777777" w:rsidR="002B1A69" w:rsidRPr="00B36690" w:rsidRDefault="002B1A69" w:rsidP="00B36690">
            <w:pPr>
              <w:pStyle w:val="TableText"/>
              <w:jc w:val="right"/>
            </w:pPr>
            <w:r w:rsidRPr="00B36690">
              <w:t>402</w:t>
            </w:r>
          </w:p>
        </w:tc>
        <w:tc>
          <w:tcPr>
            <w:tcW w:w="487" w:type="pct"/>
          </w:tcPr>
          <w:p w14:paraId="6259E9CC" w14:textId="77777777" w:rsidR="002B1A69" w:rsidRPr="00B36690" w:rsidRDefault="002B1A69" w:rsidP="00B36690">
            <w:pPr>
              <w:pStyle w:val="TableText"/>
              <w:jc w:val="right"/>
            </w:pPr>
            <w:r w:rsidRPr="00B36690">
              <w:t>1482</w:t>
            </w:r>
          </w:p>
        </w:tc>
      </w:tr>
      <w:tr w:rsidR="002B1A69" w:rsidRPr="006E15AF" w14:paraId="0B89E0E5" w14:textId="77777777" w:rsidTr="002B1A69">
        <w:trPr>
          <w:cantSplit/>
          <w:trHeight w:val="13"/>
        </w:trPr>
        <w:tc>
          <w:tcPr>
            <w:tcW w:w="873" w:type="pct"/>
            <w:vMerge/>
            <w:tcBorders>
              <w:top w:val="single" w:sz="4" w:space="0" w:color="auto"/>
            </w:tcBorders>
          </w:tcPr>
          <w:p w14:paraId="5E6FF530" w14:textId="77777777" w:rsidR="002B1A69" w:rsidRPr="00B36690" w:rsidRDefault="002B1A69" w:rsidP="00B36690">
            <w:pPr>
              <w:pStyle w:val="TableText"/>
            </w:pPr>
          </w:p>
        </w:tc>
        <w:tc>
          <w:tcPr>
            <w:tcW w:w="652" w:type="pct"/>
            <w:vMerge/>
            <w:tcBorders>
              <w:top w:val="single" w:sz="4" w:space="0" w:color="auto"/>
            </w:tcBorders>
          </w:tcPr>
          <w:p w14:paraId="081E0F6D" w14:textId="77777777" w:rsidR="002B1A69" w:rsidRPr="00B36690" w:rsidRDefault="002B1A69" w:rsidP="00B36690">
            <w:pPr>
              <w:pStyle w:val="TableText"/>
            </w:pPr>
          </w:p>
        </w:tc>
        <w:tc>
          <w:tcPr>
            <w:tcW w:w="878" w:type="pct"/>
            <w:tcBorders>
              <w:bottom w:val="single" w:sz="4" w:space="0" w:color="auto"/>
            </w:tcBorders>
          </w:tcPr>
          <w:p w14:paraId="04428C09"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0802FB08" w14:textId="77777777" w:rsidR="002B1A69" w:rsidRPr="00B36690" w:rsidRDefault="002B1A69" w:rsidP="00B36690">
            <w:pPr>
              <w:pStyle w:val="TableText"/>
            </w:pPr>
            <w:r w:rsidRPr="00B36690">
              <w:t>BBCH &lt;10</w:t>
            </w:r>
          </w:p>
        </w:tc>
        <w:tc>
          <w:tcPr>
            <w:tcW w:w="486" w:type="pct"/>
            <w:tcBorders>
              <w:bottom w:val="single" w:sz="4" w:space="0" w:color="auto"/>
            </w:tcBorders>
          </w:tcPr>
          <w:p w14:paraId="75651980" w14:textId="77777777" w:rsidR="002B1A69" w:rsidRPr="00B36690" w:rsidRDefault="002B1A69" w:rsidP="00B36690">
            <w:pPr>
              <w:pStyle w:val="TableText"/>
              <w:jc w:val="right"/>
            </w:pPr>
            <w:r w:rsidRPr="00B36690">
              <w:t>10.9</w:t>
            </w:r>
          </w:p>
        </w:tc>
        <w:tc>
          <w:tcPr>
            <w:tcW w:w="486" w:type="pct"/>
            <w:tcBorders>
              <w:bottom w:val="single" w:sz="4" w:space="0" w:color="auto"/>
            </w:tcBorders>
          </w:tcPr>
          <w:p w14:paraId="42903B29" w14:textId="77777777" w:rsidR="002B1A69" w:rsidRPr="00B36690" w:rsidRDefault="002B1A69" w:rsidP="00B36690">
            <w:pPr>
              <w:pStyle w:val="TableText"/>
              <w:jc w:val="right"/>
            </w:pPr>
            <w:r w:rsidRPr="00B36690">
              <w:t>5.9</w:t>
            </w:r>
          </w:p>
        </w:tc>
        <w:tc>
          <w:tcPr>
            <w:tcW w:w="486" w:type="pct"/>
            <w:tcBorders>
              <w:bottom w:val="single" w:sz="4" w:space="0" w:color="auto"/>
            </w:tcBorders>
            <w:shd w:val="clear" w:color="auto" w:fill="FF0000"/>
          </w:tcPr>
          <w:p w14:paraId="323A70E2" w14:textId="77777777" w:rsidR="002B1A69" w:rsidRPr="00B36690" w:rsidRDefault="002B1A69" w:rsidP="00B36690">
            <w:pPr>
              <w:pStyle w:val="TableText"/>
              <w:jc w:val="right"/>
            </w:pPr>
            <w:r w:rsidRPr="00B36690">
              <w:t>642</w:t>
            </w:r>
          </w:p>
        </w:tc>
        <w:tc>
          <w:tcPr>
            <w:tcW w:w="487" w:type="pct"/>
            <w:tcBorders>
              <w:bottom w:val="single" w:sz="4" w:space="0" w:color="auto"/>
            </w:tcBorders>
          </w:tcPr>
          <w:p w14:paraId="0709518A" w14:textId="77777777" w:rsidR="002B1A69" w:rsidRPr="00B36690" w:rsidRDefault="002B1A69" w:rsidP="00B36690">
            <w:pPr>
              <w:pStyle w:val="TableText"/>
              <w:jc w:val="right"/>
            </w:pPr>
            <w:r w:rsidRPr="00B36690">
              <w:t>2059</w:t>
            </w:r>
          </w:p>
        </w:tc>
      </w:tr>
      <w:tr w:rsidR="002B1A69" w:rsidRPr="006E15AF" w14:paraId="68E89237" w14:textId="77777777" w:rsidTr="002B1A69">
        <w:trPr>
          <w:cantSplit/>
          <w:trHeight w:val="13"/>
        </w:trPr>
        <w:tc>
          <w:tcPr>
            <w:tcW w:w="873" w:type="pct"/>
            <w:vMerge w:val="restart"/>
            <w:tcBorders>
              <w:top w:val="single" w:sz="4" w:space="0" w:color="auto"/>
            </w:tcBorders>
          </w:tcPr>
          <w:p w14:paraId="438568CA" w14:textId="77777777" w:rsidR="002B1A69" w:rsidRPr="00B36690" w:rsidRDefault="002B1A69" w:rsidP="00B36690">
            <w:pPr>
              <w:pStyle w:val="TableText"/>
            </w:pPr>
            <w:r w:rsidRPr="00B36690">
              <w:t>General weed control in cereals (up to tillering)</w:t>
            </w:r>
          </w:p>
        </w:tc>
        <w:tc>
          <w:tcPr>
            <w:tcW w:w="652" w:type="pct"/>
            <w:vMerge w:val="restart"/>
            <w:tcBorders>
              <w:top w:val="single" w:sz="4" w:space="0" w:color="auto"/>
            </w:tcBorders>
          </w:tcPr>
          <w:p w14:paraId="7011DEAD" w14:textId="77777777" w:rsidR="002B1A69" w:rsidRPr="00B36690" w:rsidRDefault="002B1A69" w:rsidP="00B36690">
            <w:pPr>
              <w:pStyle w:val="TableText"/>
            </w:pPr>
            <w:r w:rsidRPr="00B36690">
              <w:t>Cereals</w:t>
            </w:r>
          </w:p>
        </w:tc>
        <w:tc>
          <w:tcPr>
            <w:tcW w:w="878" w:type="pct"/>
            <w:tcBorders>
              <w:top w:val="single" w:sz="4" w:space="0" w:color="auto"/>
            </w:tcBorders>
          </w:tcPr>
          <w:p w14:paraId="7898961E" w14:textId="77777777" w:rsidR="002B1A69" w:rsidRPr="00B36690" w:rsidRDefault="002B1A69" w:rsidP="00B36690">
            <w:pPr>
              <w:pStyle w:val="TableText"/>
            </w:pPr>
            <w:r w:rsidRPr="00B36690">
              <w:t>Large herbivore</w:t>
            </w:r>
          </w:p>
        </w:tc>
        <w:tc>
          <w:tcPr>
            <w:tcW w:w="652" w:type="pct"/>
            <w:tcBorders>
              <w:top w:val="single" w:sz="4" w:space="0" w:color="auto"/>
            </w:tcBorders>
          </w:tcPr>
          <w:p w14:paraId="10C40618" w14:textId="77777777" w:rsidR="002B1A69" w:rsidRPr="00B36690" w:rsidRDefault="002B1A69" w:rsidP="00B36690">
            <w:pPr>
              <w:pStyle w:val="TableText"/>
            </w:pPr>
            <w:r w:rsidRPr="00B36690">
              <w:t>BBCH 10-29</w:t>
            </w:r>
          </w:p>
        </w:tc>
        <w:tc>
          <w:tcPr>
            <w:tcW w:w="486" w:type="pct"/>
            <w:tcBorders>
              <w:top w:val="single" w:sz="4" w:space="0" w:color="auto"/>
            </w:tcBorders>
          </w:tcPr>
          <w:p w14:paraId="4B2A90AC" w14:textId="77777777" w:rsidR="002B1A69" w:rsidRPr="00B36690" w:rsidRDefault="002B1A69" w:rsidP="00B36690">
            <w:pPr>
              <w:pStyle w:val="TableText"/>
              <w:jc w:val="right"/>
            </w:pPr>
            <w:r w:rsidRPr="00B36690">
              <w:t>30.5</w:t>
            </w:r>
          </w:p>
        </w:tc>
        <w:tc>
          <w:tcPr>
            <w:tcW w:w="486" w:type="pct"/>
            <w:tcBorders>
              <w:top w:val="single" w:sz="4" w:space="0" w:color="auto"/>
            </w:tcBorders>
          </w:tcPr>
          <w:p w14:paraId="3AFCFB0A" w14:textId="77777777" w:rsidR="002B1A69" w:rsidRPr="00B36690" w:rsidRDefault="002B1A69" w:rsidP="00B36690">
            <w:pPr>
              <w:pStyle w:val="TableText"/>
              <w:jc w:val="right"/>
            </w:pPr>
            <w:r w:rsidRPr="00B36690">
              <w:t>16.2</w:t>
            </w:r>
          </w:p>
        </w:tc>
        <w:tc>
          <w:tcPr>
            <w:tcW w:w="486" w:type="pct"/>
            <w:tcBorders>
              <w:top w:val="single" w:sz="4" w:space="0" w:color="auto"/>
            </w:tcBorders>
          </w:tcPr>
          <w:p w14:paraId="16377F55" w14:textId="77777777" w:rsidR="002B1A69" w:rsidRPr="00B36690" w:rsidRDefault="002B1A69" w:rsidP="00B36690">
            <w:pPr>
              <w:pStyle w:val="TableText"/>
              <w:jc w:val="right"/>
            </w:pPr>
            <w:r w:rsidRPr="00B36690">
              <w:t>230</w:t>
            </w:r>
          </w:p>
        </w:tc>
        <w:tc>
          <w:tcPr>
            <w:tcW w:w="487" w:type="pct"/>
            <w:tcBorders>
              <w:top w:val="single" w:sz="4" w:space="0" w:color="auto"/>
            </w:tcBorders>
          </w:tcPr>
          <w:p w14:paraId="6A1CAB68" w14:textId="77777777" w:rsidR="002B1A69" w:rsidRPr="00B36690" w:rsidRDefault="002B1A69" w:rsidP="00B36690">
            <w:pPr>
              <w:pStyle w:val="TableText"/>
              <w:jc w:val="right"/>
            </w:pPr>
            <w:r w:rsidRPr="00B36690">
              <w:t>750</w:t>
            </w:r>
          </w:p>
        </w:tc>
      </w:tr>
      <w:tr w:rsidR="002B1A69" w:rsidRPr="006E15AF" w14:paraId="34A5B722" w14:textId="77777777" w:rsidTr="002B1A69">
        <w:trPr>
          <w:cantSplit/>
          <w:trHeight w:val="13"/>
        </w:trPr>
        <w:tc>
          <w:tcPr>
            <w:tcW w:w="873" w:type="pct"/>
            <w:vMerge/>
            <w:tcBorders>
              <w:top w:val="single" w:sz="4" w:space="0" w:color="auto"/>
            </w:tcBorders>
          </w:tcPr>
          <w:p w14:paraId="3D3E353A" w14:textId="77777777" w:rsidR="002B1A69" w:rsidRPr="00B36690" w:rsidRDefault="002B1A69" w:rsidP="00B36690">
            <w:pPr>
              <w:pStyle w:val="TableText"/>
            </w:pPr>
          </w:p>
        </w:tc>
        <w:tc>
          <w:tcPr>
            <w:tcW w:w="652" w:type="pct"/>
            <w:vMerge/>
            <w:tcBorders>
              <w:top w:val="single" w:sz="4" w:space="0" w:color="auto"/>
            </w:tcBorders>
          </w:tcPr>
          <w:p w14:paraId="168CC578" w14:textId="77777777" w:rsidR="002B1A69" w:rsidRPr="00B36690" w:rsidRDefault="002B1A69" w:rsidP="00B36690">
            <w:pPr>
              <w:pStyle w:val="TableText"/>
            </w:pPr>
          </w:p>
        </w:tc>
        <w:tc>
          <w:tcPr>
            <w:tcW w:w="878" w:type="pct"/>
            <w:tcBorders>
              <w:bottom w:val="single" w:sz="4" w:space="0" w:color="auto"/>
            </w:tcBorders>
          </w:tcPr>
          <w:p w14:paraId="31804671" w14:textId="77777777" w:rsidR="002B1A69" w:rsidRPr="00B36690" w:rsidRDefault="002B1A69" w:rsidP="00B36690">
            <w:pPr>
              <w:pStyle w:val="TableText"/>
            </w:pPr>
            <w:r w:rsidRPr="00B36690">
              <w:t>Small omnivore</w:t>
            </w:r>
          </w:p>
        </w:tc>
        <w:tc>
          <w:tcPr>
            <w:tcW w:w="652" w:type="pct"/>
            <w:tcBorders>
              <w:bottom w:val="single" w:sz="4" w:space="0" w:color="auto"/>
            </w:tcBorders>
          </w:tcPr>
          <w:p w14:paraId="211B1938" w14:textId="77777777" w:rsidR="002B1A69" w:rsidRPr="00B36690" w:rsidRDefault="002B1A69" w:rsidP="00B36690">
            <w:pPr>
              <w:pStyle w:val="TableText"/>
            </w:pPr>
            <w:r w:rsidRPr="00B36690">
              <w:t>BBCH 10-29</w:t>
            </w:r>
          </w:p>
        </w:tc>
        <w:tc>
          <w:tcPr>
            <w:tcW w:w="486" w:type="pct"/>
            <w:tcBorders>
              <w:bottom w:val="single" w:sz="4" w:space="0" w:color="auto"/>
            </w:tcBorders>
          </w:tcPr>
          <w:p w14:paraId="27A34DB7" w14:textId="77777777" w:rsidR="002B1A69" w:rsidRPr="00B36690" w:rsidRDefault="002B1A69" w:rsidP="00B36690">
            <w:pPr>
              <w:pStyle w:val="TableText"/>
              <w:jc w:val="right"/>
            </w:pPr>
            <w:r w:rsidRPr="00B36690">
              <w:t>24.0</w:t>
            </w:r>
          </w:p>
        </w:tc>
        <w:tc>
          <w:tcPr>
            <w:tcW w:w="486" w:type="pct"/>
            <w:tcBorders>
              <w:bottom w:val="single" w:sz="4" w:space="0" w:color="auto"/>
            </w:tcBorders>
          </w:tcPr>
          <w:p w14:paraId="3EE92D30" w14:textId="77777777" w:rsidR="002B1A69" w:rsidRPr="00B36690" w:rsidRDefault="002B1A69" w:rsidP="00B36690">
            <w:pPr>
              <w:pStyle w:val="TableText"/>
              <w:jc w:val="right"/>
            </w:pPr>
            <w:r w:rsidRPr="00B36690">
              <w:t>10.9</w:t>
            </w:r>
          </w:p>
        </w:tc>
        <w:tc>
          <w:tcPr>
            <w:tcW w:w="486" w:type="pct"/>
            <w:tcBorders>
              <w:bottom w:val="single" w:sz="4" w:space="0" w:color="auto"/>
            </w:tcBorders>
          </w:tcPr>
          <w:p w14:paraId="12775DC3" w14:textId="77777777" w:rsidR="002B1A69" w:rsidRPr="00B36690" w:rsidRDefault="002B1A69" w:rsidP="00B36690">
            <w:pPr>
              <w:pStyle w:val="TableText"/>
              <w:jc w:val="right"/>
            </w:pPr>
            <w:r w:rsidRPr="00B36690">
              <w:t>292</w:t>
            </w:r>
          </w:p>
        </w:tc>
        <w:tc>
          <w:tcPr>
            <w:tcW w:w="487" w:type="pct"/>
            <w:tcBorders>
              <w:bottom w:val="single" w:sz="4" w:space="0" w:color="auto"/>
            </w:tcBorders>
          </w:tcPr>
          <w:p w14:paraId="0854B4B8" w14:textId="77777777" w:rsidR="002B1A69" w:rsidRPr="00B36690" w:rsidRDefault="002B1A69" w:rsidP="00B36690">
            <w:pPr>
              <w:pStyle w:val="TableText"/>
              <w:jc w:val="right"/>
            </w:pPr>
            <w:r w:rsidRPr="00B36690">
              <w:t>1115</w:t>
            </w:r>
          </w:p>
        </w:tc>
      </w:tr>
      <w:tr w:rsidR="002B1A69" w:rsidRPr="00DB693A" w14:paraId="04FDA3E2" w14:textId="77777777" w:rsidTr="002B1A69">
        <w:trPr>
          <w:cantSplit/>
          <w:trHeight w:val="13"/>
        </w:trPr>
        <w:tc>
          <w:tcPr>
            <w:tcW w:w="873" w:type="pct"/>
            <w:vMerge w:val="restart"/>
            <w:tcBorders>
              <w:top w:val="single" w:sz="4" w:space="0" w:color="auto"/>
            </w:tcBorders>
          </w:tcPr>
          <w:p w14:paraId="546F6758" w14:textId="77777777" w:rsidR="002B1A69" w:rsidRPr="00B36690" w:rsidRDefault="002B1A69" w:rsidP="00B36690">
            <w:pPr>
              <w:pStyle w:val="TableText"/>
            </w:pPr>
            <w:r w:rsidRPr="00B36690">
              <w:t>General weed control in cereals (pre-harvest)</w:t>
            </w:r>
          </w:p>
        </w:tc>
        <w:tc>
          <w:tcPr>
            <w:tcW w:w="652" w:type="pct"/>
            <w:vMerge w:val="restart"/>
            <w:tcBorders>
              <w:top w:val="single" w:sz="4" w:space="0" w:color="auto"/>
            </w:tcBorders>
          </w:tcPr>
          <w:p w14:paraId="50DC8C8F" w14:textId="77777777" w:rsidR="002B1A69" w:rsidRPr="00B36690" w:rsidRDefault="002B1A69" w:rsidP="00B36690">
            <w:pPr>
              <w:pStyle w:val="TableText"/>
            </w:pPr>
            <w:r w:rsidRPr="00B36690">
              <w:t>Cereals</w:t>
            </w:r>
          </w:p>
        </w:tc>
        <w:tc>
          <w:tcPr>
            <w:tcW w:w="878" w:type="pct"/>
            <w:tcBorders>
              <w:top w:val="single" w:sz="4" w:space="0" w:color="auto"/>
            </w:tcBorders>
          </w:tcPr>
          <w:p w14:paraId="380931E0" w14:textId="77777777" w:rsidR="002B1A69" w:rsidRPr="00B36690" w:rsidRDefault="002B1A69" w:rsidP="00B36690">
            <w:pPr>
              <w:pStyle w:val="TableText"/>
            </w:pPr>
            <w:r w:rsidRPr="00B36690">
              <w:t>Small insectivore</w:t>
            </w:r>
          </w:p>
        </w:tc>
        <w:tc>
          <w:tcPr>
            <w:tcW w:w="652" w:type="pct"/>
            <w:tcBorders>
              <w:top w:val="single" w:sz="4" w:space="0" w:color="auto"/>
            </w:tcBorders>
          </w:tcPr>
          <w:p w14:paraId="53CB35BE" w14:textId="77777777" w:rsidR="002B1A69" w:rsidRPr="00B36690" w:rsidRDefault="002B1A69" w:rsidP="00B36690">
            <w:pPr>
              <w:pStyle w:val="TableText"/>
            </w:pPr>
            <w:r w:rsidRPr="00B36690">
              <w:t>BBCH 71-89</w:t>
            </w:r>
          </w:p>
        </w:tc>
        <w:tc>
          <w:tcPr>
            <w:tcW w:w="486" w:type="pct"/>
            <w:tcBorders>
              <w:top w:val="single" w:sz="4" w:space="0" w:color="auto"/>
            </w:tcBorders>
          </w:tcPr>
          <w:p w14:paraId="35D98BEC" w14:textId="77777777" w:rsidR="002B1A69" w:rsidRPr="00B36690" w:rsidRDefault="002B1A69" w:rsidP="00B36690">
            <w:pPr>
              <w:pStyle w:val="TableText"/>
              <w:jc w:val="right"/>
            </w:pPr>
            <w:r w:rsidRPr="00B36690">
              <w:t>57.6</w:t>
            </w:r>
          </w:p>
        </w:tc>
        <w:tc>
          <w:tcPr>
            <w:tcW w:w="486" w:type="pct"/>
            <w:tcBorders>
              <w:top w:val="single" w:sz="4" w:space="0" w:color="auto"/>
            </w:tcBorders>
          </w:tcPr>
          <w:p w14:paraId="75D9A4AA" w14:textId="77777777" w:rsidR="002B1A69" w:rsidRPr="00B36690" w:rsidRDefault="002B1A69" w:rsidP="00B36690">
            <w:pPr>
              <w:pStyle w:val="TableText"/>
              <w:jc w:val="right"/>
            </w:pPr>
            <w:r w:rsidRPr="00B36690">
              <w:t>22.4</w:t>
            </w:r>
          </w:p>
        </w:tc>
        <w:tc>
          <w:tcPr>
            <w:tcW w:w="486" w:type="pct"/>
            <w:tcBorders>
              <w:top w:val="single" w:sz="4" w:space="0" w:color="auto"/>
            </w:tcBorders>
            <w:shd w:val="clear" w:color="auto" w:fill="FF0000"/>
          </w:tcPr>
          <w:p w14:paraId="398EF5FC" w14:textId="77777777" w:rsidR="002B1A69" w:rsidRPr="00B36690" w:rsidRDefault="002B1A69" w:rsidP="00B36690">
            <w:pPr>
              <w:pStyle w:val="TableText"/>
              <w:jc w:val="right"/>
            </w:pPr>
            <w:r w:rsidRPr="00B36690">
              <w:t>122</w:t>
            </w:r>
          </w:p>
        </w:tc>
        <w:tc>
          <w:tcPr>
            <w:tcW w:w="487" w:type="pct"/>
            <w:tcBorders>
              <w:top w:val="single" w:sz="4" w:space="0" w:color="auto"/>
            </w:tcBorders>
            <w:shd w:val="clear" w:color="auto" w:fill="FF0000"/>
          </w:tcPr>
          <w:p w14:paraId="3C7F9180" w14:textId="77777777" w:rsidR="002B1A69" w:rsidRPr="00B36690" w:rsidRDefault="002B1A69" w:rsidP="00B36690">
            <w:pPr>
              <w:pStyle w:val="TableText"/>
              <w:jc w:val="right"/>
            </w:pPr>
            <w:r w:rsidRPr="00B36690">
              <w:t>542</w:t>
            </w:r>
          </w:p>
        </w:tc>
      </w:tr>
      <w:tr w:rsidR="002B1A69" w:rsidRPr="006E15AF" w14:paraId="499B6D63" w14:textId="77777777" w:rsidTr="002B1A69">
        <w:trPr>
          <w:cantSplit/>
          <w:trHeight w:val="13"/>
        </w:trPr>
        <w:tc>
          <w:tcPr>
            <w:tcW w:w="873" w:type="pct"/>
            <w:vMerge/>
          </w:tcPr>
          <w:p w14:paraId="1184DA6A" w14:textId="77777777" w:rsidR="002B1A69" w:rsidRPr="00B36690" w:rsidRDefault="002B1A69" w:rsidP="00B36690">
            <w:pPr>
              <w:pStyle w:val="TableText"/>
            </w:pPr>
          </w:p>
        </w:tc>
        <w:tc>
          <w:tcPr>
            <w:tcW w:w="652" w:type="pct"/>
            <w:vMerge/>
          </w:tcPr>
          <w:p w14:paraId="30BBC8A9" w14:textId="77777777" w:rsidR="002B1A69" w:rsidRPr="00B36690" w:rsidRDefault="002B1A69" w:rsidP="00B36690">
            <w:pPr>
              <w:pStyle w:val="TableText"/>
            </w:pPr>
          </w:p>
        </w:tc>
        <w:tc>
          <w:tcPr>
            <w:tcW w:w="878" w:type="pct"/>
          </w:tcPr>
          <w:p w14:paraId="2F0DBF0E" w14:textId="77777777" w:rsidR="002B1A69" w:rsidRPr="00B36690" w:rsidRDefault="002B1A69" w:rsidP="00B36690">
            <w:pPr>
              <w:pStyle w:val="TableText"/>
            </w:pPr>
            <w:r w:rsidRPr="00B36690">
              <w:t>Small omnivore</w:t>
            </w:r>
          </w:p>
        </w:tc>
        <w:tc>
          <w:tcPr>
            <w:tcW w:w="652" w:type="pct"/>
          </w:tcPr>
          <w:p w14:paraId="3D6756C0" w14:textId="77777777" w:rsidR="002B1A69" w:rsidRPr="00B36690" w:rsidRDefault="002B1A69" w:rsidP="00B36690">
            <w:pPr>
              <w:pStyle w:val="TableText"/>
            </w:pPr>
            <w:r w:rsidRPr="00B36690">
              <w:t>BBCH ≥40</w:t>
            </w:r>
          </w:p>
        </w:tc>
        <w:tc>
          <w:tcPr>
            <w:tcW w:w="486" w:type="pct"/>
          </w:tcPr>
          <w:p w14:paraId="4077D559" w14:textId="77777777" w:rsidR="002B1A69" w:rsidRPr="00B36690" w:rsidRDefault="002B1A69" w:rsidP="00B36690">
            <w:pPr>
              <w:pStyle w:val="TableText"/>
              <w:jc w:val="right"/>
            </w:pPr>
            <w:r w:rsidRPr="00B36690">
              <w:t>7.2</w:t>
            </w:r>
          </w:p>
        </w:tc>
        <w:tc>
          <w:tcPr>
            <w:tcW w:w="486" w:type="pct"/>
          </w:tcPr>
          <w:p w14:paraId="504089C1" w14:textId="77777777" w:rsidR="002B1A69" w:rsidRPr="00B36690" w:rsidRDefault="002B1A69" w:rsidP="00B36690">
            <w:pPr>
              <w:pStyle w:val="TableText"/>
              <w:jc w:val="right"/>
            </w:pPr>
            <w:r w:rsidRPr="00B36690">
              <w:t>3.3</w:t>
            </w:r>
          </w:p>
        </w:tc>
        <w:tc>
          <w:tcPr>
            <w:tcW w:w="486" w:type="pct"/>
          </w:tcPr>
          <w:p w14:paraId="56F18375" w14:textId="77777777" w:rsidR="002B1A69" w:rsidRPr="00B36690" w:rsidRDefault="002B1A69" w:rsidP="00B36690">
            <w:pPr>
              <w:pStyle w:val="TableText"/>
              <w:jc w:val="right"/>
            </w:pPr>
            <w:r w:rsidRPr="00B36690">
              <w:t>972</w:t>
            </w:r>
          </w:p>
        </w:tc>
        <w:tc>
          <w:tcPr>
            <w:tcW w:w="487" w:type="pct"/>
          </w:tcPr>
          <w:p w14:paraId="0A4D1140" w14:textId="77777777" w:rsidR="002B1A69" w:rsidRPr="00B36690" w:rsidRDefault="002B1A69" w:rsidP="00B36690">
            <w:pPr>
              <w:pStyle w:val="TableText"/>
              <w:jc w:val="right"/>
            </w:pPr>
            <w:r w:rsidRPr="00B36690">
              <w:t>3682</w:t>
            </w:r>
          </w:p>
        </w:tc>
      </w:tr>
      <w:tr w:rsidR="002B1A69" w:rsidRPr="006E15AF" w14:paraId="0B85271D" w14:textId="77777777" w:rsidTr="002B1A69">
        <w:trPr>
          <w:cantSplit/>
          <w:trHeight w:val="13"/>
        </w:trPr>
        <w:tc>
          <w:tcPr>
            <w:tcW w:w="873" w:type="pct"/>
            <w:vMerge/>
          </w:tcPr>
          <w:p w14:paraId="6AC03E16" w14:textId="77777777" w:rsidR="002B1A69" w:rsidRPr="00B36690" w:rsidRDefault="002B1A69" w:rsidP="00B36690">
            <w:pPr>
              <w:pStyle w:val="TableText"/>
            </w:pPr>
          </w:p>
        </w:tc>
        <w:tc>
          <w:tcPr>
            <w:tcW w:w="652" w:type="pct"/>
            <w:vMerge/>
          </w:tcPr>
          <w:p w14:paraId="6C1ACB00" w14:textId="77777777" w:rsidR="002B1A69" w:rsidRPr="00B36690" w:rsidRDefault="002B1A69" w:rsidP="00B36690">
            <w:pPr>
              <w:pStyle w:val="TableText"/>
            </w:pPr>
          </w:p>
        </w:tc>
        <w:tc>
          <w:tcPr>
            <w:tcW w:w="878" w:type="pct"/>
            <w:tcBorders>
              <w:bottom w:val="single" w:sz="4" w:space="0" w:color="auto"/>
            </w:tcBorders>
          </w:tcPr>
          <w:p w14:paraId="5AEAA640" w14:textId="77777777" w:rsidR="002B1A69" w:rsidRPr="00B36690" w:rsidRDefault="002B1A69" w:rsidP="00B36690">
            <w:pPr>
              <w:pStyle w:val="TableText"/>
            </w:pPr>
            <w:r w:rsidRPr="00B36690">
              <w:t>Small granivore/ insectivore</w:t>
            </w:r>
          </w:p>
        </w:tc>
        <w:tc>
          <w:tcPr>
            <w:tcW w:w="652" w:type="pct"/>
            <w:tcBorders>
              <w:bottom w:val="single" w:sz="4" w:space="0" w:color="auto"/>
            </w:tcBorders>
          </w:tcPr>
          <w:p w14:paraId="76F8CAC6" w14:textId="77777777" w:rsidR="002B1A69" w:rsidRPr="00B36690" w:rsidRDefault="002B1A69" w:rsidP="00B36690">
            <w:pPr>
              <w:pStyle w:val="TableText"/>
            </w:pPr>
            <w:r w:rsidRPr="00B36690">
              <w:t>Late season</w:t>
            </w:r>
          </w:p>
        </w:tc>
        <w:tc>
          <w:tcPr>
            <w:tcW w:w="486" w:type="pct"/>
            <w:tcBorders>
              <w:bottom w:val="single" w:sz="4" w:space="0" w:color="auto"/>
            </w:tcBorders>
          </w:tcPr>
          <w:p w14:paraId="418812DA" w14:textId="77777777" w:rsidR="002B1A69" w:rsidRPr="00B36690" w:rsidRDefault="002B1A69" w:rsidP="00B36690">
            <w:pPr>
              <w:pStyle w:val="TableText"/>
              <w:jc w:val="right"/>
            </w:pPr>
            <w:r w:rsidRPr="00B36690">
              <w:t>27.0</w:t>
            </w:r>
          </w:p>
        </w:tc>
        <w:tc>
          <w:tcPr>
            <w:tcW w:w="486" w:type="pct"/>
            <w:tcBorders>
              <w:bottom w:val="single" w:sz="4" w:space="0" w:color="auto"/>
            </w:tcBorders>
          </w:tcPr>
          <w:p w14:paraId="1C481807" w14:textId="77777777" w:rsidR="002B1A69" w:rsidRPr="00B36690" w:rsidRDefault="002B1A69" w:rsidP="00B36690">
            <w:pPr>
              <w:pStyle w:val="TableText"/>
              <w:jc w:val="right"/>
            </w:pPr>
            <w:r w:rsidRPr="00B36690">
              <w:t>12.5</w:t>
            </w:r>
          </w:p>
        </w:tc>
        <w:tc>
          <w:tcPr>
            <w:tcW w:w="486" w:type="pct"/>
            <w:tcBorders>
              <w:bottom w:val="single" w:sz="4" w:space="0" w:color="auto"/>
            </w:tcBorders>
            <w:shd w:val="clear" w:color="auto" w:fill="FF0000"/>
          </w:tcPr>
          <w:p w14:paraId="14CE8E6D" w14:textId="77777777" w:rsidR="002B1A69" w:rsidRPr="00B36690" w:rsidRDefault="002B1A69" w:rsidP="00B36690">
            <w:pPr>
              <w:pStyle w:val="TableText"/>
              <w:jc w:val="right"/>
            </w:pPr>
            <w:r w:rsidRPr="00B36690">
              <w:t>259</w:t>
            </w:r>
          </w:p>
        </w:tc>
        <w:tc>
          <w:tcPr>
            <w:tcW w:w="487" w:type="pct"/>
            <w:tcBorders>
              <w:bottom w:val="single" w:sz="4" w:space="0" w:color="auto"/>
            </w:tcBorders>
          </w:tcPr>
          <w:p w14:paraId="533AA2D2" w14:textId="77777777" w:rsidR="002B1A69" w:rsidRPr="00B36690" w:rsidRDefault="002B1A69" w:rsidP="00B36690">
            <w:pPr>
              <w:pStyle w:val="TableText"/>
              <w:jc w:val="right"/>
            </w:pPr>
            <w:r w:rsidRPr="00B36690">
              <w:t>972</w:t>
            </w:r>
          </w:p>
        </w:tc>
      </w:tr>
      <w:tr w:rsidR="002B1A69" w:rsidRPr="00DB693A" w14:paraId="54FD0BF0" w14:textId="77777777" w:rsidTr="002B1A69">
        <w:trPr>
          <w:cantSplit/>
          <w:trHeight w:val="13"/>
        </w:trPr>
        <w:tc>
          <w:tcPr>
            <w:tcW w:w="873" w:type="pct"/>
            <w:vMerge w:val="restart"/>
            <w:tcBorders>
              <w:top w:val="single" w:sz="4" w:space="0" w:color="auto"/>
            </w:tcBorders>
          </w:tcPr>
          <w:p w14:paraId="0E3A2854" w14:textId="77777777" w:rsidR="002B1A69" w:rsidRPr="00B36690" w:rsidRDefault="002B1A69" w:rsidP="00B36690">
            <w:pPr>
              <w:pStyle w:val="TableText"/>
            </w:pPr>
            <w:r w:rsidRPr="00B36690">
              <w:t>Pre-harvest desiccation in cereals and rice</w:t>
            </w:r>
          </w:p>
        </w:tc>
        <w:tc>
          <w:tcPr>
            <w:tcW w:w="652" w:type="pct"/>
            <w:vMerge w:val="restart"/>
            <w:tcBorders>
              <w:top w:val="single" w:sz="4" w:space="0" w:color="auto"/>
            </w:tcBorders>
          </w:tcPr>
          <w:p w14:paraId="6829D91C" w14:textId="77777777" w:rsidR="002B1A69" w:rsidRPr="00B36690" w:rsidRDefault="002B1A69" w:rsidP="00B36690">
            <w:pPr>
              <w:pStyle w:val="TableText"/>
            </w:pPr>
            <w:r w:rsidRPr="00B36690">
              <w:t>Cereals</w:t>
            </w:r>
          </w:p>
        </w:tc>
        <w:tc>
          <w:tcPr>
            <w:tcW w:w="878" w:type="pct"/>
            <w:tcBorders>
              <w:top w:val="single" w:sz="4" w:space="0" w:color="auto"/>
            </w:tcBorders>
          </w:tcPr>
          <w:p w14:paraId="287AE2A9" w14:textId="77777777" w:rsidR="002B1A69" w:rsidRPr="00B36690" w:rsidRDefault="002B1A69" w:rsidP="00B36690">
            <w:pPr>
              <w:pStyle w:val="TableText"/>
            </w:pPr>
            <w:r w:rsidRPr="00B36690">
              <w:t>Small insectivore</w:t>
            </w:r>
          </w:p>
        </w:tc>
        <w:tc>
          <w:tcPr>
            <w:tcW w:w="652" w:type="pct"/>
            <w:tcBorders>
              <w:top w:val="single" w:sz="4" w:space="0" w:color="auto"/>
            </w:tcBorders>
          </w:tcPr>
          <w:p w14:paraId="0D563EEC" w14:textId="77777777" w:rsidR="002B1A69" w:rsidRPr="00B36690" w:rsidRDefault="002B1A69" w:rsidP="00B36690">
            <w:pPr>
              <w:pStyle w:val="TableText"/>
            </w:pPr>
            <w:r w:rsidRPr="00B36690">
              <w:t>BBCH 71-89</w:t>
            </w:r>
          </w:p>
        </w:tc>
        <w:tc>
          <w:tcPr>
            <w:tcW w:w="486" w:type="pct"/>
            <w:tcBorders>
              <w:top w:val="single" w:sz="4" w:space="0" w:color="auto"/>
            </w:tcBorders>
          </w:tcPr>
          <w:p w14:paraId="40B888D3" w14:textId="77777777" w:rsidR="002B1A69" w:rsidRPr="00B36690" w:rsidRDefault="002B1A69" w:rsidP="00B36690">
            <w:pPr>
              <w:pStyle w:val="TableText"/>
              <w:jc w:val="right"/>
            </w:pPr>
            <w:r w:rsidRPr="00B36690">
              <w:t>57.6</w:t>
            </w:r>
          </w:p>
        </w:tc>
        <w:tc>
          <w:tcPr>
            <w:tcW w:w="486" w:type="pct"/>
            <w:tcBorders>
              <w:top w:val="single" w:sz="4" w:space="0" w:color="auto"/>
            </w:tcBorders>
          </w:tcPr>
          <w:p w14:paraId="0265DD20" w14:textId="77777777" w:rsidR="002B1A69" w:rsidRPr="00B36690" w:rsidRDefault="002B1A69" w:rsidP="00B36690">
            <w:pPr>
              <w:pStyle w:val="TableText"/>
              <w:jc w:val="right"/>
            </w:pPr>
            <w:r w:rsidRPr="00B36690">
              <w:t>22.4</w:t>
            </w:r>
          </w:p>
        </w:tc>
        <w:tc>
          <w:tcPr>
            <w:tcW w:w="486" w:type="pct"/>
            <w:tcBorders>
              <w:top w:val="single" w:sz="4" w:space="0" w:color="auto"/>
            </w:tcBorders>
            <w:shd w:val="clear" w:color="auto" w:fill="FF0000"/>
          </w:tcPr>
          <w:p w14:paraId="18E0B945" w14:textId="77777777" w:rsidR="002B1A69" w:rsidRPr="00B36690" w:rsidRDefault="002B1A69" w:rsidP="00B36690">
            <w:pPr>
              <w:pStyle w:val="TableText"/>
              <w:jc w:val="right"/>
            </w:pPr>
            <w:r w:rsidRPr="00B36690">
              <w:t>122</w:t>
            </w:r>
          </w:p>
        </w:tc>
        <w:tc>
          <w:tcPr>
            <w:tcW w:w="487" w:type="pct"/>
            <w:tcBorders>
              <w:top w:val="single" w:sz="4" w:space="0" w:color="auto"/>
            </w:tcBorders>
            <w:shd w:val="clear" w:color="auto" w:fill="FF0000"/>
          </w:tcPr>
          <w:p w14:paraId="003038BB" w14:textId="77777777" w:rsidR="002B1A69" w:rsidRPr="00B36690" w:rsidRDefault="002B1A69" w:rsidP="00B36690">
            <w:pPr>
              <w:pStyle w:val="TableText"/>
              <w:jc w:val="right"/>
            </w:pPr>
            <w:r w:rsidRPr="00B36690">
              <w:t>542</w:t>
            </w:r>
          </w:p>
        </w:tc>
      </w:tr>
      <w:tr w:rsidR="002B1A69" w:rsidRPr="006E15AF" w14:paraId="79C3D261" w14:textId="77777777" w:rsidTr="002B1A69">
        <w:trPr>
          <w:cantSplit/>
          <w:trHeight w:val="13"/>
        </w:trPr>
        <w:tc>
          <w:tcPr>
            <w:tcW w:w="873" w:type="pct"/>
            <w:vMerge/>
          </w:tcPr>
          <w:p w14:paraId="0ABFE443" w14:textId="77777777" w:rsidR="002B1A69" w:rsidRPr="00B36690" w:rsidRDefault="002B1A69" w:rsidP="00B36690">
            <w:pPr>
              <w:pStyle w:val="TableText"/>
            </w:pPr>
          </w:p>
        </w:tc>
        <w:tc>
          <w:tcPr>
            <w:tcW w:w="652" w:type="pct"/>
            <w:vMerge/>
          </w:tcPr>
          <w:p w14:paraId="7EA499AE" w14:textId="77777777" w:rsidR="002B1A69" w:rsidRPr="00B36690" w:rsidRDefault="002B1A69" w:rsidP="00B36690">
            <w:pPr>
              <w:pStyle w:val="TableText"/>
            </w:pPr>
          </w:p>
        </w:tc>
        <w:tc>
          <w:tcPr>
            <w:tcW w:w="878" w:type="pct"/>
          </w:tcPr>
          <w:p w14:paraId="0BA8A306" w14:textId="77777777" w:rsidR="002B1A69" w:rsidRPr="00B36690" w:rsidRDefault="002B1A69" w:rsidP="00B36690">
            <w:pPr>
              <w:pStyle w:val="TableText"/>
            </w:pPr>
            <w:r w:rsidRPr="00B36690">
              <w:t>Small omnivore</w:t>
            </w:r>
          </w:p>
        </w:tc>
        <w:tc>
          <w:tcPr>
            <w:tcW w:w="652" w:type="pct"/>
          </w:tcPr>
          <w:p w14:paraId="5F82C590" w14:textId="77777777" w:rsidR="002B1A69" w:rsidRPr="00B36690" w:rsidRDefault="002B1A69" w:rsidP="00B36690">
            <w:pPr>
              <w:pStyle w:val="TableText"/>
            </w:pPr>
            <w:r w:rsidRPr="00B36690">
              <w:t>BBCH ≥40</w:t>
            </w:r>
          </w:p>
        </w:tc>
        <w:tc>
          <w:tcPr>
            <w:tcW w:w="486" w:type="pct"/>
          </w:tcPr>
          <w:p w14:paraId="36E221D8" w14:textId="77777777" w:rsidR="002B1A69" w:rsidRPr="00B36690" w:rsidRDefault="002B1A69" w:rsidP="00B36690">
            <w:pPr>
              <w:pStyle w:val="TableText"/>
              <w:jc w:val="right"/>
            </w:pPr>
            <w:r w:rsidRPr="00B36690">
              <w:t>7.2</w:t>
            </w:r>
          </w:p>
        </w:tc>
        <w:tc>
          <w:tcPr>
            <w:tcW w:w="486" w:type="pct"/>
          </w:tcPr>
          <w:p w14:paraId="1C3930F7" w14:textId="77777777" w:rsidR="002B1A69" w:rsidRPr="00B36690" w:rsidRDefault="002B1A69" w:rsidP="00B36690">
            <w:pPr>
              <w:pStyle w:val="TableText"/>
              <w:jc w:val="right"/>
            </w:pPr>
            <w:r w:rsidRPr="00B36690">
              <w:t>3.3</w:t>
            </w:r>
          </w:p>
        </w:tc>
        <w:tc>
          <w:tcPr>
            <w:tcW w:w="486" w:type="pct"/>
          </w:tcPr>
          <w:p w14:paraId="591830DF" w14:textId="77777777" w:rsidR="002B1A69" w:rsidRPr="00B36690" w:rsidRDefault="002B1A69" w:rsidP="00B36690">
            <w:pPr>
              <w:pStyle w:val="TableText"/>
              <w:jc w:val="right"/>
            </w:pPr>
            <w:r w:rsidRPr="00B36690">
              <w:t>972</w:t>
            </w:r>
          </w:p>
        </w:tc>
        <w:tc>
          <w:tcPr>
            <w:tcW w:w="487" w:type="pct"/>
          </w:tcPr>
          <w:p w14:paraId="1017BD3F" w14:textId="77777777" w:rsidR="002B1A69" w:rsidRPr="00B36690" w:rsidRDefault="002B1A69" w:rsidP="00B36690">
            <w:pPr>
              <w:pStyle w:val="TableText"/>
              <w:jc w:val="right"/>
            </w:pPr>
            <w:r w:rsidRPr="00B36690">
              <w:t>3682</w:t>
            </w:r>
          </w:p>
        </w:tc>
      </w:tr>
      <w:tr w:rsidR="002B1A69" w:rsidRPr="006E15AF" w14:paraId="1FFE03DD" w14:textId="77777777" w:rsidTr="002B1A69">
        <w:trPr>
          <w:cantSplit/>
          <w:trHeight w:val="13"/>
        </w:trPr>
        <w:tc>
          <w:tcPr>
            <w:tcW w:w="873" w:type="pct"/>
            <w:vMerge/>
            <w:tcBorders>
              <w:bottom w:val="single" w:sz="4" w:space="0" w:color="auto"/>
            </w:tcBorders>
          </w:tcPr>
          <w:p w14:paraId="686AD1CA" w14:textId="77777777" w:rsidR="002B1A69" w:rsidRPr="00B36690" w:rsidRDefault="002B1A69" w:rsidP="00B36690">
            <w:pPr>
              <w:pStyle w:val="TableText"/>
            </w:pPr>
          </w:p>
        </w:tc>
        <w:tc>
          <w:tcPr>
            <w:tcW w:w="652" w:type="pct"/>
            <w:vMerge/>
            <w:tcBorders>
              <w:bottom w:val="single" w:sz="4" w:space="0" w:color="auto"/>
            </w:tcBorders>
          </w:tcPr>
          <w:p w14:paraId="64FF2AA4" w14:textId="77777777" w:rsidR="002B1A69" w:rsidRPr="00B36690" w:rsidRDefault="002B1A69" w:rsidP="00B36690">
            <w:pPr>
              <w:pStyle w:val="TableText"/>
            </w:pPr>
          </w:p>
        </w:tc>
        <w:tc>
          <w:tcPr>
            <w:tcW w:w="878" w:type="pct"/>
            <w:tcBorders>
              <w:bottom w:val="single" w:sz="4" w:space="0" w:color="auto"/>
            </w:tcBorders>
          </w:tcPr>
          <w:p w14:paraId="2C13C3E0" w14:textId="77777777" w:rsidR="002B1A69" w:rsidRPr="00B36690" w:rsidRDefault="002B1A69" w:rsidP="00B36690">
            <w:pPr>
              <w:pStyle w:val="TableText"/>
            </w:pPr>
            <w:r w:rsidRPr="00B36690">
              <w:t>Small granivore/ insectivore</w:t>
            </w:r>
          </w:p>
        </w:tc>
        <w:tc>
          <w:tcPr>
            <w:tcW w:w="652" w:type="pct"/>
            <w:tcBorders>
              <w:bottom w:val="single" w:sz="4" w:space="0" w:color="auto"/>
            </w:tcBorders>
          </w:tcPr>
          <w:p w14:paraId="0D4E2A3E" w14:textId="77777777" w:rsidR="002B1A69" w:rsidRPr="00B36690" w:rsidRDefault="002B1A69" w:rsidP="00B36690">
            <w:pPr>
              <w:pStyle w:val="TableText"/>
            </w:pPr>
            <w:r w:rsidRPr="00B36690">
              <w:t>Late season</w:t>
            </w:r>
          </w:p>
        </w:tc>
        <w:tc>
          <w:tcPr>
            <w:tcW w:w="486" w:type="pct"/>
            <w:tcBorders>
              <w:bottom w:val="single" w:sz="4" w:space="0" w:color="auto"/>
            </w:tcBorders>
          </w:tcPr>
          <w:p w14:paraId="0AB7330A" w14:textId="77777777" w:rsidR="002B1A69" w:rsidRPr="00B36690" w:rsidRDefault="002B1A69" w:rsidP="00B36690">
            <w:pPr>
              <w:pStyle w:val="TableText"/>
              <w:jc w:val="right"/>
            </w:pPr>
            <w:r w:rsidRPr="00B36690">
              <w:t>27.0</w:t>
            </w:r>
          </w:p>
        </w:tc>
        <w:tc>
          <w:tcPr>
            <w:tcW w:w="486" w:type="pct"/>
            <w:tcBorders>
              <w:bottom w:val="single" w:sz="4" w:space="0" w:color="auto"/>
            </w:tcBorders>
          </w:tcPr>
          <w:p w14:paraId="312DC80C" w14:textId="77777777" w:rsidR="002B1A69" w:rsidRPr="00B36690" w:rsidRDefault="002B1A69" w:rsidP="00B36690">
            <w:pPr>
              <w:pStyle w:val="TableText"/>
              <w:jc w:val="right"/>
            </w:pPr>
            <w:r w:rsidRPr="00B36690">
              <w:t>12.5</w:t>
            </w:r>
          </w:p>
        </w:tc>
        <w:tc>
          <w:tcPr>
            <w:tcW w:w="486" w:type="pct"/>
            <w:tcBorders>
              <w:bottom w:val="single" w:sz="4" w:space="0" w:color="auto"/>
            </w:tcBorders>
            <w:shd w:val="clear" w:color="auto" w:fill="FF0000"/>
          </w:tcPr>
          <w:p w14:paraId="44603DCA" w14:textId="77777777" w:rsidR="002B1A69" w:rsidRPr="00B36690" w:rsidRDefault="002B1A69" w:rsidP="00B36690">
            <w:pPr>
              <w:pStyle w:val="TableText"/>
              <w:jc w:val="right"/>
            </w:pPr>
            <w:r w:rsidRPr="00B36690">
              <w:t>259</w:t>
            </w:r>
          </w:p>
        </w:tc>
        <w:tc>
          <w:tcPr>
            <w:tcW w:w="487" w:type="pct"/>
            <w:tcBorders>
              <w:bottom w:val="single" w:sz="4" w:space="0" w:color="auto"/>
            </w:tcBorders>
          </w:tcPr>
          <w:p w14:paraId="3B2F4886" w14:textId="77777777" w:rsidR="002B1A69" w:rsidRPr="00B36690" w:rsidRDefault="002B1A69" w:rsidP="00B36690">
            <w:pPr>
              <w:pStyle w:val="TableText"/>
              <w:jc w:val="right"/>
            </w:pPr>
            <w:r w:rsidRPr="00B36690">
              <w:t>972</w:t>
            </w:r>
          </w:p>
        </w:tc>
      </w:tr>
      <w:tr w:rsidR="002B1A69" w:rsidRPr="006E15AF" w14:paraId="423B6964" w14:textId="77777777" w:rsidTr="002B1A69">
        <w:trPr>
          <w:cantSplit/>
          <w:trHeight w:val="13"/>
        </w:trPr>
        <w:tc>
          <w:tcPr>
            <w:tcW w:w="873" w:type="pct"/>
            <w:vMerge w:val="restart"/>
            <w:tcBorders>
              <w:top w:val="single" w:sz="4" w:space="0" w:color="auto"/>
            </w:tcBorders>
          </w:tcPr>
          <w:p w14:paraId="6EE6FE30" w14:textId="77777777" w:rsidR="002B1A69" w:rsidRPr="00B36690" w:rsidRDefault="002B1A69" w:rsidP="00B36690">
            <w:pPr>
              <w:pStyle w:val="TableText"/>
            </w:pPr>
            <w:r w:rsidRPr="00B36690">
              <w:t>Pre-harvest desiccation in cotton</w:t>
            </w:r>
          </w:p>
        </w:tc>
        <w:tc>
          <w:tcPr>
            <w:tcW w:w="652" w:type="pct"/>
            <w:vMerge w:val="restart"/>
            <w:tcBorders>
              <w:top w:val="single" w:sz="4" w:space="0" w:color="auto"/>
            </w:tcBorders>
          </w:tcPr>
          <w:p w14:paraId="2EB26D87" w14:textId="77777777" w:rsidR="002B1A69" w:rsidRPr="00B36690" w:rsidRDefault="002B1A69" w:rsidP="00B36690">
            <w:pPr>
              <w:pStyle w:val="TableText"/>
            </w:pPr>
            <w:r w:rsidRPr="00B36690">
              <w:t>Cotton</w:t>
            </w:r>
          </w:p>
        </w:tc>
        <w:tc>
          <w:tcPr>
            <w:tcW w:w="878" w:type="pct"/>
            <w:tcBorders>
              <w:top w:val="single" w:sz="4" w:space="0" w:color="auto"/>
            </w:tcBorders>
          </w:tcPr>
          <w:p w14:paraId="0E2091B6" w14:textId="77777777" w:rsidR="002B1A69" w:rsidRPr="00B36690" w:rsidRDefault="002B1A69" w:rsidP="00B36690">
            <w:pPr>
              <w:pStyle w:val="TableText"/>
            </w:pPr>
            <w:r w:rsidRPr="00B36690">
              <w:t>Medium insectivore</w:t>
            </w:r>
          </w:p>
        </w:tc>
        <w:tc>
          <w:tcPr>
            <w:tcW w:w="652" w:type="pct"/>
            <w:tcBorders>
              <w:top w:val="single" w:sz="4" w:space="0" w:color="auto"/>
            </w:tcBorders>
          </w:tcPr>
          <w:p w14:paraId="1282B967" w14:textId="77777777" w:rsidR="002B1A69" w:rsidRPr="00B36690" w:rsidRDefault="002B1A69" w:rsidP="00B36690">
            <w:pPr>
              <w:pStyle w:val="TableText"/>
            </w:pPr>
            <w:r w:rsidRPr="00B36690">
              <w:t>BBCH ≥20</w:t>
            </w:r>
          </w:p>
        </w:tc>
        <w:tc>
          <w:tcPr>
            <w:tcW w:w="486" w:type="pct"/>
            <w:tcBorders>
              <w:top w:val="single" w:sz="4" w:space="0" w:color="auto"/>
            </w:tcBorders>
          </w:tcPr>
          <w:p w14:paraId="3C0F666E" w14:textId="77777777" w:rsidR="002B1A69" w:rsidRPr="00B36690" w:rsidRDefault="002B1A69" w:rsidP="00B36690">
            <w:pPr>
              <w:pStyle w:val="TableText"/>
              <w:jc w:val="right"/>
            </w:pPr>
            <w:r w:rsidRPr="00B36690">
              <w:t>3.0</w:t>
            </w:r>
          </w:p>
        </w:tc>
        <w:tc>
          <w:tcPr>
            <w:tcW w:w="486" w:type="pct"/>
            <w:tcBorders>
              <w:top w:val="single" w:sz="4" w:space="0" w:color="auto"/>
            </w:tcBorders>
          </w:tcPr>
          <w:p w14:paraId="35D964C6" w14:textId="77777777" w:rsidR="002B1A69" w:rsidRPr="00B36690" w:rsidRDefault="002B1A69" w:rsidP="00B36690">
            <w:pPr>
              <w:pStyle w:val="TableText"/>
              <w:jc w:val="right"/>
            </w:pPr>
            <w:r w:rsidRPr="00B36690">
              <w:t>1.1</w:t>
            </w:r>
          </w:p>
        </w:tc>
        <w:tc>
          <w:tcPr>
            <w:tcW w:w="486" w:type="pct"/>
            <w:tcBorders>
              <w:top w:val="single" w:sz="4" w:space="0" w:color="auto"/>
            </w:tcBorders>
          </w:tcPr>
          <w:p w14:paraId="6FFBDF76" w14:textId="77777777" w:rsidR="002B1A69" w:rsidRPr="00B36690" w:rsidRDefault="002B1A69" w:rsidP="00B36690">
            <w:pPr>
              <w:pStyle w:val="TableText"/>
              <w:jc w:val="right"/>
            </w:pPr>
            <w:r w:rsidRPr="00B36690">
              <w:t>2333</w:t>
            </w:r>
          </w:p>
        </w:tc>
        <w:tc>
          <w:tcPr>
            <w:tcW w:w="487" w:type="pct"/>
            <w:tcBorders>
              <w:top w:val="single" w:sz="4" w:space="0" w:color="auto"/>
            </w:tcBorders>
          </w:tcPr>
          <w:p w14:paraId="2CB8A269" w14:textId="77777777" w:rsidR="002B1A69" w:rsidRPr="00B36690" w:rsidRDefault="002B1A69" w:rsidP="00B36690">
            <w:pPr>
              <w:pStyle w:val="TableText"/>
              <w:jc w:val="right"/>
            </w:pPr>
            <w:r w:rsidRPr="00B36690">
              <w:t>11045</w:t>
            </w:r>
          </w:p>
        </w:tc>
      </w:tr>
      <w:tr w:rsidR="002B1A69" w:rsidRPr="006E15AF" w14:paraId="518ED322" w14:textId="77777777" w:rsidTr="002B1A69">
        <w:trPr>
          <w:cantSplit/>
          <w:trHeight w:val="13"/>
        </w:trPr>
        <w:tc>
          <w:tcPr>
            <w:tcW w:w="873" w:type="pct"/>
            <w:vMerge/>
            <w:tcBorders>
              <w:top w:val="single" w:sz="4" w:space="0" w:color="auto"/>
              <w:bottom w:val="single" w:sz="4" w:space="0" w:color="auto"/>
            </w:tcBorders>
          </w:tcPr>
          <w:p w14:paraId="7C46F399" w14:textId="77777777" w:rsidR="002B1A69" w:rsidRPr="00B36690" w:rsidRDefault="002B1A69" w:rsidP="00B36690">
            <w:pPr>
              <w:pStyle w:val="TableText"/>
            </w:pPr>
          </w:p>
        </w:tc>
        <w:tc>
          <w:tcPr>
            <w:tcW w:w="652" w:type="pct"/>
            <w:vMerge/>
            <w:tcBorders>
              <w:top w:val="single" w:sz="4" w:space="0" w:color="auto"/>
              <w:bottom w:val="single" w:sz="4" w:space="0" w:color="auto"/>
            </w:tcBorders>
          </w:tcPr>
          <w:p w14:paraId="48FC1F5B" w14:textId="77777777" w:rsidR="002B1A69" w:rsidRPr="00B36690" w:rsidRDefault="002B1A69" w:rsidP="00B36690">
            <w:pPr>
              <w:pStyle w:val="TableText"/>
            </w:pPr>
          </w:p>
        </w:tc>
        <w:tc>
          <w:tcPr>
            <w:tcW w:w="878" w:type="pct"/>
            <w:tcBorders>
              <w:bottom w:val="single" w:sz="4" w:space="0" w:color="auto"/>
            </w:tcBorders>
          </w:tcPr>
          <w:p w14:paraId="0B4BB9C2" w14:textId="77777777" w:rsidR="002B1A69" w:rsidRPr="00B36690" w:rsidRDefault="002B1A69" w:rsidP="00B36690">
            <w:pPr>
              <w:pStyle w:val="TableText"/>
            </w:pPr>
            <w:r w:rsidRPr="00B36690">
              <w:t>Small omnivore</w:t>
            </w:r>
          </w:p>
        </w:tc>
        <w:tc>
          <w:tcPr>
            <w:tcW w:w="652" w:type="pct"/>
            <w:tcBorders>
              <w:bottom w:val="single" w:sz="4" w:space="0" w:color="auto"/>
            </w:tcBorders>
          </w:tcPr>
          <w:p w14:paraId="7321F6D4" w14:textId="77777777" w:rsidR="002B1A69" w:rsidRPr="00B36690" w:rsidRDefault="002B1A69" w:rsidP="00B36690">
            <w:pPr>
              <w:pStyle w:val="TableText"/>
            </w:pPr>
            <w:r w:rsidRPr="00B36690">
              <w:t>BBCH ≥50</w:t>
            </w:r>
          </w:p>
        </w:tc>
        <w:tc>
          <w:tcPr>
            <w:tcW w:w="486" w:type="pct"/>
            <w:tcBorders>
              <w:bottom w:val="single" w:sz="4" w:space="0" w:color="auto"/>
            </w:tcBorders>
          </w:tcPr>
          <w:p w14:paraId="79071B6C" w14:textId="77777777" w:rsidR="002B1A69" w:rsidRPr="00B36690" w:rsidRDefault="002B1A69" w:rsidP="00B36690">
            <w:pPr>
              <w:pStyle w:val="TableText"/>
              <w:jc w:val="right"/>
            </w:pPr>
            <w:r w:rsidRPr="00B36690">
              <w:t>4.4</w:t>
            </w:r>
          </w:p>
        </w:tc>
        <w:tc>
          <w:tcPr>
            <w:tcW w:w="486" w:type="pct"/>
            <w:tcBorders>
              <w:bottom w:val="single" w:sz="4" w:space="0" w:color="auto"/>
            </w:tcBorders>
          </w:tcPr>
          <w:p w14:paraId="20B3FA8B" w14:textId="77777777" w:rsidR="002B1A69" w:rsidRPr="00B36690" w:rsidRDefault="002B1A69" w:rsidP="00B36690">
            <w:pPr>
              <w:pStyle w:val="TableText"/>
              <w:jc w:val="right"/>
            </w:pPr>
            <w:r w:rsidRPr="00B36690">
              <w:t>2.8</w:t>
            </w:r>
          </w:p>
        </w:tc>
        <w:tc>
          <w:tcPr>
            <w:tcW w:w="486" w:type="pct"/>
            <w:tcBorders>
              <w:bottom w:val="single" w:sz="4" w:space="0" w:color="auto"/>
            </w:tcBorders>
          </w:tcPr>
          <w:p w14:paraId="339F6729" w14:textId="77777777" w:rsidR="002B1A69" w:rsidRPr="00B36690" w:rsidRDefault="002B1A69" w:rsidP="00B36690">
            <w:pPr>
              <w:pStyle w:val="TableText"/>
              <w:jc w:val="right"/>
            </w:pPr>
            <w:r w:rsidRPr="00B36690">
              <w:t>1591</w:t>
            </w:r>
          </w:p>
        </w:tc>
        <w:tc>
          <w:tcPr>
            <w:tcW w:w="487" w:type="pct"/>
            <w:tcBorders>
              <w:bottom w:val="single" w:sz="4" w:space="0" w:color="auto"/>
            </w:tcBorders>
          </w:tcPr>
          <w:p w14:paraId="0545605F" w14:textId="77777777" w:rsidR="002B1A69" w:rsidRPr="00B36690" w:rsidRDefault="002B1A69" w:rsidP="00B36690">
            <w:pPr>
              <w:pStyle w:val="TableText"/>
              <w:jc w:val="right"/>
            </w:pPr>
            <w:r w:rsidRPr="00B36690">
              <w:t>4339</w:t>
            </w:r>
          </w:p>
        </w:tc>
      </w:tr>
      <w:tr w:rsidR="002B1A69" w:rsidRPr="006E15AF" w14:paraId="6F67B79C" w14:textId="77777777" w:rsidTr="002B1A69">
        <w:trPr>
          <w:cantSplit/>
          <w:trHeight w:val="13"/>
        </w:trPr>
        <w:tc>
          <w:tcPr>
            <w:tcW w:w="873" w:type="pct"/>
            <w:vMerge w:val="restart"/>
            <w:tcBorders>
              <w:top w:val="single" w:sz="4" w:space="0" w:color="auto"/>
            </w:tcBorders>
          </w:tcPr>
          <w:p w14:paraId="6F46A926" w14:textId="77777777" w:rsidR="002B1A69" w:rsidRPr="00B36690" w:rsidRDefault="002B1A69" w:rsidP="00B36690">
            <w:pPr>
              <w:pStyle w:val="TableText"/>
            </w:pPr>
            <w:r w:rsidRPr="00B36690">
              <w:t xml:space="preserve">General weed </w:t>
            </w:r>
            <w:r w:rsidRPr="00B36690">
              <w:lastRenderedPageBreak/>
              <w:t>control in infested areas, hay freezing, pasture, public service areas, rights of way</w:t>
            </w:r>
          </w:p>
        </w:tc>
        <w:tc>
          <w:tcPr>
            <w:tcW w:w="652" w:type="pct"/>
            <w:vMerge w:val="restart"/>
            <w:tcBorders>
              <w:top w:val="single" w:sz="4" w:space="0" w:color="auto"/>
            </w:tcBorders>
          </w:tcPr>
          <w:p w14:paraId="04D402EE" w14:textId="77777777" w:rsidR="002B1A69" w:rsidRPr="00B36690" w:rsidRDefault="002B1A69" w:rsidP="00B36690">
            <w:pPr>
              <w:pStyle w:val="TableText"/>
            </w:pPr>
            <w:r w:rsidRPr="00B36690">
              <w:lastRenderedPageBreak/>
              <w:t>Grassland</w:t>
            </w:r>
          </w:p>
        </w:tc>
        <w:tc>
          <w:tcPr>
            <w:tcW w:w="878" w:type="pct"/>
            <w:tcBorders>
              <w:top w:val="single" w:sz="4" w:space="0" w:color="auto"/>
            </w:tcBorders>
          </w:tcPr>
          <w:p w14:paraId="54811C22"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78211C9D" w14:textId="77777777" w:rsidR="002B1A69" w:rsidRPr="00B36690" w:rsidRDefault="002B1A69" w:rsidP="00B36690">
            <w:pPr>
              <w:pStyle w:val="TableText"/>
            </w:pPr>
            <w:r w:rsidRPr="00B36690">
              <w:t xml:space="preserve">Late season </w:t>
            </w:r>
          </w:p>
        </w:tc>
        <w:tc>
          <w:tcPr>
            <w:tcW w:w="486" w:type="pct"/>
            <w:tcBorders>
              <w:top w:val="single" w:sz="4" w:space="0" w:color="auto"/>
            </w:tcBorders>
          </w:tcPr>
          <w:p w14:paraId="2953B231" w14:textId="77777777" w:rsidR="002B1A69" w:rsidRPr="00B36690" w:rsidRDefault="002B1A69" w:rsidP="00B36690">
            <w:pPr>
              <w:pStyle w:val="TableText"/>
              <w:jc w:val="right"/>
            </w:pPr>
            <w:r w:rsidRPr="00B36690">
              <w:t>24.7</w:t>
            </w:r>
          </w:p>
        </w:tc>
        <w:tc>
          <w:tcPr>
            <w:tcW w:w="486" w:type="pct"/>
            <w:tcBorders>
              <w:top w:val="single" w:sz="4" w:space="0" w:color="auto"/>
            </w:tcBorders>
          </w:tcPr>
          <w:p w14:paraId="0AE7BEB9" w14:textId="77777777" w:rsidR="002B1A69" w:rsidRPr="00B36690" w:rsidRDefault="002B1A69" w:rsidP="00B36690">
            <w:pPr>
              <w:pStyle w:val="TableText"/>
              <w:jc w:val="right"/>
            </w:pPr>
            <w:r w:rsidRPr="00B36690">
              <w:t>11.4</w:t>
            </w:r>
          </w:p>
        </w:tc>
        <w:tc>
          <w:tcPr>
            <w:tcW w:w="486" w:type="pct"/>
            <w:tcBorders>
              <w:top w:val="single" w:sz="4" w:space="0" w:color="auto"/>
            </w:tcBorders>
            <w:shd w:val="clear" w:color="auto" w:fill="FF0000"/>
          </w:tcPr>
          <w:p w14:paraId="778C662B" w14:textId="77777777" w:rsidR="002B1A69" w:rsidRPr="00B36690" w:rsidRDefault="002B1A69" w:rsidP="00B36690">
            <w:pPr>
              <w:pStyle w:val="TableText"/>
              <w:jc w:val="right"/>
            </w:pPr>
            <w:r w:rsidRPr="00B36690">
              <w:t>283</w:t>
            </w:r>
          </w:p>
        </w:tc>
        <w:tc>
          <w:tcPr>
            <w:tcW w:w="487" w:type="pct"/>
            <w:tcBorders>
              <w:top w:val="single" w:sz="4" w:space="0" w:color="auto"/>
            </w:tcBorders>
          </w:tcPr>
          <w:p w14:paraId="60386AD8" w14:textId="77777777" w:rsidR="002B1A69" w:rsidRPr="00B36690" w:rsidRDefault="002B1A69" w:rsidP="00B36690">
            <w:pPr>
              <w:pStyle w:val="TableText"/>
              <w:jc w:val="right"/>
            </w:pPr>
            <w:r w:rsidRPr="00B36690">
              <w:t>1066</w:t>
            </w:r>
          </w:p>
        </w:tc>
      </w:tr>
      <w:tr w:rsidR="002B1A69" w:rsidRPr="006E15AF" w14:paraId="4CB9D10B" w14:textId="77777777" w:rsidTr="002B1A69">
        <w:trPr>
          <w:cantSplit/>
          <w:trHeight w:val="13"/>
        </w:trPr>
        <w:tc>
          <w:tcPr>
            <w:tcW w:w="873" w:type="pct"/>
            <w:vMerge/>
          </w:tcPr>
          <w:p w14:paraId="78FBBF06" w14:textId="77777777" w:rsidR="002B1A69" w:rsidRPr="00B36690" w:rsidRDefault="002B1A69" w:rsidP="00B36690">
            <w:pPr>
              <w:pStyle w:val="TableText"/>
            </w:pPr>
          </w:p>
        </w:tc>
        <w:tc>
          <w:tcPr>
            <w:tcW w:w="652" w:type="pct"/>
            <w:vMerge/>
          </w:tcPr>
          <w:p w14:paraId="6CDC43FC" w14:textId="77777777" w:rsidR="002B1A69" w:rsidRPr="00B36690" w:rsidRDefault="002B1A69" w:rsidP="00B36690">
            <w:pPr>
              <w:pStyle w:val="TableText"/>
            </w:pPr>
          </w:p>
        </w:tc>
        <w:tc>
          <w:tcPr>
            <w:tcW w:w="878" w:type="pct"/>
          </w:tcPr>
          <w:p w14:paraId="59290FA9" w14:textId="77777777" w:rsidR="002B1A69" w:rsidRPr="00B36690" w:rsidRDefault="002B1A69" w:rsidP="00B36690">
            <w:pPr>
              <w:pStyle w:val="TableText"/>
            </w:pPr>
            <w:r w:rsidRPr="00B36690">
              <w:t>Large herbivore</w:t>
            </w:r>
          </w:p>
        </w:tc>
        <w:tc>
          <w:tcPr>
            <w:tcW w:w="652" w:type="pct"/>
          </w:tcPr>
          <w:p w14:paraId="174A9CA4" w14:textId="77777777" w:rsidR="002B1A69" w:rsidRPr="00B36690" w:rsidRDefault="002B1A69" w:rsidP="00B36690">
            <w:pPr>
              <w:pStyle w:val="TableText"/>
            </w:pPr>
            <w:r w:rsidRPr="00B36690">
              <w:t>Growing shoots</w:t>
            </w:r>
          </w:p>
        </w:tc>
        <w:tc>
          <w:tcPr>
            <w:tcW w:w="486" w:type="pct"/>
          </w:tcPr>
          <w:p w14:paraId="2467F5AE" w14:textId="77777777" w:rsidR="002B1A69" w:rsidRPr="00B36690" w:rsidRDefault="002B1A69" w:rsidP="00B36690">
            <w:pPr>
              <w:pStyle w:val="TableText"/>
              <w:jc w:val="right"/>
            </w:pPr>
            <w:r w:rsidRPr="00B36690">
              <w:t>30.5</w:t>
            </w:r>
          </w:p>
        </w:tc>
        <w:tc>
          <w:tcPr>
            <w:tcW w:w="486" w:type="pct"/>
          </w:tcPr>
          <w:p w14:paraId="4348CD3B" w14:textId="77777777" w:rsidR="002B1A69" w:rsidRPr="00B36690" w:rsidRDefault="002B1A69" w:rsidP="00B36690">
            <w:pPr>
              <w:pStyle w:val="TableText"/>
              <w:jc w:val="right"/>
            </w:pPr>
            <w:r w:rsidRPr="00B36690">
              <w:t>16.2</w:t>
            </w:r>
          </w:p>
        </w:tc>
        <w:tc>
          <w:tcPr>
            <w:tcW w:w="486" w:type="pct"/>
            <w:shd w:val="clear" w:color="auto" w:fill="FF0000"/>
          </w:tcPr>
          <w:p w14:paraId="5AF6330A" w14:textId="77777777" w:rsidR="002B1A69" w:rsidRPr="00B36690" w:rsidRDefault="002B1A69" w:rsidP="00B36690">
            <w:pPr>
              <w:pStyle w:val="TableText"/>
              <w:jc w:val="right"/>
            </w:pPr>
            <w:r w:rsidRPr="00B36690">
              <w:t>230</w:t>
            </w:r>
          </w:p>
        </w:tc>
        <w:tc>
          <w:tcPr>
            <w:tcW w:w="487" w:type="pct"/>
          </w:tcPr>
          <w:p w14:paraId="3210E1F9" w14:textId="77777777" w:rsidR="002B1A69" w:rsidRPr="00B36690" w:rsidRDefault="002B1A69" w:rsidP="00B36690">
            <w:pPr>
              <w:pStyle w:val="TableText"/>
              <w:jc w:val="right"/>
            </w:pPr>
            <w:r w:rsidRPr="00B36690">
              <w:t>750</w:t>
            </w:r>
          </w:p>
        </w:tc>
      </w:tr>
      <w:tr w:rsidR="002B1A69" w:rsidRPr="006E15AF" w14:paraId="6D1119A5" w14:textId="77777777" w:rsidTr="002B1A69">
        <w:trPr>
          <w:cantSplit/>
          <w:trHeight w:val="13"/>
        </w:trPr>
        <w:tc>
          <w:tcPr>
            <w:tcW w:w="873" w:type="pct"/>
            <w:vMerge/>
            <w:tcBorders>
              <w:bottom w:val="single" w:sz="4" w:space="0" w:color="auto"/>
            </w:tcBorders>
          </w:tcPr>
          <w:p w14:paraId="0F9566B2" w14:textId="77777777" w:rsidR="002B1A69" w:rsidRPr="00B36690" w:rsidRDefault="002B1A69" w:rsidP="00B36690">
            <w:pPr>
              <w:pStyle w:val="TableText"/>
            </w:pPr>
          </w:p>
        </w:tc>
        <w:tc>
          <w:tcPr>
            <w:tcW w:w="652" w:type="pct"/>
            <w:vMerge/>
            <w:tcBorders>
              <w:bottom w:val="single" w:sz="4" w:space="0" w:color="auto"/>
            </w:tcBorders>
          </w:tcPr>
          <w:p w14:paraId="71916A04" w14:textId="77777777" w:rsidR="002B1A69" w:rsidRPr="00B36690" w:rsidRDefault="002B1A69" w:rsidP="00B36690">
            <w:pPr>
              <w:pStyle w:val="TableText"/>
            </w:pPr>
          </w:p>
        </w:tc>
        <w:tc>
          <w:tcPr>
            <w:tcW w:w="878" w:type="pct"/>
            <w:tcBorders>
              <w:bottom w:val="single" w:sz="4" w:space="0" w:color="auto"/>
            </w:tcBorders>
          </w:tcPr>
          <w:p w14:paraId="729D13DC"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0F0FDB3B" w14:textId="77777777" w:rsidR="002B1A69" w:rsidRPr="00B36690" w:rsidRDefault="002B1A69" w:rsidP="00B36690">
            <w:pPr>
              <w:pStyle w:val="TableText"/>
            </w:pPr>
            <w:r w:rsidRPr="00B36690">
              <w:t>Growing shoots</w:t>
            </w:r>
          </w:p>
        </w:tc>
        <w:tc>
          <w:tcPr>
            <w:tcW w:w="486" w:type="pct"/>
            <w:tcBorders>
              <w:bottom w:val="single" w:sz="4" w:space="0" w:color="auto"/>
            </w:tcBorders>
          </w:tcPr>
          <w:p w14:paraId="6E5A2718" w14:textId="77777777" w:rsidR="002B1A69" w:rsidRPr="00B36690" w:rsidRDefault="002B1A69" w:rsidP="00B36690">
            <w:pPr>
              <w:pStyle w:val="TableText"/>
              <w:jc w:val="right"/>
            </w:pPr>
            <w:r w:rsidRPr="00B36690">
              <w:t>26.8</w:t>
            </w:r>
          </w:p>
        </w:tc>
        <w:tc>
          <w:tcPr>
            <w:tcW w:w="486" w:type="pct"/>
            <w:tcBorders>
              <w:bottom w:val="single" w:sz="4" w:space="0" w:color="auto"/>
            </w:tcBorders>
          </w:tcPr>
          <w:p w14:paraId="139ABA8F" w14:textId="77777777" w:rsidR="002B1A69" w:rsidRPr="00B36690" w:rsidRDefault="002B1A69" w:rsidP="00B36690">
            <w:pPr>
              <w:pStyle w:val="TableText"/>
              <w:jc w:val="right"/>
            </w:pPr>
            <w:r w:rsidRPr="00B36690">
              <w:t>11.3</w:t>
            </w:r>
          </w:p>
        </w:tc>
        <w:tc>
          <w:tcPr>
            <w:tcW w:w="486" w:type="pct"/>
            <w:tcBorders>
              <w:bottom w:val="single" w:sz="4" w:space="0" w:color="auto"/>
            </w:tcBorders>
            <w:shd w:val="clear" w:color="auto" w:fill="FF0000"/>
          </w:tcPr>
          <w:p w14:paraId="31F3B6B9" w14:textId="77777777" w:rsidR="002B1A69" w:rsidRPr="00B36690" w:rsidRDefault="002B1A69" w:rsidP="00B36690">
            <w:pPr>
              <w:pStyle w:val="TableText"/>
              <w:jc w:val="right"/>
            </w:pPr>
            <w:r w:rsidRPr="00B36690">
              <w:t>261</w:t>
            </w:r>
          </w:p>
        </w:tc>
        <w:tc>
          <w:tcPr>
            <w:tcW w:w="487" w:type="pct"/>
            <w:tcBorders>
              <w:bottom w:val="single" w:sz="4" w:space="0" w:color="auto"/>
            </w:tcBorders>
          </w:tcPr>
          <w:p w14:paraId="6DB5A894" w14:textId="77777777" w:rsidR="002B1A69" w:rsidRPr="00B36690" w:rsidRDefault="002B1A69" w:rsidP="00B36690">
            <w:pPr>
              <w:pStyle w:val="TableText"/>
              <w:jc w:val="right"/>
            </w:pPr>
            <w:r w:rsidRPr="00B36690">
              <w:t>1075</w:t>
            </w:r>
          </w:p>
        </w:tc>
      </w:tr>
      <w:tr w:rsidR="002B1A69" w:rsidRPr="006E15AF" w14:paraId="1C1995CA" w14:textId="77777777" w:rsidTr="002B1A69">
        <w:trPr>
          <w:cantSplit/>
          <w:trHeight w:val="13"/>
        </w:trPr>
        <w:tc>
          <w:tcPr>
            <w:tcW w:w="873" w:type="pct"/>
            <w:vMerge w:val="restart"/>
            <w:tcBorders>
              <w:top w:val="single" w:sz="4" w:space="0" w:color="auto"/>
            </w:tcBorders>
          </w:tcPr>
          <w:p w14:paraId="4411ADBA" w14:textId="77777777" w:rsidR="002B1A69" w:rsidRPr="00B36690" w:rsidRDefault="002B1A69" w:rsidP="00B36690">
            <w:pPr>
              <w:pStyle w:val="TableText"/>
            </w:pPr>
            <w:r w:rsidRPr="00B36690">
              <w:t>General weed control in lucerne (grazed before application)</w:t>
            </w:r>
          </w:p>
        </w:tc>
        <w:tc>
          <w:tcPr>
            <w:tcW w:w="652" w:type="pct"/>
            <w:vMerge w:val="restart"/>
            <w:tcBorders>
              <w:top w:val="single" w:sz="4" w:space="0" w:color="auto"/>
            </w:tcBorders>
          </w:tcPr>
          <w:p w14:paraId="754289DD" w14:textId="77777777" w:rsidR="002B1A69" w:rsidRPr="00B36690" w:rsidRDefault="002B1A69" w:rsidP="00B36690">
            <w:pPr>
              <w:pStyle w:val="TableText"/>
            </w:pPr>
            <w:r w:rsidRPr="00B36690">
              <w:t>Legume forage</w:t>
            </w:r>
          </w:p>
        </w:tc>
        <w:tc>
          <w:tcPr>
            <w:tcW w:w="878" w:type="pct"/>
            <w:tcBorders>
              <w:top w:val="single" w:sz="4" w:space="0" w:color="auto"/>
            </w:tcBorders>
          </w:tcPr>
          <w:p w14:paraId="14AFE690"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3B2CDEC8" w14:textId="77777777" w:rsidR="002B1A69" w:rsidRPr="00B36690" w:rsidRDefault="002B1A69" w:rsidP="00B36690">
            <w:pPr>
              <w:pStyle w:val="TableText"/>
            </w:pPr>
            <w:r w:rsidRPr="00B36690">
              <w:t>BBCH 10-49</w:t>
            </w:r>
          </w:p>
        </w:tc>
        <w:tc>
          <w:tcPr>
            <w:tcW w:w="486" w:type="pct"/>
            <w:tcBorders>
              <w:top w:val="single" w:sz="4" w:space="0" w:color="auto"/>
            </w:tcBorders>
          </w:tcPr>
          <w:p w14:paraId="436B6889" w14:textId="77777777" w:rsidR="002B1A69" w:rsidRPr="00B36690" w:rsidRDefault="002B1A69" w:rsidP="00B36690">
            <w:pPr>
              <w:pStyle w:val="TableText"/>
              <w:jc w:val="right"/>
            </w:pPr>
            <w:r w:rsidRPr="00B36690">
              <w:t>24.7</w:t>
            </w:r>
          </w:p>
        </w:tc>
        <w:tc>
          <w:tcPr>
            <w:tcW w:w="486" w:type="pct"/>
            <w:tcBorders>
              <w:top w:val="single" w:sz="4" w:space="0" w:color="auto"/>
            </w:tcBorders>
          </w:tcPr>
          <w:p w14:paraId="0A962D5C" w14:textId="77777777" w:rsidR="002B1A69" w:rsidRPr="00B36690" w:rsidRDefault="002B1A69" w:rsidP="00B36690">
            <w:pPr>
              <w:pStyle w:val="TableText"/>
              <w:jc w:val="right"/>
            </w:pPr>
            <w:r w:rsidRPr="00B36690">
              <w:t>11.4</w:t>
            </w:r>
          </w:p>
        </w:tc>
        <w:tc>
          <w:tcPr>
            <w:tcW w:w="486" w:type="pct"/>
            <w:tcBorders>
              <w:top w:val="single" w:sz="4" w:space="0" w:color="auto"/>
            </w:tcBorders>
          </w:tcPr>
          <w:p w14:paraId="3E56D0E1" w14:textId="77777777" w:rsidR="002B1A69" w:rsidRPr="00B36690" w:rsidRDefault="002B1A69" w:rsidP="00B36690">
            <w:pPr>
              <w:pStyle w:val="TableText"/>
              <w:jc w:val="right"/>
            </w:pPr>
            <w:r w:rsidRPr="00B36690">
              <w:t>283</w:t>
            </w:r>
          </w:p>
        </w:tc>
        <w:tc>
          <w:tcPr>
            <w:tcW w:w="487" w:type="pct"/>
            <w:tcBorders>
              <w:top w:val="single" w:sz="4" w:space="0" w:color="auto"/>
            </w:tcBorders>
          </w:tcPr>
          <w:p w14:paraId="239812E5" w14:textId="77777777" w:rsidR="002B1A69" w:rsidRPr="00B36690" w:rsidRDefault="002B1A69" w:rsidP="00B36690">
            <w:pPr>
              <w:pStyle w:val="TableText"/>
              <w:jc w:val="right"/>
            </w:pPr>
            <w:r w:rsidRPr="00B36690">
              <w:t>1066</w:t>
            </w:r>
          </w:p>
        </w:tc>
      </w:tr>
      <w:tr w:rsidR="002B1A69" w:rsidRPr="006E15AF" w14:paraId="1D4FA6AE" w14:textId="77777777" w:rsidTr="002B1A69">
        <w:trPr>
          <w:cantSplit/>
          <w:trHeight w:val="13"/>
        </w:trPr>
        <w:tc>
          <w:tcPr>
            <w:tcW w:w="873" w:type="pct"/>
            <w:vMerge/>
          </w:tcPr>
          <w:p w14:paraId="1C941B82" w14:textId="77777777" w:rsidR="002B1A69" w:rsidRPr="00B36690" w:rsidRDefault="002B1A69" w:rsidP="00B36690">
            <w:pPr>
              <w:pStyle w:val="TableText"/>
            </w:pPr>
          </w:p>
        </w:tc>
        <w:tc>
          <w:tcPr>
            <w:tcW w:w="652" w:type="pct"/>
            <w:vMerge/>
          </w:tcPr>
          <w:p w14:paraId="78F01BBF" w14:textId="77777777" w:rsidR="002B1A69" w:rsidRPr="00B36690" w:rsidRDefault="002B1A69" w:rsidP="00B36690">
            <w:pPr>
              <w:pStyle w:val="TableText"/>
            </w:pPr>
          </w:p>
        </w:tc>
        <w:tc>
          <w:tcPr>
            <w:tcW w:w="878" w:type="pct"/>
          </w:tcPr>
          <w:p w14:paraId="2E656034" w14:textId="77777777" w:rsidR="002B1A69" w:rsidRPr="00B36690" w:rsidRDefault="002B1A69" w:rsidP="00B36690">
            <w:pPr>
              <w:pStyle w:val="TableText"/>
            </w:pPr>
            <w:r w:rsidRPr="00B36690">
              <w:t>Small omnivore</w:t>
            </w:r>
          </w:p>
        </w:tc>
        <w:tc>
          <w:tcPr>
            <w:tcW w:w="652" w:type="pct"/>
          </w:tcPr>
          <w:p w14:paraId="02288170" w14:textId="77777777" w:rsidR="002B1A69" w:rsidRPr="00B36690" w:rsidRDefault="002B1A69" w:rsidP="00B36690">
            <w:pPr>
              <w:pStyle w:val="TableText"/>
            </w:pPr>
            <w:r w:rsidRPr="00B36690">
              <w:t>BBCH 10-49</w:t>
            </w:r>
          </w:p>
        </w:tc>
        <w:tc>
          <w:tcPr>
            <w:tcW w:w="486" w:type="pct"/>
          </w:tcPr>
          <w:p w14:paraId="66FA514B" w14:textId="77777777" w:rsidR="002B1A69" w:rsidRPr="00B36690" w:rsidRDefault="002B1A69" w:rsidP="00B36690">
            <w:pPr>
              <w:pStyle w:val="TableText"/>
              <w:jc w:val="right"/>
            </w:pPr>
            <w:r w:rsidRPr="00B36690">
              <w:t>24.0</w:t>
            </w:r>
          </w:p>
        </w:tc>
        <w:tc>
          <w:tcPr>
            <w:tcW w:w="486" w:type="pct"/>
          </w:tcPr>
          <w:p w14:paraId="2C0D9F83" w14:textId="77777777" w:rsidR="002B1A69" w:rsidRPr="00B36690" w:rsidRDefault="002B1A69" w:rsidP="00B36690">
            <w:pPr>
              <w:pStyle w:val="TableText"/>
              <w:jc w:val="right"/>
            </w:pPr>
            <w:r w:rsidRPr="00B36690">
              <w:t>10.9</w:t>
            </w:r>
          </w:p>
        </w:tc>
        <w:tc>
          <w:tcPr>
            <w:tcW w:w="486" w:type="pct"/>
          </w:tcPr>
          <w:p w14:paraId="21AD3956" w14:textId="77777777" w:rsidR="002B1A69" w:rsidRPr="00B36690" w:rsidRDefault="002B1A69" w:rsidP="00B36690">
            <w:pPr>
              <w:pStyle w:val="TableText"/>
              <w:jc w:val="right"/>
            </w:pPr>
            <w:r w:rsidRPr="00B36690">
              <w:t>292</w:t>
            </w:r>
          </w:p>
        </w:tc>
        <w:tc>
          <w:tcPr>
            <w:tcW w:w="487" w:type="pct"/>
          </w:tcPr>
          <w:p w14:paraId="0D7D5C6E" w14:textId="77777777" w:rsidR="002B1A69" w:rsidRPr="00B36690" w:rsidRDefault="002B1A69" w:rsidP="00B36690">
            <w:pPr>
              <w:pStyle w:val="TableText"/>
              <w:jc w:val="right"/>
            </w:pPr>
            <w:r w:rsidRPr="00B36690">
              <w:t>1115</w:t>
            </w:r>
          </w:p>
        </w:tc>
      </w:tr>
      <w:tr w:rsidR="002B1A69" w:rsidRPr="006E15AF" w14:paraId="6527F3B7" w14:textId="77777777" w:rsidTr="002B1A69">
        <w:trPr>
          <w:cantSplit/>
          <w:trHeight w:val="13"/>
        </w:trPr>
        <w:tc>
          <w:tcPr>
            <w:tcW w:w="873" w:type="pct"/>
            <w:vMerge/>
          </w:tcPr>
          <w:p w14:paraId="13BA15F7" w14:textId="77777777" w:rsidR="002B1A69" w:rsidRPr="00B36690" w:rsidRDefault="002B1A69" w:rsidP="00B36690">
            <w:pPr>
              <w:pStyle w:val="TableText"/>
            </w:pPr>
          </w:p>
        </w:tc>
        <w:tc>
          <w:tcPr>
            <w:tcW w:w="652" w:type="pct"/>
            <w:vMerge/>
          </w:tcPr>
          <w:p w14:paraId="64E95369" w14:textId="77777777" w:rsidR="002B1A69" w:rsidRPr="00B36690" w:rsidRDefault="002B1A69" w:rsidP="00B36690">
            <w:pPr>
              <w:pStyle w:val="TableText"/>
            </w:pPr>
          </w:p>
        </w:tc>
        <w:tc>
          <w:tcPr>
            <w:tcW w:w="878" w:type="pct"/>
            <w:tcBorders>
              <w:bottom w:val="single" w:sz="4" w:space="0" w:color="auto"/>
            </w:tcBorders>
          </w:tcPr>
          <w:p w14:paraId="6631C333"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1E1A767D" w14:textId="77777777" w:rsidR="002B1A69" w:rsidRPr="00B36690" w:rsidRDefault="002B1A69" w:rsidP="00B36690">
            <w:pPr>
              <w:pStyle w:val="TableText"/>
            </w:pPr>
            <w:r w:rsidRPr="00B36690">
              <w:t>BBCH 10-19</w:t>
            </w:r>
          </w:p>
        </w:tc>
        <w:tc>
          <w:tcPr>
            <w:tcW w:w="486" w:type="pct"/>
            <w:tcBorders>
              <w:bottom w:val="single" w:sz="4" w:space="0" w:color="auto"/>
            </w:tcBorders>
          </w:tcPr>
          <w:p w14:paraId="78404FA8" w14:textId="77777777" w:rsidR="002B1A69" w:rsidRPr="00B36690" w:rsidRDefault="002B1A69" w:rsidP="00B36690">
            <w:pPr>
              <w:pStyle w:val="TableText"/>
              <w:jc w:val="right"/>
            </w:pPr>
            <w:r w:rsidRPr="00B36690">
              <w:t>26.8</w:t>
            </w:r>
          </w:p>
        </w:tc>
        <w:tc>
          <w:tcPr>
            <w:tcW w:w="486" w:type="pct"/>
            <w:tcBorders>
              <w:bottom w:val="single" w:sz="4" w:space="0" w:color="auto"/>
            </w:tcBorders>
          </w:tcPr>
          <w:p w14:paraId="563CCD5A" w14:textId="77777777" w:rsidR="002B1A69" w:rsidRPr="00B36690" w:rsidRDefault="002B1A69" w:rsidP="00B36690">
            <w:pPr>
              <w:pStyle w:val="TableText"/>
              <w:jc w:val="right"/>
            </w:pPr>
            <w:r w:rsidRPr="00B36690">
              <w:t>11.3</w:t>
            </w:r>
          </w:p>
        </w:tc>
        <w:tc>
          <w:tcPr>
            <w:tcW w:w="486" w:type="pct"/>
            <w:tcBorders>
              <w:bottom w:val="single" w:sz="4" w:space="0" w:color="auto"/>
            </w:tcBorders>
            <w:shd w:val="clear" w:color="auto" w:fill="FF0000"/>
          </w:tcPr>
          <w:p w14:paraId="759ED021" w14:textId="77777777" w:rsidR="002B1A69" w:rsidRPr="00B36690" w:rsidRDefault="002B1A69" w:rsidP="00B36690">
            <w:pPr>
              <w:pStyle w:val="TableText"/>
              <w:jc w:val="right"/>
            </w:pPr>
            <w:r w:rsidRPr="00B36690">
              <w:t>261</w:t>
            </w:r>
          </w:p>
        </w:tc>
        <w:tc>
          <w:tcPr>
            <w:tcW w:w="487" w:type="pct"/>
            <w:tcBorders>
              <w:bottom w:val="single" w:sz="4" w:space="0" w:color="auto"/>
            </w:tcBorders>
          </w:tcPr>
          <w:p w14:paraId="68A38B68" w14:textId="77777777" w:rsidR="002B1A69" w:rsidRPr="00B36690" w:rsidRDefault="002B1A69" w:rsidP="00B36690">
            <w:pPr>
              <w:pStyle w:val="TableText"/>
              <w:jc w:val="right"/>
            </w:pPr>
            <w:r w:rsidRPr="00B36690">
              <w:t>1075</w:t>
            </w:r>
          </w:p>
        </w:tc>
      </w:tr>
      <w:tr w:rsidR="002B1A69" w:rsidRPr="006E15AF" w14:paraId="6DC390A3" w14:textId="77777777" w:rsidTr="002B1A69">
        <w:trPr>
          <w:cantSplit/>
          <w:trHeight w:val="13"/>
        </w:trPr>
        <w:tc>
          <w:tcPr>
            <w:tcW w:w="873" w:type="pct"/>
            <w:vMerge w:val="restart"/>
            <w:tcBorders>
              <w:top w:val="single" w:sz="4" w:space="0" w:color="auto"/>
            </w:tcBorders>
          </w:tcPr>
          <w:p w14:paraId="48BD92A4" w14:textId="77777777" w:rsidR="002B1A69" w:rsidRPr="00B36690" w:rsidRDefault="002B1A69" w:rsidP="00B36690">
            <w:pPr>
              <w:pStyle w:val="TableText"/>
            </w:pPr>
            <w:r w:rsidRPr="00B36690">
              <w:t>Pre-harvest desiccation in lucerne and lupins</w:t>
            </w:r>
          </w:p>
        </w:tc>
        <w:tc>
          <w:tcPr>
            <w:tcW w:w="652" w:type="pct"/>
            <w:vMerge w:val="restart"/>
            <w:tcBorders>
              <w:top w:val="single" w:sz="4" w:space="0" w:color="auto"/>
            </w:tcBorders>
          </w:tcPr>
          <w:p w14:paraId="2BAF6B48" w14:textId="77777777" w:rsidR="002B1A69" w:rsidRPr="00B36690" w:rsidRDefault="002B1A69" w:rsidP="00B36690">
            <w:pPr>
              <w:pStyle w:val="TableText"/>
            </w:pPr>
            <w:r w:rsidRPr="00B36690">
              <w:t>Legume forage</w:t>
            </w:r>
          </w:p>
        </w:tc>
        <w:tc>
          <w:tcPr>
            <w:tcW w:w="878" w:type="pct"/>
            <w:tcBorders>
              <w:top w:val="single" w:sz="4" w:space="0" w:color="auto"/>
            </w:tcBorders>
          </w:tcPr>
          <w:p w14:paraId="03B36A7F"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15094C9A" w14:textId="77777777" w:rsidR="002B1A69" w:rsidRPr="00B36690" w:rsidRDefault="002B1A69" w:rsidP="00B36690">
            <w:pPr>
              <w:pStyle w:val="TableText"/>
            </w:pPr>
            <w:r w:rsidRPr="00B36690">
              <w:t>BBCH ≥50</w:t>
            </w:r>
          </w:p>
        </w:tc>
        <w:tc>
          <w:tcPr>
            <w:tcW w:w="486" w:type="pct"/>
            <w:tcBorders>
              <w:top w:val="single" w:sz="4" w:space="0" w:color="auto"/>
            </w:tcBorders>
          </w:tcPr>
          <w:p w14:paraId="20CC67D8" w14:textId="77777777" w:rsidR="002B1A69" w:rsidRPr="00B36690" w:rsidRDefault="002B1A69" w:rsidP="00B36690">
            <w:pPr>
              <w:pStyle w:val="TableText"/>
              <w:jc w:val="right"/>
            </w:pPr>
            <w:r w:rsidRPr="00B36690">
              <w:t>7.4</w:t>
            </w:r>
          </w:p>
        </w:tc>
        <w:tc>
          <w:tcPr>
            <w:tcW w:w="486" w:type="pct"/>
            <w:tcBorders>
              <w:top w:val="single" w:sz="4" w:space="0" w:color="auto"/>
            </w:tcBorders>
          </w:tcPr>
          <w:p w14:paraId="5CB89046" w14:textId="77777777" w:rsidR="002B1A69" w:rsidRPr="00B36690" w:rsidRDefault="002B1A69" w:rsidP="00B36690">
            <w:pPr>
              <w:pStyle w:val="TableText"/>
              <w:jc w:val="right"/>
            </w:pPr>
            <w:r w:rsidRPr="00B36690">
              <w:t>3.4</w:t>
            </w:r>
          </w:p>
        </w:tc>
        <w:tc>
          <w:tcPr>
            <w:tcW w:w="486" w:type="pct"/>
            <w:tcBorders>
              <w:top w:val="single" w:sz="4" w:space="0" w:color="auto"/>
            </w:tcBorders>
          </w:tcPr>
          <w:p w14:paraId="2F83C039" w14:textId="77777777" w:rsidR="002B1A69" w:rsidRPr="00B36690" w:rsidRDefault="002B1A69" w:rsidP="00B36690">
            <w:pPr>
              <w:pStyle w:val="TableText"/>
              <w:jc w:val="right"/>
            </w:pPr>
            <w:r w:rsidRPr="00B36690">
              <w:t>946</w:t>
            </w:r>
          </w:p>
        </w:tc>
        <w:tc>
          <w:tcPr>
            <w:tcW w:w="487" w:type="pct"/>
            <w:tcBorders>
              <w:top w:val="single" w:sz="4" w:space="0" w:color="auto"/>
            </w:tcBorders>
          </w:tcPr>
          <w:p w14:paraId="6C7208AC" w14:textId="77777777" w:rsidR="002B1A69" w:rsidRPr="00B36690" w:rsidRDefault="002B1A69" w:rsidP="00B36690">
            <w:pPr>
              <w:pStyle w:val="TableText"/>
              <w:jc w:val="right"/>
            </w:pPr>
            <w:r w:rsidRPr="00B36690">
              <w:t>3574</w:t>
            </w:r>
          </w:p>
        </w:tc>
      </w:tr>
      <w:tr w:rsidR="002B1A69" w:rsidRPr="006E15AF" w14:paraId="038A71A6" w14:textId="77777777" w:rsidTr="002B1A69">
        <w:trPr>
          <w:cantSplit/>
          <w:trHeight w:val="13"/>
        </w:trPr>
        <w:tc>
          <w:tcPr>
            <w:tcW w:w="873" w:type="pct"/>
            <w:vMerge/>
            <w:tcBorders>
              <w:top w:val="single" w:sz="4" w:space="0" w:color="auto"/>
            </w:tcBorders>
          </w:tcPr>
          <w:p w14:paraId="0290BB9F" w14:textId="77777777" w:rsidR="002B1A69" w:rsidRPr="00B36690" w:rsidRDefault="002B1A69" w:rsidP="00B36690">
            <w:pPr>
              <w:pStyle w:val="TableText"/>
            </w:pPr>
          </w:p>
        </w:tc>
        <w:tc>
          <w:tcPr>
            <w:tcW w:w="652" w:type="pct"/>
            <w:vMerge/>
            <w:tcBorders>
              <w:top w:val="single" w:sz="4" w:space="0" w:color="auto"/>
            </w:tcBorders>
          </w:tcPr>
          <w:p w14:paraId="057A86BA" w14:textId="77777777" w:rsidR="002B1A69" w:rsidRPr="00B36690" w:rsidRDefault="002B1A69" w:rsidP="00B36690">
            <w:pPr>
              <w:pStyle w:val="TableText"/>
            </w:pPr>
          </w:p>
        </w:tc>
        <w:tc>
          <w:tcPr>
            <w:tcW w:w="878" w:type="pct"/>
          </w:tcPr>
          <w:p w14:paraId="488F3762" w14:textId="77777777" w:rsidR="002B1A69" w:rsidRPr="00B36690" w:rsidRDefault="002B1A69" w:rsidP="00B36690">
            <w:pPr>
              <w:pStyle w:val="TableText"/>
            </w:pPr>
            <w:r w:rsidRPr="00B36690">
              <w:t>Small omnivore</w:t>
            </w:r>
          </w:p>
        </w:tc>
        <w:tc>
          <w:tcPr>
            <w:tcW w:w="652" w:type="pct"/>
          </w:tcPr>
          <w:p w14:paraId="394C82B5" w14:textId="77777777" w:rsidR="002B1A69" w:rsidRPr="00B36690" w:rsidRDefault="002B1A69" w:rsidP="00B36690">
            <w:pPr>
              <w:pStyle w:val="TableText"/>
            </w:pPr>
            <w:r w:rsidRPr="00B36690">
              <w:t>BBCH ≥50</w:t>
            </w:r>
          </w:p>
        </w:tc>
        <w:tc>
          <w:tcPr>
            <w:tcW w:w="486" w:type="pct"/>
          </w:tcPr>
          <w:p w14:paraId="473F3BAF" w14:textId="77777777" w:rsidR="002B1A69" w:rsidRPr="00B36690" w:rsidRDefault="002B1A69" w:rsidP="00B36690">
            <w:pPr>
              <w:pStyle w:val="TableText"/>
              <w:jc w:val="right"/>
            </w:pPr>
            <w:r w:rsidRPr="00B36690">
              <w:t>7.2</w:t>
            </w:r>
          </w:p>
        </w:tc>
        <w:tc>
          <w:tcPr>
            <w:tcW w:w="486" w:type="pct"/>
          </w:tcPr>
          <w:p w14:paraId="5FE191EC" w14:textId="77777777" w:rsidR="002B1A69" w:rsidRPr="00B36690" w:rsidRDefault="002B1A69" w:rsidP="00B36690">
            <w:pPr>
              <w:pStyle w:val="TableText"/>
              <w:jc w:val="right"/>
            </w:pPr>
            <w:r w:rsidRPr="00B36690">
              <w:t>3.3</w:t>
            </w:r>
          </w:p>
        </w:tc>
        <w:tc>
          <w:tcPr>
            <w:tcW w:w="486" w:type="pct"/>
          </w:tcPr>
          <w:p w14:paraId="6BA7F368" w14:textId="77777777" w:rsidR="002B1A69" w:rsidRPr="00B36690" w:rsidRDefault="002B1A69" w:rsidP="00B36690">
            <w:pPr>
              <w:pStyle w:val="TableText"/>
              <w:jc w:val="right"/>
            </w:pPr>
            <w:r w:rsidRPr="00B36690">
              <w:t>972</w:t>
            </w:r>
          </w:p>
        </w:tc>
        <w:tc>
          <w:tcPr>
            <w:tcW w:w="487" w:type="pct"/>
          </w:tcPr>
          <w:p w14:paraId="2531D378" w14:textId="77777777" w:rsidR="002B1A69" w:rsidRPr="00B36690" w:rsidRDefault="002B1A69" w:rsidP="00B36690">
            <w:pPr>
              <w:pStyle w:val="TableText"/>
              <w:jc w:val="right"/>
            </w:pPr>
            <w:r w:rsidRPr="00B36690">
              <w:t>3682</w:t>
            </w:r>
          </w:p>
        </w:tc>
      </w:tr>
      <w:tr w:rsidR="002B1A69" w:rsidRPr="006E15AF" w14:paraId="58349CC0" w14:textId="77777777" w:rsidTr="002B1A69">
        <w:trPr>
          <w:cantSplit/>
          <w:trHeight w:val="13"/>
        </w:trPr>
        <w:tc>
          <w:tcPr>
            <w:tcW w:w="873" w:type="pct"/>
            <w:vMerge/>
            <w:tcBorders>
              <w:top w:val="single" w:sz="4" w:space="0" w:color="auto"/>
              <w:bottom w:val="single" w:sz="4" w:space="0" w:color="auto"/>
            </w:tcBorders>
          </w:tcPr>
          <w:p w14:paraId="7136929E" w14:textId="77777777" w:rsidR="002B1A69" w:rsidRPr="00B36690" w:rsidRDefault="002B1A69" w:rsidP="00B36690">
            <w:pPr>
              <w:pStyle w:val="TableText"/>
            </w:pPr>
          </w:p>
        </w:tc>
        <w:tc>
          <w:tcPr>
            <w:tcW w:w="652" w:type="pct"/>
            <w:vMerge/>
            <w:tcBorders>
              <w:top w:val="single" w:sz="4" w:space="0" w:color="auto"/>
              <w:bottom w:val="single" w:sz="4" w:space="0" w:color="auto"/>
            </w:tcBorders>
          </w:tcPr>
          <w:p w14:paraId="55A3A2C5" w14:textId="77777777" w:rsidR="002B1A69" w:rsidRPr="00B36690" w:rsidRDefault="002B1A69" w:rsidP="00B36690">
            <w:pPr>
              <w:pStyle w:val="TableText"/>
            </w:pPr>
          </w:p>
        </w:tc>
        <w:tc>
          <w:tcPr>
            <w:tcW w:w="878" w:type="pct"/>
            <w:tcBorders>
              <w:bottom w:val="single" w:sz="4" w:space="0" w:color="auto"/>
            </w:tcBorders>
          </w:tcPr>
          <w:p w14:paraId="01A844A6"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2F5E490E" w14:textId="77777777" w:rsidR="002B1A69" w:rsidRPr="00B36690" w:rsidRDefault="002B1A69" w:rsidP="00B36690">
            <w:pPr>
              <w:pStyle w:val="TableText"/>
            </w:pPr>
            <w:r w:rsidRPr="00B36690">
              <w:t>BBCH ≥20</w:t>
            </w:r>
          </w:p>
        </w:tc>
        <w:tc>
          <w:tcPr>
            <w:tcW w:w="486" w:type="pct"/>
            <w:tcBorders>
              <w:bottom w:val="single" w:sz="4" w:space="0" w:color="auto"/>
            </w:tcBorders>
          </w:tcPr>
          <w:p w14:paraId="4F257321" w14:textId="77777777" w:rsidR="002B1A69" w:rsidRPr="00B36690" w:rsidRDefault="002B1A69" w:rsidP="00B36690">
            <w:pPr>
              <w:pStyle w:val="TableText"/>
              <w:jc w:val="right"/>
            </w:pPr>
            <w:r w:rsidRPr="00B36690">
              <w:t>25.2</w:t>
            </w:r>
          </w:p>
        </w:tc>
        <w:tc>
          <w:tcPr>
            <w:tcW w:w="486" w:type="pct"/>
            <w:tcBorders>
              <w:bottom w:val="single" w:sz="4" w:space="0" w:color="auto"/>
            </w:tcBorders>
          </w:tcPr>
          <w:p w14:paraId="6ABEA48C" w14:textId="77777777" w:rsidR="002B1A69" w:rsidRPr="00B36690" w:rsidRDefault="002B1A69" w:rsidP="00B36690">
            <w:pPr>
              <w:pStyle w:val="TableText"/>
              <w:jc w:val="right"/>
            </w:pPr>
            <w:r w:rsidRPr="00B36690">
              <w:t>9.7</w:t>
            </w:r>
          </w:p>
        </w:tc>
        <w:tc>
          <w:tcPr>
            <w:tcW w:w="486" w:type="pct"/>
            <w:tcBorders>
              <w:bottom w:val="single" w:sz="4" w:space="0" w:color="auto"/>
            </w:tcBorders>
            <w:shd w:val="clear" w:color="auto" w:fill="FF0000"/>
          </w:tcPr>
          <w:p w14:paraId="2EBB7211" w14:textId="77777777" w:rsidR="002B1A69" w:rsidRPr="00B36690" w:rsidRDefault="002B1A69" w:rsidP="00B36690">
            <w:pPr>
              <w:pStyle w:val="TableText"/>
              <w:jc w:val="right"/>
            </w:pPr>
            <w:r w:rsidRPr="00B36690">
              <w:t>278</w:t>
            </w:r>
          </w:p>
        </w:tc>
        <w:tc>
          <w:tcPr>
            <w:tcW w:w="487" w:type="pct"/>
            <w:tcBorders>
              <w:bottom w:val="single" w:sz="4" w:space="0" w:color="auto"/>
            </w:tcBorders>
          </w:tcPr>
          <w:p w14:paraId="6813BC88" w14:textId="77777777" w:rsidR="002B1A69" w:rsidRPr="00B36690" w:rsidRDefault="002B1A69" w:rsidP="00B36690">
            <w:pPr>
              <w:pStyle w:val="TableText"/>
              <w:jc w:val="right"/>
            </w:pPr>
            <w:r w:rsidRPr="00B36690">
              <w:t>1253</w:t>
            </w:r>
          </w:p>
        </w:tc>
      </w:tr>
      <w:tr w:rsidR="002B1A69" w:rsidRPr="006E15AF" w14:paraId="6973E2C0" w14:textId="77777777" w:rsidTr="002B1A69">
        <w:trPr>
          <w:cantSplit/>
          <w:trHeight w:val="13"/>
        </w:trPr>
        <w:tc>
          <w:tcPr>
            <w:tcW w:w="873" w:type="pct"/>
            <w:vMerge w:val="restart"/>
            <w:tcBorders>
              <w:top w:val="single" w:sz="4" w:space="0" w:color="auto"/>
              <w:bottom w:val="single" w:sz="4" w:space="0" w:color="auto"/>
            </w:tcBorders>
          </w:tcPr>
          <w:p w14:paraId="756E4870" w14:textId="77777777" w:rsidR="002B1A69" w:rsidRPr="00B36690" w:rsidRDefault="002B1A69" w:rsidP="00B36690">
            <w:pPr>
              <w:pStyle w:val="TableText"/>
            </w:pPr>
            <w:r w:rsidRPr="00B36690">
              <w:t>General weed control in sugarcane (over the top spray and inter-row spray)</w:t>
            </w:r>
          </w:p>
        </w:tc>
        <w:tc>
          <w:tcPr>
            <w:tcW w:w="652" w:type="pct"/>
            <w:vMerge w:val="restart"/>
            <w:tcBorders>
              <w:top w:val="single" w:sz="4" w:space="0" w:color="auto"/>
              <w:bottom w:val="single" w:sz="4" w:space="0" w:color="auto"/>
            </w:tcBorders>
          </w:tcPr>
          <w:p w14:paraId="22DDF6F6" w14:textId="77777777" w:rsidR="002B1A69" w:rsidRPr="00B36690" w:rsidRDefault="002B1A69" w:rsidP="00B36690">
            <w:pPr>
              <w:pStyle w:val="TableText"/>
            </w:pPr>
            <w:r w:rsidRPr="00B36690">
              <w:t>Maize</w:t>
            </w:r>
          </w:p>
        </w:tc>
        <w:tc>
          <w:tcPr>
            <w:tcW w:w="878" w:type="pct"/>
            <w:tcBorders>
              <w:top w:val="single" w:sz="4" w:space="0" w:color="auto"/>
            </w:tcBorders>
          </w:tcPr>
          <w:p w14:paraId="38580206" w14:textId="77777777" w:rsidR="002B1A69" w:rsidRPr="00B36690" w:rsidRDefault="002B1A69" w:rsidP="00B36690">
            <w:pPr>
              <w:pStyle w:val="TableText"/>
            </w:pPr>
            <w:r w:rsidRPr="00B36690">
              <w:t>Medium herbivore/ granivore</w:t>
            </w:r>
          </w:p>
        </w:tc>
        <w:tc>
          <w:tcPr>
            <w:tcW w:w="652" w:type="pct"/>
            <w:tcBorders>
              <w:top w:val="single" w:sz="4" w:space="0" w:color="auto"/>
            </w:tcBorders>
          </w:tcPr>
          <w:p w14:paraId="23528509" w14:textId="77777777" w:rsidR="002B1A69" w:rsidRPr="00B36690" w:rsidRDefault="002B1A69" w:rsidP="00B36690">
            <w:pPr>
              <w:pStyle w:val="TableText"/>
            </w:pPr>
            <w:r w:rsidRPr="00B36690">
              <w:t>BBCH 10-29</w:t>
            </w:r>
          </w:p>
        </w:tc>
        <w:tc>
          <w:tcPr>
            <w:tcW w:w="486" w:type="pct"/>
            <w:tcBorders>
              <w:top w:val="single" w:sz="4" w:space="0" w:color="auto"/>
            </w:tcBorders>
          </w:tcPr>
          <w:p w14:paraId="2FC6707B" w14:textId="77777777" w:rsidR="002B1A69" w:rsidRPr="00B36690" w:rsidRDefault="002B1A69" w:rsidP="00B36690">
            <w:pPr>
              <w:pStyle w:val="TableText"/>
              <w:jc w:val="right"/>
            </w:pPr>
            <w:r w:rsidRPr="00B36690">
              <w:t>55.6</w:t>
            </w:r>
          </w:p>
        </w:tc>
        <w:tc>
          <w:tcPr>
            <w:tcW w:w="486" w:type="pct"/>
            <w:tcBorders>
              <w:top w:val="single" w:sz="4" w:space="0" w:color="auto"/>
            </w:tcBorders>
          </w:tcPr>
          <w:p w14:paraId="6AD5D9BA" w14:textId="77777777" w:rsidR="002B1A69" w:rsidRPr="00B36690" w:rsidRDefault="002B1A69" w:rsidP="00B36690">
            <w:pPr>
              <w:pStyle w:val="TableText"/>
              <w:jc w:val="right"/>
            </w:pPr>
            <w:r w:rsidRPr="00B36690">
              <w:t>22.7</w:t>
            </w:r>
          </w:p>
        </w:tc>
        <w:tc>
          <w:tcPr>
            <w:tcW w:w="486" w:type="pct"/>
            <w:tcBorders>
              <w:top w:val="single" w:sz="4" w:space="0" w:color="auto"/>
            </w:tcBorders>
            <w:shd w:val="clear" w:color="auto" w:fill="FF0000"/>
          </w:tcPr>
          <w:p w14:paraId="290E9382" w14:textId="77777777" w:rsidR="002B1A69" w:rsidRPr="00B36690" w:rsidRDefault="002B1A69" w:rsidP="00B36690">
            <w:pPr>
              <w:pStyle w:val="TableText"/>
              <w:jc w:val="right"/>
            </w:pPr>
            <w:r w:rsidRPr="00B36690">
              <w:t>126</w:t>
            </w:r>
          </w:p>
        </w:tc>
        <w:tc>
          <w:tcPr>
            <w:tcW w:w="487" w:type="pct"/>
            <w:tcBorders>
              <w:top w:val="single" w:sz="4" w:space="0" w:color="auto"/>
            </w:tcBorders>
          </w:tcPr>
          <w:p w14:paraId="2F3D9B19" w14:textId="77777777" w:rsidR="002B1A69" w:rsidRPr="00B36690" w:rsidRDefault="002B1A69" w:rsidP="00B36690">
            <w:pPr>
              <w:pStyle w:val="TableText"/>
              <w:jc w:val="right"/>
            </w:pPr>
            <w:r w:rsidRPr="00B36690">
              <w:t>535</w:t>
            </w:r>
          </w:p>
        </w:tc>
      </w:tr>
      <w:tr w:rsidR="002B1A69" w:rsidRPr="006E15AF" w14:paraId="4750961B" w14:textId="77777777" w:rsidTr="002B1A69">
        <w:trPr>
          <w:cantSplit/>
          <w:trHeight w:val="13"/>
        </w:trPr>
        <w:tc>
          <w:tcPr>
            <w:tcW w:w="873" w:type="pct"/>
            <w:vMerge/>
            <w:tcBorders>
              <w:bottom w:val="single" w:sz="4" w:space="0" w:color="auto"/>
            </w:tcBorders>
          </w:tcPr>
          <w:p w14:paraId="1DCEC355" w14:textId="77777777" w:rsidR="002B1A69" w:rsidRPr="00B36690" w:rsidRDefault="002B1A69" w:rsidP="00B36690">
            <w:pPr>
              <w:pStyle w:val="TableText"/>
            </w:pPr>
          </w:p>
        </w:tc>
        <w:tc>
          <w:tcPr>
            <w:tcW w:w="652" w:type="pct"/>
            <w:vMerge/>
            <w:tcBorders>
              <w:bottom w:val="single" w:sz="4" w:space="0" w:color="auto"/>
            </w:tcBorders>
          </w:tcPr>
          <w:p w14:paraId="202856B8" w14:textId="77777777" w:rsidR="002B1A69" w:rsidRPr="00B36690" w:rsidRDefault="002B1A69" w:rsidP="00B36690">
            <w:pPr>
              <w:pStyle w:val="TableText"/>
            </w:pPr>
          </w:p>
        </w:tc>
        <w:tc>
          <w:tcPr>
            <w:tcW w:w="878" w:type="pct"/>
          </w:tcPr>
          <w:p w14:paraId="46938538" w14:textId="77777777" w:rsidR="002B1A69" w:rsidRPr="00B36690" w:rsidRDefault="002B1A69" w:rsidP="00B36690">
            <w:pPr>
              <w:pStyle w:val="TableText"/>
            </w:pPr>
            <w:r w:rsidRPr="00B36690">
              <w:t>Medium granivore</w:t>
            </w:r>
          </w:p>
        </w:tc>
        <w:tc>
          <w:tcPr>
            <w:tcW w:w="652" w:type="pct"/>
          </w:tcPr>
          <w:p w14:paraId="246A8DE9" w14:textId="77777777" w:rsidR="002B1A69" w:rsidRPr="00B36690" w:rsidRDefault="002B1A69" w:rsidP="00B36690">
            <w:pPr>
              <w:pStyle w:val="TableText"/>
            </w:pPr>
            <w:r w:rsidRPr="00B36690">
              <w:t>BBCH 10-29</w:t>
            </w:r>
          </w:p>
        </w:tc>
        <w:tc>
          <w:tcPr>
            <w:tcW w:w="486" w:type="pct"/>
          </w:tcPr>
          <w:p w14:paraId="26D2F1F2" w14:textId="77777777" w:rsidR="002B1A69" w:rsidRPr="00B36690" w:rsidRDefault="002B1A69" w:rsidP="00B36690">
            <w:pPr>
              <w:pStyle w:val="TableText"/>
              <w:jc w:val="right"/>
            </w:pPr>
            <w:r w:rsidRPr="00B36690">
              <w:t>6.6</w:t>
            </w:r>
          </w:p>
        </w:tc>
        <w:tc>
          <w:tcPr>
            <w:tcW w:w="486" w:type="pct"/>
          </w:tcPr>
          <w:p w14:paraId="0598A3A4" w14:textId="77777777" w:rsidR="002B1A69" w:rsidRPr="00B36690" w:rsidRDefault="002B1A69" w:rsidP="00B36690">
            <w:pPr>
              <w:pStyle w:val="TableText"/>
              <w:jc w:val="right"/>
            </w:pPr>
            <w:r w:rsidRPr="00B36690">
              <w:t>3.0</w:t>
            </w:r>
          </w:p>
        </w:tc>
        <w:tc>
          <w:tcPr>
            <w:tcW w:w="486" w:type="pct"/>
          </w:tcPr>
          <w:p w14:paraId="4BCA6C12" w14:textId="77777777" w:rsidR="002B1A69" w:rsidRPr="00B36690" w:rsidRDefault="002B1A69" w:rsidP="00B36690">
            <w:pPr>
              <w:pStyle w:val="TableText"/>
              <w:jc w:val="right"/>
            </w:pPr>
            <w:r w:rsidRPr="00B36690">
              <w:t>1061</w:t>
            </w:r>
          </w:p>
        </w:tc>
        <w:tc>
          <w:tcPr>
            <w:tcW w:w="487" w:type="pct"/>
          </w:tcPr>
          <w:p w14:paraId="2FA0CFCC" w14:textId="77777777" w:rsidR="002B1A69" w:rsidRPr="00B36690" w:rsidRDefault="002B1A69" w:rsidP="00B36690">
            <w:pPr>
              <w:pStyle w:val="TableText"/>
              <w:jc w:val="right"/>
            </w:pPr>
            <w:r w:rsidRPr="00B36690">
              <w:t>4050</w:t>
            </w:r>
          </w:p>
        </w:tc>
      </w:tr>
      <w:tr w:rsidR="002B1A69" w:rsidRPr="006E15AF" w14:paraId="7851B962" w14:textId="77777777" w:rsidTr="002B1A69">
        <w:trPr>
          <w:cantSplit/>
          <w:trHeight w:val="13"/>
        </w:trPr>
        <w:tc>
          <w:tcPr>
            <w:tcW w:w="873" w:type="pct"/>
            <w:vMerge/>
            <w:tcBorders>
              <w:bottom w:val="single" w:sz="4" w:space="0" w:color="auto"/>
            </w:tcBorders>
          </w:tcPr>
          <w:p w14:paraId="799B7135" w14:textId="77777777" w:rsidR="002B1A69" w:rsidRPr="00B36690" w:rsidRDefault="002B1A69" w:rsidP="00B36690">
            <w:pPr>
              <w:pStyle w:val="TableText"/>
            </w:pPr>
          </w:p>
        </w:tc>
        <w:tc>
          <w:tcPr>
            <w:tcW w:w="652" w:type="pct"/>
            <w:vMerge/>
            <w:tcBorders>
              <w:bottom w:val="single" w:sz="4" w:space="0" w:color="auto"/>
            </w:tcBorders>
          </w:tcPr>
          <w:p w14:paraId="5B52F191" w14:textId="77777777" w:rsidR="002B1A69" w:rsidRPr="00B36690" w:rsidRDefault="002B1A69" w:rsidP="00B36690">
            <w:pPr>
              <w:pStyle w:val="TableText"/>
            </w:pPr>
          </w:p>
        </w:tc>
        <w:tc>
          <w:tcPr>
            <w:tcW w:w="878" w:type="pct"/>
          </w:tcPr>
          <w:p w14:paraId="180A367F" w14:textId="77777777" w:rsidR="002B1A69" w:rsidRPr="00B36690" w:rsidRDefault="002B1A69" w:rsidP="00B36690">
            <w:pPr>
              <w:pStyle w:val="TableText"/>
            </w:pPr>
            <w:r w:rsidRPr="00B36690">
              <w:t>Small omnivore</w:t>
            </w:r>
          </w:p>
        </w:tc>
        <w:tc>
          <w:tcPr>
            <w:tcW w:w="652" w:type="pct"/>
          </w:tcPr>
          <w:p w14:paraId="5AD9726A" w14:textId="77777777" w:rsidR="002B1A69" w:rsidRPr="00B36690" w:rsidRDefault="002B1A69" w:rsidP="00B36690">
            <w:pPr>
              <w:pStyle w:val="TableText"/>
            </w:pPr>
            <w:r w:rsidRPr="00B36690">
              <w:t>BBCH 10-29</w:t>
            </w:r>
          </w:p>
        </w:tc>
        <w:tc>
          <w:tcPr>
            <w:tcW w:w="486" w:type="pct"/>
          </w:tcPr>
          <w:p w14:paraId="630722E6" w14:textId="77777777" w:rsidR="002B1A69" w:rsidRPr="00B36690" w:rsidRDefault="002B1A69" w:rsidP="00B36690">
            <w:pPr>
              <w:pStyle w:val="TableText"/>
              <w:jc w:val="right"/>
            </w:pPr>
            <w:r w:rsidRPr="00B36690">
              <w:t>24.0</w:t>
            </w:r>
          </w:p>
        </w:tc>
        <w:tc>
          <w:tcPr>
            <w:tcW w:w="486" w:type="pct"/>
          </w:tcPr>
          <w:p w14:paraId="23D2BBF4" w14:textId="77777777" w:rsidR="002B1A69" w:rsidRPr="00B36690" w:rsidRDefault="002B1A69" w:rsidP="00B36690">
            <w:pPr>
              <w:pStyle w:val="TableText"/>
              <w:jc w:val="right"/>
            </w:pPr>
            <w:r w:rsidRPr="00B36690">
              <w:t>10.9</w:t>
            </w:r>
          </w:p>
        </w:tc>
        <w:tc>
          <w:tcPr>
            <w:tcW w:w="486" w:type="pct"/>
          </w:tcPr>
          <w:p w14:paraId="668156C8" w14:textId="77777777" w:rsidR="002B1A69" w:rsidRPr="00B36690" w:rsidRDefault="002B1A69" w:rsidP="00B36690">
            <w:pPr>
              <w:pStyle w:val="TableText"/>
              <w:jc w:val="right"/>
            </w:pPr>
            <w:r w:rsidRPr="00B36690">
              <w:t>292</w:t>
            </w:r>
          </w:p>
        </w:tc>
        <w:tc>
          <w:tcPr>
            <w:tcW w:w="487" w:type="pct"/>
          </w:tcPr>
          <w:p w14:paraId="0AEB1A04" w14:textId="77777777" w:rsidR="002B1A69" w:rsidRPr="00B36690" w:rsidRDefault="002B1A69" w:rsidP="00B36690">
            <w:pPr>
              <w:pStyle w:val="TableText"/>
              <w:jc w:val="right"/>
            </w:pPr>
            <w:r w:rsidRPr="00B36690">
              <w:t>1115</w:t>
            </w:r>
          </w:p>
        </w:tc>
      </w:tr>
      <w:tr w:rsidR="002B1A69" w:rsidRPr="006E15AF" w14:paraId="6B3E3DF4" w14:textId="77777777" w:rsidTr="002B1A69">
        <w:trPr>
          <w:cantSplit/>
          <w:trHeight w:val="13"/>
        </w:trPr>
        <w:tc>
          <w:tcPr>
            <w:tcW w:w="873" w:type="pct"/>
            <w:vMerge/>
            <w:tcBorders>
              <w:bottom w:val="single" w:sz="4" w:space="0" w:color="auto"/>
            </w:tcBorders>
          </w:tcPr>
          <w:p w14:paraId="7241CBB3" w14:textId="77777777" w:rsidR="002B1A69" w:rsidRPr="00B36690" w:rsidRDefault="002B1A69" w:rsidP="00B36690">
            <w:pPr>
              <w:pStyle w:val="TableText"/>
            </w:pPr>
          </w:p>
        </w:tc>
        <w:tc>
          <w:tcPr>
            <w:tcW w:w="652" w:type="pct"/>
            <w:vMerge/>
            <w:tcBorders>
              <w:bottom w:val="single" w:sz="4" w:space="0" w:color="auto"/>
            </w:tcBorders>
          </w:tcPr>
          <w:p w14:paraId="61308FD5" w14:textId="77777777" w:rsidR="002B1A69" w:rsidRPr="00B36690" w:rsidRDefault="002B1A69" w:rsidP="00B36690">
            <w:pPr>
              <w:pStyle w:val="TableText"/>
            </w:pPr>
          </w:p>
        </w:tc>
        <w:tc>
          <w:tcPr>
            <w:tcW w:w="878" w:type="pct"/>
          </w:tcPr>
          <w:p w14:paraId="1F0AB752" w14:textId="77777777" w:rsidR="002B1A69" w:rsidRPr="00B36690" w:rsidRDefault="002B1A69" w:rsidP="00B36690">
            <w:pPr>
              <w:pStyle w:val="TableText"/>
            </w:pPr>
            <w:r w:rsidRPr="00B36690">
              <w:t>Small insectivore</w:t>
            </w:r>
          </w:p>
        </w:tc>
        <w:tc>
          <w:tcPr>
            <w:tcW w:w="652" w:type="pct"/>
          </w:tcPr>
          <w:p w14:paraId="79278F90" w14:textId="77777777" w:rsidR="002B1A69" w:rsidRPr="00B36690" w:rsidRDefault="002B1A69" w:rsidP="00B36690">
            <w:pPr>
              <w:pStyle w:val="TableText"/>
            </w:pPr>
            <w:r w:rsidRPr="00B36690">
              <w:t>BBCH 10-19</w:t>
            </w:r>
          </w:p>
        </w:tc>
        <w:tc>
          <w:tcPr>
            <w:tcW w:w="486" w:type="pct"/>
          </w:tcPr>
          <w:p w14:paraId="7DBB9227" w14:textId="77777777" w:rsidR="002B1A69" w:rsidRPr="00B36690" w:rsidRDefault="002B1A69" w:rsidP="00B36690">
            <w:pPr>
              <w:pStyle w:val="TableText"/>
              <w:jc w:val="right"/>
            </w:pPr>
            <w:r w:rsidRPr="00B36690">
              <w:t>26.8</w:t>
            </w:r>
          </w:p>
        </w:tc>
        <w:tc>
          <w:tcPr>
            <w:tcW w:w="486" w:type="pct"/>
          </w:tcPr>
          <w:p w14:paraId="1FE2D257" w14:textId="77777777" w:rsidR="002B1A69" w:rsidRPr="00B36690" w:rsidRDefault="002B1A69" w:rsidP="00B36690">
            <w:pPr>
              <w:pStyle w:val="TableText"/>
              <w:jc w:val="right"/>
            </w:pPr>
            <w:r w:rsidRPr="00B36690">
              <w:t>11.3</w:t>
            </w:r>
          </w:p>
        </w:tc>
        <w:tc>
          <w:tcPr>
            <w:tcW w:w="486" w:type="pct"/>
          </w:tcPr>
          <w:p w14:paraId="5BAC03EF" w14:textId="77777777" w:rsidR="002B1A69" w:rsidRPr="00B36690" w:rsidRDefault="002B1A69" w:rsidP="00B36690">
            <w:pPr>
              <w:pStyle w:val="TableText"/>
              <w:jc w:val="right"/>
            </w:pPr>
            <w:r w:rsidRPr="00B36690">
              <w:t>261</w:t>
            </w:r>
          </w:p>
        </w:tc>
        <w:tc>
          <w:tcPr>
            <w:tcW w:w="487" w:type="pct"/>
          </w:tcPr>
          <w:p w14:paraId="711FC7BB" w14:textId="77777777" w:rsidR="002B1A69" w:rsidRPr="00B36690" w:rsidRDefault="002B1A69" w:rsidP="00B36690">
            <w:pPr>
              <w:pStyle w:val="TableText"/>
              <w:jc w:val="right"/>
            </w:pPr>
            <w:r w:rsidRPr="00B36690">
              <w:t>1075</w:t>
            </w:r>
          </w:p>
        </w:tc>
      </w:tr>
      <w:tr w:rsidR="002B1A69" w:rsidRPr="006E15AF" w14:paraId="45E65998" w14:textId="77777777" w:rsidTr="002B1A69">
        <w:trPr>
          <w:cantSplit/>
          <w:trHeight w:val="13"/>
        </w:trPr>
        <w:tc>
          <w:tcPr>
            <w:tcW w:w="873" w:type="pct"/>
            <w:vMerge/>
            <w:tcBorders>
              <w:bottom w:val="single" w:sz="4" w:space="0" w:color="auto"/>
            </w:tcBorders>
          </w:tcPr>
          <w:p w14:paraId="4DDB9E92" w14:textId="77777777" w:rsidR="002B1A69" w:rsidRPr="00B36690" w:rsidRDefault="002B1A69" w:rsidP="00B36690">
            <w:pPr>
              <w:pStyle w:val="TableText"/>
            </w:pPr>
          </w:p>
        </w:tc>
        <w:tc>
          <w:tcPr>
            <w:tcW w:w="652" w:type="pct"/>
            <w:vMerge/>
            <w:tcBorders>
              <w:bottom w:val="single" w:sz="4" w:space="0" w:color="auto"/>
            </w:tcBorders>
          </w:tcPr>
          <w:p w14:paraId="7D5F1449" w14:textId="77777777" w:rsidR="002B1A69" w:rsidRPr="00B36690" w:rsidRDefault="002B1A69" w:rsidP="00B36690">
            <w:pPr>
              <w:pStyle w:val="TableText"/>
            </w:pPr>
          </w:p>
        </w:tc>
        <w:tc>
          <w:tcPr>
            <w:tcW w:w="878" w:type="pct"/>
            <w:tcBorders>
              <w:bottom w:val="single" w:sz="4" w:space="0" w:color="auto"/>
            </w:tcBorders>
          </w:tcPr>
          <w:p w14:paraId="439A3F23" w14:textId="77777777" w:rsidR="002B1A69" w:rsidRPr="00B36690" w:rsidRDefault="002B1A69" w:rsidP="00B36690">
            <w:pPr>
              <w:pStyle w:val="TableText"/>
            </w:pPr>
            <w:r w:rsidRPr="00B36690">
              <w:t>Small insectivore/worm feeding</w:t>
            </w:r>
          </w:p>
        </w:tc>
        <w:tc>
          <w:tcPr>
            <w:tcW w:w="652" w:type="pct"/>
            <w:tcBorders>
              <w:bottom w:val="single" w:sz="4" w:space="0" w:color="auto"/>
            </w:tcBorders>
          </w:tcPr>
          <w:p w14:paraId="0F74FD0E" w14:textId="77777777" w:rsidR="002B1A69" w:rsidRPr="00B36690" w:rsidRDefault="002B1A69" w:rsidP="00B36690">
            <w:pPr>
              <w:pStyle w:val="TableText"/>
            </w:pPr>
            <w:r w:rsidRPr="00B36690">
              <w:t>BBCH 10-19</w:t>
            </w:r>
          </w:p>
        </w:tc>
        <w:tc>
          <w:tcPr>
            <w:tcW w:w="486" w:type="pct"/>
            <w:tcBorders>
              <w:bottom w:val="single" w:sz="4" w:space="0" w:color="auto"/>
            </w:tcBorders>
          </w:tcPr>
          <w:p w14:paraId="161CC5AD" w14:textId="77777777" w:rsidR="002B1A69" w:rsidRPr="00B36690" w:rsidRDefault="002B1A69" w:rsidP="00B36690">
            <w:pPr>
              <w:pStyle w:val="TableText"/>
              <w:jc w:val="right"/>
            </w:pPr>
            <w:r w:rsidRPr="00B36690">
              <w:t>10.5</w:t>
            </w:r>
          </w:p>
        </w:tc>
        <w:tc>
          <w:tcPr>
            <w:tcW w:w="486" w:type="pct"/>
            <w:tcBorders>
              <w:bottom w:val="single" w:sz="4" w:space="0" w:color="auto"/>
            </w:tcBorders>
          </w:tcPr>
          <w:p w14:paraId="68D82B2D" w14:textId="77777777" w:rsidR="002B1A69" w:rsidRPr="00B36690" w:rsidRDefault="002B1A69" w:rsidP="00B36690">
            <w:pPr>
              <w:pStyle w:val="TableText"/>
              <w:jc w:val="right"/>
            </w:pPr>
            <w:r w:rsidRPr="00B36690">
              <w:t>5.7</w:t>
            </w:r>
          </w:p>
        </w:tc>
        <w:tc>
          <w:tcPr>
            <w:tcW w:w="486" w:type="pct"/>
            <w:tcBorders>
              <w:bottom w:val="single" w:sz="4" w:space="0" w:color="auto"/>
            </w:tcBorders>
          </w:tcPr>
          <w:p w14:paraId="47FD596E" w14:textId="77777777" w:rsidR="002B1A69" w:rsidRPr="00B36690" w:rsidRDefault="002B1A69" w:rsidP="00B36690">
            <w:pPr>
              <w:pStyle w:val="TableText"/>
              <w:jc w:val="right"/>
            </w:pPr>
            <w:r w:rsidRPr="00B36690">
              <w:t>667</w:t>
            </w:r>
          </w:p>
        </w:tc>
        <w:tc>
          <w:tcPr>
            <w:tcW w:w="487" w:type="pct"/>
            <w:tcBorders>
              <w:bottom w:val="single" w:sz="4" w:space="0" w:color="auto"/>
            </w:tcBorders>
          </w:tcPr>
          <w:p w14:paraId="5D5CA302" w14:textId="77777777" w:rsidR="002B1A69" w:rsidRPr="00B36690" w:rsidRDefault="002B1A69" w:rsidP="00B36690">
            <w:pPr>
              <w:pStyle w:val="TableText"/>
              <w:jc w:val="right"/>
            </w:pPr>
            <w:r w:rsidRPr="00B36690">
              <w:t>2132</w:t>
            </w:r>
          </w:p>
        </w:tc>
      </w:tr>
      <w:tr w:rsidR="002B1A69" w:rsidRPr="006E15AF" w14:paraId="25A1C748" w14:textId="77777777" w:rsidTr="002B1A69">
        <w:trPr>
          <w:cantSplit/>
          <w:trHeight w:val="13"/>
        </w:trPr>
        <w:tc>
          <w:tcPr>
            <w:tcW w:w="873" w:type="pct"/>
            <w:vMerge w:val="restart"/>
            <w:tcBorders>
              <w:bottom w:val="single" w:sz="4" w:space="0" w:color="auto"/>
            </w:tcBorders>
          </w:tcPr>
          <w:p w14:paraId="3107FC34" w14:textId="77777777" w:rsidR="002B1A69" w:rsidRPr="00B36690" w:rsidRDefault="002B1A69" w:rsidP="00B36690">
            <w:pPr>
              <w:pStyle w:val="TableText"/>
            </w:pPr>
            <w:r w:rsidRPr="00B36690">
              <w:t>Pre-harvest desiccation in sugarcane</w:t>
            </w:r>
          </w:p>
        </w:tc>
        <w:tc>
          <w:tcPr>
            <w:tcW w:w="652" w:type="pct"/>
            <w:vMerge w:val="restart"/>
            <w:tcBorders>
              <w:bottom w:val="single" w:sz="4" w:space="0" w:color="auto"/>
            </w:tcBorders>
          </w:tcPr>
          <w:p w14:paraId="1A632485" w14:textId="77777777" w:rsidR="002B1A69" w:rsidRPr="00B36690" w:rsidRDefault="002B1A69" w:rsidP="00B36690">
            <w:pPr>
              <w:pStyle w:val="TableText"/>
            </w:pPr>
            <w:r w:rsidRPr="00B36690">
              <w:t>Maize</w:t>
            </w:r>
          </w:p>
        </w:tc>
        <w:tc>
          <w:tcPr>
            <w:tcW w:w="878" w:type="pct"/>
            <w:tcBorders>
              <w:top w:val="single" w:sz="4" w:space="0" w:color="auto"/>
            </w:tcBorders>
          </w:tcPr>
          <w:p w14:paraId="687CBCAF" w14:textId="77777777" w:rsidR="002B1A69" w:rsidRPr="00B36690" w:rsidRDefault="002B1A69" w:rsidP="00B36690">
            <w:pPr>
              <w:pStyle w:val="TableText"/>
            </w:pPr>
            <w:r w:rsidRPr="00B36690">
              <w:t>Medium granivore</w:t>
            </w:r>
          </w:p>
        </w:tc>
        <w:tc>
          <w:tcPr>
            <w:tcW w:w="652" w:type="pct"/>
            <w:tcBorders>
              <w:top w:val="single" w:sz="4" w:space="0" w:color="auto"/>
            </w:tcBorders>
          </w:tcPr>
          <w:p w14:paraId="145F7286" w14:textId="77777777" w:rsidR="002B1A69" w:rsidRPr="00B36690" w:rsidRDefault="002B1A69" w:rsidP="00B36690">
            <w:pPr>
              <w:pStyle w:val="TableText"/>
            </w:pPr>
            <w:r w:rsidRPr="00B36690">
              <w:t>BBCH ≥40</w:t>
            </w:r>
          </w:p>
        </w:tc>
        <w:tc>
          <w:tcPr>
            <w:tcW w:w="486" w:type="pct"/>
            <w:tcBorders>
              <w:top w:val="single" w:sz="4" w:space="0" w:color="auto"/>
            </w:tcBorders>
          </w:tcPr>
          <w:p w14:paraId="2CB93634" w14:textId="77777777" w:rsidR="002B1A69" w:rsidRPr="00B36690" w:rsidRDefault="002B1A69" w:rsidP="00B36690">
            <w:pPr>
              <w:pStyle w:val="TableText"/>
              <w:jc w:val="right"/>
            </w:pPr>
            <w:r w:rsidRPr="00B36690">
              <w:t>1.6</w:t>
            </w:r>
          </w:p>
        </w:tc>
        <w:tc>
          <w:tcPr>
            <w:tcW w:w="486" w:type="pct"/>
            <w:tcBorders>
              <w:top w:val="single" w:sz="4" w:space="0" w:color="auto"/>
            </w:tcBorders>
          </w:tcPr>
          <w:p w14:paraId="58613338" w14:textId="77777777" w:rsidR="002B1A69" w:rsidRPr="00B36690" w:rsidRDefault="002B1A69" w:rsidP="00B36690">
            <w:pPr>
              <w:pStyle w:val="TableText"/>
              <w:jc w:val="right"/>
            </w:pPr>
            <w:r w:rsidRPr="00B36690">
              <w:t>0.8</w:t>
            </w:r>
          </w:p>
        </w:tc>
        <w:tc>
          <w:tcPr>
            <w:tcW w:w="486" w:type="pct"/>
            <w:tcBorders>
              <w:top w:val="single" w:sz="4" w:space="0" w:color="auto"/>
            </w:tcBorders>
          </w:tcPr>
          <w:p w14:paraId="23F6CC61" w14:textId="77777777" w:rsidR="002B1A69" w:rsidRPr="00B36690" w:rsidRDefault="002B1A69" w:rsidP="00B36690">
            <w:pPr>
              <w:pStyle w:val="TableText"/>
              <w:jc w:val="right"/>
            </w:pPr>
            <w:r w:rsidRPr="00B36690">
              <w:t>4375</w:t>
            </w:r>
          </w:p>
        </w:tc>
        <w:tc>
          <w:tcPr>
            <w:tcW w:w="487" w:type="pct"/>
            <w:tcBorders>
              <w:top w:val="single" w:sz="4" w:space="0" w:color="auto"/>
            </w:tcBorders>
          </w:tcPr>
          <w:p w14:paraId="4E0B6155" w14:textId="77777777" w:rsidR="002B1A69" w:rsidRPr="00B36690" w:rsidRDefault="002B1A69" w:rsidP="00B36690">
            <w:pPr>
              <w:pStyle w:val="TableText"/>
              <w:jc w:val="right"/>
            </w:pPr>
            <w:r w:rsidRPr="00B36690">
              <w:t>15187</w:t>
            </w:r>
          </w:p>
        </w:tc>
      </w:tr>
      <w:tr w:rsidR="002B1A69" w:rsidRPr="006E15AF" w14:paraId="44DA361F" w14:textId="77777777" w:rsidTr="002B1A69">
        <w:trPr>
          <w:cantSplit/>
          <w:trHeight w:val="13"/>
        </w:trPr>
        <w:tc>
          <w:tcPr>
            <w:tcW w:w="873" w:type="pct"/>
            <w:vMerge/>
            <w:tcBorders>
              <w:bottom w:val="single" w:sz="4" w:space="0" w:color="auto"/>
            </w:tcBorders>
          </w:tcPr>
          <w:p w14:paraId="4A66E0FC" w14:textId="77777777" w:rsidR="002B1A69" w:rsidRPr="00B36690" w:rsidRDefault="002B1A69" w:rsidP="00B36690">
            <w:pPr>
              <w:pStyle w:val="TableText"/>
            </w:pPr>
          </w:p>
        </w:tc>
        <w:tc>
          <w:tcPr>
            <w:tcW w:w="652" w:type="pct"/>
            <w:vMerge/>
            <w:tcBorders>
              <w:bottom w:val="single" w:sz="4" w:space="0" w:color="auto"/>
            </w:tcBorders>
          </w:tcPr>
          <w:p w14:paraId="67D1F67E" w14:textId="77777777" w:rsidR="002B1A69" w:rsidRPr="00B36690" w:rsidRDefault="002B1A69" w:rsidP="00B36690">
            <w:pPr>
              <w:pStyle w:val="TableText"/>
            </w:pPr>
          </w:p>
        </w:tc>
        <w:tc>
          <w:tcPr>
            <w:tcW w:w="878" w:type="pct"/>
          </w:tcPr>
          <w:p w14:paraId="7CEA1C88" w14:textId="77777777" w:rsidR="002B1A69" w:rsidRPr="00B36690" w:rsidRDefault="002B1A69" w:rsidP="00B36690">
            <w:pPr>
              <w:pStyle w:val="TableText"/>
            </w:pPr>
            <w:r w:rsidRPr="00B36690">
              <w:t>Small omnivore</w:t>
            </w:r>
          </w:p>
        </w:tc>
        <w:tc>
          <w:tcPr>
            <w:tcW w:w="652" w:type="pct"/>
          </w:tcPr>
          <w:p w14:paraId="3C5588AA" w14:textId="77777777" w:rsidR="002B1A69" w:rsidRPr="00B36690" w:rsidRDefault="002B1A69" w:rsidP="00B36690">
            <w:pPr>
              <w:pStyle w:val="TableText"/>
            </w:pPr>
            <w:r w:rsidRPr="00B36690">
              <w:t>BBCH ≥40</w:t>
            </w:r>
          </w:p>
        </w:tc>
        <w:tc>
          <w:tcPr>
            <w:tcW w:w="486" w:type="pct"/>
          </w:tcPr>
          <w:p w14:paraId="3868B3F4" w14:textId="77777777" w:rsidR="002B1A69" w:rsidRPr="00B36690" w:rsidRDefault="002B1A69" w:rsidP="00B36690">
            <w:pPr>
              <w:pStyle w:val="TableText"/>
              <w:jc w:val="right"/>
            </w:pPr>
            <w:r w:rsidRPr="00B36690">
              <w:t>6.0</w:t>
            </w:r>
          </w:p>
        </w:tc>
        <w:tc>
          <w:tcPr>
            <w:tcW w:w="486" w:type="pct"/>
          </w:tcPr>
          <w:p w14:paraId="23CC7B72" w14:textId="77777777" w:rsidR="002B1A69" w:rsidRPr="00B36690" w:rsidRDefault="002B1A69" w:rsidP="00B36690">
            <w:pPr>
              <w:pStyle w:val="TableText"/>
              <w:jc w:val="right"/>
            </w:pPr>
            <w:r w:rsidRPr="00B36690">
              <w:t>2.7</w:t>
            </w:r>
          </w:p>
        </w:tc>
        <w:tc>
          <w:tcPr>
            <w:tcW w:w="486" w:type="pct"/>
          </w:tcPr>
          <w:p w14:paraId="76A89C27" w14:textId="77777777" w:rsidR="002B1A69" w:rsidRPr="00B36690" w:rsidRDefault="002B1A69" w:rsidP="00B36690">
            <w:pPr>
              <w:pStyle w:val="TableText"/>
              <w:jc w:val="right"/>
            </w:pPr>
            <w:r w:rsidRPr="00B36690">
              <w:t>1167</w:t>
            </w:r>
          </w:p>
        </w:tc>
        <w:tc>
          <w:tcPr>
            <w:tcW w:w="487" w:type="pct"/>
          </w:tcPr>
          <w:p w14:paraId="3D7B78E8" w14:textId="77777777" w:rsidR="002B1A69" w:rsidRPr="00B36690" w:rsidRDefault="002B1A69" w:rsidP="00B36690">
            <w:pPr>
              <w:pStyle w:val="TableText"/>
              <w:jc w:val="right"/>
            </w:pPr>
            <w:r w:rsidRPr="00B36690">
              <w:t>4500</w:t>
            </w:r>
          </w:p>
        </w:tc>
      </w:tr>
      <w:tr w:rsidR="002B1A69" w:rsidRPr="006E15AF" w14:paraId="496AA8FF" w14:textId="77777777" w:rsidTr="002B1A69">
        <w:trPr>
          <w:cantSplit/>
          <w:trHeight w:val="13"/>
        </w:trPr>
        <w:tc>
          <w:tcPr>
            <w:tcW w:w="873" w:type="pct"/>
            <w:vMerge/>
            <w:tcBorders>
              <w:bottom w:val="single" w:sz="4" w:space="0" w:color="auto"/>
            </w:tcBorders>
          </w:tcPr>
          <w:p w14:paraId="025B14F0" w14:textId="77777777" w:rsidR="002B1A69" w:rsidRPr="00B36690" w:rsidRDefault="002B1A69" w:rsidP="00B36690">
            <w:pPr>
              <w:pStyle w:val="TableText"/>
            </w:pPr>
          </w:p>
        </w:tc>
        <w:tc>
          <w:tcPr>
            <w:tcW w:w="652" w:type="pct"/>
            <w:vMerge/>
            <w:tcBorders>
              <w:bottom w:val="single" w:sz="4" w:space="0" w:color="auto"/>
            </w:tcBorders>
          </w:tcPr>
          <w:p w14:paraId="7B3EEE36" w14:textId="77777777" w:rsidR="002B1A69" w:rsidRPr="00B36690" w:rsidRDefault="002B1A69" w:rsidP="00B36690">
            <w:pPr>
              <w:pStyle w:val="TableText"/>
            </w:pPr>
          </w:p>
        </w:tc>
        <w:tc>
          <w:tcPr>
            <w:tcW w:w="878" w:type="pct"/>
          </w:tcPr>
          <w:p w14:paraId="38458235" w14:textId="77777777" w:rsidR="002B1A69" w:rsidRPr="00B36690" w:rsidRDefault="002B1A69" w:rsidP="00B36690">
            <w:pPr>
              <w:pStyle w:val="TableText"/>
            </w:pPr>
            <w:r w:rsidRPr="00B36690">
              <w:t>Medium herbivore/granivore</w:t>
            </w:r>
          </w:p>
        </w:tc>
        <w:tc>
          <w:tcPr>
            <w:tcW w:w="652" w:type="pct"/>
          </w:tcPr>
          <w:p w14:paraId="5DA10E15" w14:textId="77777777" w:rsidR="002B1A69" w:rsidRPr="00B36690" w:rsidRDefault="002B1A69" w:rsidP="00B36690">
            <w:pPr>
              <w:pStyle w:val="TableText"/>
            </w:pPr>
            <w:r w:rsidRPr="00B36690">
              <w:t>BBCH ≥40</w:t>
            </w:r>
          </w:p>
        </w:tc>
        <w:tc>
          <w:tcPr>
            <w:tcW w:w="486" w:type="pct"/>
          </w:tcPr>
          <w:p w14:paraId="06A62BE0" w14:textId="77777777" w:rsidR="002B1A69" w:rsidRPr="00B36690" w:rsidRDefault="002B1A69" w:rsidP="00B36690">
            <w:pPr>
              <w:pStyle w:val="TableText"/>
              <w:jc w:val="right"/>
            </w:pPr>
            <w:r w:rsidRPr="00B36690">
              <w:t>13.9</w:t>
            </w:r>
          </w:p>
        </w:tc>
        <w:tc>
          <w:tcPr>
            <w:tcW w:w="486" w:type="pct"/>
          </w:tcPr>
          <w:p w14:paraId="2FEDE799" w14:textId="77777777" w:rsidR="002B1A69" w:rsidRPr="00B36690" w:rsidRDefault="002B1A69" w:rsidP="00B36690">
            <w:pPr>
              <w:pStyle w:val="TableText"/>
              <w:jc w:val="right"/>
            </w:pPr>
            <w:r w:rsidRPr="00B36690">
              <w:t>5.7</w:t>
            </w:r>
          </w:p>
        </w:tc>
        <w:tc>
          <w:tcPr>
            <w:tcW w:w="486" w:type="pct"/>
            <w:shd w:val="clear" w:color="auto" w:fill="FF0000"/>
          </w:tcPr>
          <w:p w14:paraId="54DAAD66" w14:textId="77777777" w:rsidR="002B1A69" w:rsidRPr="00B36690" w:rsidRDefault="002B1A69" w:rsidP="00B36690">
            <w:pPr>
              <w:pStyle w:val="TableText"/>
              <w:jc w:val="right"/>
            </w:pPr>
            <w:r w:rsidRPr="00B36690">
              <w:t>504</w:t>
            </w:r>
          </w:p>
        </w:tc>
        <w:tc>
          <w:tcPr>
            <w:tcW w:w="487" w:type="pct"/>
          </w:tcPr>
          <w:p w14:paraId="643B1392" w14:textId="77777777" w:rsidR="002B1A69" w:rsidRPr="00B36690" w:rsidRDefault="002B1A69" w:rsidP="00B36690">
            <w:pPr>
              <w:pStyle w:val="TableText"/>
              <w:jc w:val="right"/>
            </w:pPr>
            <w:r w:rsidRPr="00B36690">
              <w:t>2132</w:t>
            </w:r>
          </w:p>
        </w:tc>
      </w:tr>
      <w:tr w:rsidR="002B1A69" w:rsidRPr="006E15AF" w14:paraId="1C48D8B5" w14:textId="77777777" w:rsidTr="002B1A69">
        <w:trPr>
          <w:cantSplit/>
          <w:trHeight w:val="13"/>
        </w:trPr>
        <w:tc>
          <w:tcPr>
            <w:tcW w:w="873" w:type="pct"/>
            <w:vMerge/>
            <w:tcBorders>
              <w:bottom w:val="single" w:sz="4" w:space="0" w:color="auto"/>
            </w:tcBorders>
          </w:tcPr>
          <w:p w14:paraId="1BE21A20" w14:textId="77777777" w:rsidR="002B1A69" w:rsidRPr="00B36690" w:rsidRDefault="002B1A69" w:rsidP="00B36690">
            <w:pPr>
              <w:pStyle w:val="TableText"/>
            </w:pPr>
          </w:p>
        </w:tc>
        <w:tc>
          <w:tcPr>
            <w:tcW w:w="652" w:type="pct"/>
            <w:vMerge/>
            <w:tcBorders>
              <w:bottom w:val="single" w:sz="4" w:space="0" w:color="auto"/>
            </w:tcBorders>
          </w:tcPr>
          <w:p w14:paraId="4C110F26" w14:textId="77777777" w:rsidR="002B1A69" w:rsidRPr="00B36690" w:rsidRDefault="002B1A69" w:rsidP="00B36690">
            <w:pPr>
              <w:pStyle w:val="TableText"/>
            </w:pPr>
          </w:p>
        </w:tc>
        <w:tc>
          <w:tcPr>
            <w:tcW w:w="878" w:type="pct"/>
            <w:tcBorders>
              <w:bottom w:val="single" w:sz="4" w:space="0" w:color="auto"/>
            </w:tcBorders>
          </w:tcPr>
          <w:p w14:paraId="457EF042"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31D3EA72" w14:textId="77777777" w:rsidR="002B1A69" w:rsidRPr="00B36690" w:rsidRDefault="002B1A69" w:rsidP="00B36690">
            <w:pPr>
              <w:pStyle w:val="TableText"/>
            </w:pPr>
            <w:r w:rsidRPr="00B36690">
              <w:t>BBCH ≥20</w:t>
            </w:r>
          </w:p>
        </w:tc>
        <w:tc>
          <w:tcPr>
            <w:tcW w:w="486" w:type="pct"/>
            <w:tcBorders>
              <w:bottom w:val="single" w:sz="4" w:space="0" w:color="auto"/>
            </w:tcBorders>
          </w:tcPr>
          <w:p w14:paraId="29D5E26B" w14:textId="77777777" w:rsidR="002B1A69" w:rsidRPr="00B36690" w:rsidRDefault="002B1A69" w:rsidP="00B36690">
            <w:pPr>
              <w:pStyle w:val="TableText"/>
              <w:jc w:val="right"/>
            </w:pPr>
            <w:r w:rsidRPr="00B36690">
              <w:t>12.6</w:t>
            </w:r>
          </w:p>
        </w:tc>
        <w:tc>
          <w:tcPr>
            <w:tcW w:w="486" w:type="pct"/>
            <w:tcBorders>
              <w:bottom w:val="single" w:sz="4" w:space="0" w:color="auto"/>
            </w:tcBorders>
          </w:tcPr>
          <w:p w14:paraId="0D5BF5E5" w14:textId="77777777" w:rsidR="002B1A69" w:rsidRPr="00B36690" w:rsidRDefault="002B1A69" w:rsidP="00B36690">
            <w:pPr>
              <w:pStyle w:val="TableText"/>
              <w:jc w:val="right"/>
            </w:pPr>
            <w:r w:rsidRPr="00B36690">
              <w:t>4.8</w:t>
            </w:r>
          </w:p>
        </w:tc>
        <w:tc>
          <w:tcPr>
            <w:tcW w:w="486" w:type="pct"/>
            <w:tcBorders>
              <w:bottom w:val="single" w:sz="4" w:space="0" w:color="auto"/>
            </w:tcBorders>
            <w:shd w:val="clear" w:color="auto" w:fill="FF0000"/>
          </w:tcPr>
          <w:p w14:paraId="1BF50F8F" w14:textId="77777777" w:rsidR="002B1A69" w:rsidRPr="00B36690" w:rsidRDefault="002B1A69" w:rsidP="00B36690">
            <w:pPr>
              <w:pStyle w:val="TableText"/>
              <w:jc w:val="right"/>
            </w:pPr>
            <w:r w:rsidRPr="00B36690">
              <w:t>556</w:t>
            </w:r>
          </w:p>
        </w:tc>
        <w:tc>
          <w:tcPr>
            <w:tcW w:w="487" w:type="pct"/>
            <w:tcBorders>
              <w:bottom w:val="single" w:sz="4" w:space="0" w:color="auto"/>
            </w:tcBorders>
          </w:tcPr>
          <w:p w14:paraId="2362B1B9" w14:textId="77777777" w:rsidR="002B1A69" w:rsidRPr="00B36690" w:rsidRDefault="002B1A69" w:rsidP="00B36690">
            <w:pPr>
              <w:pStyle w:val="TableText"/>
              <w:jc w:val="right"/>
            </w:pPr>
            <w:r w:rsidRPr="00B36690">
              <w:t>2531</w:t>
            </w:r>
          </w:p>
        </w:tc>
      </w:tr>
      <w:tr w:rsidR="002B1A69" w:rsidRPr="006E15AF" w14:paraId="5E2053AF" w14:textId="77777777" w:rsidTr="002B1A69">
        <w:trPr>
          <w:cantSplit/>
          <w:trHeight w:val="13"/>
        </w:trPr>
        <w:tc>
          <w:tcPr>
            <w:tcW w:w="873" w:type="pct"/>
            <w:vMerge w:val="restart"/>
            <w:tcBorders>
              <w:top w:val="single" w:sz="4" w:space="0" w:color="auto"/>
            </w:tcBorders>
          </w:tcPr>
          <w:p w14:paraId="31AE4AB5" w14:textId="77777777" w:rsidR="002B1A69" w:rsidRPr="00B36690" w:rsidRDefault="002B1A69" w:rsidP="00B36690">
            <w:pPr>
              <w:pStyle w:val="TableText"/>
            </w:pPr>
            <w:r w:rsidRPr="00B36690">
              <w:t xml:space="preserve">Pre-harvest </w:t>
            </w:r>
            <w:r w:rsidRPr="00B36690">
              <w:lastRenderedPageBreak/>
              <w:t>desiccation in poppies and oilseeds</w:t>
            </w:r>
          </w:p>
        </w:tc>
        <w:tc>
          <w:tcPr>
            <w:tcW w:w="652" w:type="pct"/>
            <w:vMerge w:val="restart"/>
            <w:tcBorders>
              <w:top w:val="single" w:sz="4" w:space="0" w:color="auto"/>
            </w:tcBorders>
          </w:tcPr>
          <w:p w14:paraId="0674C904" w14:textId="77777777" w:rsidR="002B1A69" w:rsidRPr="00B36690" w:rsidRDefault="002B1A69" w:rsidP="00B36690">
            <w:pPr>
              <w:pStyle w:val="TableText"/>
            </w:pPr>
            <w:r w:rsidRPr="00B36690">
              <w:lastRenderedPageBreak/>
              <w:t>Oilseeds</w:t>
            </w:r>
          </w:p>
        </w:tc>
        <w:tc>
          <w:tcPr>
            <w:tcW w:w="878" w:type="pct"/>
            <w:tcBorders>
              <w:top w:val="single" w:sz="4" w:space="0" w:color="auto"/>
            </w:tcBorders>
          </w:tcPr>
          <w:p w14:paraId="495047F7"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27E59A56" w14:textId="77777777" w:rsidR="002B1A69" w:rsidRPr="00B36690" w:rsidRDefault="002B1A69" w:rsidP="00B36690">
            <w:pPr>
              <w:pStyle w:val="TableText"/>
            </w:pPr>
            <w:r w:rsidRPr="00B36690">
              <w:t>BBCH 80-99</w:t>
            </w:r>
          </w:p>
        </w:tc>
        <w:tc>
          <w:tcPr>
            <w:tcW w:w="486" w:type="pct"/>
            <w:tcBorders>
              <w:top w:val="single" w:sz="4" w:space="0" w:color="auto"/>
            </w:tcBorders>
          </w:tcPr>
          <w:p w14:paraId="2E5E9349" w14:textId="77777777" w:rsidR="002B1A69" w:rsidRPr="00B36690" w:rsidRDefault="002B1A69" w:rsidP="00B36690">
            <w:pPr>
              <w:pStyle w:val="TableText"/>
              <w:jc w:val="right"/>
            </w:pPr>
            <w:r w:rsidRPr="00B36690">
              <w:t>24.7</w:t>
            </w:r>
          </w:p>
        </w:tc>
        <w:tc>
          <w:tcPr>
            <w:tcW w:w="486" w:type="pct"/>
            <w:tcBorders>
              <w:top w:val="single" w:sz="4" w:space="0" w:color="auto"/>
            </w:tcBorders>
          </w:tcPr>
          <w:p w14:paraId="7D451A47" w14:textId="77777777" w:rsidR="002B1A69" w:rsidRPr="00B36690" w:rsidRDefault="002B1A69" w:rsidP="00B36690">
            <w:pPr>
              <w:pStyle w:val="TableText"/>
              <w:jc w:val="right"/>
            </w:pPr>
            <w:r w:rsidRPr="00B36690">
              <w:t>11.4</w:t>
            </w:r>
          </w:p>
        </w:tc>
        <w:tc>
          <w:tcPr>
            <w:tcW w:w="486" w:type="pct"/>
            <w:tcBorders>
              <w:top w:val="single" w:sz="4" w:space="0" w:color="auto"/>
            </w:tcBorders>
            <w:shd w:val="clear" w:color="auto" w:fill="FF0000"/>
          </w:tcPr>
          <w:p w14:paraId="5F0E0FED" w14:textId="77777777" w:rsidR="002B1A69" w:rsidRPr="00B36690" w:rsidRDefault="002B1A69" w:rsidP="00B36690">
            <w:pPr>
              <w:pStyle w:val="TableText"/>
              <w:jc w:val="right"/>
            </w:pPr>
            <w:r w:rsidRPr="00B36690">
              <w:t>283</w:t>
            </w:r>
          </w:p>
        </w:tc>
        <w:tc>
          <w:tcPr>
            <w:tcW w:w="487" w:type="pct"/>
            <w:tcBorders>
              <w:top w:val="single" w:sz="4" w:space="0" w:color="auto"/>
            </w:tcBorders>
          </w:tcPr>
          <w:p w14:paraId="3985D3EF" w14:textId="77777777" w:rsidR="002B1A69" w:rsidRPr="00B36690" w:rsidRDefault="002B1A69" w:rsidP="00B36690">
            <w:pPr>
              <w:pStyle w:val="TableText"/>
              <w:jc w:val="right"/>
            </w:pPr>
            <w:r w:rsidRPr="00B36690">
              <w:t>1066</w:t>
            </w:r>
          </w:p>
        </w:tc>
      </w:tr>
      <w:tr w:rsidR="002B1A69" w:rsidRPr="006E15AF" w14:paraId="00C5F86E" w14:textId="77777777" w:rsidTr="002B1A69">
        <w:trPr>
          <w:cantSplit/>
          <w:trHeight w:val="13"/>
        </w:trPr>
        <w:tc>
          <w:tcPr>
            <w:tcW w:w="873" w:type="pct"/>
            <w:vMerge/>
            <w:tcBorders>
              <w:top w:val="single" w:sz="4" w:space="0" w:color="auto"/>
            </w:tcBorders>
          </w:tcPr>
          <w:p w14:paraId="193754F1" w14:textId="77777777" w:rsidR="002B1A69" w:rsidRPr="00B36690" w:rsidRDefault="002B1A69" w:rsidP="00B36690">
            <w:pPr>
              <w:pStyle w:val="TableText"/>
            </w:pPr>
          </w:p>
        </w:tc>
        <w:tc>
          <w:tcPr>
            <w:tcW w:w="652" w:type="pct"/>
            <w:vMerge/>
            <w:tcBorders>
              <w:top w:val="single" w:sz="4" w:space="0" w:color="auto"/>
            </w:tcBorders>
          </w:tcPr>
          <w:p w14:paraId="7AC25865" w14:textId="77777777" w:rsidR="002B1A69" w:rsidRPr="00B36690" w:rsidRDefault="002B1A69" w:rsidP="00B36690">
            <w:pPr>
              <w:pStyle w:val="TableText"/>
            </w:pPr>
          </w:p>
        </w:tc>
        <w:tc>
          <w:tcPr>
            <w:tcW w:w="878" w:type="pct"/>
          </w:tcPr>
          <w:p w14:paraId="0CC61966" w14:textId="77777777" w:rsidR="002B1A69" w:rsidRPr="00B36690" w:rsidRDefault="002B1A69" w:rsidP="00B36690">
            <w:pPr>
              <w:pStyle w:val="TableText"/>
            </w:pPr>
            <w:r w:rsidRPr="00B36690">
              <w:t>Small omnivore</w:t>
            </w:r>
          </w:p>
        </w:tc>
        <w:tc>
          <w:tcPr>
            <w:tcW w:w="652" w:type="pct"/>
          </w:tcPr>
          <w:p w14:paraId="26C91787" w14:textId="77777777" w:rsidR="002B1A69" w:rsidRPr="00B36690" w:rsidRDefault="002B1A69" w:rsidP="00B36690">
            <w:pPr>
              <w:pStyle w:val="TableText"/>
            </w:pPr>
            <w:r w:rsidRPr="00B36690">
              <w:t>BBCH ≥40</w:t>
            </w:r>
          </w:p>
        </w:tc>
        <w:tc>
          <w:tcPr>
            <w:tcW w:w="486" w:type="pct"/>
          </w:tcPr>
          <w:p w14:paraId="0B9855BC" w14:textId="77777777" w:rsidR="002B1A69" w:rsidRPr="00B36690" w:rsidRDefault="002B1A69" w:rsidP="00B36690">
            <w:pPr>
              <w:pStyle w:val="TableText"/>
              <w:jc w:val="right"/>
            </w:pPr>
            <w:r w:rsidRPr="00B36690">
              <w:t>6.0</w:t>
            </w:r>
          </w:p>
        </w:tc>
        <w:tc>
          <w:tcPr>
            <w:tcW w:w="486" w:type="pct"/>
          </w:tcPr>
          <w:p w14:paraId="6E1DCFE8" w14:textId="77777777" w:rsidR="002B1A69" w:rsidRPr="00B36690" w:rsidRDefault="002B1A69" w:rsidP="00B36690">
            <w:pPr>
              <w:pStyle w:val="TableText"/>
              <w:jc w:val="right"/>
            </w:pPr>
            <w:r w:rsidRPr="00B36690">
              <w:t>2.7</w:t>
            </w:r>
          </w:p>
        </w:tc>
        <w:tc>
          <w:tcPr>
            <w:tcW w:w="486" w:type="pct"/>
          </w:tcPr>
          <w:p w14:paraId="08BDE37B" w14:textId="77777777" w:rsidR="002B1A69" w:rsidRPr="00B36690" w:rsidRDefault="002B1A69" w:rsidP="00B36690">
            <w:pPr>
              <w:pStyle w:val="TableText"/>
              <w:jc w:val="right"/>
            </w:pPr>
            <w:r w:rsidRPr="00B36690">
              <w:t>1167</w:t>
            </w:r>
          </w:p>
        </w:tc>
        <w:tc>
          <w:tcPr>
            <w:tcW w:w="487" w:type="pct"/>
          </w:tcPr>
          <w:p w14:paraId="77CCA43F" w14:textId="77777777" w:rsidR="002B1A69" w:rsidRPr="00B36690" w:rsidRDefault="002B1A69" w:rsidP="00B36690">
            <w:pPr>
              <w:pStyle w:val="TableText"/>
              <w:jc w:val="right"/>
            </w:pPr>
            <w:r w:rsidRPr="00B36690">
              <w:t>4500</w:t>
            </w:r>
          </w:p>
        </w:tc>
      </w:tr>
      <w:tr w:rsidR="002B1A69" w:rsidRPr="006E15AF" w14:paraId="442F0822" w14:textId="77777777" w:rsidTr="002B1A69">
        <w:trPr>
          <w:cantSplit/>
          <w:trHeight w:val="13"/>
        </w:trPr>
        <w:tc>
          <w:tcPr>
            <w:tcW w:w="873" w:type="pct"/>
            <w:vMerge/>
            <w:tcBorders>
              <w:top w:val="single" w:sz="4" w:space="0" w:color="auto"/>
            </w:tcBorders>
          </w:tcPr>
          <w:p w14:paraId="45D84B09" w14:textId="77777777" w:rsidR="002B1A69" w:rsidRPr="00B36690" w:rsidRDefault="002B1A69" w:rsidP="00B36690">
            <w:pPr>
              <w:pStyle w:val="TableText"/>
            </w:pPr>
          </w:p>
        </w:tc>
        <w:tc>
          <w:tcPr>
            <w:tcW w:w="652" w:type="pct"/>
            <w:vMerge/>
            <w:tcBorders>
              <w:top w:val="single" w:sz="4" w:space="0" w:color="auto"/>
            </w:tcBorders>
          </w:tcPr>
          <w:p w14:paraId="15C35F28" w14:textId="77777777" w:rsidR="002B1A69" w:rsidRPr="00B36690" w:rsidRDefault="002B1A69" w:rsidP="00B36690">
            <w:pPr>
              <w:pStyle w:val="TableText"/>
            </w:pPr>
          </w:p>
        </w:tc>
        <w:tc>
          <w:tcPr>
            <w:tcW w:w="878" w:type="pct"/>
          </w:tcPr>
          <w:p w14:paraId="03263A08" w14:textId="77777777" w:rsidR="002B1A69" w:rsidRPr="00B36690" w:rsidRDefault="002B1A69" w:rsidP="00B36690">
            <w:pPr>
              <w:pStyle w:val="TableText"/>
            </w:pPr>
            <w:r w:rsidRPr="00B36690">
              <w:t>Medium herbivore/granivore</w:t>
            </w:r>
          </w:p>
        </w:tc>
        <w:tc>
          <w:tcPr>
            <w:tcW w:w="652" w:type="pct"/>
          </w:tcPr>
          <w:p w14:paraId="6C8CF6BB" w14:textId="77777777" w:rsidR="002B1A69" w:rsidRPr="00B36690" w:rsidRDefault="002B1A69" w:rsidP="00B36690">
            <w:pPr>
              <w:pStyle w:val="TableText"/>
            </w:pPr>
            <w:r w:rsidRPr="00B36690">
              <w:t>BBCH ≥40</w:t>
            </w:r>
          </w:p>
        </w:tc>
        <w:tc>
          <w:tcPr>
            <w:tcW w:w="486" w:type="pct"/>
          </w:tcPr>
          <w:p w14:paraId="76E25C1E" w14:textId="77777777" w:rsidR="002B1A69" w:rsidRPr="00B36690" w:rsidRDefault="002B1A69" w:rsidP="00B36690">
            <w:pPr>
              <w:pStyle w:val="TableText"/>
              <w:jc w:val="right"/>
            </w:pPr>
            <w:r w:rsidRPr="00B36690">
              <w:t>2.0</w:t>
            </w:r>
          </w:p>
        </w:tc>
        <w:tc>
          <w:tcPr>
            <w:tcW w:w="486" w:type="pct"/>
          </w:tcPr>
          <w:p w14:paraId="64F4E94D" w14:textId="77777777" w:rsidR="002B1A69" w:rsidRPr="00B36690" w:rsidRDefault="002B1A69" w:rsidP="00B36690">
            <w:pPr>
              <w:pStyle w:val="TableText"/>
              <w:jc w:val="right"/>
            </w:pPr>
            <w:r w:rsidRPr="00B36690">
              <w:t>0.9</w:t>
            </w:r>
          </w:p>
        </w:tc>
        <w:tc>
          <w:tcPr>
            <w:tcW w:w="486" w:type="pct"/>
          </w:tcPr>
          <w:p w14:paraId="22A7194C" w14:textId="77777777" w:rsidR="002B1A69" w:rsidRPr="00B36690" w:rsidRDefault="002B1A69" w:rsidP="00B36690">
            <w:pPr>
              <w:pStyle w:val="TableText"/>
              <w:jc w:val="right"/>
            </w:pPr>
            <w:r w:rsidRPr="00B36690">
              <w:t>3500</w:t>
            </w:r>
          </w:p>
        </w:tc>
        <w:tc>
          <w:tcPr>
            <w:tcW w:w="487" w:type="pct"/>
          </w:tcPr>
          <w:p w14:paraId="7F8248C7" w14:textId="77777777" w:rsidR="002B1A69" w:rsidRPr="00B36690" w:rsidRDefault="002B1A69" w:rsidP="00B36690">
            <w:pPr>
              <w:pStyle w:val="TableText"/>
              <w:jc w:val="right"/>
            </w:pPr>
            <w:r w:rsidRPr="00B36690">
              <w:t>13500</w:t>
            </w:r>
          </w:p>
        </w:tc>
      </w:tr>
      <w:tr w:rsidR="002B1A69" w:rsidRPr="006E15AF" w14:paraId="5E1F5102" w14:textId="77777777" w:rsidTr="002B1A69">
        <w:trPr>
          <w:cantSplit/>
          <w:trHeight w:val="13"/>
        </w:trPr>
        <w:tc>
          <w:tcPr>
            <w:tcW w:w="873" w:type="pct"/>
            <w:vMerge/>
            <w:tcBorders>
              <w:top w:val="single" w:sz="4" w:space="0" w:color="auto"/>
            </w:tcBorders>
          </w:tcPr>
          <w:p w14:paraId="5B57D458" w14:textId="77777777" w:rsidR="002B1A69" w:rsidRPr="00B36690" w:rsidRDefault="002B1A69" w:rsidP="00B36690">
            <w:pPr>
              <w:pStyle w:val="TableText"/>
            </w:pPr>
          </w:p>
        </w:tc>
        <w:tc>
          <w:tcPr>
            <w:tcW w:w="652" w:type="pct"/>
            <w:vMerge/>
            <w:tcBorders>
              <w:top w:val="single" w:sz="4" w:space="0" w:color="auto"/>
            </w:tcBorders>
          </w:tcPr>
          <w:p w14:paraId="537A258F" w14:textId="77777777" w:rsidR="002B1A69" w:rsidRPr="00B36690" w:rsidRDefault="002B1A69" w:rsidP="00B36690">
            <w:pPr>
              <w:pStyle w:val="TableText"/>
            </w:pPr>
          </w:p>
        </w:tc>
        <w:tc>
          <w:tcPr>
            <w:tcW w:w="878" w:type="pct"/>
            <w:tcBorders>
              <w:bottom w:val="single" w:sz="4" w:space="0" w:color="auto"/>
            </w:tcBorders>
          </w:tcPr>
          <w:p w14:paraId="0FFFC6E1"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627D56BD" w14:textId="77777777" w:rsidR="002B1A69" w:rsidRPr="00B36690" w:rsidRDefault="002B1A69" w:rsidP="00B36690">
            <w:pPr>
              <w:pStyle w:val="TableText"/>
            </w:pPr>
            <w:r w:rsidRPr="00B36690">
              <w:t>BBCH 30-99</w:t>
            </w:r>
          </w:p>
        </w:tc>
        <w:tc>
          <w:tcPr>
            <w:tcW w:w="486" w:type="pct"/>
            <w:tcBorders>
              <w:bottom w:val="single" w:sz="4" w:space="0" w:color="auto"/>
            </w:tcBorders>
          </w:tcPr>
          <w:p w14:paraId="7D7588EB" w14:textId="77777777" w:rsidR="002B1A69" w:rsidRPr="00B36690" w:rsidRDefault="002B1A69" w:rsidP="00B36690">
            <w:pPr>
              <w:pStyle w:val="TableText"/>
              <w:jc w:val="right"/>
            </w:pPr>
            <w:r w:rsidRPr="00B36690">
              <w:t>7.4</w:t>
            </w:r>
          </w:p>
        </w:tc>
        <w:tc>
          <w:tcPr>
            <w:tcW w:w="486" w:type="pct"/>
            <w:tcBorders>
              <w:bottom w:val="single" w:sz="4" w:space="0" w:color="auto"/>
            </w:tcBorders>
          </w:tcPr>
          <w:p w14:paraId="21128DAB" w14:textId="77777777" w:rsidR="002B1A69" w:rsidRPr="00B36690" w:rsidRDefault="002B1A69" w:rsidP="00B36690">
            <w:pPr>
              <w:pStyle w:val="TableText"/>
              <w:jc w:val="right"/>
            </w:pPr>
            <w:r w:rsidRPr="00B36690">
              <w:t>2.7</w:t>
            </w:r>
          </w:p>
        </w:tc>
        <w:tc>
          <w:tcPr>
            <w:tcW w:w="486" w:type="pct"/>
            <w:tcBorders>
              <w:bottom w:val="single" w:sz="4" w:space="0" w:color="auto"/>
            </w:tcBorders>
          </w:tcPr>
          <w:p w14:paraId="5FD19AFB" w14:textId="77777777" w:rsidR="002B1A69" w:rsidRPr="00B36690" w:rsidRDefault="002B1A69" w:rsidP="00B36690">
            <w:pPr>
              <w:pStyle w:val="TableText"/>
              <w:jc w:val="right"/>
            </w:pPr>
            <w:r w:rsidRPr="00B36690">
              <w:t>946</w:t>
            </w:r>
          </w:p>
        </w:tc>
        <w:tc>
          <w:tcPr>
            <w:tcW w:w="487" w:type="pct"/>
            <w:tcBorders>
              <w:bottom w:val="single" w:sz="4" w:space="0" w:color="auto"/>
            </w:tcBorders>
          </w:tcPr>
          <w:p w14:paraId="0733826D" w14:textId="77777777" w:rsidR="002B1A69" w:rsidRPr="00B36690" w:rsidRDefault="002B1A69" w:rsidP="00B36690">
            <w:pPr>
              <w:pStyle w:val="TableText"/>
              <w:jc w:val="right"/>
            </w:pPr>
            <w:r w:rsidRPr="00B36690">
              <w:t>4500</w:t>
            </w:r>
          </w:p>
        </w:tc>
      </w:tr>
      <w:tr w:rsidR="002B1A69" w:rsidRPr="006E15AF" w14:paraId="270DAD89" w14:textId="77777777" w:rsidTr="002B1A69">
        <w:trPr>
          <w:cantSplit/>
          <w:trHeight w:val="13"/>
        </w:trPr>
        <w:tc>
          <w:tcPr>
            <w:tcW w:w="873" w:type="pct"/>
            <w:vMerge w:val="restart"/>
            <w:tcBorders>
              <w:top w:val="single" w:sz="4" w:space="0" w:color="auto"/>
            </w:tcBorders>
          </w:tcPr>
          <w:p w14:paraId="7273A984" w14:textId="77777777" w:rsidR="002B1A69" w:rsidRPr="00B36690" w:rsidRDefault="002B1A69" w:rsidP="00B36690">
            <w:pPr>
              <w:pStyle w:val="TableText"/>
            </w:pPr>
            <w:r w:rsidRPr="00B36690">
              <w:t>General weed control in bananas, duboisia, forests, orchards, plantations, tea tree, tropical fruits and vineyards</w:t>
            </w:r>
          </w:p>
        </w:tc>
        <w:tc>
          <w:tcPr>
            <w:tcW w:w="652" w:type="pct"/>
            <w:vMerge w:val="restart"/>
            <w:tcBorders>
              <w:top w:val="single" w:sz="4" w:space="0" w:color="auto"/>
            </w:tcBorders>
          </w:tcPr>
          <w:p w14:paraId="5A3B2D74" w14:textId="77777777" w:rsidR="002B1A69" w:rsidRPr="00B36690" w:rsidRDefault="002B1A69" w:rsidP="00B36690">
            <w:pPr>
              <w:pStyle w:val="TableText"/>
            </w:pPr>
            <w:r w:rsidRPr="00B36690">
              <w:t>Orchards</w:t>
            </w:r>
          </w:p>
        </w:tc>
        <w:tc>
          <w:tcPr>
            <w:tcW w:w="878" w:type="pct"/>
            <w:tcBorders>
              <w:top w:val="single" w:sz="4" w:space="0" w:color="auto"/>
            </w:tcBorders>
          </w:tcPr>
          <w:p w14:paraId="2B4BA8C3"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109610B7" w14:textId="77777777" w:rsidR="002B1A69" w:rsidRPr="00B36690" w:rsidRDefault="002B1A69" w:rsidP="00B36690">
            <w:pPr>
              <w:pStyle w:val="TableText"/>
            </w:pPr>
            <w:r w:rsidRPr="00B36690">
              <w:t>Ground directed</w:t>
            </w:r>
          </w:p>
        </w:tc>
        <w:tc>
          <w:tcPr>
            <w:tcW w:w="486" w:type="pct"/>
            <w:tcBorders>
              <w:top w:val="single" w:sz="4" w:space="0" w:color="auto"/>
            </w:tcBorders>
          </w:tcPr>
          <w:p w14:paraId="680C0815" w14:textId="77777777" w:rsidR="002B1A69" w:rsidRPr="00B36690" w:rsidRDefault="002B1A69" w:rsidP="00B36690">
            <w:pPr>
              <w:pStyle w:val="TableText"/>
              <w:jc w:val="right"/>
            </w:pPr>
            <w:r w:rsidRPr="00B36690">
              <w:t>27.4</w:t>
            </w:r>
          </w:p>
        </w:tc>
        <w:tc>
          <w:tcPr>
            <w:tcW w:w="486" w:type="pct"/>
            <w:tcBorders>
              <w:top w:val="single" w:sz="4" w:space="0" w:color="auto"/>
            </w:tcBorders>
          </w:tcPr>
          <w:p w14:paraId="309EF209" w14:textId="77777777" w:rsidR="002B1A69" w:rsidRPr="00B36690" w:rsidRDefault="002B1A69" w:rsidP="00B36690">
            <w:pPr>
              <w:pStyle w:val="TableText"/>
              <w:jc w:val="right"/>
            </w:pPr>
            <w:r w:rsidRPr="00B36690">
              <w:t>12.6</w:t>
            </w:r>
          </w:p>
        </w:tc>
        <w:tc>
          <w:tcPr>
            <w:tcW w:w="486" w:type="pct"/>
            <w:tcBorders>
              <w:top w:val="single" w:sz="4" w:space="0" w:color="auto"/>
            </w:tcBorders>
            <w:shd w:val="clear" w:color="auto" w:fill="FF0000"/>
          </w:tcPr>
          <w:p w14:paraId="5CB80607" w14:textId="77777777" w:rsidR="002B1A69" w:rsidRPr="00B36690" w:rsidRDefault="002B1A69" w:rsidP="00B36690">
            <w:pPr>
              <w:pStyle w:val="TableText"/>
              <w:jc w:val="right"/>
            </w:pPr>
            <w:r w:rsidRPr="00B36690">
              <w:t>255</w:t>
            </w:r>
          </w:p>
        </w:tc>
        <w:tc>
          <w:tcPr>
            <w:tcW w:w="487" w:type="pct"/>
            <w:tcBorders>
              <w:top w:val="single" w:sz="4" w:space="0" w:color="auto"/>
            </w:tcBorders>
          </w:tcPr>
          <w:p w14:paraId="1ACC34AE" w14:textId="77777777" w:rsidR="002B1A69" w:rsidRPr="00B36690" w:rsidRDefault="002B1A69" w:rsidP="00B36690">
            <w:pPr>
              <w:pStyle w:val="TableText"/>
              <w:jc w:val="right"/>
            </w:pPr>
            <w:r w:rsidRPr="00B36690">
              <w:t>964</w:t>
            </w:r>
          </w:p>
        </w:tc>
      </w:tr>
      <w:tr w:rsidR="002B1A69" w:rsidRPr="006E15AF" w14:paraId="3B0B530B" w14:textId="77777777" w:rsidTr="002B1A69">
        <w:trPr>
          <w:cantSplit/>
          <w:trHeight w:val="13"/>
        </w:trPr>
        <w:tc>
          <w:tcPr>
            <w:tcW w:w="873" w:type="pct"/>
            <w:vMerge/>
          </w:tcPr>
          <w:p w14:paraId="52C72EB2" w14:textId="77777777" w:rsidR="002B1A69" w:rsidRPr="00B36690" w:rsidRDefault="002B1A69" w:rsidP="00B36690">
            <w:pPr>
              <w:pStyle w:val="TableText"/>
            </w:pPr>
          </w:p>
        </w:tc>
        <w:tc>
          <w:tcPr>
            <w:tcW w:w="652" w:type="pct"/>
            <w:vMerge/>
          </w:tcPr>
          <w:p w14:paraId="3E5738E8" w14:textId="77777777" w:rsidR="002B1A69" w:rsidRPr="00B36690" w:rsidRDefault="002B1A69" w:rsidP="00B36690">
            <w:pPr>
              <w:pStyle w:val="TableText"/>
            </w:pPr>
          </w:p>
        </w:tc>
        <w:tc>
          <w:tcPr>
            <w:tcW w:w="878" w:type="pct"/>
            <w:tcBorders>
              <w:bottom w:val="single" w:sz="4" w:space="0" w:color="auto"/>
            </w:tcBorders>
          </w:tcPr>
          <w:p w14:paraId="332EF8BE" w14:textId="77777777" w:rsidR="002B1A69" w:rsidRPr="00B36690" w:rsidRDefault="002B1A69" w:rsidP="00B36690">
            <w:pPr>
              <w:pStyle w:val="TableText"/>
            </w:pPr>
            <w:r w:rsidRPr="00B36690">
              <w:t>Small insectivore/worm feeding</w:t>
            </w:r>
          </w:p>
        </w:tc>
        <w:tc>
          <w:tcPr>
            <w:tcW w:w="652" w:type="pct"/>
            <w:tcBorders>
              <w:bottom w:val="single" w:sz="4" w:space="0" w:color="auto"/>
            </w:tcBorders>
          </w:tcPr>
          <w:p w14:paraId="2C097069" w14:textId="77777777" w:rsidR="002B1A69" w:rsidRPr="00B36690" w:rsidRDefault="002B1A69" w:rsidP="00B36690">
            <w:pPr>
              <w:pStyle w:val="TableText"/>
            </w:pPr>
            <w:r w:rsidRPr="00B36690">
              <w:t>Ground directed</w:t>
            </w:r>
          </w:p>
        </w:tc>
        <w:tc>
          <w:tcPr>
            <w:tcW w:w="486" w:type="pct"/>
            <w:tcBorders>
              <w:bottom w:val="single" w:sz="4" w:space="0" w:color="auto"/>
            </w:tcBorders>
          </w:tcPr>
          <w:p w14:paraId="012A2864" w14:textId="77777777" w:rsidR="002B1A69" w:rsidRPr="00B36690" w:rsidRDefault="002B1A69" w:rsidP="00B36690">
            <w:pPr>
              <w:pStyle w:val="TableText"/>
              <w:jc w:val="right"/>
            </w:pPr>
            <w:r w:rsidRPr="00B36690">
              <w:t>7.4</w:t>
            </w:r>
          </w:p>
        </w:tc>
        <w:tc>
          <w:tcPr>
            <w:tcW w:w="486" w:type="pct"/>
            <w:tcBorders>
              <w:bottom w:val="single" w:sz="4" w:space="0" w:color="auto"/>
            </w:tcBorders>
          </w:tcPr>
          <w:p w14:paraId="495C394D" w14:textId="77777777" w:rsidR="002B1A69" w:rsidRPr="00B36690" w:rsidRDefault="002B1A69" w:rsidP="00B36690">
            <w:pPr>
              <w:pStyle w:val="TableText"/>
              <w:jc w:val="right"/>
            </w:pPr>
            <w:r w:rsidRPr="00B36690">
              <w:t>2.7</w:t>
            </w:r>
          </w:p>
        </w:tc>
        <w:tc>
          <w:tcPr>
            <w:tcW w:w="486" w:type="pct"/>
            <w:tcBorders>
              <w:bottom w:val="single" w:sz="4" w:space="0" w:color="auto"/>
            </w:tcBorders>
          </w:tcPr>
          <w:p w14:paraId="720F28EB" w14:textId="77777777" w:rsidR="002B1A69" w:rsidRPr="00B36690" w:rsidRDefault="002B1A69" w:rsidP="00B36690">
            <w:pPr>
              <w:pStyle w:val="TableText"/>
              <w:jc w:val="right"/>
            </w:pPr>
            <w:r w:rsidRPr="00B36690">
              <w:t>946</w:t>
            </w:r>
          </w:p>
        </w:tc>
        <w:tc>
          <w:tcPr>
            <w:tcW w:w="487" w:type="pct"/>
            <w:tcBorders>
              <w:bottom w:val="single" w:sz="4" w:space="0" w:color="auto"/>
            </w:tcBorders>
          </w:tcPr>
          <w:p w14:paraId="4AA1C4E5" w14:textId="77777777" w:rsidR="002B1A69" w:rsidRPr="00B36690" w:rsidRDefault="002B1A69" w:rsidP="00B36690">
            <w:pPr>
              <w:pStyle w:val="TableText"/>
              <w:jc w:val="right"/>
            </w:pPr>
            <w:r w:rsidRPr="00B36690">
              <w:t>4500</w:t>
            </w:r>
          </w:p>
        </w:tc>
      </w:tr>
      <w:tr w:rsidR="002B1A69" w:rsidRPr="006E15AF" w14:paraId="7D10AF83" w14:textId="77777777" w:rsidTr="002B1A69">
        <w:trPr>
          <w:cantSplit/>
          <w:trHeight w:val="13"/>
        </w:trPr>
        <w:tc>
          <w:tcPr>
            <w:tcW w:w="873" w:type="pct"/>
            <w:vMerge w:val="restart"/>
            <w:tcBorders>
              <w:top w:val="single" w:sz="4" w:space="0" w:color="auto"/>
            </w:tcBorders>
          </w:tcPr>
          <w:p w14:paraId="3C7D9C45" w14:textId="77777777" w:rsidR="002B1A69" w:rsidRPr="00B36690" w:rsidRDefault="002B1A69" w:rsidP="00B36690">
            <w:pPr>
              <w:pStyle w:val="TableText"/>
            </w:pPr>
            <w:r w:rsidRPr="00B36690">
              <w:t>General weed control in potatoes (pre-harvest)</w:t>
            </w:r>
          </w:p>
        </w:tc>
        <w:tc>
          <w:tcPr>
            <w:tcW w:w="652" w:type="pct"/>
            <w:vMerge w:val="restart"/>
            <w:tcBorders>
              <w:top w:val="single" w:sz="4" w:space="0" w:color="auto"/>
            </w:tcBorders>
          </w:tcPr>
          <w:p w14:paraId="39E0E3A6" w14:textId="77777777" w:rsidR="002B1A69" w:rsidRPr="00B36690" w:rsidRDefault="002B1A69" w:rsidP="00B36690">
            <w:pPr>
              <w:pStyle w:val="TableText"/>
            </w:pPr>
            <w:r w:rsidRPr="00B36690">
              <w:t>Potatoes</w:t>
            </w:r>
          </w:p>
        </w:tc>
        <w:tc>
          <w:tcPr>
            <w:tcW w:w="878" w:type="pct"/>
            <w:tcBorders>
              <w:top w:val="single" w:sz="4" w:space="0" w:color="auto"/>
            </w:tcBorders>
          </w:tcPr>
          <w:p w14:paraId="038A3651" w14:textId="77777777" w:rsidR="002B1A69" w:rsidRPr="00B36690" w:rsidRDefault="002B1A69" w:rsidP="00B36690">
            <w:pPr>
              <w:pStyle w:val="TableText"/>
            </w:pPr>
            <w:r w:rsidRPr="00B36690">
              <w:t>Small omnivore</w:t>
            </w:r>
          </w:p>
        </w:tc>
        <w:tc>
          <w:tcPr>
            <w:tcW w:w="652" w:type="pct"/>
            <w:tcBorders>
              <w:top w:val="single" w:sz="4" w:space="0" w:color="auto"/>
            </w:tcBorders>
          </w:tcPr>
          <w:p w14:paraId="68528130" w14:textId="77777777" w:rsidR="002B1A69" w:rsidRPr="00B36690" w:rsidRDefault="002B1A69" w:rsidP="00B36690">
            <w:pPr>
              <w:pStyle w:val="TableText"/>
            </w:pPr>
            <w:r w:rsidRPr="00B36690">
              <w:t>BBCH ≥40</w:t>
            </w:r>
          </w:p>
        </w:tc>
        <w:tc>
          <w:tcPr>
            <w:tcW w:w="486" w:type="pct"/>
            <w:tcBorders>
              <w:top w:val="single" w:sz="4" w:space="0" w:color="auto"/>
            </w:tcBorders>
          </w:tcPr>
          <w:p w14:paraId="4032FE61" w14:textId="77777777" w:rsidR="002B1A69" w:rsidRPr="00B36690" w:rsidRDefault="002B1A69" w:rsidP="00B36690">
            <w:pPr>
              <w:pStyle w:val="TableText"/>
              <w:jc w:val="right"/>
            </w:pPr>
            <w:r w:rsidRPr="00B36690">
              <w:t>7.2</w:t>
            </w:r>
          </w:p>
        </w:tc>
        <w:tc>
          <w:tcPr>
            <w:tcW w:w="486" w:type="pct"/>
            <w:tcBorders>
              <w:top w:val="single" w:sz="4" w:space="0" w:color="auto"/>
            </w:tcBorders>
          </w:tcPr>
          <w:p w14:paraId="7F55B74F" w14:textId="77777777" w:rsidR="002B1A69" w:rsidRPr="00B36690" w:rsidRDefault="002B1A69" w:rsidP="00B36690">
            <w:pPr>
              <w:pStyle w:val="TableText"/>
              <w:jc w:val="right"/>
            </w:pPr>
            <w:r w:rsidRPr="00B36690">
              <w:t>3.3</w:t>
            </w:r>
          </w:p>
        </w:tc>
        <w:tc>
          <w:tcPr>
            <w:tcW w:w="486" w:type="pct"/>
            <w:tcBorders>
              <w:top w:val="single" w:sz="4" w:space="0" w:color="auto"/>
            </w:tcBorders>
          </w:tcPr>
          <w:p w14:paraId="16665D5E" w14:textId="77777777" w:rsidR="002B1A69" w:rsidRPr="00B36690" w:rsidRDefault="002B1A69" w:rsidP="00B36690">
            <w:pPr>
              <w:pStyle w:val="TableText"/>
              <w:jc w:val="right"/>
            </w:pPr>
            <w:r w:rsidRPr="00B36690">
              <w:t>972</w:t>
            </w:r>
          </w:p>
        </w:tc>
        <w:tc>
          <w:tcPr>
            <w:tcW w:w="487" w:type="pct"/>
            <w:tcBorders>
              <w:top w:val="single" w:sz="4" w:space="0" w:color="auto"/>
            </w:tcBorders>
          </w:tcPr>
          <w:p w14:paraId="7018A8CD" w14:textId="77777777" w:rsidR="002B1A69" w:rsidRPr="00B36690" w:rsidRDefault="002B1A69" w:rsidP="00B36690">
            <w:pPr>
              <w:pStyle w:val="TableText"/>
              <w:jc w:val="right"/>
            </w:pPr>
            <w:r w:rsidRPr="00B36690">
              <w:t>3682</w:t>
            </w:r>
          </w:p>
        </w:tc>
      </w:tr>
      <w:tr w:rsidR="002B1A69" w:rsidRPr="006E15AF" w14:paraId="6813709D" w14:textId="77777777" w:rsidTr="002B1A69">
        <w:trPr>
          <w:cantSplit/>
          <w:trHeight w:val="13"/>
        </w:trPr>
        <w:tc>
          <w:tcPr>
            <w:tcW w:w="873" w:type="pct"/>
            <w:vMerge/>
          </w:tcPr>
          <w:p w14:paraId="042A3C4A" w14:textId="77777777" w:rsidR="002B1A69" w:rsidRPr="00B36690" w:rsidRDefault="002B1A69" w:rsidP="00B36690">
            <w:pPr>
              <w:pStyle w:val="TableText"/>
            </w:pPr>
          </w:p>
        </w:tc>
        <w:tc>
          <w:tcPr>
            <w:tcW w:w="652" w:type="pct"/>
            <w:vMerge/>
          </w:tcPr>
          <w:p w14:paraId="6357948F" w14:textId="77777777" w:rsidR="002B1A69" w:rsidRPr="00B36690" w:rsidRDefault="002B1A69" w:rsidP="00B36690">
            <w:pPr>
              <w:pStyle w:val="TableText"/>
            </w:pPr>
          </w:p>
        </w:tc>
        <w:tc>
          <w:tcPr>
            <w:tcW w:w="878" w:type="pct"/>
            <w:tcBorders>
              <w:bottom w:val="single" w:sz="4" w:space="0" w:color="auto"/>
            </w:tcBorders>
          </w:tcPr>
          <w:p w14:paraId="31EB1C33"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23A599BC" w14:textId="77777777" w:rsidR="002B1A69" w:rsidRPr="00B36690" w:rsidRDefault="002B1A69" w:rsidP="00B36690">
            <w:pPr>
              <w:pStyle w:val="TableText"/>
            </w:pPr>
            <w:r w:rsidRPr="00B36690">
              <w:t>BBCH ≥20</w:t>
            </w:r>
          </w:p>
        </w:tc>
        <w:tc>
          <w:tcPr>
            <w:tcW w:w="486" w:type="pct"/>
            <w:tcBorders>
              <w:bottom w:val="single" w:sz="4" w:space="0" w:color="auto"/>
            </w:tcBorders>
          </w:tcPr>
          <w:p w14:paraId="23078688" w14:textId="77777777" w:rsidR="002B1A69" w:rsidRPr="00B36690" w:rsidRDefault="002B1A69" w:rsidP="00B36690">
            <w:pPr>
              <w:pStyle w:val="TableText"/>
              <w:jc w:val="right"/>
            </w:pPr>
            <w:r w:rsidRPr="00B36690">
              <w:t>25.2</w:t>
            </w:r>
          </w:p>
        </w:tc>
        <w:tc>
          <w:tcPr>
            <w:tcW w:w="486" w:type="pct"/>
            <w:tcBorders>
              <w:bottom w:val="single" w:sz="4" w:space="0" w:color="auto"/>
            </w:tcBorders>
          </w:tcPr>
          <w:p w14:paraId="72C0E2F3" w14:textId="77777777" w:rsidR="002B1A69" w:rsidRPr="00B36690" w:rsidRDefault="002B1A69" w:rsidP="00B36690">
            <w:pPr>
              <w:pStyle w:val="TableText"/>
              <w:jc w:val="right"/>
            </w:pPr>
            <w:r w:rsidRPr="00B36690">
              <w:t>11.3</w:t>
            </w:r>
          </w:p>
        </w:tc>
        <w:tc>
          <w:tcPr>
            <w:tcW w:w="486" w:type="pct"/>
            <w:tcBorders>
              <w:bottom w:val="single" w:sz="4" w:space="0" w:color="auto"/>
            </w:tcBorders>
            <w:shd w:val="clear" w:color="auto" w:fill="FF0000"/>
          </w:tcPr>
          <w:p w14:paraId="6CCF726B" w14:textId="77777777" w:rsidR="002B1A69" w:rsidRPr="00B36690" w:rsidRDefault="002B1A69" w:rsidP="00B36690">
            <w:pPr>
              <w:pStyle w:val="TableText"/>
              <w:jc w:val="right"/>
            </w:pPr>
            <w:r w:rsidRPr="00B36690">
              <w:t>278</w:t>
            </w:r>
          </w:p>
        </w:tc>
        <w:tc>
          <w:tcPr>
            <w:tcW w:w="487" w:type="pct"/>
            <w:tcBorders>
              <w:bottom w:val="single" w:sz="4" w:space="0" w:color="auto"/>
            </w:tcBorders>
          </w:tcPr>
          <w:p w14:paraId="6D6573AC" w14:textId="77777777" w:rsidR="002B1A69" w:rsidRPr="00B36690" w:rsidRDefault="002B1A69" w:rsidP="00B36690">
            <w:pPr>
              <w:pStyle w:val="TableText"/>
              <w:jc w:val="right"/>
            </w:pPr>
            <w:r w:rsidRPr="00B36690">
              <w:t>1253</w:t>
            </w:r>
          </w:p>
        </w:tc>
      </w:tr>
      <w:tr w:rsidR="002B1A69" w:rsidRPr="006E15AF" w14:paraId="6183D800" w14:textId="77777777" w:rsidTr="002B1A69">
        <w:trPr>
          <w:cantSplit/>
          <w:trHeight w:val="13"/>
        </w:trPr>
        <w:tc>
          <w:tcPr>
            <w:tcW w:w="873" w:type="pct"/>
            <w:vMerge w:val="restart"/>
            <w:tcBorders>
              <w:top w:val="single" w:sz="4" w:space="0" w:color="auto"/>
            </w:tcBorders>
          </w:tcPr>
          <w:p w14:paraId="4CD41CDD" w14:textId="77777777" w:rsidR="002B1A69" w:rsidRPr="00B36690" w:rsidRDefault="002B1A69" w:rsidP="00B36690">
            <w:pPr>
              <w:pStyle w:val="TableText"/>
            </w:pPr>
            <w:r w:rsidRPr="00B36690">
              <w:t>Pre-harvest desiccation in potatoes</w:t>
            </w:r>
          </w:p>
        </w:tc>
        <w:tc>
          <w:tcPr>
            <w:tcW w:w="652" w:type="pct"/>
            <w:vMerge w:val="restart"/>
            <w:tcBorders>
              <w:top w:val="single" w:sz="4" w:space="0" w:color="auto"/>
            </w:tcBorders>
          </w:tcPr>
          <w:p w14:paraId="00641E5C" w14:textId="77777777" w:rsidR="002B1A69" w:rsidRPr="00B36690" w:rsidRDefault="002B1A69" w:rsidP="00B36690">
            <w:pPr>
              <w:pStyle w:val="TableText"/>
            </w:pPr>
            <w:r w:rsidRPr="00B36690">
              <w:t>Potatoes</w:t>
            </w:r>
          </w:p>
        </w:tc>
        <w:tc>
          <w:tcPr>
            <w:tcW w:w="878" w:type="pct"/>
            <w:tcBorders>
              <w:top w:val="single" w:sz="4" w:space="0" w:color="auto"/>
            </w:tcBorders>
          </w:tcPr>
          <w:p w14:paraId="1BED5B42" w14:textId="77777777" w:rsidR="002B1A69" w:rsidRPr="00B36690" w:rsidRDefault="002B1A69" w:rsidP="00B36690">
            <w:pPr>
              <w:pStyle w:val="TableText"/>
            </w:pPr>
            <w:r w:rsidRPr="00B36690">
              <w:t>Small omnivore</w:t>
            </w:r>
          </w:p>
        </w:tc>
        <w:tc>
          <w:tcPr>
            <w:tcW w:w="652" w:type="pct"/>
            <w:tcBorders>
              <w:top w:val="single" w:sz="4" w:space="0" w:color="auto"/>
            </w:tcBorders>
          </w:tcPr>
          <w:p w14:paraId="7BD2B06A" w14:textId="77777777" w:rsidR="002B1A69" w:rsidRPr="00B36690" w:rsidRDefault="002B1A69" w:rsidP="00B36690">
            <w:pPr>
              <w:pStyle w:val="TableText"/>
            </w:pPr>
            <w:r w:rsidRPr="00B36690">
              <w:t>BBCH ≥40</w:t>
            </w:r>
          </w:p>
        </w:tc>
        <w:tc>
          <w:tcPr>
            <w:tcW w:w="486" w:type="pct"/>
            <w:tcBorders>
              <w:top w:val="single" w:sz="4" w:space="0" w:color="auto"/>
            </w:tcBorders>
          </w:tcPr>
          <w:p w14:paraId="5CC6DEFF" w14:textId="77777777" w:rsidR="002B1A69" w:rsidRPr="00B36690" w:rsidRDefault="002B1A69" w:rsidP="00B36690">
            <w:pPr>
              <w:pStyle w:val="TableText"/>
              <w:jc w:val="right"/>
            </w:pPr>
            <w:r w:rsidRPr="00B36690">
              <w:t>7.2</w:t>
            </w:r>
          </w:p>
        </w:tc>
        <w:tc>
          <w:tcPr>
            <w:tcW w:w="486" w:type="pct"/>
            <w:tcBorders>
              <w:top w:val="single" w:sz="4" w:space="0" w:color="auto"/>
            </w:tcBorders>
          </w:tcPr>
          <w:p w14:paraId="5465CCA7" w14:textId="77777777" w:rsidR="002B1A69" w:rsidRPr="00B36690" w:rsidRDefault="002B1A69" w:rsidP="00B36690">
            <w:pPr>
              <w:pStyle w:val="TableText"/>
              <w:jc w:val="right"/>
            </w:pPr>
            <w:r w:rsidRPr="00B36690">
              <w:t>3.3</w:t>
            </w:r>
          </w:p>
        </w:tc>
        <w:tc>
          <w:tcPr>
            <w:tcW w:w="486" w:type="pct"/>
            <w:tcBorders>
              <w:top w:val="single" w:sz="4" w:space="0" w:color="auto"/>
            </w:tcBorders>
          </w:tcPr>
          <w:p w14:paraId="606911B6" w14:textId="77777777" w:rsidR="002B1A69" w:rsidRPr="00B36690" w:rsidRDefault="002B1A69" w:rsidP="00B36690">
            <w:pPr>
              <w:pStyle w:val="TableText"/>
              <w:jc w:val="right"/>
            </w:pPr>
            <w:r w:rsidRPr="00B36690">
              <w:t>972</w:t>
            </w:r>
          </w:p>
        </w:tc>
        <w:tc>
          <w:tcPr>
            <w:tcW w:w="487" w:type="pct"/>
            <w:tcBorders>
              <w:top w:val="single" w:sz="4" w:space="0" w:color="auto"/>
            </w:tcBorders>
          </w:tcPr>
          <w:p w14:paraId="39D9544D" w14:textId="77777777" w:rsidR="002B1A69" w:rsidRPr="00B36690" w:rsidRDefault="002B1A69" w:rsidP="00B36690">
            <w:pPr>
              <w:pStyle w:val="TableText"/>
              <w:jc w:val="right"/>
            </w:pPr>
            <w:r w:rsidRPr="00B36690">
              <w:t>3682</w:t>
            </w:r>
          </w:p>
        </w:tc>
      </w:tr>
      <w:tr w:rsidR="002B1A69" w:rsidRPr="006E15AF" w14:paraId="30F07CEE" w14:textId="77777777" w:rsidTr="002B1A69">
        <w:trPr>
          <w:cantSplit/>
          <w:trHeight w:val="13"/>
        </w:trPr>
        <w:tc>
          <w:tcPr>
            <w:tcW w:w="873" w:type="pct"/>
            <w:vMerge/>
            <w:tcBorders>
              <w:top w:val="single" w:sz="4" w:space="0" w:color="auto"/>
            </w:tcBorders>
          </w:tcPr>
          <w:p w14:paraId="1A026386" w14:textId="77777777" w:rsidR="002B1A69" w:rsidRPr="00B36690" w:rsidRDefault="002B1A69" w:rsidP="00B36690">
            <w:pPr>
              <w:pStyle w:val="TableText"/>
            </w:pPr>
          </w:p>
        </w:tc>
        <w:tc>
          <w:tcPr>
            <w:tcW w:w="652" w:type="pct"/>
            <w:vMerge/>
            <w:tcBorders>
              <w:top w:val="single" w:sz="4" w:space="0" w:color="auto"/>
            </w:tcBorders>
          </w:tcPr>
          <w:p w14:paraId="68B0D841" w14:textId="77777777" w:rsidR="002B1A69" w:rsidRPr="00B36690" w:rsidRDefault="002B1A69" w:rsidP="00B36690">
            <w:pPr>
              <w:pStyle w:val="TableText"/>
            </w:pPr>
          </w:p>
        </w:tc>
        <w:tc>
          <w:tcPr>
            <w:tcW w:w="878" w:type="pct"/>
          </w:tcPr>
          <w:p w14:paraId="636527E1" w14:textId="77777777" w:rsidR="002B1A69" w:rsidRPr="00B36690" w:rsidRDefault="002B1A69" w:rsidP="00B36690">
            <w:pPr>
              <w:pStyle w:val="TableText"/>
            </w:pPr>
            <w:r w:rsidRPr="00B36690">
              <w:t>Small insectivore</w:t>
            </w:r>
          </w:p>
        </w:tc>
        <w:tc>
          <w:tcPr>
            <w:tcW w:w="652" w:type="pct"/>
          </w:tcPr>
          <w:p w14:paraId="3AB7BCA7" w14:textId="77777777" w:rsidR="002B1A69" w:rsidRPr="00B36690" w:rsidRDefault="002B1A69" w:rsidP="00B36690">
            <w:pPr>
              <w:pStyle w:val="TableText"/>
            </w:pPr>
            <w:r w:rsidRPr="00B36690">
              <w:t>BBCH ≥20</w:t>
            </w:r>
          </w:p>
        </w:tc>
        <w:tc>
          <w:tcPr>
            <w:tcW w:w="486" w:type="pct"/>
          </w:tcPr>
          <w:p w14:paraId="35CD2B4F" w14:textId="77777777" w:rsidR="002B1A69" w:rsidRPr="00B36690" w:rsidRDefault="002B1A69" w:rsidP="00B36690">
            <w:pPr>
              <w:pStyle w:val="TableText"/>
              <w:jc w:val="right"/>
            </w:pPr>
            <w:r w:rsidRPr="00B36690">
              <w:t>25.2</w:t>
            </w:r>
          </w:p>
        </w:tc>
        <w:tc>
          <w:tcPr>
            <w:tcW w:w="486" w:type="pct"/>
          </w:tcPr>
          <w:p w14:paraId="1B034AF8" w14:textId="77777777" w:rsidR="002B1A69" w:rsidRPr="00B36690" w:rsidRDefault="002B1A69" w:rsidP="00B36690">
            <w:pPr>
              <w:pStyle w:val="TableText"/>
              <w:jc w:val="right"/>
            </w:pPr>
            <w:r w:rsidRPr="00B36690">
              <w:t>11.3</w:t>
            </w:r>
          </w:p>
        </w:tc>
        <w:tc>
          <w:tcPr>
            <w:tcW w:w="486" w:type="pct"/>
            <w:shd w:val="clear" w:color="auto" w:fill="FF0000"/>
          </w:tcPr>
          <w:p w14:paraId="685FDAB1" w14:textId="77777777" w:rsidR="002B1A69" w:rsidRPr="00B36690" w:rsidRDefault="002B1A69" w:rsidP="00B36690">
            <w:pPr>
              <w:pStyle w:val="TableText"/>
              <w:jc w:val="right"/>
            </w:pPr>
            <w:r w:rsidRPr="00B36690">
              <w:t>278</w:t>
            </w:r>
          </w:p>
        </w:tc>
        <w:tc>
          <w:tcPr>
            <w:tcW w:w="487" w:type="pct"/>
          </w:tcPr>
          <w:p w14:paraId="4055A6E5" w14:textId="77777777" w:rsidR="002B1A69" w:rsidRPr="00B36690" w:rsidRDefault="002B1A69" w:rsidP="00B36690">
            <w:pPr>
              <w:pStyle w:val="TableText"/>
              <w:jc w:val="right"/>
            </w:pPr>
            <w:r w:rsidRPr="00B36690">
              <w:t>1253</w:t>
            </w:r>
          </w:p>
        </w:tc>
      </w:tr>
      <w:tr w:rsidR="002B1A69" w:rsidRPr="006E15AF" w14:paraId="6C048DAC" w14:textId="77777777" w:rsidTr="002B1A69">
        <w:trPr>
          <w:cantSplit/>
          <w:trHeight w:val="13"/>
        </w:trPr>
        <w:tc>
          <w:tcPr>
            <w:tcW w:w="873" w:type="pct"/>
            <w:vMerge w:val="restart"/>
            <w:tcBorders>
              <w:top w:val="single" w:sz="4" w:space="0" w:color="auto"/>
            </w:tcBorders>
          </w:tcPr>
          <w:p w14:paraId="14F572DB" w14:textId="77777777" w:rsidR="002B1A69" w:rsidRPr="00B36690" w:rsidRDefault="002B1A69" w:rsidP="00B36690">
            <w:pPr>
              <w:pStyle w:val="TableText"/>
            </w:pPr>
            <w:r w:rsidRPr="00B36690">
              <w:t>Pre-harvest desiccation in pulses</w:t>
            </w:r>
          </w:p>
        </w:tc>
        <w:tc>
          <w:tcPr>
            <w:tcW w:w="652" w:type="pct"/>
            <w:vMerge w:val="restart"/>
            <w:tcBorders>
              <w:top w:val="single" w:sz="4" w:space="0" w:color="auto"/>
            </w:tcBorders>
          </w:tcPr>
          <w:p w14:paraId="2743FE79" w14:textId="77777777" w:rsidR="002B1A69" w:rsidRPr="00B36690" w:rsidRDefault="002B1A69" w:rsidP="00B36690">
            <w:pPr>
              <w:pStyle w:val="TableText"/>
            </w:pPr>
            <w:r w:rsidRPr="00B36690">
              <w:t>Pulses</w:t>
            </w:r>
          </w:p>
        </w:tc>
        <w:tc>
          <w:tcPr>
            <w:tcW w:w="878" w:type="pct"/>
            <w:tcBorders>
              <w:top w:val="single" w:sz="4" w:space="0" w:color="auto"/>
            </w:tcBorders>
          </w:tcPr>
          <w:p w14:paraId="7686234C" w14:textId="77777777" w:rsidR="002B1A69" w:rsidRPr="00B36690" w:rsidRDefault="002B1A69" w:rsidP="00B36690">
            <w:pPr>
              <w:pStyle w:val="TableText"/>
            </w:pPr>
            <w:r w:rsidRPr="00B36690">
              <w:t>Small granivore</w:t>
            </w:r>
          </w:p>
        </w:tc>
        <w:tc>
          <w:tcPr>
            <w:tcW w:w="652" w:type="pct"/>
            <w:tcBorders>
              <w:top w:val="single" w:sz="4" w:space="0" w:color="auto"/>
            </w:tcBorders>
          </w:tcPr>
          <w:p w14:paraId="1305156B" w14:textId="77777777" w:rsidR="002B1A69" w:rsidRPr="00B36690" w:rsidRDefault="002B1A69" w:rsidP="00B36690">
            <w:pPr>
              <w:pStyle w:val="TableText"/>
            </w:pPr>
            <w:r w:rsidRPr="00B36690">
              <w:t>BBCH ≥50</w:t>
            </w:r>
          </w:p>
        </w:tc>
        <w:tc>
          <w:tcPr>
            <w:tcW w:w="486" w:type="pct"/>
            <w:tcBorders>
              <w:top w:val="single" w:sz="4" w:space="0" w:color="auto"/>
            </w:tcBorders>
          </w:tcPr>
          <w:p w14:paraId="4513789F" w14:textId="77777777" w:rsidR="002B1A69" w:rsidRPr="00B36690" w:rsidRDefault="002B1A69" w:rsidP="00B36690">
            <w:pPr>
              <w:pStyle w:val="TableText"/>
              <w:jc w:val="right"/>
            </w:pPr>
            <w:r w:rsidRPr="00B36690">
              <w:t>7.4</w:t>
            </w:r>
          </w:p>
        </w:tc>
        <w:tc>
          <w:tcPr>
            <w:tcW w:w="486" w:type="pct"/>
            <w:tcBorders>
              <w:top w:val="single" w:sz="4" w:space="0" w:color="auto"/>
            </w:tcBorders>
          </w:tcPr>
          <w:p w14:paraId="170741EF" w14:textId="77777777" w:rsidR="002B1A69" w:rsidRPr="00B36690" w:rsidRDefault="002B1A69" w:rsidP="00B36690">
            <w:pPr>
              <w:pStyle w:val="TableText"/>
              <w:jc w:val="right"/>
            </w:pPr>
            <w:r w:rsidRPr="00B36690">
              <w:t>3.4</w:t>
            </w:r>
          </w:p>
        </w:tc>
        <w:tc>
          <w:tcPr>
            <w:tcW w:w="486" w:type="pct"/>
            <w:tcBorders>
              <w:top w:val="single" w:sz="4" w:space="0" w:color="auto"/>
            </w:tcBorders>
          </w:tcPr>
          <w:p w14:paraId="0C791CF5" w14:textId="77777777" w:rsidR="002B1A69" w:rsidRPr="00B36690" w:rsidRDefault="002B1A69" w:rsidP="00B36690">
            <w:pPr>
              <w:pStyle w:val="TableText"/>
              <w:jc w:val="right"/>
            </w:pPr>
            <w:r w:rsidRPr="00B36690">
              <w:t>946</w:t>
            </w:r>
          </w:p>
        </w:tc>
        <w:tc>
          <w:tcPr>
            <w:tcW w:w="487" w:type="pct"/>
            <w:tcBorders>
              <w:top w:val="single" w:sz="4" w:space="0" w:color="auto"/>
            </w:tcBorders>
          </w:tcPr>
          <w:p w14:paraId="1D58A026" w14:textId="77777777" w:rsidR="002B1A69" w:rsidRPr="00B36690" w:rsidRDefault="002B1A69" w:rsidP="00B36690">
            <w:pPr>
              <w:pStyle w:val="TableText"/>
              <w:jc w:val="right"/>
            </w:pPr>
            <w:r w:rsidRPr="00B36690">
              <w:t>3574</w:t>
            </w:r>
          </w:p>
        </w:tc>
      </w:tr>
      <w:tr w:rsidR="002B1A69" w:rsidRPr="006E15AF" w14:paraId="19D6F7ED" w14:textId="77777777" w:rsidTr="002B1A69">
        <w:trPr>
          <w:cantSplit/>
          <w:trHeight w:val="13"/>
        </w:trPr>
        <w:tc>
          <w:tcPr>
            <w:tcW w:w="873" w:type="pct"/>
            <w:vMerge/>
            <w:tcBorders>
              <w:top w:val="single" w:sz="4" w:space="0" w:color="auto"/>
            </w:tcBorders>
          </w:tcPr>
          <w:p w14:paraId="05BBDE59" w14:textId="77777777" w:rsidR="002B1A69" w:rsidRPr="00B36690" w:rsidRDefault="002B1A69" w:rsidP="00B36690">
            <w:pPr>
              <w:pStyle w:val="TableText"/>
            </w:pPr>
          </w:p>
        </w:tc>
        <w:tc>
          <w:tcPr>
            <w:tcW w:w="652" w:type="pct"/>
            <w:vMerge/>
            <w:tcBorders>
              <w:top w:val="single" w:sz="4" w:space="0" w:color="auto"/>
            </w:tcBorders>
          </w:tcPr>
          <w:p w14:paraId="134DAE50" w14:textId="77777777" w:rsidR="002B1A69" w:rsidRPr="00B36690" w:rsidRDefault="002B1A69" w:rsidP="00B36690">
            <w:pPr>
              <w:pStyle w:val="TableText"/>
            </w:pPr>
          </w:p>
        </w:tc>
        <w:tc>
          <w:tcPr>
            <w:tcW w:w="878" w:type="pct"/>
          </w:tcPr>
          <w:p w14:paraId="2624EC76" w14:textId="77777777" w:rsidR="002B1A69" w:rsidRPr="00B36690" w:rsidRDefault="002B1A69" w:rsidP="00B36690">
            <w:pPr>
              <w:pStyle w:val="TableText"/>
            </w:pPr>
            <w:r w:rsidRPr="00B36690">
              <w:t>Small omnivore</w:t>
            </w:r>
          </w:p>
        </w:tc>
        <w:tc>
          <w:tcPr>
            <w:tcW w:w="652" w:type="pct"/>
          </w:tcPr>
          <w:p w14:paraId="71902396" w14:textId="77777777" w:rsidR="002B1A69" w:rsidRPr="00B36690" w:rsidRDefault="002B1A69" w:rsidP="00B36690">
            <w:pPr>
              <w:pStyle w:val="TableText"/>
            </w:pPr>
            <w:r w:rsidRPr="00B36690">
              <w:t>BBCH ≥50</w:t>
            </w:r>
          </w:p>
        </w:tc>
        <w:tc>
          <w:tcPr>
            <w:tcW w:w="486" w:type="pct"/>
          </w:tcPr>
          <w:p w14:paraId="41B21E97" w14:textId="77777777" w:rsidR="002B1A69" w:rsidRPr="00B36690" w:rsidRDefault="002B1A69" w:rsidP="00B36690">
            <w:pPr>
              <w:pStyle w:val="TableText"/>
              <w:jc w:val="right"/>
            </w:pPr>
            <w:r w:rsidRPr="00B36690">
              <w:t>7.2</w:t>
            </w:r>
          </w:p>
        </w:tc>
        <w:tc>
          <w:tcPr>
            <w:tcW w:w="486" w:type="pct"/>
          </w:tcPr>
          <w:p w14:paraId="694C4C50" w14:textId="77777777" w:rsidR="002B1A69" w:rsidRPr="00B36690" w:rsidRDefault="002B1A69" w:rsidP="00B36690">
            <w:pPr>
              <w:pStyle w:val="TableText"/>
              <w:jc w:val="right"/>
            </w:pPr>
            <w:r w:rsidRPr="00B36690">
              <w:t>3.3</w:t>
            </w:r>
          </w:p>
        </w:tc>
        <w:tc>
          <w:tcPr>
            <w:tcW w:w="486" w:type="pct"/>
          </w:tcPr>
          <w:p w14:paraId="2F188184" w14:textId="77777777" w:rsidR="002B1A69" w:rsidRPr="00B36690" w:rsidRDefault="002B1A69" w:rsidP="00B36690">
            <w:pPr>
              <w:pStyle w:val="TableText"/>
              <w:jc w:val="right"/>
            </w:pPr>
            <w:r w:rsidRPr="00B36690">
              <w:t>972</w:t>
            </w:r>
          </w:p>
        </w:tc>
        <w:tc>
          <w:tcPr>
            <w:tcW w:w="487" w:type="pct"/>
          </w:tcPr>
          <w:p w14:paraId="5A2D605F" w14:textId="77777777" w:rsidR="002B1A69" w:rsidRPr="00B36690" w:rsidRDefault="002B1A69" w:rsidP="00B36690">
            <w:pPr>
              <w:pStyle w:val="TableText"/>
              <w:jc w:val="right"/>
            </w:pPr>
            <w:r w:rsidRPr="00B36690">
              <w:t>3682</w:t>
            </w:r>
          </w:p>
        </w:tc>
      </w:tr>
      <w:tr w:rsidR="002B1A69" w:rsidRPr="006E15AF" w14:paraId="0B261784" w14:textId="77777777" w:rsidTr="002B1A69">
        <w:trPr>
          <w:cantSplit/>
          <w:trHeight w:val="13"/>
        </w:trPr>
        <w:tc>
          <w:tcPr>
            <w:tcW w:w="873" w:type="pct"/>
            <w:vMerge/>
            <w:tcBorders>
              <w:top w:val="single" w:sz="4" w:space="0" w:color="auto"/>
              <w:bottom w:val="single" w:sz="4" w:space="0" w:color="auto"/>
            </w:tcBorders>
          </w:tcPr>
          <w:p w14:paraId="66F209A6" w14:textId="77777777" w:rsidR="002B1A69" w:rsidRPr="00B36690" w:rsidRDefault="002B1A69" w:rsidP="00B36690">
            <w:pPr>
              <w:pStyle w:val="TableText"/>
            </w:pPr>
          </w:p>
        </w:tc>
        <w:tc>
          <w:tcPr>
            <w:tcW w:w="652" w:type="pct"/>
            <w:vMerge/>
            <w:tcBorders>
              <w:top w:val="single" w:sz="4" w:space="0" w:color="auto"/>
              <w:bottom w:val="single" w:sz="4" w:space="0" w:color="auto"/>
            </w:tcBorders>
          </w:tcPr>
          <w:p w14:paraId="6E691B3D" w14:textId="77777777" w:rsidR="002B1A69" w:rsidRPr="00B36690" w:rsidRDefault="002B1A69" w:rsidP="00B36690">
            <w:pPr>
              <w:pStyle w:val="TableText"/>
            </w:pPr>
          </w:p>
        </w:tc>
        <w:tc>
          <w:tcPr>
            <w:tcW w:w="878" w:type="pct"/>
            <w:tcBorders>
              <w:bottom w:val="single" w:sz="4" w:space="0" w:color="auto"/>
            </w:tcBorders>
          </w:tcPr>
          <w:p w14:paraId="5146EF9E" w14:textId="77777777" w:rsidR="002B1A69" w:rsidRPr="00B36690" w:rsidRDefault="002B1A69" w:rsidP="00B36690">
            <w:pPr>
              <w:pStyle w:val="TableText"/>
            </w:pPr>
            <w:r w:rsidRPr="00B36690">
              <w:t>Small insectivore</w:t>
            </w:r>
          </w:p>
        </w:tc>
        <w:tc>
          <w:tcPr>
            <w:tcW w:w="652" w:type="pct"/>
            <w:tcBorders>
              <w:bottom w:val="single" w:sz="4" w:space="0" w:color="auto"/>
            </w:tcBorders>
          </w:tcPr>
          <w:p w14:paraId="29634F00" w14:textId="77777777" w:rsidR="002B1A69" w:rsidRPr="00B36690" w:rsidRDefault="002B1A69" w:rsidP="00B36690">
            <w:pPr>
              <w:pStyle w:val="TableText"/>
            </w:pPr>
            <w:r w:rsidRPr="00B36690">
              <w:t>BBCH ≥20</w:t>
            </w:r>
          </w:p>
        </w:tc>
        <w:tc>
          <w:tcPr>
            <w:tcW w:w="486" w:type="pct"/>
            <w:tcBorders>
              <w:bottom w:val="single" w:sz="4" w:space="0" w:color="auto"/>
            </w:tcBorders>
          </w:tcPr>
          <w:p w14:paraId="61DA7B3B" w14:textId="77777777" w:rsidR="002B1A69" w:rsidRPr="00B36690" w:rsidRDefault="002B1A69" w:rsidP="00B36690">
            <w:pPr>
              <w:pStyle w:val="TableText"/>
              <w:jc w:val="right"/>
            </w:pPr>
            <w:r w:rsidRPr="00B36690">
              <w:t>25.2</w:t>
            </w:r>
          </w:p>
        </w:tc>
        <w:tc>
          <w:tcPr>
            <w:tcW w:w="486" w:type="pct"/>
            <w:tcBorders>
              <w:bottom w:val="single" w:sz="4" w:space="0" w:color="auto"/>
            </w:tcBorders>
          </w:tcPr>
          <w:p w14:paraId="15B6642C" w14:textId="77777777" w:rsidR="002B1A69" w:rsidRPr="00B36690" w:rsidRDefault="002B1A69" w:rsidP="00B36690">
            <w:pPr>
              <w:pStyle w:val="TableText"/>
              <w:jc w:val="right"/>
            </w:pPr>
            <w:r w:rsidRPr="00B36690">
              <w:t>9.7</w:t>
            </w:r>
          </w:p>
        </w:tc>
        <w:tc>
          <w:tcPr>
            <w:tcW w:w="486" w:type="pct"/>
            <w:tcBorders>
              <w:bottom w:val="single" w:sz="4" w:space="0" w:color="auto"/>
            </w:tcBorders>
            <w:shd w:val="clear" w:color="auto" w:fill="FF0000"/>
          </w:tcPr>
          <w:p w14:paraId="112DA861" w14:textId="77777777" w:rsidR="002B1A69" w:rsidRPr="00B36690" w:rsidRDefault="002B1A69" w:rsidP="00B36690">
            <w:pPr>
              <w:pStyle w:val="TableText"/>
              <w:jc w:val="right"/>
            </w:pPr>
            <w:r w:rsidRPr="00B36690">
              <w:t>278</w:t>
            </w:r>
          </w:p>
        </w:tc>
        <w:tc>
          <w:tcPr>
            <w:tcW w:w="487" w:type="pct"/>
            <w:tcBorders>
              <w:bottom w:val="single" w:sz="4" w:space="0" w:color="auto"/>
            </w:tcBorders>
          </w:tcPr>
          <w:p w14:paraId="1FA15427" w14:textId="77777777" w:rsidR="002B1A69" w:rsidRPr="00B36690" w:rsidRDefault="002B1A69" w:rsidP="00B36690">
            <w:pPr>
              <w:pStyle w:val="TableText"/>
              <w:jc w:val="right"/>
            </w:pPr>
            <w:r w:rsidRPr="00B36690">
              <w:t>1253</w:t>
            </w:r>
          </w:p>
        </w:tc>
      </w:tr>
      <w:tr w:rsidR="002B1A69" w:rsidRPr="006E15AF" w14:paraId="516CCA98" w14:textId="77777777" w:rsidTr="002B1A69">
        <w:trPr>
          <w:cantSplit/>
          <w:trHeight w:val="13"/>
        </w:trPr>
        <w:tc>
          <w:tcPr>
            <w:tcW w:w="873" w:type="pct"/>
            <w:tcBorders>
              <w:top w:val="single" w:sz="4" w:space="0" w:color="auto"/>
              <w:bottom w:val="single" w:sz="4" w:space="0" w:color="auto"/>
            </w:tcBorders>
          </w:tcPr>
          <w:p w14:paraId="4F60D109" w14:textId="77777777" w:rsidR="002B1A69" w:rsidRPr="00B36690" w:rsidRDefault="002B1A69" w:rsidP="00B36690">
            <w:pPr>
              <w:pStyle w:val="TableText"/>
            </w:pPr>
            <w:r w:rsidRPr="00B36690">
              <w:t>Pre-harvest desiccation in sunflower</w:t>
            </w:r>
          </w:p>
        </w:tc>
        <w:tc>
          <w:tcPr>
            <w:tcW w:w="652" w:type="pct"/>
            <w:tcBorders>
              <w:top w:val="single" w:sz="4" w:space="0" w:color="auto"/>
              <w:bottom w:val="single" w:sz="4" w:space="0" w:color="auto"/>
            </w:tcBorders>
          </w:tcPr>
          <w:p w14:paraId="504014F2" w14:textId="77777777" w:rsidR="002B1A69" w:rsidRPr="00B36690" w:rsidRDefault="002B1A69" w:rsidP="00B36690">
            <w:pPr>
              <w:pStyle w:val="TableText"/>
            </w:pPr>
            <w:r w:rsidRPr="00B36690">
              <w:t>Sunflower</w:t>
            </w:r>
          </w:p>
        </w:tc>
        <w:tc>
          <w:tcPr>
            <w:tcW w:w="878" w:type="pct"/>
            <w:tcBorders>
              <w:top w:val="single" w:sz="4" w:space="0" w:color="auto"/>
              <w:bottom w:val="single" w:sz="4" w:space="0" w:color="auto"/>
            </w:tcBorders>
          </w:tcPr>
          <w:p w14:paraId="4570571D" w14:textId="77777777" w:rsidR="002B1A69" w:rsidRPr="00B36690" w:rsidRDefault="002B1A69" w:rsidP="00B36690">
            <w:pPr>
              <w:pStyle w:val="TableText"/>
            </w:pPr>
            <w:r w:rsidRPr="00B36690">
              <w:t>Small granivore/ insectivore</w:t>
            </w:r>
          </w:p>
        </w:tc>
        <w:tc>
          <w:tcPr>
            <w:tcW w:w="652" w:type="pct"/>
            <w:tcBorders>
              <w:top w:val="single" w:sz="4" w:space="0" w:color="auto"/>
              <w:bottom w:val="single" w:sz="4" w:space="0" w:color="auto"/>
            </w:tcBorders>
          </w:tcPr>
          <w:p w14:paraId="01CACD27" w14:textId="77777777" w:rsidR="002B1A69" w:rsidRPr="00B36690" w:rsidRDefault="002B1A69" w:rsidP="00B36690">
            <w:pPr>
              <w:pStyle w:val="TableText"/>
            </w:pPr>
            <w:r w:rsidRPr="00B36690">
              <w:t>BBCH 61-92</w:t>
            </w:r>
          </w:p>
        </w:tc>
        <w:tc>
          <w:tcPr>
            <w:tcW w:w="486" w:type="pct"/>
            <w:tcBorders>
              <w:top w:val="single" w:sz="4" w:space="0" w:color="auto"/>
              <w:bottom w:val="single" w:sz="4" w:space="0" w:color="auto"/>
            </w:tcBorders>
          </w:tcPr>
          <w:p w14:paraId="5C2D0DEF" w14:textId="77777777" w:rsidR="002B1A69" w:rsidRPr="00B36690" w:rsidRDefault="002B1A69" w:rsidP="00B36690">
            <w:pPr>
              <w:pStyle w:val="TableText"/>
              <w:jc w:val="right"/>
            </w:pPr>
            <w:r w:rsidRPr="00B36690">
              <w:t>21.7</w:t>
            </w:r>
          </w:p>
        </w:tc>
        <w:tc>
          <w:tcPr>
            <w:tcW w:w="486" w:type="pct"/>
            <w:tcBorders>
              <w:top w:val="single" w:sz="4" w:space="0" w:color="auto"/>
              <w:bottom w:val="single" w:sz="4" w:space="0" w:color="auto"/>
            </w:tcBorders>
          </w:tcPr>
          <w:p w14:paraId="477C6F94" w14:textId="77777777" w:rsidR="002B1A69" w:rsidRPr="00B36690" w:rsidRDefault="002B1A69" w:rsidP="00B36690">
            <w:pPr>
              <w:pStyle w:val="TableText"/>
              <w:jc w:val="right"/>
            </w:pPr>
            <w:r w:rsidRPr="00B36690">
              <w:t>10.0</w:t>
            </w:r>
          </w:p>
        </w:tc>
        <w:tc>
          <w:tcPr>
            <w:tcW w:w="486" w:type="pct"/>
            <w:tcBorders>
              <w:top w:val="single" w:sz="4" w:space="0" w:color="auto"/>
              <w:bottom w:val="single" w:sz="4" w:space="0" w:color="auto"/>
            </w:tcBorders>
            <w:shd w:val="clear" w:color="auto" w:fill="FF0000"/>
          </w:tcPr>
          <w:p w14:paraId="0BD164E0" w14:textId="77777777" w:rsidR="002B1A69" w:rsidRPr="00B36690" w:rsidRDefault="002B1A69" w:rsidP="00B36690">
            <w:pPr>
              <w:pStyle w:val="TableText"/>
              <w:jc w:val="right"/>
            </w:pPr>
            <w:r w:rsidRPr="00B36690">
              <w:t>323</w:t>
            </w:r>
          </w:p>
        </w:tc>
        <w:tc>
          <w:tcPr>
            <w:tcW w:w="487" w:type="pct"/>
            <w:tcBorders>
              <w:top w:val="single" w:sz="4" w:space="0" w:color="auto"/>
              <w:bottom w:val="single" w:sz="4" w:space="0" w:color="auto"/>
            </w:tcBorders>
          </w:tcPr>
          <w:p w14:paraId="7B178C42" w14:textId="77777777" w:rsidR="002B1A69" w:rsidRPr="00B36690" w:rsidRDefault="002B1A69" w:rsidP="00B36690">
            <w:pPr>
              <w:pStyle w:val="TableText"/>
              <w:jc w:val="right"/>
            </w:pPr>
            <w:r w:rsidRPr="00B36690">
              <w:t>1215</w:t>
            </w:r>
          </w:p>
        </w:tc>
      </w:tr>
    </w:tbl>
    <w:p w14:paraId="58CF683D" w14:textId="2B1405CD" w:rsidR="002B1A69" w:rsidRPr="00B36690" w:rsidRDefault="002B1A69" w:rsidP="00B36690">
      <w:pPr>
        <w:pStyle w:val="SourceTableNote"/>
      </w:pPr>
      <w:r w:rsidRPr="00B36690">
        <w:t xml:space="preserve">Crop groups and situations as indicated in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p>
    <w:p w14:paraId="27DEDD61" w14:textId="77777777" w:rsidR="002B1A69" w:rsidRPr="00B36690" w:rsidRDefault="002B1A69" w:rsidP="00B36690">
      <w:pPr>
        <w:pStyle w:val="SourceTableNote"/>
      </w:pPr>
      <w:r w:rsidRPr="00B36690">
        <w:t>Generic focal species and shortcut values for indicated crop groups from EFSA (2009)</w:t>
      </w:r>
    </w:p>
    <w:p w14:paraId="2BDF9753" w14:textId="77777777" w:rsidR="002B1A69" w:rsidRPr="00B36690" w:rsidRDefault="002B1A69" w:rsidP="00B36690">
      <w:pPr>
        <w:pStyle w:val="SourceTableNote"/>
      </w:pPr>
      <w:r w:rsidRPr="00B36690">
        <w:t>RAL = regulatory acceptable level</w:t>
      </w:r>
    </w:p>
    <w:p w14:paraId="3BBD10C3" w14:textId="77777777" w:rsidR="002B1A69" w:rsidRPr="00B36690" w:rsidRDefault="002B1A69" w:rsidP="00B36690">
      <w:pPr>
        <w:pStyle w:val="SourceTableNote"/>
      </w:pPr>
      <w:r w:rsidRPr="00B36690">
        <w:t>Acute = geomean LD50 70 mg/kg bw (Fink et al. 1982, Hubbard 2013, Roberts &amp; Fairley 1980) and assessment factor of 10</w:t>
      </w:r>
    </w:p>
    <w:p w14:paraId="5F38D8DD" w14:textId="77777777" w:rsidR="002B1A69" w:rsidRPr="00B36690" w:rsidRDefault="002B1A69" w:rsidP="00B36690">
      <w:pPr>
        <w:pStyle w:val="SourceTableNote"/>
      </w:pPr>
      <w:r w:rsidRPr="00B36690">
        <w:tab/>
        <w:t>Chronic = NOEL 3.2 mg/kg bw/d (Temple et al. 2004a, 2004b) and assessment factor of 1</w:t>
      </w:r>
    </w:p>
    <w:p w14:paraId="22E46FD4" w14:textId="77777777" w:rsidR="002B1A69" w:rsidRPr="00B36690" w:rsidRDefault="002B1A69" w:rsidP="00B36690">
      <w:pPr>
        <w:pStyle w:val="SourceTableNote"/>
      </w:pPr>
      <w:r w:rsidRPr="00B36690">
        <w:t>Maximum acceptable rate (g ac/ha)</w:t>
      </w:r>
    </w:p>
    <w:p w14:paraId="30A2CDD1" w14:textId="77777777" w:rsidR="002B1A69" w:rsidRPr="00B36690" w:rsidRDefault="002B1A69" w:rsidP="00B36690">
      <w:pPr>
        <w:pStyle w:val="SourceTableNote"/>
      </w:pPr>
      <w:r w:rsidRPr="00B36690">
        <w:t>= RAL × 1000 / (shortcut value × PT (acute 1.0, chronic 0.5) × TWA factor (acute 1.0, chronic 0.53))</w:t>
      </w:r>
    </w:p>
    <w:p w14:paraId="7BB2363C" w14:textId="097367C0" w:rsidR="002B1A69" w:rsidRDefault="002B1A69" w:rsidP="00115810">
      <w:pPr>
        <w:pStyle w:val="SourceTableNote"/>
      </w:pPr>
      <w:r w:rsidRPr="00B36690">
        <w:t xml:space="preserve">Acceptable rates in bold indicate where the acceptable use rate is lower than the maximum seasonal rate for the use situations as quoted in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r w:rsidRPr="00B36690">
        <w:t>. Therefore, further refinement would be required to demonstrate an acceptable risk for one or more on-label use rates.</w:t>
      </w:r>
      <w:bookmarkEnd w:id="511"/>
    </w:p>
    <w:p w14:paraId="77AFB7D0" w14:textId="77777777" w:rsidR="002B1A69" w:rsidRPr="002345BB" w:rsidRDefault="002B1A69" w:rsidP="002345BB">
      <w:pPr>
        <w:pStyle w:val="PreliminariesH2"/>
      </w:pPr>
      <w:bookmarkStart w:id="512" w:name="_Toc216683826"/>
      <w:r w:rsidRPr="002345BB">
        <w:lastRenderedPageBreak/>
        <w:t>Refined risk assessments</w:t>
      </w:r>
      <w:bookmarkEnd w:id="512"/>
    </w:p>
    <w:p w14:paraId="2B2BA558" w14:textId="77777777" w:rsidR="002B1A69" w:rsidRDefault="002B1A69" w:rsidP="00B36690">
      <w:pPr>
        <w:pStyle w:val="NormalText"/>
      </w:pPr>
      <w:r>
        <w:t>Quantitative refinements of the risk assessment have been included to account for the following factors:</w:t>
      </w:r>
    </w:p>
    <w:p w14:paraId="4472E155" w14:textId="454B8B9A" w:rsidR="002B1A69" w:rsidRDefault="002B1A69" w:rsidP="00B36690">
      <w:pPr>
        <w:pStyle w:val="Bullet1"/>
      </w:pPr>
      <w:r>
        <w:t>Small herbivorous mammals – The body weight for the small herbivorous mammal has been adjusted to 50 g. All other parameters are the default values used in EFSA (2009) and the shortcut values have been adjusted accordingly.</w:t>
      </w:r>
    </w:p>
    <w:p w14:paraId="063B54D9" w14:textId="19DEAFF3" w:rsidR="002B1A69" w:rsidRDefault="002B1A69" w:rsidP="00B36690">
      <w:pPr>
        <w:pStyle w:val="Bullet1"/>
      </w:pPr>
      <w:r>
        <w:t>Large herbivorous mammals – The daily energy expenditure (DEE) has been adjusted to reflect an allometric equation for non-eutherian mammals. The assumed body weight (1500 g) has also been adjusted to reflect Australian species.</w:t>
      </w:r>
      <w:r w:rsidRPr="004146B5">
        <w:t xml:space="preserve"> </w:t>
      </w:r>
      <w:r>
        <w:t>All other parameters are the default values used in EFSA (2009) and the shortcut values have been adjusted accordingly.</w:t>
      </w:r>
    </w:p>
    <w:p w14:paraId="2D32A994" w14:textId="0136A05C" w:rsidR="002B1A69" w:rsidRDefault="002B1A69" w:rsidP="00B36690">
      <w:pPr>
        <w:pStyle w:val="Bullet1"/>
      </w:pPr>
      <w:r w:rsidRPr="002A3374">
        <w:t>Crop interception – Crop interception/deposition values have been adjusted to reflect those from EFSA (2020)</w:t>
      </w:r>
      <w:r>
        <w:t>,</w:t>
      </w:r>
      <w:r w:rsidRPr="002A3374">
        <w:t xml:space="preserve"> where appropriate for the combination of crop, growth stage and food item.</w:t>
      </w:r>
    </w:p>
    <w:p w14:paraId="0BA054B5" w14:textId="5BB52A96" w:rsidR="002B1A69" w:rsidRDefault="002B1A69" w:rsidP="00B36690">
      <w:pPr>
        <w:pStyle w:val="Bullet1"/>
      </w:pPr>
      <w:r w:rsidRPr="00667056">
        <w:t xml:space="preserve">Residue decline – </w:t>
      </w:r>
      <w:r>
        <w:t>DT</w:t>
      </w:r>
      <w:r w:rsidRPr="0058620D">
        <w:rPr>
          <w:vertAlign w:val="subscript"/>
        </w:rPr>
        <w:t>50</w:t>
      </w:r>
      <w:r>
        <w:t xml:space="preserve"> values of 2.2 d for insects, 1.6 d for foliage and 7.9 d for seeds</w:t>
      </w:r>
      <w:r w:rsidRPr="00667056">
        <w:t xml:space="preserve"> </w:t>
      </w:r>
      <w:r>
        <w:t>have been established, they will be used to refine the MAF and TWA for relevant food items where appropriate</w:t>
      </w:r>
      <w:r w:rsidRPr="00667056">
        <w:t>.</w:t>
      </w:r>
    </w:p>
    <w:p w14:paraId="20DE513D" w14:textId="7921ED81" w:rsidR="002B1A69" w:rsidRPr="00296141" w:rsidRDefault="002B1A69" w:rsidP="00B36690">
      <w:pPr>
        <w:pStyle w:val="Bullet1"/>
      </w:pPr>
      <w:r w:rsidRPr="00296141">
        <w:t>Sunflowers – Shortcut value adjusted to account for measured energy efficiency, moisture content and assimilation efficiency.</w:t>
      </w:r>
    </w:p>
    <w:p w14:paraId="2432BBD4" w14:textId="34C810A2" w:rsidR="002B1A69" w:rsidRDefault="002B1A69" w:rsidP="00514EF5">
      <w:pPr>
        <w:pStyle w:val="SourceTableNote"/>
        <w:spacing w:before="240" w:after="240" w:line="280" w:lineRule="exact"/>
        <w:rPr>
          <w:sz w:val="19"/>
          <w:szCs w:val="19"/>
        </w:rPr>
      </w:pPr>
      <w:r w:rsidRPr="00747E4F">
        <w:rPr>
          <w:sz w:val="19"/>
          <w:szCs w:val="19"/>
        </w:rPr>
        <w:t>Risk assessments have been conducted, incorporating the quantitative refinements identified above where relevant</w:t>
      </w:r>
      <w:r>
        <w:rPr>
          <w:sz w:val="19"/>
          <w:szCs w:val="19"/>
        </w:rPr>
        <w:t xml:space="preserve">, for the </w:t>
      </w:r>
      <w:r w:rsidRPr="008C566B">
        <w:rPr>
          <w:sz w:val="19"/>
          <w:szCs w:val="19"/>
        </w:rPr>
        <w:t>combinations of crops groups, exposure routes (acute/chronic) and generic focal species with unresolved risks (</w:t>
      </w:r>
      <w:r w:rsidR="001B2D62">
        <w:rPr>
          <w:sz w:val="19"/>
          <w:szCs w:val="19"/>
        </w:rPr>
        <w:fldChar w:fldCharType="begin" w:fldLock="1"/>
      </w:r>
      <w:r w:rsidR="001B2D62">
        <w:rPr>
          <w:sz w:val="19"/>
          <w:szCs w:val="19"/>
        </w:rPr>
        <w:instrText xml:space="preserve"> REF _Ref221022628 \h  \* MERGEFORMAT </w:instrText>
      </w:r>
      <w:r w:rsidR="001B2D62">
        <w:rPr>
          <w:sz w:val="19"/>
          <w:szCs w:val="19"/>
        </w:rPr>
      </w:r>
      <w:r w:rsidR="001B2D62">
        <w:rPr>
          <w:sz w:val="19"/>
          <w:szCs w:val="19"/>
        </w:rPr>
        <w:fldChar w:fldCharType="separate"/>
      </w:r>
      <w:r w:rsidR="001B2D62" w:rsidRPr="001B2D62">
        <w:rPr>
          <w:sz w:val="19"/>
          <w:szCs w:val="19"/>
        </w:rPr>
        <w:t>Table 58</w:t>
      </w:r>
      <w:r w:rsidR="001B2D62">
        <w:rPr>
          <w:sz w:val="19"/>
          <w:szCs w:val="19"/>
        </w:rPr>
        <w:fldChar w:fldCharType="end"/>
      </w:r>
      <w:r w:rsidRPr="008C566B">
        <w:rPr>
          <w:sz w:val="19"/>
          <w:szCs w:val="19"/>
        </w:rPr>
        <w:t xml:space="preserve"> for wild mammals; </w:t>
      </w:r>
      <w:r w:rsidR="001B2D62">
        <w:rPr>
          <w:sz w:val="19"/>
          <w:szCs w:val="19"/>
        </w:rPr>
        <w:fldChar w:fldCharType="begin" w:fldLock="1"/>
      </w:r>
      <w:r w:rsidR="001B2D62">
        <w:rPr>
          <w:sz w:val="19"/>
          <w:szCs w:val="19"/>
        </w:rPr>
        <w:instrText xml:space="preserve"> REF _Ref221022636 \h  \* MERGEFORMAT </w:instrText>
      </w:r>
      <w:r w:rsidR="001B2D62">
        <w:rPr>
          <w:sz w:val="19"/>
          <w:szCs w:val="19"/>
        </w:rPr>
      </w:r>
      <w:r w:rsidR="001B2D62">
        <w:rPr>
          <w:sz w:val="19"/>
          <w:szCs w:val="19"/>
        </w:rPr>
        <w:fldChar w:fldCharType="separate"/>
      </w:r>
      <w:r w:rsidR="001B2D62" w:rsidRPr="001B2D62">
        <w:rPr>
          <w:sz w:val="19"/>
          <w:szCs w:val="19"/>
        </w:rPr>
        <w:t>Table 59</w:t>
      </w:r>
      <w:r w:rsidR="001B2D62">
        <w:rPr>
          <w:sz w:val="19"/>
          <w:szCs w:val="19"/>
        </w:rPr>
        <w:fldChar w:fldCharType="end"/>
      </w:r>
      <w:r w:rsidRPr="008C566B">
        <w:rPr>
          <w:sz w:val="19"/>
          <w:szCs w:val="19"/>
        </w:rPr>
        <w:t xml:space="preserve"> for birds). Only application timings considered relevant for the use situation have been considered. A comprehensive set of on-label use rates have been considered, but not every iteration of minor variations (e.g. within ± 5 g/ha) for the</w:t>
      </w:r>
      <w:r>
        <w:rPr>
          <w:sz w:val="19"/>
          <w:szCs w:val="19"/>
        </w:rPr>
        <w:t xml:space="preserve"> same use pattern, between different product labels, has been included.</w:t>
      </w:r>
    </w:p>
    <w:p w14:paraId="5F2EE80A" w14:textId="037E3FAD" w:rsidR="002B1A69" w:rsidRPr="00247DE6" w:rsidRDefault="002B1A69" w:rsidP="00247DE6">
      <w:pPr>
        <w:pStyle w:val="Caption"/>
      </w:pPr>
      <w:bookmarkStart w:id="513" w:name="_Ref221022628"/>
      <w:bookmarkStart w:id="514" w:name="_Toc232589653"/>
      <w:r w:rsidRPr="00247DE6">
        <w:t xml:space="preserve">Table </w:t>
      </w:r>
      <w:fldSimple w:instr=" SEQ Table \* ARABIC ">
        <w:r w:rsidR="005A361E">
          <w:rPr>
            <w:noProof/>
          </w:rPr>
          <w:t>58</w:t>
        </w:r>
      </w:fldSimple>
      <w:bookmarkEnd w:id="513"/>
      <w:r w:rsidRPr="00247DE6">
        <w:t>: Refined assessment of risks to wild mammals (acute RAL 21 mg/kg bw; chronic RAL 4.0 mg ac/kg bw/d)</w:t>
      </w:r>
      <w:bookmarkEnd w:id="514"/>
    </w:p>
    <w:tbl>
      <w:tblPr>
        <w:tblW w:w="5000" w:type="pct"/>
        <w:tblCellMar>
          <w:top w:w="57" w:type="dxa"/>
          <w:left w:w="57" w:type="dxa"/>
          <w:bottom w:w="57" w:type="dxa"/>
          <w:right w:w="57" w:type="dxa"/>
        </w:tblCellMar>
        <w:tblLook w:val="0000" w:firstRow="0" w:lastRow="0" w:firstColumn="0" w:lastColumn="0" w:noHBand="0" w:noVBand="0"/>
      </w:tblPr>
      <w:tblGrid>
        <w:gridCol w:w="931"/>
        <w:gridCol w:w="75"/>
        <w:gridCol w:w="911"/>
        <w:gridCol w:w="25"/>
        <w:gridCol w:w="1028"/>
        <w:gridCol w:w="948"/>
        <w:gridCol w:w="872"/>
        <w:gridCol w:w="536"/>
        <w:gridCol w:w="946"/>
        <w:gridCol w:w="579"/>
        <w:gridCol w:w="581"/>
        <w:gridCol w:w="579"/>
        <w:gridCol w:w="581"/>
        <w:gridCol w:w="581"/>
        <w:gridCol w:w="579"/>
      </w:tblGrid>
      <w:tr w:rsidR="000110FD" w:rsidRPr="00CE16D2" w14:paraId="0B23369C" w14:textId="77777777" w:rsidTr="000110FD">
        <w:trPr>
          <w:cantSplit/>
          <w:tblHeader/>
        </w:trPr>
        <w:tc>
          <w:tcPr>
            <w:tcW w:w="477" w:type="pct"/>
            <w:tcBorders>
              <w:top w:val="single" w:sz="4" w:space="0" w:color="auto"/>
              <w:bottom w:val="single" w:sz="4" w:space="0" w:color="auto"/>
              <w:right w:val="single" w:sz="4" w:space="0" w:color="auto"/>
            </w:tcBorders>
            <w:shd w:val="clear" w:color="auto" w:fill="5C2946"/>
          </w:tcPr>
          <w:p w14:paraId="30203451" w14:textId="77777777" w:rsidR="000110FD" w:rsidRPr="00B36690" w:rsidRDefault="000110FD" w:rsidP="00B36690">
            <w:pPr>
              <w:pStyle w:val="TableHead"/>
            </w:pPr>
            <w:r w:rsidRPr="00B36690">
              <w:t>Crop group</w:t>
            </w:r>
          </w:p>
        </w:tc>
        <w:tc>
          <w:tcPr>
            <w:tcW w:w="518" w:type="pct"/>
            <w:gridSpan w:val="3"/>
            <w:tcBorders>
              <w:top w:val="single" w:sz="4" w:space="0" w:color="auto"/>
              <w:left w:val="single" w:sz="4" w:space="0" w:color="auto"/>
              <w:bottom w:val="single" w:sz="4" w:space="0" w:color="auto"/>
              <w:right w:val="single" w:sz="4" w:space="0" w:color="auto"/>
            </w:tcBorders>
            <w:shd w:val="clear" w:color="auto" w:fill="5C2946"/>
          </w:tcPr>
          <w:p w14:paraId="5E83E2D6" w14:textId="77777777" w:rsidR="000110FD" w:rsidRPr="00B36690" w:rsidRDefault="000110FD" w:rsidP="00B36690">
            <w:pPr>
              <w:pStyle w:val="TableHead"/>
            </w:pPr>
            <w:r w:rsidRPr="00B36690">
              <w:t>Generic focal species</w:t>
            </w:r>
          </w:p>
        </w:tc>
        <w:tc>
          <w:tcPr>
            <w:tcW w:w="526" w:type="pct"/>
            <w:tcBorders>
              <w:top w:val="single" w:sz="4" w:space="0" w:color="auto"/>
              <w:left w:val="single" w:sz="4" w:space="0" w:color="auto"/>
              <w:bottom w:val="single" w:sz="4" w:space="0" w:color="auto"/>
              <w:right w:val="single" w:sz="4" w:space="0" w:color="auto"/>
            </w:tcBorders>
            <w:shd w:val="clear" w:color="auto" w:fill="5C2946"/>
          </w:tcPr>
          <w:p w14:paraId="04A21CAA" w14:textId="77777777" w:rsidR="000110FD" w:rsidRPr="00B36690" w:rsidRDefault="000110FD" w:rsidP="00B36690">
            <w:pPr>
              <w:pStyle w:val="TableHead"/>
            </w:pPr>
            <w:r w:rsidRPr="00B36690">
              <w:t>Crop stage</w:t>
            </w:r>
          </w:p>
        </w:tc>
        <w:tc>
          <w:tcPr>
            <w:tcW w:w="486" w:type="pct"/>
            <w:tcBorders>
              <w:top w:val="single" w:sz="4" w:space="0" w:color="auto"/>
              <w:left w:val="single" w:sz="4" w:space="0" w:color="auto"/>
              <w:bottom w:val="single" w:sz="4" w:space="0" w:color="auto"/>
              <w:right w:val="single" w:sz="4" w:space="0" w:color="auto"/>
            </w:tcBorders>
            <w:shd w:val="clear" w:color="auto" w:fill="5C2946"/>
          </w:tcPr>
          <w:p w14:paraId="5A324EF8" w14:textId="77777777" w:rsidR="000110FD" w:rsidRPr="00B36690" w:rsidRDefault="000110FD" w:rsidP="00B36690">
            <w:pPr>
              <w:pStyle w:val="TableHead"/>
            </w:pPr>
            <w:r w:rsidRPr="00B36690">
              <w:t>Exposure</w:t>
            </w:r>
          </w:p>
        </w:tc>
        <w:tc>
          <w:tcPr>
            <w:tcW w:w="447" w:type="pct"/>
            <w:tcBorders>
              <w:top w:val="single" w:sz="4" w:space="0" w:color="auto"/>
              <w:left w:val="single" w:sz="4" w:space="0" w:color="auto"/>
              <w:bottom w:val="single" w:sz="4" w:space="0" w:color="auto"/>
              <w:right w:val="single" w:sz="4" w:space="0" w:color="auto"/>
            </w:tcBorders>
            <w:shd w:val="clear" w:color="auto" w:fill="5C2946"/>
          </w:tcPr>
          <w:p w14:paraId="570C562F" w14:textId="77777777" w:rsidR="000110FD" w:rsidRPr="00B36690" w:rsidRDefault="000110FD" w:rsidP="00B36690">
            <w:pPr>
              <w:pStyle w:val="TableHead"/>
              <w:jc w:val="right"/>
            </w:pPr>
            <w:r w:rsidRPr="00B36690">
              <w:t>Shortcut value</w:t>
            </w:r>
          </w:p>
        </w:tc>
        <w:tc>
          <w:tcPr>
            <w:tcW w:w="275" w:type="pct"/>
            <w:tcBorders>
              <w:top w:val="single" w:sz="4" w:space="0" w:color="auto"/>
              <w:left w:val="single" w:sz="4" w:space="0" w:color="auto"/>
              <w:bottom w:val="single" w:sz="4" w:space="0" w:color="auto"/>
              <w:right w:val="single" w:sz="4" w:space="0" w:color="auto"/>
            </w:tcBorders>
            <w:shd w:val="clear" w:color="auto" w:fill="5C2946"/>
          </w:tcPr>
          <w:p w14:paraId="0F533DF7" w14:textId="77777777" w:rsidR="000110FD" w:rsidRPr="00B36690" w:rsidRDefault="000110FD" w:rsidP="00B36690">
            <w:pPr>
              <w:pStyle w:val="TableHead"/>
              <w:jc w:val="right"/>
            </w:pPr>
            <w:r w:rsidRPr="00B36690">
              <w:t>AR</w:t>
            </w:r>
          </w:p>
        </w:tc>
        <w:tc>
          <w:tcPr>
            <w:tcW w:w="485" w:type="pct"/>
            <w:tcBorders>
              <w:top w:val="single" w:sz="4" w:space="0" w:color="auto"/>
              <w:left w:val="single" w:sz="4" w:space="0" w:color="auto"/>
              <w:bottom w:val="single" w:sz="4" w:space="0" w:color="auto"/>
              <w:right w:val="single" w:sz="4" w:space="0" w:color="auto"/>
            </w:tcBorders>
            <w:shd w:val="clear" w:color="auto" w:fill="5C2946"/>
          </w:tcPr>
          <w:p w14:paraId="077CEDFF" w14:textId="77777777" w:rsidR="000110FD" w:rsidRPr="00B36690" w:rsidRDefault="000110FD" w:rsidP="00B36690">
            <w:pPr>
              <w:pStyle w:val="TableHead"/>
              <w:jc w:val="right"/>
            </w:pPr>
            <w:r w:rsidRPr="00B36690">
              <w:t>MAF</w:t>
            </w:r>
          </w:p>
        </w:tc>
        <w:tc>
          <w:tcPr>
            <w:tcW w:w="297" w:type="pct"/>
            <w:tcBorders>
              <w:top w:val="single" w:sz="4" w:space="0" w:color="auto"/>
              <w:left w:val="single" w:sz="4" w:space="0" w:color="auto"/>
              <w:bottom w:val="single" w:sz="4" w:space="0" w:color="auto"/>
              <w:right w:val="single" w:sz="4" w:space="0" w:color="auto"/>
            </w:tcBorders>
            <w:shd w:val="clear" w:color="auto" w:fill="5C2946"/>
          </w:tcPr>
          <w:p w14:paraId="5EC30B21" w14:textId="77777777" w:rsidR="000110FD" w:rsidRPr="00B36690" w:rsidRDefault="000110FD" w:rsidP="00B36690">
            <w:pPr>
              <w:pStyle w:val="TableHead"/>
              <w:jc w:val="right"/>
            </w:pPr>
            <w:r w:rsidRPr="00B36690">
              <w:t>PT</w:t>
            </w:r>
          </w:p>
        </w:tc>
        <w:tc>
          <w:tcPr>
            <w:tcW w:w="298" w:type="pct"/>
            <w:tcBorders>
              <w:top w:val="single" w:sz="4" w:space="0" w:color="auto"/>
              <w:left w:val="single" w:sz="4" w:space="0" w:color="auto"/>
              <w:bottom w:val="single" w:sz="4" w:space="0" w:color="auto"/>
              <w:right w:val="single" w:sz="4" w:space="0" w:color="auto"/>
            </w:tcBorders>
            <w:shd w:val="clear" w:color="auto" w:fill="5C2946"/>
          </w:tcPr>
          <w:p w14:paraId="7B8ED35E" w14:textId="77777777" w:rsidR="000110FD" w:rsidRPr="00B36690" w:rsidRDefault="000110FD" w:rsidP="00B36690">
            <w:pPr>
              <w:pStyle w:val="TableHead"/>
              <w:jc w:val="right"/>
            </w:pPr>
            <w:r w:rsidRPr="00B36690">
              <w:t>TWA</w:t>
            </w:r>
          </w:p>
        </w:tc>
        <w:tc>
          <w:tcPr>
            <w:tcW w:w="297" w:type="pct"/>
            <w:tcBorders>
              <w:top w:val="single" w:sz="4" w:space="0" w:color="auto"/>
              <w:left w:val="single" w:sz="4" w:space="0" w:color="auto"/>
              <w:bottom w:val="single" w:sz="4" w:space="0" w:color="auto"/>
              <w:right w:val="single" w:sz="4" w:space="0" w:color="auto"/>
            </w:tcBorders>
            <w:shd w:val="clear" w:color="auto" w:fill="5C2946"/>
          </w:tcPr>
          <w:p w14:paraId="314FA9F2" w14:textId="77777777" w:rsidR="000110FD" w:rsidRPr="00B36690" w:rsidRDefault="000110FD" w:rsidP="00B36690">
            <w:pPr>
              <w:pStyle w:val="TableHead"/>
              <w:jc w:val="right"/>
            </w:pPr>
            <w:r w:rsidRPr="00B36690">
              <w:t>DDD</w:t>
            </w:r>
          </w:p>
        </w:tc>
        <w:tc>
          <w:tcPr>
            <w:tcW w:w="298" w:type="pct"/>
            <w:tcBorders>
              <w:top w:val="single" w:sz="4" w:space="0" w:color="auto"/>
              <w:left w:val="single" w:sz="4" w:space="0" w:color="auto"/>
              <w:bottom w:val="single" w:sz="4" w:space="0" w:color="auto"/>
              <w:right w:val="single" w:sz="4" w:space="0" w:color="auto"/>
            </w:tcBorders>
            <w:shd w:val="clear" w:color="auto" w:fill="5C2946"/>
          </w:tcPr>
          <w:p w14:paraId="583778DD" w14:textId="77777777" w:rsidR="000110FD" w:rsidRPr="00B36690" w:rsidRDefault="000110FD" w:rsidP="00B36690">
            <w:pPr>
              <w:pStyle w:val="TableHead"/>
              <w:jc w:val="right"/>
            </w:pPr>
            <w:r w:rsidRPr="00B36690">
              <w:t>RAL</w:t>
            </w:r>
          </w:p>
        </w:tc>
        <w:tc>
          <w:tcPr>
            <w:tcW w:w="298" w:type="pct"/>
            <w:tcBorders>
              <w:top w:val="single" w:sz="4" w:space="0" w:color="auto"/>
              <w:left w:val="single" w:sz="4" w:space="0" w:color="auto"/>
              <w:bottom w:val="single" w:sz="4" w:space="0" w:color="auto"/>
              <w:right w:val="single" w:sz="4" w:space="0" w:color="auto"/>
            </w:tcBorders>
            <w:shd w:val="clear" w:color="auto" w:fill="5C2946"/>
          </w:tcPr>
          <w:p w14:paraId="632488DB" w14:textId="77777777" w:rsidR="000110FD" w:rsidRPr="00B36690" w:rsidRDefault="000110FD" w:rsidP="00B36690">
            <w:pPr>
              <w:pStyle w:val="TableHead"/>
              <w:jc w:val="right"/>
            </w:pPr>
            <w:r w:rsidRPr="00B36690">
              <w:t>RQ</w:t>
            </w:r>
          </w:p>
        </w:tc>
        <w:tc>
          <w:tcPr>
            <w:tcW w:w="298" w:type="pct"/>
            <w:tcBorders>
              <w:top w:val="single" w:sz="4" w:space="0" w:color="auto"/>
              <w:left w:val="single" w:sz="4" w:space="0" w:color="auto"/>
              <w:bottom w:val="single" w:sz="4" w:space="0" w:color="auto"/>
            </w:tcBorders>
            <w:shd w:val="clear" w:color="auto" w:fill="5C2946"/>
          </w:tcPr>
          <w:p w14:paraId="0BA319D8" w14:textId="77777777" w:rsidR="000110FD" w:rsidRPr="00B36690" w:rsidRDefault="000110FD" w:rsidP="00B36690">
            <w:pPr>
              <w:pStyle w:val="TableHead"/>
              <w:jc w:val="right"/>
            </w:pPr>
            <w:r w:rsidRPr="00B36690">
              <w:t>Max rate</w:t>
            </w:r>
          </w:p>
        </w:tc>
      </w:tr>
      <w:tr w:rsidR="000110FD" w:rsidRPr="0027505E" w14:paraId="58393E07" w14:textId="77777777" w:rsidTr="00303DF5">
        <w:trPr>
          <w:cantSplit/>
          <w:trHeight w:val="13"/>
        </w:trPr>
        <w:tc>
          <w:tcPr>
            <w:tcW w:w="5000" w:type="pct"/>
            <w:gridSpan w:val="15"/>
            <w:tcBorders>
              <w:top w:val="single" w:sz="4" w:space="0" w:color="auto"/>
              <w:bottom w:val="single" w:sz="4" w:space="0" w:color="auto"/>
            </w:tcBorders>
          </w:tcPr>
          <w:p w14:paraId="60F2A88E" w14:textId="77777777" w:rsidR="000110FD" w:rsidRPr="0027505E" w:rsidRDefault="000110FD" w:rsidP="00B36690">
            <w:pPr>
              <w:pStyle w:val="TableSubHead0"/>
            </w:pPr>
            <w:r>
              <w:t>General weed control in cereals (pre-harvest)</w:t>
            </w:r>
          </w:p>
        </w:tc>
      </w:tr>
      <w:tr w:rsidR="000110FD" w:rsidRPr="00C3293F" w14:paraId="3D0BDE33" w14:textId="77777777" w:rsidTr="00E45161">
        <w:trPr>
          <w:cantSplit/>
          <w:trHeight w:val="113"/>
        </w:trPr>
        <w:tc>
          <w:tcPr>
            <w:tcW w:w="515" w:type="pct"/>
            <w:gridSpan w:val="2"/>
            <w:vMerge w:val="restart"/>
            <w:tcBorders>
              <w:top w:val="single" w:sz="4" w:space="0" w:color="auto"/>
            </w:tcBorders>
          </w:tcPr>
          <w:p w14:paraId="270D88B5" w14:textId="77777777" w:rsidR="000110FD" w:rsidRDefault="000110FD" w:rsidP="00303DF5">
            <w:pPr>
              <w:pStyle w:val="TableText"/>
              <w:widowControl w:val="0"/>
              <w:suppressAutoHyphens w:val="0"/>
              <w:spacing w:before="0" w:after="0" w:line="240" w:lineRule="auto"/>
              <w:rPr>
                <w:szCs w:val="17"/>
              </w:rPr>
            </w:pPr>
            <w:r>
              <w:rPr>
                <w:szCs w:val="17"/>
              </w:rPr>
              <w:t>Cereals</w:t>
            </w:r>
          </w:p>
        </w:tc>
        <w:tc>
          <w:tcPr>
            <w:tcW w:w="467" w:type="pct"/>
            <w:vMerge w:val="restart"/>
            <w:tcBorders>
              <w:top w:val="single" w:sz="4" w:space="0" w:color="auto"/>
            </w:tcBorders>
          </w:tcPr>
          <w:p w14:paraId="4D424C63"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03795A7E" w14:textId="77777777" w:rsidR="000110FD" w:rsidRDefault="000110FD" w:rsidP="00303DF5">
            <w:pPr>
              <w:pStyle w:val="TableText"/>
              <w:widowControl w:val="0"/>
              <w:suppressAutoHyphens w:val="0"/>
              <w:spacing w:before="0" w:after="0" w:line="240" w:lineRule="auto"/>
              <w:rPr>
                <w:szCs w:val="17"/>
              </w:rPr>
            </w:pPr>
            <w:r>
              <w:rPr>
                <w:szCs w:val="17"/>
              </w:rPr>
              <w:t>BBCH ≥40</w:t>
            </w:r>
          </w:p>
        </w:tc>
        <w:tc>
          <w:tcPr>
            <w:tcW w:w="486" w:type="pct"/>
            <w:tcBorders>
              <w:top w:val="single" w:sz="4" w:space="0" w:color="auto"/>
            </w:tcBorders>
          </w:tcPr>
          <w:p w14:paraId="61915628"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1FA33A30" w14:textId="77777777" w:rsidR="000110FD" w:rsidRDefault="000110FD" w:rsidP="00E45161">
            <w:pPr>
              <w:pStyle w:val="TableText"/>
              <w:widowControl w:val="0"/>
              <w:suppressAutoHyphens w:val="0"/>
              <w:spacing w:before="0" w:after="0" w:line="240" w:lineRule="auto"/>
              <w:jc w:val="right"/>
              <w:rPr>
                <w:szCs w:val="17"/>
              </w:rPr>
            </w:pPr>
            <w:r>
              <w:rPr>
                <w:szCs w:val="17"/>
              </w:rPr>
              <w:t>11.2</w:t>
            </w:r>
            <w:r w:rsidRPr="001C7F07">
              <w:rPr>
                <w:szCs w:val="17"/>
                <w:vertAlign w:val="superscript"/>
              </w:rPr>
              <w:t>a,c</w:t>
            </w:r>
          </w:p>
        </w:tc>
        <w:tc>
          <w:tcPr>
            <w:tcW w:w="275" w:type="pct"/>
            <w:tcBorders>
              <w:top w:val="single" w:sz="4" w:space="0" w:color="auto"/>
            </w:tcBorders>
          </w:tcPr>
          <w:p w14:paraId="53FC0E5D" w14:textId="77777777" w:rsidR="000110FD" w:rsidRDefault="000110FD" w:rsidP="00E45161">
            <w:pPr>
              <w:pStyle w:val="TableText"/>
              <w:widowControl w:val="0"/>
              <w:suppressAutoHyphens w:val="0"/>
              <w:spacing w:before="0" w:after="0" w:line="240" w:lineRule="auto"/>
              <w:jc w:val="right"/>
              <w:rPr>
                <w:szCs w:val="17"/>
              </w:rPr>
            </w:pPr>
            <w:r>
              <w:rPr>
                <w:szCs w:val="17"/>
              </w:rPr>
              <w:t>600</w:t>
            </w:r>
          </w:p>
        </w:tc>
        <w:tc>
          <w:tcPr>
            <w:tcW w:w="485" w:type="pct"/>
            <w:tcBorders>
              <w:top w:val="single" w:sz="4" w:space="0" w:color="auto"/>
            </w:tcBorders>
          </w:tcPr>
          <w:p w14:paraId="07BFF83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6AA1A46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62BEDA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6E485C3B"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6.7</w:t>
            </w:r>
          </w:p>
        </w:tc>
        <w:tc>
          <w:tcPr>
            <w:tcW w:w="298" w:type="pct"/>
            <w:tcBorders>
              <w:top w:val="single" w:sz="4" w:space="0" w:color="auto"/>
            </w:tcBorders>
          </w:tcPr>
          <w:p w14:paraId="6907315A"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53FD3584" w14:textId="77777777" w:rsidR="000110FD" w:rsidRPr="00721FF0" w:rsidRDefault="000110FD" w:rsidP="00E45161">
            <w:pPr>
              <w:pStyle w:val="TableText"/>
              <w:widowControl w:val="0"/>
              <w:suppressAutoHyphens w:val="0"/>
              <w:spacing w:before="0" w:after="0" w:line="240" w:lineRule="auto"/>
              <w:jc w:val="right"/>
            </w:pPr>
            <w:r>
              <w:rPr>
                <w:color w:val="1A1B1A"/>
                <w:szCs w:val="17"/>
              </w:rPr>
              <w:t>0.32</w:t>
            </w:r>
          </w:p>
        </w:tc>
        <w:tc>
          <w:tcPr>
            <w:tcW w:w="298" w:type="pct"/>
            <w:tcBorders>
              <w:top w:val="single" w:sz="4" w:space="0" w:color="auto"/>
            </w:tcBorders>
          </w:tcPr>
          <w:p w14:paraId="33FAF167" w14:textId="77777777" w:rsidR="000110FD" w:rsidRPr="00C3293F" w:rsidRDefault="000110FD" w:rsidP="00E45161">
            <w:pPr>
              <w:pStyle w:val="TableText"/>
              <w:widowControl w:val="0"/>
              <w:suppressAutoHyphens w:val="0"/>
              <w:spacing w:before="0" w:after="0" w:line="240" w:lineRule="auto"/>
              <w:jc w:val="right"/>
            </w:pPr>
            <w:r>
              <w:rPr>
                <w:color w:val="1A1B1A"/>
                <w:szCs w:val="17"/>
              </w:rPr>
              <w:t>1875</w:t>
            </w:r>
          </w:p>
        </w:tc>
      </w:tr>
      <w:tr w:rsidR="000110FD" w:rsidRPr="0027505E" w14:paraId="267327CD" w14:textId="77777777" w:rsidTr="00E45161">
        <w:trPr>
          <w:cantSplit/>
          <w:trHeight w:val="113"/>
        </w:trPr>
        <w:tc>
          <w:tcPr>
            <w:tcW w:w="515" w:type="pct"/>
            <w:gridSpan w:val="2"/>
            <w:vMerge/>
          </w:tcPr>
          <w:p w14:paraId="0B5825F2"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4FB4591B"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54CB3062" w14:textId="77777777" w:rsidR="000110FD" w:rsidRDefault="000110FD" w:rsidP="00303DF5">
            <w:pPr>
              <w:pStyle w:val="TableText"/>
              <w:widowControl w:val="0"/>
              <w:suppressAutoHyphens w:val="0"/>
              <w:spacing w:before="0" w:after="0" w:line="240" w:lineRule="auto"/>
              <w:rPr>
                <w:szCs w:val="17"/>
              </w:rPr>
            </w:pPr>
          </w:p>
        </w:tc>
        <w:tc>
          <w:tcPr>
            <w:tcW w:w="486" w:type="pct"/>
          </w:tcPr>
          <w:p w14:paraId="120BF5B3"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FDD7C30" w14:textId="77777777" w:rsidR="000110FD" w:rsidRDefault="000110FD" w:rsidP="00E45161">
            <w:pPr>
              <w:pStyle w:val="TableText"/>
              <w:widowControl w:val="0"/>
              <w:suppressAutoHyphens w:val="0"/>
              <w:spacing w:before="0" w:after="0" w:line="240" w:lineRule="auto"/>
              <w:jc w:val="right"/>
              <w:rPr>
                <w:szCs w:val="17"/>
              </w:rPr>
            </w:pPr>
            <w:r>
              <w:rPr>
                <w:szCs w:val="17"/>
              </w:rPr>
              <w:t>11.2</w:t>
            </w:r>
            <w:r w:rsidRPr="001C7F07">
              <w:rPr>
                <w:szCs w:val="17"/>
                <w:vertAlign w:val="superscript"/>
              </w:rPr>
              <w:t>a,c</w:t>
            </w:r>
          </w:p>
        </w:tc>
        <w:tc>
          <w:tcPr>
            <w:tcW w:w="275" w:type="pct"/>
          </w:tcPr>
          <w:p w14:paraId="1EF22511" w14:textId="77777777" w:rsidR="000110FD" w:rsidRDefault="000110FD" w:rsidP="00E45161">
            <w:pPr>
              <w:pStyle w:val="TableText"/>
              <w:widowControl w:val="0"/>
              <w:suppressAutoHyphens w:val="0"/>
              <w:spacing w:before="0" w:after="0" w:line="240" w:lineRule="auto"/>
              <w:jc w:val="right"/>
              <w:rPr>
                <w:szCs w:val="17"/>
              </w:rPr>
            </w:pPr>
            <w:r>
              <w:rPr>
                <w:szCs w:val="17"/>
              </w:rPr>
              <w:t>400</w:t>
            </w:r>
          </w:p>
        </w:tc>
        <w:tc>
          <w:tcPr>
            <w:tcW w:w="485" w:type="pct"/>
          </w:tcPr>
          <w:p w14:paraId="4A84B8B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60B03A5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3BC372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69DFCC3" w14:textId="77777777" w:rsidR="000110FD" w:rsidRPr="003B78B6" w:rsidRDefault="000110FD" w:rsidP="00E45161">
            <w:pPr>
              <w:pStyle w:val="TableText"/>
              <w:widowControl w:val="0"/>
              <w:suppressAutoHyphens w:val="0"/>
              <w:spacing w:before="0" w:after="0" w:line="240" w:lineRule="auto"/>
              <w:jc w:val="right"/>
            </w:pPr>
            <w:r>
              <w:rPr>
                <w:color w:val="1A1B1A"/>
                <w:szCs w:val="17"/>
              </w:rPr>
              <w:t>4.5</w:t>
            </w:r>
          </w:p>
        </w:tc>
        <w:tc>
          <w:tcPr>
            <w:tcW w:w="298" w:type="pct"/>
          </w:tcPr>
          <w:p w14:paraId="35F693E4"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4F945D81" w14:textId="77777777" w:rsidR="000110FD" w:rsidRPr="00721FF0" w:rsidRDefault="000110FD" w:rsidP="00E45161">
            <w:pPr>
              <w:pStyle w:val="TableText"/>
              <w:widowControl w:val="0"/>
              <w:suppressAutoHyphens w:val="0"/>
              <w:spacing w:before="0" w:after="0" w:line="240" w:lineRule="auto"/>
              <w:jc w:val="right"/>
            </w:pPr>
            <w:r>
              <w:rPr>
                <w:color w:val="1A1B1A"/>
                <w:szCs w:val="17"/>
              </w:rPr>
              <w:t>0.21</w:t>
            </w:r>
          </w:p>
        </w:tc>
        <w:tc>
          <w:tcPr>
            <w:tcW w:w="298" w:type="pct"/>
          </w:tcPr>
          <w:p w14:paraId="09D4093D" w14:textId="77777777" w:rsidR="000110FD" w:rsidRPr="0027505E" w:rsidRDefault="000110FD" w:rsidP="00E45161">
            <w:pPr>
              <w:pStyle w:val="TableText"/>
              <w:widowControl w:val="0"/>
              <w:suppressAutoHyphens w:val="0"/>
              <w:spacing w:before="0" w:after="0" w:line="240" w:lineRule="auto"/>
              <w:jc w:val="right"/>
            </w:pPr>
            <w:r>
              <w:rPr>
                <w:color w:val="1A1B1A"/>
                <w:szCs w:val="17"/>
              </w:rPr>
              <w:t>1875</w:t>
            </w:r>
          </w:p>
        </w:tc>
      </w:tr>
      <w:tr w:rsidR="000110FD" w:rsidRPr="0027505E" w14:paraId="3DF30190" w14:textId="77777777" w:rsidTr="00303DF5">
        <w:trPr>
          <w:cantSplit/>
          <w:trHeight w:val="13"/>
        </w:trPr>
        <w:tc>
          <w:tcPr>
            <w:tcW w:w="5000" w:type="pct"/>
            <w:gridSpan w:val="15"/>
            <w:tcBorders>
              <w:top w:val="single" w:sz="4" w:space="0" w:color="auto"/>
              <w:bottom w:val="single" w:sz="4" w:space="0" w:color="auto"/>
            </w:tcBorders>
          </w:tcPr>
          <w:p w14:paraId="2ACAB79E" w14:textId="77777777" w:rsidR="000110FD" w:rsidRPr="0027505E" w:rsidRDefault="000110FD" w:rsidP="00B36690">
            <w:pPr>
              <w:pStyle w:val="TableSubHead0"/>
            </w:pPr>
            <w:r w:rsidRPr="00B5044A">
              <w:t>Pre-harvest desiccation in cereals</w:t>
            </w:r>
            <w:r>
              <w:t xml:space="preserve"> and</w:t>
            </w:r>
            <w:r w:rsidRPr="00B5044A">
              <w:t xml:space="preserve"> rice</w:t>
            </w:r>
          </w:p>
        </w:tc>
      </w:tr>
      <w:tr w:rsidR="000110FD" w:rsidRPr="0027505E" w14:paraId="441F1B1D" w14:textId="77777777" w:rsidTr="000110FD">
        <w:trPr>
          <w:cantSplit/>
          <w:trHeight w:val="13"/>
        </w:trPr>
        <w:tc>
          <w:tcPr>
            <w:tcW w:w="515" w:type="pct"/>
            <w:gridSpan w:val="2"/>
            <w:tcBorders>
              <w:top w:val="single" w:sz="4" w:space="0" w:color="auto"/>
            </w:tcBorders>
          </w:tcPr>
          <w:p w14:paraId="2E8FD0FF" w14:textId="77777777" w:rsidR="000110FD" w:rsidRDefault="000110FD" w:rsidP="00303DF5">
            <w:pPr>
              <w:pStyle w:val="TableText"/>
              <w:widowControl w:val="0"/>
              <w:suppressAutoHyphens w:val="0"/>
              <w:spacing w:before="0" w:after="0" w:line="240" w:lineRule="auto"/>
              <w:rPr>
                <w:szCs w:val="17"/>
              </w:rPr>
            </w:pPr>
            <w:r>
              <w:rPr>
                <w:szCs w:val="17"/>
              </w:rPr>
              <w:t>Cereals</w:t>
            </w:r>
          </w:p>
        </w:tc>
        <w:tc>
          <w:tcPr>
            <w:tcW w:w="467" w:type="pct"/>
            <w:tcBorders>
              <w:top w:val="single" w:sz="4" w:space="0" w:color="auto"/>
            </w:tcBorders>
          </w:tcPr>
          <w:p w14:paraId="5E519EC0"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tcBorders>
              <w:top w:val="single" w:sz="4" w:space="0" w:color="auto"/>
            </w:tcBorders>
          </w:tcPr>
          <w:p w14:paraId="7C441CF7" w14:textId="77777777" w:rsidR="000110FD" w:rsidRDefault="000110FD" w:rsidP="00303DF5">
            <w:pPr>
              <w:pStyle w:val="TableText"/>
              <w:widowControl w:val="0"/>
              <w:suppressAutoHyphens w:val="0"/>
              <w:spacing w:before="0" w:after="0" w:line="240" w:lineRule="auto"/>
              <w:rPr>
                <w:szCs w:val="17"/>
              </w:rPr>
            </w:pPr>
            <w:r>
              <w:rPr>
                <w:szCs w:val="17"/>
              </w:rPr>
              <w:t>BBCH ≥40</w:t>
            </w:r>
          </w:p>
        </w:tc>
        <w:tc>
          <w:tcPr>
            <w:tcW w:w="486" w:type="pct"/>
            <w:tcBorders>
              <w:top w:val="single" w:sz="4" w:space="0" w:color="auto"/>
            </w:tcBorders>
          </w:tcPr>
          <w:p w14:paraId="5C181B2D"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23D77979" w14:textId="77777777" w:rsidR="000110FD" w:rsidRPr="00426E98" w:rsidRDefault="000110FD" w:rsidP="00E45161">
            <w:pPr>
              <w:pStyle w:val="TableText"/>
              <w:widowControl w:val="0"/>
              <w:suppressAutoHyphens w:val="0"/>
              <w:spacing w:before="0" w:after="0" w:line="240" w:lineRule="auto"/>
              <w:jc w:val="right"/>
              <w:rPr>
                <w:szCs w:val="17"/>
              </w:rPr>
            </w:pPr>
            <w:r>
              <w:rPr>
                <w:szCs w:val="17"/>
              </w:rPr>
              <w:t>11.2</w:t>
            </w:r>
            <w:r w:rsidRPr="001C7F07">
              <w:rPr>
                <w:szCs w:val="17"/>
                <w:vertAlign w:val="superscript"/>
              </w:rPr>
              <w:t>a,c</w:t>
            </w:r>
          </w:p>
        </w:tc>
        <w:tc>
          <w:tcPr>
            <w:tcW w:w="275" w:type="pct"/>
            <w:tcBorders>
              <w:top w:val="single" w:sz="4" w:space="0" w:color="auto"/>
            </w:tcBorders>
          </w:tcPr>
          <w:p w14:paraId="1C5BCE8E" w14:textId="77777777" w:rsidR="000110FD" w:rsidRDefault="000110FD" w:rsidP="00E45161">
            <w:pPr>
              <w:pStyle w:val="TableText"/>
              <w:widowControl w:val="0"/>
              <w:suppressAutoHyphens w:val="0"/>
              <w:spacing w:before="0" w:after="0" w:line="240" w:lineRule="auto"/>
              <w:jc w:val="right"/>
              <w:rPr>
                <w:szCs w:val="17"/>
              </w:rPr>
            </w:pPr>
            <w:r>
              <w:rPr>
                <w:szCs w:val="17"/>
              </w:rPr>
              <w:t>600</w:t>
            </w:r>
          </w:p>
        </w:tc>
        <w:tc>
          <w:tcPr>
            <w:tcW w:w="485" w:type="pct"/>
            <w:tcBorders>
              <w:top w:val="single" w:sz="4" w:space="0" w:color="auto"/>
            </w:tcBorders>
          </w:tcPr>
          <w:p w14:paraId="090FEEE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434C310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D0122E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0FA5819E" w14:textId="77777777" w:rsidR="000110FD" w:rsidRPr="003B78B6" w:rsidRDefault="000110FD" w:rsidP="00E45161">
            <w:pPr>
              <w:pStyle w:val="TableText"/>
              <w:widowControl w:val="0"/>
              <w:suppressAutoHyphens w:val="0"/>
              <w:spacing w:before="0" w:after="0" w:line="240" w:lineRule="auto"/>
              <w:jc w:val="right"/>
            </w:pPr>
            <w:r>
              <w:rPr>
                <w:color w:val="1A1B1A"/>
                <w:szCs w:val="17"/>
              </w:rPr>
              <w:t>6.7</w:t>
            </w:r>
          </w:p>
        </w:tc>
        <w:tc>
          <w:tcPr>
            <w:tcW w:w="298" w:type="pct"/>
            <w:tcBorders>
              <w:top w:val="single" w:sz="4" w:space="0" w:color="auto"/>
            </w:tcBorders>
          </w:tcPr>
          <w:p w14:paraId="5B6A419F"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16644595" w14:textId="77777777" w:rsidR="000110FD" w:rsidRPr="00721FF0" w:rsidRDefault="000110FD" w:rsidP="00E45161">
            <w:pPr>
              <w:pStyle w:val="TableText"/>
              <w:widowControl w:val="0"/>
              <w:suppressAutoHyphens w:val="0"/>
              <w:spacing w:before="0" w:after="0" w:line="240" w:lineRule="auto"/>
              <w:jc w:val="right"/>
            </w:pPr>
            <w:r>
              <w:rPr>
                <w:color w:val="1A1B1A"/>
                <w:szCs w:val="17"/>
              </w:rPr>
              <w:t>0.32</w:t>
            </w:r>
          </w:p>
        </w:tc>
        <w:tc>
          <w:tcPr>
            <w:tcW w:w="298" w:type="pct"/>
            <w:tcBorders>
              <w:top w:val="single" w:sz="4" w:space="0" w:color="auto"/>
            </w:tcBorders>
          </w:tcPr>
          <w:p w14:paraId="1FCE3049" w14:textId="77777777" w:rsidR="000110FD" w:rsidRPr="0027505E" w:rsidRDefault="000110FD" w:rsidP="00E45161">
            <w:pPr>
              <w:pStyle w:val="TableText"/>
              <w:widowControl w:val="0"/>
              <w:suppressAutoHyphens w:val="0"/>
              <w:spacing w:before="0" w:after="0" w:line="240" w:lineRule="auto"/>
              <w:jc w:val="right"/>
            </w:pPr>
            <w:r>
              <w:rPr>
                <w:color w:val="1A1B1A"/>
                <w:szCs w:val="17"/>
              </w:rPr>
              <w:t>1875</w:t>
            </w:r>
          </w:p>
        </w:tc>
      </w:tr>
      <w:tr w:rsidR="000110FD" w:rsidRPr="0027505E" w14:paraId="1660CEB4" w14:textId="77777777" w:rsidTr="00303DF5">
        <w:trPr>
          <w:cantSplit/>
          <w:trHeight w:val="13"/>
        </w:trPr>
        <w:tc>
          <w:tcPr>
            <w:tcW w:w="5000" w:type="pct"/>
            <w:gridSpan w:val="15"/>
            <w:tcBorders>
              <w:top w:val="single" w:sz="4" w:space="0" w:color="auto"/>
              <w:bottom w:val="single" w:sz="4" w:space="0" w:color="auto"/>
            </w:tcBorders>
          </w:tcPr>
          <w:p w14:paraId="78600305" w14:textId="77777777" w:rsidR="000110FD" w:rsidRPr="0027505E" w:rsidRDefault="000110FD" w:rsidP="00B36690">
            <w:pPr>
              <w:pStyle w:val="TableSubHead0"/>
            </w:pPr>
            <w:r>
              <w:t>General weed control in infested areas, hay freezing, pasture, public service areas, rights of way</w:t>
            </w:r>
          </w:p>
        </w:tc>
      </w:tr>
      <w:tr w:rsidR="000110FD" w:rsidRPr="0027505E" w14:paraId="2A7BADCB" w14:textId="77777777" w:rsidTr="000110FD">
        <w:trPr>
          <w:cantSplit/>
          <w:trHeight w:val="13"/>
        </w:trPr>
        <w:tc>
          <w:tcPr>
            <w:tcW w:w="515" w:type="pct"/>
            <w:gridSpan w:val="2"/>
            <w:vMerge w:val="restart"/>
            <w:tcBorders>
              <w:top w:val="single" w:sz="4" w:space="0" w:color="auto"/>
            </w:tcBorders>
          </w:tcPr>
          <w:p w14:paraId="1AE69AD9" w14:textId="77777777" w:rsidR="000110FD" w:rsidRDefault="000110FD" w:rsidP="00303DF5">
            <w:pPr>
              <w:pStyle w:val="TableText"/>
              <w:widowControl w:val="0"/>
              <w:suppressAutoHyphens w:val="0"/>
              <w:spacing w:before="0" w:after="0" w:line="240" w:lineRule="auto"/>
              <w:rPr>
                <w:szCs w:val="17"/>
              </w:rPr>
            </w:pPr>
            <w:r>
              <w:rPr>
                <w:szCs w:val="17"/>
              </w:rPr>
              <w:t>Grassland</w:t>
            </w:r>
          </w:p>
        </w:tc>
        <w:tc>
          <w:tcPr>
            <w:tcW w:w="467" w:type="pct"/>
            <w:vMerge w:val="restart"/>
            <w:tcBorders>
              <w:top w:val="single" w:sz="4" w:space="0" w:color="auto"/>
            </w:tcBorders>
          </w:tcPr>
          <w:p w14:paraId="1BCF26F0"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75159030" w14:textId="77777777" w:rsidR="000110FD" w:rsidRDefault="000110FD" w:rsidP="00303DF5">
            <w:pPr>
              <w:pStyle w:val="TableText"/>
              <w:widowControl w:val="0"/>
              <w:suppressAutoHyphens w:val="0"/>
              <w:spacing w:before="0" w:after="0" w:line="240" w:lineRule="auto"/>
              <w:rPr>
                <w:szCs w:val="17"/>
              </w:rPr>
            </w:pPr>
            <w:r>
              <w:rPr>
                <w:szCs w:val="17"/>
              </w:rPr>
              <w:t>All season</w:t>
            </w:r>
          </w:p>
        </w:tc>
        <w:tc>
          <w:tcPr>
            <w:tcW w:w="486" w:type="pct"/>
            <w:tcBorders>
              <w:top w:val="single" w:sz="4" w:space="0" w:color="auto"/>
            </w:tcBorders>
          </w:tcPr>
          <w:p w14:paraId="57497AD2"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38F9AE05" w14:textId="77777777" w:rsidR="000110FD" w:rsidRPr="00426E98" w:rsidRDefault="000110FD" w:rsidP="00E45161">
            <w:pPr>
              <w:pStyle w:val="TableText"/>
              <w:widowControl w:val="0"/>
              <w:suppressAutoHyphens w:val="0"/>
              <w:spacing w:before="0" w:after="0" w:line="240" w:lineRule="auto"/>
              <w:jc w:val="right"/>
              <w:rPr>
                <w:szCs w:val="17"/>
              </w:rPr>
            </w:pPr>
            <w:r>
              <w:rPr>
                <w:szCs w:val="17"/>
              </w:rPr>
              <w:t>112</w:t>
            </w:r>
            <w:r w:rsidRPr="001C7F07">
              <w:rPr>
                <w:szCs w:val="17"/>
                <w:vertAlign w:val="superscript"/>
              </w:rPr>
              <w:t>a</w:t>
            </w:r>
          </w:p>
        </w:tc>
        <w:tc>
          <w:tcPr>
            <w:tcW w:w="275" w:type="pct"/>
            <w:tcBorders>
              <w:top w:val="single" w:sz="4" w:space="0" w:color="auto"/>
            </w:tcBorders>
          </w:tcPr>
          <w:p w14:paraId="5D95C696" w14:textId="77777777" w:rsidR="000110FD" w:rsidRDefault="000110FD" w:rsidP="00E45161">
            <w:pPr>
              <w:pStyle w:val="TableText"/>
              <w:widowControl w:val="0"/>
              <w:suppressAutoHyphens w:val="0"/>
              <w:spacing w:before="0" w:after="0" w:line="240" w:lineRule="auto"/>
              <w:jc w:val="right"/>
              <w:rPr>
                <w:szCs w:val="17"/>
              </w:rPr>
            </w:pPr>
            <w:r>
              <w:rPr>
                <w:szCs w:val="17"/>
              </w:rPr>
              <w:t>560</w:t>
            </w:r>
          </w:p>
        </w:tc>
        <w:tc>
          <w:tcPr>
            <w:tcW w:w="485" w:type="pct"/>
            <w:tcBorders>
              <w:top w:val="single" w:sz="4" w:space="0" w:color="auto"/>
            </w:tcBorders>
          </w:tcPr>
          <w:p w14:paraId="55F0615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01D3930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2CBBA15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3529A335" w14:textId="77777777" w:rsidR="000110FD" w:rsidRPr="003B78B6" w:rsidRDefault="000110FD" w:rsidP="00E45161">
            <w:pPr>
              <w:pStyle w:val="TableText"/>
              <w:widowControl w:val="0"/>
              <w:suppressAutoHyphens w:val="0"/>
              <w:spacing w:before="0" w:after="0" w:line="240" w:lineRule="auto"/>
              <w:jc w:val="right"/>
            </w:pPr>
            <w:r>
              <w:rPr>
                <w:color w:val="1A1B1A"/>
                <w:szCs w:val="17"/>
              </w:rPr>
              <w:t>63</w:t>
            </w:r>
          </w:p>
        </w:tc>
        <w:tc>
          <w:tcPr>
            <w:tcW w:w="298" w:type="pct"/>
            <w:tcBorders>
              <w:top w:val="single" w:sz="4" w:space="0" w:color="auto"/>
            </w:tcBorders>
          </w:tcPr>
          <w:p w14:paraId="19670ADD"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shd w:val="clear" w:color="auto" w:fill="FF0000"/>
          </w:tcPr>
          <w:p w14:paraId="21187543"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3.0</w:t>
            </w:r>
          </w:p>
        </w:tc>
        <w:tc>
          <w:tcPr>
            <w:tcW w:w="298" w:type="pct"/>
            <w:tcBorders>
              <w:top w:val="single" w:sz="4" w:space="0" w:color="auto"/>
            </w:tcBorders>
          </w:tcPr>
          <w:p w14:paraId="42574EED"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12826022" w14:textId="77777777" w:rsidTr="000110FD">
        <w:trPr>
          <w:cantSplit/>
          <w:trHeight w:val="13"/>
        </w:trPr>
        <w:tc>
          <w:tcPr>
            <w:tcW w:w="515" w:type="pct"/>
            <w:gridSpan w:val="2"/>
            <w:vMerge/>
          </w:tcPr>
          <w:p w14:paraId="65C71A76"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224F1947"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4F898EA9" w14:textId="77777777" w:rsidR="000110FD" w:rsidRDefault="000110FD" w:rsidP="00303DF5">
            <w:pPr>
              <w:pStyle w:val="TableText"/>
              <w:widowControl w:val="0"/>
              <w:suppressAutoHyphens w:val="0"/>
              <w:spacing w:before="0" w:after="0" w:line="240" w:lineRule="auto"/>
              <w:rPr>
                <w:szCs w:val="17"/>
              </w:rPr>
            </w:pPr>
          </w:p>
        </w:tc>
        <w:tc>
          <w:tcPr>
            <w:tcW w:w="486" w:type="pct"/>
          </w:tcPr>
          <w:p w14:paraId="6B32C960"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16645BDE"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23250E05" w14:textId="77777777" w:rsidR="000110FD" w:rsidRDefault="000110FD" w:rsidP="00E45161">
            <w:pPr>
              <w:pStyle w:val="TableText"/>
              <w:widowControl w:val="0"/>
              <w:suppressAutoHyphens w:val="0"/>
              <w:spacing w:before="0" w:after="0" w:line="240" w:lineRule="auto"/>
              <w:jc w:val="right"/>
              <w:rPr>
                <w:szCs w:val="17"/>
              </w:rPr>
            </w:pPr>
            <w:r>
              <w:rPr>
                <w:szCs w:val="17"/>
              </w:rPr>
              <w:t>533</w:t>
            </w:r>
          </w:p>
        </w:tc>
        <w:tc>
          <w:tcPr>
            <w:tcW w:w="485" w:type="pct"/>
          </w:tcPr>
          <w:p w14:paraId="5F979C6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5657D2F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24431E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0D3A65C6" w14:textId="77777777" w:rsidR="000110FD" w:rsidRPr="003B78B6" w:rsidRDefault="000110FD" w:rsidP="00E45161">
            <w:pPr>
              <w:pStyle w:val="TableText"/>
              <w:widowControl w:val="0"/>
              <w:suppressAutoHyphens w:val="0"/>
              <w:spacing w:before="0" w:after="0" w:line="240" w:lineRule="auto"/>
              <w:jc w:val="right"/>
            </w:pPr>
            <w:r>
              <w:rPr>
                <w:color w:val="1A1B1A"/>
                <w:szCs w:val="17"/>
              </w:rPr>
              <w:t>60</w:t>
            </w:r>
          </w:p>
        </w:tc>
        <w:tc>
          <w:tcPr>
            <w:tcW w:w="298" w:type="pct"/>
          </w:tcPr>
          <w:p w14:paraId="145F1907"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shd w:val="clear" w:color="auto" w:fill="FF0000"/>
          </w:tcPr>
          <w:p w14:paraId="1F4FDF94"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2.8</w:t>
            </w:r>
          </w:p>
        </w:tc>
        <w:tc>
          <w:tcPr>
            <w:tcW w:w="298" w:type="pct"/>
          </w:tcPr>
          <w:p w14:paraId="5640E447"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6E65996A" w14:textId="77777777" w:rsidTr="000110FD">
        <w:trPr>
          <w:cantSplit/>
          <w:trHeight w:val="13"/>
        </w:trPr>
        <w:tc>
          <w:tcPr>
            <w:tcW w:w="515" w:type="pct"/>
            <w:gridSpan w:val="2"/>
            <w:vMerge/>
          </w:tcPr>
          <w:p w14:paraId="2EAEBC8A"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0083B8DA"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585737F2" w14:textId="77777777" w:rsidR="000110FD" w:rsidRDefault="000110FD" w:rsidP="00303DF5">
            <w:pPr>
              <w:pStyle w:val="TableText"/>
              <w:widowControl w:val="0"/>
              <w:suppressAutoHyphens w:val="0"/>
              <w:spacing w:before="0" w:after="0" w:line="240" w:lineRule="auto"/>
              <w:rPr>
                <w:szCs w:val="17"/>
              </w:rPr>
            </w:pPr>
          </w:p>
        </w:tc>
        <w:tc>
          <w:tcPr>
            <w:tcW w:w="486" w:type="pct"/>
          </w:tcPr>
          <w:p w14:paraId="250A13F6"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0EAC8988"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0C24CCA0"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485" w:type="pct"/>
          </w:tcPr>
          <w:p w14:paraId="7ACABBA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E8E42A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2A0992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261F35E5" w14:textId="77777777" w:rsidR="000110FD" w:rsidRPr="003B78B6" w:rsidRDefault="000110FD" w:rsidP="00E45161">
            <w:pPr>
              <w:pStyle w:val="TableText"/>
              <w:widowControl w:val="0"/>
              <w:suppressAutoHyphens w:val="0"/>
              <w:spacing w:before="0" w:after="0" w:line="240" w:lineRule="auto"/>
              <w:jc w:val="right"/>
            </w:pPr>
            <w:r>
              <w:rPr>
                <w:color w:val="1A1B1A"/>
                <w:szCs w:val="17"/>
              </w:rPr>
              <w:t>41</w:t>
            </w:r>
          </w:p>
        </w:tc>
        <w:tc>
          <w:tcPr>
            <w:tcW w:w="298" w:type="pct"/>
          </w:tcPr>
          <w:p w14:paraId="166360CB"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shd w:val="clear" w:color="auto" w:fill="FF0000"/>
          </w:tcPr>
          <w:p w14:paraId="7D8513F9"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2.0</w:t>
            </w:r>
          </w:p>
        </w:tc>
        <w:tc>
          <w:tcPr>
            <w:tcW w:w="298" w:type="pct"/>
          </w:tcPr>
          <w:p w14:paraId="755C3B8D"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26D0E87C" w14:textId="77777777" w:rsidTr="000110FD">
        <w:trPr>
          <w:cantSplit/>
          <w:trHeight w:val="13"/>
        </w:trPr>
        <w:tc>
          <w:tcPr>
            <w:tcW w:w="515" w:type="pct"/>
            <w:gridSpan w:val="2"/>
            <w:vMerge/>
          </w:tcPr>
          <w:p w14:paraId="4ABB67D3"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28AEE49"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76E417D2" w14:textId="77777777" w:rsidR="000110FD" w:rsidRDefault="000110FD" w:rsidP="00303DF5">
            <w:pPr>
              <w:pStyle w:val="TableText"/>
              <w:widowControl w:val="0"/>
              <w:suppressAutoHyphens w:val="0"/>
              <w:spacing w:before="0" w:after="0" w:line="240" w:lineRule="auto"/>
              <w:rPr>
                <w:szCs w:val="17"/>
              </w:rPr>
            </w:pPr>
          </w:p>
        </w:tc>
        <w:tc>
          <w:tcPr>
            <w:tcW w:w="486" w:type="pct"/>
          </w:tcPr>
          <w:p w14:paraId="2772C110"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78653A55"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5E7BBF92" w14:textId="77777777" w:rsidR="000110FD" w:rsidRDefault="000110FD" w:rsidP="00E45161">
            <w:pPr>
              <w:pStyle w:val="TableText"/>
              <w:widowControl w:val="0"/>
              <w:suppressAutoHyphens w:val="0"/>
              <w:spacing w:before="0" w:after="0" w:line="240" w:lineRule="auto"/>
              <w:jc w:val="right"/>
              <w:rPr>
                <w:szCs w:val="17"/>
              </w:rPr>
            </w:pPr>
            <w:r>
              <w:rPr>
                <w:szCs w:val="17"/>
              </w:rPr>
              <w:t>276</w:t>
            </w:r>
          </w:p>
        </w:tc>
        <w:tc>
          <w:tcPr>
            <w:tcW w:w="485" w:type="pct"/>
          </w:tcPr>
          <w:p w14:paraId="4C71251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2BA805F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7FAD50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CCBAC76" w14:textId="77777777" w:rsidR="000110FD" w:rsidRPr="003B78B6" w:rsidRDefault="000110FD" w:rsidP="00E45161">
            <w:pPr>
              <w:pStyle w:val="TableText"/>
              <w:widowControl w:val="0"/>
              <w:suppressAutoHyphens w:val="0"/>
              <w:spacing w:before="0" w:after="0" w:line="240" w:lineRule="auto"/>
              <w:jc w:val="right"/>
            </w:pPr>
            <w:r>
              <w:rPr>
                <w:color w:val="1A1B1A"/>
                <w:szCs w:val="17"/>
              </w:rPr>
              <w:t>31</w:t>
            </w:r>
          </w:p>
        </w:tc>
        <w:tc>
          <w:tcPr>
            <w:tcW w:w="298" w:type="pct"/>
          </w:tcPr>
          <w:p w14:paraId="4CA3FDD0"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shd w:val="clear" w:color="auto" w:fill="FF0000"/>
          </w:tcPr>
          <w:p w14:paraId="4A4CF153"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1.5</w:t>
            </w:r>
          </w:p>
        </w:tc>
        <w:tc>
          <w:tcPr>
            <w:tcW w:w="298" w:type="pct"/>
          </w:tcPr>
          <w:p w14:paraId="04D2D20D"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3F71F59A" w14:textId="77777777" w:rsidTr="000110FD">
        <w:trPr>
          <w:cantSplit/>
          <w:trHeight w:val="13"/>
        </w:trPr>
        <w:tc>
          <w:tcPr>
            <w:tcW w:w="515" w:type="pct"/>
            <w:gridSpan w:val="2"/>
            <w:vMerge/>
          </w:tcPr>
          <w:p w14:paraId="37739385"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67EF312D"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5E3E7FB6" w14:textId="77777777" w:rsidR="000110FD" w:rsidRDefault="000110FD" w:rsidP="00303DF5">
            <w:pPr>
              <w:pStyle w:val="TableText"/>
              <w:widowControl w:val="0"/>
              <w:suppressAutoHyphens w:val="0"/>
              <w:spacing w:before="0" w:after="0" w:line="240" w:lineRule="auto"/>
              <w:rPr>
                <w:szCs w:val="17"/>
              </w:rPr>
            </w:pPr>
          </w:p>
        </w:tc>
        <w:tc>
          <w:tcPr>
            <w:tcW w:w="486" w:type="pct"/>
          </w:tcPr>
          <w:p w14:paraId="1EB64655"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51B4DCDB"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22899D52"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485" w:type="pct"/>
          </w:tcPr>
          <w:p w14:paraId="14650B8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0377675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6C3A09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69F5691F" w14:textId="77777777" w:rsidR="000110FD" w:rsidRPr="003B78B6"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06CEAC0C"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41AAFD69" w14:textId="77777777" w:rsidR="000110FD" w:rsidRPr="00721FF0" w:rsidRDefault="000110FD" w:rsidP="00E45161">
            <w:pPr>
              <w:pStyle w:val="TableText"/>
              <w:widowControl w:val="0"/>
              <w:suppressAutoHyphens w:val="0"/>
              <w:spacing w:before="0" w:after="0" w:line="240" w:lineRule="auto"/>
              <w:jc w:val="right"/>
            </w:pPr>
            <w:r>
              <w:rPr>
                <w:color w:val="1A1B1A"/>
                <w:szCs w:val="17"/>
              </w:rPr>
              <w:t>0.98</w:t>
            </w:r>
          </w:p>
        </w:tc>
        <w:tc>
          <w:tcPr>
            <w:tcW w:w="298" w:type="pct"/>
          </w:tcPr>
          <w:p w14:paraId="57C86FB2"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1EAB3B76" w14:textId="77777777" w:rsidTr="000110FD">
        <w:trPr>
          <w:cantSplit/>
          <w:trHeight w:val="13"/>
        </w:trPr>
        <w:tc>
          <w:tcPr>
            <w:tcW w:w="515" w:type="pct"/>
            <w:gridSpan w:val="2"/>
            <w:vMerge/>
          </w:tcPr>
          <w:p w14:paraId="11E7EB0B"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0930AD29"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2B6FBF29" w14:textId="77777777" w:rsidR="000110FD" w:rsidRDefault="000110FD" w:rsidP="00303DF5">
            <w:pPr>
              <w:pStyle w:val="TableText"/>
              <w:widowControl w:val="0"/>
              <w:suppressAutoHyphens w:val="0"/>
              <w:spacing w:before="0" w:after="0" w:line="240" w:lineRule="auto"/>
              <w:rPr>
                <w:szCs w:val="17"/>
              </w:rPr>
            </w:pPr>
          </w:p>
        </w:tc>
        <w:tc>
          <w:tcPr>
            <w:tcW w:w="486" w:type="pct"/>
          </w:tcPr>
          <w:p w14:paraId="79054362"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59F70F58"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76148FD6" w14:textId="77777777" w:rsidR="000110FD" w:rsidRDefault="000110FD" w:rsidP="00E45161">
            <w:pPr>
              <w:pStyle w:val="TableText"/>
              <w:widowControl w:val="0"/>
              <w:suppressAutoHyphens w:val="0"/>
              <w:spacing w:before="0" w:after="0" w:line="240" w:lineRule="auto"/>
              <w:jc w:val="right"/>
              <w:rPr>
                <w:szCs w:val="17"/>
              </w:rPr>
            </w:pPr>
            <w:r>
              <w:rPr>
                <w:szCs w:val="17"/>
              </w:rPr>
              <w:t>173</w:t>
            </w:r>
          </w:p>
        </w:tc>
        <w:tc>
          <w:tcPr>
            <w:tcW w:w="485" w:type="pct"/>
          </w:tcPr>
          <w:p w14:paraId="0DDF020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3F5D6EA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E69F72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23B2C6B" w14:textId="77777777" w:rsidR="000110FD" w:rsidRPr="003B78B6" w:rsidRDefault="000110FD" w:rsidP="00E45161">
            <w:pPr>
              <w:pStyle w:val="TableText"/>
              <w:widowControl w:val="0"/>
              <w:suppressAutoHyphens w:val="0"/>
              <w:spacing w:before="0" w:after="0" w:line="240" w:lineRule="auto"/>
              <w:jc w:val="right"/>
            </w:pPr>
            <w:r>
              <w:rPr>
                <w:color w:val="1A1B1A"/>
                <w:szCs w:val="17"/>
              </w:rPr>
              <w:t>19</w:t>
            </w:r>
          </w:p>
        </w:tc>
        <w:tc>
          <w:tcPr>
            <w:tcW w:w="298" w:type="pct"/>
          </w:tcPr>
          <w:p w14:paraId="7323E6F3"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435FEF90" w14:textId="77777777" w:rsidR="000110FD" w:rsidRPr="00721FF0" w:rsidRDefault="000110FD" w:rsidP="00E45161">
            <w:pPr>
              <w:pStyle w:val="TableText"/>
              <w:widowControl w:val="0"/>
              <w:suppressAutoHyphens w:val="0"/>
              <w:spacing w:before="0" w:after="0" w:line="240" w:lineRule="auto"/>
              <w:jc w:val="right"/>
            </w:pPr>
            <w:r>
              <w:rPr>
                <w:color w:val="1A1B1A"/>
                <w:szCs w:val="17"/>
              </w:rPr>
              <w:t>0.92</w:t>
            </w:r>
          </w:p>
        </w:tc>
        <w:tc>
          <w:tcPr>
            <w:tcW w:w="298" w:type="pct"/>
          </w:tcPr>
          <w:p w14:paraId="527647BF"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08B1BDA4" w14:textId="77777777" w:rsidTr="000110FD">
        <w:trPr>
          <w:cantSplit/>
          <w:trHeight w:val="13"/>
        </w:trPr>
        <w:tc>
          <w:tcPr>
            <w:tcW w:w="515" w:type="pct"/>
            <w:gridSpan w:val="2"/>
            <w:vMerge/>
          </w:tcPr>
          <w:p w14:paraId="2A14E5E0"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7EC38B34"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2EC03903" w14:textId="77777777" w:rsidR="000110FD" w:rsidRDefault="000110FD" w:rsidP="00303DF5">
            <w:pPr>
              <w:pStyle w:val="TableText"/>
              <w:widowControl w:val="0"/>
              <w:suppressAutoHyphens w:val="0"/>
              <w:spacing w:before="0" w:after="0" w:line="240" w:lineRule="auto"/>
              <w:rPr>
                <w:szCs w:val="17"/>
              </w:rPr>
            </w:pPr>
          </w:p>
        </w:tc>
        <w:tc>
          <w:tcPr>
            <w:tcW w:w="486" w:type="pct"/>
          </w:tcPr>
          <w:p w14:paraId="1F57E9F4"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0AB70285"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29E869BB" w14:textId="77777777" w:rsidR="000110FD" w:rsidRDefault="000110FD" w:rsidP="00E45161">
            <w:pPr>
              <w:pStyle w:val="TableText"/>
              <w:widowControl w:val="0"/>
              <w:suppressAutoHyphens w:val="0"/>
              <w:spacing w:before="0" w:after="0" w:line="240" w:lineRule="auto"/>
              <w:jc w:val="right"/>
              <w:rPr>
                <w:szCs w:val="17"/>
              </w:rPr>
            </w:pPr>
            <w:r>
              <w:rPr>
                <w:szCs w:val="17"/>
              </w:rPr>
              <w:t>138</w:t>
            </w:r>
          </w:p>
        </w:tc>
        <w:tc>
          <w:tcPr>
            <w:tcW w:w="485" w:type="pct"/>
          </w:tcPr>
          <w:p w14:paraId="542CF45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5BA76DE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130E44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0BB26711" w14:textId="77777777" w:rsidR="000110FD" w:rsidRPr="003B78B6" w:rsidRDefault="000110FD" w:rsidP="00E45161">
            <w:pPr>
              <w:pStyle w:val="TableText"/>
              <w:widowControl w:val="0"/>
              <w:suppressAutoHyphens w:val="0"/>
              <w:spacing w:before="0" w:after="0" w:line="240" w:lineRule="auto"/>
              <w:jc w:val="right"/>
            </w:pPr>
            <w:r>
              <w:rPr>
                <w:color w:val="1A1B1A"/>
                <w:szCs w:val="17"/>
              </w:rPr>
              <w:t>15</w:t>
            </w:r>
          </w:p>
        </w:tc>
        <w:tc>
          <w:tcPr>
            <w:tcW w:w="298" w:type="pct"/>
          </w:tcPr>
          <w:p w14:paraId="5628A089"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6FA38BCC" w14:textId="77777777" w:rsidR="000110FD" w:rsidRPr="00721FF0" w:rsidRDefault="000110FD" w:rsidP="00E45161">
            <w:pPr>
              <w:pStyle w:val="TableText"/>
              <w:widowControl w:val="0"/>
              <w:suppressAutoHyphens w:val="0"/>
              <w:spacing w:before="0" w:after="0" w:line="240" w:lineRule="auto"/>
              <w:jc w:val="right"/>
            </w:pPr>
            <w:r>
              <w:rPr>
                <w:color w:val="1A1B1A"/>
                <w:szCs w:val="17"/>
              </w:rPr>
              <w:t>0.74</w:t>
            </w:r>
          </w:p>
        </w:tc>
        <w:tc>
          <w:tcPr>
            <w:tcW w:w="298" w:type="pct"/>
          </w:tcPr>
          <w:p w14:paraId="7036FDC1"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3AEFF4EC" w14:textId="77777777" w:rsidTr="000110FD">
        <w:trPr>
          <w:cantSplit/>
          <w:trHeight w:val="13"/>
        </w:trPr>
        <w:tc>
          <w:tcPr>
            <w:tcW w:w="515" w:type="pct"/>
            <w:gridSpan w:val="2"/>
            <w:vMerge/>
          </w:tcPr>
          <w:p w14:paraId="25C4FF0B"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17900E5"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6A2417FF" w14:textId="77777777" w:rsidR="000110FD" w:rsidRDefault="000110FD" w:rsidP="00303DF5">
            <w:pPr>
              <w:pStyle w:val="TableText"/>
              <w:widowControl w:val="0"/>
              <w:suppressAutoHyphens w:val="0"/>
              <w:spacing w:before="0" w:after="0" w:line="240" w:lineRule="auto"/>
              <w:rPr>
                <w:szCs w:val="17"/>
              </w:rPr>
            </w:pPr>
          </w:p>
        </w:tc>
        <w:tc>
          <w:tcPr>
            <w:tcW w:w="486" w:type="pct"/>
          </w:tcPr>
          <w:p w14:paraId="05B9846E"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391A2DED"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Pr>
          <w:p w14:paraId="3C60BF41" w14:textId="77777777" w:rsidR="000110FD" w:rsidRDefault="000110FD" w:rsidP="00E45161">
            <w:pPr>
              <w:pStyle w:val="TableText"/>
              <w:widowControl w:val="0"/>
              <w:suppressAutoHyphens w:val="0"/>
              <w:spacing w:before="0" w:after="0" w:line="240" w:lineRule="auto"/>
              <w:jc w:val="right"/>
              <w:rPr>
                <w:szCs w:val="17"/>
              </w:rPr>
            </w:pPr>
            <w:r>
              <w:rPr>
                <w:szCs w:val="17"/>
              </w:rPr>
              <w:t>92</w:t>
            </w:r>
          </w:p>
        </w:tc>
        <w:tc>
          <w:tcPr>
            <w:tcW w:w="485" w:type="pct"/>
          </w:tcPr>
          <w:p w14:paraId="6695F88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226B492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8E314C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0AA19A99" w14:textId="77777777" w:rsidR="000110FD" w:rsidRPr="003B78B6" w:rsidRDefault="000110FD" w:rsidP="00E45161">
            <w:pPr>
              <w:pStyle w:val="TableText"/>
              <w:widowControl w:val="0"/>
              <w:suppressAutoHyphens w:val="0"/>
              <w:spacing w:before="0" w:after="0" w:line="240" w:lineRule="auto"/>
              <w:jc w:val="right"/>
            </w:pPr>
            <w:r>
              <w:rPr>
                <w:color w:val="1A1B1A"/>
                <w:szCs w:val="17"/>
              </w:rPr>
              <w:t>10</w:t>
            </w:r>
          </w:p>
        </w:tc>
        <w:tc>
          <w:tcPr>
            <w:tcW w:w="298" w:type="pct"/>
          </w:tcPr>
          <w:p w14:paraId="74B493CE"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4E9736D4" w14:textId="77777777" w:rsidR="000110FD" w:rsidRPr="00721FF0" w:rsidRDefault="000110FD" w:rsidP="00E45161">
            <w:pPr>
              <w:pStyle w:val="TableText"/>
              <w:widowControl w:val="0"/>
              <w:suppressAutoHyphens w:val="0"/>
              <w:spacing w:before="0" w:after="0" w:line="240" w:lineRule="auto"/>
              <w:jc w:val="right"/>
            </w:pPr>
            <w:r>
              <w:rPr>
                <w:color w:val="1A1B1A"/>
                <w:szCs w:val="17"/>
              </w:rPr>
              <w:t>0.49</w:t>
            </w:r>
          </w:p>
        </w:tc>
        <w:tc>
          <w:tcPr>
            <w:tcW w:w="298" w:type="pct"/>
          </w:tcPr>
          <w:p w14:paraId="1A1F398F"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59BD4FE3" w14:textId="77777777" w:rsidTr="000110FD">
        <w:trPr>
          <w:cantSplit/>
          <w:trHeight w:val="13"/>
        </w:trPr>
        <w:tc>
          <w:tcPr>
            <w:tcW w:w="515" w:type="pct"/>
            <w:gridSpan w:val="2"/>
            <w:vMerge/>
          </w:tcPr>
          <w:p w14:paraId="2293D0A3"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1BB7BAF5"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728C1641"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033E9FDF"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1487E2FD" w14:textId="77777777" w:rsidR="000110FD" w:rsidRPr="00426E98" w:rsidRDefault="000110FD" w:rsidP="00E45161">
            <w:pPr>
              <w:pStyle w:val="TableText"/>
              <w:widowControl w:val="0"/>
              <w:suppressAutoHyphens w:val="0"/>
              <w:spacing w:before="0" w:after="0" w:line="240" w:lineRule="auto"/>
              <w:jc w:val="right"/>
              <w:rPr>
                <w:szCs w:val="17"/>
              </w:rPr>
            </w:pPr>
            <w:r w:rsidRPr="004E5E2D">
              <w:rPr>
                <w:szCs w:val="17"/>
              </w:rPr>
              <w:t>112</w:t>
            </w:r>
            <w:r w:rsidRPr="004E5E2D">
              <w:rPr>
                <w:szCs w:val="17"/>
                <w:vertAlign w:val="superscript"/>
              </w:rPr>
              <w:t>a</w:t>
            </w:r>
          </w:p>
        </w:tc>
        <w:tc>
          <w:tcPr>
            <w:tcW w:w="275" w:type="pct"/>
            <w:tcBorders>
              <w:bottom w:val="single" w:sz="4" w:space="0" w:color="auto"/>
            </w:tcBorders>
          </w:tcPr>
          <w:p w14:paraId="3C1BC780" w14:textId="77777777" w:rsidR="000110FD" w:rsidRDefault="000110FD" w:rsidP="00E45161">
            <w:pPr>
              <w:pStyle w:val="TableText"/>
              <w:widowControl w:val="0"/>
              <w:suppressAutoHyphens w:val="0"/>
              <w:spacing w:before="0" w:after="0" w:line="240" w:lineRule="auto"/>
              <w:jc w:val="right"/>
              <w:rPr>
                <w:szCs w:val="17"/>
              </w:rPr>
            </w:pPr>
            <w:r>
              <w:rPr>
                <w:szCs w:val="17"/>
              </w:rPr>
              <w:t>24</w:t>
            </w:r>
          </w:p>
        </w:tc>
        <w:tc>
          <w:tcPr>
            <w:tcW w:w="485" w:type="pct"/>
            <w:tcBorders>
              <w:bottom w:val="single" w:sz="4" w:space="0" w:color="auto"/>
            </w:tcBorders>
          </w:tcPr>
          <w:p w14:paraId="10C13DD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606E076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781E808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4536EA1B" w14:textId="77777777" w:rsidR="000110FD" w:rsidRPr="003B78B6" w:rsidRDefault="000110FD" w:rsidP="00E45161">
            <w:pPr>
              <w:pStyle w:val="TableText"/>
              <w:widowControl w:val="0"/>
              <w:suppressAutoHyphens w:val="0"/>
              <w:spacing w:before="0" w:after="0" w:line="240" w:lineRule="auto"/>
              <w:jc w:val="right"/>
            </w:pPr>
            <w:r>
              <w:rPr>
                <w:color w:val="1A1B1A"/>
                <w:szCs w:val="17"/>
              </w:rPr>
              <w:t>2.7</w:t>
            </w:r>
          </w:p>
        </w:tc>
        <w:tc>
          <w:tcPr>
            <w:tcW w:w="298" w:type="pct"/>
            <w:tcBorders>
              <w:bottom w:val="single" w:sz="4" w:space="0" w:color="auto"/>
            </w:tcBorders>
          </w:tcPr>
          <w:p w14:paraId="66BFE6E5" w14:textId="77777777" w:rsidR="000110FD" w:rsidRPr="000056F1"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6B09DE44" w14:textId="77777777" w:rsidR="000110FD" w:rsidRPr="00721FF0" w:rsidRDefault="000110FD" w:rsidP="00E45161">
            <w:pPr>
              <w:pStyle w:val="TableText"/>
              <w:widowControl w:val="0"/>
              <w:suppressAutoHyphens w:val="0"/>
              <w:spacing w:before="0" w:after="0" w:line="240" w:lineRule="auto"/>
              <w:jc w:val="right"/>
            </w:pPr>
            <w:r>
              <w:rPr>
                <w:color w:val="1A1B1A"/>
                <w:szCs w:val="17"/>
              </w:rPr>
              <w:t>0.13</w:t>
            </w:r>
          </w:p>
        </w:tc>
        <w:tc>
          <w:tcPr>
            <w:tcW w:w="298" w:type="pct"/>
            <w:tcBorders>
              <w:bottom w:val="single" w:sz="4" w:space="0" w:color="auto"/>
            </w:tcBorders>
          </w:tcPr>
          <w:p w14:paraId="74A0D94D" w14:textId="77777777" w:rsidR="000110FD" w:rsidRPr="0027505E" w:rsidRDefault="000110FD" w:rsidP="00E45161">
            <w:pPr>
              <w:pStyle w:val="TableText"/>
              <w:widowControl w:val="0"/>
              <w:suppressAutoHyphens w:val="0"/>
              <w:spacing w:before="0" w:after="0" w:line="240" w:lineRule="auto"/>
              <w:jc w:val="right"/>
            </w:pPr>
            <w:r>
              <w:rPr>
                <w:color w:val="1A1B1A"/>
                <w:szCs w:val="17"/>
              </w:rPr>
              <w:t>188</w:t>
            </w:r>
          </w:p>
        </w:tc>
      </w:tr>
      <w:tr w:rsidR="000110FD" w:rsidRPr="0027505E" w14:paraId="095B4BFE" w14:textId="77777777" w:rsidTr="000110FD">
        <w:trPr>
          <w:cantSplit/>
          <w:trHeight w:val="13"/>
        </w:trPr>
        <w:tc>
          <w:tcPr>
            <w:tcW w:w="515" w:type="pct"/>
            <w:gridSpan w:val="2"/>
            <w:vMerge/>
          </w:tcPr>
          <w:p w14:paraId="4EAEAD7A" w14:textId="77777777" w:rsidR="000110FD" w:rsidRDefault="000110FD" w:rsidP="00303DF5">
            <w:pPr>
              <w:pStyle w:val="TableText"/>
              <w:widowControl w:val="0"/>
              <w:suppressAutoHyphens w:val="0"/>
              <w:spacing w:before="0" w:after="0" w:line="240" w:lineRule="auto"/>
              <w:rPr>
                <w:szCs w:val="17"/>
              </w:rPr>
            </w:pPr>
          </w:p>
        </w:tc>
        <w:tc>
          <w:tcPr>
            <w:tcW w:w="467" w:type="pct"/>
            <w:vMerge w:val="restart"/>
            <w:tcBorders>
              <w:top w:val="single" w:sz="4" w:space="0" w:color="auto"/>
            </w:tcBorders>
          </w:tcPr>
          <w:p w14:paraId="1E41FE62"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64C8C001" w14:textId="77777777" w:rsidR="000110FD" w:rsidRDefault="000110FD" w:rsidP="00303DF5">
            <w:pPr>
              <w:pStyle w:val="TableText"/>
              <w:widowControl w:val="0"/>
              <w:suppressAutoHyphens w:val="0"/>
              <w:spacing w:before="0" w:after="0" w:line="240" w:lineRule="auto"/>
              <w:rPr>
                <w:szCs w:val="17"/>
              </w:rPr>
            </w:pPr>
            <w:r>
              <w:rPr>
                <w:szCs w:val="17"/>
              </w:rPr>
              <w:t>All season</w:t>
            </w:r>
          </w:p>
        </w:tc>
        <w:tc>
          <w:tcPr>
            <w:tcW w:w="486" w:type="pct"/>
            <w:tcBorders>
              <w:top w:val="single" w:sz="4" w:space="0" w:color="auto"/>
            </w:tcBorders>
          </w:tcPr>
          <w:p w14:paraId="047ACE5E" w14:textId="77777777" w:rsidR="000110FD" w:rsidRDefault="000110FD" w:rsidP="00303DF5">
            <w:pPr>
              <w:pStyle w:val="TableText"/>
              <w:widowControl w:val="0"/>
              <w:suppressAutoHyphens w:val="0"/>
              <w:spacing w:before="0" w:after="0" w:line="240" w:lineRule="auto"/>
              <w:jc w:val="center"/>
              <w:rPr>
                <w:szCs w:val="17"/>
              </w:rPr>
            </w:pPr>
            <w:r>
              <w:rPr>
                <w:szCs w:val="17"/>
              </w:rPr>
              <w:t>Chronic</w:t>
            </w:r>
          </w:p>
        </w:tc>
        <w:tc>
          <w:tcPr>
            <w:tcW w:w="447" w:type="pct"/>
            <w:tcBorders>
              <w:top w:val="single" w:sz="4" w:space="0" w:color="auto"/>
            </w:tcBorders>
            <w:shd w:val="clear" w:color="auto" w:fill="D5D7D5" w:themeFill="text1" w:themeFillTint="33"/>
          </w:tcPr>
          <w:p w14:paraId="764BA41E" w14:textId="77777777" w:rsidR="000110FD" w:rsidRPr="001C7F07" w:rsidRDefault="000110FD" w:rsidP="00E45161">
            <w:pPr>
              <w:pStyle w:val="TableText"/>
              <w:widowControl w:val="0"/>
              <w:suppressAutoHyphens w:val="0"/>
              <w:spacing w:before="0" w:after="0" w:line="240" w:lineRule="auto"/>
              <w:jc w:val="right"/>
              <w:rPr>
                <w:szCs w:val="17"/>
                <w:vertAlign w:val="superscript"/>
              </w:rPr>
            </w:pPr>
            <w:r w:rsidRPr="00176C8A">
              <w:rPr>
                <w:szCs w:val="17"/>
              </w:rPr>
              <w:t>59.3</w:t>
            </w:r>
            <w:r w:rsidRPr="00176C8A">
              <w:rPr>
                <w:szCs w:val="17"/>
                <w:vertAlign w:val="superscript"/>
              </w:rPr>
              <w:t>a</w:t>
            </w:r>
          </w:p>
        </w:tc>
        <w:tc>
          <w:tcPr>
            <w:tcW w:w="275" w:type="pct"/>
            <w:tcBorders>
              <w:top w:val="single" w:sz="4" w:space="0" w:color="auto"/>
            </w:tcBorders>
          </w:tcPr>
          <w:p w14:paraId="4EE40709" w14:textId="77777777" w:rsidR="000110FD" w:rsidRDefault="000110FD" w:rsidP="00E45161">
            <w:pPr>
              <w:pStyle w:val="TableText"/>
              <w:widowControl w:val="0"/>
              <w:suppressAutoHyphens w:val="0"/>
              <w:spacing w:before="0" w:after="0" w:line="240" w:lineRule="auto"/>
              <w:jc w:val="right"/>
              <w:rPr>
                <w:szCs w:val="17"/>
              </w:rPr>
            </w:pPr>
            <w:r>
              <w:rPr>
                <w:szCs w:val="17"/>
              </w:rPr>
              <w:t>560</w:t>
            </w:r>
          </w:p>
        </w:tc>
        <w:tc>
          <w:tcPr>
            <w:tcW w:w="485" w:type="pct"/>
            <w:tcBorders>
              <w:top w:val="single" w:sz="4" w:space="0" w:color="auto"/>
            </w:tcBorders>
          </w:tcPr>
          <w:p w14:paraId="1CEED31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1124E5A3"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top w:val="single" w:sz="4" w:space="0" w:color="auto"/>
            </w:tcBorders>
            <w:shd w:val="clear" w:color="auto" w:fill="D5D7D5" w:themeFill="text1" w:themeFillTint="33"/>
          </w:tcPr>
          <w:p w14:paraId="4F8A4E3E" w14:textId="77777777" w:rsidR="000110FD" w:rsidRDefault="000110FD" w:rsidP="00E45161">
            <w:pPr>
              <w:pStyle w:val="TableText"/>
              <w:widowControl w:val="0"/>
              <w:suppressAutoHyphens w:val="0"/>
              <w:spacing w:before="0" w:after="0" w:line="240" w:lineRule="auto"/>
              <w:jc w:val="right"/>
              <w:rPr>
                <w:szCs w:val="17"/>
              </w:rPr>
            </w:pPr>
            <w:r>
              <w:rPr>
                <w:szCs w:val="17"/>
              </w:rPr>
              <w:t>0.11</w:t>
            </w:r>
            <w:r w:rsidRPr="004D5BA8">
              <w:rPr>
                <w:szCs w:val="17"/>
                <w:vertAlign w:val="superscript"/>
              </w:rPr>
              <w:t>d</w:t>
            </w:r>
          </w:p>
        </w:tc>
        <w:tc>
          <w:tcPr>
            <w:tcW w:w="297" w:type="pct"/>
            <w:tcBorders>
              <w:top w:val="single" w:sz="4" w:space="0" w:color="auto"/>
            </w:tcBorders>
          </w:tcPr>
          <w:p w14:paraId="07E88AED" w14:textId="77777777" w:rsidR="000110FD" w:rsidRPr="003B78B6" w:rsidRDefault="000110FD" w:rsidP="00E45161">
            <w:pPr>
              <w:pStyle w:val="TableText"/>
              <w:widowControl w:val="0"/>
              <w:suppressAutoHyphens w:val="0"/>
              <w:spacing w:before="0" w:after="0" w:line="240" w:lineRule="auto"/>
              <w:jc w:val="right"/>
            </w:pPr>
            <w:r>
              <w:rPr>
                <w:color w:val="1A1B1A"/>
                <w:szCs w:val="17"/>
              </w:rPr>
              <w:t>1.8</w:t>
            </w:r>
          </w:p>
        </w:tc>
        <w:tc>
          <w:tcPr>
            <w:tcW w:w="298" w:type="pct"/>
            <w:tcBorders>
              <w:top w:val="single" w:sz="4" w:space="0" w:color="auto"/>
            </w:tcBorders>
          </w:tcPr>
          <w:p w14:paraId="7F2656DF"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Borders>
              <w:top w:val="single" w:sz="4" w:space="0" w:color="auto"/>
            </w:tcBorders>
          </w:tcPr>
          <w:p w14:paraId="7CDFB2BA" w14:textId="77777777" w:rsidR="000110FD" w:rsidRPr="00721FF0" w:rsidRDefault="000110FD" w:rsidP="00E45161">
            <w:pPr>
              <w:pStyle w:val="TableText"/>
              <w:widowControl w:val="0"/>
              <w:suppressAutoHyphens w:val="0"/>
              <w:spacing w:before="0" w:after="0" w:line="240" w:lineRule="auto"/>
              <w:jc w:val="right"/>
            </w:pPr>
            <w:r>
              <w:rPr>
                <w:color w:val="1A1B1A"/>
                <w:szCs w:val="17"/>
              </w:rPr>
              <w:t>0.46</w:t>
            </w:r>
          </w:p>
        </w:tc>
        <w:tc>
          <w:tcPr>
            <w:tcW w:w="298" w:type="pct"/>
            <w:tcBorders>
              <w:top w:val="single" w:sz="4" w:space="0" w:color="auto"/>
            </w:tcBorders>
          </w:tcPr>
          <w:p w14:paraId="2CD88461"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5CCF7A94" w14:textId="77777777" w:rsidTr="000110FD">
        <w:trPr>
          <w:cantSplit/>
          <w:trHeight w:val="13"/>
        </w:trPr>
        <w:tc>
          <w:tcPr>
            <w:tcW w:w="515" w:type="pct"/>
            <w:gridSpan w:val="2"/>
            <w:vMerge/>
          </w:tcPr>
          <w:p w14:paraId="0E7EFF15"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390C77C2"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2E5B30FC" w14:textId="77777777" w:rsidR="000110FD" w:rsidRDefault="000110FD" w:rsidP="00303DF5">
            <w:pPr>
              <w:pStyle w:val="TableText"/>
              <w:widowControl w:val="0"/>
              <w:suppressAutoHyphens w:val="0"/>
              <w:spacing w:before="0" w:after="0" w:line="240" w:lineRule="auto"/>
              <w:rPr>
                <w:szCs w:val="17"/>
              </w:rPr>
            </w:pPr>
          </w:p>
        </w:tc>
        <w:tc>
          <w:tcPr>
            <w:tcW w:w="486" w:type="pct"/>
          </w:tcPr>
          <w:p w14:paraId="7B72EF69"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0357945F"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51E3B27D" w14:textId="77777777" w:rsidR="000110FD" w:rsidRDefault="000110FD" w:rsidP="00E45161">
            <w:pPr>
              <w:pStyle w:val="TableText"/>
              <w:widowControl w:val="0"/>
              <w:suppressAutoHyphens w:val="0"/>
              <w:spacing w:before="0" w:after="0" w:line="240" w:lineRule="auto"/>
              <w:jc w:val="right"/>
              <w:rPr>
                <w:szCs w:val="17"/>
              </w:rPr>
            </w:pPr>
            <w:r>
              <w:rPr>
                <w:szCs w:val="17"/>
              </w:rPr>
              <w:t>533</w:t>
            </w:r>
          </w:p>
        </w:tc>
        <w:tc>
          <w:tcPr>
            <w:tcW w:w="485" w:type="pct"/>
          </w:tcPr>
          <w:p w14:paraId="2743452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5AC161B4"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47CE237C"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4A3437DE" w14:textId="77777777" w:rsidR="000110FD" w:rsidRPr="003B78B6" w:rsidRDefault="000110FD" w:rsidP="00E45161">
            <w:pPr>
              <w:pStyle w:val="TableText"/>
              <w:widowControl w:val="0"/>
              <w:suppressAutoHyphens w:val="0"/>
              <w:spacing w:before="0" w:after="0" w:line="240" w:lineRule="auto"/>
              <w:jc w:val="right"/>
            </w:pPr>
            <w:r>
              <w:rPr>
                <w:color w:val="1A1B1A"/>
                <w:szCs w:val="17"/>
              </w:rPr>
              <w:t>1.7</w:t>
            </w:r>
          </w:p>
        </w:tc>
        <w:tc>
          <w:tcPr>
            <w:tcW w:w="298" w:type="pct"/>
          </w:tcPr>
          <w:p w14:paraId="50502819"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2E1F28DD" w14:textId="77777777" w:rsidR="000110FD" w:rsidRPr="00721FF0" w:rsidRDefault="000110FD" w:rsidP="00E45161">
            <w:pPr>
              <w:pStyle w:val="TableText"/>
              <w:widowControl w:val="0"/>
              <w:suppressAutoHyphens w:val="0"/>
              <w:spacing w:before="0" w:after="0" w:line="240" w:lineRule="auto"/>
              <w:jc w:val="right"/>
            </w:pPr>
            <w:r>
              <w:rPr>
                <w:color w:val="1A1B1A"/>
                <w:szCs w:val="17"/>
              </w:rPr>
              <w:t>0.43</w:t>
            </w:r>
          </w:p>
        </w:tc>
        <w:tc>
          <w:tcPr>
            <w:tcW w:w="298" w:type="pct"/>
          </w:tcPr>
          <w:p w14:paraId="7C6F81B2"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1D7D73A5" w14:textId="77777777" w:rsidTr="000110FD">
        <w:trPr>
          <w:cantSplit/>
          <w:trHeight w:val="13"/>
        </w:trPr>
        <w:tc>
          <w:tcPr>
            <w:tcW w:w="515" w:type="pct"/>
            <w:gridSpan w:val="2"/>
            <w:vMerge/>
          </w:tcPr>
          <w:p w14:paraId="1E9E75C8"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4019305B"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2160DD77" w14:textId="77777777" w:rsidR="000110FD" w:rsidRDefault="000110FD" w:rsidP="00303DF5">
            <w:pPr>
              <w:pStyle w:val="TableText"/>
              <w:widowControl w:val="0"/>
              <w:suppressAutoHyphens w:val="0"/>
              <w:spacing w:before="0" w:after="0" w:line="240" w:lineRule="auto"/>
              <w:rPr>
                <w:szCs w:val="17"/>
              </w:rPr>
            </w:pPr>
          </w:p>
        </w:tc>
        <w:tc>
          <w:tcPr>
            <w:tcW w:w="486" w:type="pct"/>
          </w:tcPr>
          <w:p w14:paraId="1C1CDFDF"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1AC525FC"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184F0253"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485" w:type="pct"/>
          </w:tcPr>
          <w:p w14:paraId="2A18F27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A1A5736"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7F906AE3"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6261701D" w14:textId="77777777" w:rsidR="000110FD" w:rsidRPr="003B78B6" w:rsidRDefault="000110FD" w:rsidP="00E45161">
            <w:pPr>
              <w:pStyle w:val="TableText"/>
              <w:widowControl w:val="0"/>
              <w:suppressAutoHyphens w:val="0"/>
              <w:spacing w:before="0" w:after="0" w:line="240" w:lineRule="auto"/>
              <w:jc w:val="right"/>
            </w:pPr>
            <w:r>
              <w:rPr>
                <w:color w:val="1A1B1A"/>
                <w:szCs w:val="17"/>
              </w:rPr>
              <w:t>1.2</w:t>
            </w:r>
          </w:p>
        </w:tc>
        <w:tc>
          <w:tcPr>
            <w:tcW w:w="298" w:type="pct"/>
          </w:tcPr>
          <w:p w14:paraId="4F16E6DF"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3CA3C6CA" w14:textId="77777777" w:rsidR="000110FD" w:rsidRPr="00721FF0" w:rsidRDefault="000110FD" w:rsidP="00E45161">
            <w:pPr>
              <w:pStyle w:val="TableText"/>
              <w:widowControl w:val="0"/>
              <w:suppressAutoHyphens w:val="0"/>
              <w:spacing w:before="0" w:after="0" w:line="240" w:lineRule="auto"/>
              <w:jc w:val="right"/>
            </w:pPr>
            <w:r>
              <w:rPr>
                <w:color w:val="1A1B1A"/>
                <w:szCs w:val="17"/>
              </w:rPr>
              <w:t>0.30</w:t>
            </w:r>
          </w:p>
        </w:tc>
        <w:tc>
          <w:tcPr>
            <w:tcW w:w="298" w:type="pct"/>
          </w:tcPr>
          <w:p w14:paraId="720DFBB0"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3C27F86E" w14:textId="77777777" w:rsidTr="000110FD">
        <w:trPr>
          <w:cantSplit/>
          <w:trHeight w:val="13"/>
        </w:trPr>
        <w:tc>
          <w:tcPr>
            <w:tcW w:w="515" w:type="pct"/>
            <w:gridSpan w:val="2"/>
            <w:vMerge/>
          </w:tcPr>
          <w:p w14:paraId="70CA3936"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901B645"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71BA2D09" w14:textId="77777777" w:rsidR="000110FD" w:rsidRDefault="000110FD" w:rsidP="00303DF5">
            <w:pPr>
              <w:pStyle w:val="TableText"/>
              <w:widowControl w:val="0"/>
              <w:suppressAutoHyphens w:val="0"/>
              <w:spacing w:before="0" w:after="0" w:line="240" w:lineRule="auto"/>
              <w:rPr>
                <w:szCs w:val="17"/>
              </w:rPr>
            </w:pPr>
          </w:p>
        </w:tc>
        <w:tc>
          <w:tcPr>
            <w:tcW w:w="486" w:type="pct"/>
          </w:tcPr>
          <w:p w14:paraId="0E5EA669"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022D299"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32F62A39" w14:textId="77777777" w:rsidR="000110FD" w:rsidRDefault="000110FD" w:rsidP="00E45161">
            <w:pPr>
              <w:pStyle w:val="TableText"/>
              <w:widowControl w:val="0"/>
              <w:suppressAutoHyphens w:val="0"/>
              <w:spacing w:before="0" w:after="0" w:line="240" w:lineRule="auto"/>
              <w:jc w:val="right"/>
              <w:rPr>
                <w:szCs w:val="17"/>
              </w:rPr>
            </w:pPr>
            <w:r>
              <w:rPr>
                <w:szCs w:val="17"/>
              </w:rPr>
              <w:t>276</w:t>
            </w:r>
          </w:p>
        </w:tc>
        <w:tc>
          <w:tcPr>
            <w:tcW w:w="485" w:type="pct"/>
          </w:tcPr>
          <w:p w14:paraId="28BEA31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3483E07B"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4247A5D3"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51B17302" w14:textId="77777777" w:rsidR="000110FD" w:rsidRPr="003B78B6" w:rsidRDefault="000110FD" w:rsidP="00E45161">
            <w:pPr>
              <w:pStyle w:val="TableText"/>
              <w:widowControl w:val="0"/>
              <w:suppressAutoHyphens w:val="0"/>
              <w:spacing w:before="0" w:after="0" w:line="240" w:lineRule="auto"/>
              <w:jc w:val="right"/>
            </w:pPr>
            <w:r>
              <w:rPr>
                <w:color w:val="1A1B1A"/>
                <w:szCs w:val="17"/>
              </w:rPr>
              <w:t>0.90</w:t>
            </w:r>
          </w:p>
        </w:tc>
        <w:tc>
          <w:tcPr>
            <w:tcW w:w="298" w:type="pct"/>
          </w:tcPr>
          <w:p w14:paraId="1F95E806"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54F2EEEB" w14:textId="77777777" w:rsidR="000110FD" w:rsidRPr="00721FF0" w:rsidRDefault="000110FD" w:rsidP="00E45161">
            <w:pPr>
              <w:pStyle w:val="TableText"/>
              <w:widowControl w:val="0"/>
              <w:suppressAutoHyphens w:val="0"/>
              <w:spacing w:before="0" w:after="0" w:line="240" w:lineRule="auto"/>
              <w:jc w:val="right"/>
            </w:pPr>
            <w:r>
              <w:rPr>
                <w:color w:val="1A1B1A"/>
                <w:szCs w:val="17"/>
              </w:rPr>
              <w:t>0.23</w:t>
            </w:r>
          </w:p>
        </w:tc>
        <w:tc>
          <w:tcPr>
            <w:tcW w:w="298" w:type="pct"/>
          </w:tcPr>
          <w:p w14:paraId="06C484D1"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0E0A8DB7" w14:textId="77777777" w:rsidTr="000110FD">
        <w:trPr>
          <w:cantSplit/>
          <w:trHeight w:val="13"/>
        </w:trPr>
        <w:tc>
          <w:tcPr>
            <w:tcW w:w="515" w:type="pct"/>
            <w:gridSpan w:val="2"/>
            <w:vMerge/>
          </w:tcPr>
          <w:p w14:paraId="647257C5"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19E092B"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76D27FF9" w14:textId="77777777" w:rsidR="000110FD" w:rsidRDefault="000110FD" w:rsidP="00303DF5">
            <w:pPr>
              <w:pStyle w:val="TableText"/>
              <w:widowControl w:val="0"/>
              <w:suppressAutoHyphens w:val="0"/>
              <w:spacing w:before="0" w:after="0" w:line="240" w:lineRule="auto"/>
              <w:rPr>
                <w:szCs w:val="17"/>
              </w:rPr>
            </w:pPr>
          </w:p>
        </w:tc>
        <w:tc>
          <w:tcPr>
            <w:tcW w:w="486" w:type="pct"/>
          </w:tcPr>
          <w:p w14:paraId="04846CFF"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75617B9"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6CD91109"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485" w:type="pct"/>
          </w:tcPr>
          <w:p w14:paraId="5E6F77A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754D7B4F"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38807066"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3264C5B5" w14:textId="77777777" w:rsidR="000110FD" w:rsidRPr="003B78B6" w:rsidRDefault="000110FD" w:rsidP="00E45161">
            <w:pPr>
              <w:pStyle w:val="TableText"/>
              <w:widowControl w:val="0"/>
              <w:suppressAutoHyphens w:val="0"/>
              <w:spacing w:before="0" w:after="0" w:line="240" w:lineRule="auto"/>
              <w:jc w:val="right"/>
            </w:pPr>
            <w:r>
              <w:rPr>
                <w:color w:val="1A1B1A"/>
                <w:szCs w:val="17"/>
              </w:rPr>
              <w:t>0.60</w:t>
            </w:r>
          </w:p>
        </w:tc>
        <w:tc>
          <w:tcPr>
            <w:tcW w:w="298" w:type="pct"/>
          </w:tcPr>
          <w:p w14:paraId="5F01839F"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582366EB" w14:textId="77777777" w:rsidR="000110FD" w:rsidRPr="00721FF0" w:rsidRDefault="000110FD" w:rsidP="00E45161">
            <w:pPr>
              <w:pStyle w:val="TableText"/>
              <w:widowControl w:val="0"/>
              <w:suppressAutoHyphens w:val="0"/>
              <w:spacing w:before="0" w:after="0" w:line="240" w:lineRule="auto"/>
              <w:jc w:val="right"/>
            </w:pPr>
            <w:r>
              <w:rPr>
                <w:color w:val="1A1B1A"/>
                <w:szCs w:val="17"/>
              </w:rPr>
              <w:t>0.15</w:t>
            </w:r>
          </w:p>
        </w:tc>
        <w:tc>
          <w:tcPr>
            <w:tcW w:w="298" w:type="pct"/>
          </w:tcPr>
          <w:p w14:paraId="61301E62"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0483F0FC" w14:textId="77777777" w:rsidTr="000110FD">
        <w:trPr>
          <w:cantSplit/>
          <w:trHeight w:val="13"/>
        </w:trPr>
        <w:tc>
          <w:tcPr>
            <w:tcW w:w="515" w:type="pct"/>
            <w:gridSpan w:val="2"/>
            <w:vMerge/>
          </w:tcPr>
          <w:p w14:paraId="45EB5F7A"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71BA956C"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1E0342BA" w14:textId="77777777" w:rsidR="000110FD" w:rsidRDefault="000110FD" w:rsidP="00303DF5">
            <w:pPr>
              <w:pStyle w:val="TableText"/>
              <w:widowControl w:val="0"/>
              <w:suppressAutoHyphens w:val="0"/>
              <w:spacing w:before="0" w:after="0" w:line="240" w:lineRule="auto"/>
              <w:rPr>
                <w:szCs w:val="17"/>
              </w:rPr>
            </w:pPr>
          </w:p>
        </w:tc>
        <w:tc>
          <w:tcPr>
            <w:tcW w:w="486" w:type="pct"/>
          </w:tcPr>
          <w:p w14:paraId="7E23A206"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380BB2D2"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33D7F8D5" w14:textId="77777777" w:rsidR="000110FD" w:rsidRDefault="000110FD" w:rsidP="00E45161">
            <w:pPr>
              <w:pStyle w:val="TableText"/>
              <w:widowControl w:val="0"/>
              <w:suppressAutoHyphens w:val="0"/>
              <w:spacing w:before="0" w:after="0" w:line="240" w:lineRule="auto"/>
              <w:jc w:val="right"/>
              <w:rPr>
                <w:szCs w:val="17"/>
              </w:rPr>
            </w:pPr>
            <w:r>
              <w:rPr>
                <w:szCs w:val="17"/>
              </w:rPr>
              <w:t>173</w:t>
            </w:r>
          </w:p>
        </w:tc>
        <w:tc>
          <w:tcPr>
            <w:tcW w:w="485" w:type="pct"/>
          </w:tcPr>
          <w:p w14:paraId="7F71D55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D12AC98"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60742765"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63184846" w14:textId="77777777" w:rsidR="000110FD" w:rsidRPr="003B78B6" w:rsidRDefault="000110FD" w:rsidP="00E45161">
            <w:pPr>
              <w:pStyle w:val="TableText"/>
              <w:widowControl w:val="0"/>
              <w:suppressAutoHyphens w:val="0"/>
              <w:spacing w:before="0" w:after="0" w:line="240" w:lineRule="auto"/>
              <w:jc w:val="right"/>
            </w:pPr>
            <w:r>
              <w:rPr>
                <w:color w:val="1A1B1A"/>
                <w:szCs w:val="17"/>
              </w:rPr>
              <w:t>0.56</w:t>
            </w:r>
          </w:p>
        </w:tc>
        <w:tc>
          <w:tcPr>
            <w:tcW w:w="298" w:type="pct"/>
          </w:tcPr>
          <w:p w14:paraId="35998590"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5DA5C0E0" w14:textId="77777777" w:rsidR="000110FD" w:rsidRPr="00721FF0" w:rsidRDefault="000110FD" w:rsidP="00E45161">
            <w:pPr>
              <w:pStyle w:val="TableText"/>
              <w:widowControl w:val="0"/>
              <w:suppressAutoHyphens w:val="0"/>
              <w:spacing w:before="0" w:after="0" w:line="240" w:lineRule="auto"/>
              <w:jc w:val="right"/>
            </w:pPr>
            <w:r>
              <w:rPr>
                <w:color w:val="1A1B1A"/>
                <w:szCs w:val="17"/>
              </w:rPr>
              <w:t>0.14</w:t>
            </w:r>
          </w:p>
        </w:tc>
        <w:tc>
          <w:tcPr>
            <w:tcW w:w="298" w:type="pct"/>
          </w:tcPr>
          <w:p w14:paraId="3AE529DE"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72BA44B5" w14:textId="77777777" w:rsidTr="000110FD">
        <w:trPr>
          <w:cantSplit/>
          <w:trHeight w:val="13"/>
        </w:trPr>
        <w:tc>
          <w:tcPr>
            <w:tcW w:w="515" w:type="pct"/>
            <w:gridSpan w:val="2"/>
            <w:vMerge/>
          </w:tcPr>
          <w:p w14:paraId="54C0A406"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7D616805"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1CE092F6" w14:textId="77777777" w:rsidR="000110FD" w:rsidRDefault="000110FD" w:rsidP="00303DF5">
            <w:pPr>
              <w:pStyle w:val="TableText"/>
              <w:widowControl w:val="0"/>
              <w:suppressAutoHyphens w:val="0"/>
              <w:spacing w:before="0" w:after="0" w:line="240" w:lineRule="auto"/>
              <w:rPr>
                <w:szCs w:val="17"/>
              </w:rPr>
            </w:pPr>
          </w:p>
        </w:tc>
        <w:tc>
          <w:tcPr>
            <w:tcW w:w="486" w:type="pct"/>
          </w:tcPr>
          <w:p w14:paraId="6E72A6AE"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3F714DB5"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78BEF330" w14:textId="77777777" w:rsidR="000110FD" w:rsidRDefault="000110FD" w:rsidP="00E45161">
            <w:pPr>
              <w:pStyle w:val="TableText"/>
              <w:widowControl w:val="0"/>
              <w:suppressAutoHyphens w:val="0"/>
              <w:spacing w:before="0" w:after="0" w:line="240" w:lineRule="auto"/>
              <w:jc w:val="right"/>
              <w:rPr>
                <w:szCs w:val="17"/>
              </w:rPr>
            </w:pPr>
            <w:r>
              <w:rPr>
                <w:szCs w:val="17"/>
              </w:rPr>
              <w:t>138</w:t>
            </w:r>
          </w:p>
        </w:tc>
        <w:tc>
          <w:tcPr>
            <w:tcW w:w="485" w:type="pct"/>
          </w:tcPr>
          <w:p w14:paraId="508481D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06768D7F"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0D1EF9F0"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78671386" w14:textId="77777777" w:rsidR="000110FD" w:rsidRPr="003B78B6" w:rsidRDefault="000110FD" w:rsidP="00E45161">
            <w:pPr>
              <w:pStyle w:val="TableText"/>
              <w:widowControl w:val="0"/>
              <w:suppressAutoHyphens w:val="0"/>
              <w:spacing w:before="0" w:after="0" w:line="240" w:lineRule="auto"/>
              <w:jc w:val="right"/>
            </w:pPr>
            <w:r>
              <w:rPr>
                <w:color w:val="1A1B1A"/>
                <w:szCs w:val="17"/>
              </w:rPr>
              <w:t>0.45</w:t>
            </w:r>
          </w:p>
        </w:tc>
        <w:tc>
          <w:tcPr>
            <w:tcW w:w="298" w:type="pct"/>
          </w:tcPr>
          <w:p w14:paraId="2564E362"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2A73E911" w14:textId="77777777" w:rsidR="000110FD" w:rsidRPr="00721FF0" w:rsidRDefault="000110FD" w:rsidP="00E45161">
            <w:pPr>
              <w:pStyle w:val="TableText"/>
              <w:widowControl w:val="0"/>
              <w:suppressAutoHyphens w:val="0"/>
              <w:spacing w:before="0" w:after="0" w:line="240" w:lineRule="auto"/>
              <w:jc w:val="right"/>
            </w:pPr>
            <w:r>
              <w:rPr>
                <w:color w:val="1A1B1A"/>
                <w:szCs w:val="17"/>
              </w:rPr>
              <w:t>0.11</w:t>
            </w:r>
          </w:p>
        </w:tc>
        <w:tc>
          <w:tcPr>
            <w:tcW w:w="298" w:type="pct"/>
          </w:tcPr>
          <w:p w14:paraId="3BC0E913"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33354856" w14:textId="77777777" w:rsidTr="000110FD">
        <w:trPr>
          <w:cantSplit/>
          <w:trHeight w:val="13"/>
        </w:trPr>
        <w:tc>
          <w:tcPr>
            <w:tcW w:w="515" w:type="pct"/>
            <w:gridSpan w:val="2"/>
            <w:vMerge/>
          </w:tcPr>
          <w:p w14:paraId="6EEAC68B"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3FCFA6D3"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1C3FCEE3" w14:textId="77777777" w:rsidR="000110FD" w:rsidRDefault="000110FD" w:rsidP="00303DF5">
            <w:pPr>
              <w:pStyle w:val="TableText"/>
              <w:widowControl w:val="0"/>
              <w:suppressAutoHyphens w:val="0"/>
              <w:spacing w:before="0" w:after="0" w:line="240" w:lineRule="auto"/>
              <w:rPr>
                <w:szCs w:val="17"/>
              </w:rPr>
            </w:pPr>
          </w:p>
        </w:tc>
        <w:tc>
          <w:tcPr>
            <w:tcW w:w="486" w:type="pct"/>
          </w:tcPr>
          <w:p w14:paraId="56F092F6"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642BF8E"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Pr>
          <w:p w14:paraId="29BBA2C6" w14:textId="77777777" w:rsidR="000110FD" w:rsidRDefault="000110FD" w:rsidP="00E45161">
            <w:pPr>
              <w:pStyle w:val="TableText"/>
              <w:widowControl w:val="0"/>
              <w:suppressAutoHyphens w:val="0"/>
              <w:spacing w:before="0" w:after="0" w:line="240" w:lineRule="auto"/>
              <w:jc w:val="right"/>
              <w:rPr>
                <w:szCs w:val="17"/>
              </w:rPr>
            </w:pPr>
            <w:r>
              <w:rPr>
                <w:szCs w:val="17"/>
              </w:rPr>
              <w:t>92</w:t>
            </w:r>
          </w:p>
        </w:tc>
        <w:tc>
          <w:tcPr>
            <w:tcW w:w="485" w:type="pct"/>
          </w:tcPr>
          <w:p w14:paraId="1E6046E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6E8C852C"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1FDDDBDA"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Pr>
          <w:p w14:paraId="1D47FF35" w14:textId="77777777" w:rsidR="000110FD" w:rsidRPr="003B78B6" w:rsidRDefault="000110FD" w:rsidP="00E45161">
            <w:pPr>
              <w:pStyle w:val="TableText"/>
              <w:widowControl w:val="0"/>
              <w:suppressAutoHyphens w:val="0"/>
              <w:spacing w:before="0" w:after="0" w:line="240" w:lineRule="auto"/>
              <w:jc w:val="right"/>
            </w:pPr>
            <w:r>
              <w:rPr>
                <w:color w:val="1A1B1A"/>
                <w:szCs w:val="17"/>
              </w:rPr>
              <w:t>0.30</w:t>
            </w:r>
          </w:p>
        </w:tc>
        <w:tc>
          <w:tcPr>
            <w:tcW w:w="298" w:type="pct"/>
          </w:tcPr>
          <w:p w14:paraId="6E1652E4"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Pr>
          <w:p w14:paraId="6976EF55" w14:textId="77777777" w:rsidR="000110FD" w:rsidRPr="00721FF0" w:rsidRDefault="000110FD" w:rsidP="00E45161">
            <w:pPr>
              <w:pStyle w:val="TableText"/>
              <w:widowControl w:val="0"/>
              <w:suppressAutoHyphens w:val="0"/>
              <w:spacing w:before="0" w:after="0" w:line="240" w:lineRule="auto"/>
              <w:jc w:val="right"/>
            </w:pPr>
            <w:r>
              <w:rPr>
                <w:color w:val="1A1B1A"/>
                <w:szCs w:val="17"/>
              </w:rPr>
              <w:t>0.08</w:t>
            </w:r>
          </w:p>
        </w:tc>
        <w:tc>
          <w:tcPr>
            <w:tcW w:w="298" w:type="pct"/>
          </w:tcPr>
          <w:p w14:paraId="12C88F7C"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4717C8B9" w14:textId="77777777" w:rsidTr="000110FD">
        <w:trPr>
          <w:cantSplit/>
          <w:trHeight w:val="13"/>
        </w:trPr>
        <w:tc>
          <w:tcPr>
            <w:tcW w:w="515" w:type="pct"/>
            <w:gridSpan w:val="2"/>
            <w:vMerge/>
            <w:tcBorders>
              <w:bottom w:val="single" w:sz="4" w:space="0" w:color="auto"/>
            </w:tcBorders>
          </w:tcPr>
          <w:p w14:paraId="1E24DF3D"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0794F264"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7823A7E3"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0AECAD33"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34BD2936" w14:textId="77777777" w:rsidR="000110FD" w:rsidRPr="00426E98" w:rsidRDefault="000110FD" w:rsidP="00E45161">
            <w:pPr>
              <w:pStyle w:val="TableText"/>
              <w:widowControl w:val="0"/>
              <w:suppressAutoHyphens w:val="0"/>
              <w:spacing w:before="0" w:after="0" w:line="240" w:lineRule="auto"/>
              <w:jc w:val="right"/>
              <w:rPr>
                <w:szCs w:val="17"/>
              </w:rPr>
            </w:pPr>
            <w:r w:rsidRPr="00176C8A">
              <w:rPr>
                <w:szCs w:val="17"/>
              </w:rPr>
              <w:t>59.3</w:t>
            </w:r>
            <w:r w:rsidRPr="00176C8A">
              <w:rPr>
                <w:szCs w:val="17"/>
                <w:vertAlign w:val="superscript"/>
              </w:rPr>
              <w:t>a</w:t>
            </w:r>
          </w:p>
        </w:tc>
        <w:tc>
          <w:tcPr>
            <w:tcW w:w="275" w:type="pct"/>
            <w:tcBorders>
              <w:bottom w:val="single" w:sz="4" w:space="0" w:color="auto"/>
            </w:tcBorders>
          </w:tcPr>
          <w:p w14:paraId="57E2D27C" w14:textId="77777777" w:rsidR="000110FD" w:rsidRDefault="000110FD" w:rsidP="00E45161">
            <w:pPr>
              <w:pStyle w:val="TableText"/>
              <w:widowControl w:val="0"/>
              <w:suppressAutoHyphens w:val="0"/>
              <w:spacing w:before="0" w:after="0" w:line="240" w:lineRule="auto"/>
              <w:jc w:val="right"/>
              <w:rPr>
                <w:szCs w:val="17"/>
              </w:rPr>
            </w:pPr>
            <w:r>
              <w:rPr>
                <w:szCs w:val="17"/>
              </w:rPr>
              <w:t>24</w:t>
            </w:r>
          </w:p>
        </w:tc>
        <w:tc>
          <w:tcPr>
            <w:tcW w:w="485" w:type="pct"/>
            <w:tcBorders>
              <w:bottom w:val="single" w:sz="4" w:space="0" w:color="auto"/>
            </w:tcBorders>
          </w:tcPr>
          <w:p w14:paraId="33B1BF0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44FA6388"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bottom w:val="single" w:sz="4" w:space="0" w:color="auto"/>
            </w:tcBorders>
            <w:shd w:val="clear" w:color="auto" w:fill="D5D7D5" w:themeFill="text1" w:themeFillTint="33"/>
          </w:tcPr>
          <w:p w14:paraId="54C93923" w14:textId="77777777" w:rsidR="000110FD" w:rsidRDefault="000110FD" w:rsidP="00E45161">
            <w:pPr>
              <w:pStyle w:val="TableText"/>
              <w:widowControl w:val="0"/>
              <w:suppressAutoHyphens w:val="0"/>
              <w:spacing w:before="0" w:after="0" w:line="240" w:lineRule="auto"/>
              <w:jc w:val="right"/>
              <w:rPr>
                <w:szCs w:val="17"/>
              </w:rPr>
            </w:pPr>
            <w:r w:rsidRPr="00D52564">
              <w:rPr>
                <w:szCs w:val="17"/>
              </w:rPr>
              <w:t>0.11</w:t>
            </w:r>
            <w:r w:rsidRPr="00D52564">
              <w:rPr>
                <w:szCs w:val="17"/>
                <w:vertAlign w:val="superscript"/>
              </w:rPr>
              <w:t>d</w:t>
            </w:r>
          </w:p>
        </w:tc>
        <w:tc>
          <w:tcPr>
            <w:tcW w:w="297" w:type="pct"/>
            <w:tcBorders>
              <w:bottom w:val="single" w:sz="4" w:space="0" w:color="auto"/>
            </w:tcBorders>
          </w:tcPr>
          <w:p w14:paraId="46A1E0A9" w14:textId="77777777" w:rsidR="000110FD" w:rsidRPr="003B78B6" w:rsidRDefault="000110FD" w:rsidP="00E45161">
            <w:pPr>
              <w:pStyle w:val="TableText"/>
              <w:widowControl w:val="0"/>
              <w:suppressAutoHyphens w:val="0"/>
              <w:spacing w:before="0" w:after="0" w:line="240" w:lineRule="auto"/>
              <w:jc w:val="right"/>
            </w:pPr>
            <w:r>
              <w:rPr>
                <w:color w:val="1A1B1A"/>
                <w:szCs w:val="17"/>
              </w:rPr>
              <w:t>0.078</w:t>
            </w:r>
          </w:p>
        </w:tc>
        <w:tc>
          <w:tcPr>
            <w:tcW w:w="298" w:type="pct"/>
            <w:tcBorders>
              <w:bottom w:val="single" w:sz="4" w:space="0" w:color="auto"/>
            </w:tcBorders>
          </w:tcPr>
          <w:p w14:paraId="4B349148" w14:textId="77777777" w:rsidR="000110FD" w:rsidRPr="000056F1" w:rsidRDefault="000110FD" w:rsidP="00E45161">
            <w:pPr>
              <w:pStyle w:val="TableText"/>
              <w:widowControl w:val="0"/>
              <w:suppressAutoHyphens w:val="0"/>
              <w:spacing w:before="0" w:after="0" w:line="240" w:lineRule="auto"/>
              <w:jc w:val="right"/>
            </w:pPr>
            <w:r w:rsidRPr="00DC0281">
              <w:rPr>
                <w:color w:val="1A1B1A"/>
                <w:szCs w:val="17"/>
              </w:rPr>
              <w:t>4.0</w:t>
            </w:r>
          </w:p>
        </w:tc>
        <w:tc>
          <w:tcPr>
            <w:tcW w:w="298" w:type="pct"/>
            <w:tcBorders>
              <w:bottom w:val="single" w:sz="4" w:space="0" w:color="auto"/>
            </w:tcBorders>
          </w:tcPr>
          <w:p w14:paraId="3AB6417C" w14:textId="77777777" w:rsidR="000110FD" w:rsidRPr="00721FF0" w:rsidRDefault="000110FD" w:rsidP="00E45161">
            <w:pPr>
              <w:pStyle w:val="TableText"/>
              <w:widowControl w:val="0"/>
              <w:suppressAutoHyphens w:val="0"/>
              <w:spacing w:before="0" w:after="0" w:line="240" w:lineRule="auto"/>
              <w:jc w:val="right"/>
            </w:pPr>
            <w:r>
              <w:rPr>
                <w:color w:val="1A1B1A"/>
                <w:szCs w:val="17"/>
              </w:rPr>
              <w:t>0.02</w:t>
            </w:r>
          </w:p>
        </w:tc>
        <w:tc>
          <w:tcPr>
            <w:tcW w:w="298" w:type="pct"/>
            <w:tcBorders>
              <w:bottom w:val="single" w:sz="4" w:space="0" w:color="auto"/>
            </w:tcBorders>
          </w:tcPr>
          <w:p w14:paraId="7CFB1313" w14:textId="77777777" w:rsidR="000110FD" w:rsidRPr="0027505E" w:rsidRDefault="000110FD" w:rsidP="00E45161">
            <w:pPr>
              <w:pStyle w:val="TableText"/>
              <w:widowControl w:val="0"/>
              <w:suppressAutoHyphens w:val="0"/>
              <w:spacing w:before="0" w:after="0" w:line="240" w:lineRule="auto"/>
              <w:jc w:val="right"/>
            </w:pPr>
            <w:r>
              <w:rPr>
                <w:color w:val="1A1B1A"/>
                <w:szCs w:val="17"/>
              </w:rPr>
              <w:t>1226</w:t>
            </w:r>
          </w:p>
        </w:tc>
      </w:tr>
      <w:tr w:rsidR="000110FD" w:rsidRPr="0027505E" w14:paraId="151AA23E" w14:textId="77777777" w:rsidTr="00303DF5">
        <w:trPr>
          <w:cantSplit/>
          <w:trHeight w:val="13"/>
        </w:trPr>
        <w:tc>
          <w:tcPr>
            <w:tcW w:w="5000" w:type="pct"/>
            <w:gridSpan w:val="15"/>
            <w:tcBorders>
              <w:top w:val="single" w:sz="4" w:space="0" w:color="auto"/>
              <w:bottom w:val="single" w:sz="4" w:space="0" w:color="auto"/>
            </w:tcBorders>
          </w:tcPr>
          <w:p w14:paraId="767C2EC1" w14:textId="77777777" w:rsidR="000110FD" w:rsidRPr="0027505E" w:rsidRDefault="000110FD" w:rsidP="00E45161">
            <w:pPr>
              <w:pStyle w:val="TableSubHead0"/>
            </w:pPr>
            <w:r w:rsidRPr="00B5044A">
              <w:t xml:space="preserve">Pre-harvest desiccation in </w:t>
            </w:r>
            <w:r>
              <w:t>lucerne and lupins</w:t>
            </w:r>
          </w:p>
        </w:tc>
      </w:tr>
      <w:tr w:rsidR="000110FD" w:rsidRPr="00C3293F" w14:paraId="2D7FCC67" w14:textId="77777777" w:rsidTr="000110FD">
        <w:trPr>
          <w:cantSplit/>
          <w:trHeight w:val="13"/>
        </w:trPr>
        <w:tc>
          <w:tcPr>
            <w:tcW w:w="515" w:type="pct"/>
            <w:gridSpan w:val="2"/>
            <w:tcBorders>
              <w:top w:val="single" w:sz="4" w:space="0" w:color="auto"/>
            </w:tcBorders>
          </w:tcPr>
          <w:p w14:paraId="39CEEF61" w14:textId="77777777" w:rsidR="000110FD" w:rsidRDefault="000110FD" w:rsidP="00303DF5">
            <w:pPr>
              <w:pStyle w:val="TableText"/>
              <w:widowControl w:val="0"/>
              <w:suppressAutoHyphens w:val="0"/>
              <w:spacing w:before="0" w:after="0" w:line="240" w:lineRule="auto"/>
              <w:rPr>
                <w:szCs w:val="17"/>
              </w:rPr>
            </w:pPr>
            <w:r>
              <w:rPr>
                <w:szCs w:val="17"/>
              </w:rPr>
              <w:t>Legume forage</w:t>
            </w:r>
          </w:p>
        </w:tc>
        <w:tc>
          <w:tcPr>
            <w:tcW w:w="467" w:type="pct"/>
            <w:tcBorders>
              <w:top w:val="single" w:sz="4" w:space="0" w:color="auto"/>
            </w:tcBorders>
          </w:tcPr>
          <w:p w14:paraId="52C22152"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tcBorders>
              <w:top w:val="single" w:sz="4" w:space="0" w:color="auto"/>
            </w:tcBorders>
          </w:tcPr>
          <w:p w14:paraId="7C8532C2" w14:textId="77777777" w:rsidR="000110FD" w:rsidRDefault="000110FD" w:rsidP="00303DF5">
            <w:pPr>
              <w:pStyle w:val="TableText"/>
              <w:widowControl w:val="0"/>
              <w:suppressAutoHyphens w:val="0"/>
              <w:spacing w:before="0" w:after="0" w:line="240" w:lineRule="auto"/>
              <w:rPr>
                <w:szCs w:val="17"/>
              </w:rPr>
            </w:pPr>
            <w:r>
              <w:rPr>
                <w:szCs w:val="17"/>
              </w:rPr>
              <w:t>BBCH ≥50</w:t>
            </w:r>
          </w:p>
        </w:tc>
        <w:tc>
          <w:tcPr>
            <w:tcW w:w="486" w:type="pct"/>
            <w:tcBorders>
              <w:top w:val="single" w:sz="4" w:space="0" w:color="auto"/>
            </w:tcBorders>
          </w:tcPr>
          <w:p w14:paraId="1CF932DE"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1F2121D4" w14:textId="77777777" w:rsidR="000110FD" w:rsidRDefault="000110FD" w:rsidP="00E45161">
            <w:pPr>
              <w:pStyle w:val="TableText"/>
              <w:widowControl w:val="0"/>
              <w:suppressAutoHyphens w:val="0"/>
              <w:spacing w:before="0" w:after="0" w:line="240" w:lineRule="auto"/>
              <w:jc w:val="right"/>
              <w:rPr>
                <w:szCs w:val="17"/>
              </w:rPr>
            </w:pPr>
            <w:r>
              <w:rPr>
                <w:szCs w:val="17"/>
              </w:rPr>
              <w:t>16.8</w:t>
            </w:r>
            <w:r w:rsidRPr="001C7F07">
              <w:rPr>
                <w:szCs w:val="17"/>
                <w:vertAlign w:val="superscript"/>
              </w:rPr>
              <w:t>a,c</w:t>
            </w:r>
          </w:p>
        </w:tc>
        <w:tc>
          <w:tcPr>
            <w:tcW w:w="275" w:type="pct"/>
            <w:tcBorders>
              <w:top w:val="single" w:sz="4" w:space="0" w:color="auto"/>
            </w:tcBorders>
          </w:tcPr>
          <w:p w14:paraId="551B77D0" w14:textId="77777777" w:rsidR="000110FD" w:rsidRDefault="000110FD" w:rsidP="00E45161">
            <w:pPr>
              <w:pStyle w:val="TableText"/>
              <w:widowControl w:val="0"/>
              <w:suppressAutoHyphens w:val="0"/>
              <w:spacing w:before="0" w:after="0" w:line="240" w:lineRule="auto"/>
              <w:jc w:val="right"/>
              <w:rPr>
                <w:szCs w:val="17"/>
              </w:rPr>
            </w:pPr>
            <w:r>
              <w:rPr>
                <w:szCs w:val="17"/>
              </w:rPr>
              <w:t>600</w:t>
            </w:r>
          </w:p>
        </w:tc>
        <w:tc>
          <w:tcPr>
            <w:tcW w:w="485" w:type="pct"/>
            <w:tcBorders>
              <w:top w:val="single" w:sz="4" w:space="0" w:color="auto"/>
            </w:tcBorders>
          </w:tcPr>
          <w:p w14:paraId="19D0507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67AAA56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898AD5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343F0101"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10</w:t>
            </w:r>
          </w:p>
        </w:tc>
        <w:tc>
          <w:tcPr>
            <w:tcW w:w="298" w:type="pct"/>
            <w:tcBorders>
              <w:top w:val="single" w:sz="4" w:space="0" w:color="auto"/>
            </w:tcBorders>
          </w:tcPr>
          <w:p w14:paraId="70165CC0"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24F12657" w14:textId="77777777" w:rsidR="000110FD" w:rsidRPr="00721FF0" w:rsidRDefault="000110FD" w:rsidP="00E45161">
            <w:pPr>
              <w:pStyle w:val="TableText"/>
              <w:widowControl w:val="0"/>
              <w:suppressAutoHyphens w:val="0"/>
              <w:spacing w:before="0" w:after="0" w:line="240" w:lineRule="auto"/>
              <w:jc w:val="right"/>
            </w:pPr>
            <w:r>
              <w:rPr>
                <w:color w:val="1A1B1A"/>
                <w:szCs w:val="17"/>
              </w:rPr>
              <w:t>0.48</w:t>
            </w:r>
          </w:p>
        </w:tc>
        <w:tc>
          <w:tcPr>
            <w:tcW w:w="298" w:type="pct"/>
            <w:tcBorders>
              <w:top w:val="single" w:sz="4" w:space="0" w:color="auto"/>
            </w:tcBorders>
          </w:tcPr>
          <w:p w14:paraId="5258A35B" w14:textId="77777777" w:rsidR="000110FD" w:rsidRPr="00C3293F" w:rsidRDefault="000110FD" w:rsidP="00E45161">
            <w:pPr>
              <w:pStyle w:val="TableText"/>
              <w:widowControl w:val="0"/>
              <w:suppressAutoHyphens w:val="0"/>
              <w:spacing w:before="0" w:after="0" w:line="240" w:lineRule="auto"/>
              <w:jc w:val="right"/>
            </w:pPr>
            <w:r>
              <w:rPr>
                <w:color w:val="1A1B1A"/>
                <w:szCs w:val="17"/>
              </w:rPr>
              <w:t>1250</w:t>
            </w:r>
          </w:p>
        </w:tc>
      </w:tr>
      <w:tr w:rsidR="000110FD" w:rsidRPr="00C3293F" w14:paraId="6974DCB4" w14:textId="77777777" w:rsidTr="00303DF5">
        <w:trPr>
          <w:cantSplit/>
          <w:trHeight w:val="13"/>
        </w:trPr>
        <w:tc>
          <w:tcPr>
            <w:tcW w:w="5000" w:type="pct"/>
            <w:gridSpan w:val="15"/>
            <w:tcBorders>
              <w:top w:val="single" w:sz="4" w:space="0" w:color="auto"/>
              <w:bottom w:val="single" w:sz="4" w:space="0" w:color="auto"/>
            </w:tcBorders>
          </w:tcPr>
          <w:p w14:paraId="1AD145F1" w14:textId="77777777" w:rsidR="000110FD" w:rsidRPr="00C3293F" w:rsidRDefault="000110FD" w:rsidP="00E45161">
            <w:pPr>
              <w:pStyle w:val="TableSubHead0"/>
            </w:pPr>
            <w:r>
              <w:t>General weed control in sugarcane (over the top spray and inter-row spray)</w:t>
            </w:r>
          </w:p>
        </w:tc>
      </w:tr>
      <w:tr w:rsidR="000110FD" w:rsidRPr="00C3293F" w14:paraId="76776B78" w14:textId="77777777" w:rsidTr="000110FD">
        <w:trPr>
          <w:cantSplit/>
          <w:trHeight w:val="13"/>
        </w:trPr>
        <w:tc>
          <w:tcPr>
            <w:tcW w:w="515" w:type="pct"/>
            <w:gridSpan w:val="2"/>
            <w:vMerge w:val="restart"/>
            <w:tcBorders>
              <w:top w:val="single" w:sz="4" w:space="0" w:color="auto"/>
            </w:tcBorders>
          </w:tcPr>
          <w:p w14:paraId="4343E166" w14:textId="77777777" w:rsidR="000110FD" w:rsidRDefault="000110FD" w:rsidP="00303DF5">
            <w:pPr>
              <w:pStyle w:val="TableText"/>
              <w:widowControl w:val="0"/>
              <w:suppressAutoHyphens w:val="0"/>
              <w:spacing w:before="0" w:after="0" w:line="240" w:lineRule="auto"/>
              <w:rPr>
                <w:szCs w:val="17"/>
              </w:rPr>
            </w:pPr>
            <w:r>
              <w:rPr>
                <w:szCs w:val="17"/>
              </w:rPr>
              <w:t>Maize</w:t>
            </w:r>
          </w:p>
        </w:tc>
        <w:tc>
          <w:tcPr>
            <w:tcW w:w="467" w:type="pct"/>
            <w:vMerge w:val="restart"/>
            <w:tcBorders>
              <w:top w:val="single" w:sz="4" w:space="0" w:color="auto"/>
            </w:tcBorders>
          </w:tcPr>
          <w:p w14:paraId="1E2AD123"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6BA5DF57" w14:textId="77777777" w:rsidR="000110FD" w:rsidRDefault="000110FD" w:rsidP="00303DF5">
            <w:pPr>
              <w:pStyle w:val="TableText"/>
              <w:widowControl w:val="0"/>
              <w:suppressAutoHyphens w:val="0"/>
              <w:spacing w:before="0" w:after="0" w:line="240" w:lineRule="auto"/>
              <w:rPr>
                <w:szCs w:val="17"/>
              </w:rPr>
            </w:pPr>
            <w:r>
              <w:rPr>
                <w:szCs w:val="17"/>
              </w:rPr>
              <w:t>BBCH 10-29</w:t>
            </w:r>
          </w:p>
        </w:tc>
        <w:tc>
          <w:tcPr>
            <w:tcW w:w="486" w:type="pct"/>
            <w:tcBorders>
              <w:top w:val="single" w:sz="4" w:space="0" w:color="auto"/>
            </w:tcBorders>
          </w:tcPr>
          <w:p w14:paraId="5575EC37"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27F3CB21" w14:textId="77777777" w:rsidR="000110FD" w:rsidRDefault="000110FD" w:rsidP="00E45161">
            <w:pPr>
              <w:pStyle w:val="TableText"/>
              <w:widowControl w:val="0"/>
              <w:suppressAutoHyphens w:val="0"/>
              <w:spacing w:before="0" w:after="0" w:line="240" w:lineRule="auto"/>
              <w:jc w:val="right"/>
              <w:rPr>
                <w:szCs w:val="17"/>
              </w:rPr>
            </w:pPr>
            <w:r w:rsidRPr="00204363">
              <w:rPr>
                <w:szCs w:val="17"/>
              </w:rPr>
              <w:t>112</w:t>
            </w:r>
            <w:r w:rsidRPr="00204363">
              <w:rPr>
                <w:szCs w:val="17"/>
                <w:vertAlign w:val="superscript"/>
              </w:rPr>
              <w:t>a</w:t>
            </w:r>
          </w:p>
        </w:tc>
        <w:tc>
          <w:tcPr>
            <w:tcW w:w="275" w:type="pct"/>
            <w:tcBorders>
              <w:top w:val="single" w:sz="4" w:space="0" w:color="auto"/>
            </w:tcBorders>
          </w:tcPr>
          <w:p w14:paraId="4EC47FF6" w14:textId="77777777" w:rsidR="000110FD" w:rsidRDefault="000110FD" w:rsidP="00E45161">
            <w:pPr>
              <w:pStyle w:val="TableText"/>
              <w:widowControl w:val="0"/>
              <w:suppressAutoHyphens w:val="0"/>
              <w:spacing w:before="0" w:after="0" w:line="240" w:lineRule="auto"/>
              <w:jc w:val="right"/>
              <w:rPr>
                <w:szCs w:val="17"/>
              </w:rPr>
            </w:pPr>
            <w:r>
              <w:rPr>
                <w:szCs w:val="17"/>
              </w:rPr>
              <w:t>230</w:t>
            </w:r>
          </w:p>
        </w:tc>
        <w:tc>
          <w:tcPr>
            <w:tcW w:w="485" w:type="pct"/>
            <w:tcBorders>
              <w:top w:val="single" w:sz="4" w:space="0" w:color="auto"/>
            </w:tcBorders>
          </w:tcPr>
          <w:p w14:paraId="636DEB7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0AEE172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6AFC245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660AF545"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26</w:t>
            </w:r>
          </w:p>
        </w:tc>
        <w:tc>
          <w:tcPr>
            <w:tcW w:w="298" w:type="pct"/>
            <w:tcBorders>
              <w:top w:val="single" w:sz="4" w:space="0" w:color="auto"/>
            </w:tcBorders>
          </w:tcPr>
          <w:p w14:paraId="4D7045FC"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shd w:val="clear" w:color="auto" w:fill="FF0000"/>
          </w:tcPr>
          <w:p w14:paraId="6739C04B"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1.2</w:t>
            </w:r>
          </w:p>
        </w:tc>
        <w:tc>
          <w:tcPr>
            <w:tcW w:w="298" w:type="pct"/>
            <w:tcBorders>
              <w:top w:val="single" w:sz="4" w:space="0" w:color="auto"/>
            </w:tcBorders>
          </w:tcPr>
          <w:p w14:paraId="2D92DEBB"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58ECA558" w14:textId="77777777" w:rsidTr="000110FD">
        <w:trPr>
          <w:cantSplit/>
          <w:trHeight w:val="13"/>
        </w:trPr>
        <w:tc>
          <w:tcPr>
            <w:tcW w:w="515" w:type="pct"/>
            <w:gridSpan w:val="2"/>
            <w:vMerge/>
          </w:tcPr>
          <w:p w14:paraId="5E62DBFE"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119E93CA"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0B98712C"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723A4EB7"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41EAC95A" w14:textId="77777777" w:rsidR="000110FD" w:rsidRDefault="000110FD" w:rsidP="00E45161">
            <w:pPr>
              <w:pStyle w:val="TableText"/>
              <w:widowControl w:val="0"/>
              <w:suppressAutoHyphens w:val="0"/>
              <w:spacing w:before="0" w:after="0" w:line="240" w:lineRule="auto"/>
              <w:jc w:val="right"/>
              <w:rPr>
                <w:szCs w:val="17"/>
              </w:rPr>
            </w:pPr>
            <w:r w:rsidRPr="00204363">
              <w:rPr>
                <w:szCs w:val="17"/>
              </w:rPr>
              <w:t>112</w:t>
            </w:r>
            <w:r w:rsidRPr="00204363">
              <w:rPr>
                <w:szCs w:val="17"/>
                <w:vertAlign w:val="superscript"/>
              </w:rPr>
              <w:t>a</w:t>
            </w:r>
          </w:p>
        </w:tc>
        <w:tc>
          <w:tcPr>
            <w:tcW w:w="275" w:type="pct"/>
            <w:tcBorders>
              <w:bottom w:val="single" w:sz="4" w:space="0" w:color="auto"/>
            </w:tcBorders>
          </w:tcPr>
          <w:p w14:paraId="673B59BC"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485" w:type="pct"/>
            <w:tcBorders>
              <w:bottom w:val="single" w:sz="4" w:space="0" w:color="auto"/>
            </w:tcBorders>
          </w:tcPr>
          <w:p w14:paraId="6AEE6B8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57A0A31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489C887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382CD790"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21</w:t>
            </w:r>
          </w:p>
        </w:tc>
        <w:tc>
          <w:tcPr>
            <w:tcW w:w="298" w:type="pct"/>
            <w:tcBorders>
              <w:bottom w:val="single" w:sz="4" w:space="0" w:color="auto"/>
            </w:tcBorders>
          </w:tcPr>
          <w:p w14:paraId="2B5672F9"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2E85951F" w14:textId="77777777" w:rsidR="000110FD" w:rsidRPr="00721FF0" w:rsidRDefault="000110FD" w:rsidP="00E45161">
            <w:pPr>
              <w:pStyle w:val="TableText"/>
              <w:widowControl w:val="0"/>
              <w:suppressAutoHyphens w:val="0"/>
              <w:spacing w:before="0" w:after="0" w:line="240" w:lineRule="auto"/>
              <w:jc w:val="right"/>
            </w:pPr>
            <w:r>
              <w:rPr>
                <w:color w:val="1A1B1A"/>
                <w:szCs w:val="17"/>
              </w:rPr>
              <w:t>0.98</w:t>
            </w:r>
          </w:p>
        </w:tc>
        <w:tc>
          <w:tcPr>
            <w:tcW w:w="298" w:type="pct"/>
            <w:tcBorders>
              <w:bottom w:val="single" w:sz="4" w:space="0" w:color="auto"/>
            </w:tcBorders>
          </w:tcPr>
          <w:p w14:paraId="55B697DC"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06CAA081" w14:textId="77777777" w:rsidTr="000110FD">
        <w:trPr>
          <w:cantSplit/>
          <w:trHeight w:val="13"/>
        </w:trPr>
        <w:tc>
          <w:tcPr>
            <w:tcW w:w="515" w:type="pct"/>
            <w:gridSpan w:val="2"/>
            <w:vMerge/>
          </w:tcPr>
          <w:p w14:paraId="098FF352" w14:textId="77777777" w:rsidR="000110FD" w:rsidRDefault="000110FD" w:rsidP="00303DF5">
            <w:pPr>
              <w:pStyle w:val="TableText"/>
              <w:widowControl w:val="0"/>
              <w:suppressAutoHyphens w:val="0"/>
              <w:spacing w:before="0" w:after="0" w:line="240" w:lineRule="auto"/>
              <w:rPr>
                <w:szCs w:val="17"/>
              </w:rPr>
            </w:pPr>
          </w:p>
        </w:tc>
        <w:tc>
          <w:tcPr>
            <w:tcW w:w="467" w:type="pct"/>
            <w:vMerge w:val="restart"/>
            <w:tcBorders>
              <w:top w:val="single" w:sz="4" w:space="0" w:color="auto"/>
            </w:tcBorders>
          </w:tcPr>
          <w:p w14:paraId="727635CD"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3BFAEF56" w14:textId="77777777" w:rsidR="000110FD" w:rsidRDefault="000110FD" w:rsidP="00303DF5">
            <w:pPr>
              <w:pStyle w:val="TableText"/>
              <w:widowControl w:val="0"/>
              <w:suppressAutoHyphens w:val="0"/>
              <w:spacing w:before="0" w:after="0" w:line="240" w:lineRule="auto"/>
              <w:rPr>
                <w:szCs w:val="17"/>
              </w:rPr>
            </w:pPr>
            <w:r>
              <w:rPr>
                <w:szCs w:val="17"/>
              </w:rPr>
              <w:t>BBCH 10-29</w:t>
            </w:r>
          </w:p>
        </w:tc>
        <w:tc>
          <w:tcPr>
            <w:tcW w:w="486" w:type="pct"/>
            <w:tcBorders>
              <w:top w:val="single" w:sz="4" w:space="0" w:color="auto"/>
            </w:tcBorders>
          </w:tcPr>
          <w:p w14:paraId="24BC8572" w14:textId="77777777" w:rsidR="000110FD" w:rsidRDefault="000110FD" w:rsidP="00303DF5">
            <w:pPr>
              <w:pStyle w:val="TableText"/>
              <w:widowControl w:val="0"/>
              <w:suppressAutoHyphens w:val="0"/>
              <w:spacing w:before="0" w:after="0" w:line="240" w:lineRule="auto"/>
              <w:jc w:val="center"/>
              <w:rPr>
                <w:szCs w:val="17"/>
              </w:rPr>
            </w:pPr>
            <w:r>
              <w:rPr>
                <w:szCs w:val="17"/>
              </w:rPr>
              <w:t>Chronic</w:t>
            </w:r>
          </w:p>
        </w:tc>
        <w:tc>
          <w:tcPr>
            <w:tcW w:w="447" w:type="pct"/>
            <w:tcBorders>
              <w:top w:val="single" w:sz="4" w:space="0" w:color="auto"/>
            </w:tcBorders>
            <w:shd w:val="clear" w:color="auto" w:fill="D5D7D5" w:themeFill="text1" w:themeFillTint="33"/>
          </w:tcPr>
          <w:p w14:paraId="6F5819AA" w14:textId="77777777" w:rsidR="000110FD" w:rsidRDefault="000110FD" w:rsidP="00E45161">
            <w:pPr>
              <w:pStyle w:val="TableText"/>
              <w:widowControl w:val="0"/>
              <w:suppressAutoHyphens w:val="0"/>
              <w:spacing w:before="0" w:after="0" w:line="240" w:lineRule="auto"/>
              <w:jc w:val="right"/>
              <w:rPr>
                <w:szCs w:val="17"/>
              </w:rPr>
            </w:pPr>
            <w:r w:rsidRPr="003204A6">
              <w:rPr>
                <w:szCs w:val="17"/>
              </w:rPr>
              <w:t>59.3</w:t>
            </w:r>
            <w:r w:rsidRPr="003204A6">
              <w:rPr>
                <w:szCs w:val="17"/>
                <w:vertAlign w:val="superscript"/>
              </w:rPr>
              <w:t>a</w:t>
            </w:r>
          </w:p>
        </w:tc>
        <w:tc>
          <w:tcPr>
            <w:tcW w:w="275" w:type="pct"/>
            <w:tcBorders>
              <w:top w:val="single" w:sz="4" w:space="0" w:color="auto"/>
            </w:tcBorders>
          </w:tcPr>
          <w:p w14:paraId="21DD71E4" w14:textId="77777777" w:rsidR="000110FD" w:rsidRDefault="000110FD" w:rsidP="00E45161">
            <w:pPr>
              <w:pStyle w:val="TableText"/>
              <w:widowControl w:val="0"/>
              <w:suppressAutoHyphens w:val="0"/>
              <w:spacing w:before="0" w:after="0" w:line="240" w:lineRule="auto"/>
              <w:jc w:val="right"/>
              <w:rPr>
                <w:szCs w:val="17"/>
              </w:rPr>
            </w:pPr>
            <w:r>
              <w:rPr>
                <w:szCs w:val="17"/>
              </w:rPr>
              <w:t>230</w:t>
            </w:r>
          </w:p>
        </w:tc>
        <w:tc>
          <w:tcPr>
            <w:tcW w:w="485" w:type="pct"/>
            <w:tcBorders>
              <w:top w:val="single" w:sz="4" w:space="0" w:color="auto"/>
            </w:tcBorders>
          </w:tcPr>
          <w:p w14:paraId="4766F74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5429CC51"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top w:val="single" w:sz="4" w:space="0" w:color="auto"/>
            </w:tcBorders>
            <w:shd w:val="clear" w:color="auto" w:fill="D5D7D5" w:themeFill="text1" w:themeFillTint="33"/>
          </w:tcPr>
          <w:p w14:paraId="6290119F" w14:textId="77777777" w:rsidR="000110FD" w:rsidRDefault="000110FD" w:rsidP="00E45161">
            <w:pPr>
              <w:pStyle w:val="TableText"/>
              <w:widowControl w:val="0"/>
              <w:suppressAutoHyphens w:val="0"/>
              <w:spacing w:before="0" w:after="0" w:line="240" w:lineRule="auto"/>
              <w:jc w:val="right"/>
              <w:rPr>
                <w:szCs w:val="17"/>
              </w:rPr>
            </w:pPr>
            <w:r w:rsidRPr="00404828">
              <w:rPr>
                <w:szCs w:val="17"/>
              </w:rPr>
              <w:t>0.11</w:t>
            </w:r>
            <w:r w:rsidRPr="00404828">
              <w:rPr>
                <w:szCs w:val="17"/>
                <w:vertAlign w:val="superscript"/>
              </w:rPr>
              <w:t>d</w:t>
            </w:r>
          </w:p>
        </w:tc>
        <w:tc>
          <w:tcPr>
            <w:tcW w:w="297" w:type="pct"/>
            <w:tcBorders>
              <w:top w:val="single" w:sz="4" w:space="0" w:color="auto"/>
            </w:tcBorders>
          </w:tcPr>
          <w:p w14:paraId="4C00E491"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0.75</w:t>
            </w:r>
          </w:p>
        </w:tc>
        <w:tc>
          <w:tcPr>
            <w:tcW w:w="298" w:type="pct"/>
            <w:tcBorders>
              <w:top w:val="single" w:sz="4" w:space="0" w:color="auto"/>
            </w:tcBorders>
          </w:tcPr>
          <w:p w14:paraId="594D666A" w14:textId="77777777" w:rsidR="000110FD" w:rsidRDefault="000110FD" w:rsidP="00E45161">
            <w:pPr>
              <w:pStyle w:val="TableText"/>
              <w:widowControl w:val="0"/>
              <w:suppressAutoHyphens w:val="0"/>
              <w:spacing w:before="0" w:after="0" w:line="240" w:lineRule="auto"/>
              <w:jc w:val="right"/>
            </w:pPr>
            <w:r w:rsidRPr="00F16FCA">
              <w:rPr>
                <w:color w:val="1A1B1A"/>
                <w:szCs w:val="17"/>
              </w:rPr>
              <w:t>4.0</w:t>
            </w:r>
          </w:p>
        </w:tc>
        <w:tc>
          <w:tcPr>
            <w:tcW w:w="298" w:type="pct"/>
            <w:tcBorders>
              <w:top w:val="single" w:sz="4" w:space="0" w:color="auto"/>
            </w:tcBorders>
          </w:tcPr>
          <w:p w14:paraId="095EE540" w14:textId="77777777" w:rsidR="000110FD" w:rsidRPr="00721FF0" w:rsidRDefault="000110FD" w:rsidP="00E45161">
            <w:pPr>
              <w:pStyle w:val="TableText"/>
              <w:widowControl w:val="0"/>
              <w:suppressAutoHyphens w:val="0"/>
              <w:spacing w:before="0" w:after="0" w:line="240" w:lineRule="auto"/>
              <w:jc w:val="right"/>
            </w:pPr>
            <w:r>
              <w:rPr>
                <w:color w:val="1A1B1A"/>
                <w:szCs w:val="17"/>
              </w:rPr>
              <w:t>0.19</w:t>
            </w:r>
          </w:p>
        </w:tc>
        <w:tc>
          <w:tcPr>
            <w:tcW w:w="298" w:type="pct"/>
            <w:tcBorders>
              <w:top w:val="single" w:sz="4" w:space="0" w:color="auto"/>
            </w:tcBorders>
          </w:tcPr>
          <w:p w14:paraId="188D7B94"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6C245A8C" w14:textId="77777777" w:rsidTr="000110FD">
        <w:trPr>
          <w:cantSplit/>
          <w:trHeight w:val="13"/>
        </w:trPr>
        <w:tc>
          <w:tcPr>
            <w:tcW w:w="515" w:type="pct"/>
            <w:gridSpan w:val="2"/>
            <w:vMerge/>
            <w:tcBorders>
              <w:bottom w:val="single" w:sz="4" w:space="0" w:color="auto"/>
            </w:tcBorders>
          </w:tcPr>
          <w:p w14:paraId="267C3022"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054F55D5"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4F9C78D0"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40D39263"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0FA3BD1B" w14:textId="77777777" w:rsidR="000110FD" w:rsidRDefault="000110FD" w:rsidP="00E45161">
            <w:pPr>
              <w:pStyle w:val="TableText"/>
              <w:widowControl w:val="0"/>
              <w:suppressAutoHyphens w:val="0"/>
              <w:spacing w:before="0" w:after="0" w:line="240" w:lineRule="auto"/>
              <w:jc w:val="right"/>
              <w:rPr>
                <w:szCs w:val="17"/>
              </w:rPr>
            </w:pPr>
            <w:r w:rsidRPr="003204A6">
              <w:rPr>
                <w:szCs w:val="17"/>
              </w:rPr>
              <w:t>59.3</w:t>
            </w:r>
            <w:r w:rsidRPr="003204A6">
              <w:rPr>
                <w:szCs w:val="17"/>
                <w:vertAlign w:val="superscript"/>
              </w:rPr>
              <w:t>a</w:t>
            </w:r>
          </w:p>
        </w:tc>
        <w:tc>
          <w:tcPr>
            <w:tcW w:w="275" w:type="pct"/>
            <w:tcBorders>
              <w:bottom w:val="single" w:sz="4" w:space="0" w:color="auto"/>
            </w:tcBorders>
          </w:tcPr>
          <w:p w14:paraId="179A5FD2"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485" w:type="pct"/>
            <w:tcBorders>
              <w:bottom w:val="single" w:sz="4" w:space="0" w:color="auto"/>
            </w:tcBorders>
          </w:tcPr>
          <w:p w14:paraId="185AB8C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6B70958B"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bottom w:val="single" w:sz="4" w:space="0" w:color="auto"/>
            </w:tcBorders>
            <w:shd w:val="clear" w:color="auto" w:fill="D5D7D5" w:themeFill="text1" w:themeFillTint="33"/>
          </w:tcPr>
          <w:p w14:paraId="5925E61D" w14:textId="77777777" w:rsidR="000110FD" w:rsidRDefault="000110FD" w:rsidP="00E45161">
            <w:pPr>
              <w:pStyle w:val="TableText"/>
              <w:widowControl w:val="0"/>
              <w:suppressAutoHyphens w:val="0"/>
              <w:spacing w:before="0" w:after="0" w:line="240" w:lineRule="auto"/>
              <w:jc w:val="right"/>
              <w:rPr>
                <w:szCs w:val="17"/>
              </w:rPr>
            </w:pPr>
            <w:r w:rsidRPr="00404828">
              <w:rPr>
                <w:szCs w:val="17"/>
              </w:rPr>
              <w:t>0.11</w:t>
            </w:r>
            <w:r w:rsidRPr="00404828">
              <w:rPr>
                <w:szCs w:val="17"/>
                <w:vertAlign w:val="superscript"/>
              </w:rPr>
              <w:t>d</w:t>
            </w:r>
          </w:p>
        </w:tc>
        <w:tc>
          <w:tcPr>
            <w:tcW w:w="297" w:type="pct"/>
            <w:tcBorders>
              <w:bottom w:val="single" w:sz="4" w:space="0" w:color="auto"/>
            </w:tcBorders>
          </w:tcPr>
          <w:p w14:paraId="1DF9C0AD"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0.60</w:t>
            </w:r>
          </w:p>
        </w:tc>
        <w:tc>
          <w:tcPr>
            <w:tcW w:w="298" w:type="pct"/>
            <w:tcBorders>
              <w:bottom w:val="single" w:sz="4" w:space="0" w:color="auto"/>
            </w:tcBorders>
          </w:tcPr>
          <w:p w14:paraId="11617408" w14:textId="77777777" w:rsidR="000110FD" w:rsidRDefault="000110FD" w:rsidP="00E45161">
            <w:pPr>
              <w:pStyle w:val="TableText"/>
              <w:widowControl w:val="0"/>
              <w:suppressAutoHyphens w:val="0"/>
              <w:spacing w:before="0" w:after="0" w:line="240" w:lineRule="auto"/>
              <w:jc w:val="right"/>
            </w:pPr>
            <w:r w:rsidRPr="00F16FCA">
              <w:rPr>
                <w:color w:val="1A1B1A"/>
                <w:szCs w:val="17"/>
              </w:rPr>
              <w:t>4.0</w:t>
            </w:r>
          </w:p>
        </w:tc>
        <w:tc>
          <w:tcPr>
            <w:tcW w:w="298" w:type="pct"/>
            <w:tcBorders>
              <w:bottom w:val="single" w:sz="4" w:space="0" w:color="auto"/>
            </w:tcBorders>
          </w:tcPr>
          <w:p w14:paraId="62AD1FCF" w14:textId="77777777" w:rsidR="000110FD" w:rsidRPr="00721FF0" w:rsidRDefault="000110FD" w:rsidP="00E45161">
            <w:pPr>
              <w:pStyle w:val="TableText"/>
              <w:widowControl w:val="0"/>
              <w:suppressAutoHyphens w:val="0"/>
              <w:spacing w:before="0" w:after="0" w:line="240" w:lineRule="auto"/>
              <w:jc w:val="right"/>
            </w:pPr>
            <w:r>
              <w:rPr>
                <w:color w:val="1A1B1A"/>
                <w:szCs w:val="17"/>
              </w:rPr>
              <w:t>0.15</w:t>
            </w:r>
          </w:p>
        </w:tc>
        <w:tc>
          <w:tcPr>
            <w:tcW w:w="298" w:type="pct"/>
            <w:tcBorders>
              <w:bottom w:val="single" w:sz="4" w:space="0" w:color="auto"/>
            </w:tcBorders>
          </w:tcPr>
          <w:p w14:paraId="26AA3E4A"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63B7D263" w14:textId="77777777" w:rsidTr="00303DF5">
        <w:trPr>
          <w:cantSplit/>
          <w:trHeight w:val="13"/>
        </w:trPr>
        <w:tc>
          <w:tcPr>
            <w:tcW w:w="5000" w:type="pct"/>
            <w:gridSpan w:val="15"/>
            <w:tcBorders>
              <w:top w:val="single" w:sz="4" w:space="0" w:color="auto"/>
              <w:bottom w:val="single" w:sz="4" w:space="0" w:color="auto"/>
            </w:tcBorders>
          </w:tcPr>
          <w:p w14:paraId="49B29981" w14:textId="77777777" w:rsidR="000110FD" w:rsidRPr="00C3293F" w:rsidRDefault="000110FD" w:rsidP="00E45161">
            <w:pPr>
              <w:pStyle w:val="TableSubHead0"/>
            </w:pPr>
            <w:r w:rsidRPr="00B5044A">
              <w:t xml:space="preserve">Pre-harvest desiccation in </w:t>
            </w:r>
            <w:r>
              <w:t>poppies and oilseeds</w:t>
            </w:r>
          </w:p>
        </w:tc>
      </w:tr>
      <w:tr w:rsidR="000110FD" w:rsidRPr="00C3293F" w14:paraId="76295CA1" w14:textId="77777777" w:rsidTr="000110FD">
        <w:trPr>
          <w:cantSplit/>
          <w:trHeight w:val="13"/>
        </w:trPr>
        <w:tc>
          <w:tcPr>
            <w:tcW w:w="515" w:type="pct"/>
            <w:gridSpan w:val="2"/>
            <w:vMerge w:val="restart"/>
            <w:tcBorders>
              <w:top w:val="single" w:sz="4" w:space="0" w:color="auto"/>
            </w:tcBorders>
          </w:tcPr>
          <w:p w14:paraId="1E0F08B8" w14:textId="77777777" w:rsidR="000110FD" w:rsidRDefault="000110FD" w:rsidP="00303DF5">
            <w:pPr>
              <w:pStyle w:val="TableText"/>
              <w:widowControl w:val="0"/>
              <w:suppressAutoHyphens w:val="0"/>
              <w:spacing w:before="0" w:after="0" w:line="240" w:lineRule="auto"/>
              <w:rPr>
                <w:szCs w:val="17"/>
              </w:rPr>
            </w:pPr>
            <w:r>
              <w:rPr>
                <w:szCs w:val="17"/>
              </w:rPr>
              <w:t>Oilseeds</w:t>
            </w:r>
          </w:p>
        </w:tc>
        <w:tc>
          <w:tcPr>
            <w:tcW w:w="467" w:type="pct"/>
            <w:vMerge w:val="restart"/>
            <w:tcBorders>
              <w:top w:val="single" w:sz="4" w:space="0" w:color="auto"/>
            </w:tcBorders>
          </w:tcPr>
          <w:p w14:paraId="41CE2BC6"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1D7215DC" w14:textId="77777777" w:rsidR="000110FD" w:rsidRDefault="000110FD" w:rsidP="00303DF5">
            <w:pPr>
              <w:pStyle w:val="TableText"/>
              <w:widowControl w:val="0"/>
              <w:suppressAutoHyphens w:val="0"/>
              <w:spacing w:before="0" w:after="0" w:line="240" w:lineRule="auto"/>
              <w:rPr>
                <w:szCs w:val="17"/>
              </w:rPr>
            </w:pPr>
            <w:r>
              <w:rPr>
                <w:szCs w:val="17"/>
              </w:rPr>
              <w:t>BBCH ≥40</w:t>
            </w:r>
          </w:p>
        </w:tc>
        <w:tc>
          <w:tcPr>
            <w:tcW w:w="486" w:type="pct"/>
            <w:tcBorders>
              <w:top w:val="single" w:sz="4" w:space="0" w:color="auto"/>
            </w:tcBorders>
          </w:tcPr>
          <w:p w14:paraId="3CBD64FA"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48D78C4F" w14:textId="77777777" w:rsidR="000110FD" w:rsidRDefault="000110FD" w:rsidP="00E45161">
            <w:pPr>
              <w:pStyle w:val="TableText"/>
              <w:widowControl w:val="0"/>
              <w:suppressAutoHyphens w:val="0"/>
              <w:spacing w:before="0" w:after="0" w:line="240" w:lineRule="auto"/>
              <w:jc w:val="right"/>
              <w:rPr>
                <w:szCs w:val="17"/>
              </w:rPr>
            </w:pPr>
            <w:r>
              <w:rPr>
                <w:szCs w:val="17"/>
              </w:rPr>
              <w:t>22.4</w:t>
            </w:r>
            <w:r w:rsidRPr="001C7F07">
              <w:rPr>
                <w:szCs w:val="17"/>
                <w:vertAlign w:val="superscript"/>
              </w:rPr>
              <w:t>a,c</w:t>
            </w:r>
          </w:p>
        </w:tc>
        <w:tc>
          <w:tcPr>
            <w:tcW w:w="275" w:type="pct"/>
            <w:tcBorders>
              <w:top w:val="single" w:sz="4" w:space="0" w:color="auto"/>
            </w:tcBorders>
          </w:tcPr>
          <w:p w14:paraId="102E831A" w14:textId="77777777" w:rsidR="000110FD" w:rsidRDefault="000110FD" w:rsidP="00E45161">
            <w:pPr>
              <w:pStyle w:val="TableText"/>
              <w:widowControl w:val="0"/>
              <w:suppressAutoHyphens w:val="0"/>
              <w:spacing w:before="0" w:after="0" w:line="240" w:lineRule="auto"/>
              <w:jc w:val="right"/>
              <w:rPr>
                <w:szCs w:val="17"/>
              </w:rPr>
            </w:pPr>
            <w:r>
              <w:rPr>
                <w:szCs w:val="17"/>
              </w:rPr>
              <w:t>800</w:t>
            </w:r>
          </w:p>
        </w:tc>
        <w:tc>
          <w:tcPr>
            <w:tcW w:w="485" w:type="pct"/>
            <w:tcBorders>
              <w:top w:val="single" w:sz="4" w:space="0" w:color="auto"/>
            </w:tcBorders>
          </w:tcPr>
          <w:p w14:paraId="63682C1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2E70A90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31050B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13F690DF"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18</w:t>
            </w:r>
          </w:p>
        </w:tc>
        <w:tc>
          <w:tcPr>
            <w:tcW w:w="298" w:type="pct"/>
            <w:tcBorders>
              <w:top w:val="single" w:sz="4" w:space="0" w:color="auto"/>
            </w:tcBorders>
          </w:tcPr>
          <w:p w14:paraId="75207A8C"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7A0A4E42" w14:textId="77777777" w:rsidR="000110FD" w:rsidRPr="00721FF0" w:rsidRDefault="000110FD" w:rsidP="00E45161">
            <w:pPr>
              <w:pStyle w:val="TableText"/>
              <w:widowControl w:val="0"/>
              <w:suppressAutoHyphens w:val="0"/>
              <w:spacing w:before="0" w:after="0" w:line="240" w:lineRule="auto"/>
              <w:jc w:val="right"/>
            </w:pPr>
            <w:r>
              <w:rPr>
                <w:color w:val="1A1B1A"/>
                <w:szCs w:val="17"/>
              </w:rPr>
              <w:t>0.85</w:t>
            </w:r>
          </w:p>
        </w:tc>
        <w:tc>
          <w:tcPr>
            <w:tcW w:w="298" w:type="pct"/>
            <w:tcBorders>
              <w:top w:val="single" w:sz="4" w:space="0" w:color="auto"/>
            </w:tcBorders>
          </w:tcPr>
          <w:p w14:paraId="78692E7D" w14:textId="77777777" w:rsidR="000110FD" w:rsidRPr="00C3293F" w:rsidRDefault="000110FD" w:rsidP="00E45161">
            <w:pPr>
              <w:pStyle w:val="TableText"/>
              <w:widowControl w:val="0"/>
              <w:suppressAutoHyphens w:val="0"/>
              <w:spacing w:before="0" w:after="0" w:line="240" w:lineRule="auto"/>
              <w:jc w:val="right"/>
            </w:pPr>
            <w:r>
              <w:rPr>
                <w:color w:val="1A1B1A"/>
                <w:szCs w:val="17"/>
              </w:rPr>
              <w:t>938</w:t>
            </w:r>
          </w:p>
        </w:tc>
      </w:tr>
      <w:tr w:rsidR="000110FD" w:rsidRPr="00C3293F" w14:paraId="4E8D01E6" w14:textId="77777777" w:rsidTr="000110FD">
        <w:trPr>
          <w:cantSplit/>
          <w:trHeight w:val="13"/>
        </w:trPr>
        <w:tc>
          <w:tcPr>
            <w:tcW w:w="515" w:type="pct"/>
            <w:gridSpan w:val="2"/>
            <w:vMerge/>
          </w:tcPr>
          <w:p w14:paraId="2BD389FF"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6D61B8B3"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58F7ACA7"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30A765CD"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20F928DD" w14:textId="77777777" w:rsidR="000110FD" w:rsidRDefault="000110FD" w:rsidP="00E45161">
            <w:pPr>
              <w:pStyle w:val="TableText"/>
              <w:widowControl w:val="0"/>
              <w:suppressAutoHyphens w:val="0"/>
              <w:spacing w:before="0" w:after="0" w:line="240" w:lineRule="auto"/>
              <w:jc w:val="right"/>
              <w:rPr>
                <w:szCs w:val="17"/>
              </w:rPr>
            </w:pPr>
            <w:r>
              <w:rPr>
                <w:szCs w:val="17"/>
              </w:rPr>
              <w:t>22.4</w:t>
            </w:r>
            <w:r w:rsidRPr="001C7F07">
              <w:rPr>
                <w:szCs w:val="17"/>
                <w:vertAlign w:val="superscript"/>
              </w:rPr>
              <w:t>a,c</w:t>
            </w:r>
          </w:p>
        </w:tc>
        <w:tc>
          <w:tcPr>
            <w:tcW w:w="275" w:type="pct"/>
            <w:tcBorders>
              <w:bottom w:val="single" w:sz="4" w:space="0" w:color="auto"/>
            </w:tcBorders>
          </w:tcPr>
          <w:p w14:paraId="11A17364" w14:textId="77777777" w:rsidR="000110FD" w:rsidRDefault="000110FD" w:rsidP="00E45161">
            <w:pPr>
              <w:pStyle w:val="TableText"/>
              <w:widowControl w:val="0"/>
              <w:suppressAutoHyphens w:val="0"/>
              <w:spacing w:before="0" w:after="0" w:line="240" w:lineRule="auto"/>
              <w:jc w:val="right"/>
              <w:rPr>
                <w:szCs w:val="17"/>
              </w:rPr>
            </w:pPr>
            <w:r>
              <w:rPr>
                <w:szCs w:val="17"/>
              </w:rPr>
              <w:t>600</w:t>
            </w:r>
          </w:p>
        </w:tc>
        <w:tc>
          <w:tcPr>
            <w:tcW w:w="485" w:type="pct"/>
            <w:tcBorders>
              <w:bottom w:val="single" w:sz="4" w:space="0" w:color="auto"/>
            </w:tcBorders>
          </w:tcPr>
          <w:p w14:paraId="79D4734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6657749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442079D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2CEEA3F7"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13</w:t>
            </w:r>
          </w:p>
        </w:tc>
        <w:tc>
          <w:tcPr>
            <w:tcW w:w="298" w:type="pct"/>
            <w:tcBorders>
              <w:bottom w:val="single" w:sz="4" w:space="0" w:color="auto"/>
            </w:tcBorders>
          </w:tcPr>
          <w:p w14:paraId="5A150E6D"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74D74150" w14:textId="77777777" w:rsidR="000110FD" w:rsidRPr="00721FF0" w:rsidRDefault="000110FD" w:rsidP="00E45161">
            <w:pPr>
              <w:pStyle w:val="TableText"/>
              <w:widowControl w:val="0"/>
              <w:suppressAutoHyphens w:val="0"/>
              <w:spacing w:before="0" w:after="0" w:line="240" w:lineRule="auto"/>
              <w:jc w:val="right"/>
            </w:pPr>
            <w:r>
              <w:rPr>
                <w:color w:val="1A1B1A"/>
                <w:szCs w:val="17"/>
              </w:rPr>
              <w:t>0.64</w:t>
            </w:r>
          </w:p>
        </w:tc>
        <w:tc>
          <w:tcPr>
            <w:tcW w:w="298" w:type="pct"/>
            <w:tcBorders>
              <w:bottom w:val="single" w:sz="4" w:space="0" w:color="auto"/>
            </w:tcBorders>
          </w:tcPr>
          <w:p w14:paraId="00F1927A" w14:textId="77777777" w:rsidR="000110FD" w:rsidRPr="00C3293F" w:rsidRDefault="000110FD" w:rsidP="00E45161">
            <w:pPr>
              <w:pStyle w:val="TableText"/>
              <w:widowControl w:val="0"/>
              <w:suppressAutoHyphens w:val="0"/>
              <w:spacing w:before="0" w:after="0" w:line="240" w:lineRule="auto"/>
              <w:jc w:val="right"/>
            </w:pPr>
            <w:r>
              <w:rPr>
                <w:color w:val="1A1B1A"/>
                <w:szCs w:val="17"/>
              </w:rPr>
              <w:t>938</w:t>
            </w:r>
          </w:p>
        </w:tc>
      </w:tr>
      <w:tr w:rsidR="000110FD" w:rsidRPr="00C3293F" w14:paraId="70887079" w14:textId="77777777" w:rsidTr="000110FD">
        <w:trPr>
          <w:cantSplit/>
          <w:trHeight w:val="13"/>
        </w:trPr>
        <w:tc>
          <w:tcPr>
            <w:tcW w:w="515" w:type="pct"/>
            <w:gridSpan w:val="2"/>
            <w:vMerge/>
          </w:tcPr>
          <w:p w14:paraId="128EBB83" w14:textId="77777777" w:rsidR="000110FD" w:rsidRDefault="000110FD" w:rsidP="00303DF5">
            <w:pPr>
              <w:pStyle w:val="TableText"/>
              <w:widowControl w:val="0"/>
              <w:suppressAutoHyphens w:val="0"/>
              <w:spacing w:before="0" w:after="0" w:line="240" w:lineRule="auto"/>
              <w:rPr>
                <w:szCs w:val="17"/>
              </w:rPr>
            </w:pPr>
          </w:p>
        </w:tc>
        <w:tc>
          <w:tcPr>
            <w:tcW w:w="467" w:type="pct"/>
            <w:vMerge w:val="restart"/>
            <w:tcBorders>
              <w:top w:val="single" w:sz="4" w:space="0" w:color="auto"/>
            </w:tcBorders>
          </w:tcPr>
          <w:p w14:paraId="08BC3F33" w14:textId="77777777" w:rsidR="000110FD" w:rsidRDefault="000110FD" w:rsidP="00303DF5">
            <w:pPr>
              <w:pStyle w:val="TableText"/>
              <w:widowControl w:val="0"/>
              <w:suppressAutoHyphens w:val="0"/>
              <w:spacing w:before="0" w:after="0" w:line="240" w:lineRule="auto"/>
              <w:rPr>
                <w:szCs w:val="17"/>
              </w:rPr>
            </w:pPr>
            <w:r>
              <w:rPr>
                <w:szCs w:val="17"/>
              </w:rPr>
              <w:t>Large herbivore</w:t>
            </w:r>
          </w:p>
        </w:tc>
        <w:tc>
          <w:tcPr>
            <w:tcW w:w="540" w:type="pct"/>
            <w:gridSpan w:val="2"/>
            <w:vMerge w:val="restart"/>
            <w:tcBorders>
              <w:top w:val="single" w:sz="4" w:space="0" w:color="auto"/>
            </w:tcBorders>
          </w:tcPr>
          <w:p w14:paraId="38D13A41" w14:textId="77777777" w:rsidR="000110FD" w:rsidRDefault="000110FD" w:rsidP="00303DF5">
            <w:pPr>
              <w:pStyle w:val="TableText"/>
              <w:widowControl w:val="0"/>
              <w:suppressAutoHyphens w:val="0"/>
              <w:spacing w:before="0" w:after="0" w:line="240" w:lineRule="auto"/>
              <w:rPr>
                <w:szCs w:val="17"/>
              </w:rPr>
            </w:pPr>
            <w:r>
              <w:rPr>
                <w:szCs w:val="17"/>
              </w:rPr>
              <w:t>All season</w:t>
            </w:r>
          </w:p>
        </w:tc>
        <w:tc>
          <w:tcPr>
            <w:tcW w:w="486" w:type="pct"/>
            <w:tcBorders>
              <w:top w:val="single" w:sz="4" w:space="0" w:color="auto"/>
            </w:tcBorders>
          </w:tcPr>
          <w:p w14:paraId="4DB4A854"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26AA7AC1" w14:textId="77777777" w:rsidR="000110FD" w:rsidRDefault="000110FD" w:rsidP="00E45161">
            <w:pPr>
              <w:pStyle w:val="TableText"/>
              <w:widowControl w:val="0"/>
              <w:suppressAutoHyphens w:val="0"/>
              <w:spacing w:before="0" w:after="0" w:line="240" w:lineRule="auto"/>
              <w:jc w:val="right"/>
              <w:rPr>
                <w:szCs w:val="17"/>
              </w:rPr>
            </w:pPr>
            <w:r>
              <w:rPr>
                <w:szCs w:val="17"/>
              </w:rPr>
              <w:t>22.2</w:t>
            </w:r>
            <w:r w:rsidRPr="001C7F07">
              <w:rPr>
                <w:szCs w:val="17"/>
                <w:vertAlign w:val="superscript"/>
              </w:rPr>
              <w:t>b</w:t>
            </w:r>
          </w:p>
        </w:tc>
        <w:tc>
          <w:tcPr>
            <w:tcW w:w="275" w:type="pct"/>
            <w:tcBorders>
              <w:top w:val="single" w:sz="4" w:space="0" w:color="auto"/>
            </w:tcBorders>
          </w:tcPr>
          <w:p w14:paraId="75340897" w14:textId="77777777" w:rsidR="000110FD" w:rsidRDefault="000110FD" w:rsidP="00E45161">
            <w:pPr>
              <w:pStyle w:val="TableText"/>
              <w:widowControl w:val="0"/>
              <w:suppressAutoHyphens w:val="0"/>
              <w:spacing w:before="0" w:after="0" w:line="240" w:lineRule="auto"/>
              <w:jc w:val="right"/>
              <w:rPr>
                <w:szCs w:val="17"/>
              </w:rPr>
            </w:pPr>
            <w:r>
              <w:rPr>
                <w:szCs w:val="17"/>
              </w:rPr>
              <w:t>800</w:t>
            </w:r>
          </w:p>
        </w:tc>
        <w:tc>
          <w:tcPr>
            <w:tcW w:w="485" w:type="pct"/>
            <w:tcBorders>
              <w:top w:val="single" w:sz="4" w:space="0" w:color="auto"/>
            </w:tcBorders>
          </w:tcPr>
          <w:p w14:paraId="683A77D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2613B3F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CEAF9A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3D78FC26"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18</w:t>
            </w:r>
          </w:p>
        </w:tc>
        <w:tc>
          <w:tcPr>
            <w:tcW w:w="298" w:type="pct"/>
            <w:tcBorders>
              <w:top w:val="single" w:sz="4" w:space="0" w:color="auto"/>
            </w:tcBorders>
          </w:tcPr>
          <w:p w14:paraId="656E0E47"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4A2696C7" w14:textId="77777777" w:rsidR="000110FD" w:rsidRPr="00721FF0" w:rsidRDefault="000110FD" w:rsidP="00E45161">
            <w:pPr>
              <w:pStyle w:val="TableText"/>
              <w:widowControl w:val="0"/>
              <w:suppressAutoHyphens w:val="0"/>
              <w:spacing w:before="0" w:after="0" w:line="240" w:lineRule="auto"/>
              <w:jc w:val="right"/>
            </w:pPr>
            <w:r>
              <w:rPr>
                <w:color w:val="1A1B1A"/>
                <w:szCs w:val="17"/>
              </w:rPr>
              <w:t>0.85</w:t>
            </w:r>
          </w:p>
        </w:tc>
        <w:tc>
          <w:tcPr>
            <w:tcW w:w="298" w:type="pct"/>
            <w:tcBorders>
              <w:top w:val="single" w:sz="4" w:space="0" w:color="auto"/>
            </w:tcBorders>
          </w:tcPr>
          <w:p w14:paraId="45733A17" w14:textId="77777777" w:rsidR="000110FD" w:rsidRPr="00C3293F" w:rsidRDefault="000110FD" w:rsidP="00E45161">
            <w:pPr>
              <w:pStyle w:val="TableText"/>
              <w:widowControl w:val="0"/>
              <w:suppressAutoHyphens w:val="0"/>
              <w:spacing w:before="0" w:after="0" w:line="240" w:lineRule="auto"/>
              <w:jc w:val="right"/>
            </w:pPr>
            <w:r>
              <w:rPr>
                <w:color w:val="1A1B1A"/>
                <w:szCs w:val="17"/>
              </w:rPr>
              <w:t>946</w:t>
            </w:r>
          </w:p>
        </w:tc>
      </w:tr>
      <w:tr w:rsidR="000110FD" w:rsidRPr="00C3293F" w14:paraId="24545D59" w14:textId="77777777" w:rsidTr="000110FD">
        <w:trPr>
          <w:cantSplit/>
          <w:trHeight w:val="13"/>
        </w:trPr>
        <w:tc>
          <w:tcPr>
            <w:tcW w:w="515" w:type="pct"/>
            <w:gridSpan w:val="2"/>
            <w:vMerge/>
            <w:tcBorders>
              <w:bottom w:val="single" w:sz="4" w:space="0" w:color="auto"/>
            </w:tcBorders>
          </w:tcPr>
          <w:p w14:paraId="3D4FD648"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3ADC599B"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326653CB"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1AA96D56"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70D446DE" w14:textId="77777777" w:rsidR="000110FD" w:rsidRDefault="000110FD" w:rsidP="00E45161">
            <w:pPr>
              <w:pStyle w:val="TableText"/>
              <w:widowControl w:val="0"/>
              <w:suppressAutoHyphens w:val="0"/>
              <w:spacing w:before="0" w:after="0" w:line="240" w:lineRule="auto"/>
              <w:jc w:val="right"/>
              <w:rPr>
                <w:szCs w:val="17"/>
              </w:rPr>
            </w:pPr>
            <w:r>
              <w:rPr>
                <w:szCs w:val="17"/>
              </w:rPr>
              <w:t>22.2</w:t>
            </w:r>
            <w:r w:rsidRPr="001C7F07">
              <w:rPr>
                <w:szCs w:val="17"/>
                <w:vertAlign w:val="superscript"/>
              </w:rPr>
              <w:t>b</w:t>
            </w:r>
          </w:p>
        </w:tc>
        <w:tc>
          <w:tcPr>
            <w:tcW w:w="275" w:type="pct"/>
            <w:tcBorders>
              <w:bottom w:val="single" w:sz="4" w:space="0" w:color="auto"/>
            </w:tcBorders>
          </w:tcPr>
          <w:p w14:paraId="1AAFAF8E" w14:textId="77777777" w:rsidR="000110FD" w:rsidRDefault="000110FD" w:rsidP="00E45161">
            <w:pPr>
              <w:pStyle w:val="TableText"/>
              <w:widowControl w:val="0"/>
              <w:suppressAutoHyphens w:val="0"/>
              <w:spacing w:before="0" w:after="0" w:line="240" w:lineRule="auto"/>
              <w:jc w:val="right"/>
              <w:rPr>
                <w:szCs w:val="17"/>
              </w:rPr>
            </w:pPr>
            <w:r>
              <w:rPr>
                <w:szCs w:val="17"/>
              </w:rPr>
              <w:t>600</w:t>
            </w:r>
          </w:p>
        </w:tc>
        <w:tc>
          <w:tcPr>
            <w:tcW w:w="485" w:type="pct"/>
            <w:tcBorders>
              <w:bottom w:val="single" w:sz="4" w:space="0" w:color="auto"/>
            </w:tcBorders>
          </w:tcPr>
          <w:p w14:paraId="60EEACA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3F6198B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1E2CAAD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32A254A4"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13</w:t>
            </w:r>
          </w:p>
        </w:tc>
        <w:tc>
          <w:tcPr>
            <w:tcW w:w="298" w:type="pct"/>
            <w:tcBorders>
              <w:bottom w:val="single" w:sz="4" w:space="0" w:color="auto"/>
            </w:tcBorders>
          </w:tcPr>
          <w:p w14:paraId="1895F850"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4C63DBA5" w14:textId="77777777" w:rsidR="000110FD" w:rsidRPr="00721FF0" w:rsidRDefault="000110FD" w:rsidP="00E45161">
            <w:pPr>
              <w:pStyle w:val="TableText"/>
              <w:widowControl w:val="0"/>
              <w:suppressAutoHyphens w:val="0"/>
              <w:spacing w:before="0" w:after="0" w:line="240" w:lineRule="auto"/>
              <w:jc w:val="right"/>
            </w:pPr>
            <w:r>
              <w:rPr>
                <w:color w:val="1A1B1A"/>
                <w:szCs w:val="17"/>
              </w:rPr>
              <w:t>0.63</w:t>
            </w:r>
          </w:p>
        </w:tc>
        <w:tc>
          <w:tcPr>
            <w:tcW w:w="298" w:type="pct"/>
            <w:tcBorders>
              <w:bottom w:val="single" w:sz="4" w:space="0" w:color="auto"/>
            </w:tcBorders>
          </w:tcPr>
          <w:p w14:paraId="2DEE26D4" w14:textId="77777777" w:rsidR="000110FD" w:rsidRPr="00C3293F" w:rsidRDefault="000110FD" w:rsidP="00E45161">
            <w:pPr>
              <w:pStyle w:val="TableText"/>
              <w:widowControl w:val="0"/>
              <w:suppressAutoHyphens w:val="0"/>
              <w:spacing w:before="0" w:after="0" w:line="240" w:lineRule="auto"/>
              <w:jc w:val="right"/>
            </w:pPr>
            <w:r>
              <w:rPr>
                <w:color w:val="1A1B1A"/>
                <w:szCs w:val="17"/>
              </w:rPr>
              <w:t>946</w:t>
            </w:r>
          </w:p>
        </w:tc>
      </w:tr>
      <w:tr w:rsidR="000110FD" w:rsidRPr="00C3293F" w14:paraId="03F11476" w14:textId="77777777" w:rsidTr="00303DF5">
        <w:trPr>
          <w:cantSplit/>
          <w:trHeight w:val="13"/>
        </w:trPr>
        <w:tc>
          <w:tcPr>
            <w:tcW w:w="5000" w:type="pct"/>
            <w:gridSpan w:val="15"/>
            <w:tcBorders>
              <w:top w:val="single" w:sz="4" w:space="0" w:color="auto"/>
              <w:bottom w:val="single" w:sz="4" w:space="0" w:color="auto"/>
            </w:tcBorders>
          </w:tcPr>
          <w:p w14:paraId="538DDA00" w14:textId="77777777" w:rsidR="000110FD" w:rsidRPr="00C3293F" w:rsidRDefault="000110FD" w:rsidP="00E45161">
            <w:pPr>
              <w:pStyle w:val="TableSubHead0"/>
            </w:pPr>
            <w:r w:rsidRPr="006E2167">
              <w:t xml:space="preserve">General weed control in </w:t>
            </w:r>
            <w:r>
              <w:t xml:space="preserve">bananas, duboisia, forests, </w:t>
            </w:r>
            <w:r w:rsidRPr="006E2167">
              <w:t>orchards, plantations</w:t>
            </w:r>
            <w:r>
              <w:t>, tea tree, and tropical fruits</w:t>
            </w:r>
          </w:p>
        </w:tc>
      </w:tr>
      <w:tr w:rsidR="000110FD" w:rsidRPr="00C3293F" w14:paraId="16A80D9B" w14:textId="77777777" w:rsidTr="000110FD">
        <w:trPr>
          <w:cantSplit/>
          <w:trHeight w:val="13"/>
        </w:trPr>
        <w:tc>
          <w:tcPr>
            <w:tcW w:w="515" w:type="pct"/>
            <w:gridSpan w:val="2"/>
            <w:vMerge w:val="restart"/>
            <w:tcBorders>
              <w:top w:val="single" w:sz="4" w:space="0" w:color="auto"/>
            </w:tcBorders>
          </w:tcPr>
          <w:p w14:paraId="52AA99E7" w14:textId="77777777" w:rsidR="000110FD" w:rsidRDefault="000110FD" w:rsidP="00303DF5">
            <w:pPr>
              <w:pStyle w:val="TableText"/>
              <w:widowControl w:val="0"/>
              <w:suppressAutoHyphens w:val="0"/>
              <w:spacing w:before="0" w:after="0" w:line="240" w:lineRule="auto"/>
              <w:rPr>
                <w:szCs w:val="17"/>
              </w:rPr>
            </w:pPr>
            <w:r>
              <w:rPr>
                <w:szCs w:val="17"/>
              </w:rPr>
              <w:t>Orchards</w:t>
            </w:r>
          </w:p>
        </w:tc>
        <w:tc>
          <w:tcPr>
            <w:tcW w:w="467" w:type="pct"/>
            <w:vMerge w:val="restart"/>
            <w:tcBorders>
              <w:top w:val="single" w:sz="4" w:space="0" w:color="auto"/>
            </w:tcBorders>
          </w:tcPr>
          <w:p w14:paraId="75DF251B"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0C9F761F" w14:textId="77777777" w:rsidR="000110FD" w:rsidRDefault="000110FD" w:rsidP="00303DF5">
            <w:pPr>
              <w:pStyle w:val="TableText"/>
              <w:widowControl w:val="0"/>
              <w:suppressAutoHyphens w:val="0"/>
              <w:spacing w:before="0" w:after="0" w:line="240" w:lineRule="auto"/>
              <w:rPr>
                <w:szCs w:val="17"/>
              </w:rPr>
            </w:pPr>
            <w:r>
              <w:rPr>
                <w:szCs w:val="17"/>
              </w:rPr>
              <w:t>Ground directed</w:t>
            </w:r>
          </w:p>
        </w:tc>
        <w:tc>
          <w:tcPr>
            <w:tcW w:w="486" w:type="pct"/>
            <w:tcBorders>
              <w:top w:val="single" w:sz="4" w:space="0" w:color="auto"/>
            </w:tcBorders>
          </w:tcPr>
          <w:p w14:paraId="5C8339BC"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314ABD29" w14:textId="77777777" w:rsidR="000110FD" w:rsidRDefault="000110FD" w:rsidP="00E45161">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275" w:type="pct"/>
            <w:tcBorders>
              <w:top w:val="single" w:sz="4" w:space="0" w:color="auto"/>
            </w:tcBorders>
          </w:tcPr>
          <w:p w14:paraId="1B479BE6"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485" w:type="pct"/>
            <w:tcBorders>
              <w:top w:val="single" w:sz="4" w:space="0" w:color="auto"/>
            </w:tcBorders>
          </w:tcPr>
          <w:p w14:paraId="25347D6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69BBB0C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6078E23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188BF6E2"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41</w:t>
            </w:r>
          </w:p>
        </w:tc>
        <w:tc>
          <w:tcPr>
            <w:tcW w:w="298" w:type="pct"/>
            <w:tcBorders>
              <w:top w:val="single" w:sz="4" w:space="0" w:color="auto"/>
            </w:tcBorders>
          </w:tcPr>
          <w:p w14:paraId="4C8B02D5"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shd w:val="clear" w:color="auto" w:fill="FF0000"/>
          </w:tcPr>
          <w:p w14:paraId="0BF89134"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2.0</w:t>
            </w:r>
          </w:p>
        </w:tc>
        <w:tc>
          <w:tcPr>
            <w:tcW w:w="298" w:type="pct"/>
            <w:tcBorders>
              <w:top w:val="single" w:sz="4" w:space="0" w:color="auto"/>
            </w:tcBorders>
          </w:tcPr>
          <w:p w14:paraId="59E739FA"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601D146B" w14:textId="77777777" w:rsidTr="000110FD">
        <w:trPr>
          <w:cantSplit/>
          <w:trHeight w:val="13"/>
        </w:trPr>
        <w:tc>
          <w:tcPr>
            <w:tcW w:w="515" w:type="pct"/>
            <w:gridSpan w:val="2"/>
            <w:vMerge/>
          </w:tcPr>
          <w:p w14:paraId="481EA85C"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5B2D9BF9"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7FC59564" w14:textId="77777777" w:rsidR="000110FD" w:rsidRDefault="000110FD" w:rsidP="00303DF5">
            <w:pPr>
              <w:pStyle w:val="TableText"/>
              <w:widowControl w:val="0"/>
              <w:suppressAutoHyphens w:val="0"/>
              <w:spacing w:before="0" w:after="0" w:line="240" w:lineRule="auto"/>
              <w:rPr>
                <w:szCs w:val="17"/>
              </w:rPr>
            </w:pPr>
          </w:p>
        </w:tc>
        <w:tc>
          <w:tcPr>
            <w:tcW w:w="486" w:type="pct"/>
          </w:tcPr>
          <w:p w14:paraId="5A0119C8"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7747029E" w14:textId="77777777" w:rsidR="000110FD" w:rsidRDefault="000110FD" w:rsidP="00E45161">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275" w:type="pct"/>
          </w:tcPr>
          <w:p w14:paraId="7A3C55FD" w14:textId="77777777" w:rsidR="000110FD" w:rsidRDefault="000110FD" w:rsidP="00E45161">
            <w:pPr>
              <w:pStyle w:val="TableText"/>
              <w:widowControl w:val="0"/>
              <w:suppressAutoHyphens w:val="0"/>
              <w:spacing w:before="0" w:after="0" w:line="240" w:lineRule="auto"/>
              <w:jc w:val="right"/>
              <w:rPr>
                <w:szCs w:val="17"/>
              </w:rPr>
            </w:pPr>
            <w:r>
              <w:rPr>
                <w:szCs w:val="17"/>
              </w:rPr>
              <w:t>300</w:t>
            </w:r>
          </w:p>
        </w:tc>
        <w:tc>
          <w:tcPr>
            <w:tcW w:w="485" w:type="pct"/>
          </w:tcPr>
          <w:p w14:paraId="77BBCF0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7B01628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F2ED1E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2376F8C"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34</w:t>
            </w:r>
          </w:p>
        </w:tc>
        <w:tc>
          <w:tcPr>
            <w:tcW w:w="298" w:type="pct"/>
          </w:tcPr>
          <w:p w14:paraId="63BF2599"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shd w:val="clear" w:color="auto" w:fill="FF0000"/>
          </w:tcPr>
          <w:p w14:paraId="37125352"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1.6</w:t>
            </w:r>
          </w:p>
        </w:tc>
        <w:tc>
          <w:tcPr>
            <w:tcW w:w="298" w:type="pct"/>
          </w:tcPr>
          <w:p w14:paraId="55134A7A"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6EA0DC5F" w14:textId="77777777" w:rsidTr="000110FD">
        <w:trPr>
          <w:cantSplit/>
          <w:trHeight w:val="13"/>
        </w:trPr>
        <w:tc>
          <w:tcPr>
            <w:tcW w:w="515" w:type="pct"/>
            <w:gridSpan w:val="2"/>
            <w:vMerge/>
          </w:tcPr>
          <w:p w14:paraId="56A52E80"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9F5D857"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07795468" w14:textId="77777777" w:rsidR="000110FD" w:rsidRDefault="000110FD" w:rsidP="00303DF5">
            <w:pPr>
              <w:pStyle w:val="TableText"/>
              <w:widowControl w:val="0"/>
              <w:suppressAutoHyphens w:val="0"/>
              <w:spacing w:before="0" w:after="0" w:line="240" w:lineRule="auto"/>
              <w:rPr>
                <w:szCs w:val="17"/>
              </w:rPr>
            </w:pPr>
          </w:p>
        </w:tc>
        <w:tc>
          <w:tcPr>
            <w:tcW w:w="486" w:type="pct"/>
          </w:tcPr>
          <w:p w14:paraId="54A7C23E"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42D3A1A9" w14:textId="77777777" w:rsidR="000110FD" w:rsidRDefault="000110FD" w:rsidP="00E45161">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275" w:type="pct"/>
          </w:tcPr>
          <w:p w14:paraId="4BEDA1C4" w14:textId="77777777" w:rsidR="000110FD" w:rsidRDefault="000110FD" w:rsidP="00E45161">
            <w:pPr>
              <w:pStyle w:val="TableText"/>
              <w:widowControl w:val="0"/>
              <w:suppressAutoHyphens w:val="0"/>
              <w:spacing w:before="0" w:after="0" w:line="240" w:lineRule="auto"/>
              <w:jc w:val="right"/>
              <w:rPr>
                <w:szCs w:val="17"/>
              </w:rPr>
            </w:pPr>
            <w:r>
              <w:rPr>
                <w:szCs w:val="17"/>
              </w:rPr>
              <w:t>152</w:t>
            </w:r>
          </w:p>
        </w:tc>
        <w:tc>
          <w:tcPr>
            <w:tcW w:w="485" w:type="pct"/>
            <w:shd w:val="clear" w:color="auto" w:fill="D5D7D5" w:themeFill="text1" w:themeFillTint="33"/>
          </w:tcPr>
          <w:p w14:paraId="7663C014" w14:textId="77777777" w:rsidR="000110FD" w:rsidRDefault="000110FD" w:rsidP="00E45161">
            <w:pPr>
              <w:pStyle w:val="TableText"/>
              <w:widowControl w:val="0"/>
              <w:suppressAutoHyphens w:val="0"/>
              <w:spacing w:before="0" w:after="0" w:line="240" w:lineRule="auto"/>
              <w:jc w:val="right"/>
              <w:rPr>
                <w:szCs w:val="17"/>
              </w:rPr>
            </w:pPr>
            <w:r>
              <w:rPr>
                <w:szCs w:val="17"/>
              </w:rPr>
              <w:t>1.0</w:t>
            </w:r>
            <w:r>
              <w:rPr>
                <w:szCs w:val="17"/>
                <w:vertAlign w:val="superscript"/>
              </w:rPr>
              <w:t>d</w:t>
            </w:r>
          </w:p>
        </w:tc>
        <w:tc>
          <w:tcPr>
            <w:tcW w:w="297" w:type="pct"/>
          </w:tcPr>
          <w:p w14:paraId="6BCCC45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99507D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555B5D0F"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17</w:t>
            </w:r>
          </w:p>
        </w:tc>
        <w:tc>
          <w:tcPr>
            <w:tcW w:w="298" w:type="pct"/>
          </w:tcPr>
          <w:p w14:paraId="2D0DF5FF"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0BA3008C" w14:textId="77777777" w:rsidR="000110FD" w:rsidRPr="00721FF0" w:rsidRDefault="000110FD" w:rsidP="00E45161">
            <w:pPr>
              <w:pStyle w:val="TableText"/>
              <w:widowControl w:val="0"/>
              <w:suppressAutoHyphens w:val="0"/>
              <w:spacing w:before="0" w:after="0" w:line="240" w:lineRule="auto"/>
              <w:jc w:val="right"/>
            </w:pPr>
            <w:r>
              <w:rPr>
                <w:color w:val="1A1B1A"/>
                <w:szCs w:val="17"/>
              </w:rPr>
              <w:t>0.81</w:t>
            </w:r>
          </w:p>
        </w:tc>
        <w:tc>
          <w:tcPr>
            <w:tcW w:w="298" w:type="pct"/>
          </w:tcPr>
          <w:p w14:paraId="0758A439"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166A04F2" w14:textId="77777777" w:rsidTr="000110FD">
        <w:trPr>
          <w:cantSplit/>
          <w:trHeight w:val="13"/>
        </w:trPr>
        <w:tc>
          <w:tcPr>
            <w:tcW w:w="515" w:type="pct"/>
            <w:gridSpan w:val="2"/>
            <w:vMerge/>
          </w:tcPr>
          <w:p w14:paraId="2C331529"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3EBF880E"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54D369D6" w14:textId="77777777" w:rsidR="000110FD" w:rsidRDefault="000110FD" w:rsidP="00303DF5">
            <w:pPr>
              <w:pStyle w:val="TableText"/>
              <w:widowControl w:val="0"/>
              <w:suppressAutoHyphens w:val="0"/>
              <w:spacing w:before="0" w:after="0" w:line="240" w:lineRule="auto"/>
              <w:rPr>
                <w:szCs w:val="17"/>
              </w:rPr>
            </w:pPr>
          </w:p>
        </w:tc>
        <w:tc>
          <w:tcPr>
            <w:tcW w:w="486" w:type="pct"/>
          </w:tcPr>
          <w:p w14:paraId="4D900E08"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2A773A33" w14:textId="77777777" w:rsidR="000110FD" w:rsidRDefault="000110FD" w:rsidP="00E45161">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275" w:type="pct"/>
          </w:tcPr>
          <w:p w14:paraId="3B008295" w14:textId="77777777" w:rsidR="000110FD" w:rsidRDefault="000110FD" w:rsidP="00E45161">
            <w:pPr>
              <w:pStyle w:val="TableText"/>
              <w:widowControl w:val="0"/>
              <w:suppressAutoHyphens w:val="0"/>
              <w:spacing w:before="0" w:after="0" w:line="240" w:lineRule="auto"/>
              <w:jc w:val="right"/>
              <w:rPr>
                <w:szCs w:val="17"/>
              </w:rPr>
            </w:pPr>
            <w:r>
              <w:rPr>
                <w:szCs w:val="17"/>
              </w:rPr>
              <w:t>147</w:t>
            </w:r>
          </w:p>
        </w:tc>
        <w:tc>
          <w:tcPr>
            <w:tcW w:w="485" w:type="pct"/>
          </w:tcPr>
          <w:p w14:paraId="1D9E4F9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5D6130C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499D82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D05318B"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16</w:t>
            </w:r>
          </w:p>
        </w:tc>
        <w:tc>
          <w:tcPr>
            <w:tcW w:w="298" w:type="pct"/>
          </w:tcPr>
          <w:p w14:paraId="5B4A8D51"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561C44E0" w14:textId="77777777" w:rsidR="000110FD" w:rsidRPr="00721FF0" w:rsidRDefault="000110FD" w:rsidP="00E45161">
            <w:pPr>
              <w:pStyle w:val="TableText"/>
              <w:widowControl w:val="0"/>
              <w:suppressAutoHyphens w:val="0"/>
              <w:spacing w:before="0" w:after="0" w:line="240" w:lineRule="auto"/>
              <w:jc w:val="right"/>
            </w:pPr>
            <w:r>
              <w:rPr>
                <w:color w:val="1A1B1A"/>
                <w:szCs w:val="17"/>
              </w:rPr>
              <w:t>0.78</w:t>
            </w:r>
          </w:p>
        </w:tc>
        <w:tc>
          <w:tcPr>
            <w:tcW w:w="298" w:type="pct"/>
          </w:tcPr>
          <w:p w14:paraId="158B2729"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64AFD2EA" w14:textId="77777777" w:rsidTr="000110FD">
        <w:trPr>
          <w:cantSplit/>
          <w:trHeight w:val="13"/>
        </w:trPr>
        <w:tc>
          <w:tcPr>
            <w:tcW w:w="515" w:type="pct"/>
            <w:gridSpan w:val="2"/>
            <w:vMerge/>
          </w:tcPr>
          <w:p w14:paraId="7C4C8277"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E36052C"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197118DE" w14:textId="77777777" w:rsidR="000110FD" w:rsidRDefault="000110FD" w:rsidP="00303DF5">
            <w:pPr>
              <w:pStyle w:val="TableText"/>
              <w:widowControl w:val="0"/>
              <w:suppressAutoHyphens w:val="0"/>
              <w:spacing w:before="0" w:after="0" w:line="240" w:lineRule="auto"/>
              <w:rPr>
                <w:szCs w:val="17"/>
              </w:rPr>
            </w:pPr>
          </w:p>
        </w:tc>
        <w:tc>
          <w:tcPr>
            <w:tcW w:w="486" w:type="pct"/>
          </w:tcPr>
          <w:p w14:paraId="22D3B2C0"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2E7D28C6" w14:textId="77777777" w:rsidR="000110FD" w:rsidRDefault="000110FD" w:rsidP="00E45161">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275" w:type="pct"/>
          </w:tcPr>
          <w:p w14:paraId="1291F02D" w14:textId="77777777" w:rsidR="000110FD" w:rsidRDefault="000110FD" w:rsidP="00E45161">
            <w:pPr>
              <w:pStyle w:val="TableText"/>
              <w:widowControl w:val="0"/>
              <w:suppressAutoHyphens w:val="0"/>
              <w:spacing w:before="0" w:after="0" w:line="240" w:lineRule="auto"/>
              <w:jc w:val="right"/>
              <w:rPr>
                <w:szCs w:val="17"/>
              </w:rPr>
            </w:pPr>
            <w:r>
              <w:rPr>
                <w:szCs w:val="17"/>
              </w:rPr>
              <w:t>120</w:t>
            </w:r>
          </w:p>
        </w:tc>
        <w:tc>
          <w:tcPr>
            <w:tcW w:w="485" w:type="pct"/>
          </w:tcPr>
          <w:p w14:paraId="03B7A35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37016AB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C68A85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660F80C6"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13</w:t>
            </w:r>
          </w:p>
        </w:tc>
        <w:tc>
          <w:tcPr>
            <w:tcW w:w="298" w:type="pct"/>
          </w:tcPr>
          <w:p w14:paraId="7BCC2456"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619AF379" w14:textId="77777777" w:rsidR="000110FD" w:rsidRPr="00721FF0" w:rsidRDefault="000110FD" w:rsidP="00E45161">
            <w:pPr>
              <w:pStyle w:val="TableText"/>
              <w:widowControl w:val="0"/>
              <w:suppressAutoHyphens w:val="0"/>
              <w:spacing w:before="0" w:after="0" w:line="240" w:lineRule="auto"/>
              <w:jc w:val="right"/>
            </w:pPr>
            <w:r>
              <w:rPr>
                <w:color w:val="1A1B1A"/>
                <w:szCs w:val="17"/>
              </w:rPr>
              <w:t>0.64</w:t>
            </w:r>
          </w:p>
        </w:tc>
        <w:tc>
          <w:tcPr>
            <w:tcW w:w="298" w:type="pct"/>
          </w:tcPr>
          <w:p w14:paraId="107B4918"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5ADB75B9" w14:textId="77777777" w:rsidTr="000110FD">
        <w:trPr>
          <w:cantSplit/>
          <w:trHeight w:val="13"/>
        </w:trPr>
        <w:tc>
          <w:tcPr>
            <w:tcW w:w="515" w:type="pct"/>
            <w:gridSpan w:val="2"/>
            <w:vMerge/>
          </w:tcPr>
          <w:p w14:paraId="483B59DC"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27F33A9E"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391C963E"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18BC9002"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14ED5B25" w14:textId="77777777" w:rsidR="000110FD" w:rsidRDefault="000110FD" w:rsidP="00E45161">
            <w:pPr>
              <w:pStyle w:val="TableText"/>
              <w:widowControl w:val="0"/>
              <w:suppressAutoHyphens w:val="0"/>
              <w:spacing w:before="0" w:after="0" w:line="240" w:lineRule="auto"/>
              <w:jc w:val="right"/>
              <w:rPr>
                <w:szCs w:val="17"/>
              </w:rPr>
            </w:pPr>
            <w:r w:rsidRPr="000B2FAB">
              <w:rPr>
                <w:szCs w:val="17"/>
              </w:rPr>
              <w:t>112</w:t>
            </w:r>
            <w:r w:rsidRPr="000B2FAB">
              <w:rPr>
                <w:szCs w:val="17"/>
                <w:vertAlign w:val="superscript"/>
              </w:rPr>
              <w:t>a</w:t>
            </w:r>
          </w:p>
        </w:tc>
        <w:tc>
          <w:tcPr>
            <w:tcW w:w="275" w:type="pct"/>
            <w:tcBorders>
              <w:bottom w:val="single" w:sz="4" w:space="0" w:color="auto"/>
            </w:tcBorders>
          </w:tcPr>
          <w:p w14:paraId="70CE59AE" w14:textId="77777777" w:rsidR="000110FD" w:rsidRDefault="000110FD" w:rsidP="00E45161">
            <w:pPr>
              <w:pStyle w:val="TableText"/>
              <w:widowControl w:val="0"/>
              <w:suppressAutoHyphens w:val="0"/>
              <w:spacing w:before="0" w:after="0" w:line="240" w:lineRule="auto"/>
              <w:jc w:val="right"/>
              <w:rPr>
                <w:szCs w:val="17"/>
              </w:rPr>
            </w:pPr>
            <w:r>
              <w:rPr>
                <w:szCs w:val="17"/>
              </w:rPr>
              <w:t>110</w:t>
            </w:r>
          </w:p>
        </w:tc>
        <w:tc>
          <w:tcPr>
            <w:tcW w:w="485" w:type="pct"/>
            <w:tcBorders>
              <w:bottom w:val="single" w:sz="4" w:space="0" w:color="auto"/>
            </w:tcBorders>
          </w:tcPr>
          <w:p w14:paraId="37534DB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11DA2A4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799568E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73E5F760"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12</w:t>
            </w:r>
          </w:p>
        </w:tc>
        <w:tc>
          <w:tcPr>
            <w:tcW w:w="298" w:type="pct"/>
            <w:tcBorders>
              <w:bottom w:val="single" w:sz="4" w:space="0" w:color="auto"/>
            </w:tcBorders>
          </w:tcPr>
          <w:p w14:paraId="58500427"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10BC23C3" w14:textId="77777777" w:rsidR="000110FD" w:rsidRPr="00721FF0" w:rsidRDefault="000110FD" w:rsidP="00E45161">
            <w:pPr>
              <w:pStyle w:val="TableText"/>
              <w:widowControl w:val="0"/>
              <w:suppressAutoHyphens w:val="0"/>
              <w:spacing w:before="0" w:after="0" w:line="240" w:lineRule="auto"/>
              <w:jc w:val="right"/>
            </w:pPr>
            <w:r>
              <w:rPr>
                <w:color w:val="1A1B1A"/>
                <w:szCs w:val="17"/>
              </w:rPr>
              <w:t>0.59</w:t>
            </w:r>
          </w:p>
        </w:tc>
        <w:tc>
          <w:tcPr>
            <w:tcW w:w="298" w:type="pct"/>
            <w:tcBorders>
              <w:bottom w:val="single" w:sz="4" w:space="0" w:color="auto"/>
            </w:tcBorders>
          </w:tcPr>
          <w:p w14:paraId="1CB4B048"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65BA1B04" w14:textId="77777777" w:rsidTr="000110FD">
        <w:trPr>
          <w:cantSplit/>
          <w:trHeight w:val="13"/>
        </w:trPr>
        <w:tc>
          <w:tcPr>
            <w:tcW w:w="515" w:type="pct"/>
            <w:gridSpan w:val="2"/>
            <w:vMerge/>
          </w:tcPr>
          <w:p w14:paraId="3040238F" w14:textId="77777777" w:rsidR="000110FD" w:rsidRDefault="000110FD" w:rsidP="00303DF5">
            <w:pPr>
              <w:pStyle w:val="TableText"/>
              <w:widowControl w:val="0"/>
              <w:suppressAutoHyphens w:val="0"/>
              <w:spacing w:before="0" w:after="0" w:line="240" w:lineRule="auto"/>
              <w:rPr>
                <w:szCs w:val="17"/>
              </w:rPr>
            </w:pPr>
          </w:p>
        </w:tc>
        <w:tc>
          <w:tcPr>
            <w:tcW w:w="467" w:type="pct"/>
            <w:vMerge w:val="restart"/>
            <w:tcBorders>
              <w:top w:val="single" w:sz="4" w:space="0" w:color="auto"/>
            </w:tcBorders>
          </w:tcPr>
          <w:p w14:paraId="27A0E743"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62D4C5A9" w14:textId="77777777" w:rsidR="000110FD" w:rsidRDefault="000110FD" w:rsidP="00303DF5">
            <w:pPr>
              <w:pStyle w:val="TableText"/>
              <w:widowControl w:val="0"/>
              <w:suppressAutoHyphens w:val="0"/>
              <w:spacing w:before="0" w:after="0" w:line="240" w:lineRule="auto"/>
              <w:rPr>
                <w:szCs w:val="17"/>
              </w:rPr>
            </w:pPr>
            <w:r>
              <w:rPr>
                <w:szCs w:val="17"/>
              </w:rPr>
              <w:t>Ground directed</w:t>
            </w:r>
          </w:p>
        </w:tc>
        <w:tc>
          <w:tcPr>
            <w:tcW w:w="486" w:type="pct"/>
            <w:tcBorders>
              <w:top w:val="single" w:sz="4" w:space="0" w:color="auto"/>
            </w:tcBorders>
          </w:tcPr>
          <w:p w14:paraId="17AFD9CF" w14:textId="77777777" w:rsidR="000110FD" w:rsidRDefault="000110FD" w:rsidP="00303DF5">
            <w:pPr>
              <w:pStyle w:val="TableText"/>
              <w:widowControl w:val="0"/>
              <w:suppressAutoHyphens w:val="0"/>
              <w:spacing w:before="0" w:after="0" w:line="240" w:lineRule="auto"/>
              <w:jc w:val="center"/>
              <w:rPr>
                <w:szCs w:val="17"/>
              </w:rPr>
            </w:pPr>
            <w:r>
              <w:rPr>
                <w:szCs w:val="17"/>
              </w:rPr>
              <w:t>Chronic</w:t>
            </w:r>
          </w:p>
        </w:tc>
        <w:tc>
          <w:tcPr>
            <w:tcW w:w="447" w:type="pct"/>
            <w:tcBorders>
              <w:top w:val="single" w:sz="4" w:space="0" w:color="auto"/>
            </w:tcBorders>
            <w:shd w:val="clear" w:color="auto" w:fill="D5D7D5" w:themeFill="text1" w:themeFillTint="33"/>
          </w:tcPr>
          <w:p w14:paraId="5043A5E0" w14:textId="77777777" w:rsidR="000110FD" w:rsidRDefault="000110FD" w:rsidP="00E45161">
            <w:pPr>
              <w:pStyle w:val="TableText"/>
              <w:widowControl w:val="0"/>
              <w:suppressAutoHyphens w:val="0"/>
              <w:spacing w:before="0" w:after="0" w:line="240" w:lineRule="auto"/>
              <w:jc w:val="right"/>
              <w:rPr>
                <w:szCs w:val="17"/>
              </w:rPr>
            </w:pPr>
            <w:r w:rsidRPr="00067DD8">
              <w:rPr>
                <w:szCs w:val="17"/>
              </w:rPr>
              <w:t>59.3</w:t>
            </w:r>
            <w:r w:rsidRPr="00067DD8">
              <w:rPr>
                <w:szCs w:val="17"/>
                <w:vertAlign w:val="superscript"/>
              </w:rPr>
              <w:t>a</w:t>
            </w:r>
          </w:p>
        </w:tc>
        <w:tc>
          <w:tcPr>
            <w:tcW w:w="275" w:type="pct"/>
            <w:tcBorders>
              <w:top w:val="single" w:sz="4" w:space="0" w:color="auto"/>
            </w:tcBorders>
          </w:tcPr>
          <w:p w14:paraId="4E3F6DBF"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485" w:type="pct"/>
            <w:tcBorders>
              <w:top w:val="single" w:sz="4" w:space="0" w:color="auto"/>
            </w:tcBorders>
          </w:tcPr>
          <w:p w14:paraId="72621D6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390E5979"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top w:val="single" w:sz="4" w:space="0" w:color="auto"/>
            </w:tcBorders>
            <w:shd w:val="clear" w:color="auto" w:fill="D5D7D5" w:themeFill="text1" w:themeFillTint="33"/>
          </w:tcPr>
          <w:p w14:paraId="768B5032" w14:textId="77777777" w:rsidR="000110FD" w:rsidRDefault="000110FD" w:rsidP="00E45161">
            <w:pPr>
              <w:pStyle w:val="TableText"/>
              <w:widowControl w:val="0"/>
              <w:suppressAutoHyphens w:val="0"/>
              <w:spacing w:before="0" w:after="0" w:line="240" w:lineRule="auto"/>
              <w:jc w:val="right"/>
              <w:rPr>
                <w:szCs w:val="17"/>
              </w:rPr>
            </w:pPr>
            <w:r w:rsidRPr="00262A60">
              <w:rPr>
                <w:szCs w:val="17"/>
              </w:rPr>
              <w:t>0.11</w:t>
            </w:r>
            <w:r w:rsidRPr="00262A60">
              <w:rPr>
                <w:szCs w:val="17"/>
                <w:vertAlign w:val="superscript"/>
              </w:rPr>
              <w:t>d</w:t>
            </w:r>
          </w:p>
        </w:tc>
        <w:tc>
          <w:tcPr>
            <w:tcW w:w="297" w:type="pct"/>
            <w:tcBorders>
              <w:top w:val="single" w:sz="4" w:space="0" w:color="auto"/>
            </w:tcBorders>
          </w:tcPr>
          <w:p w14:paraId="599074D1"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1.2</w:t>
            </w:r>
          </w:p>
        </w:tc>
        <w:tc>
          <w:tcPr>
            <w:tcW w:w="298" w:type="pct"/>
            <w:tcBorders>
              <w:top w:val="single" w:sz="4" w:space="0" w:color="auto"/>
            </w:tcBorders>
          </w:tcPr>
          <w:p w14:paraId="15DE4A13" w14:textId="77777777" w:rsidR="000110FD" w:rsidRDefault="000110FD" w:rsidP="00E45161">
            <w:pPr>
              <w:pStyle w:val="TableText"/>
              <w:widowControl w:val="0"/>
              <w:suppressAutoHyphens w:val="0"/>
              <w:spacing w:before="0" w:after="0" w:line="240" w:lineRule="auto"/>
              <w:jc w:val="right"/>
            </w:pPr>
            <w:r w:rsidRPr="00607987">
              <w:rPr>
                <w:color w:val="1A1B1A"/>
                <w:szCs w:val="17"/>
              </w:rPr>
              <w:t>4.0</w:t>
            </w:r>
          </w:p>
        </w:tc>
        <w:tc>
          <w:tcPr>
            <w:tcW w:w="298" w:type="pct"/>
            <w:tcBorders>
              <w:top w:val="single" w:sz="4" w:space="0" w:color="auto"/>
            </w:tcBorders>
          </w:tcPr>
          <w:p w14:paraId="0BCC6DB5" w14:textId="77777777" w:rsidR="000110FD" w:rsidRPr="00721FF0" w:rsidRDefault="000110FD" w:rsidP="00E45161">
            <w:pPr>
              <w:pStyle w:val="TableText"/>
              <w:widowControl w:val="0"/>
              <w:suppressAutoHyphens w:val="0"/>
              <w:spacing w:before="0" w:after="0" w:line="240" w:lineRule="auto"/>
              <w:jc w:val="right"/>
            </w:pPr>
            <w:r>
              <w:rPr>
                <w:color w:val="1A1B1A"/>
                <w:szCs w:val="17"/>
              </w:rPr>
              <w:t>0.30</w:t>
            </w:r>
          </w:p>
        </w:tc>
        <w:tc>
          <w:tcPr>
            <w:tcW w:w="298" w:type="pct"/>
            <w:tcBorders>
              <w:top w:val="single" w:sz="4" w:space="0" w:color="auto"/>
            </w:tcBorders>
          </w:tcPr>
          <w:p w14:paraId="3C997213"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62206F0D" w14:textId="77777777" w:rsidTr="000110FD">
        <w:trPr>
          <w:cantSplit/>
          <w:trHeight w:val="13"/>
        </w:trPr>
        <w:tc>
          <w:tcPr>
            <w:tcW w:w="515" w:type="pct"/>
            <w:gridSpan w:val="2"/>
            <w:vMerge/>
          </w:tcPr>
          <w:p w14:paraId="2FAB59AC"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5B9BE091"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060306A7" w14:textId="77777777" w:rsidR="000110FD" w:rsidRDefault="000110FD" w:rsidP="00303DF5">
            <w:pPr>
              <w:pStyle w:val="TableText"/>
              <w:widowControl w:val="0"/>
              <w:suppressAutoHyphens w:val="0"/>
              <w:spacing w:before="0" w:after="0" w:line="240" w:lineRule="auto"/>
              <w:rPr>
                <w:szCs w:val="17"/>
              </w:rPr>
            </w:pPr>
          </w:p>
        </w:tc>
        <w:tc>
          <w:tcPr>
            <w:tcW w:w="486" w:type="pct"/>
          </w:tcPr>
          <w:p w14:paraId="3D22DE54"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7DB8160D" w14:textId="77777777" w:rsidR="000110FD" w:rsidRDefault="000110FD" w:rsidP="00E45161">
            <w:pPr>
              <w:pStyle w:val="TableText"/>
              <w:widowControl w:val="0"/>
              <w:suppressAutoHyphens w:val="0"/>
              <w:spacing w:before="0" w:after="0" w:line="240" w:lineRule="auto"/>
              <w:jc w:val="right"/>
              <w:rPr>
                <w:szCs w:val="17"/>
              </w:rPr>
            </w:pPr>
            <w:r w:rsidRPr="00067DD8">
              <w:rPr>
                <w:szCs w:val="17"/>
              </w:rPr>
              <w:t>59.3</w:t>
            </w:r>
            <w:r w:rsidRPr="00067DD8">
              <w:rPr>
                <w:szCs w:val="17"/>
                <w:vertAlign w:val="superscript"/>
              </w:rPr>
              <w:t>a</w:t>
            </w:r>
          </w:p>
        </w:tc>
        <w:tc>
          <w:tcPr>
            <w:tcW w:w="275" w:type="pct"/>
          </w:tcPr>
          <w:p w14:paraId="1A32F340" w14:textId="77777777" w:rsidR="000110FD" w:rsidRDefault="000110FD" w:rsidP="00E45161">
            <w:pPr>
              <w:pStyle w:val="TableText"/>
              <w:widowControl w:val="0"/>
              <w:suppressAutoHyphens w:val="0"/>
              <w:spacing w:before="0" w:after="0" w:line="240" w:lineRule="auto"/>
              <w:jc w:val="right"/>
              <w:rPr>
                <w:szCs w:val="17"/>
              </w:rPr>
            </w:pPr>
            <w:r>
              <w:rPr>
                <w:szCs w:val="17"/>
              </w:rPr>
              <w:t>300</w:t>
            </w:r>
          </w:p>
        </w:tc>
        <w:tc>
          <w:tcPr>
            <w:tcW w:w="485" w:type="pct"/>
          </w:tcPr>
          <w:p w14:paraId="2FAAA1E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4012424F"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1786A24D" w14:textId="77777777" w:rsidR="000110FD" w:rsidRDefault="000110FD" w:rsidP="00E45161">
            <w:pPr>
              <w:pStyle w:val="TableText"/>
              <w:widowControl w:val="0"/>
              <w:suppressAutoHyphens w:val="0"/>
              <w:spacing w:before="0" w:after="0" w:line="240" w:lineRule="auto"/>
              <w:jc w:val="right"/>
              <w:rPr>
                <w:szCs w:val="17"/>
              </w:rPr>
            </w:pPr>
            <w:r w:rsidRPr="00262A60">
              <w:rPr>
                <w:szCs w:val="17"/>
              </w:rPr>
              <w:t>0.11</w:t>
            </w:r>
            <w:r w:rsidRPr="00262A60">
              <w:rPr>
                <w:szCs w:val="17"/>
                <w:vertAlign w:val="superscript"/>
              </w:rPr>
              <w:t>d</w:t>
            </w:r>
          </w:p>
        </w:tc>
        <w:tc>
          <w:tcPr>
            <w:tcW w:w="297" w:type="pct"/>
          </w:tcPr>
          <w:p w14:paraId="230D1008"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1.0</w:t>
            </w:r>
          </w:p>
        </w:tc>
        <w:tc>
          <w:tcPr>
            <w:tcW w:w="298" w:type="pct"/>
          </w:tcPr>
          <w:p w14:paraId="472CD541" w14:textId="77777777" w:rsidR="000110FD" w:rsidRDefault="000110FD" w:rsidP="00E45161">
            <w:pPr>
              <w:pStyle w:val="TableText"/>
              <w:widowControl w:val="0"/>
              <w:suppressAutoHyphens w:val="0"/>
              <w:spacing w:before="0" w:after="0" w:line="240" w:lineRule="auto"/>
              <w:jc w:val="right"/>
            </w:pPr>
            <w:r w:rsidRPr="00607987">
              <w:rPr>
                <w:color w:val="1A1B1A"/>
                <w:szCs w:val="17"/>
              </w:rPr>
              <w:t>4.0</w:t>
            </w:r>
          </w:p>
        </w:tc>
        <w:tc>
          <w:tcPr>
            <w:tcW w:w="298" w:type="pct"/>
          </w:tcPr>
          <w:p w14:paraId="1DFDE9FE" w14:textId="77777777" w:rsidR="000110FD" w:rsidRPr="00721FF0" w:rsidRDefault="000110FD" w:rsidP="00E45161">
            <w:pPr>
              <w:pStyle w:val="TableText"/>
              <w:widowControl w:val="0"/>
              <w:suppressAutoHyphens w:val="0"/>
              <w:spacing w:before="0" w:after="0" w:line="240" w:lineRule="auto"/>
              <w:jc w:val="right"/>
            </w:pPr>
            <w:r>
              <w:rPr>
                <w:color w:val="1A1B1A"/>
                <w:szCs w:val="17"/>
              </w:rPr>
              <w:t>0.24</w:t>
            </w:r>
          </w:p>
        </w:tc>
        <w:tc>
          <w:tcPr>
            <w:tcW w:w="298" w:type="pct"/>
          </w:tcPr>
          <w:p w14:paraId="310684C6"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3E7970F1" w14:textId="77777777" w:rsidTr="000110FD">
        <w:trPr>
          <w:cantSplit/>
          <w:trHeight w:val="13"/>
        </w:trPr>
        <w:tc>
          <w:tcPr>
            <w:tcW w:w="515" w:type="pct"/>
            <w:gridSpan w:val="2"/>
            <w:vMerge/>
          </w:tcPr>
          <w:p w14:paraId="11513EBC"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74E0732F"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61AFB773" w14:textId="77777777" w:rsidR="000110FD" w:rsidRDefault="000110FD" w:rsidP="00303DF5">
            <w:pPr>
              <w:pStyle w:val="TableText"/>
              <w:widowControl w:val="0"/>
              <w:suppressAutoHyphens w:val="0"/>
              <w:spacing w:before="0" w:after="0" w:line="240" w:lineRule="auto"/>
              <w:rPr>
                <w:szCs w:val="17"/>
              </w:rPr>
            </w:pPr>
          </w:p>
        </w:tc>
        <w:tc>
          <w:tcPr>
            <w:tcW w:w="486" w:type="pct"/>
          </w:tcPr>
          <w:p w14:paraId="2D1DADD7"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6A2DCA2" w14:textId="77777777" w:rsidR="000110FD" w:rsidRDefault="000110FD" w:rsidP="00E45161">
            <w:pPr>
              <w:pStyle w:val="TableText"/>
              <w:widowControl w:val="0"/>
              <w:suppressAutoHyphens w:val="0"/>
              <w:spacing w:before="0" w:after="0" w:line="240" w:lineRule="auto"/>
              <w:jc w:val="right"/>
              <w:rPr>
                <w:szCs w:val="17"/>
              </w:rPr>
            </w:pPr>
            <w:r w:rsidRPr="00067DD8">
              <w:rPr>
                <w:szCs w:val="17"/>
              </w:rPr>
              <w:t>59.3</w:t>
            </w:r>
            <w:r w:rsidRPr="00067DD8">
              <w:rPr>
                <w:szCs w:val="17"/>
                <w:vertAlign w:val="superscript"/>
              </w:rPr>
              <w:t>a</w:t>
            </w:r>
          </w:p>
        </w:tc>
        <w:tc>
          <w:tcPr>
            <w:tcW w:w="275" w:type="pct"/>
          </w:tcPr>
          <w:p w14:paraId="10F7104A" w14:textId="77777777" w:rsidR="000110FD" w:rsidRDefault="000110FD" w:rsidP="00E45161">
            <w:pPr>
              <w:pStyle w:val="TableText"/>
              <w:widowControl w:val="0"/>
              <w:suppressAutoHyphens w:val="0"/>
              <w:spacing w:before="0" w:after="0" w:line="240" w:lineRule="auto"/>
              <w:jc w:val="right"/>
              <w:rPr>
                <w:szCs w:val="17"/>
              </w:rPr>
            </w:pPr>
            <w:r>
              <w:rPr>
                <w:szCs w:val="17"/>
              </w:rPr>
              <w:t>152</w:t>
            </w:r>
          </w:p>
        </w:tc>
        <w:tc>
          <w:tcPr>
            <w:tcW w:w="485" w:type="pct"/>
            <w:shd w:val="clear" w:color="auto" w:fill="D5D7D5" w:themeFill="text1" w:themeFillTint="33"/>
          </w:tcPr>
          <w:p w14:paraId="7138ADC3" w14:textId="77777777" w:rsidR="000110FD" w:rsidRDefault="000110FD" w:rsidP="00E45161">
            <w:pPr>
              <w:pStyle w:val="TableText"/>
              <w:widowControl w:val="0"/>
              <w:suppressAutoHyphens w:val="0"/>
              <w:spacing w:before="0" w:after="0" w:line="240" w:lineRule="auto"/>
              <w:jc w:val="right"/>
              <w:rPr>
                <w:szCs w:val="17"/>
              </w:rPr>
            </w:pPr>
            <w:r>
              <w:rPr>
                <w:szCs w:val="17"/>
              </w:rPr>
              <w:t>1.0</w:t>
            </w:r>
            <w:r w:rsidRPr="00A464C1">
              <w:rPr>
                <w:szCs w:val="17"/>
                <w:vertAlign w:val="superscript"/>
              </w:rPr>
              <w:t>d</w:t>
            </w:r>
          </w:p>
        </w:tc>
        <w:tc>
          <w:tcPr>
            <w:tcW w:w="297" w:type="pct"/>
          </w:tcPr>
          <w:p w14:paraId="266F0B9A"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0D1CCCDE" w14:textId="77777777" w:rsidR="000110FD" w:rsidRDefault="000110FD" w:rsidP="00E45161">
            <w:pPr>
              <w:pStyle w:val="TableText"/>
              <w:widowControl w:val="0"/>
              <w:suppressAutoHyphens w:val="0"/>
              <w:spacing w:before="0" w:after="0" w:line="240" w:lineRule="auto"/>
              <w:jc w:val="right"/>
              <w:rPr>
                <w:szCs w:val="17"/>
              </w:rPr>
            </w:pPr>
            <w:r w:rsidRPr="00262A60">
              <w:rPr>
                <w:szCs w:val="17"/>
              </w:rPr>
              <w:t>0.11</w:t>
            </w:r>
            <w:r w:rsidRPr="00262A60">
              <w:rPr>
                <w:szCs w:val="17"/>
                <w:vertAlign w:val="superscript"/>
              </w:rPr>
              <w:t>d</w:t>
            </w:r>
          </w:p>
        </w:tc>
        <w:tc>
          <w:tcPr>
            <w:tcW w:w="297" w:type="pct"/>
          </w:tcPr>
          <w:p w14:paraId="24EC23C9"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0.50</w:t>
            </w:r>
          </w:p>
        </w:tc>
        <w:tc>
          <w:tcPr>
            <w:tcW w:w="298" w:type="pct"/>
          </w:tcPr>
          <w:p w14:paraId="1225A645" w14:textId="77777777" w:rsidR="000110FD" w:rsidRDefault="000110FD" w:rsidP="00E45161">
            <w:pPr>
              <w:pStyle w:val="TableText"/>
              <w:widowControl w:val="0"/>
              <w:suppressAutoHyphens w:val="0"/>
              <w:spacing w:before="0" w:after="0" w:line="240" w:lineRule="auto"/>
              <w:jc w:val="right"/>
            </w:pPr>
            <w:r w:rsidRPr="00607987">
              <w:rPr>
                <w:color w:val="1A1B1A"/>
                <w:szCs w:val="17"/>
              </w:rPr>
              <w:t>4.0</w:t>
            </w:r>
          </w:p>
        </w:tc>
        <w:tc>
          <w:tcPr>
            <w:tcW w:w="298" w:type="pct"/>
          </w:tcPr>
          <w:p w14:paraId="49686D26" w14:textId="77777777" w:rsidR="000110FD" w:rsidRPr="00721FF0" w:rsidRDefault="000110FD" w:rsidP="00E45161">
            <w:pPr>
              <w:pStyle w:val="TableText"/>
              <w:widowControl w:val="0"/>
              <w:suppressAutoHyphens w:val="0"/>
              <w:spacing w:before="0" w:after="0" w:line="240" w:lineRule="auto"/>
              <w:jc w:val="right"/>
            </w:pPr>
            <w:r>
              <w:rPr>
                <w:color w:val="1A1B1A"/>
                <w:szCs w:val="17"/>
              </w:rPr>
              <w:t>0.12</w:t>
            </w:r>
          </w:p>
        </w:tc>
        <w:tc>
          <w:tcPr>
            <w:tcW w:w="298" w:type="pct"/>
          </w:tcPr>
          <w:p w14:paraId="46301A9A"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7BBCAE81" w14:textId="77777777" w:rsidTr="000110FD">
        <w:trPr>
          <w:cantSplit/>
          <w:trHeight w:val="13"/>
        </w:trPr>
        <w:tc>
          <w:tcPr>
            <w:tcW w:w="515" w:type="pct"/>
            <w:gridSpan w:val="2"/>
            <w:vMerge/>
          </w:tcPr>
          <w:p w14:paraId="53EEB613"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07CBDFA8"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334FE0F6" w14:textId="77777777" w:rsidR="000110FD" w:rsidRDefault="000110FD" w:rsidP="00303DF5">
            <w:pPr>
              <w:pStyle w:val="TableText"/>
              <w:widowControl w:val="0"/>
              <w:suppressAutoHyphens w:val="0"/>
              <w:spacing w:before="0" w:after="0" w:line="240" w:lineRule="auto"/>
              <w:rPr>
                <w:szCs w:val="17"/>
              </w:rPr>
            </w:pPr>
          </w:p>
        </w:tc>
        <w:tc>
          <w:tcPr>
            <w:tcW w:w="486" w:type="pct"/>
          </w:tcPr>
          <w:p w14:paraId="1A76084C"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3D2917A9" w14:textId="77777777" w:rsidR="000110FD" w:rsidRDefault="000110FD" w:rsidP="00E45161">
            <w:pPr>
              <w:pStyle w:val="TableText"/>
              <w:widowControl w:val="0"/>
              <w:suppressAutoHyphens w:val="0"/>
              <w:spacing w:before="0" w:after="0" w:line="240" w:lineRule="auto"/>
              <w:jc w:val="right"/>
              <w:rPr>
                <w:szCs w:val="17"/>
              </w:rPr>
            </w:pPr>
            <w:r w:rsidRPr="00067DD8">
              <w:rPr>
                <w:szCs w:val="17"/>
              </w:rPr>
              <w:t>59.3</w:t>
            </w:r>
            <w:r w:rsidRPr="00067DD8">
              <w:rPr>
                <w:szCs w:val="17"/>
                <w:vertAlign w:val="superscript"/>
              </w:rPr>
              <w:t>a</w:t>
            </w:r>
          </w:p>
        </w:tc>
        <w:tc>
          <w:tcPr>
            <w:tcW w:w="275" w:type="pct"/>
          </w:tcPr>
          <w:p w14:paraId="6C7D963E" w14:textId="77777777" w:rsidR="000110FD" w:rsidRDefault="000110FD" w:rsidP="00E45161">
            <w:pPr>
              <w:pStyle w:val="TableText"/>
              <w:widowControl w:val="0"/>
              <w:suppressAutoHyphens w:val="0"/>
              <w:spacing w:before="0" w:after="0" w:line="240" w:lineRule="auto"/>
              <w:jc w:val="right"/>
              <w:rPr>
                <w:szCs w:val="17"/>
              </w:rPr>
            </w:pPr>
            <w:r>
              <w:rPr>
                <w:szCs w:val="17"/>
              </w:rPr>
              <w:t>147</w:t>
            </w:r>
          </w:p>
        </w:tc>
        <w:tc>
          <w:tcPr>
            <w:tcW w:w="485" w:type="pct"/>
          </w:tcPr>
          <w:p w14:paraId="28F9BF4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02C299E"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09453A90" w14:textId="77777777" w:rsidR="000110FD" w:rsidRDefault="000110FD" w:rsidP="00E45161">
            <w:pPr>
              <w:pStyle w:val="TableText"/>
              <w:widowControl w:val="0"/>
              <w:suppressAutoHyphens w:val="0"/>
              <w:spacing w:before="0" w:after="0" w:line="240" w:lineRule="auto"/>
              <w:jc w:val="right"/>
              <w:rPr>
                <w:szCs w:val="17"/>
              </w:rPr>
            </w:pPr>
            <w:r w:rsidRPr="00262A60">
              <w:rPr>
                <w:szCs w:val="17"/>
              </w:rPr>
              <w:t>0.11</w:t>
            </w:r>
            <w:r w:rsidRPr="00262A60">
              <w:rPr>
                <w:szCs w:val="17"/>
                <w:vertAlign w:val="superscript"/>
              </w:rPr>
              <w:t>d</w:t>
            </w:r>
          </w:p>
        </w:tc>
        <w:tc>
          <w:tcPr>
            <w:tcW w:w="297" w:type="pct"/>
          </w:tcPr>
          <w:p w14:paraId="3FE46793"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0.48</w:t>
            </w:r>
          </w:p>
        </w:tc>
        <w:tc>
          <w:tcPr>
            <w:tcW w:w="298" w:type="pct"/>
          </w:tcPr>
          <w:p w14:paraId="38665442" w14:textId="77777777" w:rsidR="000110FD" w:rsidRDefault="000110FD" w:rsidP="00E45161">
            <w:pPr>
              <w:pStyle w:val="TableText"/>
              <w:widowControl w:val="0"/>
              <w:suppressAutoHyphens w:val="0"/>
              <w:spacing w:before="0" w:after="0" w:line="240" w:lineRule="auto"/>
              <w:jc w:val="right"/>
            </w:pPr>
            <w:r w:rsidRPr="00607987">
              <w:rPr>
                <w:color w:val="1A1B1A"/>
                <w:szCs w:val="17"/>
              </w:rPr>
              <w:t>4.0</w:t>
            </w:r>
          </w:p>
        </w:tc>
        <w:tc>
          <w:tcPr>
            <w:tcW w:w="298" w:type="pct"/>
          </w:tcPr>
          <w:p w14:paraId="48BB4A5B" w14:textId="77777777" w:rsidR="000110FD" w:rsidRPr="00721FF0" w:rsidRDefault="000110FD" w:rsidP="00E45161">
            <w:pPr>
              <w:pStyle w:val="TableText"/>
              <w:widowControl w:val="0"/>
              <w:suppressAutoHyphens w:val="0"/>
              <w:spacing w:before="0" w:after="0" w:line="240" w:lineRule="auto"/>
              <w:jc w:val="right"/>
            </w:pPr>
            <w:r>
              <w:rPr>
                <w:color w:val="1A1B1A"/>
                <w:szCs w:val="17"/>
              </w:rPr>
              <w:t>0.12</w:t>
            </w:r>
          </w:p>
        </w:tc>
        <w:tc>
          <w:tcPr>
            <w:tcW w:w="298" w:type="pct"/>
          </w:tcPr>
          <w:p w14:paraId="542071DB"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4DA24395" w14:textId="77777777" w:rsidTr="000110FD">
        <w:trPr>
          <w:cantSplit/>
          <w:trHeight w:val="13"/>
        </w:trPr>
        <w:tc>
          <w:tcPr>
            <w:tcW w:w="515" w:type="pct"/>
            <w:gridSpan w:val="2"/>
            <w:vMerge/>
          </w:tcPr>
          <w:p w14:paraId="107F83CD"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06F0098C"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41AAEA92" w14:textId="77777777" w:rsidR="000110FD" w:rsidRDefault="000110FD" w:rsidP="00303DF5">
            <w:pPr>
              <w:pStyle w:val="TableText"/>
              <w:widowControl w:val="0"/>
              <w:suppressAutoHyphens w:val="0"/>
              <w:spacing w:before="0" w:after="0" w:line="240" w:lineRule="auto"/>
              <w:rPr>
                <w:szCs w:val="17"/>
              </w:rPr>
            </w:pPr>
          </w:p>
        </w:tc>
        <w:tc>
          <w:tcPr>
            <w:tcW w:w="486" w:type="pct"/>
          </w:tcPr>
          <w:p w14:paraId="54F5AB0B"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FAFB430" w14:textId="77777777" w:rsidR="000110FD" w:rsidRDefault="000110FD" w:rsidP="00E45161">
            <w:pPr>
              <w:pStyle w:val="TableText"/>
              <w:widowControl w:val="0"/>
              <w:suppressAutoHyphens w:val="0"/>
              <w:spacing w:before="0" w:after="0" w:line="240" w:lineRule="auto"/>
              <w:jc w:val="right"/>
              <w:rPr>
                <w:szCs w:val="17"/>
              </w:rPr>
            </w:pPr>
            <w:r w:rsidRPr="00067DD8">
              <w:rPr>
                <w:szCs w:val="17"/>
              </w:rPr>
              <w:t>59.3</w:t>
            </w:r>
            <w:r w:rsidRPr="00067DD8">
              <w:rPr>
                <w:szCs w:val="17"/>
                <w:vertAlign w:val="superscript"/>
              </w:rPr>
              <w:t>a</w:t>
            </w:r>
          </w:p>
        </w:tc>
        <w:tc>
          <w:tcPr>
            <w:tcW w:w="275" w:type="pct"/>
          </w:tcPr>
          <w:p w14:paraId="42A0848E" w14:textId="77777777" w:rsidR="000110FD" w:rsidRDefault="000110FD" w:rsidP="00E45161">
            <w:pPr>
              <w:pStyle w:val="TableText"/>
              <w:widowControl w:val="0"/>
              <w:suppressAutoHyphens w:val="0"/>
              <w:spacing w:before="0" w:after="0" w:line="240" w:lineRule="auto"/>
              <w:jc w:val="right"/>
              <w:rPr>
                <w:szCs w:val="17"/>
              </w:rPr>
            </w:pPr>
            <w:r>
              <w:rPr>
                <w:szCs w:val="17"/>
              </w:rPr>
              <w:t>120</w:t>
            </w:r>
          </w:p>
        </w:tc>
        <w:tc>
          <w:tcPr>
            <w:tcW w:w="485" w:type="pct"/>
          </w:tcPr>
          <w:p w14:paraId="230A23D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570CAF70"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1CB34377" w14:textId="77777777" w:rsidR="000110FD" w:rsidRDefault="000110FD" w:rsidP="00E45161">
            <w:pPr>
              <w:pStyle w:val="TableText"/>
              <w:widowControl w:val="0"/>
              <w:suppressAutoHyphens w:val="0"/>
              <w:spacing w:before="0" w:after="0" w:line="240" w:lineRule="auto"/>
              <w:jc w:val="right"/>
              <w:rPr>
                <w:szCs w:val="17"/>
              </w:rPr>
            </w:pPr>
            <w:r w:rsidRPr="00262A60">
              <w:rPr>
                <w:szCs w:val="17"/>
              </w:rPr>
              <w:t>0.11</w:t>
            </w:r>
            <w:r w:rsidRPr="00262A60">
              <w:rPr>
                <w:szCs w:val="17"/>
                <w:vertAlign w:val="superscript"/>
              </w:rPr>
              <w:t>d</w:t>
            </w:r>
          </w:p>
        </w:tc>
        <w:tc>
          <w:tcPr>
            <w:tcW w:w="297" w:type="pct"/>
          </w:tcPr>
          <w:p w14:paraId="242FF5AA"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0.39</w:t>
            </w:r>
          </w:p>
        </w:tc>
        <w:tc>
          <w:tcPr>
            <w:tcW w:w="298" w:type="pct"/>
          </w:tcPr>
          <w:p w14:paraId="5EF02E88" w14:textId="77777777" w:rsidR="000110FD" w:rsidRDefault="000110FD" w:rsidP="00E45161">
            <w:pPr>
              <w:pStyle w:val="TableText"/>
              <w:widowControl w:val="0"/>
              <w:suppressAutoHyphens w:val="0"/>
              <w:spacing w:before="0" w:after="0" w:line="240" w:lineRule="auto"/>
              <w:jc w:val="right"/>
            </w:pPr>
            <w:r w:rsidRPr="00607987">
              <w:rPr>
                <w:color w:val="1A1B1A"/>
                <w:szCs w:val="17"/>
              </w:rPr>
              <w:t>4.0</w:t>
            </w:r>
          </w:p>
        </w:tc>
        <w:tc>
          <w:tcPr>
            <w:tcW w:w="298" w:type="pct"/>
          </w:tcPr>
          <w:p w14:paraId="3F3604F4" w14:textId="77777777" w:rsidR="000110FD" w:rsidRPr="00721FF0" w:rsidRDefault="000110FD" w:rsidP="00E45161">
            <w:pPr>
              <w:pStyle w:val="TableText"/>
              <w:widowControl w:val="0"/>
              <w:suppressAutoHyphens w:val="0"/>
              <w:spacing w:before="0" w:after="0" w:line="240" w:lineRule="auto"/>
              <w:jc w:val="right"/>
            </w:pPr>
            <w:r>
              <w:rPr>
                <w:color w:val="1A1B1A"/>
                <w:szCs w:val="17"/>
              </w:rPr>
              <w:t>0.10</w:t>
            </w:r>
          </w:p>
        </w:tc>
        <w:tc>
          <w:tcPr>
            <w:tcW w:w="298" w:type="pct"/>
          </w:tcPr>
          <w:p w14:paraId="1668CD8C"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482F4843" w14:textId="77777777" w:rsidTr="000110FD">
        <w:trPr>
          <w:cantSplit/>
          <w:trHeight w:val="13"/>
        </w:trPr>
        <w:tc>
          <w:tcPr>
            <w:tcW w:w="515" w:type="pct"/>
            <w:gridSpan w:val="2"/>
            <w:vMerge/>
            <w:tcBorders>
              <w:bottom w:val="single" w:sz="4" w:space="0" w:color="auto"/>
            </w:tcBorders>
          </w:tcPr>
          <w:p w14:paraId="65078F28"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6E0BDE2D"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58574CB9"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28273019"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026CEF3A" w14:textId="77777777" w:rsidR="000110FD" w:rsidRDefault="000110FD" w:rsidP="00E45161">
            <w:pPr>
              <w:pStyle w:val="TableText"/>
              <w:widowControl w:val="0"/>
              <w:suppressAutoHyphens w:val="0"/>
              <w:spacing w:before="0" w:after="0" w:line="240" w:lineRule="auto"/>
              <w:jc w:val="right"/>
              <w:rPr>
                <w:szCs w:val="17"/>
              </w:rPr>
            </w:pPr>
            <w:r w:rsidRPr="00067DD8">
              <w:rPr>
                <w:szCs w:val="17"/>
              </w:rPr>
              <w:t>59.3</w:t>
            </w:r>
            <w:r w:rsidRPr="00067DD8">
              <w:rPr>
                <w:szCs w:val="17"/>
                <w:vertAlign w:val="superscript"/>
              </w:rPr>
              <w:t>a</w:t>
            </w:r>
          </w:p>
        </w:tc>
        <w:tc>
          <w:tcPr>
            <w:tcW w:w="275" w:type="pct"/>
            <w:tcBorders>
              <w:bottom w:val="single" w:sz="4" w:space="0" w:color="auto"/>
            </w:tcBorders>
          </w:tcPr>
          <w:p w14:paraId="282223C4" w14:textId="77777777" w:rsidR="000110FD" w:rsidRDefault="000110FD" w:rsidP="00E45161">
            <w:pPr>
              <w:pStyle w:val="TableText"/>
              <w:widowControl w:val="0"/>
              <w:suppressAutoHyphens w:val="0"/>
              <w:spacing w:before="0" w:after="0" w:line="240" w:lineRule="auto"/>
              <w:jc w:val="right"/>
              <w:rPr>
                <w:szCs w:val="17"/>
              </w:rPr>
            </w:pPr>
            <w:r>
              <w:rPr>
                <w:szCs w:val="17"/>
              </w:rPr>
              <w:t>110</w:t>
            </w:r>
          </w:p>
        </w:tc>
        <w:tc>
          <w:tcPr>
            <w:tcW w:w="485" w:type="pct"/>
            <w:tcBorders>
              <w:bottom w:val="single" w:sz="4" w:space="0" w:color="auto"/>
            </w:tcBorders>
          </w:tcPr>
          <w:p w14:paraId="40C2E9A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108B69AB"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bottom w:val="single" w:sz="4" w:space="0" w:color="auto"/>
            </w:tcBorders>
            <w:shd w:val="clear" w:color="auto" w:fill="D5D7D5" w:themeFill="text1" w:themeFillTint="33"/>
          </w:tcPr>
          <w:p w14:paraId="4F61741A" w14:textId="77777777" w:rsidR="000110FD" w:rsidRDefault="000110FD" w:rsidP="00E45161">
            <w:pPr>
              <w:pStyle w:val="TableText"/>
              <w:widowControl w:val="0"/>
              <w:suppressAutoHyphens w:val="0"/>
              <w:spacing w:before="0" w:after="0" w:line="240" w:lineRule="auto"/>
              <w:jc w:val="right"/>
              <w:rPr>
                <w:szCs w:val="17"/>
              </w:rPr>
            </w:pPr>
            <w:r w:rsidRPr="00262A60">
              <w:rPr>
                <w:szCs w:val="17"/>
              </w:rPr>
              <w:t>0.11</w:t>
            </w:r>
            <w:r w:rsidRPr="00262A60">
              <w:rPr>
                <w:szCs w:val="17"/>
                <w:vertAlign w:val="superscript"/>
              </w:rPr>
              <w:t>d</w:t>
            </w:r>
          </w:p>
        </w:tc>
        <w:tc>
          <w:tcPr>
            <w:tcW w:w="297" w:type="pct"/>
            <w:tcBorders>
              <w:bottom w:val="single" w:sz="4" w:space="0" w:color="auto"/>
            </w:tcBorders>
          </w:tcPr>
          <w:p w14:paraId="68AFDF03"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0.36</w:t>
            </w:r>
          </w:p>
        </w:tc>
        <w:tc>
          <w:tcPr>
            <w:tcW w:w="298" w:type="pct"/>
            <w:tcBorders>
              <w:bottom w:val="single" w:sz="4" w:space="0" w:color="auto"/>
            </w:tcBorders>
          </w:tcPr>
          <w:p w14:paraId="3E0B6090" w14:textId="77777777" w:rsidR="000110FD" w:rsidRDefault="000110FD" w:rsidP="00E45161">
            <w:pPr>
              <w:pStyle w:val="TableText"/>
              <w:widowControl w:val="0"/>
              <w:suppressAutoHyphens w:val="0"/>
              <w:spacing w:before="0" w:after="0" w:line="240" w:lineRule="auto"/>
              <w:jc w:val="right"/>
            </w:pPr>
            <w:r w:rsidRPr="00607987">
              <w:rPr>
                <w:color w:val="1A1B1A"/>
                <w:szCs w:val="17"/>
              </w:rPr>
              <w:t>4.0</w:t>
            </w:r>
          </w:p>
        </w:tc>
        <w:tc>
          <w:tcPr>
            <w:tcW w:w="298" w:type="pct"/>
            <w:tcBorders>
              <w:bottom w:val="single" w:sz="4" w:space="0" w:color="auto"/>
            </w:tcBorders>
          </w:tcPr>
          <w:p w14:paraId="5584526C" w14:textId="77777777" w:rsidR="000110FD" w:rsidRPr="00721FF0" w:rsidRDefault="000110FD" w:rsidP="00E45161">
            <w:pPr>
              <w:pStyle w:val="TableText"/>
              <w:widowControl w:val="0"/>
              <w:suppressAutoHyphens w:val="0"/>
              <w:spacing w:before="0" w:after="0" w:line="240" w:lineRule="auto"/>
              <w:jc w:val="right"/>
            </w:pPr>
            <w:r>
              <w:rPr>
                <w:color w:val="1A1B1A"/>
                <w:szCs w:val="17"/>
              </w:rPr>
              <w:t>0.090</w:t>
            </w:r>
          </w:p>
        </w:tc>
        <w:tc>
          <w:tcPr>
            <w:tcW w:w="298" w:type="pct"/>
            <w:tcBorders>
              <w:bottom w:val="single" w:sz="4" w:space="0" w:color="auto"/>
            </w:tcBorders>
          </w:tcPr>
          <w:p w14:paraId="505AD878"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26F9C193" w14:textId="77777777" w:rsidTr="00303DF5">
        <w:trPr>
          <w:cantSplit/>
          <w:trHeight w:val="13"/>
        </w:trPr>
        <w:tc>
          <w:tcPr>
            <w:tcW w:w="5000" w:type="pct"/>
            <w:gridSpan w:val="15"/>
            <w:tcBorders>
              <w:top w:val="single" w:sz="4" w:space="0" w:color="auto"/>
              <w:bottom w:val="single" w:sz="4" w:space="0" w:color="auto"/>
            </w:tcBorders>
          </w:tcPr>
          <w:p w14:paraId="58F415EB" w14:textId="77777777" w:rsidR="000110FD" w:rsidRPr="00C3293F" w:rsidRDefault="000110FD" w:rsidP="00E45161">
            <w:pPr>
              <w:pStyle w:val="TableSubHead0"/>
            </w:pPr>
            <w:r w:rsidRPr="00B5044A">
              <w:t xml:space="preserve">Pre-harvest desiccation in </w:t>
            </w:r>
            <w:r>
              <w:t>potatoes</w:t>
            </w:r>
          </w:p>
        </w:tc>
      </w:tr>
      <w:tr w:rsidR="000110FD" w:rsidRPr="00C3293F" w14:paraId="778F04AC" w14:textId="77777777" w:rsidTr="000110FD">
        <w:trPr>
          <w:cantSplit/>
          <w:trHeight w:val="13"/>
        </w:trPr>
        <w:tc>
          <w:tcPr>
            <w:tcW w:w="515" w:type="pct"/>
            <w:gridSpan w:val="2"/>
            <w:vMerge w:val="restart"/>
            <w:tcBorders>
              <w:top w:val="single" w:sz="4" w:space="0" w:color="auto"/>
            </w:tcBorders>
          </w:tcPr>
          <w:p w14:paraId="5683D8C7" w14:textId="77777777" w:rsidR="000110FD" w:rsidRDefault="000110FD" w:rsidP="00303DF5">
            <w:pPr>
              <w:pStyle w:val="TableText"/>
              <w:widowControl w:val="0"/>
              <w:suppressAutoHyphens w:val="0"/>
              <w:spacing w:before="0" w:after="0" w:line="240" w:lineRule="auto"/>
              <w:rPr>
                <w:szCs w:val="17"/>
              </w:rPr>
            </w:pPr>
            <w:r>
              <w:rPr>
                <w:szCs w:val="17"/>
              </w:rPr>
              <w:t>Potatoes</w:t>
            </w:r>
          </w:p>
        </w:tc>
        <w:tc>
          <w:tcPr>
            <w:tcW w:w="467" w:type="pct"/>
            <w:vMerge w:val="restart"/>
            <w:tcBorders>
              <w:top w:val="single" w:sz="4" w:space="0" w:color="auto"/>
            </w:tcBorders>
          </w:tcPr>
          <w:p w14:paraId="1B2022DC"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3AE62039" w14:textId="77777777" w:rsidR="000110FD" w:rsidRDefault="000110FD" w:rsidP="00303DF5">
            <w:pPr>
              <w:pStyle w:val="TableText"/>
              <w:widowControl w:val="0"/>
              <w:suppressAutoHyphens w:val="0"/>
              <w:spacing w:before="0" w:after="0" w:line="240" w:lineRule="auto"/>
              <w:rPr>
                <w:szCs w:val="17"/>
              </w:rPr>
            </w:pPr>
            <w:r>
              <w:rPr>
                <w:szCs w:val="17"/>
              </w:rPr>
              <w:t>BBCH ≥40</w:t>
            </w:r>
          </w:p>
        </w:tc>
        <w:tc>
          <w:tcPr>
            <w:tcW w:w="486" w:type="pct"/>
            <w:tcBorders>
              <w:top w:val="single" w:sz="4" w:space="0" w:color="auto"/>
            </w:tcBorders>
          </w:tcPr>
          <w:p w14:paraId="296EFD6E"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21FD2CD2" w14:textId="77777777" w:rsidR="000110FD" w:rsidRDefault="000110FD" w:rsidP="00E45161">
            <w:pPr>
              <w:pStyle w:val="TableText"/>
              <w:widowControl w:val="0"/>
              <w:suppressAutoHyphens w:val="0"/>
              <w:spacing w:before="0" w:after="0" w:line="240" w:lineRule="auto"/>
              <w:jc w:val="right"/>
              <w:rPr>
                <w:szCs w:val="17"/>
              </w:rPr>
            </w:pPr>
            <w:r>
              <w:rPr>
                <w:szCs w:val="17"/>
              </w:rPr>
              <w:t>16.8</w:t>
            </w:r>
            <w:r w:rsidRPr="001C7F07">
              <w:rPr>
                <w:szCs w:val="17"/>
                <w:vertAlign w:val="superscript"/>
              </w:rPr>
              <w:t>a,c</w:t>
            </w:r>
          </w:p>
        </w:tc>
        <w:tc>
          <w:tcPr>
            <w:tcW w:w="275" w:type="pct"/>
            <w:tcBorders>
              <w:top w:val="single" w:sz="4" w:space="0" w:color="auto"/>
            </w:tcBorders>
          </w:tcPr>
          <w:p w14:paraId="08AD2F30" w14:textId="77777777" w:rsidR="000110FD" w:rsidRDefault="000110FD" w:rsidP="00E45161">
            <w:pPr>
              <w:pStyle w:val="TableText"/>
              <w:widowControl w:val="0"/>
              <w:suppressAutoHyphens w:val="0"/>
              <w:spacing w:before="0" w:after="0" w:line="240" w:lineRule="auto"/>
              <w:jc w:val="right"/>
              <w:rPr>
                <w:szCs w:val="17"/>
              </w:rPr>
            </w:pPr>
            <w:r>
              <w:rPr>
                <w:szCs w:val="17"/>
              </w:rPr>
              <w:t>800</w:t>
            </w:r>
          </w:p>
        </w:tc>
        <w:tc>
          <w:tcPr>
            <w:tcW w:w="485" w:type="pct"/>
            <w:tcBorders>
              <w:top w:val="single" w:sz="4" w:space="0" w:color="auto"/>
            </w:tcBorders>
          </w:tcPr>
          <w:p w14:paraId="76F7EF1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209B6CF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05AF268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2B64EB3F"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13</w:t>
            </w:r>
          </w:p>
        </w:tc>
        <w:tc>
          <w:tcPr>
            <w:tcW w:w="298" w:type="pct"/>
            <w:tcBorders>
              <w:top w:val="single" w:sz="4" w:space="0" w:color="auto"/>
            </w:tcBorders>
          </w:tcPr>
          <w:p w14:paraId="59A19532"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26E579AE" w14:textId="77777777" w:rsidR="000110FD" w:rsidRPr="00721FF0" w:rsidRDefault="000110FD" w:rsidP="00E45161">
            <w:pPr>
              <w:pStyle w:val="TableText"/>
              <w:widowControl w:val="0"/>
              <w:suppressAutoHyphens w:val="0"/>
              <w:spacing w:before="0" w:after="0" w:line="240" w:lineRule="auto"/>
              <w:jc w:val="right"/>
            </w:pPr>
            <w:r>
              <w:rPr>
                <w:color w:val="1A1B1A"/>
                <w:szCs w:val="17"/>
              </w:rPr>
              <w:t>0.64</w:t>
            </w:r>
          </w:p>
        </w:tc>
        <w:tc>
          <w:tcPr>
            <w:tcW w:w="298" w:type="pct"/>
            <w:tcBorders>
              <w:top w:val="single" w:sz="4" w:space="0" w:color="auto"/>
            </w:tcBorders>
          </w:tcPr>
          <w:p w14:paraId="4C79CBDF" w14:textId="77777777" w:rsidR="000110FD" w:rsidRPr="00C3293F" w:rsidRDefault="000110FD" w:rsidP="00E45161">
            <w:pPr>
              <w:pStyle w:val="TableText"/>
              <w:widowControl w:val="0"/>
              <w:suppressAutoHyphens w:val="0"/>
              <w:spacing w:before="0" w:after="0" w:line="240" w:lineRule="auto"/>
              <w:jc w:val="right"/>
            </w:pPr>
            <w:r>
              <w:rPr>
                <w:color w:val="1A1B1A"/>
                <w:szCs w:val="17"/>
              </w:rPr>
              <w:t>1250</w:t>
            </w:r>
          </w:p>
        </w:tc>
      </w:tr>
      <w:tr w:rsidR="000110FD" w:rsidRPr="00C3293F" w14:paraId="7709A1EE" w14:textId="77777777" w:rsidTr="000110FD">
        <w:trPr>
          <w:cantSplit/>
          <w:trHeight w:val="13"/>
        </w:trPr>
        <w:tc>
          <w:tcPr>
            <w:tcW w:w="515" w:type="pct"/>
            <w:gridSpan w:val="2"/>
            <w:vMerge/>
          </w:tcPr>
          <w:p w14:paraId="44B33272"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29A311E9"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6FF2F0F5"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5612D49F"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2B73CE13" w14:textId="77777777" w:rsidR="000110FD" w:rsidRDefault="000110FD" w:rsidP="00E45161">
            <w:pPr>
              <w:pStyle w:val="TableText"/>
              <w:widowControl w:val="0"/>
              <w:suppressAutoHyphens w:val="0"/>
              <w:spacing w:before="0" w:after="0" w:line="240" w:lineRule="auto"/>
              <w:jc w:val="right"/>
              <w:rPr>
                <w:szCs w:val="17"/>
              </w:rPr>
            </w:pPr>
            <w:r>
              <w:rPr>
                <w:szCs w:val="17"/>
              </w:rPr>
              <w:t>16.8</w:t>
            </w:r>
            <w:r w:rsidRPr="001C7F07">
              <w:rPr>
                <w:szCs w:val="17"/>
                <w:vertAlign w:val="superscript"/>
              </w:rPr>
              <w:t>a,c</w:t>
            </w:r>
          </w:p>
        </w:tc>
        <w:tc>
          <w:tcPr>
            <w:tcW w:w="275" w:type="pct"/>
            <w:tcBorders>
              <w:bottom w:val="single" w:sz="4" w:space="0" w:color="auto"/>
            </w:tcBorders>
          </w:tcPr>
          <w:p w14:paraId="14B5817A" w14:textId="77777777" w:rsidR="000110FD" w:rsidRDefault="000110FD" w:rsidP="00E45161">
            <w:pPr>
              <w:pStyle w:val="TableText"/>
              <w:widowControl w:val="0"/>
              <w:suppressAutoHyphens w:val="0"/>
              <w:spacing w:before="0" w:after="0" w:line="240" w:lineRule="auto"/>
              <w:jc w:val="right"/>
              <w:rPr>
                <w:szCs w:val="17"/>
              </w:rPr>
            </w:pPr>
            <w:r>
              <w:rPr>
                <w:szCs w:val="17"/>
              </w:rPr>
              <w:t>300</w:t>
            </w:r>
          </w:p>
        </w:tc>
        <w:tc>
          <w:tcPr>
            <w:tcW w:w="485" w:type="pct"/>
            <w:tcBorders>
              <w:bottom w:val="single" w:sz="4" w:space="0" w:color="auto"/>
            </w:tcBorders>
          </w:tcPr>
          <w:p w14:paraId="1234DF3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116510A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6D3CF3A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565BC905"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5.0</w:t>
            </w:r>
          </w:p>
        </w:tc>
        <w:tc>
          <w:tcPr>
            <w:tcW w:w="298" w:type="pct"/>
            <w:tcBorders>
              <w:bottom w:val="single" w:sz="4" w:space="0" w:color="auto"/>
            </w:tcBorders>
          </w:tcPr>
          <w:p w14:paraId="1A3BBB21"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0086B390" w14:textId="77777777" w:rsidR="000110FD" w:rsidRPr="00721FF0" w:rsidRDefault="000110FD" w:rsidP="00E45161">
            <w:pPr>
              <w:pStyle w:val="TableText"/>
              <w:widowControl w:val="0"/>
              <w:suppressAutoHyphens w:val="0"/>
              <w:spacing w:before="0" w:after="0" w:line="240" w:lineRule="auto"/>
              <w:jc w:val="right"/>
            </w:pPr>
            <w:r>
              <w:rPr>
                <w:color w:val="1A1B1A"/>
                <w:szCs w:val="17"/>
              </w:rPr>
              <w:t>0.24</w:t>
            </w:r>
          </w:p>
        </w:tc>
        <w:tc>
          <w:tcPr>
            <w:tcW w:w="298" w:type="pct"/>
            <w:tcBorders>
              <w:bottom w:val="single" w:sz="4" w:space="0" w:color="auto"/>
            </w:tcBorders>
          </w:tcPr>
          <w:p w14:paraId="4AA3553B" w14:textId="77777777" w:rsidR="000110FD" w:rsidRPr="00C3293F" w:rsidRDefault="000110FD" w:rsidP="00E45161">
            <w:pPr>
              <w:pStyle w:val="TableText"/>
              <w:widowControl w:val="0"/>
              <w:suppressAutoHyphens w:val="0"/>
              <w:spacing w:before="0" w:after="0" w:line="240" w:lineRule="auto"/>
              <w:jc w:val="right"/>
            </w:pPr>
            <w:r>
              <w:rPr>
                <w:color w:val="1A1B1A"/>
                <w:szCs w:val="17"/>
              </w:rPr>
              <w:t>1250</w:t>
            </w:r>
          </w:p>
        </w:tc>
      </w:tr>
      <w:tr w:rsidR="000110FD" w:rsidRPr="00C3293F" w14:paraId="167B2DAD" w14:textId="77777777" w:rsidTr="000110FD">
        <w:trPr>
          <w:cantSplit/>
          <w:trHeight w:val="13"/>
        </w:trPr>
        <w:tc>
          <w:tcPr>
            <w:tcW w:w="515" w:type="pct"/>
            <w:gridSpan w:val="2"/>
            <w:vMerge/>
          </w:tcPr>
          <w:p w14:paraId="47962989" w14:textId="77777777" w:rsidR="000110FD" w:rsidRDefault="000110FD" w:rsidP="00303DF5">
            <w:pPr>
              <w:pStyle w:val="TableText"/>
              <w:widowControl w:val="0"/>
              <w:suppressAutoHyphens w:val="0"/>
              <w:spacing w:before="0" w:after="0" w:line="240" w:lineRule="auto"/>
              <w:rPr>
                <w:szCs w:val="17"/>
              </w:rPr>
            </w:pPr>
          </w:p>
        </w:tc>
        <w:tc>
          <w:tcPr>
            <w:tcW w:w="467" w:type="pct"/>
            <w:vMerge w:val="restart"/>
            <w:tcBorders>
              <w:top w:val="single" w:sz="4" w:space="0" w:color="auto"/>
            </w:tcBorders>
          </w:tcPr>
          <w:p w14:paraId="66C45332"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14B88A9F" w14:textId="77777777" w:rsidR="000110FD" w:rsidRDefault="000110FD" w:rsidP="00303DF5">
            <w:pPr>
              <w:pStyle w:val="TableText"/>
              <w:widowControl w:val="0"/>
              <w:suppressAutoHyphens w:val="0"/>
              <w:spacing w:before="0" w:after="0" w:line="240" w:lineRule="auto"/>
              <w:rPr>
                <w:szCs w:val="17"/>
              </w:rPr>
            </w:pPr>
            <w:r>
              <w:rPr>
                <w:szCs w:val="17"/>
              </w:rPr>
              <w:t>BBCH ≥40</w:t>
            </w:r>
          </w:p>
        </w:tc>
        <w:tc>
          <w:tcPr>
            <w:tcW w:w="486" w:type="pct"/>
            <w:tcBorders>
              <w:top w:val="single" w:sz="4" w:space="0" w:color="auto"/>
            </w:tcBorders>
          </w:tcPr>
          <w:p w14:paraId="06AAA6FE" w14:textId="77777777" w:rsidR="000110FD" w:rsidRDefault="000110FD" w:rsidP="00303DF5">
            <w:pPr>
              <w:pStyle w:val="TableText"/>
              <w:widowControl w:val="0"/>
              <w:suppressAutoHyphens w:val="0"/>
              <w:spacing w:before="0" w:after="0" w:line="240" w:lineRule="auto"/>
              <w:jc w:val="center"/>
              <w:rPr>
                <w:szCs w:val="17"/>
              </w:rPr>
            </w:pPr>
            <w:r>
              <w:rPr>
                <w:szCs w:val="17"/>
              </w:rPr>
              <w:t>Chronic</w:t>
            </w:r>
          </w:p>
        </w:tc>
        <w:tc>
          <w:tcPr>
            <w:tcW w:w="447" w:type="pct"/>
            <w:tcBorders>
              <w:top w:val="single" w:sz="4" w:space="0" w:color="auto"/>
            </w:tcBorders>
            <w:shd w:val="clear" w:color="auto" w:fill="D5D7D5" w:themeFill="text1" w:themeFillTint="33"/>
          </w:tcPr>
          <w:p w14:paraId="5BD51EB6" w14:textId="77777777" w:rsidR="000110FD" w:rsidRDefault="000110FD" w:rsidP="00E45161">
            <w:pPr>
              <w:pStyle w:val="TableText"/>
              <w:widowControl w:val="0"/>
              <w:suppressAutoHyphens w:val="0"/>
              <w:spacing w:before="0" w:after="0" w:line="240" w:lineRule="auto"/>
              <w:jc w:val="right"/>
              <w:rPr>
                <w:szCs w:val="17"/>
              </w:rPr>
            </w:pPr>
            <w:r>
              <w:rPr>
                <w:szCs w:val="17"/>
              </w:rPr>
              <w:t>8.9</w:t>
            </w:r>
            <w:r w:rsidRPr="001C7F07">
              <w:rPr>
                <w:szCs w:val="17"/>
                <w:vertAlign w:val="superscript"/>
              </w:rPr>
              <w:t>a</w:t>
            </w:r>
            <w:r>
              <w:rPr>
                <w:szCs w:val="17"/>
                <w:vertAlign w:val="superscript"/>
              </w:rPr>
              <w:t>,c</w:t>
            </w:r>
          </w:p>
        </w:tc>
        <w:tc>
          <w:tcPr>
            <w:tcW w:w="275" w:type="pct"/>
            <w:tcBorders>
              <w:top w:val="single" w:sz="4" w:space="0" w:color="auto"/>
            </w:tcBorders>
          </w:tcPr>
          <w:p w14:paraId="1A080E0D" w14:textId="77777777" w:rsidR="000110FD" w:rsidRDefault="000110FD" w:rsidP="00E45161">
            <w:pPr>
              <w:pStyle w:val="TableText"/>
              <w:widowControl w:val="0"/>
              <w:suppressAutoHyphens w:val="0"/>
              <w:spacing w:before="0" w:after="0" w:line="240" w:lineRule="auto"/>
              <w:jc w:val="right"/>
              <w:rPr>
                <w:szCs w:val="17"/>
              </w:rPr>
            </w:pPr>
            <w:r>
              <w:rPr>
                <w:szCs w:val="17"/>
              </w:rPr>
              <w:t>800</w:t>
            </w:r>
          </w:p>
        </w:tc>
        <w:tc>
          <w:tcPr>
            <w:tcW w:w="485" w:type="pct"/>
            <w:tcBorders>
              <w:top w:val="single" w:sz="4" w:space="0" w:color="auto"/>
            </w:tcBorders>
          </w:tcPr>
          <w:p w14:paraId="420FCBB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7306C76D"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top w:val="single" w:sz="4" w:space="0" w:color="auto"/>
            </w:tcBorders>
            <w:shd w:val="clear" w:color="auto" w:fill="D5D7D5" w:themeFill="text1" w:themeFillTint="33"/>
          </w:tcPr>
          <w:p w14:paraId="661D9748" w14:textId="77777777" w:rsidR="000110FD" w:rsidRDefault="000110FD" w:rsidP="00E45161">
            <w:pPr>
              <w:pStyle w:val="TableText"/>
              <w:widowControl w:val="0"/>
              <w:suppressAutoHyphens w:val="0"/>
              <w:spacing w:before="0" w:after="0" w:line="240" w:lineRule="auto"/>
              <w:jc w:val="right"/>
              <w:rPr>
                <w:szCs w:val="17"/>
              </w:rPr>
            </w:pPr>
            <w:r w:rsidRPr="00455117">
              <w:rPr>
                <w:szCs w:val="17"/>
              </w:rPr>
              <w:t>0.11</w:t>
            </w:r>
            <w:r w:rsidRPr="00455117">
              <w:rPr>
                <w:szCs w:val="17"/>
                <w:vertAlign w:val="superscript"/>
              </w:rPr>
              <w:t>d</w:t>
            </w:r>
          </w:p>
        </w:tc>
        <w:tc>
          <w:tcPr>
            <w:tcW w:w="297" w:type="pct"/>
            <w:tcBorders>
              <w:top w:val="single" w:sz="4" w:space="0" w:color="auto"/>
            </w:tcBorders>
          </w:tcPr>
          <w:p w14:paraId="18419A92"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0.39</w:t>
            </w:r>
          </w:p>
        </w:tc>
        <w:tc>
          <w:tcPr>
            <w:tcW w:w="298" w:type="pct"/>
            <w:tcBorders>
              <w:top w:val="single" w:sz="4" w:space="0" w:color="auto"/>
            </w:tcBorders>
          </w:tcPr>
          <w:p w14:paraId="27D39EB8" w14:textId="77777777" w:rsidR="000110FD" w:rsidRDefault="000110FD" w:rsidP="00E45161">
            <w:pPr>
              <w:pStyle w:val="TableText"/>
              <w:widowControl w:val="0"/>
              <w:suppressAutoHyphens w:val="0"/>
              <w:spacing w:before="0" w:after="0" w:line="240" w:lineRule="auto"/>
              <w:jc w:val="right"/>
            </w:pPr>
            <w:r w:rsidRPr="00EE73DD">
              <w:rPr>
                <w:color w:val="1A1B1A"/>
                <w:szCs w:val="17"/>
              </w:rPr>
              <w:t>4.0</w:t>
            </w:r>
          </w:p>
        </w:tc>
        <w:tc>
          <w:tcPr>
            <w:tcW w:w="298" w:type="pct"/>
            <w:tcBorders>
              <w:top w:val="single" w:sz="4" w:space="0" w:color="auto"/>
            </w:tcBorders>
          </w:tcPr>
          <w:p w14:paraId="7C7CBDD9" w14:textId="77777777" w:rsidR="000110FD" w:rsidRPr="00721FF0" w:rsidRDefault="000110FD" w:rsidP="00E45161">
            <w:pPr>
              <w:pStyle w:val="TableText"/>
              <w:widowControl w:val="0"/>
              <w:suppressAutoHyphens w:val="0"/>
              <w:spacing w:before="0" w:after="0" w:line="240" w:lineRule="auto"/>
              <w:jc w:val="right"/>
            </w:pPr>
            <w:r>
              <w:rPr>
                <w:color w:val="1A1B1A"/>
                <w:szCs w:val="17"/>
              </w:rPr>
              <w:t>0.10</w:t>
            </w:r>
          </w:p>
        </w:tc>
        <w:tc>
          <w:tcPr>
            <w:tcW w:w="298" w:type="pct"/>
            <w:tcBorders>
              <w:top w:val="single" w:sz="4" w:space="0" w:color="auto"/>
            </w:tcBorders>
          </w:tcPr>
          <w:p w14:paraId="588C3933" w14:textId="77777777" w:rsidR="000110FD" w:rsidRPr="00C3293F" w:rsidRDefault="000110FD" w:rsidP="00E45161">
            <w:pPr>
              <w:pStyle w:val="TableText"/>
              <w:widowControl w:val="0"/>
              <w:suppressAutoHyphens w:val="0"/>
              <w:spacing w:before="0" w:after="0" w:line="240" w:lineRule="auto"/>
              <w:jc w:val="right"/>
            </w:pPr>
            <w:r>
              <w:rPr>
                <w:color w:val="1A1B1A"/>
                <w:szCs w:val="17"/>
              </w:rPr>
              <w:t>8172</w:t>
            </w:r>
          </w:p>
        </w:tc>
      </w:tr>
      <w:tr w:rsidR="000110FD" w:rsidRPr="00C3293F" w14:paraId="6540AF52" w14:textId="77777777" w:rsidTr="000110FD">
        <w:trPr>
          <w:cantSplit/>
          <w:trHeight w:val="13"/>
        </w:trPr>
        <w:tc>
          <w:tcPr>
            <w:tcW w:w="515" w:type="pct"/>
            <w:gridSpan w:val="2"/>
            <w:vMerge/>
            <w:tcBorders>
              <w:bottom w:val="single" w:sz="4" w:space="0" w:color="auto"/>
            </w:tcBorders>
          </w:tcPr>
          <w:p w14:paraId="0E93F8A7"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5DB6D7FD"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4A88DD07"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7F942065"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70ABAE23" w14:textId="77777777" w:rsidR="000110FD" w:rsidRDefault="000110FD" w:rsidP="00E45161">
            <w:pPr>
              <w:pStyle w:val="TableText"/>
              <w:widowControl w:val="0"/>
              <w:suppressAutoHyphens w:val="0"/>
              <w:spacing w:before="0" w:after="0" w:line="240" w:lineRule="auto"/>
              <w:jc w:val="right"/>
              <w:rPr>
                <w:szCs w:val="17"/>
              </w:rPr>
            </w:pPr>
            <w:r>
              <w:rPr>
                <w:szCs w:val="17"/>
              </w:rPr>
              <w:t>8.9</w:t>
            </w:r>
            <w:r w:rsidRPr="001C7F07">
              <w:rPr>
                <w:szCs w:val="17"/>
                <w:vertAlign w:val="superscript"/>
              </w:rPr>
              <w:t>a</w:t>
            </w:r>
            <w:r>
              <w:rPr>
                <w:szCs w:val="17"/>
                <w:vertAlign w:val="superscript"/>
              </w:rPr>
              <w:t>,c</w:t>
            </w:r>
          </w:p>
        </w:tc>
        <w:tc>
          <w:tcPr>
            <w:tcW w:w="275" w:type="pct"/>
            <w:tcBorders>
              <w:bottom w:val="single" w:sz="4" w:space="0" w:color="auto"/>
            </w:tcBorders>
          </w:tcPr>
          <w:p w14:paraId="054460D7" w14:textId="77777777" w:rsidR="000110FD" w:rsidRDefault="000110FD" w:rsidP="00E45161">
            <w:pPr>
              <w:pStyle w:val="TableText"/>
              <w:widowControl w:val="0"/>
              <w:suppressAutoHyphens w:val="0"/>
              <w:spacing w:before="0" w:after="0" w:line="240" w:lineRule="auto"/>
              <w:jc w:val="right"/>
              <w:rPr>
                <w:szCs w:val="17"/>
              </w:rPr>
            </w:pPr>
            <w:r>
              <w:rPr>
                <w:szCs w:val="17"/>
              </w:rPr>
              <w:t>300</w:t>
            </w:r>
          </w:p>
        </w:tc>
        <w:tc>
          <w:tcPr>
            <w:tcW w:w="485" w:type="pct"/>
            <w:tcBorders>
              <w:bottom w:val="single" w:sz="4" w:space="0" w:color="auto"/>
            </w:tcBorders>
          </w:tcPr>
          <w:p w14:paraId="2B43CFC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6386DD8F"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bottom w:val="single" w:sz="4" w:space="0" w:color="auto"/>
            </w:tcBorders>
            <w:shd w:val="clear" w:color="auto" w:fill="D5D7D5" w:themeFill="text1" w:themeFillTint="33"/>
          </w:tcPr>
          <w:p w14:paraId="47EE8FBD" w14:textId="77777777" w:rsidR="000110FD" w:rsidRDefault="000110FD" w:rsidP="00E45161">
            <w:pPr>
              <w:pStyle w:val="TableText"/>
              <w:widowControl w:val="0"/>
              <w:suppressAutoHyphens w:val="0"/>
              <w:spacing w:before="0" w:after="0" w:line="240" w:lineRule="auto"/>
              <w:jc w:val="right"/>
              <w:rPr>
                <w:szCs w:val="17"/>
              </w:rPr>
            </w:pPr>
            <w:r w:rsidRPr="00455117">
              <w:rPr>
                <w:szCs w:val="17"/>
              </w:rPr>
              <w:t>0.11</w:t>
            </w:r>
            <w:r w:rsidRPr="00455117">
              <w:rPr>
                <w:szCs w:val="17"/>
                <w:vertAlign w:val="superscript"/>
              </w:rPr>
              <w:t>d</w:t>
            </w:r>
          </w:p>
        </w:tc>
        <w:tc>
          <w:tcPr>
            <w:tcW w:w="297" w:type="pct"/>
            <w:tcBorders>
              <w:bottom w:val="single" w:sz="4" w:space="0" w:color="auto"/>
            </w:tcBorders>
          </w:tcPr>
          <w:p w14:paraId="260D28DE"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0.15</w:t>
            </w:r>
          </w:p>
        </w:tc>
        <w:tc>
          <w:tcPr>
            <w:tcW w:w="298" w:type="pct"/>
            <w:tcBorders>
              <w:bottom w:val="single" w:sz="4" w:space="0" w:color="auto"/>
            </w:tcBorders>
          </w:tcPr>
          <w:p w14:paraId="61E59301" w14:textId="77777777" w:rsidR="000110FD" w:rsidRDefault="000110FD" w:rsidP="00E45161">
            <w:pPr>
              <w:pStyle w:val="TableText"/>
              <w:widowControl w:val="0"/>
              <w:suppressAutoHyphens w:val="0"/>
              <w:spacing w:before="0" w:after="0" w:line="240" w:lineRule="auto"/>
              <w:jc w:val="right"/>
            </w:pPr>
            <w:r w:rsidRPr="00EE73DD">
              <w:rPr>
                <w:color w:val="1A1B1A"/>
                <w:szCs w:val="17"/>
              </w:rPr>
              <w:t>4.0</w:t>
            </w:r>
          </w:p>
        </w:tc>
        <w:tc>
          <w:tcPr>
            <w:tcW w:w="298" w:type="pct"/>
            <w:tcBorders>
              <w:bottom w:val="single" w:sz="4" w:space="0" w:color="auto"/>
            </w:tcBorders>
          </w:tcPr>
          <w:p w14:paraId="3F457CB5" w14:textId="77777777" w:rsidR="000110FD" w:rsidRPr="00721FF0" w:rsidRDefault="000110FD" w:rsidP="00E45161">
            <w:pPr>
              <w:pStyle w:val="TableText"/>
              <w:widowControl w:val="0"/>
              <w:suppressAutoHyphens w:val="0"/>
              <w:spacing w:before="0" w:after="0" w:line="240" w:lineRule="auto"/>
              <w:jc w:val="right"/>
            </w:pPr>
            <w:r>
              <w:rPr>
                <w:color w:val="1A1B1A"/>
                <w:szCs w:val="17"/>
              </w:rPr>
              <w:t>0.037</w:t>
            </w:r>
          </w:p>
        </w:tc>
        <w:tc>
          <w:tcPr>
            <w:tcW w:w="298" w:type="pct"/>
            <w:tcBorders>
              <w:bottom w:val="single" w:sz="4" w:space="0" w:color="auto"/>
            </w:tcBorders>
          </w:tcPr>
          <w:p w14:paraId="67CE0272" w14:textId="77777777" w:rsidR="000110FD" w:rsidRPr="00C3293F" w:rsidRDefault="000110FD" w:rsidP="00E45161">
            <w:pPr>
              <w:pStyle w:val="TableText"/>
              <w:widowControl w:val="0"/>
              <w:suppressAutoHyphens w:val="0"/>
              <w:spacing w:before="0" w:after="0" w:line="240" w:lineRule="auto"/>
              <w:jc w:val="right"/>
            </w:pPr>
            <w:r>
              <w:rPr>
                <w:color w:val="1A1B1A"/>
                <w:szCs w:val="17"/>
              </w:rPr>
              <w:t>8172</w:t>
            </w:r>
          </w:p>
        </w:tc>
      </w:tr>
      <w:tr w:rsidR="000110FD" w:rsidRPr="00C3293F" w14:paraId="0354EF0F" w14:textId="77777777" w:rsidTr="00303DF5">
        <w:trPr>
          <w:cantSplit/>
          <w:trHeight w:val="13"/>
        </w:trPr>
        <w:tc>
          <w:tcPr>
            <w:tcW w:w="5000" w:type="pct"/>
            <w:gridSpan w:val="15"/>
            <w:tcBorders>
              <w:top w:val="single" w:sz="4" w:space="0" w:color="auto"/>
              <w:bottom w:val="single" w:sz="4" w:space="0" w:color="auto"/>
            </w:tcBorders>
          </w:tcPr>
          <w:p w14:paraId="7D92C9CE" w14:textId="77777777" w:rsidR="000110FD" w:rsidRPr="00C3293F" w:rsidRDefault="000110FD" w:rsidP="00E45161">
            <w:pPr>
              <w:pStyle w:val="TableSubHead0"/>
            </w:pPr>
            <w:r w:rsidRPr="00B5044A">
              <w:t xml:space="preserve">Pre-harvest desiccation in </w:t>
            </w:r>
            <w:r>
              <w:t>pulses</w:t>
            </w:r>
          </w:p>
        </w:tc>
      </w:tr>
      <w:tr w:rsidR="000110FD" w:rsidRPr="00C3293F" w14:paraId="260B3B2A" w14:textId="77777777" w:rsidTr="000110FD">
        <w:trPr>
          <w:cantSplit/>
          <w:trHeight w:val="13"/>
        </w:trPr>
        <w:tc>
          <w:tcPr>
            <w:tcW w:w="515" w:type="pct"/>
            <w:gridSpan w:val="2"/>
            <w:tcBorders>
              <w:top w:val="single" w:sz="4" w:space="0" w:color="auto"/>
            </w:tcBorders>
          </w:tcPr>
          <w:p w14:paraId="6C63B271" w14:textId="77777777" w:rsidR="000110FD" w:rsidRDefault="000110FD" w:rsidP="00303DF5">
            <w:pPr>
              <w:pStyle w:val="TableText"/>
              <w:widowControl w:val="0"/>
              <w:suppressAutoHyphens w:val="0"/>
              <w:spacing w:before="0" w:after="0" w:line="240" w:lineRule="auto"/>
              <w:rPr>
                <w:szCs w:val="17"/>
              </w:rPr>
            </w:pPr>
            <w:r>
              <w:rPr>
                <w:szCs w:val="17"/>
              </w:rPr>
              <w:t>Pulses</w:t>
            </w:r>
          </w:p>
        </w:tc>
        <w:tc>
          <w:tcPr>
            <w:tcW w:w="467" w:type="pct"/>
            <w:tcBorders>
              <w:top w:val="single" w:sz="4" w:space="0" w:color="auto"/>
            </w:tcBorders>
          </w:tcPr>
          <w:p w14:paraId="47C18865"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tcBorders>
              <w:top w:val="single" w:sz="4" w:space="0" w:color="auto"/>
            </w:tcBorders>
          </w:tcPr>
          <w:p w14:paraId="669A7876" w14:textId="77777777" w:rsidR="000110FD" w:rsidRDefault="000110FD" w:rsidP="00303DF5">
            <w:pPr>
              <w:pStyle w:val="TableText"/>
              <w:widowControl w:val="0"/>
              <w:suppressAutoHyphens w:val="0"/>
              <w:spacing w:before="0" w:after="0" w:line="240" w:lineRule="auto"/>
              <w:rPr>
                <w:szCs w:val="17"/>
              </w:rPr>
            </w:pPr>
            <w:r>
              <w:rPr>
                <w:szCs w:val="17"/>
              </w:rPr>
              <w:t>BBCH ≥50</w:t>
            </w:r>
          </w:p>
        </w:tc>
        <w:tc>
          <w:tcPr>
            <w:tcW w:w="486" w:type="pct"/>
            <w:tcBorders>
              <w:top w:val="single" w:sz="4" w:space="0" w:color="auto"/>
            </w:tcBorders>
          </w:tcPr>
          <w:p w14:paraId="4F0C24AD"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1FE7EA93" w14:textId="77777777" w:rsidR="000110FD" w:rsidRDefault="000110FD" w:rsidP="00E45161">
            <w:pPr>
              <w:pStyle w:val="TableText"/>
              <w:widowControl w:val="0"/>
              <w:suppressAutoHyphens w:val="0"/>
              <w:spacing w:before="0" w:after="0" w:line="240" w:lineRule="auto"/>
              <w:jc w:val="right"/>
              <w:rPr>
                <w:szCs w:val="17"/>
              </w:rPr>
            </w:pPr>
            <w:r>
              <w:rPr>
                <w:szCs w:val="17"/>
              </w:rPr>
              <w:t>33.6</w:t>
            </w:r>
            <w:r w:rsidRPr="001C7F07">
              <w:rPr>
                <w:szCs w:val="17"/>
                <w:vertAlign w:val="superscript"/>
              </w:rPr>
              <w:t>a</w:t>
            </w:r>
          </w:p>
        </w:tc>
        <w:tc>
          <w:tcPr>
            <w:tcW w:w="275" w:type="pct"/>
            <w:tcBorders>
              <w:top w:val="single" w:sz="4" w:space="0" w:color="auto"/>
            </w:tcBorders>
          </w:tcPr>
          <w:p w14:paraId="1F1EC832" w14:textId="77777777" w:rsidR="000110FD" w:rsidRDefault="000110FD" w:rsidP="00E45161">
            <w:pPr>
              <w:pStyle w:val="TableText"/>
              <w:widowControl w:val="0"/>
              <w:suppressAutoHyphens w:val="0"/>
              <w:spacing w:before="0" w:after="0" w:line="240" w:lineRule="auto"/>
              <w:jc w:val="right"/>
              <w:rPr>
                <w:szCs w:val="17"/>
              </w:rPr>
            </w:pPr>
            <w:r>
              <w:rPr>
                <w:szCs w:val="17"/>
              </w:rPr>
              <w:t>600</w:t>
            </w:r>
          </w:p>
        </w:tc>
        <w:tc>
          <w:tcPr>
            <w:tcW w:w="485" w:type="pct"/>
            <w:tcBorders>
              <w:top w:val="single" w:sz="4" w:space="0" w:color="auto"/>
            </w:tcBorders>
          </w:tcPr>
          <w:p w14:paraId="7AF2E1E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52D06C0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20CD029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73EA121B"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20</w:t>
            </w:r>
          </w:p>
        </w:tc>
        <w:tc>
          <w:tcPr>
            <w:tcW w:w="298" w:type="pct"/>
            <w:tcBorders>
              <w:top w:val="single" w:sz="4" w:space="0" w:color="auto"/>
            </w:tcBorders>
          </w:tcPr>
          <w:p w14:paraId="75C5842D"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tcPr>
          <w:p w14:paraId="356CA19E" w14:textId="77777777" w:rsidR="000110FD" w:rsidRPr="00721FF0" w:rsidRDefault="000110FD" w:rsidP="00E45161">
            <w:pPr>
              <w:pStyle w:val="TableText"/>
              <w:widowControl w:val="0"/>
              <w:suppressAutoHyphens w:val="0"/>
              <w:spacing w:before="0" w:after="0" w:line="240" w:lineRule="auto"/>
              <w:jc w:val="right"/>
            </w:pPr>
            <w:r>
              <w:rPr>
                <w:color w:val="1A1B1A"/>
                <w:szCs w:val="17"/>
              </w:rPr>
              <w:t>0.96</w:t>
            </w:r>
          </w:p>
        </w:tc>
        <w:tc>
          <w:tcPr>
            <w:tcW w:w="298" w:type="pct"/>
            <w:tcBorders>
              <w:top w:val="single" w:sz="4" w:space="0" w:color="auto"/>
            </w:tcBorders>
          </w:tcPr>
          <w:p w14:paraId="2380FA33" w14:textId="77777777" w:rsidR="000110FD" w:rsidRPr="00C3293F" w:rsidRDefault="000110FD" w:rsidP="00E45161">
            <w:pPr>
              <w:pStyle w:val="TableText"/>
              <w:widowControl w:val="0"/>
              <w:suppressAutoHyphens w:val="0"/>
              <w:spacing w:before="0" w:after="0" w:line="240" w:lineRule="auto"/>
              <w:jc w:val="right"/>
            </w:pPr>
            <w:r>
              <w:rPr>
                <w:color w:val="1A1B1A"/>
                <w:szCs w:val="17"/>
              </w:rPr>
              <w:t>625</w:t>
            </w:r>
          </w:p>
        </w:tc>
      </w:tr>
      <w:tr w:rsidR="000110FD" w:rsidRPr="00C3293F" w14:paraId="7356FD9E" w14:textId="77777777" w:rsidTr="00303DF5">
        <w:trPr>
          <w:cantSplit/>
          <w:trHeight w:val="13"/>
        </w:trPr>
        <w:tc>
          <w:tcPr>
            <w:tcW w:w="5000" w:type="pct"/>
            <w:gridSpan w:val="15"/>
            <w:tcBorders>
              <w:top w:val="single" w:sz="4" w:space="0" w:color="auto"/>
              <w:bottom w:val="single" w:sz="4" w:space="0" w:color="auto"/>
            </w:tcBorders>
          </w:tcPr>
          <w:p w14:paraId="17E97C6C" w14:textId="77777777" w:rsidR="000110FD" w:rsidRPr="00C3293F" w:rsidRDefault="000110FD" w:rsidP="00E45161">
            <w:pPr>
              <w:pStyle w:val="TableSubHead0"/>
            </w:pPr>
            <w:r>
              <w:t>General weed control in vineyards</w:t>
            </w:r>
          </w:p>
        </w:tc>
      </w:tr>
      <w:tr w:rsidR="000110FD" w:rsidRPr="00C3293F" w14:paraId="0EBED708" w14:textId="77777777" w:rsidTr="000110FD">
        <w:trPr>
          <w:cantSplit/>
          <w:trHeight w:val="13"/>
        </w:trPr>
        <w:tc>
          <w:tcPr>
            <w:tcW w:w="515" w:type="pct"/>
            <w:gridSpan w:val="2"/>
            <w:vMerge w:val="restart"/>
            <w:tcBorders>
              <w:top w:val="single" w:sz="4" w:space="0" w:color="auto"/>
            </w:tcBorders>
          </w:tcPr>
          <w:p w14:paraId="6B4C940D" w14:textId="77777777" w:rsidR="000110FD" w:rsidRDefault="000110FD" w:rsidP="00303DF5">
            <w:pPr>
              <w:pStyle w:val="TableText"/>
              <w:widowControl w:val="0"/>
              <w:suppressAutoHyphens w:val="0"/>
              <w:spacing w:before="0" w:after="0" w:line="240" w:lineRule="auto"/>
              <w:rPr>
                <w:szCs w:val="17"/>
              </w:rPr>
            </w:pPr>
            <w:r>
              <w:rPr>
                <w:szCs w:val="17"/>
              </w:rPr>
              <w:t>Vineyards</w:t>
            </w:r>
          </w:p>
        </w:tc>
        <w:tc>
          <w:tcPr>
            <w:tcW w:w="467" w:type="pct"/>
            <w:vMerge w:val="restart"/>
            <w:tcBorders>
              <w:top w:val="single" w:sz="4" w:space="0" w:color="auto"/>
            </w:tcBorders>
          </w:tcPr>
          <w:p w14:paraId="73D8A816"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59B54D73" w14:textId="77777777" w:rsidR="000110FD" w:rsidRDefault="000110FD" w:rsidP="00303DF5">
            <w:pPr>
              <w:pStyle w:val="TableText"/>
              <w:widowControl w:val="0"/>
              <w:suppressAutoHyphens w:val="0"/>
              <w:spacing w:before="0" w:after="0" w:line="240" w:lineRule="auto"/>
              <w:rPr>
                <w:szCs w:val="17"/>
              </w:rPr>
            </w:pPr>
            <w:r>
              <w:rPr>
                <w:szCs w:val="17"/>
              </w:rPr>
              <w:t>Ground directed</w:t>
            </w:r>
          </w:p>
        </w:tc>
        <w:tc>
          <w:tcPr>
            <w:tcW w:w="486" w:type="pct"/>
            <w:tcBorders>
              <w:top w:val="single" w:sz="4" w:space="0" w:color="auto"/>
            </w:tcBorders>
          </w:tcPr>
          <w:p w14:paraId="1B691F8D" w14:textId="77777777" w:rsidR="000110FD" w:rsidRDefault="000110FD" w:rsidP="00303DF5">
            <w:pPr>
              <w:pStyle w:val="TableText"/>
              <w:widowControl w:val="0"/>
              <w:suppressAutoHyphens w:val="0"/>
              <w:spacing w:before="0" w:after="0" w:line="240" w:lineRule="auto"/>
              <w:jc w:val="center"/>
              <w:rPr>
                <w:szCs w:val="17"/>
              </w:rPr>
            </w:pPr>
            <w:r>
              <w:rPr>
                <w:szCs w:val="17"/>
              </w:rPr>
              <w:t>Acute</w:t>
            </w:r>
          </w:p>
        </w:tc>
        <w:tc>
          <w:tcPr>
            <w:tcW w:w="447" w:type="pct"/>
            <w:tcBorders>
              <w:top w:val="single" w:sz="4" w:space="0" w:color="auto"/>
            </w:tcBorders>
            <w:shd w:val="clear" w:color="auto" w:fill="D5D7D5" w:themeFill="text1" w:themeFillTint="33"/>
          </w:tcPr>
          <w:p w14:paraId="2AEC37D8" w14:textId="77777777" w:rsidR="000110FD" w:rsidRDefault="000110FD" w:rsidP="00E45161">
            <w:pPr>
              <w:pStyle w:val="TableText"/>
              <w:widowControl w:val="0"/>
              <w:suppressAutoHyphens w:val="0"/>
              <w:spacing w:before="0" w:after="0" w:line="240" w:lineRule="auto"/>
              <w:jc w:val="right"/>
              <w:rPr>
                <w:szCs w:val="17"/>
              </w:rPr>
            </w:pPr>
            <w:r w:rsidRPr="0053424B">
              <w:rPr>
                <w:szCs w:val="17"/>
              </w:rPr>
              <w:t>112</w:t>
            </w:r>
            <w:r w:rsidRPr="0053424B">
              <w:rPr>
                <w:szCs w:val="17"/>
                <w:vertAlign w:val="superscript"/>
              </w:rPr>
              <w:t>a</w:t>
            </w:r>
          </w:p>
        </w:tc>
        <w:tc>
          <w:tcPr>
            <w:tcW w:w="275" w:type="pct"/>
            <w:tcBorders>
              <w:top w:val="single" w:sz="4" w:space="0" w:color="auto"/>
            </w:tcBorders>
          </w:tcPr>
          <w:p w14:paraId="43272838"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485" w:type="pct"/>
            <w:tcBorders>
              <w:top w:val="single" w:sz="4" w:space="0" w:color="auto"/>
            </w:tcBorders>
          </w:tcPr>
          <w:p w14:paraId="503EC28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12B8F11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C05962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5D5D7895"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41</w:t>
            </w:r>
          </w:p>
        </w:tc>
        <w:tc>
          <w:tcPr>
            <w:tcW w:w="298" w:type="pct"/>
            <w:tcBorders>
              <w:top w:val="single" w:sz="4" w:space="0" w:color="auto"/>
            </w:tcBorders>
          </w:tcPr>
          <w:p w14:paraId="65E7CAFC"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top w:val="single" w:sz="4" w:space="0" w:color="auto"/>
            </w:tcBorders>
            <w:shd w:val="clear" w:color="auto" w:fill="FF0000"/>
          </w:tcPr>
          <w:p w14:paraId="0863241B"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2.0</w:t>
            </w:r>
          </w:p>
        </w:tc>
        <w:tc>
          <w:tcPr>
            <w:tcW w:w="298" w:type="pct"/>
            <w:tcBorders>
              <w:top w:val="single" w:sz="4" w:space="0" w:color="auto"/>
            </w:tcBorders>
          </w:tcPr>
          <w:p w14:paraId="5E6CCB44"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4739626D" w14:textId="77777777" w:rsidTr="000110FD">
        <w:trPr>
          <w:cantSplit/>
          <w:trHeight w:val="13"/>
        </w:trPr>
        <w:tc>
          <w:tcPr>
            <w:tcW w:w="515" w:type="pct"/>
            <w:gridSpan w:val="2"/>
            <w:vMerge/>
          </w:tcPr>
          <w:p w14:paraId="4A4C13E4"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63A3DE54"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209527D1" w14:textId="77777777" w:rsidR="000110FD" w:rsidRDefault="000110FD" w:rsidP="00303DF5">
            <w:pPr>
              <w:pStyle w:val="TableText"/>
              <w:widowControl w:val="0"/>
              <w:suppressAutoHyphens w:val="0"/>
              <w:spacing w:before="0" w:after="0" w:line="240" w:lineRule="auto"/>
              <w:rPr>
                <w:szCs w:val="17"/>
              </w:rPr>
            </w:pPr>
          </w:p>
        </w:tc>
        <w:tc>
          <w:tcPr>
            <w:tcW w:w="486" w:type="pct"/>
          </w:tcPr>
          <w:p w14:paraId="1525349A"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4F5FA9D9" w14:textId="77777777" w:rsidR="000110FD" w:rsidRDefault="000110FD" w:rsidP="00E45161">
            <w:pPr>
              <w:pStyle w:val="TableText"/>
              <w:widowControl w:val="0"/>
              <w:suppressAutoHyphens w:val="0"/>
              <w:spacing w:before="0" w:after="0" w:line="240" w:lineRule="auto"/>
              <w:jc w:val="right"/>
              <w:rPr>
                <w:szCs w:val="17"/>
              </w:rPr>
            </w:pPr>
            <w:r w:rsidRPr="0053424B">
              <w:rPr>
                <w:szCs w:val="17"/>
              </w:rPr>
              <w:t>112</w:t>
            </w:r>
            <w:r w:rsidRPr="0053424B">
              <w:rPr>
                <w:szCs w:val="17"/>
                <w:vertAlign w:val="superscript"/>
              </w:rPr>
              <w:t>a</w:t>
            </w:r>
          </w:p>
        </w:tc>
        <w:tc>
          <w:tcPr>
            <w:tcW w:w="275" w:type="pct"/>
          </w:tcPr>
          <w:p w14:paraId="2403C2A0" w14:textId="77777777" w:rsidR="000110FD" w:rsidRDefault="000110FD" w:rsidP="00E45161">
            <w:pPr>
              <w:pStyle w:val="TableText"/>
              <w:widowControl w:val="0"/>
              <w:suppressAutoHyphens w:val="0"/>
              <w:spacing w:before="0" w:after="0" w:line="240" w:lineRule="auto"/>
              <w:jc w:val="right"/>
              <w:rPr>
                <w:szCs w:val="17"/>
              </w:rPr>
            </w:pPr>
            <w:r>
              <w:rPr>
                <w:szCs w:val="17"/>
              </w:rPr>
              <w:t>300</w:t>
            </w:r>
          </w:p>
        </w:tc>
        <w:tc>
          <w:tcPr>
            <w:tcW w:w="485" w:type="pct"/>
          </w:tcPr>
          <w:p w14:paraId="3F4E30F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35B9607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3B60B1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9D57AF5"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34</w:t>
            </w:r>
          </w:p>
        </w:tc>
        <w:tc>
          <w:tcPr>
            <w:tcW w:w="298" w:type="pct"/>
          </w:tcPr>
          <w:p w14:paraId="2DDAC28D"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shd w:val="clear" w:color="auto" w:fill="FF0000"/>
          </w:tcPr>
          <w:p w14:paraId="3C6661E1" w14:textId="77777777" w:rsidR="000110FD" w:rsidRPr="00721FF0" w:rsidRDefault="000110FD" w:rsidP="00E45161">
            <w:pPr>
              <w:pStyle w:val="TableText"/>
              <w:widowControl w:val="0"/>
              <w:suppressAutoHyphens w:val="0"/>
              <w:spacing w:before="0" w:after="0" w:line="240" w:lineRule="auto"/>
              <w:jc w:val="right"/>
            </w:pPr>
            <w:r>
              <w:rPr>
                <w:b/>
                <w:bCs/>
                <w:color w:val="1A1B1A"/>
                <w:szCs w:val="17"/>
              </w:rPr>
              <w:t>1.6</w:t>
            </w:r>
          </w:p>
        </w:tc>
        <w:tc>
          <w:tcPr>
            <w:tcW w:w="298" w:type="pct"/>
          </w:tcPr>
          <w:p w14:paraId="3EC5D998"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14:paraId="1C94BED1" w14:textId="77777777" w:rsidTr="000110FD">
        <w:trPr>
          <w:cantSplit/>
          <w:trHeight w:val="13"/>
        </w:trPr>
        <w:tc>
          <w:tcPr>
            <w:tcW w:w="515" w:type="pct"/>
            <w:gridSpan w:val="2"/>
            <w:vMerge/>
          </w:tcPr>
          <w:p w14:paraId="7F81D100"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323BF24C"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40CB2CD8" w14:textId="77777777" w:rsidR="000110FD" w:rsidRDefault="000110FD" w:rsidP="00303DF5">
            <w:pPr>
              <w:pStyle w:val="TableText"/>
              <w:widowControl w:val="0"/>
              <w:suppressAutoHyphens w:val="0"/>
              <w:spacing w:before="0" w:after="0" w:line="240" w:lineRule="auto"/>
              <w:rPr>
                <w:szCs w:val="17"/>
              </w:rPr>
            </w:pPr>
          </w:p>
        </w:tc>
        <w:tc>
          <w:tcPr>
            <w:tcW w:w="486" w:type="pct"/>
          </w:tcPr>
          <w:p w14:paraId="4D842F23"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6311354B" w14:textId="77777777" w:rsidR="000110FD" w:rsidRPr="0053424B" w:rsidRDefault="000110FD" w:rsidP="00E45161">
            <w:pPr>
              <w:pStyle w:val="TableText"/>
              <w:widowControl w:val="0"/>
              <w:suppressAutoHyphens w:val="0"/>
              <w:spacing w:before="0" w:after="0" w:line="240" w:lineRule="auto"/>
              <w:jc w:val="right"/>
              <w:rPr>
                <w:szCs w:val="17"/>
              </w:rPr>
            </w:pPr>
            <w:r w:rsidRPr="0053424B">
              <w:rPr>
                <w:szCs w:val="17"/>
              </w:rPr>
              <w:t>112</w:t>
            </w:r>
            <w:r w:rsidRPr="0053424B">
              <w:rPr>
                <w:szCs w:val="17"/>
                <w:vertAlign w:val="superscript"/>
              </w:rPr>
              <w:t>a</w:t>
            </w:r>
          </w:p>
        </w:tc>
        <w:tc>
          <w:tcPr>
            <w:tcW w:w="275" w:type="pct"/>
          </w:tcPr>
          <w:p w14:paraId="26366773" w14:textId="77777777" w:rsidR="000110FD" w:rsidRDefault="000110FD" w:rsidP="00E45161">
            <w:pPr>
              <w:pStyle w:val="TableText"/>
              <w:widowControl w:val="0"/>
              <w:suppressAutoHyphens w:val="0"/>
              <w:spacing w:before="0" w:after="0" w:line="240" w:lineRule="auto"/>
              <w:jc w:val="right"/>
              <w:rPr>
                <w:szCs w:val="17"/>
              </w:rPr>
            </w:pPr>
            <w:r>
              <w:rPr>
                <w:szCs w:val="17"/>
              </w:rPr>
              <w:t>171</w:t>
            </w:r>
          </w:p>
        </w:tc>
        <w:tc>
          <w:tcPr>
            <w:tcW w:w="485" w:type="pct"/>
          </w:tcPr>
          <w:p w14:paraId="102B5B2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6A54BFB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04C5D9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CAF894E"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19</w:t>
            </w:r>
          </w:p>
        </w:tc>
        <w:tc>
          <w:tcPr>
            <w:tcW w:w="298" w:type="pct"/>
          </w:tcPr>
          <w:p w14:paraId="15333D32"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21</w:t>
            </w:r>
          </w:p>
        </w:tc>
        <w:tc>
          <w:tcPr>
            <w:tcW w:w="298" w:type="pct"/>
          </w:tcPr>
          <w:p w14:paraId="69BF620E"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0.91</w:t>
            </w:r>
          </w:p>
        </w:tc>
        <w:tc>
          <w:tcPr>
            <w:tcW w:w="298" w:type="pct"/>
          </w:tcPr>
          <w:p w14:paraId="6E21AA72"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188</w:t>
            </w:r>
          </w:p>
        </w:tc>
      </w:tr>
      <w:tr w:rsidR="000110FD" w:rsidRPr="00C3293F" w14:paraId="348F4B2E" w14:textId="77777777" w:rsidTr="000110FD">
        <w:trPr>
          <w:cantSplit/>
          <w:trHeight w:val="13"/>
        </w:trPr>
        <w:tc>
          <w:tcPr>
            <w:tcW w:w="515" w:type="pct"/>
            <w:gridSpan w:val="2"/>
            <w:vMerge/>
          </w:tcPr>
          <w:p w14:paraId="116924E1"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09B8941F"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09172E93" w14:textId="77777777" w:rsidR="000110FD" w:rsidRDefault="000110FD" w:rsidP="00303DF5">
            <w:pPr>
              <w:pStyle w:val="TableText"/>
              <w:widowControl w:val="0"/>
              <w:suppressAutoHyphens w:val="0"/>
              <w:spacing w:before="0" w:after="0" w:line="240" w:lineRule="auto"/>
              <w:rPr>
                <w:szCs w:val="17"/>
              </w:rPr>
            </w:pPr>
          </w:p>
        </w:tc>
        <w:tc>
          <w:tcPr>
            <w:tcW w:w="486" w:type="pct"/>
          </w:tcPr>
          <w:p w14:paraId="5962718D"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30AB183F" w14:textId="77777777" w:rsidR="000110FD" w:rsidRDefault="000110FD" w:rsidP="00E45161">
            <w:pPr>
              <w:pStyle w:val="TableText"/>
              <w:widowControl w:val="0"/>
              <w:suppressAutoHyphens w:val="0"/>
              <w:spacing w:before="0" w:after="0" w:line="240" w:lineRule="auto"/>
              <w:jc w:val="right"/>
              <w:rPr>
                <w:szCs w:val="17"/>
              </w:rPr>
            </w:pPr>
            <w:r w:rsidRPr="0053424B">
              <w:rPr>
                <w:szCs w:val="17"/>
              </w:rPr>
              <w:t>112</w:t>
            </w:r>
            <w:r w:rsidRPr="0053424B">
              <w:rPr>
                <w:szCs w:val="17"/>
                <w:vertAlign w:val="superscript"/>
              </w:rPr>
              <w:t>a</w:t>
            </w:r>
          </w:p>
        </w:tc>
        <w:tc>
          <w:tcPr>
            <w:tcW w:w="275" w:type="pct"/>
          </w:tcPr>
          <w:p w14:paraId="2ECE038D" w14:textId="77777777" w:rsidR="000110FD" w:rsidRDefault="000110FD" w:rsidP="00E45161">
            <w:pPr>
              <w:pStyle w:val="TableText"/>
              <w:widowControl w:val="0"/>
              <w:suppressAutoHyphens w:val="0"/>
              <w:spacing w:before="0" w:after="0" w:line="240" w:lineRule="auto"/>
              <w:jc w:val="right"/>
              <w:rPr>
                <w:szCs w:val="17"/>
              </w:rPr>
            </w:pPr>
            <w:r>
              <w:rPr>
                <w:szCs w:val="17"/>
              </w:rPr>
              <w:t>147</w:t>
            </w:r>
          </w:p>
        </w:tc>
        <w:tc>
          <w:tcPr>
            <w:tcW w:w="485" w:type="pct"/>
          </w:tcPr>
          <w:p w14:paraId="306B09D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5648FB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DEA0B7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26C69F9C"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16</w:t>
            </w:r>
          </w:p>
        </w:tc>
        <w:tc>
          <w:tcPr>
            <w:tcW w:w="298" w:type="pct"/>
          </w:tcPr>
          <w:p w14:paraId="2CE5F32C"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Pr>
          <w:p w14:paraId="0CAEAE1D" w14:textId="77777777" w:rsidR="000110FD" w:rsidRPr="00721FF0" w:rsidRDefault="000110FD" w:rsidP="00E45161">
            <w:pPr>
              <w:pStyle w:val="TableText"/>
              <w:widowControl w:val="0"/>
              <w:suppressAutoHyphens w:val="0"/>
              <w:spacing w:before="0" w:after="0" w:line="240" w:lineRule="auto"/>
              <w:jc w:val="right"/>
            </w:pPr>
            <w:r>
              <w:rPr>
                <w:color w:val="1A1B1A"/>
                <w:szCs w:val="17"/>
              </w:rPr>
              <w:t>0.78</w:t>
            </w:r>
          </w:p>
        </w:tc>
        <w:tc>
          <w:tcPr>
            <w:tcW w:w="298" w:type="pct"/>
          </w:tcPr>
          <w:p w14:paraId="245A3AD2"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7D928263" w14:textId="77777777" w:rsidTr="000110FD">
        <w:trPr>
          <w:cantSplit/>
          <w:trHeight w:val="13"/>
        </w:trPr>
        <w:tc>
          <w:tcPr>
            <w:tcW w:w="515" w:type="pct"/>
            <w:gridSpan w:val="2"/>
            <w:vMerge/>
          </w:tcPr>
          <w:p w14:paraId="7843E2B9"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5F5DCA31"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2C22A4BA"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48162EC3"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160CDBB7" w14:textId="77777777" w:rsidR="000110FD" w:rsidRDefault="000110FD" w:rsidP="00E45161">
            <w:pPr>
              <w:pStyle w:val="TableText"/>
              <w:widowControl w:val="0"/>
              <w:suppressAutoHyphens w:val="0"/>
              <w:spacing w:before="0" w:after="0" w:line="240" w:lineRule="auto"/>
              <w:jc w:val="right"/>
              <w:rPr>
                <w:szCs w:val="17"/>
              </w:rPr>
            </w:pPr>
            <w:r w:rsidRPr="0053424B">
              <w:rPr>
                <w:szCs w:val="17"/>
              </w:rPr>
              <w:t>112</w:t>
            </w:r>
            <w:r w:rsidRPr="0053424B">
              <w:rPr>
                <w:szCs w:val="17"/>
                <w:vertAlign w:val="superscript"/>
              </w:rPr>
              <w:t>a</w:t>
            </w:r>
          </w:p>
        </w:tc>
        <w:tc>
          <w:tcPr>
            <w:tcW w:w="275" w:type="pct"/>
            <w:tcBorders>
              <w:bottom w:val="single" w:sz="4" w:space="0" w:color="auto"/>
            </w:tcBorders>
          </w:tcPr>
          <w:p w14:paraId="0655AC0A" w14:textId="77777777" w:rsidR="000110FD" w:rsidRDefault="000110FD" w:rsidP="00E45161">
            <w:pPr>
              <w:pStyle w:val="TableText"/>
              <w:widowControl w:val="0"/>
              <w:suppressAutoHyphens w:val="0"/>
              <w:spacing w:before="0" w:after="0" w:line="240" w:lineRule="auto"/>
              <w:jc w:val="right"/>
              <w:rPr>
                <w:szCs w:val="17"/>
              </w:rPr>
            </w:pPr>
            <w:r>
              <w:rPr>
                <w:szCs w:val="17"/>
              </w:rPr>
              <w:t>120</w:t>
            </w:r>
          </w:p>
        </w:tc>
        <w:tc>
          <w:tcPr>
            <w:tcW w:w="485" w:type="pct"/>
            <w:tcBorders>
              <w:bottom w:val="single" w:sz="4" w:space="0" w:color="auto"/>
            </w:tcBorders>
          </w:tcPr>
          <w:p w14:paraId="1FB5A3B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1656AA8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15D7D67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144BE854"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13</w:t>
            </w:r>
          </w:p>
        </w:tc>
        <w:tc>
          <w:tcPr>
            <w:tcW w:w="298" w:type="pct"/>
            <w:tcBorders>
              <w:bottom w:val="single" w:sz="4" w:space="0" w:color="auto"/>
            </w:tcBorders>
          </w:tcPr>
          <w:p w14:paraId="3F1CA878" w14:textId="77777777" w:rsidR="000110FD" w:rsidRDefault="000110FD" w:rsidP="00E45161">
            <w:pPr>
              <w:pStyle w:val="TableText"/>
              <w:widowControl w:val="0"/>
              <w:suppressAutoHyphens w:val="0"/>
              <w:spacing w:before="0" w:after="0" w:line="240" w:lineRule="auto"/>
              <w:jc w:val="right"/>
            </w:pPr>
            <w:r>
              <w:rPr>
                <w:color w:val="1A1B1A"/>
                <w:szCs w:val="17"/>
              </w:rPr>
              <w:t>21</w:t>
            </w:r>
          </w:p>
        </w:tc>
        <w:tc>
          <w:tcPr>
            <w:tcW w:w="298" w:type="pct"/>
            <w:tcBorders>
              <w:bottom w:val="single" w:sz="4" w:space="0" w:color="auto"/>
            </w:tcBorders>
          </w:tcPr>
          <w:p w14:paraId="4977E826" w14:textId="77777777" w:rsidR="000110FD" w:rsidRPr="00721FF0" w:rsidRDefault="000110FD" w:rsidP="00E45161">
            <w:pPr>
              <w:pStyle w:val="TableText"/>
              <w:widowControl w:val="0"/>
              <w:suppressAutoHyphens w:val="0"/>
              <w:spacing w:before="0" w:after="0" w:line="240" w:lineRule="auto"/>
              <w:jc w:val="right"/>
            </w:pPr>
            <w:r>
              <w:rPr>
                <w:color w:val="1A1B1A"/>
                <w:szCs w:val="17"/>
              </w:rPr>
              <w:t>0.64</w:t>
            </w:r>
          </w:p>
        </w:tc>
        <w:tc>
          <w:tcPr>
            <w:tcW w:w="298" w:type="pct"/>
            <w:tcBorders>
              <w:bottom w:val="single" w:sz="4" w:space="0" w:color="auto"/>
            </w:tcBorders>
          </w:tcPr>
          <w:p w14:paraId="1811CA81" w14:textId="77777777" w:rsidR="000110FD" w:rsidRPr="00C3293F" w:rsidRDefault="000110FD" w:rsidP="00E45161">
            <w:pPr>
              <w:pStyle w:val="TableText"/>
              <w:widowControl w:val="0"/>
              <w:suppressAutoHyphens w:val="0"/>
              <w:spacing w:before="0" w:after="0" w:line="240" w:lineRule="auto"/>
              <w:jc w:val="right"/>
            </w:pPr>
            <w:r>
              <w:rPr>
                <w:color w:val="1A1B1A"/>
                <w:szCs w:val="17"/>
              </w:rPr>
              <w:t>188</w:t>
            </w:r>
          </w:p>
        </w:tc>
      </w:tr>
      <w:tr w:rsidR="000110FD" w:rsidRPr="00C3293F" w14:paraId="009A2011" w14:textId="77777777" w:rsidTr="000110FD">
        <w:trPr>
          <w:cantSplit/>
          <w:trHeight w:val="13"/>
        </w:trPr>
        <w:tc>
          <w:tcPr>
            <w:tcW w:w="515" w:type="pct"/>
            <w:gridSpan w:val="2"/>
            <w:vMerge/>
          </w:tcPr>
          <w:p w14:paraId="78A113C3" w14:textId="77777777" w:rsidR="000110FD" w:rsidRDefault="000110FD" w:rsidP="00303DF5">
            <w:pPr>
              <w:pStyle w:val="TableText"/>
              <w:widowControl w:val="0"/>
              <w:suppressAutoHyphens w:val="0"/>
              <w:spacing w:before="0" w:after="0" w:line="240" w:lineRule="auto"/>
              <w:rPr>
                <w:szCs w:val="17"/>
              </w:rPr>
            </w:pPr>
          </w:p>
        </w:tc>
        <w:tc>
          <w:tcPr>
            <w:tcW w:w="467" w:type="pct"/>
            <w:vMerge w:val="restart"/>
            <w:tcBorders>
              <w:top w:val="single" w:sz="4" w:space="0" w:color="auto"/>
            </w:tcBorders>
          </w:tcPr>
          <w:p w14:paraId="56800D29" w14:textId="77777777" w:rsidR="000110FD" w:rsidRDefault="000110FD" w:rsidP="00303DF5">
            <w:pPr>
              <w:pStyle w:val="TableText"/>
              <w:widowControl w:val="0"/>
              <w:suppressAutoHyphens w:val="0"/>
              <w:spacing w:before="0" w:after="0" w:line="240" w:lineRule="auto"/>
              <w:rPr>
                <w:szCs w:val="17"/>
              </w:rPr>
            </w:pPr>
            <w:r>
              <w:rPr>
                <w:szCs w:val="17"/>
              </w:rPr>
              <w:t>Small herbivore</w:t>
            </w:r>
          </w:p>
        </w:tc>
        <w:tc>
          <w:tcPr>
            <w:tcW w:w="540" w:type="pct"/>
            <w:gridSpan w:val="2"/>
            <w:vMerge w:val="restart"/>
            <w:tcBorders>
              <w:top w:val="single" w:sz="4" w:space="0" w:color="auto"/>
            </w:tcBorders>
          </w:tcPr>
          <w:p w14:paraId="0985B856" w14:textId="77777777" w:rsidR="000110FD" w:rsidRDefault="000110FD" w:rsidP="00303DF5">
            <w:pPr>
              <w:pStyle w:val="TableText"/>
              <w:widowControl w:val="0"/>
              <w:suppressAutoHyphens w:val="0"/>
              <w:spacing w:before="0" w:after="0" w:line="240" w:lineRule="auto"/>
              <w:rPr>
                <w:szCs w:val="17"/>
              </w:rPr>
            </w:pPr>
            <w:r>
              <w:rPr>
                <w:szCs w:val="17"/>
              </w:rPr>
              <w:t>Ground directed</w:t>
            </w:r>
          </w:p>
        </w:tc>
        <w:tc>
          <w:tcPr>
            <w:tcW w:w="486" w:type="pct"/>
            <w:tcBorders>
              <w:top w:val="single" w:sz="4" w:space="0" w:color="auto"/>
            </w:tcBorders>
          </w:tcPr>
          <w:p w14:paraId="69FD77EF" w14:textId="77777777" w:rsidR="000110FD" w:rsidRDefault="000110FD" w:rsidP="00303DF5">
            <w:pPr>
              <w:pStyle w:val="TableText"/>
              <w:widowControl w:val="0"/>
              <w:suppressAutoHyphens w:val="0"/>
              <w:spacing w:before="0" w:after="0" w:line="240" w:lineRule="auto"/>
              <w:jc w:val="center"/>
              <w:rPr>
                <w:szCs w:val="17"/>
              </w:rPr>
            </w:pPr>
            <w:r>
              <w:rPr>
                <w:szCs w:val="17"/>
              </w:rPr>
              <w:t>Chronic</w:t>
            </w:r>
          </w:p>
        </w:tc>
        <w:tc>
          <w:tcPr>
            <w:tcW w:w="447" w:type="pct"/>
            <w:tcBorders>
              <w:top w:val="single" w:sz="4" w:space="0" w:color="auto"/>
            </w:tcBorders>
            <w:shd w:val="clear" w:color="auto" w:fill="D5D7D5" w:themeFill="text1" w:themeFillTint="33"/>
          </w:tcPr>
          <w:p w14:paraId="3BEEEA9C" w14:textId="77777777" w:rsidR="000110FD" w:rsidRDefault="000110FD" w:rsidP="00E45161">
            <w:pPr>
              <w:pStyle w:val="TableText"/>
              <w:widowControl w:val="0"/>
              <w:suppressAutoHyphens w:val="0"/>
              <w:spacing w:before="0" w:after="0" w:line="240" w:lineRule="auto"/>
              <w:jc w:val="right"/>
              <w:rPr>
                <w:szCs w:val="17"/>
              </w:rPr>
            </w:pPr>
            <w:r w:rsidRPr="003C6D1B">
              <w:rPr>
                <w:szCs w:val="17"/>
              </w:rPr>
              <w:t>59.3</w:t>
            </w:r>
            <w:r>
              <w:rPr>
                <w:szCs w:val="17"/>
                <w:vertAlign w:val="superscript"/>
              </w:rPr>
              <w:t>a</w:t>
            </w:r>
          </w:p>
        </w:tc>
        <w:tc>
          <w:tcPr>
            <w:tcW w:w="275" w:type="pct"/>
            <w:tcBorders>
              <w:top w:val="single" w:sz="4" w:space="0" w:color="auto"/>
            </w:tcBorders>
          </w:tcPr>
          <w:p w14:paraId="57AB33E5"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485" w:type="pct"/>
            <w:tcBorders>
              <w:top w:val="single" w:sz="4" w:space="0" w:color="auto"/>
            </w:tcBorders>
          </w:tcPr>
          <w:p w14:paraId="5DF2AE2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top w:val="single" w:sz="4" w:space="0" w:color="auto"/>
            </w:tcBorders>
          </w:tcPr>
          <w:p w14:paraId="420F354E"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top w:val="single" w:sz="4" w:space="0" w:color="auto"/>
            </w:tcBorders>
            <w:shd w:val="clear" w:color="auto" w:fill="D5D7D5" w:themeFill="text1" w:themeFillTint="33"/>
          </w:tcPr>
          <w:p w14:paraId="5C7CBAD7" w14:textId="77777777" w:rsidR="000110FD" w:rsidRDefault="000110FD" w:rsidP="00E45161">
            <w:pPr>
              <w:pStyle w:val="TableText"/>
              <w:widowControl w:val="0"/>
              <w:suppressAutoHyphens w:val="0"/>
              <w:spacing w:before="0" w:after="0" w:line="240" w:lineRule="auto"/>
              <w:jc w:val="right"/>
              <w:rPr>
                <w:szCs w:val="17"/>
              </w:rPr>
            </w:pPr>
            <w:r w:rsidRPr="00861392">
              <w:rPr>
                <w:szCs w:val="17"/>
              </w:rPr>
              <w:t>0.11</w:t>
            </w:r>
            <w:r w:rsidRPr="00861392">
              <w:rPr>
                <w:szCs w:val="17"/>
                <w:vertAlign w:val="superscript"/>
              </w:rPr>
              <w:t>d</w:t>
            </w:r>
          </w:p>
        </w:tc>
        <w:tc>
          <w:tcPr>
            <w:tcW w:w="297" w:type="pct"/>
            <w:tcBorders>
              <w:top w:val="single" w:sz="4" w:space="0" w:color="auto"/>
            </w:tcBorders>
          </w:tcPr>
          <w:p w14:paraId="3818AB37"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1.2</w:t>
            </w:r>
          </w:p>
        </w:tc>
        <w:tc>
          <w:tcPr>
            <w:tcW w:w="298" w:type="pct"/>
            <w:tcBorders>
              <w:top w:val="single" w:sz="4" w:space="0" w:color="auto"/>
            </w:tcBorders>
          </w:tcPr>
          <w:p w14:paraId="256D200B" w14:textId="77777777" w:rsidR="000110FD" w:rsidRDefault="000110FD" w:rsidP="00E45161">
            <w:pPr>
              <w:pStyle w:val="TableText"/>
              <w:widowControl w:val="0"/>
              <w:suppressAutoHyphens w:val="0"/>
              <w:spacing w:before="0" w:after="0" w:line="240" w:lineRule="auto"/>
              <w:jc w:val="right"/>
            </w:pPr>
            <w:r>
              <w:rPr>
                <w:color w:val="1A1B1A"/>
                <w:szCs w:val="17"/>
              </w:rPr>
              <w:t>4.0</w:t>
            </w:r>
          </w:p>
        </w:tc>
        <w:tc>
          <w:tcPr>
            <w:tcW w:w="298" w:type="pct"/>
            <w:tcBorders>
              <w:top w:val="single" w:sz="4" w:space="0" w:color="auto"/>
            </w:tcBorders>
          </w:tcPr>
          <w:p w14:paraId="66730F46" w14:textId="77777777" w:rsidR="000110FD" w:rsidRPr="00721FF0" w:rsidRDefault="000110FD" w:rsidP="00E45161">
            <w:pPr>
              <w:pStyle w:val="TableText"/>
              <w:widowControl w:val="0"/>
              <w:suppressAutoHyphens w:val="0"/>
              <w:spacing w:before="0" w:after="0" w:line="240" w:lineRule="auto"/>
              <w:jc w:val="right"/>
            </w:pPr>
            <w:r>
              <w:rPr>
                <w:color w:val="1A1B1A"/>
                <w:szCs w:val="17"/>
              </w:rPr>
              <w:t>0.30</w:t>
            </w:r>
          </w:p>
        </w:tc>
        <w:tc>
          <w:tcPr>
            <w:tcW w:w="298" w:type="pct"/>
            <w:tcBorders>
              <w:top w:val="single" w:sz="4" w:space="0" w:color="auto"/>
            </w:tcBorders>
          </w:tcPr>
          <w:p w14:paraId="671DE2FE"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739FEA71" w14:textId="77777777" w:rsidTr="000110FD">
        <w:trPr>
          <w:cantSplit/>
          <w:trHeight w:val="13"/>
        </w:trPr>
        <w:tc>
          <w:tcPr>
            <w:tcW w:w="515" w:type="pct"/>
            <w:gridSpan w:val="2"/>
            <w:vMerge/>
          </w:tcPr>
          <w:p w14:paraId="33CCCDF8"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530679DC"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3A7DDF4D" w14:textId="77777777" w:rsidR="000110FD" w:rsidRDefault="000110FD" w:rsidP="00303DF5">
            <w:pPr>
              <w:pStyle w:val="TableText"/>
              <w:widowControl w:val="0"/>
              <w:suppressAutoHyphens w:val="0"/>
              <w:spacing w:before="0" w:after="0" w:line="240" w:lineRule="auto"/>
              <w:rPr>
                <w:szCs w:val="17"/>
              </w:rPr>
            </w:pPr>
          </w:p>
        </w:tc>
        <w:tc>
          <w:tcPr>
            <w:tcW w:w="486" w:type="pct"/>
          </w:tcPr>
          <w:p w14:paraId="09EC5E33"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4BE67A1B" w14:textId="77777777" w:rsidR="000110FD" w:rsidRDefault="000110FD" w:rsidP="00E45161">
            <w:pPr>
              <w:pStyle w:val="TableText"/>
              <w:widowControl w:val="0"/>
              <w:suppressAutoHyphens w:val="0"/>
              <w:spacing w:before="0" w:after="0" w:line="240" w:lineRule="auto"/>
              <w:jc w:val="right"/>
              <w:rPr>
                <w:szCs w:val="17"/>
              </w:rPr>
            </w:pPr>
            <w:r w:rsidRPr="007103A4">
              <w:rPr>
                <w:szCs w:val="17"/>
              </w:rPr>
              <w:t>59.3</w:t>
            </w:r>
            <w:r w:rsidRPr="007103A4">
              <w:rPr>
                <w:szCs w:val="17"/>
                <w:vertAlign w:val="superscript"/>
              </w:rPr>
              <w:t>a</w:t>
            </w:r>
          </w:p>
        </w:tc>
        <w:tc>
          <w:tcPr>
            <w:tcW w:w="275" w:type="pct"/>
          </w:tcPr>
          <w:p w14:paraId="63E744C2" w14:textId="77777777" w:rsidR="000110FD" w:rsidRDefault="000110FD" w:rsidP="00E45161">
            <w:pPr>
              <w:pStyle w:val="TableText"/>
              <w:widowControl w:val="0"/>
              <w:suppressAutoHyphens w:val="0"/>
              <w:spacing w:before="0" w:after="0" w:line="240" w:lineRule="auto"/>
              <w:jc w:val="right"/>
              <w:rPr>
                <w:szCs w:val="17"/>
              </w:rPr>
            </w:pPr>
            <w:r>
              <w:rPr>
                <w:szCs w:val="17"/>
              </w:rPr>
              <w:t>300</w:t>
            </w:r>
          </w:p>
        </w:tc>
        <w:tc>
          <w:tcPr>
            <w:tcW w:w="485" w:type="pct"/>
          </w:tcPr>
          <w:p w14:paraId="3A45B65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1F712F14"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5427D553" w14:textId="77777777" w:rsidR="000110FD" w:rsidRDefault="000110FD" w:rsidP="00E45161">
            <w:pPr>
              <w:pStyle w:val="TableText"/>
              <w:widowControl w:val="0"/>
              <w:suppressAutoHyphens w:val="0"/>
              <w:spacing w:before="0" w:after="0" w:line="240" w:lineRule="auto"/>
              <w:jc w:val="right"/>
              <w:rPr>
                <w:szCs w:val="17"/>
              </w:rPr>
            </w:pPr>
            <w:r w:rsidRPr="00861392">
              <w:rPr>
                <w:szCs w:val="17"/>
              </w:rPr>
              <w:t>0.11</w:t>
            </w:r>
            <w:r w:rsidRPr="00861392">
              <w:rPr>
                <w:szCs w:val="17"/>
                <w:vertAlign w:val="superscript"/>
              </w:rPr>
              <w:t>d</w:t>
            </w:r>
          </w:p>
        </w:tc>
        <w:tc>
          <w:tcPr>
            <w:tcW w:w="297" w:type="pct"/>
          </w:tcPr>
          <w:p w14:paraId="172FC0CC"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1.0</w:t>
            </w:r>
          </w:p>
        </w:tc>
        <w:tc>
          <w:tcPr>
            <w:tcW w:w="298" w:type="pct"/>
          </w:tcPr>
          <w:p w14:paraId="1E041E50" w14:textId="77777777" w:rsidR="000110FD" w:rsidRDefault="000110FD" w:rsidP="00E45161">
            <w:pPr>
              <w:pStyle w:val="TableText"/>
              <w:widowControl w:val="0"/>
              <w:suppressAutoHyphens w:val="0"/>
              <w:spacing w:before="0" w:after="0" w:line="240" w:lineRule="auto"/>
              <w:jc w:val="right"/>
            </w:pPr>
            <w:r w:rsidRPr="00CE53B8">
              <w:rPr>
                <w:color w:val="1A1B1A"/>
                <w:szCs w:val="17"/>
              </w:rPr>
              <w:t>4.0</w:t>
            </w:r>
          </w:p>
        </w:tc>
        <w:tc>
          <w:tcPr>
            <w:tcW w:w="298" w:type="pct"/>
          </w:tcPr>
          <w:p w14:paraId="1F0BB27D" w14:textId="77777777" w:rsidR="000110FD" w:rsidRPr="00721FF0" w:rsidRDefault="000110FD" w:rsidP="00E45161">
            <w:pPr>
              <w:pStyle w:val="TableText"/>
              <w:widowControl w:val="0"/>
              <w:suppressAutoHyphens w:val="0"/>
              <w:spacing w:before="0" w:after="0" w:line="240" w:lineRule="auto"/>
              <w:jc w:val="right"/>
            </w:pPr>
            <w:r>
              <w:rPr>
                <w:color w:val="1A1B1A"/>
                <w:szCs w:val="17"/>
              </w:rPr>
              <w:t>0.24</w:t>
            </w:r>
          </w:p>
        </w:tc>
        <w:tc>
          <w:tcPr>
            <w:tcW w:w="298" w:type="pct"/>
          </w:tcPr>
          <w:p w14:paraId="1ECB2D92"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14:paraId="092A2794" w14:textId="77777777" w:rsidTr="000110FD">
        <w:trPr>
          <w:cantSplit/>
          <w:trHeight w:val="13"/>
        </w:trPr>
        <w:tc>
          <w:tcPr>
            <w:tcW w:w="515" w:type="pct"/>
            <w:gridSpan w:val="2"/>
            <w:vMerge/>
          </w:tcPr>
          <w:p w14:paraId="58F1D7ED"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50F58812"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767206BC" w14:textId="77777777" w:rsidR="000110FD" w:rsidRDefault="000110FD" w:rsidP="00303DF5">
            <w:pPr>
              <w:pStyle w:val="TableText"/>
              <w:widowControl w:val="0"/>
              <w:suppressAutoHyphens w:val="0"/>
              <w:spacing w:before="0" w:after="0" w:line="240" w:lineRule="auto"/>
              <w:rPr>
                <w:szCs w:val="17"/>
              </w:rPr>
            </w:pPr>
          </w:p>
        </w:tc>
        <w:tc>
          <w:tcPr>
            <w:tcW w:w="486" w:type="pct"/>
          </w:tcPr>
          <w:p w14:paraId="0F793F3B"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397B6152" w14:textId="77777777" w:rsidR="000110FD" w:rsidRPr="007103A4" w:rsidRDefault="000110FD" w:rsidP="00E45161">
            <w:pPr>
              <w:pStyle w:val="TableText"/>
              <w:widowControl w:val="0"/>
              <w:suppressAutoHyphens w:val="0"/>
              <w:spacing w:before="0" w:after="0" w:line="240" w:lineRule="auto"/>
              <w:jc w:val="right"/>
              <w:rPr>
                <w:szCs w:val="17"/>
              </w:rPr>
            </w:pPr>
            <w:r w:rsidRPr="007103A4">
              <w:rPr>
                <w:szCs w:val="17"/>
              </w:rPr>
              <w:t>59.3</w:t>
            </w:r>
            <w:r w:rsidRPr="007103A4">
              <w:rPr>
                <w:szCs w:val="17"/>
                <w:vertAlign w:val="superscript"/>
              </w:rPr>
              <w:t>a</w:t>
            </w:r>
          </w:p>
        </w:tc>
        <w:tc>
          <w:tcPr>
            <w:tcW w:w="275" w:type="pct"/>
          </w:tcPr>
          <w:p w14:paraId="4D516B0B" w14:textId="77777777" w:rsidR="000110FD" w:rsidRDefault="000110FD" w:rsidP="00E45161">
            <w:pPr>
              <w:pStyle w:val="TableText"/>
              <w:widowControl w:val="0"/>
              <w:suppressAutoHyphens w:val="0"/>
              <w:spacing w:before="0" w:after="0" w:line="240" w:lineRule="auto"/>
              <w:jc w:val="right"/>
              <w:rPr>
                <w:szCs w:val="17"/>
              </w:rPr>
            </w:pPr>
            <w:r>
              <w:rPr>
                <w:szCs w:val="17"/>
              </w:rPr>
              <w:t>171</w:t>
            </w:r>
          </w:p>
        </w:tc>
        <w:tc>
          <w:tcPr>
            <w:tcW w:w="485" w:type="pct"/>
          </w:tcPr>
          <w:p w14:paraId="4784602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3C6AC716"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676472ED" w14:textId="77777777" w:rsidR="000110FD" w:rsidRPr="00861392" w:rsidRDefault="000110FD" w:rsidP="00E45161">
            <w:pPr>
              <w:pStyle w:val="TableText"/>
              <w:widowControl w:val="0"/>
              <w:suppressAutoHyphens w:val="0"/>
              <w:spacing w:before="0" w:after="0" w:line="240" w:lineRule="auto"/>
              <w:jc w:val="right"/>
              <w:rPr>
                <w:szCs w:val="17"/>
              </w:rPr>
            </w:pPr>
            <w:r w:rsidRPr="00861392">
              <w:rPr>
                <w:szCs w:val="17"/>
              </w:rPr>
              <w:t>0.11</w:t>
            </w:r>
            <w:r w:rsidRPr="00861392">
              <w:rPr>
                <w:szCs w:val="17"/>
                <w:vertAlign w:val="superscript"/>
              </w:rPr>
              <w:t>d</w:t>
            </w:r>
          </w:p>
        </w:tc>
        <w:tc>
          <w:tcPr>
            <w:tcW w:w="297" w:type="pct"/>
          </w:tcPr>
          <w:p w14:paraId="1399E96F"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0.56</w:t>
            </w:r>
          </w:p>
        </w:tc>
        <w:tc>
          <w:tcPr>
            <w:tcW w:w="298" w:type="pct"/>
          </w:tcPr>
          <w:p w14:paraId="129CFA0E" w14:textId="77777777" w:rsidR="000110FD" w:rsidRPr="00CE53B8" w:rsidRDefault="000110FD" w:rsidP="00E45161">
            <w:pPr>
              <w:pStyle w:val="TableText"/>
              <w:widowControl w:val="0"/>
              <w:suppressAutoHyphens w:val="0"/>
              <w:spacing w:before="0" w:after="0" w:line="240" w:lineRule="auto"/>
              <w:jc w:val="right"/>
              <w:rPr>
                <w:color w:val="1A1B1A"/>
                <w:szCs w:val="17"/>
              </w:rPr>
            </w:pPr>
            <w:r>
              <w:rPr>
                <w:color w:val="1A1B1A"/>
                <w:szCs w:val="17"/>
              </w:rPr>
              <w:t>4.0</w:t>
            </w:r>
          </w:p>
        </w:tc>
        <w:tc>
          <w:tcPr>
            <w:tcW w:w="298" w:type="pct"/>
          </w:tcPr>
          <w:p w14:paraId="2B319D70"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0.14</w:t>
            </w:r>
          </w:p>
        </w:tc>
        <w:tc>
          <w:tcPr>
            <w:tcW w:w="298" w:type="pct"/>
          </w:tcPr>
          <w:p w14:paraId="2971ADED"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1226</w:t>
            </w:r>
          </w:p>
        </w:tc>
      </w:tr>
      <w:tr w:rsidR="000110FD" w:rsidRPr="00C3293F" w14:paraId="5534C060" w14:textId="77777777" w:rsidTr="000110FD">
        <w:trPr>
          <w:cantSplit/>
          <w:trHeight w:val="13"/>
        </w:trPr>
        <w:tc>
          <w:tcPr>
            <w:tcW w:w="515" w:type="pct"/>
            <w:gridSpan w:val="2"/>
            <w:vMerge/>
          </w:tcPr>
          <w:p w14:paraId="313D215F" w14:textId="77777777" w:rsidR="000110FD" w:rsidRDefault="000110FD" w:rsidP="00303DF5">
            <w:pPr>
              <w:pStyle w:val="TableText"/>
              <w:widowControl w:val="0"/>
              <w:suppressAutoHyphens w:val="0"/>
              <w:spacing w:before="0" w:after="0" w:line="240" w:lineRule="auto"/>
              <w:rPr>
                <w:szCs w:val="17"/>
              </w:rPr>
            </w:pPr>
          </w:p>
        </w:tc>
        <w:tc>
          <w:tcPr>
            <w:tcW w:w="467" w:type="pct"/>
            <w:vMerge/>
          </w:tcPr>
          <w:p w14:paraId="113613BB"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Pr>
          <w:p w14:paraId="629F94B8" w14:textId="77777777" w:rsidR="000110FD" w:rsidRDefault="000110FD" w:rsidP="00303DF5">
            <w:pPr>
              <w:pStyle w:val="TableText"/>
              <w:widowControl w:val="0"/>
              <w:suppressAutoHyphens w:val="0"/>
              <w:spacing w:before="0" w:after="0" w:line="240" w:lineRule="auto"/>
              <w:rPr>
                <w:szCs w:val="17"/>
              </w:rPr>
            </w:pPr>
          </w:p>
        </w:tc>
        <w:tc>
          <w:tcPr>
            <w:tcW w:w="486" w:type="pct"/>
          </w:tcPr>
          <w:p w14:paraId="1F1941FE" w14:textId="77777777" w:rsidR="000110FD" w:rsidRDefault="000110FD" w:rsidP="00303DF5">
            <w:pPr>
              <w:pStyle w:val="TableText"/>
              <w:widowControl w:val="0"/>
              <w:suppressAutoHyphens w:val="0"/>
              <w:spacing w:before="0" w:after="0" w:line="240" w:lineRule="auto"/>
              <w:jc w:val="center"/>
              <w:rPr>
                <w:szCs w:val="17"/>
              </w:rPr>
            </w:pPr>
          </w:p>
        </w:tc>
        <w:tc>
          <w:tcPr>
            <w:tcW w:w="447" w:type="pct"/>
            <w:shd w:val="clear" w:color="auto" w:fill="D5D7D5" w:themeFill="text1" w:themeFillTint="33"/>
          </w:tcPr>
          <w:p w14:paraId="27057D60" w14:textId="77777777" w:rsidR="000110FD" w:rsidRDefault="000110FD" w:rsidP="00E45161">
            <w:pPr>
              <w:pStyle w:val="TableText"/>
              <w:widowControl w:val="0"/>
              <w:suppressAutoHyphens w:val="0"/>
              <w:spacing w:before="0" w:after="0" w:line="240" w:lineRule="auto"/>
              <w:jc w:val="right"/>
              <w:rPr>
                <w:szCs w:val="17"/>
              </w:rPr>
            </w:pPr>
            <w:r w:rsidRPr="007103A4">
              <w:rPr>
                <w:szCs w:val="17"/>
              </w:rPr>
              <w:t>59.3</w:t>
            </w:r>
            <w:r w:rsidRPr="007103A4">
              <w:rPr>
                <w:szCs w:val="17"/>
                <w:vertAlign w:val="superscript"/>
              </w:rPr>
              <w:t>a</w:t>
            </w:r>
          </w:p>
        </w:tc>
        <w:tc>
          <w:tcPr>
            <w:tcW w:w="275" w:type="pct"/>
          </w:tcPr>
          <w:p w14:paraId="18A78606" w14:textId="77777777" w:rsidR="000110FD" w:rsidRDefault="000110FD" w:rsidP="00E45161">
            <w:pPr>
              <w:pStyle w:val="TableText"/>
              <w:widowControl w:val="0"/>
              <w:suppressAutoHyphens w:val="0"/>
              <w:spacing w:before="0" w:after="0" w:line="240" w:lineRule="auto"/>
              <w:jc w:val="right"/>
              <w:rPr>
                <w:szCs w:val="17"/>
              </w:rPr>
            </w:pPr>
            <w:r>
              <w:rPr>
                <w:szCs w:val="17"/>
              </w:rPr>
              <w:t>147</w:t>
            </w:r>
          </w:p>
        </w:tc>
        <w:tc>
          <w:tcPr>
            <w:tcW w:w="485" w:type="pct"/>
          </w:tcPr>
          <w:p w14:paraId="6DCD45D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Pr>
          <w:p w14:paraId="76FDCCCE"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shd w:val="clear" w:color="auto" w:fill="D5D7D5" w:themeFill="text1" w:themeFillTint="33"/>
          </w:tcPr>
          <w:p w14:paraId="01A6EA8F" w14:textId="77777777" w:rsidR="000110FD" w:rsidRDefault="000110FD" w:rsidP="00E45161">
            <w:pPr>
              <w:pStyle w:val="TableText"/>
              <w:widowControl w:val="0"/>
              <w:suppressAutoHyphens w:val="0"/>
              <w:spacing w:before="0" w:after="0" w:line="240" w:lineRule="auto"/>
              <w:jc w:val="right"/>
              <w:rPr>
                <w:szCs w:val="17"/>
              </w:rPr>
            </w:pPr>
            <w:r w:rsidRPr="00861392">
              <w:rPr>
                <w:szCs w:val="17"/>
              </w:rPr>
              <w:t>0.11</w:t>
            </w:r>
            <w:r w:rsidRPr="00861392">
              <w:rPr>
                <w:szCs w:val="17"/>
                <w:vertAlign w:val="superscript"/>
              </w:rPr>
              <w:t>d</w:t>
            </w:r>
          </w:p>
        </w:tc>
        <w:tc>
          <w:tcPr>
            <w:tcW w:w="297" w:type="pct"/>
          </w:tcPr>
          <w:p w14:paraId="7B811CD4"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0.48</w:t>
            </w:r>
          </w:p>
        </w:tc>
        <w:tc>
          <w:tcPr>
            <w:tcW w:w="298" w:type="pct"/>
          </w:tcPr>
          <w:p w14:paraId="233BE9A7" w14:textId="77777777" w:rsidR="000110FD" w:rsidRDefault="000110FD" w:rsidP="00E45161">
            <w:pPr>
              <w:pStyle w:val="TableText"/>
              <w:widowControl w:val="0"/>
              <w:suppressAutoHyphens w:val="0"/>
              <w:spacing w:before="0" w:after="0" w:line="240" w:lineRule="auto"/>
              <w:jc w:val="right"/>
            </w:pPr>
            <w:r w:rsidRPr="00CE53B8">
              <w:rPr>
                <w:color w:val="1A1B1A"/>
                <w:szCs w:val="17"/>
              </w:rPr>
              <w:t>4.0</w:t>
            </w:r>
          </w:p>
        </w:tc>
        <w:tc>
          <w:tcPr>
            <w:tcW w:w="298" w:type="pct"/>
          </w:tcPr>
          <w:p w14:paraId="4C7F7B9E" w14:textId="77777777" w:rsidR="000110FD" w:rsidRPr="00721FF0" w:rsidRDefault="000110FD" w:rsidP="00E45161">
            <w:pPr>
              <w:pStyle w:val="TableText"/>
              <w:widowControl w:val="0"/>
              <w:suppressAutoHyphens w:val="0"/>
              <w:spacing w:before="0" w:after="0" w:line="240" w:lineRule="auto"/>
              <w:jc w:val="right"/>
            </w:pPr>
            <w:r>
              <w:rPr>
                <w:color w:val="1A1B1A"/>
                <w:szCs w:val="17"/>
              </w:rPr>
              <w:t>0.12</w:t>
            </w:r>
          </w:p>
        </w:tc>
        <w:tc>
          <w:tcPr>
            <w:tcW w:w="298" w:type="pct"/>
          </w:tcPr>
          <w:p w14:paraId="51B62EF8"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r w:rsidR="000110FD" w:rsidRPr="00C3293F" w14:paraId="224BB95C" w14:textId="77777777" w:rsidTr="000110FD">
        <w:trPr>
          <w:cantSplit/>
          <w:trHeight w:val="13"/>
        </w:trPr>
        <w:tc>
          <w:tcPr>
            <w:tcW w:w="515" w:type="pct"/>
            <w:gridSpan w:val="2"/>
            <w:vMerge/>
            <w:tcBorders>
              <w:bottom w:val="single" w:sz="4" w:space="0" w:color="auto"/>
            </w:tcBorders>
          </w:tcPr>
          <w:p w14:paraId="63C50C5F" w14:textId="77777777" w:rsidR="000110FD" w:rsidRDefault="000110FD" w:rsidP="00303DF5">
            <w:pPr>
              <w:pStyle w:val="TableText"/>
              <w:widowControl w:val="0"/>
              <w:suppressAutoHyphens w:val="0"/>
              <w:spacing w:before="0" w:after="0" w:line="240" w:lineRule="auto"/>
              <w:rPr>
                <w:szCs w:val="17"/>
              </w:rPr>
            </w:pPr>
          </w:p>
        </w:tc>
        <w:tc>
          <w:tcPr>
            <w:tcW w:w="467" w:type="pct"/>
            <w:vMerge/>
            <w:tcBorders>
              <w:bottom w:val="single" w:sz="4" w:space="0" w:color="auto"/>
            </w:tcBorders>
          </w:tcPr>
          <w:p w14:paraId="19788F20" w14:textId="77777777" w:rsidR="000110FD" w:rsidRDefault="000110FD" w:rsidP="00303DF5">
            <w:pPr>
              <w:pStyle w:val="TableText"/>
              <w:widowControl w:val="0"/>
              <w:suppressAutoHyphens w:val="0"/>
              <w:spacing w:before="0" w:after="0" w:line="240" w:lineRule="auto"/>
              <w:rPr>
                <w:szCs w:val="17"/>
              </w:rPr>
            </w:pPr>
          </w:p>
        </w:tc>
        <w:tc>
          <w:tcPr>
            <w:tcW w:w="540" w:type="pct"/>
            <w:gridSpan w:val="2"/>
            <w:vMerge/>
            <w:tcBorders>
              <w:bottom w:val="single" w:sz="4" w:space="0" w:color="auto"/>
            </w:tcBorders>
          </w:tcPr>
          <w:p w14:paraId="411786B5" w14:textId="77777777" w:rsidR="000110FD" w:rsidRDefault="000110FD" w:rsidP="00303DF5">
            <w:pPr>
              <w:pStyle w:val="TableText"/>
              <w:widowControl w:val="0"/>
              <w:suppressAutoHyphens w:val="0"/>
              <w:spacing w:before="0" w:after="0" w:line="240" w:lineRule="auto"/>
              <w:rPr>
                <w:szCs w:val="17"/>
              </w:rPr>
            </w:pPr>
          </w:p>
        </w:tc>
        <w:tc>
          <w:tcPr>
            <w:tcW w:w="486" w:type="pct"/>
            <w:tcBorders>
              <w:bottom w:val="single" w:sz="4" w:space="0" w:color="auto"/>
            </w:tcBorders>
          </w:tcPr>
          <w:p w14:paraId="3E979D8E" w14:textId="77777777" w:rsidR="000110FD" w:rsidRDefault="000110FD" w:rsidP="00303DF5">
            <w:pPr>
              <w:pStyle w:val="TableText"/>
              <w:widowControl w:val="0"/>
              <w:suppressAutoHyphens w:val="0"/>
              <w:spacing w:before="0" w:after="0" w:line="240" w:lineRule="auto"/>
              <w:jc w:val="center"/>
              <w:rPr>
                <w:szCs w:val="17"/>
              </w:rPr>
            </w:pPr>
          </w:p>
        </w:tc>
        <w:tc>
          <w:tcPr>
            <w:tcW w:w="447" w:type="pct"/>
            <w:tcBorders>
              <w:bottom w:val="single" w:sz="4" w:space="0" w:color="auto"/>
            </w:tcBorders>
            <w:shd w:val="clear" w:color="auto" w:fill="D5D7D5" w:themeFill="text1" w:themeFillTint="33"/>
          </w:tcPr>
          <w:p w14:paraId="59841538" w14:textId="77777777" w:rsidR="000110FD" w:rsidRDefault="000110FD" w:rsidP="00E45161">
            <w:pPr>
              <w:pStyle w:val="TableText"/>
              <w:widowControl w:val="0"/>
              <w:suppressAutoHyphens w:val="0"/>
              <w:spacing w:before="0" w:after="0" w:line="240" w:lineRule="auto"/>
              <w:jc w:val="right"/>
              <w:rPr>
                <w:szCs w:val="17"/>
              </w:rPr>
            </w:pPr>
            <w:r w:rsidRPr="007103A4">
              <w:rPr>
                <w:szCs w:val="17"/>
              </w:rPr>
              <w:t>59.3</w:t>
            </w:r>
            <w:r w:rsidRPr="007103A4">
              <w:rPr>
                <w:szCs w:val="17"/>
                <w:vertAlign w:val="superscript"/>
              </w:rPr>
              <w:t>a</w:t>
            </w:r>
          </w:p>
        </w:tc>
        <w:tc>
          <w:tcPr>
            <w:tcW w:w="275" w:type="pct"/>
            <w:tcBorders>
              <w:bottom w:val="single" w:sz="4" w:space="0" w:color="auto"/>
            </w:tcBorders>
          </w:tcPr>
          <w:p w14:paraId="3B2EEDDF" w14:textId="77777777" w:rsidR="000110FD" w:rsidRDefault="000110FD" w:rsidP="00E45161">
            <w:pPr>
              <w:pStyle w:val="TableText"/>
              <w:widowControl w:val="0"/>
              <w:suppressAutoHyphens w:val="0"/>
              <w:spacing w:before="0" w:after="0" w:line="240" w:lineRule="auto"/>
              <w:jc w:val="right"/>
              <w:rPr>
                <w:szCs w:val="17"/>
              </w:rPr>
            </w:pPr>
            <w:r>
              <w:rPr>
                <w:szCs w:val="17"/>
              </w:rPr>
              <w:t>120</w:t>
            </w:r>
          </w:p>
        </w:tc>
        <w:tc>
          <w:tcPr>
            <w:tcW w:w="485" w:type="pct"/>
            <w:tcBorders>
              <w:bottom w:val="single" w:sz="4" w:space="0" w:color="auto"/>
            </w:tcBorders>
          </w:tcPr>
          <w:p w14:paraId="1268466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7" w:type="pct"/>
            <w:tcBorders>
              <w:bottom w:val="single" w:sz="4" w:space="0" w:color="auto"/>
            </w:tcBorders>
          </w:tcPr>
          <w:p w14:paraId="45618E59" w14:textId="77777777" w:rsidR="000110FD" w:rsidRDefault="000110FD" w:rsidP="00E45161">
            <w:pPr>
              <w:pStyle w:val="TableText"/>
              <w:widowControl w:val="0"/>
              <w:suppressAutoHyphens w:val="0"/>
              <w:spacing w:before="0" w:after="0" w:line="240" w:lineRule="auto"/>
              <w:jc w:val="right"/>
              <w:rPr>
                <w:szCs w:val="17"/>
              </w:rPr>
            </w:pPr>
            <w:r>
              <w:rPr>
                <w:szCs w:val="17"/>
              </w:rPr>
              <w:t>0.5</w:t>
            </w:r>
          </w:p>
        </w:tc>
        <w:tc>
          <w:tcPr>
            <w:tcW w:w="298" w:type="pct"/>
            <w:tcBorders>
              <w:bottom w:val="single" w:sz="4" w:space="0" w:color="auto"/>
            </w:tcBorders>
            <w:shd w:val="clear" w:color="auto" w:fill="D5D7D5" w:themeFill="text1" w:themeFillTint="33"/>
          </w:tcPr>
          <w:p w14:paraId="4A9EB743" w14:textId="77777777" w:rsidR="000110FD" w:rsidRDefault="000110FD" w:rsidP="00E45161">
            <w:pPr>
              <w:pStyle w:val="TableText"/>
              <w:widowControl w:val="0"/>
              <w:suppressAutoHyphens w:val="0"/>
              <w:spacing w:before="0" w:after="0" w:line="240" w:lineRule="auto"/>
              <w:jc w:val="right"/>
              <w:rPr>
                <w:szCs w:val="17"/>
              </w:rPr>
            </w:pPr>
            <w:r w:rsidRPr="00861392">
              <w:rPr>
                <w:szCs w:val="17"/>
              </w:rPr>
              <w:t>0.11</w:t>
            </w:r>
            <w:r w:rsidRPr="00861392">
              <w:rPr>
                <w:szCs w:val="17"/>
                <w:vertAlign w:val="superscript"/>
              </w:rPr>
              <w:t>d</w:t>
            </w:r>
          </w:p>
        </w:tc>
        <w:tc>
          <w:tcPr>
            <w:tcW w:w="297" w:type="pct"/>
            <w:tcBorders>
              <w:bottom w:val="single" w:sz="4" w:space="0" w:color="auto"/>
            </w:tcBorders>
          </w:tcPr>
          <w:p w14:paraId="45E95164" w14:textId="77777777" w:rsidR="000110FD" w:rsidRDefault="000110FD" w:rsidP="00E45161">
            <w:pPr>
              <w:pStyle w:val="TableText"/>
              <w:widowControl w:val="0"/>
              <w:suppressAutoHyphens w:val="0"/>
              <w:spacing w:before="0" w:after="0" w:line="240" w:lineRule="auto"/>
              <w:jc w:val="right"/>
              <w:rPr>
                <w:szCs w:val="17"/>
              </w:rPr>
            </w:pPr>
            <w:r>
              <w:rPr>
                <w:color w:val="1A1B1A"/>
                <w:szCs w:val="17"/>
              </w:rPr>
              <w:t>0.39</w:t>
            </w:r>
          </w:p>
        </w:tc>
        <w:tc>
          <w:tcPr>
            <w:tcW w:w="298" w:type="pct"/>
            <w:tcBorders>
              <w:bottom w:val="single" w:sz="4" w:space="0" w:color="auto"/>
            </w:tcBorders>
          </w:tcPr>
          <w:p w14:paraId="22E4512E" w14:textId="77777777" w:rsidR="000110FD" w:rsidRDefault="000110FD" w:rsidP="00E45161">
            <w:pPr>
              <w:pStyle w:val="TableText"/>
              <w:widowControl w:val="0"/>
              <w:suppressAutoHyphens w:val="0"/>
              <w:spacing w:before="0" w:after="0" w:line="240" w:lineRule="auto"/>
              <w:jc w:val="right"/>
            </w:pPr>
            <w:r w:rsidRPr="00CE53B8">
              <w:rPr>
                <w:color w:val="1A1B1A"/>
                <w:szCs w:val="17"/>
              </w:rPr>
              <w:t>4.0</w:t>
            </w:r>
          </w:p>
        </w:tc>
        <w:tc>
          <w:tcPr>
            <w:tcW w:w="298" w:type="pct"/>
            <w:tcBorders>
              <w:bottom w:val="single" w:sz="4" w:space="0" w:color="auto"/>
            </w:tcBorders>
          </w:tcPr>
          <w:p w14:paraId="2C0B221C" w14:textId="77777777" w:rsidR="000110FD" w:rsidRPr="00721FF0" w:rsidRDefault="000110FD" w:rsidP="00E45161">
            <w:pPr>
              <w:pStyle w:val="TableText"/>
              <w:widowControl w:val="0"/>
              <w:suppressAutoHyphens w:val="0"/>
              <w:spacing w:before="0" w:after="0" w:line="240" w:lineRule="auto"/>
              <w:jc w:val="right"/>
            </w:pPr>
            <w:r>
              <w:rPr>
                <w:color w:val="1A1B1A"/>
                <w:szCs w:val="17"/>
              </w:rPr>
              <w:t>0.10</w:t>
            </w:r>
          </w:p>
        </w:tc>
        <w:tc>
          <w:tcPr>
            <w:tcW w:w="298" w:type="pct"/>
            <w:tcBorders>
              <w:bottom w:val="single" w:sz="4" w:space="0" w:color="auto"/>
            </w:tcBorders>
          </w:tcPr>
          <w:p w14:paraId="42286231" w14:textId="77777777" w:rsidR="000110FD" w:rsidRPr="00C3293F" w:rsidRDefault="000110FD" w:rsidP="00E45161">
            <w:pPr>
              <w:pStyle w:val="TableText"/>
              <w:widowControl w:val="0"/>
              <w:suppressAutoHyphens w:val="0"/>
              <w:spacing w:before="0" w:after="0" w:line="240" w:lineRule="auto"/>
              <w:jc w:val="right"/>
            </w:pPr>
            <w:r>
              <w:rPr>
                <w:color w:val="1A1B1A"/>
                <w:szCs w:val="17"/>
              </w:rPr>
              <w:t>1226</w:t>
            </w:r>
          </w:p>
        </w:tc>
      </w:tr>
    </w:tbl>
    <w:p w14:paraId="05DB8E88" w14:textId="77777777" w:rsidR="000110FD" w:rsidRPr="00E45161" w:rsidRDefault="000110FD" w:rsidP="00E45161">
      <w:pPr>
        <w:pStyle w:val="SourceTableNote"/>
      </w:pPr>
      <w:r w:rsidRPr="00E45161">
        <w:rPr>
          <w:vertAlign w:val="superscript"/>
        </w:rPr>
        <w:t>a</w:t>
      </w:r>
      <w:r w:rsidRPr="00E45161">
        <w:t xml:space="preserve"> Refined shortcut value used for risk assessment; small herbivores, bodyweight adjusted to 50 g</w:t>
      </w:r>
    </w:p>
    <w:p w14:paraId="52F7B5AC" w14:textId="77777777" w:rsidR="000110FD" w:rsidRPr="00E45161" w:rsidRDefault="000110FD" w:rsidP="00E45161">
      <w:pPr>
        <w:pStyle w:val="SourceTableNote"/>
      </w:pPr>
      <w:r w:rsidRPr="00E45161">
        <w:rPr>
          <w:vertAlign w:val="superscript"/>
        </w:rPr>
        <w:t>b</w:t>
      </w:r>
      <w:r w:rsidRPr="00E45161">
        <w:t xml:space="preserve"> Refined shortcut value used for risk assessment; large herbivores, bodyweight adjusted to 1500 g and DEE based on non-eutherian mammals</w:t>
      </w:r>
    </w:p>
    <w:p w14:paraId="04015F28" w14:textId="77777777" w:rsidR="000110FD" w:rsidRPr="00E45161" w:rsidRDefault="000110FD" w:rsidP="00E45161">
      <w:pPr>
        <w:pStyle w:val="SourceTableNote"/>
      </w:pPr>
      <w:r w:rsidRPr="00E45161">
        <w:rPr>
          <w:vertAlign w:val="superscript"/>
        </w:rPr>
        <w:t>c</w:t>
      </w:r>
      <w:r w:rsidRPr="00E45161">
        <w:t xml:space="preserve"> Refined shortcut value used for risk assessment; adjusted for interception values in EFSA (2020)</w:t>
      </w:r>
    </w:p>
    <w:p w14:paraId="43AC2293" w14:textId="77777777" w:rsidR="000110FD" w:rsidRPr="00E45161" w:rsidRDefault="000110FD" w:rsidP="00E45161">
      <w:pPr>
        <w:pStyle w:val="SourceTableNote"/>
      </w:pPr>
      <w:r w:rsidRPr="00E45161">
        <w:rPr>
          <w:vertAlign w:val="superscript"/>
        </w:rPr>
        <w:t>d</w:t>
      </w:r>
      <w:r w:rsidRPr="00E45161">
        <w:t xml:space="preserve"> Value (MAF or TWA) adjusted to account for DT</w:t>
      </w:r>
      <w:r w:rsidRPr="00E45161">
        <w:rPr>
          <w:vertAlign w:val="subscript"/>
        </w:rPr>
        <w:t>50</w:t>
      </w:r>
      <w:r w:rsidRPr="00E45161">
        <w:t xml:space="preserve"> 1.6 d for foliar food items</w:t>
      </w:r>
    </w:p>
    <w:p w14:paraId="3DB73F37" w14:textId="73994DCE" w:rsidR="000110FD" w:rsidRPr="00E45161" w:rsidRDefault="000110FD" w:rsidP="00E45161">
      <w:pPr>
        <w:pStyle w:val="SourceTableNote"/>
      </w:pPr>
      <w:r w:rsidRPr="00E45161">
        <w:t xml:space="preserve">Crop groups and situations as indicated in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p>
    <w:p w14:paraId="3A00E457" w14:textId="77777777" w:rsidR="000110FD" w:rsidRPr="00E45161" w:rsidRDefault="000110FD" w:rsidP="00E45161">
      <w:pPr>
        <w:pStyle w:val="SourceTableNote"/>
      </w:pPr>
      <w:r w:rsidRPr="00E45161">
        <w:t>Generic focal species and shortcut values for indicated crop groups from EFSA (2009), unless indicated otherwise</w:t>
      </w:r>
    </w:p>
    <w:p w14:paraId="4F44C2C2" w14:textId="00044203" w:rsidR="000110FD" w:rsidRPr="00E45161" w:rsidRDefault="000110FD" w:rsidP="00E45161">
      <w:pPr>
        <w:pStyle w:val="SourceTableNote"/>
      </w:pPr>
      <w:r w:rsidRPr="00E45161">
        <w:t xml:space="preserve">AR (g ac/ha) = application rate, the values quoted have been adjusted for FFT (from </w:t>
      </w:r>
      <w:r w:rsidR="008C566B" w:rsidRPr="00E45161">
        <w:fldChar w:fldCharType="begin" w:fldLock="1"/>
      </w:r>
      <w:r w:rsidR="008C566B" w:rsidRPr="00E45161">
        <w:instrText xml:space="preserve"> REF _Ref170461176 \h  \* MERGEFORMAT </w:instrText>
      </w:r>
      <w:r w:rsidR="008C566B" w:rsidRPr="00E45161">
        <w:fldChar w:fldCharType="separate"/>
      </w:r>
      <w:r w:rsidR="0033298E" w:rsidRPr="00E45161">
        <w:t>Table 61</w:t>
      </w:r>
      <w:r w:rsidR="008C566B" w:rsidRPr="00E45161">
        <w:fldChar w:fldCharType="end"/>
      </w:r>
      <w:r w:rsidRPr="00E45161">
        <w:t>)</w:t>
      </w:r>
    </w:p>
    <w:p w14:paraId="1BF06E8F" w14:textId="77777777" w:rsidR="000110FD" w:rsidRPr="00E45161" w:rsidRDefault="000110FD" w:rsidP="00E45161">
      <w:pPr>
        <w:pStyle w:val="SourceTableNote"/>
      </w:pPr>
      <w:r w:rsidRPr="00E45161">
        <w:t>MAF = multiple application factor</w:t>
      </w:r>
    </w:p>
    <w:p w14:paraId="71CE34DE" w14:textId="77777777" w:rsidR="000110FD" w:rsidRPr="00E45161" w:rsidRDefault="000110FD" w:rsidP="00E45161">
      <w:pPr>
        <w:pStyle w:val="SourceTableNote"/>
      </w:pPr>
      <w:r w:rsidRPr="00E45161">
        <w:t>PT = proportion of daily diet obtained treated area (acute 1.0, chronic 0.5)</w:t>
      </w:r>
    </w:p>
    <w:p w14:paraId="0ECF2F73" w14:textId="77777777" w:rsidR="000110FD" w:rsidRPr="00E45161" w:rsidRDefault="000110FD" w:rsidP="00E45161">
      <w:pPr>
        <w:pStyle w:val="SourceTableNote"/>
      </w:pPr>
      <w:r w:rsidRPr="00E45161">
        <w:t>TWA = time weighted average factor</w:t>
      </w:r>
    </w:p>
    <w:p w14:paraId="3D5BF990" w14:textId="77777777" w:rsidR="000110FD" w:rsidRPr="00E45161" w:rsidRDefault="000110FD" w:rsidP="00E45161">
      <w:pPr>
        <w:pStyle w:val="SourceTableNote"/>
      </w:pPr>
      <w:r w:rsidRPr="00E45161">
        <w:t>DDD (mg ac/kg bw or mg ac/kg bw/d) = daily dietary dose = AR ∕ 1000 × shortcut value × MAF × PT × TWA</w:t>
      </w:r>
    </w:p>
    <w:p w14:paraId="0C81D84A" w14:textId="77777777" w:rsidR="000110FD" w:rsidRPr="00E45161" w:rsidRDefault="000110FD" w:rsidP="00E45161">
      <w:pPr>
        <w:pStyle w:val="SourceTableNote"/>
      </w:pPr>
      <w:r w:rsidRPr="00E45161">
        <w:t>RAL = regulatory acceptable level</w:t>
      </w:r>
    </w:p>
    <w:p w14:paraId="6C535397" w14:textId="77777777" w:rsidR="000110FD" w:rsidRPr="00E45161" w:rsidRDefault="000110FD" w:rsidP="00E45161">
      <w:pPr>
        <w:pStyle w:val="SourceTableNote"/>
      </w:pPr>
      <w:r w:rsidRPr="00E45161">
        <w:t>Acute = LD</w:t>
      </w:r>
      <w:r w:rsidRPr="00E45161">
        <w:rPr>
          <w:vertAlign w:val="subscript"/>
        </w:rPr>
        <w:t>50</w:t>
      </w:r>
      <w:r w:rsidRPr="00E45161">
        <w:t xml:space="preserve"> 208 mg/kg bw (Rittenhouse 1979, McCall &amp; Robinson 1990) and assessment factor of 10</w:t>
      </w:r>
    </w:p>
    <w:p w14:paraId="53BAB759" w14:textId="77777777" w:rsidR="000110FD" w:rsidRPr="00E45161" w:rsidRDefault="000110FD" w:rsidP="00E45161">
      <w:pPr>
        <w:pStyle w:val="SourceTableNote"/>
      </w:pPr>
      <w:r w:rsidRPr="00E45161">
        <w:tab/>
        <w:t>Chronic = NOAEL 4.0 mg/kg bw/d (Hodge 1990) and assessment factor of 1</w:t>
      </w:r>
    </w:p>
    <w:p w14:paraId="3D18B5F6" w14:textId="77777777" w:rsidR="000110FD" w:rsidRPr="00E45161" w:rsidRDefault="000110FD" w:rsidP="00E45161">
      <w:pPr>
        <w:pStyle w:val="SourceTableNote"/>
      </w:pPr>
      <w:r w:rsidRPr="00E45161">
        <w:lastRenderedPageBreak/>
        <w:t>RQ = risk quotient = DDD ∕ RAL, RQ ≤1 indicates an acceptable risk</w:t>
      </w:r>
    </w:p>
    <w:p w14:paraId="78097608" w14:textId="77777777" w:rsidR="000110FD" w:rsidRPr="00E45161" w:rsidRDefault="000110FD" w:rsidP="00E45161">
      <w:pPr>
        <w:pStyle w:val="SourceTableNote"/>
      </w:pPr>
      <w:r w:rsidRPr="00E45161">
        <w:t>Max rate (g ac/ha) = maximum acceptable rate, per application = RAL × 1000 / (shortcut value × MAF × PT × TWA)</w:t>
      </w:r>
    </w:p>
    <w:p w14:paraId="6DD21866" w14:textId="2017228B" w:rsidR="000110FD" w:rsidRPr="00247DE6" w:rsidRDefault="000110FD" w:rsidP="00247DE6">
      <w:pPr>
        <w:pStyle w:val="Caption"/>
      </w:pPr>
      <w:bookmarkStart w:id="515" w:name="_Ref221022636"/>
      <w:bookmarkStart w:id="516" w:name="_Toc232589654"/>
      <w:r w:rsidRPr="00247DE6">
        <w:t xml:space="preserve">Table </w:t>
      </w:r>
      <w:fldSimple w:instr=" SEQ Table \* ARABIC ">
        <w:r w:rsidR="00247DE6">
          <w:rPr>
            <w:noProof/>
          </w:rPr>
          <w:t>59</w:t>
        </w:r>
      </w:fldSimple>
      <w:bookmarkEnd w:id="515"/>
      <w:r w:rsidRPr="00247DE6">
        <w:t>: Refined assessment of risks to birds (acute RAL 7.0 mg/kg bw; chronic RAL 3.2 mg ac/kg bw/d)</w:t>
      </w:r>
      <w:bookmarkEnd w:id="516"/>
    </w:p>
    <w:tbl>
      <w:tblPr>
        <w:tblW w:w="5000" w:type="pct"/>
        <w:tblCellMar>
          <w:top w:w="57" w:type="dxa"/>
          <w:left w:w="57" w:type="dxa"/>
          <w:bottom w:w="57" w:type="dxa"/>
          <w:right w:w="57" w:type="dxa"/>
        </w:tblCellMar>
        <w:tblLook w:val="0000" w:firstRow="0" w:lastRow="0" w:firstColumn="0" w:lastColumn="0" w:noHBand="0" w:noVBand="0"/>
      </w:tblPr>
      <w:tblGrid>
        <w:gridCol w:w="961"/>
        <w:gridCol w:w="1010"/>
        <w:gridCol w:w="49"/>
        <w:gridCol w:w="1042"/>
        <w:gridCol w:w="948"/>
        <w:gridCol w:w="1047"/>
        <w:gridCol w:w="571"/>
        <w:gridCol w:w="583"/>
        <w:gridCol w:w="581"/>
        <w:gridCol w:w="583"/>
        <w:gridCol w:w="581"/>
        <w:gridCol w:w="585"/>
        <w:gridCol w:w="587"/>
        <w:gridCol w:w="624"/>
      </w:tblGrid>
      <w:tr w:rsidR="000110FD" w:rsidRPr="00CE16D2" w14:paraId="11D3C393" w14:textId="77777777" w:rsidTr="000110FD">
        <w:trPr>
          <w:cantSplit/>
          <w:tblHeader/>
        </w:trPr>
        <w:tc>
          <w:tcPr>
            <w:tcW w:w="492" w:type="pct"/>
            <w:tcBorders>
              <w:top w:val="single" w:sz="4" w:space="0" w:color="auto"/>
              <w:bottom w:val="single" w:sz="4" w:space="0" w:color="auto"/>
              <w:right w:val="single" w:sz="4" w:space="0" w:color="auto"/>
            </w:tcBorders>
            <w:shd w:val="clear" w:color="auto" w:fill="5C2946"/>
          </w:tcPr>
          <w:p w14:paraId="63D0680D" w14:textId="77777777" w:rsidR="000110FD" w:rsidRPr="00E45161" w:rsidRDefault="000110FD" w:rsidP="00E45161">
            <w:pPr>
              <w:pStyle w:val="TableHead"/>
            </w:pPr>
            <w:r w:rsidRPr="00E45161">
              <w:t>Crop group</w:t>
            </w:r>
          </w:p>
        </w:tc>
        <w:tc>
          <w:tcPr>
            <w:tcW w:w="543" w:type="pct"/>
            <w:gridSpan w:val="2"/>
            <w:tcBorders>
              <w:top w:val="single" w:sz="4" w:space="0" w:color="auto"/>
              <w:left w:val="single" w:sz="4" w:space="0" w:color="auto"/>
              <w:bottom w:val="single" w:sz="4" w:space="0" w:color="auto"/>
              <w:right w:val="single" w:sz="4" w:space="0" w:color="auto"/>
            </w:tcBorders>
            <w:shd w:val="clear" w:color="auto" w:fill="5C2946"/>
          </w:tcPr>
          <w:p w14:paraId="4D34AD23" w14:textId="77777777" w:rsidR="000110FD" w:rsidRPr="00E45161" w:rsidRDefault="000110FD" w:rsidP="00E45161">
            <w:pPr>
              <w:pStyle w:val="TableHead"/>
            </w:pPr>
            <w:r w:rsidRPr="00E45161">
              <w:t>Generic focal species</w:t>
            </w:r>
          </w:p>
        </w:tc>
        <w:tc>
          <w:tcPr>
            <w:tcW w:w="534" w:type="pct"/>
            <w:tcBorders>
              <w:top w:val="single" w:sz="4" w:space="0" w:color="auto"/>
              <w:left w:val="single" w:sz="4" w:space="0" w:color="auto"/>
              <w:bottom w:val="single" w:sz="4" w:space="0" w:color="auto"/>
              <w:right w:val="single" w:sz="4" w:space="0" w:color="auto"/>
            </w:tcBorders>
            <w:shd w:val="clear" w:color="auto" w:fill="5C2946"/>
          </w:tcPr>
          <w:p w14:paraId="78E2FF90" w14:textId="77777777" w:rsidR="000110FD" w:rsidRPr="00E45161" w:rsidRDefault="000110FD" w:rsidP="00E45161">
            <w:pPr>
              <w:pStyle w:val="TableHead"/>
            </w:pPr>
            <w:r w:rsidRPr="00E45161">
              <w:t>Crop stage</w:t>
            </w:r>
          </w:p>
        </w:tc>
        <w:tc>
          <w:tcPr>
            <w:tcW w:w="486" w:type="pct"/>
            <w:tcBorders>
              <w:top w:val="single" w:sz="4" w:space="0" w:color="auto"/>
              <w:left w:val="single" w:sz="4" w:space="0" w:color="auto"/>
              <w:bottom w:val="single" w:sz="4" w:space="0" w:color="auto"/>
              <w:right w:val="single" w:sz="4" w:space="0" w:color="auto"/>
            </w:tcBorders>
            <w:shd w:val="clear" w:color="auto" w:fill="5C2946"/>
          </w:tcPr>
          <w:p w14:paraId="37732E13" w14:textId="77777777" w:rsidR="000110FD" w:rsidRPr="00E45161" w:rsidRDefault="000110FD" w:rsidP="00E45161">
            <w:pPr>
              <w:pStyle w:val="TableHead"/>
            </w:pPr>
            <w:r w:rsidRPr="00E45161">
              <w:t>Exposure</w:t>
            </w:r>
          </w:p>
        </w:tc>
        <w:tc>
          <w:tcPr>
            <w:tcW w:w="537" w:type="pct"/>
            <w:tcBorders>
              <w:top w:val="single" w:sz="4" w:space="0" w:color="auto"/>
              <w:left w:val="single" w:sz="4" w:space="0" w:color="auto"/>
              <w:bottom w:val="single" w:sz="4" w:space="0" w:color="auto"/>
              <w:right w:val="single" w:sz="4" w:space="0" w:color="auto"/>
            </w:tcBorders>
            <w:shd w:val="clear" w:color="auto" w:fill="5C2946"/>
          </w:tcPr>
          <w:p w14:paraId="58BB64FE" w14:textId="77777777" w:rsidR="000110FD" w:rsidRPr="00E45161" w:rsidRDefault="000110FD" w:rsidP="00E45161">
            <w:pPr>
              <w:pStyle w:val="TableHead"/>
              <w:jc w:val="right"/>
            </w:pPr>
            <w:r w:rsidRPr="00E45161">
              <w:t>Shortcut value</w:t>
            </w:r>
          </w:p>
        </w:tc>
        <w:tc>
          <w:tcPr>
            <w:tcW w:w="293" w:type="pct"/>
            <w:tcBorders>
              <w:top w:val="single" w:sz="4" w:space="0" w:color="auto"/>
              <w:left w:val="single" w:sz="4" w:space="0" w:color="auto"/>
              <w:bottom w:val="single" w:sz="4" w:space="0" w:color="auto"/>
              <w:right w:val="single" w:sz="4" w:space="0" w:color="auto"/>
            </w:tcBorders>
            <w:shd w:val="clear" w:color="auto" w:fill="5C2946"/>
          </w:tcPr>
          <w:p w14:paraId="281E592A" w14:textId="77777777" w:rsidR="000110FD" w:rsidRPr="00E45161" w:rsidRDefault="000110FD" w:rsidP="00E45161">
            <w:pPr>
              <w:pStyle w:val="TableHead"/>
              <w:jc w:val="right"/>
            </w:pPr>
            <w:r w:rsidRPr="00E45161">
              <w:t>AR</w:t>
            </w:r>
          </w:p>
        </w:tc>
        <w:tc>
          <w:tcPr>
            <w:tcW w:w="299" w:type="pct"/>
            <w:tcBorders>
              <w:top w:val="single" w:sz="4" w:space="0" w:color="auto"/>
              <w:left w:val="single" w:sz="4" w:space="0" w:color="auto"/>
              <w:bottom w:val="single" w:sz="4" w:space="0" w:color="auto"/>
              <w:right w:val="single" w:sz="4" w:space="0" w:color="auto"/>
            </w:tcBorders>
            <w:shd w:val="clear" w:color="auto" w:fill="5C2946"/>
          </w:tcPr>
          <w:p w14:paraId="2F4F6186" w14:textId="77777777" w:rsidR="000110FD" w:rsidRPr="00E45161" w:rsidRDefault="000110FD" w:rsidP="00E45161">
            <w:pPr>
              <w:pStyle w:val="TableHead"/>
              <w:jc w:val="right"/>
            </w:pPr>
            <w:r w:rsidRPr="00E45161">
              <w:t>MAF</w:t>
            </w:r>
          </w:p>
        </w:tc>
        <w:tc>
          <w:tcPr>
            <w:tcW w:w="298" w:type="pct"/>
            <w:tcBorders>
              <w:top w:val="single" w:sz="4" w:space="0" w:color="auto"/>
              <w:left w:val="single" w:sz="4" w:space="0" w:color="auto"/>
              <w:bottom w:val="single" w:sz="4" w:space="0" w:color="auto"/>
              <w:right w:val="single" w:sz="4" w:space="0" w:color="auto"/>
            </w:tcBorders>
            <w:shd w:val="clear" w:color="auto" w:fill="5C2946"/>
          </w:tcPr>
          <w:p w14:paraId="135D0D2D" w14:textId="77777777" w:rsidR="000110FD" w:rsidRPr="00E45161" w:rsidRDefault="000110FD" w:rsidP="00E45161">
            <w:pPr>
              <w:pStyle w:val="TableHead"/>
              <w:jc w:val="right"/>
            </w:pPr>
            <w:r w:rsidRPr="00E45161">
              <w:t>PT</w:t>
            </w:r>
          </w:p>
        </w:tc>
        <w:tc>
          <w:tcPr>
            <w:tcW w:w="299" w:type="pct"/>
            <w:tcBorders>
              <w:top w:val="single" w:sz="4" w:space="0" w:color="auto"/>
              <w:left w:val="single" w:sz="4" w:space="0" w:color="auto"/>
              <w:bottom w:val="single" w:sz="4" w:space="0" w:color="auto"/>
              <w:right w:val="single" w:sz="4" w:space="0" w:color="auto"/>
            </w:tcBorders>
            <w:shd w:val="clear" w:color="auto" w:fill="5C2946"/>
          </w:tcPr>
          <w:p w14:paraId="73CF335D" w14:textId="77777777" w:rsidR="000110FD" w:rsidRPr="00E45161" w:rsidRDefault="000110FD" w:rsidP="00E45161">
            <w:pPr>
              <w:pStyle w:val="TableHead"/>
              <w:jc w:val="right"/>
            </w:pPr>
            <w:r w:rsidRPr="00E45161">
              <w:t>TWA</w:t>
            </w:r>
          </w:p>
        </w:tc>
        <w:tc>
          <w:tcPr>
            <w:tcW w:w="298" w:type="pct"/>
            <w:tcBorders>
              <w:top w:val="single" w:sz="4" w:space="0" w:color="auto"/>
              <w:left w:val="single" w:sz="4" w:space="0" w:color="auto"/>
              <w:bottom w:val="single" w:sz="4" w:space="0" w:color="auto"/>
              <w:right w:val="single" w:sz="4" w:space="0" w:color="auto"/>
            </w:tcBorders>
            <w:shd w:val="clear" w:color="auto" w:fill="5C2946"/>
          </w:tcPr>
          <w:p w14:paraId="6EF26394" w14:textId="77777777" w:rsidR="000110FD" w:rsidRPr="00E45161" w:rsidRDefault="000110FD" w:rsidP="00E45161">
            <w:pPr>
              <w:pStyle w:val="TableHead"/>
              <w:jc w:val="right"/>
            </w:pPr>
            <w:r w:rsidRPr="00E45161">
              <w:t>DDD</w:t>
            </w:r>
          </w:p>
        </w:tc>
        <w:tc>
          <w:tcPr>
            <w:tcW w:w="300" w:type="pct"/>
            <w:tcBorders>
              <w:top w:val="single" w:sz="4" w:space="0" w:color="auto"/>
              <w:left w:val="single" w:sz="4" w:space="0" w:color="auto"/>
              <w:bottom w:val="single" w:sz="4" w:space="0" w:color="auto"/>
              <w:right w:val="single" w:sz="4" w:space="0" w:color="auto"/>
            </w:tcBorders>
            <w:shd w:val="clear" w:color="auto" w:fill="5C2946"/>
          </w:tcPr>
          <w:p w14:paraId="63E31B13" w14:textId="77777777" w:rsidR="000110FD" w:rsidRPr="00E45161" w:rsidRDefault="000110FD" w:rsidP="00E45161">
            <w:pPr>
              <w:pStyle w:val="TableHead"/>
              <w:jc w:val="right"/>
            </w:pPr>
            <w:r w:rsidRPr="00E45161">
              <w:t>RAL</w:t>
            </w:r>
          </w:p>
        </w:tc>
        <w:tc>
          <w:tcPr>
            <w:tcW w:w="301" w:type="pct"/>
            <w:tcBorders>
              <w:top w:val="single" w:sz="4" w:space="0" w:color="auto"/>
              <w:left w:val="single" w:sz="4" w:space="0" w:color="auto"/>
              <w:bottom w:val="single" w:sz="4" w:space="0" w:color="auto"/>
              <w:right w:val="single" w:sz="4" w:space="0" w:color="auto"/>
            </w:tcBorders>
            <w:shd w:val="clear" w:color="auto" w:fill="5C2946"/>
          </w:tcPr>
          <w:p w14:paraId="1A92A0EA" w14:textId="77777777" w:rsidR="000110FD" w:rsidRPr="00E45161" w:rsidRDefault="000110FD" w:rsidP="00E45161">
            <w:pPr>
              <w:pStyle w:val="TableHead"/>
              <w:jc w:val="right"/>
            </w:pPr>
            <w:r w:rsidRPr="00E45161">
              <w:t>RQ</w:t>
            </w:r>
          </w:p>
        </w:tc>
        <w:tc>
          <w:tcPr>
            <w:tcW w:w="321" w:type="pct"/>
            <w:tcBorders>
              <w:top w:val="single" w:sz="4" w:space="0" w:color="auto"/>
              <w:left w:val="single" w:sz="4" w:space="0" w:color="auto"/>
              <w:bottom w:val="single" w:sz="4" w:space="0" w:color="auto"/>
            </w:tcBorders>
            <w:shd w:val="clear" w:color="auto" w:fill="5C2946"/>
          </w:tcPr>
          <w:p w14:paraId="0633F1E6" w14:textId="77777777" w:rsidR="000110FD" w:rsidRPr="00E45161" w:rsidRDefault="000110FD" w:rsidP="00E45161">
            <w:pPr>
              <w:pStyle w:val="TableHead"/>
              <w:jc w:val="right"/>
            </w:pPr>
            <w:r w:rsidRPr="00E45161">
              <w:t>Max rate</w:t>
            </w:r>
          </w:p>
        </w:tc>
      </w:tr>
      <w:tr w:rsidR="000110FD" w:rsidRPr="0027505E" w14:paraId="7041A651" w14:textId="77777777" w:rsidTr="00303DF5">
        <w:trPr>
          <w:cantSplit/>
          <w:trHeight w:val="13"/>
        </w:trPr>
        <w:tc>
          <w:tcPr>
            <w:tcW w:w="5000" w:type="pct"/>
            <w:gridSpan w:val="14"/>
            <w:tcBorders>
              <w:top w:val="single" w:sz="4" w:space="0" w:color="auto"/>
              <w:bottom w:val="single" w:sz="4" w:space="0" w:color="auto"/>
            </w:tcBorders>
          </w:tcPr>
          <w:p w14:paraId="040288AA" w14:textId="77777777" w:rsidR="000110FD" w:rsidRPr="0027505E" w:rsidRDefault="000110FD" w:rsidP="00E45161">
            <w:pPr>
              <w:pStyle w:val="TableSubHead0"/>
            </w:pPr>
            <w:r w:rsidRPr="002C4E1B">
              <w:t>General weed control in fallow, market gardens, nurseries, potatoes (early/pre-emergence), rice, row crops, vegetables, oilseeds, hops, asparagus</w:t>
            </w:r>
          </w:p>
        </w:tc>
      </w:tr>
      <w:tr w:rsidR="000110FD" w:rsidRPr="002C4E1B" w14:paraId="02DC1C3C" w14:textId="77777777" w:rsidTr="000110FD">
        <w:trPr>
          <w:cantSplit/>
          <w:trHeight w:val="13"/>
        </w:trPr>
        <w:tc>
          <w:tcPr>
            <w:tcW w:w="492" w:type="pct"/>
            <w:vMerge w:val="restart"/>
            <w:tcBorders>
              <w:top w:val="single" w:sz="4" w:space="0" w:color="auto"/>
            </w:tcBorders>
          </w:tcPr>
          <w:p w14:paraId="219652FC" w14:textId="77777777" w:rsidR="000110FD" w:rsidRPr="002C4E1B" w:rsidRDefault="000110FD" w:rsidP="00303DF5">
            <w:pPr>
              <w:pStyle w:val="TableText"/>
              <w:widowControl w:val="0"/>
              <w:suppressAutoHyphens w:val="0"/>
              <w:spacing w:before="0" w:after="0" w:line="240" w:lineRule="auto"/>
              <w:rPr>
                <w:szCs w:val="17"/>
              </w:rPr>
            </w:pPr>
            <w:r>
              <w:rPr>
                <w:szCs w:val="17"/>
              </w:rPr>
              <w:t>Bare soil</w:t>
            </w:r>
          </w:p>
        </w:tc>
        <w:tc>
          <w:tcPr>
            <w:tcW w:w="518" w:type="pct"/>
            <w:vMerge w:val="restart"/>
            <w:tcBorders>
              <w:top w:val="single" w:sz="4" w:space="0" w:color="auto"/>
            </w:tcBorders>
          </w:tcPr>
          <w:p w14:paraId="1EFA5435"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 xml:space="preserve">Small </w:t>
            </w:r>
            <w:r>
              <w:rPr>
                <w:szCs w:val="17"/>
              </w:rPr>
              <w:t>gran</w:t>
            </w:r>
            <w:r w:rsidRPr="002C4E1B">
              <w:rPr>
                <w:szCs w:val="17"/>
              </w:rPr>
              <w:t>ivore</w:t>
            </w:r>
          </w:p>
        </w:tc>
        <w:tc>
          <w:tcPr>
            <w:tcW w:w="559" w:type="pct"/>
            <w:gridSpan w:val="2"/>
            <w:vMerge w:val="restart"/>
            <w:tcBorders>
              <w:top w:val="single" w:sz="4" w:space="0" w:color="auto"/>
            </w:tcBorders>
          </w:tcPr>
          <w:p w14:paraId="047D33C0"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 xml:space="preserve">BBCH </w:t>
            </w:r>
            <w:r>
              <w:rPr>
                <w:szCs w:val="17"/>
              </w:rPr>
              <w:t>&lt;10</w:t>
            </w:r>
          </w:p>
        </w:tc>
        <w:tc>
          <w:tcPr>
            <w:tcW w:w="486" w:type="pct"/>
            <w:vMerge w:val="restart"/>
            <w:tcBorders>
              <w:top w:val="single" w:sz="4" w:space="0" w:color="auto"/>
            </w:tcBorders>
          </w:tcPr>
          <w:p w14:paraId="5236EC98" w14:textId="77777777" w:rsidR="000110FD" w:rsidRPr="002C4E1B" w:rsidRDefault="000110FD" w:rsidP="00303DF5">
            <w:pPr>
              <w:pStyle w:val="TableText"/>
              <w:widowControl w:val="0"/>
              <w:suppressAutoHyphens w:val="0"/>
              <w:spacing w:before="0" w:after="0" w:line="240" w:lineRule="auto"/>
              <w:jc w:val="center"/>
              <w:rPr>
                <w:szCs w:val="17"/>
              </w:rPr>
            </w:pPr>
            <w:r w:rsidRPr="002C4E1B">
              <w:rPr>
                <w:szCs w:val="17"/>
              </w:rPr>
              <w:t>Acute</w:t>
            </w:r>
          </w:p>
        </w:tc>
        <w:tc>
          <w:tcPr>
            <w:tcW w:w="537" w:type="pct"/>
            <w:tcBorders>
              <w:top w:val="single" w:sz="4" w:space="0" w:color="auto"/>
            </w:tcBorders>
          </w:tcPr>
          <w:p w14:paraId="201F64A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24.7</w:t>
            </w:r>
          </w:p>
        </w:tc>
        <w:tc>
          <w:tcPr>
            <w:tcW w:w="293" w:type="pct"/>
            <w:tcBorders>
              <w:top w:val="single" w:sz="4" w:space="0" w:color="auto"/>
            </w:tcBorders>
          </w:tcPr>
          <w:p w14:paraId="6F642D0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800</w:t>
            </w:r>
          </w:p>
        </w:tc>
        <w:tc>
          <w:tcPr>
            <w:tcW w:w="299" w:type="pct"/>
            <w:tcBorders>
              <w:top w:val="single" w:sz="4" w:space="0" w:color="auto"/>
            </w:tcBorders>
          </w:tcPr>
          <w:p w14:paraId="7121779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2BF6698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273B090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ED63919" w14:textId="77777777" w:rsidR="000110FD" w:rsidRPr="002C4E1B" w:rsidRDefault="000110FD" w:rsidP="00E45161">
            <w:pPr>
              <w:pStyle w:val="TableText"/>
              <w:widowControl w:val="0"/>
              <w:suppressAutoHyphens w:val="0"/>
              <w:spacing w:before="0" w:after="0" w:line="240" w:lineRule="auto"/>
              <w:jc w:val="right"/>
              <w:rPr>
                <w:szCs w:val="17"/>
              </w:rPr>
            </w:pPr>
            <w:r>
              <w:rPr>
                <w:color w:val="1A1B1A"/>
                <w:szCs w:val="17"/>
              </w:rPr>
              <w:t>20</w:t>
            </w:r>
          </w:p>
        </w:tc>
        <w:tc>
          <w:tcPr>
            <w:tcW w:w="300" w:type="pct"/>
            <w:tcBorders>
              <w:top w:val="single" w:sz="4" w:space="0" w:color="auto"/>
            </w:tcBorders>
          </w:tcPr>
          <w:p w14:paraId="1B59289C" w14:textId="77777777" w:rsidR="000110FD" w:rsidRPr="002C4E1B" w:rsidRDefault="000110FD" w:rsidP="00E45161">
            <w:pPr>
              <w:pStyle w:val="TableText"/>
              <w:widowControl w:val="0"/>
              <w:suppressAutoHyphens w:val="0"/>
              <w:spacing w:before="0" w:after="0" w:line="240" w:lineRule="auto"/>
              <w:jc w:val="right"/>
            </w:pPr>
            <w:r>
              <w:t>7.0</w:t>
            </w:r>
          </w:p>
        </w:tc>
        <w:tc>
          <w:tcPr>
            <w:tcW w:w="301" w:type="pct"/>
            <w:tcBorders>
              <w:top w:val="single" w:sz="4" w:space="0" w:color="auto"/>
            </w:tcBorders>
            <w:shd w:val="clear" w:color="auto" w:fill="FF0000"/>
          </w:tcPr>
          <w:p w14:paraId="4677A8CF" w14:textId="77777777" w:rsidR="000110FD" w:rsidRPr="002C4E1B" w:rsidRDefault="000110FD" w:rsidP="00E45161">
            <w:pPr>
              <w:pStyle w:val="TableText"/>
              <w:widowControl w:val="0"/>
              <w:suppressAutoHyphens w:val="0"/>
              <w:spacing w:before="0" w:after="0" w:line="240" w:lineRule="auto"/>
              <w:jc w:val="right"/>
            </w:pPr>
            <w:r>
              <w:rPr>
                <w:b/>
                <w:bCs/>
                <w:color w:val="1A1B1A"/>
                <w:szCs w:val="17"/>
              </w:rPr>
              <w:t>2.8</w:t>
            </w:r>
          </w:p>
        </w:tc>
        <w:tc>
          <w:tcPr>
            <w:tcW w:w="321" w:type="pct"/>
            <w:tcBorders>
              <w:top w:val="single" w:sz="4" w:space="0" w:color="auto"/>
            </w:tcBorders>
          </w:tcPr>
          <w:p w14:paraId="7793F99E"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199C69E2" w14:textId="77777777" w:rsidTr="000110FD">
        <w:trPr>
          <w:cantSplit/>
          <w:trHeight w:val="13"/>
        </w:trPr>
        <w:tc>
          <w:tcPr>
            <w:tcW w:w="492" w:type="pct"/>
            <w:vMerge/>
          </w:tcPr>
          <w:p w14:paraId="5133EAC2"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FC200D3"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0A68228"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6EDC1AC2"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CFB89B4" w14:textId="77777777" w:rsidR="000110FD" w:rsidRPr="002C4E1B"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28DE705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Pr>
          <w:p w14:paraId="7889A5E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3AE945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B7EA0F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3F1A36E" w14:textId="77777777" w:rsidR="000110FD" w:rsidRPr="002C4E1B" w:rsidRDefault="000110FD" w:rsidP="00E45161">
            <w:pPr>
              <w:pStyle w:val="TableText"/>
              <w:widowControl w:val="0"/>
              <w:suppressAutoHyphens w:val="0"/>
              <w:spacing w:before="0" w:after="0" w:line="240" w:lineRule="auto"/>
              <w:jc w:val="right"/>
            </w:pPr>
            <w:r>
              <w:rPr>
                <w:color w:val="1A1B1A"/>
                <w:szCs w:val="17"/>
              </w:rPr>
              <w:t>9.1</w:t>
            </w:r>
          </w:p>
        </w:tc>
        <w:tc>
          <w:tcPr>
            <w:tcW w:w="300" w:type="pct"/>
          </w:tcPr>
          <w:p w14:paraId="1817974B"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shd w:val="clear" w:color="auto" w:fill="FF0000"/>
          </w:tcPr>
          <w:p w14:paraId="5C13D41D" w14:textId="77777777" w:rsidR="000110FD" w:rsidRPr="002C4E1B" w:rsidRDefault="000110FD" w:rsidP="00E45161">
            <w:pPr>
              <w:pStyle w:val="TableText"/>
              <w:widowControl w:val="0"/>
              <w:suppressAutoHyphens w:val="0"/>
              <w:spacing w:before="0" w:after="0" w:line="240" w:lineRule="auto"/>
              <w:jc w:val="right"/>
            </w:pPr>
            <w:r>
              <w:rPr>
                <w:b/>
                <w:bCs/>
                <w:color w:val="1A1B1A"/>
                <w:szCs w:val="17"/>
              </w:rPr>
              <w:t>1.3</w:t>
            </w:r>
          </w:p>
        </w:tc>
        <w:tc>
          <w:tcPr>
            <w:tcW w:w="321" w:type="pct"/>
          </w:tcPr>
          <w:p w14:paraId="7FBD3B64"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14:paraId="1F397E66" w14:textId="77777777" w:rsidTr="000110FD">
        <w:trPr>
          <w:cantSplit/>
          <w:trHeight w:val="13"/>
        </w:trPr>
        <w:tc>
          <w:tcPr>
            <w:tcW w:w="492" w:type="pct"/>
            <w:vMerge/>
          </w:tcPr>
          <w:p w14:paraId="2096D500"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57628EE"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10D1AB0"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EC59ED0"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5E6A7956" w14:textId="77777777" w:rsidR="000110FD" w:rsidRPr="00B75656"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35BDC809"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299" w:type="pct"/>
            <w:shd w:val="clear" w:color="auto" w:fill="D5D7D5" w:themeFill="text1" w:themeFillTint="33"/>
          </w:tcPr>
          <w:p w14:paraId="4CAFDB68" w14:textId="77777777" w:rsidR="000110FD" w:rsidRDefault="000110FD" w:rsidP="00E45161">
            <w:pPr>
              <w:pStyle w:val="TableText"/>
              <w:widowControl w:val="0"/>
              <w:suppressAutoHyphens w:val="0"/>
              <w:spacing w:before="0" w:after="0" w:line="240" w:lineRule="auto"/>
              <w:jc w:val="right"/>
              <w:rPr>
                <w:szCs w:val="17"/>
              </w:rPr>
            </w:pPr>
            <w:r>
              <w:rPr>
                <w:szCs w:val="17"/>
              </w:rPr>
              <w:t>1.5</w:t>
            </w:r>
            <w:r w:rsidRPr="00A464C1">
              <w:rPr>
                <w:szCs w:val="17"/>
                <w:vertAlign w:val="superscript"/>
              </w:rPr>
              <w:t>a</w:t>
            </w:r>
          </w:p>
        </w:tc>
        <w:tc>
          <w:tcPr>
            <w:tcW w:w="298" w:type="pct"/>
          </w:tcPr>
          <w:p w14:paraId="1181125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FA8E96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E0FA3F6"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14</w:t>
            </w:r>
          </w:p>
        </w:tc>
        <w:tc>
          <w:tcPr>
            <w:tcW w:w="300" w:type="pct"/>
          </w:tcPr>
          <w:p w14:paraId="2911D209" w14:textId="77777777" w:rsidR="000110FD" w:rsidRPr="00917C96" w:rsidRDefault="000110FD" w:rsidP="00E45161">
            <w:pPr>
              <w:pStyle w:val="TableText"/>
              <w:widowControl w:val="0"/>
              <w:suppressAutoHyphens w:val="0"/>
              <w:spacing w:before="0" w:after="0" w:line="240" w:lineRule="auto"/>
              <w:jc w:val="right"/>
            </w:pPr>
            <w:r w:rsidRPr="00917C96">
              <w:t>7.0</w:t>
            </w:r>
          </w:p>
        </w:tc>
        <w:tc>
          <w:tcPr>
            <w:tcW w:w="301" w:type="pct"/>
            <w:shd w:val="clear" w:color="auto" w:fill="FF0000"/>
          </w:tcPr>
          <w:p w14:paraId="2BB3698E" w14:textId="77777777" w:rsidR="000110FD" w:rsidRDefault="000110FD" w:rsidP="00E45161">
            <w:pPr>
              <w:pStyle w:val="TableText"/>
              <w:widowControl w:val="0"/>
              <w:suppressAutoHyphens w:val="0"/>
              <w:spacing w:before="0" w:after="0" w:line="240" w:lineRule="auto"/>
              <w:jc w:val="right"/>
              <w:rPr>
                <w:b/>
                <w:bCs/>
                <w:color w:val="1A1B1A"/>
                <w:szCs w:val="17"/>
              </w:rPr>
            </w:pPr>
            <w:r>
              <w:rPr>
                <w:b/>
                <w:bCs/>
                <w:color w:val="1A1B1A"/>
                <w:szCs w:val="17"/>
              </w:rPr>
              <w:t>1.9</w:t>
            </w:r>
          </w:p>
        </w:tc>
        <w:tc>
          <w:tcPr>
            <w:tcW w:w="321" w:type="pct"/>
          </w:tcPr>
          <w:p w14:paraId="1CE52E9A"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189</w:t>
            </w:r>
          </w:p>
        </w:tc>
      </w:tr>
      <w:tr w:rsidR="000110FD" w:rsidRPr="002C4E1B" w14:paraId="7DA71CA3" w14:textId="77777777" w:rsidTr="000110FD">
        <w:trPr>
          <w:cantSplit/>
          <w:trHeight w:val="13"/>
        </w:trPr>
        <w:tc>
          <w:tcPr>
            <w:tcW w:w="492" w:type="pct"/>
            <w:vMerge/>
          </w:tcPr>
          <w:p w14:paraId="7BB2C83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4B8234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72D217E"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96AD769"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32D69BB4"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6E2029F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62F615C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5AE970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5E4238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C330EC2" w14:textId="77777777" w:rsidR="000110FD" w:rsidRPr="002C4E1B" w:rsidRDefault="000110FD" w:rsidP="00E45161">
            <w:pPr>
              <w:pStyle w:val="TableText"/>
              <w:widowControl w:val="0"/>
              <w:suppressAutoHyphens w:val="0"/>
              <w:spacing w:before="0" w:after="0" w:line="240" w:lineRule="auto"/>
              <w:jc w:val="right"/>
            </w:pPr>
            <w:r>
              <w:rPr>
                <w:color w:val="1A1B1A"/>
                <w:szCs w:val="17"/>
              </w:rPr>
              <w:t>7.4</w:t>
            </w:r>
          </w:p>
        </w:tc>
        <w:tc>
          <w:tcPr>
            <w:tcW w:w="300" w:type="pct"/>
          </w:tcPr>
          <w:p w14:paraId="4DCA3531"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shd w:val="clear" w:color="auto" w:fill="FF0000"/>
          </w:tcPr>
          <w:p w14:paraId="6167776F" w14:textId="77777777" w:rsidR="000110FD" w:rsidRPr="002C4E1B" w:rsidRDefault="000110FD" w:rsidP="00E45161">
            <w:pPr>
              <w:pStyle w:val="TableText"/>
              <w:widowControl w:val="0"/>
              <w:suppressAutoHyphens w:val="0"/>
              <w:spacing w:before="0" w:after="0" w:line="240" w:lineRule="auto"/>
              <w:jc w:val="right"/>
            </w:pPr>
            <w:r>
              <w:rPr>
                <w:b/>
                <w:bCs/>
                <w:color w:val="1A1B1A"/>
                <w:szCs w:val="17"/>
              </w:rPr>
              <w:t>1.1</w:t>
            </w:r>
          </w:p>
        </w:tc>
        <w:tc>
          <w:tcPr>
            <w:tcW w:w="321" w:type="pct"/>
          </w:tcPr>
          <w:p w14:paraId="595DC6F9"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29702118" w14:textId="77777777" w:rsidTr="000110FD">
        <w:trPr>
          <w:cantSplit/>
          <w:trHeight w:val="13"/>
        </w:trPr>
        <w:tc>
          <w:tcPr>
            <w:tcW w:w="492" w:type="pct"/>
            <w:vMerge/>
          </w:tcPr>
          <w:p w14:paraId="0F02A5C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39EBA34"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2B5A40D9"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076844C"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DBE2BAE"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239E846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280</w:t>
            </w:r>
          </w:p>
        </w:tc>
        <w:tc>
          <w:tcPr>
            <w:tcW w:w="299" w:type="pct"/>
          </w:tcPr>
          <w:p w14:paraId="134A6D9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95AEB3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FFF2B2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B2810AD" w14:textId="77777777" w:rsidR="000110FD" w:rsidRPr="002C4E1B" w:rsidRDefault="000110FD" w:rsidP="00E45161">
            <w:pPr>
              <w:pStyle w:val="TableText"/>
              <w:widowControl w:val="0"/>
              <w:suppressAutoHyphens w:val="0"/>
              <w:spacing w:before="0" w:after="0" w:line="240" w:lineRule="auto"/>
              <w:jc w:val="right"/>
            </w:pPr>
            <w:r>
              <w:rPr>
                <w:color w:val="1A1B1A"/>
                <w:szCs w:val="17"/>
              </w:rPr>
              <w:t>6.9</w:t>
            </w:r>
          </w:p>
        </w:tc>
        <w:tc>
          <w:tcPr>
            <w:tcW w:w="300" w:type="pct"/>
          </w:tcPr>
          <w:p w14:paraId="6B148095"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0C95B5C4" w14:textId="77777777" w:rsidR="000110FD" w:rsidRPr="002C4E1B" w:rsidRDefault="000110FD" w:rsidP="00E45161">
            <w:pPr>
              <w:pStyle w:val="TableText"/>
              <w:widowControl w:val="0"/>
              <w:suppressAutoHyphens w:val="0"/>
              <w:spacing w:before="0" w:after="0" w:line="240" w:lineRule="auto"/>
              <w:jc w:val="right"/>
            </w:pPr>
            <w:r>
              <w:rPr>
                <w:color w:val="1A1B1A"/>
                <w:szCs w:val="17"/>
              </w:rPr>
              <w:t>0.99</w:t>
            </w:r>
          </w:p>
        </w:tc>
        <w:tc>
          <w:tcPr>
            <w:tcW w:w="321" w:type="pct"/>
          </w:tcPr>
          <w:p w14:paraId="666AC763"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15975FF9" w14:textId="77777777" w:rsidTr="000110FD">
        <w:trPr>
          <w:cantSplit/>
          <w:trHeight w:val="13"/>
        </w:trPr>
        <w:tc>
          <w:tcPr>
            <w:tcW w:w="492" w:type="pct"/>
            <w:vMerge/>
          </w:tcPr>
          <w:p w14:paraId="4DB2606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F29ECBF"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166C293D"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E76D86F"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4059FAE8"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56FB754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Pr>
          <w:p w14:paraId="07CF7E0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E2202A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9CD423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2715D78" w14:textId="77777777" w:rsidR="000110FD" w:rsidRPr="002C4E1B" w:rsidRDefault="000110FD" w:rsidP="00E45161">
            <w:pPr>
              <w:pStyle w:val="TableText"/>
              <w:widowControl w:val="0"/>
              <w:suppressAutoHyphens w:val="0"/>
              <w:spacing w:before="0" w:after="0" w:line="240" w:lineRule="auto"/>
              <w:jc w:val="right"/>
            </w:pPr>
            <w:r>
              <w:rPr>
                <w:color w:val="1A1B1A"/>
                <w:szCs w:val="17"/>
              </w:rPr>
              <w:t>6.8</w:t>
            </w:r>
          </w:p>
        </w:tc>
        <w:tc>
          <w:tcPr>
            <w:tcW w:w="300" w:type="pct"/>
          </w:tcPr>
          <w:p w14:paraId="221B8E40"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162CF5EF" w14:textId="77777777" w:rsidR="000110FD" w:rsidRPr="002C4E1B" w:rsidRDefault="000110FD" w:rsidP="00E45161">
            <w:pPr>
              <w:pStyle w:val="TableText"/>
              <w:widowControl w:val="0"/>
              <w:suppressAutoHyphens w:val="0"/>
              <w:spacing w:before="0" w:after="0" w:line="240" w:lineRule="auto"/>
              <w:jc w:val="right"/>
            </w:pPr>
            <w:r>
              <w:rPr>
                <w:color w:val="1A1B1A"/>
                <w:szCs w:val="17"/>
              </w:rPr>
              <w:t>0.97</w:t>
            </w:r>
          </w:p>
        </w:tc>
        <w:tc>
          <w:tcPr>
            <w:tcW w:w="321" w:type="pct"/>
          </w:tcPr>
          <w:p w14:paraId="55E38CA4"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14:paraId="2DF9894C" w14:textId="77777777" w:rsidTr="000110FD">
        <w:trPr>
          <w:cantSplit/>
          <w:trHeight w:val="13"/>
        </w:trPr>
        <w:tc>
          <w:tcPr>
            <w:tcW w:w="492" w:type="pct"/>
            <w:vMerge/>
          </w:tcPr>
          <w:p w14:paraId="6B49989D"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170B1FB"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B688FDF"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56445DD"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2D90B27" w14:textId="77777777" w:rsidR="000110FD" w:rsidRPr="00B75656"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5B8D7ECE" w14:textId="77777777" w:rsidR="000110FD" w:rsidRDefault="000110FD" w:rsidP="00E45161">
            <w:pPr>
              <w:pStyle w:val="TableText"/>
              <w:widowControl w:val="0"/>
              <w:suppressAutoHyphens w:val="0"/>
              <w:spacing w:before="0" w:after="0" w:line="240" w:lineRule="auto"/>
              <w:jc w:val="right"/>
              <w:rPr>
                <w:szCs w:val="17"/>
              </w:rPr>
            </w:pPr>
            <w:r>
              <w:rPr>
                <w:szCs w:val="17"/>
              </w:rPr>
              <w:t>276</w:t>
            </w:r>
          </w:p>
        </w:tc>
        <w:tc>
          <w:tcPr>
            <w:tcW w:w="299" w:type="pct"/>
            <w:shd w:val="clear" w:color="auto" w:fill="D5D7D5" w:themeFill="text1" w:themeFillTint="33"/>
          </w:tcPr>
          <w:p w14:paraId="5E46820C" w14:textId="77777777" w:rsidR="000110FD" w:rsidRDefault="000110FD" w:rsidP="00E45161">
            <w:pPr>
              <w:pStyle w:val="TableText"/>
              <w:widowControl w:val="0"/>
              <w:suppressAutoHyphens w:val="0"/>
              <w:spacing w:before="0" w:after="0" w:line="240" w:lineRule="auto"/>
              <w:jc w:val="right"/>
              <w:rPr>
                <w:szCs w:val="17"/>
              </w:rPr>
            </w:pPr>
            <w:r>
              <w:rPr>
                <w:szCs w:val="17"/>
              </w:rPr>
              <w:t>1.5</w:t>
            </w:r>
            <w:r w:rsidRPr="00A464C1">
              <w:rPr>
                <w:szCs w:val="17"/>
                <w:vertAlign w:val="superscript"/>
              </w:rPr>
              <w:t>a</w:t>
            </w:r>
          </w:p>
        </w:tc>
        <w:tc>
          <w:tcPr>
            <w:tcW w:w="298" w:type="pct"/>
          </w:tcPr>
          <w:p w14:paraId="51F7F5B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099D11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7F6F28A"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Pr>
          <w:p w14:paraId="77C35ECA" w14:textId="77777777" w:rsidR="000110FD" w:rsidRPr="00917C96" w:rsidRDefault="000110FD" w:rsidP="00E45161">
            <w:pPr>
              <w:pStyle w:val="TableText"/>
              <w:widowControl w:val="0"/>
              <w:suppressAutoHyphens w:val="0"/>
              <w:spacing w:before="0" w:after="0" w:line="240" w:lineRule="auto"/>
              <w:jc w:val="right"/>
            </w:pPr>
            <w:r w:rsidRPr="00917C96">
              <w:t>7.0</w:t>
            </w:r>
          </w:p>
        </w:tc>
        <w:tc>
          <w:tcPr>
            <w:tcW w:w="301" w:type="pct"/>
            <w:shd w:val="clear" w:color="auto" w:fill="FF0000"/>
          </w:tcPr>
          <w:p w14:paraId="1D18503D" w14:textId="77777777" w:rsidR="000110FD" w:rsidRPr="00AC14EE" w:rsidRDefault="000110FD" w:rsidP="00E45161">
            <w:pPr>
              <w:pStyle w:val="TableText"/>
              <w:widowControl w:val="0"/>
              <w:suppressAutoHyphens w:val="0"/>
              <w:spacing w:before="0" w:after="0" w:line="240" w:lineRule="auto"/>
              <w:jc w:val="right"/>
              <w:rPr>
                <w:b/>
                <w:bCs/>
                <w:color w:val="1A1B1A"/>
                <w:szCs w:val="17"/>
              </w:rPr>
            </w:pPr>
            <w:r w:rsidRPr="00AC14EE">
              <w:rPr>
                <w:b/>
                <w:bCs/>
                <w:color w:val="1A1B1A"/>
                <w:szCs w:val="17"/>
              </w:rPr>
              <w:t>1.5</w:t>
            </w:r>
          </w:p>
        </w:tc>
        <w:tc>
          <w:tcPr>
            <w:tcW w:w="321" w:type="pct"/>
          </w:tcPr>
          <w:p w14:paraId="48CAFA85"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189</w:t>
            </w:r>
          </w:p>
        </w:tc>
      </w:tr>
      <w:tr w:rsidR="000110FD" w:rsidRPr="002C4E1B" w14:paraId="3CD15E89" w14:textId="77777777" w:rsidTr="000110FD">
        <w:trPr>
          <w:cantSplit/>
          <w:trHeight w:val="13"/>
        </w:trPr>
        <w:tc>
          <w:tcPr>
            <w:tcW w:w="492" w:type="pct"/>
            <w:vMerge/>
          </w:tcPr>
          <w:p w14:paraId="5914FF4D"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5930CE2"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456200C2"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BC3F754"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7F43E17"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3FFEB366" w14:textId="77777777" w:rsidR="000110FD" w:rsidRDefault="000110FD" w:rsidP="00E45161">
            <w:pPr>
              <w:pStyle w:val="TableText"/>
              <w:widowControl w:val="0"/>
              <w:suppressAutoHyphens w:val="0"/>
              <w:spacing w:before="0" w:after="0" w:line="240" w:lineRule="auto"/>
              <w:jc w:val="right"/>
              <w:rPr>
                <w:szCs w:val="17"/>
              </w:rPr>
            </w:pPr>
            <w:r>
              <w:rPr>
                <w:szCs w:val="17"/>
              </w:rPr>
              <w:t>253</w:t>
            </w:r>
          </w:p>
        </w:tc>
        <w:tc>
          <w:tcPr>
            <w:tcW w:w="299" w:type="pct"/>
          </w:tcPr>
          <w:p w14:paraId="29352EF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8587F1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60FA33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0F642EF" w14:textId="77777777" w:rsidR="000110FD" w:rsidRPr="002C4E1B" w:rsidRDefault="000110FD" w:rsidP="00E45161">
            <w:pPr>
              <w:pStyle w:val="TableText"/>
              <w:widowControl w:val="0"/>
              <w:suppressAutoHyphens w:val="0"/>
              <w:spacing w:before="0" w:after="0" w:line="240" w:lineRule="auto"/>
              <w:jc w:val="right"/>
            </w:pPr>
            <w:r>
              <w:rPr>
                <w:color w:val="1A1B1A"/>
                <w:szCs w:val="17"/>
              </w:rPr>
              <w:t>6.2</w:t>
            </w:r>
          </w:p>
        </w:tc>
        <w:tc>
          <w:tcPr>
            <w:tcW w:w="300" w:type="pct"/>
          </w:tcPr>
          <w:p w14:paraId="1272BAB2"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5670F968" w14:textId="77777777" w:rsidR="000110FD" w:rsidRPr="002C4E1B" w:rsidRDefault="000110FD" w:rsidP="00E45161">
            <w:pPr>
              <w:pStyle w:val="TableText"/>
              <w:widowControl w:val="0"/>
              <w:suppressAutoHyphens w:val="0"/>
              <w:spacing w:before="0" w:after="0" w:line="240" w:lineRule="auto"/>
              <w:jc w:val="right"/>
            </w:pPr>
            <w:r>
              <w:rPr>
                <w:color w:val="1A1B1A"/>
                <w:szCs w:val="17"/>
              </w:rPr>
              <w:t>0.89</w:t>
            </w:r>
          </w:p>
        </w:tc>
        <w:tc>
          <w:tcPr>
            <w:tcW w:w="321" w:type="pct"/>
          </w:tcPr>
          <w:p w14:paraId="471CF435"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56151966" w14:textId="77777777" w:rsidTr="000110FD">
        <w:trPr>
          <w:cantSplit/>
          <w:trHeight w:val="13"/>
        </w:trPr>
        <w:tc>
          <w:tcPr>
            <w:tcW w:w="492" w:type="pct"/>
            <w:vMerge/>
          </w:tcPr>
          <w:p w14:paraId="472479F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D6814E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CF5EA41"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128BCBF"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2DDAC0E"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5D1E3F32" w14:textId="77777777" w:rsidR="000110FD" w:rsidRDefault="000110FD" w:rsidP="00E45161">
            <w:pPr>
              <w:pStyle w:val="TableText"/>
              <w:widowControl w:val="0"/>
              <w:suppressAutoHyphens w:val="0"/>
              <w:spacing w:before="0" w:after="0" w:line="240" w:lineRule="auto"/>
              <w:jc w:val="right"/>
              <w:rPr>
                <w:szCs w:val="17"/>
              </w:rPr>
            </w:pPr>
            <w:r>
              <w:rPr>
                <w:szCs w:val="17"/>
              </w:rPr>
              <w:t>207</w:t>
            </w:r>
          </w:p>
        </w:tc>
        <w:tc>
          <w:tcPr>
            <w:tcW w:w="299" w:type="pct"/>
          </w:tcPr>
          <w:p w14:paraId="6C6B49A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AF55DC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21BEB3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41B9F47" w14:textId="77777777" w:rsidR="000110FD" w:rsidRPr="002C4E1B" w:rsidRDefault="000110FD" w:rsidP="00E45161">
            <w:pPr>
              <w:pStyle w:val="TableText"/>
              <w:widowControl w:val="0"/>
              <w:suppressAutoHyphens w:val="0"/>
              <w:spacing w:before="0" w:after="0" w:line="240" w:lineRule="auto"/>
              <w:jc w:val="right"/>
            </w:pPr>
            <w:r>
              <w:rPr>
                <w:color w:val="1A1B1A"/>
                <w:szCs w:val="17"/>
              </w:rPr>
              <w:t>5.1</w:t>
            </w:r>
          </w:p>
        </w:tc>
        <w:tc>
          <w:tcPr>
            <w:tcW w:w="300" w:type="pct"/>
          </w:tcPr>
          <w:p w14:paraId="12BA6221"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13533EB8" w14:textId="77777777" w:rsidR="000110FD" w:rsidRPr="002C4E1B" w:rsidRDefault="000110FD" w:rsidP="00E45161">
            <w:pPr>
              <w:pStyle w:val="TableText"/>
              <w:widowControl w:val="0"/>
              <w:suppressAutoHyphens w:val="0"/>
              <w:spacing w:before="0" w:after="0" w:line="240" w:lineRule="auto"/>
              <w:jc w:val="right"/>
            </w:pPr>
            <w:r>
              <w:rPr>
                <w:color w:val="1A1B1A"/>
                <w:szCs w:val="17"/>
              </w:rPr>
              <w:t>0.73</w:t>
            </w:r>
          </w:p>
        </w:tc>
        <w:tc>
          <w:tcPr>
            <w:tcW w:w="321" w:type="pct"/>
          </w:tcPr>
          <w:p w14:paraId="7B99CB31"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09B258FB" w14:textId="77777777" w:rsidTr="000110FD">
        <w:trPr>
          <w:cantSplit/>
          <w:trHeight w:val="13"/>
        </w:trPr>
        <w:tc>
          <w:tcPr>
            <w:tcW w:w="492" w:type="pct"/>
            <w:vMerge/>
          </w:tcPr>
          <w:p w14:paraId="027C4EF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5EE7607"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832E700"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33D4D087"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650A99B"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5F875BA0"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66D2EB6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49EC0C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956D97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3E10957" w14:textId="77777777" w:rsidR="000110FD" w:rsidRPr="002C4E1B" w:rsidRDefault="000110FD" w:rsidP="00E45161">
            <w:pPr>
              <w:pStyle w:val="TableText"/>
              <w:widowControl w:val="0"/>
              <w:suppressAutoHyphens w:val="0"/>
              <w:spacing w:before="0" w:after="0" w:line="240" w:lineRule="auto"/>
              <w:jc w:val="right"/>
            </w:pPr>
            <w:r>
              <w:rPr>
                <w:color w:val="1A1B1A"/>
                <w:szCs w:val="17"/>
              </w:rPr>
              <w:t>4.5</w:t>
            </w:r>
          </w:p>
        </w:tc>
        <w:tc>
          <w:tcPr>
            <w:tcW w:w="300" w:type="pct"/>
          </w:tcPr>
          <w:p w14:paraId="5B300C0C"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5D4B0019" w14:textId="77777777" w:rsidR="000110FD" w:rsidRPr="002C4E1B" w:rsidRDefault="000110FD" w:rsidP="00E45161">
            <w:pPr>
              <w:pStyle w:val="TableText"/>
              <w:widowControl w:val="0"/>
              <w:suppressAutoHyphens w:val="0"/>
              <w:spacing w:before="0" w:after="0" w:line="240" w:lineRule="auto"/>
              <w:jc w:val="right"/>
            </w:pPr>
            <w:r>
              <w:rPr>
                <w:color w:val="1A1B1A"/>
                <w:szCs w:val="17"/>
              </w:rPr>
              <w:t>0.65</w:t>
            </w:r>
          </w:p>
        </w:tc>
        <w:tc>
          <w:tcPr>
            <w:tcW w:w="321" w:type="pct"/>
          </w:tcPr>
          <w:p w14:paraId="214FB3D3"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14:paraId="76E1917F" w14:textId="77777777" w:rsidTr="000110FD">
        <w:trPr>
          <w:cantSplit/>
          <w:trHeight w:val="13"/>
        </w:trPr>
        <w:tc>
          <w:tcPr>
            <w:tcW w:w="492" w:type="pct"/>
            <w:vMerge/>
          </w:tcPr>
          <w:p w14:paraId="1A0C58E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6BC1100"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7E520D7"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C29AAE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358E2EBE" w14:textId="77777777" w:rsidR="000110FD" w:rsidRPr="00B75656"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2AA40C29"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299" w:type="pct"/>
            <w:shd w:val="clear" w:color="auto" w:fill="D5D7D5" w:themeFill="text1" w:themeFillTint="33"/>
          </w:tcPr>
          <w:p w14:paraId="72735244" w14:textId="77777777" w:rsidR="000110FD" w:rsidRDefault="000110FD" w:rsidP="00E45161">
            <w:pPr>
              <w:pStyle w:val="TableText"/>
              <w:widowControl w:val="0"/>
              <w:suppressAutoHyphens w:val="0"/>
              <w:spacing w:before="0" w:after="0" w:line="240" w:lineRule="auto"/>
              <w:jc w:val="right"/>
              <w:rPr>
                <w:szCs w:val="17"/>
              </w:rPr>
            </w:pPr>
            <w:r>
              <w:rPr>
                <w:szCs w:val="17"/>
              </w:rPr>
              <w:t>1.5</w:t>
            </w:r>
            <w:r w:rsidRPr="00A464C1">
              <w:rPr>
                <w:szCs w:val="17"/>
                <w:vertAlign w:val="superscript"/>
              </w:rPr>
              <w:t>a</w:t>
            </w:r>
          </w:p>
        </w:tc>
        <w:tc>
          <w:tcPr>
            <w:tcW w:w="298" w:type="pct"/>
          </w:tcPr>
          <w:p w14:paraId="4D27DE9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D92D8E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5985A3B"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6.8</w:t>
            </w:r>
          </w:p>
        </w:tc>
        <w:tc>
          <w:tcPr>
            <w:tcW w:w="300" w:type="pct"/>
          </w:tcPr>
          <w:p w14:paraId="50CA5F60" w14:textId="77777777" w:rsidR="000110FD" w:rsidRPr="00917C96" w:rsidRDefault="000110FD" w:rsidP="00E45161">
            <w:pPr>
              <w:pStyle w:val="TableText"/>
              <w:widowControl w:val="0"/>
              <w:suppressAutoHyphens w:val="0"/>
              <w:spacing w:before="0" w:after="0" w:line="240" w:lineRule="auto"/>
              <w:jc w:val="right"/>
            </w:pPr>
            <w:r w:rsidRPr="00917C96">
              <w:t>7.0</w:t>
            </w:r>
          </w:p>
        </w:tc>
        <w:tc>
          <w:tcPr>
            <w:tcW w:w="301" w:type="pct"/>
          </w:tcPr>
          <w:p w14:paraId="7EB9CCD3"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0.97</w:t>
            </w:r>
          </w:p>
        </w:tc>
        <w:tc>
          <w:tcPr>
            <w:tcW w:w="321" w:type="pct"/>
          </w:tcPr>
          <w:p w14:paraId="38F3AA85"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189</w:t>
            </w:r>
          </w:p>
        </w:tc>
      </w:tr>
      <w:tr w:rsidR="000110FD" w:rsidRPr="002C4E1B" w14:paraId="7D22C72D" w14:textId="77777777" w:rsidTr="000110FD">
        <w:trPr>
          <w:cantSplit/>
          <w:trHeight w:val="13"/>
        </w:trPr>
        <w:tc>
          <w:tcPr>
            <w:tcW w:w="492" w:type="pct"/>
            <w:vMerge/>
          </w:tcPr>
          <w:p w14:paraId="4697A587"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2B6179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EB2E240"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F9EA385"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53F3D8DE"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4CD3954A" w14:textId="77777777" w:rsidR="000110FD"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6C130D2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1EC5FC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422D0D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6B3DFB7" w14:textId="77777777" w:rsidR="000110FD" w:rsidRPr="002C4E1B" w:rsidRDefault="000110FD" w:rsidP="00E45161">
            <w:pPr>
              <w:pStyle w:val="TableText"/>
              <w:widowControl w:val="0"/>
              <w:suppressAutoHyphens w:val="0"/>
              <w:spacing w:before="0" w:after="0" w:line="240" w:lineRule="auto"/>
              <w:jc w:val="right"/>
            </w:pPr>
            <w:r>
              <w:rPr>
                <w:color w:val="1A1B1A"/>
                <w:szCs w:val="17"/>
              </w:rPr>
              <w:t>3.6</w:t>
            </w:r>
          </w:p>
        </w:tc>
        <w:tc>
          <w:tcPr>
            <w:tcW w:w="300" w:type="pct"/>
          </w:tcPr>
          <w:p w14:paraId="4D9A4E1D"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33B3982F" w14:textId="77777777" w:rsidR="000110FD" w:rsidRPr="002C4E1B" w:rsidRDefault="000110FD" w:rsidP="00E45161">
            <w:pPr>
              <w:pStyle w:val="TableText"/>
              <w:widowControl w:val="0"/>
              <w:suppressAutoHyphens w:val="0"/>
              <w:spacing w:before="0" w:after="0" w:line="240" w:lineRule="auto"/>
              <w:jc w:val="right"/>
            </w:pPr>
            <w:r>
              <w:rPr>
                <w:color w:val="1A1B1A"/>
                <w:szCs w:val="17"/>
              </w:rPr>
              <w:t>0.52</w:t>
            </w:r>
          </w:p>
        </w:tc>
        <w:tc>
          <w:tcPr>
            <w:tcW w:w="321" w:type="pct"/>
          </w:tcPr>
          <w:p w14:paraId="0BE22143"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68AFE67F" w14:textId="77777777" w:rsidTr="000110FD">
        <w:trPr>
          <w:cantSplit/>
          <w:trHeight w:val="13"/>
        </w:trPr>
        <w:tc>
          <w:tcPr>
            <w:tcW w:w="492" w:type="pct"/>
            <w:vMerge/>
          </w:tcPr>
          <w:p w14:paraId="3A400042"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456C802"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043BB02"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16A241A"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FF7D441"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1196C783" w14:textId="77777777" w:rsidR="000110FD" w:rsidRDefault="000110FD" w:rsidP="00E45161">
            <w:pPr>
              <w:pStyle w:val="TableText"/>
              <w:widowControl w:val="0"/>
              <w:suppressAutoHyphens w:val="0"/>
              <w:spacing w:before="0" w:after="0" w:line="240" w:lineRule="auto"/>
              <w:jc w:val="right"/>
              <w:rPr>
                <w:szCs w:val="17"/>
              </w:rPr>
            </w:pPr>
            <w:r>
              <w:rPr>
                <w:szCs w:val="17"/>
              </w:rPr>
              <w:t>138</w:t>
            </w:r>
          </w:p>
        </w:tc>
        <w:tc>
          <w:tcPr>
            <w:tcW w:w="299" w:type="pct"/>
          </w:tcPr>
          <w:p w14:paraId="6070B6D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F23568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9BB85F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A0FE192" w14:textId="77777777" w:rsidR="000110FD" w:rsidRPr="002C4E1B" w:rsidRDefault="000110FD" w:rsidP="00E45161">
            <w:pPr>
              <w:pStyle w:val="TableText"/>
              <w:widowControl w:val="0"/>
              <w:suppressAutoHyphens w:val="0"/>
              <w:spacing w:before="0" w:after="0" w:line="240" w:lineRule="auto"/>
              <w:jc w:val="right"/>
            </w:pPr>
            <w:r>
              <w:rPr>
                <w:color w:val="1A1B1A"/>
                <w:szCs w:val="17"/>
              </w:rPr>
              <w:t>3.4</w:t>
            </w:r>
          </w:p>
        </w:tc>
        <w:tc>
          <w:tcPr>
            <w:tcW w:w="300" w:type="pct"/>
          </w:tcPr>
          <w:p w14:paraId="2E4D93C1"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Pr>
          <w:p w14:paraId="712A144C" w14:textId="77777777" w:rsidR="000110FD" w:rsidRPr="002C4E1B" w:rsidRDefault="000110FD" w:rsidP="00E45161">
            <w:pPr>
              <w:pStyle w:val="TableText"/>
              <w:widowControl w:val="0"/>
              <w:suppressAutoHyphens w:val="0"/>
              <w:spacing w:before="0" w:after="0" w:line="240" w:lineRule="auto"/>
              <w:jc w:val="right"/>
            </w:pPr>
            <w:r>
              <w:rPr>
                <w:color w:val="1A1B1A"/>
                <w:szCs w:val="17"/>
              </w:rPr>
              <w:t>0.49</w:t>
            </w:r>
          </w:p>
        </w:tc>
        <w:tc>
          <w:tcPr>
            <w:tcW w:w="321" w:type="pct"/>
          </w:tcPr>
          <w:p w14:paraId="7659A8DC"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14:paraId="6D4DB369" w14:textId="77777777" w:rsidTr="000110FD">
        <w:trPr>
          <w:cantSplit/>
          <w:trHeight w:val="13"/>
        </w:trPr>
        <w:tc>
          <w:tcPr>
            <w:tcW w:w="492" w:type="pct"/>
            <w:vMerge/>
          </w:tcPr>
          <w:p w14:paraId="3F2A899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DEDAF43"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26980C6"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47DE0D5"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C270800" w14:textId="77777777" w:rsidR="000110FD" w:rsidRPr="00B75656"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Pr>
          <w:p w14:paraId="506AB074" w14:textId="77777777" w:rsidR="000110FD" w:rsidRDefault="000110FD" w:rsidP="00E45161">
            <w:pPr>
              <w:pStyle w:val="TableText"/>
              <w:widowControl w:val="0"/>
              <w:suppressAutoHyphens w:val="0"/>
              <w:spacing w:before="0" w:after="0" w:line="240" w:lineRule="auto"/>
              <w:jc w:val="right"/>
              <w:rPr>
                <w:szCs w:val="17"/>
              </w:rPr>
            </w:pPr>
            <w:r>
              <w:rPr>
                <w:szCs w:val="17"/>
              </w:rPr>
              <w:t>138</w:t>
            </w:r>
          </w:p>
        </w:tc>
        <w:tc>
          <w:tcPr>
            <w:tcW w:w="299" w:type="pct"/>
            <w:shd w:val="clear" w:color="auto" w:fill="D5D7D5" w:themeFill="text1" w:themeFillTint="33"/>
          </w:tcPr>
          <w:p w14:paraId="280044C8" w14:textId="77777777" w:rsidR="000110FD" w:rsidRDefault="000110FD" w:rsidP="00E45161">
            <w:pPr>
              <w:pStyle w:val="TableText"/>
              <w:widowControl w:val="0"/>
              <w:suppressAutoHyphens w:val="0"/>
              <w:spacing w:before="0" w:after="0" w:line="240" w:lineRule="auto"/>
              <w:jc w:val="right"/>
              <w:rPr>
                <w:szCs w:val="17"/>
              </w:rPr>
            </w:pPr>
            <w:r>
              <w:rPr>
                <w:szCs w:val="17"/>
              </w:rPr>
              <w:t>1.5</w:t>
            </w:r>
            <w:r w:rsidRPr="00A464C1">
              <w:rPr>
                <w:szCs w:val="17"/>
                <w:vertAlign w:val="superscript"/>
              </w:rPr>
              <w:t>a</w:t>
            </w:r>
          </w:p>
        </w:tc>
        <w:tc>
          <w:tcPr>
            <w:tcW w:w="298" w:type="pct"/>
          </w:tcPr>
          <w:p w14:paraId="2D5B830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ABF4DC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816E29F"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5.1</w:t>
            </w:r>
          </w:p>
        </w:tc>
        <w:tc>
          <w:tcPr>
            <w:tcW w:w="300" w:type="pct"/>
          </w:tcPr>
          <w:p w14:paraId="7100AAC0" w14:textId="77777777" w:rsidR="000110FD" w:rsidRPr="00917C96" w:rsidRDefault="000110FD" w:rsidP="00E45161">
            <w:pPr>
              <w:pStyle w:val="TableText"/>
              <w:widowControl w:val="0"/>
              <w:suppressAutoHyphens w:val="0"/>
              <w:spacing w:before="0" w:after="0" w:line="240" w:lineRule="auto"/>
              <w:jc w:val="right"/>
            </w:pPr>
            <w:r w:rsidRPr="00917C96">
              <w:t>7.0</w:t>
            </w:r>
          </w:p>
        </w:tc>
        <w:tc>
          <w:tcPr>
            <w:tcW w:w="301" w:type="pct"/>
          </w:tcPr>
          <w:p w14:paraId="41A38268"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0.73</w:t>
            </w:r>
          </w:p>
        </w:tc>
        <w:tc>
          <w:tcPr>
            <w:tcW w:w="321" w:type="pct"/>
          </w:tcPr>
          <w:p w14:paraId="38CEB6F5"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189</w:t>
            </w:r>
          </w:p>
        </w:tc>
      </w:tr>
      <w:tr w:rsidR="000110FD" w14:paraId="6ADCA83D" w14:textId="77777777" w:rsidTr="000110FD">
        <w:trPr>
          <w:cantSplit/>
          <w:trHeight w:val="13"/>
        </w:trPr>
        <w:tc>
          <w:tcPr>
            <w:tcW w:w="492" w:type="pct"/>
            <w:vMerge/>
          </w:tcPr>
          <w:p w14:paraId="58E8BE40"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3D787DF"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2E84620F"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7B2B09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D2D7437" w14:textId="77777777" w:rsidR="000110FD" w:rsidRPr="00B75656" w:rsidRDefault="000110FD" w:rsidP="00E45161">
            <w:pPr>
              <w:pStyle w:val="TableText"/>
              <w:widowControl w:val="0"/>
              <w:suppressAutoHyphens w:val="0"/>
              <w:spacing w:before="0" w:after="0" w:line="240" w:lineRule="auto"/>
              <w:jc w:val="right"/>
              <w:rPr>
                <w:szCs w:val="17"/>
              </w:rPr>
            </w:pPr>
            <w:r>
              <w:rPr>
                <w:szCs w:val="17"/>
              </w:rPr>
              <w:t>24.7</w:t>
            </w:r>
          </w:p>
        </w:tc>
        <w:tc>
          <w:tcPr>
            <w:tcW w:w="293" w:type="pct"/>
          </w:tcPr>
          <w:p w14:paraId="23D00FEA" w14:textId="77777777" w:rsidR="000110FD" w:rsidRDefault="000110FD" w:rsidP="00E45161">
            <w:pPr>
              <w:pStyle w:val="TableText"/>
              <w:widowControl w:val="0"/>
              <w:suppressAutoHyphens w:val="0"/>
              <w:spacing w:before="0" w:after="0" w:line="240" w:lineRule="auto"/>
              <w:jc w:val="right"/>
              <w:rPr>
                <w:szCs w:val="17"/>
              </w:rPr>
            </w:pPr>
            <w:r>
              <w:rPr>
                <w:szCs w:val="17"/>
              </w:rPr>
              <w:t>112</w:t>
            </w:r>
          </w:p>
        </w:tc>
        <w:tc>
          <w:tcPr>
            <w:tcW w:w="299" w:type="pct"/>
          </w:tcPr>
          <w:p w14:paraId="7FFF44B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EFD2AD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160DFF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C7C84DC"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2.8</w:t>
            </w:r>
          </w:p>
        </w:tc>
        <w:tc>
          <w:tcPr>
            <w:tcW w:w="300" w:type="pct"/>
          </w:tcPr>
          <w:p w14:paraId="2001B102"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tcPr>
          <w:p w14:paraId="7BF05F55"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0.40</w:t>
            </w:r>
          </w:p>
        </w:tc>
        <w:tc>
          <w:tcPr>
            <w:tcW w:w="321" w:type="pct"/>
          </w:tcPr>
          <w:p w14:paraId="4F863644"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20DC0165" w14:textId="77777777" w:rsidTr="000110FD">
        <w:trPr>
          <w:cantSplit/>
          <w:trHeight w:val="13"/>
        </w:trPr>
        <w:tc>
          <w:tcPr>
            <w:tcW w:w="492" w:type="pct"/>
            <w:vMerge/>
          </w:tcPr>
          <w:p w14:paraId="2E2F2EB0"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631ED99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Borders>
              <w:bottom w:val="single" w:sz="4" w:space="0" w:color="auto"/>
            </w:tcBorders>
          </w:tcPr>
          <w:p w14:paraId="318E9D3F"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Borders>
              <w:bottom w:val="single" w:sz="4" w:space="0" w:color="auto"/>
            </w:tcBorders>
          </w:tcPr>
          <w:p w14:paraId="47334B7C"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15E3A679" w14:textId="77777777" w:rsidR="000110FD" w:rsidRDefault="000110FD" w:rsidP="00E45161">
            <w:pPr>
              <w:pStyle w:val="TableText"/>
              <w:widowControl w:val="0"/>
              <w:suppressAutoHyphens w:val="0"/>
              <w:spacing w:before="0" w:after="0" w:line="240" w:lineRule="auto"/>
              <w:jc w:val="right"/>
              <w:rPr>
                <w:szCs w:val="17"/>
              </w:rPr>
            </w:pPr>
            <w:r w:rsidRPr="00B75656">
              <w:rPr>
                <w:szCs w:val="17"/>
              </w:rPr>
              <w:t>24.7</w:t>
            </w:r>
          </w:p>
        </w:tc>
        <w:tc>
          <w:tcPr>
            <w:tcW w:w="293" w:type="pct"/>
            <w:tcBorders>
              <w:bottom w:val="single" w:sz="4" w:space="0" w:color="auto"/>
            </w:tcBorders>
          </w:tcPr>
          <w:p w14:paraId="59761BF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92</w:t>
            </w:r>
          </w:p>
        </w:tc>
        <w:tc>
          <w:tcPr>
            <w:tcW w:w="299" w:type="pct"/>
            <w:tcBorders>
              <w:bottom w:val="single" w:sz="4" w:space="0" w:color="auto"/>
            </w:tcBorders>
          </w:tcPr>
          <w:p w14:paraId="231AB7E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530EF4F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7FD8507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2894C46C" w14:textId="77777777" w:rsidR="000110FD" w:rsidRPr="002C4E1B" w:rsidRDefault="000110FD" w:rsidP="00E45161">
            <w:pPr>
              <w:pStyle w:val="TableText"/>
              <w:widowControl w:val="0"/>
              <w:suppressAutoHyphens w:val="0"/>
              <w:spacing w:before="0" w:after="0" w:line="240" w:lineRule="auto"/>
              <w:jc w:val="right"/>
            </w:pPr>
            <w:r>
              <w:rPr>
                <w:color w:val="1A1B1A"/>
                <w:szCs w:val="17"/>
              </w:rPr>
              <w:t>2.3</w:t>
            </w:r>
          </w:p>
        </w:tc>
        <w:tc>
          <w:tcPr>
            <w:tcW w:w="300" w:type="pct"/>
            <w:tcBorders>
              <w:bottom w:val="single" w:sz="4" w:space="0" w:color="auto"/>
            </w:tcBorders>
          </w:tcPr>
          <w:p w14:paraId="6E402432" w14:textId="77777777" w:rsidR="000110FD" w:rsidRPr="002C4E1B" w:rsidRDefault="000110FD" w:rsidP="00E45161">
            <w:pPr>
              <w:pStyle w:val="TableText"/>
              <w:widowControl w:val="0"/>
              <w:suppressAutoHyphens w:val="0"/>
              <w:spacing w:before="0" w:after="0" w:line="240" w:lineRule="auto"/>
              <w:jc w:val="right"/>
            </w:pPr>
            <w:r w:rsidRPr="00917C96">
              <w:t>7.0</w:t>
            </w:r>
          </w:p>
        </w:tc>
        <w:tc>
          <w:tcPr>
            <w:tcW w:w="301" w:type="pct"/>
            <w:tcBorders>
              <w:bottom w:val="single" w:sz="4" w:space="0" w:color="auto"/>
            </w:tcBorders>
          </w:tcPr>
          <w:p w14:paraId="2DB97E83" w14:textId="77777777" w:rsidR="000110FD" w:rsidRPr="002C4E1B" w:rsidRDefault="000110FD" w:rsidP="00E45161">
            <w:pPr>
              <w:pStyle w:val="TableText"/>
              <w:widowControl w:val="0"/>
              <w:suppressAutoHyphens w:val="0"/>
              <w:spacing w:before="0" w:after="0" w:line="240" w:lineRule="auto"/>
              <w:jc w:val="right"/>
            </w:pPr>
            <w:r>
              <w:rPr>
                <w:color w:val="1A1B1A"/>
                <w:szCs w:val="17"/>
              </w:rPr>
              <w:t>0.32</w:t>
            </w:r>
          </w:p>
        </w:tc>
        <w:tc>
          <w:tcPr>
            <w:tcW w:w="321" w:type="pct"/>
            <w:tcBorders>
              <w:bottom w:val="single" w:sz="4" w:space="0" w:color="auto"/>
            </w:tcBorders>
          </w:tcPr>
          <w:p w14:paraId="4037343E" w14:textId="77777777" w:rsidR="000110FD" w:rsidRPr="002C4E1B" w:rsidRDefault="000110FD" w:rsidP="00E45161">
            <w:pPr>
              <w:pStyle w:val="TableText"/>
              <w:widowControl w:val="0"/>
              <w:suppressAutoHyphens w:val="0"/>
              <w:spacing w:before="0" w:after="0" w:line="240" w:lineRule="auto"/>
              <w:jc w:val="right"/>
            </w:pPr>
            <w:r>
              <w:rPr>
                <w:color w:val="1A1B1A"/>
                <w:szCs w:val="17"/>
              </w:rPr>
              <w:t>283</w:t>
            </w:r>
          </w:p>
        </w:tc>
      </w:tr>
      <w:tr w:rsidR="000110FD" w:rsidRPr="002C4E1B" w14:paraId="22A66EF0" w14:textId="77777777" w:rsidTr="000110FD">
        <w:trPr>
          <w:cantSplit/>
          <w:trHeight w:val="13"/>
        </w:trPr>
        <w:tc>
          <w:tcPr>
            <w:tcW w:w="492" w:type="pct"/>
            <w:vMerge/>
          </w:tcPr>
          <w:p w14:paraId="332E557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13924F11"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 xml:space="preserve">Small </w:t>
            </w:r>
            <w:r>
              <w:rPr>
                <w:szCs w:val="17"/>
              </w:rPr>
              <w:t>omn</w:t>
            </w:r>
            <w:r w:rsidRPr="002C4E1B">
              <w:rPr>
                <w:szCs w:val="17"/>
              </w:rPr>
              <w:t>ivore</w:t>
            </w:r>
          </w:p>
        </w:tc>
        <w:tc>
          <w:tcPr>
            <w:tcW w:w="559" w:type="pct"/>
            <w:gridSpan w:val="2"/>
            <w:vMerge w:val="restart"/>
            <w:tcBorders>
              <w:top w:val="single" w:sz="4" w:space="0" w:color="auto"/>
            </w:tcBorders>
          </w:tcPr>
          <w:p w14:paraId="6EEFEA8F"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 xml:space="preserve">BBCH </w:t>
            </w:r>
            <w:r>
              <w:rPr>
                <w:szCs w:val="17"/>
              </w:rPr>
              <w:t>&lt;10</w:t>
            </w:r>
          </w:p>
        </w:tc>
        <w:tc>
          <w:tcPr>
            <w:tcW w:w="486" w:type="pct"/>
            <w:vMerge w:val="restart"/>
            <w:tcBorders>
              <w:top w:val="single" w:sz="4" w:space="0" w:color="auto"/>
            </w:tcBorders>
          </w:tcPr>
          <w:p w14:paraId="05065050"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5E43B0F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17.4</w:t>
            </w:r>
          </w:p>
        </w:tc>
        <w:tc>
          <w:tcPr>
            <w:tcW w:w="293" w:type="pct"/>
            <w:tcBorders>
              <w:top w:val="single" w:sz="4" w:space="0" w:color="auto"/>
            </w:tcBorders>
          </w:tcPr>
          <w:p w14:paraId="65E85AB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800</w:t>
            </w:r>
          </w:p>
        </w:tc>
        <w:tc>
          <w:tcPr>
            <w:tcW w:w="299" w:type="pct"/>
            <w:tcBorders>
              <w:top w:val="single" w:sz="4" w:space="0" w:color="auto"/>
            </w:tcBorders>
          </w:tcPr>
          <w:p w14:paraId="1DEC91F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7A8A41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3BAD089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7830303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14</w:t>
            </w:r>
          </w:p>
        </w:tc>
        <w:tc>
          <w:tcPr>
            <w:tcW w:w="300" w:type="pct"/>
            <w:tcBorders>
              <w:top w:val="single" w:sz="4" w:space="0" w:color="auto"/>
            </w:tcBorders>
          </w:tcPr>
          <w:p w14:paraId="6BB6D598"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Borders>
              <w:top w:val="single" w:sz="4" w:space="0" w:color="auto"/>
            </w:tcBorders>
            <w:shd w:val="clear" w:color="auto" w:fill="FF0000"/>
          </w:tcPr>
          <w:p w14:paraId="602D0EC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2.0</w:t>
            </w:r>
          </w:p>
        </w:tc>
        <w:tc>
          <w:tcPr>
            <w:tcW w:w="321" w:type="pct"/>
            <w:tcBorders>
              <w:top w:val="single" w:sz="4" w:space="0" w:color="auto"/>
            </w:tcBorders>
          </w:tcPr>
          <w:p w14:paraId="3B9D753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16EB5BE6" w14:textId="77777777" w:rsidTr="000110FD">
        <w:trPr>
          <w:cantSplit/>
          <w:trHeight w:val="13"/>
        </w:trPr>
        <w:tc>
          <w:tcPr>
            <w:tcW w:w="492" w:type="pct"/>
            <w:vMerge/>
          </w:tcPr>
          <w:p w14:paraId="65FAAA41"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C625AE0"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4445265B"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BDD48E0"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3418EB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17.4</w:t>
            </w:r>
          </w:p>
        </w:tc>
        <w:tc>
          <w:tcPr>
            <w:tcW w:w="293" w:type="pct"/>
          </w:tcPr>
          <w:p w14:paraId="650CFE6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Pr>
          <w:p w14:paraId="3E88EC9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5EA478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7C6257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797F48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w:t>
            </w:r>
          </w:p>
        </w:tc>
        <w:tc>
          <w:tcPr>
            <w:tcW w:w="300" w:type="pct"/>
          </w:tcPr>
          <w:p w14:paraId="1B8D0F5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Pr>
          <w:p w14:paraId="0D92B29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0.91</w:t>
            </w:r>
          </w:p>
        </w:tc>
        <w:tc>
          <w:tcPr>
            <w:tcW w:w="321" w:type="pct"/>
          </w:tcPr>
          <w:p w14:paraId="4FDAC60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14:paraId="2D06AF9B" w14:textId="77777777" w:rsidTr="000110FD">
        <w:trPr>
          <w:cantSplit/>
          <w:trHeight w:val="13"/>
        </w:trPr>
        <w:tc>
          <w:tcPr>
            <w:tcW w:w="492" w:type="pct"/>
            <w:vMerge/>
          </w:tcPr>
          <w:p w14:paraId="5E31553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259F87A2"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4232B77"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447575D"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3FEF4A40"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5A004D51"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299" w:type="pct"/>
            <w:shd w:val="clear" w:color="auto" w:fill="D5D7D5" w:themeFill="text1" w:themeFillTint="33"/>
          </w:tcPr>
          <w:p w14:paraId="58A314FC" w14:textId="77777777" w:rsidR="000110FD" w:rsidRDefault="000110FD" w:rsidP="00E45161">
            <w:pPr>
              <w:pStyle w:val="TableText"/>
              <w:widowControl w:val="0"/>
              <w:suppressAutoHyphens w:val="0"/>
              <w:spacing w:before="0" w:after="0" w:line="240" w:lineRule="auto"/>
              <w:jc w:val="right"/>
              <w:rPr>
                <w:szCs w:val="17"/>
              </w:rPr>
            </w:pPr>
            <w:r>
              <w:rPr>
                <w:szCs w:val="17"/>
              </w:rPr>
              <w:t>1.3</w:t>
            </w:r>
            <w:r w:rsidRPr="00A464C1">
              <w:rPr>
                <w:szCs w:val="17"/>
                <w:vertAlign w:val="superscript"/>
              </w:rPr>
              <w:t>a</w:t>
            </w:r>
          </w:p>
        </w:tc>
        <w:tc>
          <w:tcPr>
            <w:tcW w:w="298" w:type="pct"/>
          </w:tcPr>
          <w:p w14:paraId="0368EB5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B19B36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54059E10"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8.3</w:t>
            </w:r>
          </w:p>
        </w:tc>
        <w:tc>
          <w:tcPr>
            <w:tcW w:w="300" w:type="pct"/>
          </w:tcPr>
          <w:p w14:paraId="768DA5A6"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shd w:val="clear" w:color="auto" w:fill="FF0000"/>
            <w:vAlign w:val="center"/>
          </w:tcPr>
          <w:p w14:paraId="3318C957" w14:textId="77777777" w:rsidR="000110FD" w:rsidRDefault="000110FD" w:rsidP="00E45161">
            <w:pPr>
              <w:pStyle w:val="TableText"/>
              <w:widowControl w:val="0"/>
              <w:suppressAutoHyphens w:val="0"/>
              <w:spacing w:before="0" w:after="0" w:line="240" w:lineRule="auto"/>
              <w:jc w:val="right"/>
              <w:rPr>
                <w:color w:val="1A1B1A"/>
                <w:szCs w:val="17"/>
              </w:rPr>
            </w:pPr>
            <w:r>
              <w:rPr>
                <w:b/>
                <w:bCs/>
                <w:color w:val="1A1B1A"/>
                <w:szCs w:val="17"/>
              </w:rPr>
              <w:t>1.2</w:t>
            </w:r>
          </w:p>
        </w:tc>
        <w:tc>
          <w:tcPr>
            <w:tcW w:w="321" w:type="pct"/>
            <w:vAlign w:val="center"/>
          </w:tcPr>
          <w:p w14:paraId="58F0E825"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309</w:t>
            </w:r>
          </w:p>
        </w:tc>
      </w:tr>
      <w:tr w:rsidR="000110FD" w:rsidRPr="002C4E1B" w14:paraId="73F05930" w14:textId="77777777" w:rsidTr="000110FD">
        <w:trPr>
          <w:cantSplit/>
          <w:trHeight w:val="13"/>
        </w:trPr>
        <w:tc>
          <w:tcPr>
            <w:tcW w:w="492" w:type="pct"/>
            <w:vMerge/>
          </w:tcPr>
          <w:p w14:paraId="748B90D1"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293F9504"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744944C"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6CF9D2EA"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471D5AC3"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4C2FB92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5DDE6CC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900BC5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C45C3C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B7453E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5.2</w:t>
            </w:r>
          </w:p>
        </w:tc>
        <w:tc>
          <w:tcPr>
            <w:tcW w:w="300" w:type="pct"/>
          </w:tcPr>
          <w:p w14:paraId="48C4929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3837E55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0.75</w:t>
            </w:r>
          </w:p>
        </w:tc>
        <w:tc>
          <w:tcPr>
            <w:tcW w:w="321" w:type="pct"/>
            <w:vAlign w:val="center"/>
          </w:tcPr>
          <w:p w14:paraId="5365656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2C361B6E" w14:textId="77777777" w:rsidTr="000110FD">
        <w:trPr>
          <w:cantSplit/>
          <w:trHeight w:val="13"/>
        </w:trPr>
        <w:tc>
          <w:tcPr>
            <w:tcW w:w="492" w:type="pct"/>
            <w:vMerge/>
          </w:tcPr>
          <w:p w14:paraId="669A83C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0BED83D"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447A7FAA"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A807EFE"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E948EC6"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4435F3C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280</w:t>
            </w:r>
          </w:p>
        </w:tc>
        <w:tc>
          <w:tcPr>
            <w:tcW w:w="299" w:type="pct"/>
          </w:tcPr>
          <w:p w14:paraId="64D52B4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0EAE9E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F1D622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54BFE7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4.9</w:t>
            </w:r>
          </w:p>
        </w:tc>
        <w:tc>
          <w:tcPr>
            <w:tcW w:w="300" w:type="pct"/>
          </w:tcPr>
          <w:p w14:paraId="1F6EC65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77BBFC0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0.70</w:t>
            </w:r>
          </w:p>
        </w:tc>
        <w:tc>
          <w:tcPr>
            <w:tcW w:w="321" w:type="pct"/>
            <w:vAlign w:val="center"/>
          </w:tcPr>
          <w:p w14:paraId="01BF8AA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3E35A301" w14:textId="77777777" w:rsidTr="000110FD">
        <w:trPr>
          <w:cantSplit/>
          <w:trHeight w:val="13"/>
        </w:trPr>
        <w:tc>
          <w:tcPr>
            <w:tcW w:w="492" w:type="pct"/>
            <w:vMerge/>
          </w:tcPr>
          <w:p w14:paraId="32C715BE"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A99EF25"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1E781F1B"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14E1F49"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2D12EA25"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49AD50E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Pr>
          <w:p w14:paraId="1904990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06E5B4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4B0C18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BFD593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4.8</w:t>
            </w:r>
          </w:p>
        </w:tc>
        <w:tc>
          <w:tcPr>
            <w:tcW w:w="300" w:type="pct"/>
          </w:tcPr>
          <w:p w14:paraId="115498E1"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7579B9E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0.69</w:t>
            </w:r>
          </w:p>
        </w:tc>
        <w:tc>
          <w:tcPr>
            <w:tcW w:w="321" w:type="pct"/>
            <w:vAlign w:val="center"/>
          </w:tcPr>
          <w:p w14:paraId="59DE3F7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14:paraId="0EB5F336" w14:textId="77777777" w:rsidTr="000110FD">
        <w:trPr>
          <w:cantSplit/>
          <w:trHeight w:val="13"/>
        </w:trPr>
        <w:tc>
          <w:tcPr>
            <w:tcW w:w="492" w:type="pct"/>
            <w:vMerge/>
          </w:tcPr>
          <w:p w14:paraId="2ABB30F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A53024B"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D8BF3C8"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D13EEC9"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0BC7887" w14:textId="77777777" w:rsidR="000110FD" w:rsidRPr="00A22BCC"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29688EEA" w14:textId="77777777" w:rsidR="000110FD" w:rsidRDefault="000110FD" w:rsidP="00E45161">
            <w:pPr>
              <w:pStyle w:val="TableText"/>
              <w:widowControl w:val="0"/>
              <w:suppressAutoHyphens w:val="0"/>
              <w:spacing w:before="0" w:after="0" w:line="240" w:lineRule="auto"/>
              <w:jc w:val="right"/>
              <w:rPr>
                <w:szCs w:val="17"/>
              </w:rPr>
            </w:pPr>
            <w:r>
              <w:rPr>
                <w:szCs w:val="17"/>
              </w:rPr>
              <w:t>276</w:t>
            </w:r>
          </w:p>
        </w:tc>
        <w:tc>
          <w:tcPr>
            <w:tcW w:w="299" w:type="pct"/>
            <w:shd w:val="clear" w:color="auto" w:fill="D5D7D5" w:themeFill="text1" w:themeFillTint="33"/>
          </w:tcPr>
          <w:p w14:paraId="2B3F5F81" w14:textId="77777777" w:rsidR="000110FD" w:rsidRDefault="000110FD" w:rsidP="00E45161">
            <w:pPr>
              <w:pStyle w:val="TableText"/>
              <w:widowControl w:val="0"/>
              <w:suppressAutoHyphens w:val="0"/>
              <w:spacing w:before="0" w:after="0" w:line="240" w:lineRule="auto"/>
              <w:jc w:val="right"/>
              <w:rPr>
                <w:szCs w:val="17"/>
              </w:rPr>
            </w:pPr>
            <w:r>
              <w:rPr>
                <w:szCs w:val="17"/>
              </w:rPr>
              <w:t>1.3</w:t>
            </w:r>
            <w:r w:rsidRPr="00A464C1">
              <w:rPr>
                <w:szCs w:val="17"/>
                <w:vertAlign w:val="superscript"/>
              </w:rPr>
              <w:t>a</w:t>
            </w:r>
          </w:p>
        </w:tc>
        <w:tc>
          <w:tcPr>
            <w:tcW w:w="298" w:type="pct"/>
          </w:tcPr>
          <w:p w14:paraId="393FB00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B51DAE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6E47DD9B"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6.2</w:t>
            </w:r>
          </w:p>
        </w:tc>
        <w:tc>
          <w:tcPr>
            <w:tcW w:w="300" w:type="pct"/>
          </w:tcPr>
          <w:p w14:paraId="560D6FA7"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5C814CAE"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0.89</w:t>
            </w:r>
          </w:p>
        </w:tc>
        <w:tc>
          <w:tcPr>
            <w:tcW w:w="321" w:type="pct"/>
            <w:vAlign w:val="center"/>
          </w:tcPr>
          <w:p w14:paraId="6767A871"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309</w:t>
            </w:r>
          </w:p>
        </w:tc>
      </w:tr>
      <w:tr w:rsidR="000110FD" w:rsidRPr="002C4E1B" w14:paraId="4DD04BFF" w14:textId="77777777" w:rsidTr="000110FD">
        <w:trPr>
          <w:cantSplit/>
          <w:trHeight w:val="13"/>
        </w:trPr>
        <w:tc>
          <w:tcPr>
            <w:tcW w:w="492" w:type="pct"/>
            <w:vMerge/>
          </w:tcPr>
          <w:p w14:paraId="75401144"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5E355D0"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D5FECFE"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413C3B6"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5547E546"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4233853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253</w:t>
            </w:r>
          </w:p>
        </w:tc>
        <w:tc>
          <w:tcPr>
            <w:tcW w:w="299" w:type="pct"/>
          </w:tcPr>
          <w:p w14:paraId="4D89B60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719868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94AF4A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B97D3E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4.4</w:t>
            </w:r>
          </w:p>
        </w:tc>
        <w:tc>
          <w:tcPr>
            <w:tcW w:w="300" w:type="pct"/>
          </w:tcPr>
          <w:p w14:paraId="0AA911B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1319A0B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0.63</w:t>
            </w:r>
          </w:p>
        </w:tc>
        <w:tc>
          <w:tcPr>
            <w:tcW w:w="321" w:type="pct"/>
            <w:vAlign w:val="center"/>
          </w:tcPr>
          <w:p w14:paraId="5937D41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4506CCB2" w14:textId="77777777" w:rsidTr="000110FD">
        <w:trPr>
          <w:cantSplit/>
          <w:trHeight w:val="13"/>
        </w:trPr>
        <w:tc>
          <w:tcPr>
            <w:tcW w:w="492" w:type="pct"/>
            <w:vMerge/>
          </w:tcPr>
          <w:p w14:paraId="4B006714"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97F444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26A5139"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3BAC8DA"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3FB84889"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1BC3747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207</w:t>
            </w:r>
          </w:p>
        </w:tc>
        <w:tc>
          <w:tcPr>
            <w:tcW w:w="299" w:type="pct"/>
          </w:tcPr>
          <w:p w14:paraId="34585BD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CC71F3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E04727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BA82D0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3.6</w:t>
            </w:r>
          </w:p>
        </w:tc>
        <w:tc>
          <w:tcPr>
            <w:tcW w:w="300" w:type="pct"/>
          </w:tcPr>
          <w:p w14:paraId="0DD336D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7AEA8CE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0.51</w:t>
            </w:r>
          </w:p>
        </w:tc>
        <w:tc>
          <w:tcPr>
            <w:tcW w:w="321" w:type="pct"/>
            <w:vAlign w:val="center"/>
          </w:tcPr>
          <w:p w14:paraId="132D1EE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5EB43F0F" w14:textId="77777777" w:rsidTr="000110FD">
        <w:trPr>
          <w:cantSplit/>
          <w:trHeight w:val="13"/>
        </w:trPr>
        <w:tc>
          <w:tcPr>
            <w:tcW w:w="492" w:type="pct"/>
            <w:vMerge/>
          </w:tcPr>
          <w:p w14:paraId="30E7A786"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21297DF"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E5917D5"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AF42DB5"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248A3EBD"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6695A52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15EE013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6B092D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EFDF40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F86C98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3.2</w:t>
            </w:r>
          </w:p>
        </w:tc>
        <w:tc>
          <w:tcPr>
            <w:tcW w:w="300" w:type="pct"/>
          </w:tcPr>
          <w:p w14:paraId="40EDB02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798BDB4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0.46</w:t>
            </w:r>
          </w:p>
        </w:tc>
        <w:tc>
          <w:tcPr>
            <w:tcW w:w="321" w:type="pct"/>
            <w:vAlign w:val="center"/>
          </w:tcPr>
          <w:p w14:paraId="0567159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14:paraId="21C9D6CB" w14:textId="77777777" w:rsidTr="000110FD">
        <w:trPr>
          <w:cantSplit/>
          <w:trHeight w:val="13"/>
        </w:trPr>
        <w:tc>
          <w:tcPr>
            <w:tcW w:w="492" w:type="pct"/>
            <w:vMerge/>
          </w:tcPr>
          <w:p w14:paraId="43E4104B"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F51F207"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25BEB5C9"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0509F30"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4FF7ACA2" w14:textId="77777777" w:rsidR="000110FD" w:rsidRPr="00A22BCC"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6BA6A588"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299" w:type="pct"/>
            <w:shd w:val="clear" w:color="auto" w:fill="D5D7D5" w:themeFill="text1" w:themeFillTint="33"/>
          </w:tcPr>
          <w:p w14:paraId="732934B6" w14:textId="77777777" w:rsidR="000110FD" w:rsidRDefault="000110FD" w:rsidP="00E45161">
            <w:pPr>
              <w:pStyle w:val="TableText"/>
              <w:widowControl w:val="0"/>
              <w:suppressAutoHyphens w:val="0"/>
              <w:spacing w:before="0" w:after="0" w:line="240" w:lineRule="auto"/>
              <w:jc w:val="right"/>
              <w:rPr>
                <w:szCs w:val="17"/>
              </w:rPr>
            </w:pPr>
            <w:r>
              <w:rPr>
                <w:szCs w:val="17"/>
              </w:rPr>
              <w:t>1.3</w:t>
            </w:r>
            <w:r w:rsidRPr="00A464C1">
              <w:rPr>
                <w:szCs w:val="17"/>
                <w:vertAlign w:val="superscript"/>
              </w:rPr>
              <w:t>a</w:t>
            </w:r>
          </w:p>
        </w:tc>
        <w:tc>
          <w:tcPr>
            <w:tcW w:w="298" w:type="pct"/>
          </w:tcPr>
          <w:p w14:paraId="0ED80FF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1E88B1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12B979E"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4.2</w:t>
            </w:r>
          </w:p>
        </w:tc>
        <w:tc>
          <w:tcPr>
            <w:tcW w:w="300" w:type="pct"/>
          </w:tcPr>
          <w:p w14:paraId="206441B9"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413A07F6"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0.59</w:t>
            </w:r>
          </w:p>
        </w:tc>
        <w:tc>
          <w:tcPr>
            <w:tcW w:w="321" w:type="pct"/>
            <w:vAlign w:val="center"/>
          </w:tcPr>
          <w:p w14:paraId="6A503338"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309</w:t>
            </w:r>
          </w:p>
        </w:tc>
      </w:tr>
      <w:tr w:rsidR="000110FD" w:rsidRPr="002C4E1B" w14:paraId="0235C86E" w14:textId="77777777" w:rsidTr="000110FD">
        <w:trPr>
          <w:cantSplit/>
          <w:trHeight w:val="13"/>
        </w:trPr>
        <w:tc>
          <w:tcPr>
            <w:tcW w:w="492" w:type="pct"/>
            <w:vMerge/>
          </w:tcPr>
          <w:p w14:paraId="5741EF5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7884616"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1F56D2B"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F69E6C9"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3CC77088"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4A34DE2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693A983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7ED617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8C1385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679B7C8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w:t>
            </w:r>
          </w:p>
        </w:tc>
        <w:tc>
          <w:tcPr>
            <w:tcW w:w="300" w:type="pct"/>
          </w:tcPr>
          <w:p w14:paraId="530645B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32ACD65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0.37</w:t>
            </w:r>
          </w:p>
        </w:tc>
        <w:tc>
          <w:tcPr>
            <w:tcW w:w="321" w:type="pct"/>
            <w:vAlign w:val="center"/>
          </w:tcPr>
          <w:p w14:paraId="2BA8B50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0EC1C3F0" w14:textId="77777777" w:rsidTr="000110FD">
        <w:trPr>
          <w:cantSplit/>
          <w:trHeight w:val="13"/>
        </w:trPr>
        <w:tc>
          <w:tcPr>
            <w:tcW w:w="492" w:type="pct"/>
            <w:vMerge/>
          </w:tcPr>
          <w:p w14:paraId="6456D33D"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1F2BC9A"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83A50F1"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03FDDBB"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D2A20E7"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043D332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138</w:t>
            </w:r>
          </w:p>
        </w:tc>
        <w:tc>
          <w:tcPr>
            <w:tcW w:w="299" w:type="pct"/>
          </w:tcPr>
          <w:p w14:paraId="3AE14FE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0C2B20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835567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143FB6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2.4</w:t>
            </w:r>
          </w:p>
        </w:tc>
        <w:tc>
          <w:tcPr>
            <w:tcW w:w="300" w:type="pct"/>
          </w:tcPr>
          <w:p w14:paraId="1810CAAE"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573C3F6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0.34</w:t>
            </w:r>
          </w:p>
        </w:tc>
        <w:tc>
          <w:tcPr>
            <w:tcW w:w="321" w:type="pct"/>
            <w:vAlign w:val="center"/>
          </w:tcPr>
          <w:p w14:paraId="3D58B26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14:paraId="1C56EBFD" w14:textId="77777777" w:rsidTr="000110FD">
        <w:trPr>
          <w:cantSplit/>
          <w:trHeight w:val="13"/>
        </w:trPr>
        <w:tc>
          <w:tcPr>
            <w:tcW w:w="492" w:type="pct"/>
            <w:vMerge/>
          </w:tcPr>
          <w:p w14:paraId="3A86747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32F3F3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6981098"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2C1703C"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71FB7F8A" w14:textId="77777777" w:rsidR="000110FD" w:rsidRPr="00A22BCC"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Pr>
          <w:p w14:paraId="5858D7DA" w14:textId="77777777" w:rsidR="000110FD" w:rsidRDefault="000110FD" w:rsidP="00E45161">
            <w:pPr>
              <w:pStyle w:val="TableText"/>
              <w:widowControl w:val="0"/>
              <w:suppressAutoHyphens w:val="0"/>
              <w:spacing w:before="0" w:after="0" w:line="240" w:lineRule="auto"/>
              <w:jc w:val="right"/>
              <w:rPr>
                <w:szCs w:val="17"/>
              </w:rPr>
            </w:pPr>
            <w:r>
              <w:rPr>
                <w:szCs w:val="17"/>
              </w:rPr>
              <w:t>138</w:t>
            </w:r>
          </w:p>
        </w:tc>
        <w:tc>
          <w:tcPr>
            <w:tcW w:w="299" w:type="pct"/>
            <w:shd w:val="clear" w:color="auto" w:fill="D5D7D5" w:themeFill="text1" w:themeFillTint="33"/>
          </w:tcPr>
          <w:p w14:paraId="635DB6D0" w14:textId="77777777" w:rsidR="000110FD" w:rsidRDefault="000110FD" w:rsidP="00E45161">
            <w:pPr>
              <w:pStyle w:val="TableText"/>
              <w:widowControl w:val="0"/>
              <w:suppressAutoHyphens w:val="0"/>
              <w:spacing w:before="0" w:after="0" w:line="240" w:lineRule="auto"/>
              <w:jc w:val="right"/>
              <w:rPr>
                <w:szCs w:val="17"/>
              </w:rPr>
            </w:pPr>
            <w:r>
              <w:rPr>
                <w:szCs w:val="17"/>
              </w:rPr>
              <w:t>1.3</w:t>
            </w:r>
            <w:r w:rsidRPr="00A464C1">
              <w:rPr>
                <w:szCs w:val="17"/>
                <w:vertAlign w:val="superscript"/>
              </w:rPr>
              <w:t>a</w:t>
            </w:r>
          </w:p>
        </w:tc>
        <w:tc>
          <w:tcPr>
            <w:tcW w:w="298" w:type="pct"/>
          </w:tcPr>
          <w:p w14:paraId="1D3B23A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0D297B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A12A16B"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3.1</w:t>
            </w:r>
          </w:p>
        </w:tc>
        <w:tc>
          <w:tcPr>
            <w:tcW w:w="300" w:type="pct"/>
          </w:tcPr>
          <w:p w14:paraId="27C75539"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251D3866"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0.45</w:t>
            </w:r>
          </w:p>
        </w:tc>
        <w:tc>
          <w:tcPr>
            <w:tcW w:w="321" w:type="pct"/>
            <w:vAlign w:val="center"/>
          </w:tcPr>
          <w:p w14:paraId="6D09643A"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309</w:t>
            </w:r>
          </w:p>
        </w:tc>
      </w:tr>
      <w:tr w:rsidR="000110FD" w14:paraId="664C6956" w14:textId="77777777" w:rsidTr="000110FD">
        <w:trPr>
          <w:cantSplit/>
          <w:trHeight w:val="13"/>
        </w:trPr>
        <w:tc>
          <w:tcPr>
            <w:tcW w:w="492" w:type="pct"/>
            <w:vMerge/>
          </w:tcPr>
          <w:p w14:paraId="4DA7FBC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07334AC"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1EB87E7B"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6D8FFEA"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DDE7591" w14:textId="77777777" w:rsidR="000110FD" w:rsidRPr="00A22BCC" w:rsidRDefault="000110FD" w:rsidP="00E45161">
            <w:pPr>
              <w:pStyle w:val="TableText"/>
              <w:widowControl w:val="0"/>
              <w:suppressAutoHyphens w:val="0"/>
              <w:spacing w:before="0" w:after="0" w:line="240" w:lineRule="auto"/>
              <w:jc w:val="right"/>
              <w:rPr>
                <w:szCs w:val="17"/>
              </w:rPr>
            </w:pPr>
            <w:r>
              <w:rPr>
                <w:szCs w:val="17"/>
              </w:rPr>
              <w:t>17.4</w:t>
            </w:r>
          </w:p>
        </w:tc>
        <w:tc>
          <w:tcPr>
            <w:tcW w:w="293" w:type="pct"/>
          </w:tcPr>
          <w:p w14:paraId="0A513969" w14:textId="77777777" w:rsidR="000110FD" w:rsidRDefault="000110FD" w:rsidP="00E45161">
            <w:pPr>
              <w:pStyle w:val="TableText"/>
              <w:widowControl w:val="0"/>
              <w:suppressAutoHyphens w:val="0"/>
              <w:spacing w:before="0" w:after="0" w:line="240" w:lineRule="auto"/>
              <w:jc w:val="right"/>
              <w:rPr>
                <w:szCs w:val="17"/>
              </w:rPr>
            </w:pPr>
            <w:r>
              <w:rPr>
                <w:szCs w:val="17"/>
              </w:rPr>
              <w:t>112</w:t>
            </w:r>
          </w:p>
        </w:tc>
        <w:tc>
          <w:tcPr>
            <w:tcW w:w="299" w:type="pct"/>
          </w:tcPr>
          <w:p w14:paraId="69141CD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3A2C6E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6B4AC1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C3A959E"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1.9</w:t>
            </w:r>
          </w:p>
        </w:tc>
        <w:tc>
          <w:tcPr>
            <w:tcW w:w="300" w:type="pct"/>
          </w:tcPr>
          <w:p w14:paraId="1E8AAF22" w14:textId="77777777" w:rsidR="000110FD" w:rsidRDefault="000110FD" w:rsidP="00E45161">
            <w:pPr>
              <w:pStyle w:val="TableText"/>
              <w:widowControl w:val="0"/>
              <w:suppressAutoHyphens w:val="0"/>
              <w:spacing w:before="0" w:after="0" w:line="240" w:lineRule="auto"/>
              <w:jc w:val="right"/>
            </w:pPr>
            <w:r>
              <w:t>7.0</w:t>
            </w:r>
          </w:p>
        </w:tc>
        <w:tc>
          <w:tcPr>
            <w:tcW w:w="301" w:type="pct"/>
            <w:vAlign w:val="center"/>
          </w:tcPr>
          <w:p w14:paraId="496D7202"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0.28</w:t>
            </w:r>
          </w:p>
        </w:tc>
        <w:tc>
          <w:tcPr>
            <w:tcW w:w="321" w:type="pct"/>
            <w:vAlign w:val="center"/>
          </w:tcPr>
          <w:p w14:paraId="06BB9B95"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4056FAE1" w14:textId="77777777" w:rsidTr="000110FD">
        <w:trPr>
          <w:cantSplit/>
          <w:trHeight w:val="13"/>
        </w:trPr>
        <w:tc>
          <w:tcPr>
            <w:tcW w:w="492" w:type="pct"/>
            <w:vMerge/>
          </w:tcPr>
          <w:p w14:paraId="1C71E9A7"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591D643D"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Borders>
              <w:bottom w:val="single" w:sz="4" w:space="0" w:color="auto"/>
            </w:tcBorders>
          </w:tcPr>
          <w:p w14:paraId="579B5751"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Borders>
              <w:bottom w:val="single" w:sz="4" w:space="0" w:color="auto"/>
            </w:tcBorders>
          </w:tcPr>
          <w:p w14:paraId="7D71B27C"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0DD94D1D" w14:textId="77777777" w:rsidR="000110FD" w:rsidRDefault="000110FD" w:rsidP="00E45161">
            <w:pPr>
              <w:pStyle w:val="TableText"/>
              <w:widowControl w:val="0"/>
              <w:suppressAutoHyphens w:val="0"/>
              <w:spacing w:before="0" w:after="0" w:line="240" w:lineRule="auto"/>
              <w:jc w:val="right"/>
              <w:rPr>
                <w:szCs w:val="17"/>
              </w:rPr>
            </w:pPr>
            <w:r w:rsidRPr="00A22BCC">
              <w:rPr>
                <w:szCs w:val="17"/>
              </w:rPr>
              <w:t>17.4</w:t>
            </w:r>
          </w:p>
        </w:tc>
        <w:tc>
          <w:tcPr>
            <w:tcW w:w="293" w:type="pct"/>
            <w:tcBorders>
              <w:bottom w:val="single" w:sz="4" w:space="0" w:color="auto"/>
            </w:tcBorders>
          </w:tcPr>
          <w:p w14:paraId="647013F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92</w:t>
            </w:r>
          </w:p>
        </w:tc>
        <w:tc>
          <w:tcPr>
            <w:tcW w:w="299" w:type="pct"/>
            <w:tcBorders>
              <w:bottom w:val="single" w:sz="4" w:space="0" w:color="auto"/>
            </w:tcBorders>
          </w:tcPr>
          <w:p w14:paraId="3ABBFBE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58BB6D5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295F553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vAlign w:val="center"/>
          </w:tcPr>
          <w:p w14:paraId="4954DCF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w:t>
            </w:r>
          </w:p>
        </w:tc>
        <w:tc>
          <w:tcPr>
            <w:tcW w:w="300" w:type="pct"/>
            <w:tcBorders>
              <w:bottom w:val="single" w:sz="4" w:space="0" w:color="auto"/>
            </w:tcBorders>
          </w:tcPr>
          <w:p w14:paraId="57AD121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Borders>
              <w:bottom w:val="single" w:sz="4" w:space="0" w:color="auto"/>
            </w:tcBorders>
            <w:vAlign w:val="center"/>
          </w:tcPr>
          <w:p w14:paraId="259B146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0.23</w:t>
            </w:r>
          </w:p>
        </w:tc>
        <w:tc>
          <w:tcPr>
            <w:tcW w:w="321" w:type="pct"/>
            <w:tcBorders>
              <w:bottom w:val="single" w:sz="4" w:space="0" w:color="auto"/>
            </w:tcBorders>
            <w:vAlign w:val="center"/>
          </w:tcPr>
          <w:p w14:paraId="496B9C4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r w:rsidR="000110FD" w:rsidRPr="002C4E1B" w14:paraId="7C1F3D82" w14:textId="77777777" w:rsidTr="000110FD">
        <w:trPr>
          <w:cantSplit/>
          <w:trHeight w:val="13"/>
        </w:trPr>
        <w:tc>
          <w:tcPr>
            <w:tcW w:w="492" w:type="pct"/>
            <w:vMerge/>
          </w:tcPr>
          <w:p w14:paraId="63E34E3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223CBB4C"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 xml:space="preserve">Small </w:t>
            </w:r>
            <w:r>
              <w:rPr>
                <w:szCs w:val="17"/>
              </w:rPr>
              <w:t>insect</w:t>
            </w:r>
            <w:r w:rsidRPr="002C4E1B">
              <w:rPr>
                <w:szCs w:val="17"/>
              </w:rPr>
              <w:t>ivore</w:t>
            </w:r>
          </w:p>
        </w:tc>
        <w:tc>
          <w:tcPr>
            <w:tcW w:w="559" w:type="pct"/>
            <w:gridSpan w:val="2"/>
            <w:vMerge w:val="restart"/>
            <w:tcBorders>
              <w:top w:val="single" w:sz="4" w:space="0" w:color="auto"/>
            </w:tcBorders>
          </w:tcPr>
          <w:p w14:paraId="0EEA1D3E"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 xml:space="preserve">BBCH </w:t>
            </w:r>
            <w:r>
              <w:rPr>
                <w:szCs w:val="17"/>
              </w:rPr>
              <w:t>&lt;10</w:t>
            </w:r>
          </w:p>
        </w:tc>
        <w:tc>
          <w:tcPr>
            <w:tcW w:w="486" w:type="pct"/>
            <w:vMerge w:val="restart"/>
            <w:tcBorders>
              <w:top w:val="single" w:sz="4" w:space="0" w:color="auto"/>
            </w:tcBorders>
          </w:tcPr>
          <w:p w14:paraId="467083B4"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6579625C"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Borders>
              <w:top w:val="single" w:sz="4" w:space="0" w:color="auto"/>
            </w:tcBorders>
          </w:tcPr>
          <w:p w14:paraId="7CBF58A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800</w:t>
            </w:r>
          </w:p>
        </w:tc>
        <w:tc>
          <w:tcPr>
            <w:tcW w:w="299" w:type="pct"/>
            <w:tcBorders>
              <w:top w:val="single" w:sz="4" w:space="0" w:color="auto"/>
            </w:tcBorders>
          </w:tcPr>
          <w:p w14:paraId="53BA15A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24DE817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0719702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75EF307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8.7</w:t>
            </w:r>
          </w:p>
        </w:tc>
        <w:tc>
          <w:tcPr>
            <w:tcW w:w="300" w:type="pct"/>
            <w:tcBorders>
              <w:top w:val="single" w:sz="4" w:space="0" w:color="auto"/>
            </w:tcBorders>
          </w:tcPr>
          <w:p w14:paraId="742287C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Borders>
              <w:top w:val="single" w:sz="4" w:space="0" w:color="auto"/>
            </w:tcBorders>
            <w:shd w:val="clear" w:color="auto" w:fill="FF0000"/>
          </w:tcPr>
          <w:p w14:paraId="6BC02C5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1.2</w:t>
            </w:r>
          </w:p>
        </w:tc>
        <w:tc>
          <w:tcPr>
            <w:tcW w:w="321" w:type="pct"/>
            <w:tcBorders>
              <w:top w:val="single" w:sz="4" w:space="0" w:color="auto"/>
            </w:tcBorders>
          </w:tcPr>
          <w:p w14:paraId="46711AD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6ED6EE59" w14:textId="77777777" w:rsidTr="000110FD">
        <w:trPr>
          <w:cantSplit/>
          <w:trHeight w:val="13"/>
        </w:trPr>
        <w:tc>
          <w:tcPr>
            <w:tcW w:w="492" w:type="pct"/>
            <w:vMerge/>
          </w:tcPr>
          <w:p w14:paraId="5587A627"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FFDFECF"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E252077"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15B6A31"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3B05C865"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67E5A86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Pr>
          <w:p w14:paraId="707B405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360A5F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DCBFCD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5B0F8C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w:t>
            </w:r>
          </w:p>
        </w:tc>
        <w:tc>
          <w:tcPr>
            <w:tcW w:w="300" w:type="pct"/>
          </w:tcPr>
          <w:p w14:paraId="314527F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Pr>
          <w:p w14:paraId="4519F1C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0.57</w:t>
            </w:r>
          </w:p>
        </w:tc>
        <w:tc>
          <w:tcPr>
            <w:tcW w:w="321" w:type="pct"/>
          </w:tcPr>
          <w:p w14:paraId="0F5C9BF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14:paraId="06222B99" w14:textId="77777777" w:rsidTr="000110FD">
        <w:trPr>
          <w:cantSplit/>
          <w:trHeight w:val="13"/>
        </w:trPr>
        <w:tc>
          <w:tcPr>
            <w:tcW w:w="492" w:type="pct"/>
            <w:vMerge/>
          </w:tcPr>
          <w:p w14:paraId="4682B3F5"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F3E9FF0"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408A7D2C"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BF0E9A9"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440C8B9" w14:textId="77777777" w:rsidR="000110FD" w:rsidRPr="007F47B6"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446109E5" w14:textId="77777777" w:rsidR="000110FD" w:rsidRDefault="000110FD" w:rsidP="00E45161">
            <w:pPr>
              <w:pStyle w:val="TableText"/>
              <w:widowControl w:val="0"/>
              <w:suppressAutoHyphens w:val="0"/>
              <w:spacing w:before="0" w:after="0" w:line="240" w:lineRule="auto"/>
              <w:jc w:val="right"/>
              <w:rPr>
                <w:szCs w:val="17"/>
              </w:rPr>
            </w:pPr>
            <w:r>
              <w:rPr>
                <w:szCs w:val="17"/>
              </w:rPr>
              <w:t>368</w:t>
            </w:r>
          </w:p>
        </w:tc>
        <w:tc>
          <w:tcPr>
            <w:tcW w:w="299" w:type="pct"/>
            <w:shd w:val="clear" w:color="auto" w:fill="D5D7D5" w:themeFill="text1" w:themeFillTint="33"/>
          </w:tcPr>
          <w:p w14:paraId="59C561DE" w14:textId="77777777" w:rsidR="000110FD" w:rsidRDefault="000110FD" w:rsidP="00E45161">
            <w:pPr>
              <w:pStyle w:val="TableText"/>
              <w:widowControl w:val="0"/>
              <w:suppressAutoHyphens w:val="0"/>
              <w:spacing w:before="0" w:after="0" w:line="240" w:lineRule="auto"/>
              <w:jc w:val="right"/>
              <w:rPr>
                <w:szCs w:val="17"/>
              </w:rPr>
            </w:pPr>
            <w:r>
              <w:rPr>
                <w:szCs w:val="17"/>
              </w:rPr>
              <w:t>1.1</w:t>
            </w:r>
            <w:r w:rsidRPr="00A464C1">
              <w:rPr>
                <w:szCs w:val="17"/>
                <w:vertAlign w:val="superscript"/>
              </w:rPr>
              <w:t>a</w:t>
            </w:r>
          </w:p>
        </w:tc>
        <w:tc>
          <w:tcPr>
            <w:tcW w:w="298" w:type="pct"/>
          </w:tcPr>
          <w:p w14:paraId="04486D0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98B3DD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DCF7570"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4.4</w:t>
            </w:r>
          </w:p>
        </w:tc>
        <w:tc>
          <w:tcPr>
            <w:tcW w:w="300" w:type="pct"/>
          </w:tcPr>
          <w:p w14:paraId="3AD8FC7D"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315B2718"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0.63</w:t>
            </w:r>
          </w:p>
        </w:tc>
        <w:tc>
          <w:tcPr>
            <w:tcW w:w="321" w:type="pct"/>
            <w:vAlign w:val="center"/>
          </w:tcPr>
          <w:p w14:paraId="10F79BD6"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584</w:t>
            </w:r>
          </w:p>
        </w:tc>
      </w:tr>
      <w:tr w:rsidR="000110FD" w:rsidRPr="002C4E1B" w14:paraId="06501551" w14:textId="77777777" w:rsidTr="000110FD">
        <w:trPr>
          <w:cantSplit/>
          <w:trHeight w:val="13"/>
        </w:trPr>
        <w:tc>
          <w:tcPr>
            <w:tcW w:w="492" w:type="pct"/>
            <w:vMerge/>
          </w:tcPr>
          <w:p w14:paraId="67EF51A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31CD2BA"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3CD1FF5"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F4FD38B"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447357A8"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17F6B1E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6E13DE0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B38CC9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D0CA86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9A6179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3.3</w:t>
            </w:r>
          </w:p>
        </w:tc>
        <w:tc>
          <w:tcPr>
            <w:tcW w:w="300" w:type="pct"/>
          </w:tcPr>
          <w:p w14:paraId="43E3EC5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19EDF84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0.47</w:t>
            </w:r>
          </w:p>
        </w:tc>
        <w:tc>
          <w:tcPr>
            <w:tcW w:w="321" w:type="pct"/>
            <w:vAlign w:val="center"/>
          </w:tcPr>
          <w:p w14:paraId="595AAA9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20A46913" w14:textId="77777777" w:rsidTr="000110FD">
        <w:trPr>
          <w:cantSplit/>
          <w:trHeight w:val="13"/>
        </w:trPr>
        <w:tc>
          <w:tcPr>
            <w:tcW w:w="492" w:type="pct"/>
            <w:vMerge/>
          </w:tcPr>
          <w:p w14:paraId="494E7474"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1D6708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AA83545"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210A1C9"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731B7076"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7EB653E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280</w:t>
            </w:r>
          </w:p>
        </w:tc>
        <w:tc>
          <w:tcPr>
            <w:tcW w:w="299" w:type="pct"/>
          </w:tcPr>
          <w:p w14:paraId="33BDBAA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0AD9A1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EFE2C6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7F9DAB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3.1</w:t>
            </w:r>
          </w:p>
        </w:tc>
        <w:tc>
          <w:tcPr>
            <w:tcW w:w="300" w:type="pct"/>
          </w:tcPr>
          <w:p w14:paraId="37483EA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6997570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0.44</w:t>
            </w:r>
          </w:p>
        </w:tc>
        <w:tc>
          <w:tcPr>
            <w:tcW w:w="321" w:type="pct"/>
            <w:vAlign w:val="center"/>
          </w:tcPr>
          <w:p w14:paraId="6DF30F7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5C540D16" w14:textId="77777777" w:rsidTr="000110FD">
        <w:trPr>
          <w:cantSplit/>
          <w:trHeight w:val="13"/>
        </w:trPr>
        <w:tc>
          <w:tcPr>
            <w:tcW w:w="492" w:type="pct"/>
            <w:vMerge/>
          </w:tcPr>
          <w:p w14:paraId="5E5FBDA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9FC12B4"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666451A"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C75DBBF"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07C1E67"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14A7447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Pr>
          <w:p w14:paraId="6FFA440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F1170C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B1F614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DE3871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3.0</w:t>
            </w:r>
          </w:p>
        </w:tc>
        <w:tc>
          <w:tcPr>
            <w:tcW w:w="300" w:type="pct"/>
          </w:tcPr>
          <w:p w14:paraId="2CC2038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2A0D1B4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0.43</w:t>
            </w:r>
          </w:p>
        </w:tc>
        <w:tc>
          <w:tcPr>
            <w:tcW w:w="321" w:type="pct"/>
            <w:vAlign w:val="center"/>
          </w:tcPr>
          <w:p w14:paraId="53DCE54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14:paraId="64468F00" w14:textId="77777777" w:rsidTr="000110FD">
        <w:trPr>
          <w:cantSplit/>
          <w:trHeight w:val="13"/>
        </w:trPr>
        <w:tc>
          <w:tcPr>
            <w:tcW w:w="492" w:type="pct"/>
            <w:vMerge/>
          </w:tcPr>
          <w:p w14:paraId="1F86E55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51977CD"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D15BF9A"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6643F67"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EE11EB3" w14:textId="77777777" w:rsidR="000110FD" w:rsidRPr="007F47B6"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3D63690F" w14:textId="77777777" w:rsidR="000110FD" w:rsidRDefault="000110FD" w:rsidP="00E45161">
            <w:pPr>
              <w:pStyle w:val="TableText"/>
              <w:widowControl w:val="0"/>
              <w:suppressAutoHyphens w:val="0"/>
              <w:spacing w:before="0" w:after="0" w:line="240" w:lineRule="auto"/>
              <w:jc w:val="right"/>
              <w:rPr>
                <w:szCs w:val="17"/>
              </w:rPr>
            </w:pPr>
            <w:r>
              <w:rPr>
                <w:szCs w:val="17"/>
              </w:rPr>
              <w:t>276</w:t>
            </w:r>
          </w:p>
        </w:tc>
        <w:tc>
          <w:tcPr>
            <w:tcW w:w="299" w:type="pct"/>
            <w:shd w:val="clear" w:color="auto" w:fill="D5D7D5" w:themeFill="text1" w:themeFillTint="33"/>
          </w:tcPr>
          <w:p w14:paraId="29C2287C" w14:textId="77777777" w:rsidR="000110FD" w:rsidRDefault="000110FD" w:rsidP="00E45161">
            <w:pPr>
              <w:pStyle w:val="TableText"/>
              <w:widowControl w:val="0"/>
              <w:suppressAutoHyphens w:val="0"/>
              <w:spacing w:before="0" w:after="0" w:line="240" w:lineRule="auto"/>
              <w:jc w:val="right"/>
              <w:rPr>
                <w:szCs w:val="17"/>
              </w:rPr>
            </w:pPr>
            <w:r>
              <w:rPr>
                <w:szCs w:val="17"/>
              </w:rPr>
              <w:t>1.1</w:t>
            </w:r>
            <w:r w:rsidRPr="00A464C1">
              <w:rPr>
                <w:szCs w:val="17"/>
                <w:vertAlign w:val="superscript"/>
              </w:rPr>
              <w:t>a</w:t>
            </w:r>
          </w:p>
        </w:tc>
        <w:tc>
          <w:tcPr>
            <w:tcW w:w="298" w:type="pct"/>
          </w:tcPr>
          <w:p w14:paraId="1897F43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87FB8C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6E1180A"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3.3</w:t>
            </w:r>
          </w:p>
        </w:tc>
        <w:tc>
          <w:tcPr>
            <w:tcW w:w="300" w:type="pct"/>
          </w:tcPr>
          <w:p w14:paraId="34641EBC"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7FFBE9BC"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0.47</w:t>
            </w:r>
          </w:p>
        </w:tc>
        <w:tc>
          <w:tcPr>
            <w:tcW w:w="321" w:type="pct"/>
            <w:vAlign w:val="center"/>
          </w:tcPr>
          <w:p w14:paraId="7E42D086"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584</w:t>
            </w:r>
          </w:p>
        </w:tc>
      </w:tr>
      <w:tr w:rsidR="000110FD" w:rsidRPr="002C4E1B" w14:paraId="53E3EAF6" w14:textId="77777777" w:rsidTr="000110FD">
        <w:trPr>
          <w:cantSplit/>
          <w:trHeight w:val="13"/>
        </w:trPr>
        <w:tc>
          <w:tcPr>
            <w:tcW w:w="492" w:type="pct"/>
            <w:vMerge/>
          </w:tcPr>
          <w:p w14:paraId="01E8E99E"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F56F41D"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25DFF2B4"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B6E98AB"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7CE39137"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4146D48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253</w:t>
            </w:r>
          </w:p>
        </w:tc>
        <w:tc>
          <w:tcPr>
            <w:tcW w:w="299" w:type="pct"/>
          </w:tcPr>
          <w:p w14:paraId="555522E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E27DCA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A49582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AC877D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w:t>
            </w:r>
          </w:p>
        </w:tc>
        <w:tc>
          <w:tcPr>
            <w:tcW w:w="300" w:type="pct"/>
          </w:tcPr>
          <w:p w14:paraId="47AA1D24"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642CC41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0.39</w:t>
            </w:r>
          </w:p>
        </w:tc>
        <w:tc>
          <w:tcPr>
            <w:tcW w:w="321" w:type="pct"/>
            <w:vAlign w:val="center"/>
          </w:tcPr>
          <w:p w14:paraId="246BBAA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4A55A448" w14:textId="77777777" w:rsidTr="000110FD">
        <w:trPr>
          <w:cantSplit/>
          <w:trHeight w:val="13"/>
        </w:trPr>
        <w:tc>
          <w:tcPr>
            <w:tcW w:w="492" w:type="pct"/>
            <w:vMerge/>
          </w:tcPr>
          <w:p w14:paraId="69B9C0D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6282ABD"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1DFC4956"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72963651"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7AEA59C"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5213FF9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207</w:t>
            </w:r>
          </w:p>
        </w:tc>
        <w:tc>
          <w:tcPr>
            <w:tcW w:w="299" w:type="pct"/>
          </w:tcPr>
          <w:p w14:paraId="64419E0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45909C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6D9D65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E008B6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w:t>
            </w:r>
          </w:p>
        </w:tc>
        <w:tc>
          <w:tcPr>
            <w:tcW w:w="300" w:type="pct"/>
          </w:tcPr>
          <w:p w14:paraId="45F14A1C"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54B4DD8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0.32</w:t>
            </w:r>
          </w:p>
        </w:tc>
        <w:tc>
          <w:tcPr>
            <w:tcW w:w="321" w:type="pct"/>
            <w:vAlign w:val="center"/>
          </w:tcPr>
          <w:p w14:paraId="39A3573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46705F7D" w14:textId="77777777" w:rsidTr="000110FD">
        <w:trPr>
          <w:cantSplit/>
          <w:trHeight w:val="13"/>
        </w:trPr>
        <w:tc>
          <w:tcPr>
            <w:tcW w:w="492" w:type="pct"/>
            <w:vMerge/>
          </w:tcPr>
          <w:p w14:paraId="528C4D0D"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B74BEF7"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8CF025D"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389A94B5"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D47C563"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656C347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0324A5D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FFB44A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585BE2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6DD600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2.0</w:t>
            </w:r>
          </w:p>
        </w:tc>
        <w:tc>
          <w:tcPr>
            <w:tcW w:w="300" w:type="pct"/>
          </w:tcPr>
          <w:p w14:paraId="75B8947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4523DF5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0.29</w:t>
            </w:r>
          </w:p>
        </w:tc>
        <w:tc>
          <w:tcPr>
            <w:tcW w:w="321" w:type="pct"/>
            <w:vAlign w:val="center"/>
          </w:tcPr>
          <w:p w14:paraId="0C3ACA5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14:paraId="64366FF8" w14:textId="77777777" w:rsidTr="000110FD">
        <w:trPr>
          <w:cantSplit/>
          <w:trHeight w:val="13"/>
        </w:trPr>
        <w:tc>
          <w:tcPr>
            <w:tcW w:w="492" w:type="pct"/>
            <w:vMerge/>
          </w:tcPr>
          <w:p w14:paraId="600C24F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CF3CAF0"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FBD2889"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6C8F752"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76C4DFAD" w14:textId="77777777" w:rsidR="000110FD" w:rsidRPr="007F47B6"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79C5D659"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299" w:type="pct"/>
            <w:shd w:val="clear" w:color="auto" w:fill="D5D7D5" w:themeFill="text1" w:themeFillTint="33"/>
          </w:tcPr>
          <w:p w14:paraId="35BD00C1" w14:textId="77777777" w:rsidR="000110FD" w:rsidRDefault="000110FD" w:rsidP="00E45161">
            <w:pPr>
              <w:pStyle w:val="TableText"/>
              <w:widowControl w:val="0"/>
              <w:suppressAutoHyphens w:val="0"/>
              <w:spacing w:before="0" w:after="0" w:line="240" w:lineRule="auto"/>
              <w:jc w:val="right"/>
              <w:rPr>
                <w:szCs w:val="17"/>
              </w:rPr>
            </w:pPr>
            <w:r>
              <w:rPr>
                <w:szCs w:val="17"/>
              </w:rPr>
              <w:t>1.1</w:t>
            </w:r>
            <w:r w:rsidRPr="00A464C1">
              <w:rPr>
                <w:szCs w:val="17"/>
                <w:vertAlign w:val="superscript"/>
              </w:rPr>
              <w:t>a</w:t>
            </w:r>
          </w:p>
        </w:tc>
        <w:tc>
          <w:tcPr>
            <w:tcW w:w="298" w:type="pct"/>
          </w:tcPr>
          <w:p w14:paraId="2ED2BFA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60F7E2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B685EA2"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2.2</w:t>
            </w:r>
          </w:p>
        </w:tc>
        <w:tc>
          <w:tcPr>
            <w:tcW w:w="300" w:type="pct"/>
          </w:tcPr>
          <w:p w14:paraId="6E036855"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13C66BE9"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0.32</w:t>
            </w:r>
          </w:p>
        </w:tc>
        <w:tc>
          <w:tcPr>
            <w:tcW w:w="321" w:type="pct"/>
            <w:vAlign w:val="center"/>
          </w:tcPr>
          <w:p w14:paraId="3E2673D4"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584</w:t>
            </w:r>
          </w:p>
        </w:tc>
      </w:tr>
      <w:tr w:rsidR="000110FD" w:rsidRPr="002C4E1B" w14:paraId="4C94D516" w14:textId="77777777" w:rsidTr="000110FD">
        <w:trPr>
          <w:cantSplit/>
          <w:trHeight w:val="13"/>
        </w:trPr>
        <w:tc>
          <w:tcPr>
            <w:tcW w:w="492" w:type="pct"/>
            <w:vMerge/>
          </w:tcPr>
          <w:p w14:paraId="177262C6"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A440C1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F8F9C40"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36A264F"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A4C5D1F"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7E9D3F7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71994DF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151C9F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9BCCCB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B072C4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w:t>
            </w:r>
          </w:p>
        </w:tc>
        <w:tc>
          <w:tcPr>
            <w:tcW w:w="300" w:type="pct"/>
          </w:tcPr>
          <w:p w14:paraId="1D3978EE"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40E1089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0.23</w:t>
            </w:r>
          </w:p>
        </w:tc>
        <w:tc>
          <w:tcPr>
            <w:tcW w:w="321" w:type="pct"/>
            <w:vAlign w:val="center"/>
          </w:tcPr>
          <w:p w14:paraId="141389A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4A4593A1" w14:textId="77777777" w:rsidTr="000110FD">
        <w:trPr>
          <w:cantSplit/>
          <w:trHeight w:val="13"/>
        </w:trPr>
        <w:tc>
          <w:tcPr>
            <w:tcW w:w="492" w:type="pct"/>
            <w:vMerge/>
          </w:tcPr>
          <w:p w14:paraId="04BF8BC8"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3622284"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26D2F7E6"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067CF326"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2889BF3"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4DD3740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138</w:t>
            </w:r>
          </w:p>
        </w:tc>
        <w:tc>
          <w:tcPr>
            <w:tcW w:w="299" w:type="pct"/>
          </w:tcPr>
          <w:p w14:paraId="4416CD3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9CCA3C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AB4FF5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CB4567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1.5</w:t>
            </w:r>
          </w:p>
        </w:tc>
        <w:tc>
          <w:tcPr>
            <w:tcW w:w="300" w:type="pct"/>
          </w:tcPr>
          <w:p w14:paraId="7D66E7E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6FDC6C3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0.21</w:t>
            </w:r>
          </w:p>
        </w:tc>
        <w:tc>
          <w:tcPr>
            <w:tcW w:w="321" w:type="pct"/>
            <w:vAlign w:val="center"/>
          </w:tcPr>
          <w:p w14:paraId="7630D41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14:paraId="7BF87D54" w14:textId="77777777" w:rsidTr="000110FD">
        <w:trPr>
          <w:cantSplit/>
          <w:trHeight w:val="13"/>
        </w:trPr>
        <w:tc>
          <w:tcPr>
            <w:tcW w:w="492" w:type="pct"/>
            <w:vMerge/>
          </w:tcPr>
          <w:p w14:paraId="6A3D6B84"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152939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7F53CF4"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6305DD1"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488BFA76" w14:textId="77777777" w:rsidR="000110FD" w:rsidRPr="007F47B6" w:rsidRDefault="000110FD" w:rsidP="00E45161">
            <w:pPr>
              <w:pStyle w:val="TableText"/>
              <w:widowControl w:val="0"/>
              <w:suppressAutoHyphens w:val="0"/>
              <w:spacing w:before="0" w:after="0" w:line="240" w:lineRule="auto"/>
              <w:jc w:val="right"/>
              <w:rPr>
                <w:szCs w:val="17"/>
              </w:rPr>
            </w:pPr>
            <w:r>
              <w:rPr>
                <w:szCs w:val="17"/>
              </w:rPr>
              <w:t>10.9</w:t>
            </w:r>
          </w:p>
        </w:tc>
        <w:tc>
          <w:tcPr>
            <w:tcW w:w="293" w:type="pct"/>
          </w:tcPr>
          <w:p w14:paraId="3D144B0C" w14:textId="77777777" w:rsidR="000110FD" w:rsidRDefault="000110FD" w:rsidP="00E45161">
            <w:pPr>
              <w:pStyle w:val="TableText"/>
              <w:widowControl w:val="0"/>
              <w:suppressAutoHyphens w:val="0"/>
              <w:spacing w:before="0" w:after="0" w:line="240" w:lineRule="auto"/>
              <w:jc w:val="right"/>
              <w:rPr>
                <w:szCs w:val="17"/>
              </w:rPr>
            </w:pPr>
            <w:r>
              <w:rPr>
                <w:szCs w:val="17"/>
              </w:rPr>
              <w:t>138</w:t>
            </w:r>
          </w:p>
        </w:tc>
        <w:tc>
          <w:tcPr>
            <w:tcW w:w="299" w:type="pct"/>
            <w:shd w:val="clear" w:color="auto" w:fill="D5D7D5" w:themeFill="text1" w:themeFillTint="33"/>
          </w:tcPr>
          <w:p w14:paraId="4E8FDE74" w14:textId="77777777" w:rsidR="000110FD" w:rsidRDefault="000110FD" w:rsidP="00E45161">
            <w:pPr>
              <w:pStyle w:val="TableText"/>
              <w:widowControl w:val="0"/>
              <w:suppressAutoHyphens w:val="0"/>
              <w:spacing w:before="0" w:after="0" w:line="240" w:lineRule="auto"/>
              <w:jc w:val="right"/>
              <w:rPr>
                <w:szCs w:val="17"/>
              </w:rPr>
            </w:pPr>
            <w:r>
              <w:rPr>
                <w:szCs w:val="17"/>
              </w:rPr>
              <w:t>1.1</w:t>
            </w:r>
            <w:r w:rsidRPr="00A464C1">
              <w:rPr>
                <w:szCs w:val="17"/>
                <w:vertAlign w:val="superscript"/>
              </w:rPr>
              <w:t>a</w:t>
            </w:r>
          </w:p>
        </w:tc>
        <w:tc>
          <w:tcPr>
            <w:tcW w:w="298" w:type="pct"/>
          </w:tcPr>
          <w:p w14:paraId="0055F2D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C51EEC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6E415B59"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1.7</w:t>
            </w:r>
          </w:p>
        </w:tc>
        <w:tc>
          <w:tcPr>
            <w:tcW w:w="300" w:type="pct"/>
          </w:tcPr>
          <w:p w14:paraId="5C5A4982" w14:textId="77777777" w:rsidR="000110FD" w:rsidRPr="00917C96" w:rsidRDefault="000110FD" w:rsidP="00E45161">
            <w:pPr>
              <w:pStyle w:val="TableText"/>
              <w:widowControl w:val="0"/>
              <w:suppressAutoHyphens w:val="0"/>
              <w:spacing w:before="0" w:after="0" w:line="240" w:lineRule="auto"/>
              <w:jc w:val="right"/>
            </w:pPr>
            <w:r>
              <w:t>7.0</w:t>
            </w:r>
          </w:p>
        </w:tc>
        <w:tc>
          <w:tcPr>
            <w:tcW w:w="301" w:type="pct"/>
            <w:vAlign w:val="center"/>
          </w:tcPr>
          <w:p w14:paraId="0EC2FAE3"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0.24</w:t>
            </w:r>
          </w:p>
        </w:tc>
        <w:tc>
          <w:tcPr>
            <w:tcW w:w="321" w:type="pct"/>
            <w:vAlign w:val="center"/>
          </w:tcPr>
          <w:p w14:paraId="691F9733"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584</w:t>
            </w:r>
          </w:p>
        </w:tc>
      </w:tr>
      <w:tr w:rsidR="000110FD" w14:paraId="5327ACC8" w14:textId="77777777" w:rsidTr="000110FD">
        <w:trPr>
          <w:cantSplit/>
          <w:trHeight w:val="13"/>
        </w:trPr>
        <w:tc>
          <w:tcPr>
            <w:tcW w:w="492" w:type="pct"/>
            <w:vMerge/>
          </w:tcPr>
          <w:p w14:paraId="06ECFEBF"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CF5A95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76E8B82"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36EABB57"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621CC86" w14:textId="77777777" w:rsidR="000110FD" w:rsidRDefault="000110FD" w:rsidP="00E45161">
            <w:pPr>
              <w:pStyle w:val="TableText"/>
              <w:widowControl w:val="0"/>
              <w:suppressAutoHyphens w:val="0"/>
              <w:spacing w:before="0" w:after="0" w:line="240" w:lineRule="auto"/>
              <w:jc w:val="right"/>
              <w:rPr>
                <w:szCs w:val="17"/>
              </w:rPr>
            </w:pPr>
            <w:r>
              <w:rPr>
                <w:szCs w:val="17"/>
              </w:rPr>
              <w:t>10.9</w:t>
            </w:r>
          </w:p>
        </w:tc>
        <w:tc>
          <w:tcPr>
            <w:tcW w:w="293" w:type="pct"/>
          </w:tcPr>
          <w:p w14:paraId="39B01B4E" w14:textId="77777777" w:rsidR="000110FD" w:rsidRDefault="000110FD" w:rsidP="00E45161">
            <w:pPr>
              <w:pStyle w:val="TableText"/>
              <w:widowControl w:val="0"/>
              <w:suppressAutoHyphens w:val="0"/>
              <w:spacing w:before="0" w:after="0" w:line="240" w:lineRule="auto"/>
              <w:jc w:val="right"/>
              <w:rPr>
                <w:szCs w:val="17"/>
              </w:rPr>
            </w:pPr>
            <w:r>
              <w:rPr>
                <w:szCs w:val="17"/>
              </w:rPr>
              <w:t>112</w:t>
            </w:r>
          </w:p>
        </w:tc>
        <w:tc>
          <w:tcPr>
            <w:tcW w:w="299" w:type="pct"/>
          </w:tcPr>
          <w:p w14:paraId="3414450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8A8A7D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493A859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524DAEF"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1.2</w:t>
            </w:r>
          </w:p>
        </w:tc>
        <w:tc>
          <w:tcPr>
            <w:tcW w:w="300" w:type="pct"/>
          </w:tcPr>
          <w:p w14:paraId="51EFE92D" w14:textId="77777777" w:rsidR="000110FD" w:rsidRDefault="000110FD" w:rsidP="00E45161">
            <w:pPr>
              <w:pStyle w:val="TableText"/>
              <w:widowControl w:val="0"/>
              <w:suppressAutoHyphens w:val="0"/>
              <w:spacing w:before="0" w:after="0" w:line="240" w:lineRule="auto"/>
              <w:jc w:val="right"/>
            </w:pPr>
            <w:r>
              <w:t>7.0</w:t>
            </w:r>
          </w:p>
        </w:tc>
        <w:tc>
          <w:tcPr>
            <w:tcW w:w="301" w:type="pct"/>
            <w:vAlign w:val="center"/>
          </w:tcPr>
          <w:p w14:paraId="7BD141D4"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0.17</w:t>
            </w:r>
          </w:p>
        </w:tc>
        <w:tc>
          <w:tcPr>
            <w:tcW w:w="321" w:type="pct"/>
            <w:vAlign w:val="center"/>
          </w:tcPr>
          <w:p w14:paraId="25D76418"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1DF285C1" w14:textId="77777777" w:rsidTr="000110FD">
        <w:trPr>
          <w:cantSplit/>
          <w:trHeight w:val="13"/>
        </w:trPr>
        <w:tc>
          <w:tcPr>
            <w:tcW w:w="492" w:type="pct"/>
            <w:vMerge/>
          </w:tcPr>
          <w:p w14:paraId="341C5A1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EB9BBC3"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6650EA3"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DEF8B83"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9C7E3A8" w14:textId="77777777" w:rsidR="000110FD" w:rsidRPr="002C4E1B" w:rsidRDefault="000110FD" w:rsidP="00E45161">
            <w:pPr>
              <w:pStyle w:val="TableText"/>
              <w:widowControl w:val="0"/>
              <w:suppressAutoHyphens w:val="0"/>
              <w:spacing w:before="0" w:after="0" w:line="240" w:lineRule="auto"/>
              <w:jc w:val="right"/>
              <w:rPr>
                <w:szCs w:val="17"/>
              </w:rPr>
            </w:pPr>
            <w:r w:rsidRPr="007F47B6">
              <w:rPr>
                <w:szCs w:val="17"/>
              </w:rPr>
              <w:t>10.9</w:t>
            </w:r>
          </w:p>
        </w:tc>
        <w:tc>
          <w:tcPr>
            <w:tcW w:w="293" w:type="pct"/>
          </w:tcPr>
          <w:p w14:paraId="547546F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92</w:t>
            </w:r>
          </w:p>
        </w:tc>
        <w:tc>
          <w:tcPr>
            <w:tcW w:w="299" w:type="pct"/>
          </w:tcPr>
          <w:p w14:paraId="322FA47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8C5D21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81A445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2BC214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Pr>
          <w:p w14:paraId="3655AE0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vAlign w:val="center"/>
          </w:tcPr>
          <w:p w14:paraId="100251E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0.14</w:t>
            </w:r>
          </w:p>
        </w:tc>
        <w:tc>
          <w:tcPr>
            <w:tcW w:w="321" w:type="pct"/>
            <w:vAlign w:val="center"/>
          </w:tcPr>
          <w:p w14:paraId="440C10E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642</w:t>
            </w:r>
          </w:p>
        </w:tc>
      </w:tr>
      <w:tr w:rsidR="000110FD" w:rsidRPr="002C4E1B" w14:paraId="7551962A" w14:textId="77777777" w:rsidTr="00303DF5">
        <w:trPr>
          <w:cantSplit/>
          <w:trHeight w:val="13"/>
        </w:trPr>
        <w:tc>
          <w:tcPr>
            <w:tcW w:w="5000" w:type="pct"/>
            <w:gridSpan w:val="14"/>
            <w:tcBorders>
              <w:top w:val="single" w:sz="4" w:space="0" w:color="auto"/>
              <w:bottom w:val="single" w:sz="4" w:space="0" w:color="auto"/>
            </w:tcBorders>
          </w:tcPr>
          <w:p w14:paraId="7C020A49" w14:textId="77777777" w:rsidR="000110FD" w:rsidRPr="002C4E1B" w:rsidRDefault="000110FD" w:rsidP="00E45161">
            <w:pPr>
              <w:pStyle w:val="TableSubHead0"/>
            </w:pPr>
            <w:r>
              <w:t>General weed control in cereals (pre-harvest)</w:t>
            </w:r>
          </w:p>
        </w:tc>
      </w:tr>
      <w:tr w:rsidR="000110FD" w:rsidRPr="002C4E1B" w14:paraId="2352FCC3" w14:textId="77777777" w:rsidTr="000110FD">
        <w:trPr>
          <w:cantSplit/>
          <w:trHeight w:val="13"/>
        </w:trPr>
        <w:tc>
          <w:tcPr>
            <w:tcW w:w="492" w:type="pct"/>
            <w:vMerge w:val="restart"/>
            <w:tcBorders>
              <w:top w:val="single" w:sz="4" w:space="0" w:color="auto"/>
            </w:tcBorders>
          </w:tcPr>
          <w:p w14:paraId="55FACF01"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Cereals</w:t>
            </w:r>
          </w:p>
        </w:tc>
        <w:tc>
          <w:tcPr>
            <w:tcW w:w="518" w:type="pct"/>
            <w:vMerge w:val="restart"/>
            <w:tcBorders>
              <w:top w:val="single" w:sz="4" w:space="0" w:color="auto"/>
            </w:tcBorders>
          </w:tcPr>
          <w:p w14:paraId="11E43C0C"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7BE0544C" w14:textId="77777777" w:rsidR="000110FD" w:rsidRPr="002C4E1B" w:rsidRDefault="000110FD" w:rsidP="00303DF5">
            <w:pPr>
              <w:pStyle w:val="TableText"/>
              <w:widowControl w:val="0"/>
              <w:suppressAutoHyphens w:val="0"/>
              <w:spacing w:before="0" w:after="0" w:line="240" w:lineRule="auto"/>
              <w:rPr>
                <w:szCs w:val="17"/>
              </w:rPr>
            </w:pPr>
            <w:r>
              <w:rPr>
                <w:szCs w:val="17"/>
              </w:rPr>
              <w:t>BBCH 71-89</w:t>
            </w:r>
          </w:p>
        </w:tc>
        <w:tc>
          <w:tcPr>
            <w:tcW w:w="486" w:type="pct"/>
            <w:vMerge w:val="restart"/>
            <w:tcBorders>
              <w:top w:val="single" w:sz="4" w:space="0" w:color="auto"/>
            </w:tcBorders>
          </w:tcPr>
          <w:p w14:paraId="680EF3CC" w14:textId="77777777" w:rsidR="000110FD" w:rsidRPr="002C4E1B" w:rsidRDefault="000110FD" w:rsidP="00303DF5">
            <w:pPr>
              <w:pStyle w:val="TableText"/>
              <w:widowControl w:val="0"/>
              <w:suppressAutoHyphens w:val="0"/>
              <w:spacing w:before="0" w:after="0" w:line="240" w:lineRule="auto"/>
              <w:jc w:val="center"/>
              <w:rPr>
                <w:szCs w:val="17"/>
              </w:rPr>
            </w:pPr>
            <w:r w:rsidRPr="002C4E1B">
              <w:rPr>
                <w:szCs w:val="17"/>
              </w:rPr>
              <w:t>Acute</w:t>
            </w:r>
          </w:p>
        </w:tc>
        <w:tc>
          <w:tcPr>
            <w:tcW w:w="537" w:type="pct"/>
            <w:tcBorders>
              <w:top w:val="single" w:sz="4" w:space="0" w:color="auto"/>
            </w:tcBorders>
          </w:tcPr>
          <w:p w14:paraId="20ABD39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57.6</w:t>
            </w:r>
          </w:p>
        </w:tc>
        <w:tc>
          <w:tcPr>
            <w:tcW w:w="293" w:type="pct"/>
            <w:tcBorders>
              <w:top w:val="single" w:sz="4" w:space="0" w:color="auto"/>
            </w:tcBorders>
          </w:tcPr>
          <w:p w14:paraId="7AE22D8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51FACCF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D972AD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4B52D8D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44557112" w14:textId="77777777" w:rsidR="000110FD" w:rsidRPr="002C4E1B" w:rsidRDefault="000110FD" w:rsidP="00E45161">
            <w:pPr>
              <w:pStyle w:val="TableText"/>
              <w:widowControl w:val="0"/>
              <w:suppressAutoHyphens w:val="0"/>
              <w:spacing w:before="0" w:after="0" w:line="240" w:lineRule="auto"/>
              <w:jc w:val="right"/>
            </w:pPr>
            <w:r>
              <w:rPr>
                <w:color w:val="1A1B1A"/>
                <w:szCs w:val="17"/>
              </w:rPr>
              <w:t>35</w:t>
            </w:r>
          </w:p>
        </w:tc>
        <w:tc>
          <w:tcPr>
            <w:tcW w:w="300" w:type="pct"/>
            <w:tcBorders>
              <w:top w:val="single" w:sz="4" w:space="0" w:color="auto"/>
            </w:tcBorders>
          </w:tcPr>
          <w:p w14:paraId="1CDF8586" w14:textId="77777777" w:rsidR="000110FD" w:rsidRPr="002C4E1B" w:rsidRDefault="000110FD" w:rsidP="00E45161">
            <w:pPr>
              <w:pStyle w:val="TableText"/>
              <w:widowControl w:val="0"/>
              <w:suppressAutoHyphens w:val="0"/>
              <w:spacing w:before="0" w:after="0" w:line="240" w:lineRule="auto"/>
              <w:jc w:val="right"/>
            </w:pPr>
            <w:r w:rsidRPr="006D19E1">
              <w:t>7.0</w:t>
            </w:r>
          </w:p>
        </w:tc>
        <w:tc>
          <w:tcPr>
            <w:tcW w:w="301" w:type="pct"/>
            <w:tcBorders>
              <w:top w:val="single" w:sz="4" w:space="0" w:color="auto"/>
            </w:tcBorders>
            <w:shd w:val="clear" w:color="auto" w:fill="FF0000"/>
          </w:tcPr>
          <w:p w14:paraId="4612322E" w14:textId="77777777" w:rsidR="000110FD" w:rsidRPr="002C4E1B" w:rsidRDefault="000110FD" w:rsidP="00E45161">
            <w:pPr>
              <w:pStyle w:val="TableText"/>
              <w:widowControl w:val="0"/>
              <w:suppressAutoHyphens w:val="0"/>
              <w:spacing w:before="0" w:after="0" w:line="240" w:lineRule="auto"/>
              <w:jc w:val="right"/>
            </w:pPr>
            <w:r>
              <w:rPr>
                <w:b/>
                <w:bCs/>
                <w:color w:val="1A1B1A"/>
                <w:szCs w:val="17"/>
              </w:rPr>
              <w:t>4.9</w:t>
            </w:r>
          </w:p>
        </w:tc>
        <w:tc>
          <w:tcPr>
            <w:tcW w:w="321" w:type="pct"/>
            <w:tcBorders>
              <w:top w:val="single" w:sz="4" w:space="0" w:color="auto"/>
            </w:tcBorders>
          </w:tcPr>
          <w:p w14:paraId="431BFA02" w14:textId="77777777" w:rsidR="000110FD" w:rsidRPr="002C4E1B" w:rsidRDefault="000110FD" w:rsidP="00E45161">
            <w:pPr>
              <w:pStyle w:val="TableText"/>
              <w:widowControl w:val="0"/>
              <w:suppressAutoHyphens w:val="0"/>
              <w:spacing w:before="0" w:after="0" w:line="240" w:lineRule="auto"/>
              <w:jc w:val="right"/>
            </w:pPr>
            <w:r>
              <w:rPr>
                <w:color w:val="1A1B1A"/>
                <w:szCs w:val="17"/>
              </w:rPr>
              <w:t>122</w:t>
            </w:r>
          </w:p>
        </w:tc>
      </w:tr>
      <w:tr w:rsidR="000110FD" w:rsidRPr="002C4E1B" w14:paraId="5770C452" w14:textId="77777777" w:rsidTr="000110FD">
        <w:trPr>
          <w:cantSplit/>
          <w:trHeight w:val="13"/>
        </w:trPr>
        <w:tc>
          <w:tcPr>
            <w:tcW w:w="492" w:type="pct"/>
            <w:vMerge/>
          </w:tcPr>
          <w:p w14:paraId="41B79D1B"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C12ED9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D31E9CA"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3EE2B0BE"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19A3320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57.6</w:t>
            </w:r>
          </w:p>
        </w:tc>
        <w:tc>
          <w:tcPr>
            <w:tcW w:w="293" w:type="pct"/>
            <w:tcBorders>
              <w:bottom w:val="single" w:sz="4" w:space="0" w:color="auto"/>
            </w:tcBorders>
          </w:tcPr>
          <w:p w14:paraId="24C2270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400</w:t>
            </w:r>
          </w:p>
        </w:tc>
        <w:tc>
          <w:tcPr>
            <w:tcW w:w="299" w:type="pct"/>
            <w:tcBorders>
              <w:bottom w:val="single" w:sz="4" w:space="0" w:color="auto"/>
            </w:tcBorders>
          </w:tcPr>
          <w:p w14:paraId="476123F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74AEB44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6D47861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6BF059C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w:t>
            </w:r>
          </w:p>
        </w:tc>
        <w:tc>
          <w:tcPr>
            <w:tcW w:w="300" w:type="pct"/>
            <w:tcBorders>
              <w:bottom w:val="single" w:sz="4" w:space="0" w:color="auto"/>
            </w:tcBorders>
          </w:tcPr>
          <w:p w14:paraId="7EB1FCE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D19E1">
              <w:t>7.0</w:t>
            </w:r>
          </w:p>
        </w:tc>
        <w:tc>
          <w:tcPr>
            <w:tcW w:w="301" w:type="pct"/>
            <w:tcBorders>
              <w:bottom w:val="single" w:sz="4" w:space="0" w:color="auto"/>
            </w:tcBorders>
            <w:shd w:val="clear" w:color="auto" w:fill="FF0000"/>
          </w:tcPr>
          <w:p w14:paraId="0D3F949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3.3</w:t>
            </w:r>
          </w:p>
        </w:tc>
        <w:tc>
          <w:tcPr>
            <w:tcW w:w="321" w:type="pct"/>
            <w:tcBorders>
              <w:bottom w:val="single" w:sz="4" w:space="0" w:color="auto"/>
            </w:tcBorders>
          </w:tcPr>
          <w:p w14:paraId="5B333B2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122</w:t>
            </w:r>
          </w:p>
        </w:tc>
      </w:tr>
      <w:tr w:rsidR="000110FD" w:rsidRPr="002C4E1B" w14:paraId="0B660E48" w14:textId="77777777" w:rsidTr="000110FD">
        <w:trPr>
          <w:cantSplit/>
          <w:trHeight w:val="13"/>
        </w:trPr>
        <w:tc>
          <w:tcPr>
            <w:tcW w:w="492" w:type="pct"/>
            <w:vMerge/>
          </w:tcPr>
          <w:p w14:paraId="1C285B61"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534646B1" w14:textId="77777777" w:rsidR="000110FD" w:rsidRPr="002C4E1B" w:rsidRDefault="000110FD" w:rsidP="00303DF5">
            <w:pPr>
              <w:pStyle w:val="TableText"/>
              <w:widowControl w:val="0"/>
              <w:suppressAutoHyphens w:val="0"/>
              <w:spacing w:before="0" w:after="0" w:line="240" w:lineRule="auto"/>
              <w:rPr>
                <w:szCs w:val="17"/>
              </w:rPr>
            </w:pPr>
            <w:r>
              <w:rPr>
                <w:szCs w:val="17"/>
              </w:rPr>
              <w:t>Small granivore/ insectivore</w:t>
            </w:r>
          </w:p>
        </w:tc>
        <w:tc>
          <w:tcPr>
            <w:tcW w:w="559" w:type="pct"/>
            <w:gridSpan w:val="2"/>
            <w:vMerge w:val="restart"/>
            <w:tcBorders>
              <w:top w:val="single" w:sz="4" w:space="0" w:color="auto"/>
            </w:tcBorders>
          </w:tcPr>
          <w:p w14:paraId="4A12E5D1" w14:textId="77777777" w:rsidR="000110FD" w:rsidRPr="002C4E1B" w:rsidRDefault="000110FD" w:rsidP="00303DF5">
            <w:pPr>
              <w:pStyle w:val="TableText"/>
              <w:widowControl w:val="0"/>
              <w:suppressAutoHyphens w:val="0"/>
              <w:spacing w:before="0" w:after="0" w:line="240" w:lineRule="auto"/>
              <w:rPr>
                <w:szCs w:val="17"/>
              </w:rPr>
            </w:pPr>
            <w:r>
              <w:rPr>
                <w:szCs w:val="17"/>
              </w:rPr>
              <w:t>Late season</w:t>
            </w:r>
          </w:p>
        </w:tc>
        <w:tc>
          <w:tcPr>
            <w:tcW w:w="486" w:type="pct"/>
            <w:vMerge w:val="restart"/>
            <w:tcBorders>
              <w:top w:val="single" w:sz="4" w:space="0" w:color="auto"/>
            </w:tcBorders>
          </w:tcPr>
          <w:p w14:paraId="520763E2"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008FB09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27.0</w:t>
            </w:r>
          </w:p>
        </w:tc>
        <w:tc>
          <w:tcPr>
            <w:tcW w:w="293" w:type="pct"/>
            <w:tcBorders>
              <w:top w:val="single" w:sz="4" w:space="0" w:color="auto"/>
            </w:tcBorders>
          </w:tcPr>
          <w:p w14:paraId="2376626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0FA8EEB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ED9DE4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6730D6B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7AA245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w:t>
            </w:r>
          </w:p>
        </w:tc>
        <w:tc>
          <w:tcPr>
            <w:tcW w:w="300" w:type="pct"/>
            <w:tcBorders>
              <w:top w:val="single" w:sz="4" w:space="0" w:color="auto"/>
            </w:tcBorders>
          </w:tcPr>
          <w:p w14:paraId="353FF83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D19E1">
              <w:t>7.0</w:t>
            </w:r>
          </w:p>
        </w:tc>
        <w:tc>
          <w:tcPr>
            <w:tcW w:w="301" w:type="pct"/>
            <w:tcBorders>
              <w:top w:val="single" w:sz="4" w:space="0" w:color="auto"/>
            </w:tcBorders>
            <w:shd w:val="clear" w:color="auto" w:fill="FF0000"/>
          </w:tcPr>
          <w:p w14:paraId="72231A9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2.3</w:t>
            </w:r>
          </w:p>
        </w:tc>
        <w:tc>
          <w:tcPr>
            <w:tcW w:w="321" w:type="pct"/>
            <w:tcBorders>
              <w:top w:val="single" w:sz="4" w:space="0" w:color="auto"/>
            </w:tcBorders>
          </w:tcPr>
          <w:p w14:paraId="47BF27C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259</w:t>
            </w:r>
          </w:p>
        </w:tc>
      </w:tr>
      <w:tr w:rsidR="000110FD" w:rsidRPr="002C4E1B" w14:paraId="77A77C71" w14:textId="77777777" w:rsidTr="000110FD">
        <w:trPr>
          <w:cantSplit/>
          <w:trHeight w:val="13"/>
        </w:trPr>
        <w:tc>
          <w:tcPr>
            <w:tcW w:w="492" w:type="pct"/>
            <w:vMerge/>
          </w:tcPr>
          <w:p w14:paraId="653EA5D6"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2F6D001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3A99481"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BB2CF0A"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35BD729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27.0</w:t>
            </w:r>
          </w:p>
        </w:tc>
        <w:tc>
          <w:tcPr>
            <w:tcW w:w="293" w:type="pct"/>
            <w:tcBorders>
              <w:bottom w:val="single" w:sz="4" w:space="0" w:color="auto"/>
            </w:tcBorders>
          </w:tcPr>
          <w:p w14:paraId="3FE31C3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400</w:t>
            </w:r>
          </w:p>
        </w:tc>
        <w:tc>
          <w:tcPr>
            <w:tcW w:w="299" w:type="pct"/>
            <w:tcBorders>
              <w:bottom w:val="single" w:sz="4" w:space="0" w:color="auto"/>
            </w:tcBorders>
          </w:tcPr>
          <w:p w14:paraId="06BF789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7A826C0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78766E2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726DB27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11</w:t>
            </w:r>
          </w:p>
        </w:tc>
        <w:tc>
          <w:tcPr>
            <w:tcW w:w="300" w:type="pct"/>
            <w:tcBorders>
              <w:bottom w:val="single" w:sz="4" w:space="0" w:color="auto"/>
            </w:tcBorders>
          </w:tcPr>
          <w:p w14:paraId="7563DA9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D19E1">
              <w:t>7.0</w:t>
            </w:r>
          </w:p>
        </w:tc>
        <w:tc>
          <w:tcPr>
            <w:tcW w:w="301" w:type="pct"/>
            <w:tcBorders>
              <w:bottom w:val="single" w:sz="4" w:space="0" w:color="auto"/>
            </w:tcBorders>
            <w:shd w:val="clear" w:color="auto" w:fill="FF0000"/>
          </w:tcPr>
          <w:p w14:paraId="12C5B39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1.5</w:t>
            </w:r>
          </w:p>
        </w:tc>
        <w:tc>
          <w:tcPr>
            <w:tcW w:w="321" w:type="pct"/>
            <w:tcBorders>
              <w:bottom w:val="single" w:sz="4" w:space="0" w:color="auto"/>
            </w:tcBorders>
          </w:tcPr>
          <w:p w14:paraId="45876E8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259</w:t>
            </w:r>
          </w:p>
        </w:tc>
      </w:tr>
      <w:tr w:rsidR="000110FD" w:rsidRPr="002C4E1B" w14:paraId="1DB23C3F" w14:textId="77777777" w:rsidTr="000110FD">
        <w:trPr>
          <w:cantSplit/>
          <w:trHeight w:val="13"/>
        </w:trPr>
        <w:tc>
          <w:tcPr>
            <w:tcW w:w="492" w:type="pct"/>
            <w:vMerge/>
          </w:tcPr>
          <w:p w14:paraId="6F5DE79F"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008BA03F"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078F5081" w14:textId="77777777" w:rsidR="000110FD" w:rsidRPr="002C4E1B" w:rsidRDefault="000110FD" w:rsidP="00303DF5">
            <w:pPr>
              <w:pStyle w:val="TableText"/>
              <w:widowControl w:val="0"/>
              <w:suppressAutoHyphens w:val="0"/>
              <w:spacing w:before="0" w:after="0" w:line="240" w:lineRule="auto"/>
              <w:rPr>
                <w:szCs w:val="17"/>
              </w:rPr>
            </w:pPr>
            <w:r>
              <w:rPr>
                <w:szCs w:val="17"/>
              </w:rPr>
              <w:t>BBCH 71-89</w:t>
            </w:r>
          </w:p>
        </w:tc>
        <w:tc>
          <w:tcPr>
            <w:tcW w:w="486" w:type="pct"/>
            <w:vMerge w:val="restart"/>
            <w:tcBorders>
              <w:top w:val="single" w:sz="4" w:space="0" w:color="auto"/>
            </w:tcBorders>
          </w:tcPr>
          <w:p w14:paraId="20102082"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Chronic</w:t>
            </w:r>
          </w:p>
        </w:tc>
        <w:tc>
          <w:tcPr>
            <w:tcW w:w="537" w:type="pct"/>
            <w:tcBorders>
              <w:top w:val="single" w:sz="4" w:space="0" w:color="auto"/>
            </w:tcBorders>
          </w:tcPr>
          <w:p w14:paraId="25BBF0A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22.4</w:t>
            </w:r>
          </w:p>
        </w:tc>
        <w:tc>
          <w:tcPr>
            <w:tcW w:w="293" w:type="pct"/>
            <w:tcBorders>
              <w:top w:val="single" w:sz="4" w:space="0" w:color="auto"/>
            </w:tcBorders>
          </w:tcPr>
          <w:p w14:paraId="360D366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33ED519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260F91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0.5</w:t>
            </w:r>
          </w:p>
        </w:tc>
        <w:tc>
          <w:tcPr>
            <w:tcW w:w="299" w:type="pct"/>
            <w:tcBorders>
              <w:top w:val="single" w:sz="4" w:space="0" w:color="auto"/>
            </w:tcBorders>
            <w:shd w:val="clear" w:color="auto" w:fill="D5D7D5" w:themeFill="text1" w:themeFillTint="33"/>
          </w:tcPr>
          <w:p w14:paraId="4D41716D" w14:textId="77777777" w:rsidR="000110FD" w:rsidRPr="002C4E1B" w:rsidRDefault="000110FD" w:rsidP="00E45161">
            <w:pPr>
              <w:pStyle w:val="TableText"/>
              <w:widowControl w:val="0"/>
              <w:suppressAutoHyphens w:val="0"/>
              <w:spacing w:before="0" w:after="0" w:line="240" w:lineRule="auto"/>
              <w:jc w:val="right"/>
              <w:rPr>
                <w:szCs w:val="17"/>
              </w:rPr>
            </w:pPr>
            <w:r w:rsidRPr="006D60DD">
              <w:rPr>
                <w:szCs w:val="17"/>
              </w:rPr>
              <w:t>0.15</w:t>
            </w:r>
            <w:r w:rsidRPr="006D60DD">
              <w:rPr>
                <w:szCs w:val="17"/>
                <w:vertAlign w:val="superscript"/>
              </w:rPr>
              <w:t>a</w:t>
            </w:r>
          </w:p>
        </w:tc>
        <w:tc>
          <w:tcPr>
            <w:tcW w:w="298" w:type="pct"/>
            <w:tcBorders>
              <w:top w:val="single" w:sz="4" w:space="0" w:color="auto"/>
            </w:tcBorders>
          </w:tcPr>
          <w:p w14:paraId="62A93CA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Borders>
              <w:top w:val="single" w:sz="4" w:space="0" w:color="auto"/>
            </w:tcBorders>
          </w:tcPr>
          <w:p w14:paraId="118905F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3.2</w:t>
            </w:r>
          </w:p>
        </w:tc>
        <w:tc>
          <w:tcPr>
            <w:tcW w:w="301" w:type="pct"/>
            <w:tcBorders>
              <w:top w:val="single" w:sz="4" w:space="0" w:color="auto"/>
            </w:tcBorders>
          </w:tcPr>
          <w:p w14:paraId="50B6EE7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0.32</w:t>
            </w:r>
          </w:p>
        </w:tc>
        <w:tc>
          <w:tcPr>
            <w:tcW w:w="321" w:type="pct"/>
            <w:tcBorders>
              <w:top w:val="single" w:sz="4" w:space="0" w:color="auto"/>
            </w:tcBorders>
          </w:tcPr>
          <w:p w14:paraId="14E7DA6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1905</w:t>
            </w:r>
          </w:p>
        </w:tc>
      </w:tr>
      <w:tr w:rsidR="000110FD" w:rsidRPr="002C4E1B" w14:paraId="35AFC127" w14:textId="77777777" w:rsidTr="000110FD">
        <w:trPr>
          <w:cantSplit/>
          <w:trHeight w:val="13"/>
        </w:trPr>
        <w:tc>
          <w:tcPr>
            <w:tcW w:w="492" w:type="pct"/>
            <w:vMerge/>
          </w:tcPr>
          <w:p w14:paraId="59BDF16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6E32FA5"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4A7B95D"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17EF842"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F06BCC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22.4</w:t>
            </w:r>
          </w:p>
        </w:tc>
        <w:tc>
          <w:tcPr>
            <w:tcW w:w="293" w:type="pct"/>
          </w:tcPr>
          <w:p w14:paraId="60856FC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400</w:t>
            </w:r>
          </w:p>
        </w:tc>
        <w:tc>
          <w:tcPr>
            <w:tcW w:w="299" w:type="pct"/>
          </w:tcPr>
          <w:p w14:paraId="7A1E937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20D0CF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0.5</w:t>
            </w:r>
          </w:p>
        </w:tc>
        <w:tc>
          <w:tcPr>
            <w:tcW w:w="299" w:type="pct"/>
            <w:shd w:val="clear" w:color="auto" w:fill="D5D7D5" w:themeFill="text1" w:themeFillTint="33"/>
          </w:tcPr>
          <w:p w14:paraId="49B6F83B" w14:textId="77777777" w:rsidR="000110FD" w:rsidRPr="002C4E1B" w:rsidRDefault="000110FD" w:rsidP="00E45161">
            <w:pPr>
              <w:pStyle w:val="TableText"/>
              <w:widowControl w:val="0"/>
              <w:suppressAutoHyphens w:val="0"/>
              <w:spacing w:before="0" w:after="0" w:line="240" w:lineRule="auto"/>
              <w:jc w:val="right"/>
              <w:rPr>
                <w:szCs w:val="17"/>
              </w:rPr>
            </w:pPr>
            <w:r w:rsidRPr="006D60DD">
              <w:rPr>
                <w:szCs w:val="17"/>
              </w:rPr>
              <w:t>0.15</w:t>
            </w:r>
            <w:r w:rsidRPr="006D60DD">
              <w:rPr>
                <w:szCs w:val="17"/>
                <w:vertAlign w:val="superscript"/>
              </w:rPr>
              <w:t>a</w:t>
            </w:r>
          </w:p>
        </w:tc>
        <w:tc>
          <w:tcPr>
            <w:tcW w:w="298" w:type="pct"/>
          </w:tcPr>
          <w:p w14:paraId="0B5DD87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w:t>
            </w:r>
          </w:p>
        </w:tc>
        <w:tc>
          <w:tcPr>
            <w:tcW w:w="300" w:type="pct"/>
          </w:tcPr>
          <w:p w14:paraId="2A46F0D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3.2</w:t>
            </w:r>
          </w:p>
        </w:tc>
        <w:tc>
          <w:tcPr>
            <w:tcW w:w="301" w:type="pct"/>
          </w:tcPr>
          <w:p w14:paraId="7E92B2E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0.21</w:t>
            </w:r>
          </w:p>
        </w:tc>
        <w:tc>
          <w:tcPr>
            <w:tcW w:w="321" w:type="pct"/>
          </w:tcPr>
          <w:p w14:paraId="5CE76F9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1905</w:t>
            </w:r>
          </w:p>
        </w:tc>
      </w:tr>
      <w:tr w:rsidR="000110FD" w:rsidRPr="002C4E1B" w14:paraId="1D85FF7F" w14:textId="77777777" w:rsidTr="00303DF5">
        <w:trPr>
          <w:cantSplit/>
          <w:trHeight w:val="13"/>
        </w:trPr>
        <w:tc>
          <w:tcPr>
            <w:tcW w:w="5000" w:type="pct"/>
            <w:gridSpan w:val="14"/>
            <w:tcBorders>
              <w:top w:val="single" w:sz="4" w:space="0" w:color="auto"/>
            </w:tcBorders>
          </w:tcPr>
          <w:p w14:paraId="3291C6D7" w14:textId="77777777" w:rsidR="000110FD" w:rsidRPr="002C4E1B" w:rsidRDefault="000110FD" w:rsidP="00E45161">
            <w:pPr>
              <w:pStyle w:val="TableSubHead0"/>
              <w:rPr>
                <w:color w:val="1A1B1A"/>
              </w:rPr>
            </w:pPr>
            <w:r w:rsidRPr="00B5044A">
              <w:t>Pre-harvest desiccation in cereals</w:t>
            </w:r>
            <w:r>
              <w:t xml:space="preserve"> and</w:t>
            </w:r>
            <w:r w:rsidRPr="00B5044A">
              <w:t xml:space="preserve"> rice</w:t>
            </w:r>
          </w:p>
        </w:tc>
      </w:tr>
      <w:tr w:rsidR="000110FD" w:rsidRPr="002C4E1B" w14:paraId="339411A5" w14:textId="77777777" w:rsidTr="000110FD">
        <w:trPr>
          <w:cantSplit/>
          <w:trHeight w:val="13"/>
        </w:trPr>
        <w:tc>
          <w:tcPr>
            <w:tcW w:w="492" w:type="pct"/>
            <w:vMerge w:val="restart"/>
            <w:tcBorders>
              <w:top w:val="single" w:sz="4" w:space="0" w:color="auto"/>
            </w:tcBorders>
          </w:tcPr>
          <w:p w14:paraId="38A7795D" w14:textId="77777777" w:rsidR="000110FD" w:rsidRPr="002C4E1B" w:rsidRDefault="000110FD" w:rsidP="00303DF5">
            <w:pPr>
              <w:pStyle w:val="TableText"/>
              <w:widowControl w:val="0"/>
              <w:suppressAutoHyphens w:val="0"/>
              <w:spacing w:before="0" w:after="0" w:line="240" w:lineRule="auto"/>
              <w:rPr>
                <w:szCs w:val="17"/>
              </w:rPr>
            </w:pPr>
            <w:r w:rsidRPr="002C4E1B">
              <w:rPr>
                <w:szCs w:val="17"/>
              </w:rPr>
              <w:t>Cereals</w:t>
            </w:r>
          </w:p>
        </w:tc>
        <w:tc>
          <w:tcPr>
            <w:tcW w:w="518" w:type="pct"/>
            <w:tcBorders>
              <w:top w:val="single" w:sz="4" w:space="0" w:color="auto"/>
            </w:tcBorders>
          </w:tcPr>
          <w:p w14:paraId="0BE7B08B"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tcBorders>
              <w:top w:val="single" w:sz="4" w:space="0" w:color="auto"/>
            </w:tcBorders>
          </w:tcPr>
          <w:p w14:paraId="526C6A1C" w14:textId="77777777" w:rsidR="000110FD" w:rsidRPr="002C4E1B" w:rsidRDefault="000110FD" w:rsidP="00303DF5">
            <w:pPr>
              <w:pStyle w:val="TableText"/>
              <w:widowControl w:val="0"/>
              <w:suppressAutoHyphens w:val="0"/>
              <w:spacing w:before="0" w:after="0" w:line="240" w:lineRule="auto"/>
              <w:rPr>
                <w:szCs w:val="17"/>
              </w:rPr>
            </w:pPr>
            <w:r>
              <w:rPr>
                <w:szCs w:val="17"/>
              </w:rPr>
              <w:t>BBCH 71-89</w:t>
            </w:r>
          </w:p>
        </w:tc>
        <w:tc>
          <w:tcPr>
            <w:tcW w:w="486" w:type="pct"/>
            <w:tcBorders>
              <w:top w:val="single" w:sz="4" w:space="0" w:color="auto"/>
            </w:tcBorders>
          </w:tcPr>
          <w:p w14:paraId="242F950E" w14:textId="77777777" w:rsidR="000110FD" w:rsidRPr="002C4E1B" w:rsidRDefault="000110FD" w:rsidP="00303DF5">
            <w:pPr>
              <w:pStyle w:val="TableText"/>
              <w:widowControl w:val="0"/>
              <w:suppressAutoHyphens w:val="0"/>
              <w:spacing w:before="0" w:after="0" w:line="240" w:lineRule="auto"/>
              <w:jc w:val="center"/>
              <w:rPr>
                <w:szCs w:val="17"/>
              </w:rPr>
            </w:pPr>
            <w:r w:rsidRPr="002C4E1B">
              <w:rPr>
                <w:szCs w:val="17"/>
              </w:rPr>
              <w:t>Acute</w:t>
            </w:r>
          </w:p>
        </w:tc>
        <w:tc>
          <w:tcPr>
            <w:tcW w:w="537" w:type="pct"/>
            <w:tcBorders>
              <w:top w:val="single" w:sz="4" w:space="0" w:color="auto"/>
            </w:tcBorders>
          </w:tcPr>
          <w:p w14:paraId="50760E9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57.6</w:t>
            </w:r>
          </w:p>
        </w:tc>
        <w:tc>
          <w:tcPr>
            <w:tcW w:w="293" w:type="pct"/>
            <w:tcBorders>
              <w:top w:val="single" w:sz="4" w:space="0" w:color="auto"/>
            </w:tcBorders>
          </w:tcPr>
          <w:p w14:paraId="5C1B25F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188BCCB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463988D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284332F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507E50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35</w:t>
            </w:r>
          </w:p>
        </w:tc>
        <w:tc>
          <w:tcPr>
            <w:tcW w:w="300" w:type="pct"/>
            <w:tcBorders>
              <w:top w:val="single" w:sz="4" w:space="0" w:color="auto"/>
            </w:tcBorders>
          </w:tcPr>
          <w:p w14:paraId="0AEB3F6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571AAE">
              <w:t>7.0</w:t>
            </w:r>
          </w:p>
        </w:tc>
        <w:tc>
          <w:tcPr>
            <w:tcW w:w="301" w:type="pct"/>
            <w:tcBorders>
              <w:top w:val="single" w:sz="4" w:space="0" w:color="auto"/>
            </w:tcBorders>
            <w:shd w:val="clear" w:color="auto" w:fill="FF0000"/>
          </w:tcPr>
          <w:p w14:paraId="7DECFD4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4.9</w:t>
            </w:r>
          </w:p>
        </w:tc>
        <w:tc>
          <w:tcPr>
            <w:tcW w:w="321" w:type="pct"/>
            <w:tcBorders>
              <w:top w:val="single" w:sz="4" w:space="0" w:color="auto"/>
            </w:tcBorders>
          </w:tcPr>
          <w:p w14:paraId="07BE88D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122</w:t>
            </w:r>
          </w:p>
        </w:tc>
      </w:tr>
      <w:tr w:rsidR="000110FD" w:rsidRPr="002C4E1B" w14:paraId="7DCA2BF9" w14:textId="77777777" w:rsidTr="000110FD">
        <w:trPr>
          <w:cantSplit/>
          <w:trHeight w:val="13"/>
        </w:trPr>
        <w:tc>
          <w:tcPr>
            <w:tcW w:w="492" w:type="pct"/>
            <w:vMerge/>
          </w:tcPr>
          <w:p w14:paraId="5275BE9B" w14:textId="77777777" w:rsidR="000110FD" w:rsidRPr="002C4E1B" w:rsidRDefault="000110FD" w:rsidP="00303DF5">
            <w:pPr>
              <w:pStyle w:val="TableText"/>
              <w:widowControl w:val="0"/>
              <w:suppressAutoHyphens w:val="0"/>
              <w:spacing w:before="0" w:after="0" w:line="240" w:lineRule="auto"/>
              <w:rPr>
                <w:szCs w:val="17"/>
              </w:rPr>
            </w:pPr>
          </w:p>
        </w:tc>
        <w:tc>
          <w:tcPr>
            <w:tcW w:w="518" w:type="pct"/>
            <w:tcBorders>
              <w:top w:val="single" w:sz="4" w:space="0" w:color="auto"/>
            </w:tcBorders>
          </w:tcPr>
          <w:p w14:paraId="0A1E2E15" w14:textId="77777777" w:rsidR="000110FD" w:rsidRPr="002C4E1B" w:rsidRDefault="000110FD" w:rsidP="00303DF5">
            <w:pPr>
              <w:pStyle w:val="TableText"/>
              <w:widowControl w:val="0"/>
              <w:suppressAutoHyphens w:val="0"/>
              <w:spacing w:before="0" w:after="0" w:line="240" w:lineRule="auto"/>
              <w:rPr>
                <w:szCs w:val="17"/>
              </w:rPr>
            </w:pPr>
            <w:r>
              <w:rPr>
                <w:szCs w:val="17"/>
              </w:rPr>
              <w:t>Small granivore/ insectivore</w:t>
            </w:r>
          </w:p>
        </w:tc>
        <w:tc>
          <w:tcPr>
            <w:tcW w:w="559" w:type="pct"/>
            <w:gridSpan w:val="2"/>
            <w:tcBorders>
              <w:top w:val="single" w:sz="4" w:space="0" w:color="auto"/>
            </w:tcBorders>
          </w:tcPr>
          <w:p w14:paraId="42DA9313" w14:textId="77777777" w:rsidR="000110FD" w:rsidRPr="002C4E1B" w:rsidRDefault="000110FD" w:rsidP="00303DF5">
            <w:pPr>
              <w:pStyle w:val="TableText"/>
              <w:widowControl w:val="0"/>
              <w:suppressAutoHyphens w:val="0"/>
              <w:spacing w:before="0" w:after="0" w:line="240" w:lineRule="auto"/>
              <w:rPr>
                <w:szCs w:val="17"/>
              </w:rPr>
            </w:pPr>
            <w:r>
              <w:rPr>
                <w:szCs w:val="17"/>
              </w:rPr>
              <w:t>Late season</w:t>
            </w:r>
          </w:p>
        </w:tc>
        <w:tc>
          <w:tcPr>
            <w:tcW w:w="486" w:type="pct"/>
            <w:tcBorders>
              <w:top w:val="single" w:sz="4" w:space="0" w:color="auto"/>
            </w:tcBorders>
          </w:tcPr>
          <w:p w14:paraId="564929A0"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4FCEC44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27.0</w:t>
            </w:r>
          </w:p>
        </w:tc>
        <w:tc>
          <w:tcPr>
            <w:tcW w:w="293" w:type="pct"/>
            <w:tcBorders>
              <w:top w:val="single" w:sz="4" w:space="0" w:color="auto"/>
            </w:tcBorders>
          </w:tcPr>
          <w:p w14:paraId="4A4CB9E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7C83974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5F501F0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1FC3BA2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2C8EC6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w:t>
            </w:r>
          </w:p>
        </w:tc>
        <w:tc>
          <w:tcPr>
            <w:tcW w:w="300" w:type="pct"/>
            <w:tcBorders>
              <w:top w:val="single" w:sz="4" w:space="0" w:color="auto"/>
            </w:tcBorders>
          </w:tcPr>
          <w:p w14:paraId="61228994"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571AAE">
              <w:t>7.0</w:t>
            </w:r>
          </w:p>
        </w:tc>
        <w:tc>
          <w:tcPr>
            <w:tcW w:w="301" w:type="pct"/>
            <w:tcBorders>
              <w:top w:val="single" w:sz="4" w:space="0" w:color="auto"/>
            </w:tcBorders>
            <w:shd w:val="clear" w:color="auto" w:fill="FF0000"/>
          </w:tcPr>
          <w:p w14:paraId="0504E24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2.3</w:t>
            </w:r>
          </w:p>
        </w:tc>
        <w:tc>
          <w:tcPr>
            <w:tcW w:w="321" w:type="pct"/>
            <w:tcBorders>
              <w:top w:val="single" w:sz="4" w:space="0" w:color="auto"/>
            </w:tcBorders>
          </w:tcPr>
          <w:p w14:paraId="2768E29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259</w:t>
            </w:r>
          </w:p>
        </w:tc>
      </w:tr>
      <w:tr w:rsidR="000110FD" w:rsidRPr="002C4E1B" w14:paraId="197D87F3" w14:textId="77777777" w:rsidTr="000110FD">
        <w:trPr>
          <w:cantSplit/>
          <w:trHeight w:val="13"/>
        </w:trPr>
        <w:tc>
          <w:tcPr>
            <w:tcW w:w="492" w:type="pct"/>
            <w:vMerge/>
          </w:tcPr>
          <w:p w14:paraId="5005DD3A" w14:textId="77777777" w:rsidR="000110FD" w:rsidRPr="002C4E1B" w:rsidRDefault="000110FD" w:rsidP="00303DF5">
            <w:pPr>
              <w:pStyle w:val="TableText"/>
              <w:widowControl w:val="0"/>
              <w:suppressAutoHyphens w:val="0"/>
              <w:spacing w:before="0" w:after="0" w:line="240" w:lineRule="auto"/>
              <w:rPr>
                <w:szCs w:val="17"/>
              </w:rPr>
            </w:pPr>
          </w:p>
        </w:tc>
        <w:tc>
          <w:tcPr>
            <w:tcW w:w="518" w:type="pct"/>
            <w:tcBorders>
              <w:top w:val="single" w:sz="4" w:space="0" w:color="auto"/>
            </w:tcBorders>
          </w:tcPr>
          <w:p w14:paraId="0C04D7F5"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tcBorders>
              <w:top w:val="single" w:sz="4" w:space="0" w:color="auto"/>
            </w:tcBorders>
          </w:tcPr>
          <w:p w14:paraId="30DD9C56" w14:textId="77777777" w:rsidR="000110FD" w:rsidRPr="002C4E1B" w:rsidRDefault="000110FD" w:rsidP="00303DF5">
            <w:pPr>
              <w:pStyle w:val="TableText"/>
              <w:widowControl w:val="0"/>
              <w:suppressAutoHyphens w:val="0"/>
              <w:spacing w:before="0" w:after="0" w:line="240" w:lineRule="auto"/>
              <w:rPr>
                <w:szCs w:val="17"/>
              </w:rPr>
            </w:pPr>
            <w:r>
              <w:rPr>
                <w:szCs w:val="17"/>
              </w:rPr>
              <w:t>BBCH 71-89</w:t>
            </w:r>
          </w:p>
        </w:tc>
        <w:tc>
          <w:tcPr>
            <w:tcW w:w="486" w:type="pct"/>
            <w:tcBorders>
              <w:top w:val="single" w:sz="4" w:space="0" w:color="auto"/>
            </w:tcBorders>
          </w:tcPr>
          <w:p w14:paraId="40C349E9"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Chronic</w:t>
            </w:r>
          </w:p>
        </w:tc>
        <w:tc>
          <w:tcPr>
            <w:tcW w:w="537" w:type="pct"/>
            <w:tcBorders>
              <w:top w:val="single" w:sz="4" w:space="0" w:color="auto"/>
            </w:tcBorders>
          </w:tcPr>
          <w:p w14:paraId="1EF7521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22.4</w:t>
            </w:r>
          </w:p>
        </w:tc>
        <w:tc>
          <w:tcPr>
            <w:tcW w:w="293" w:type="pct"/>
            <w:tcBorders>
              <w:top w:val="single" w:sz="4" w:space="0" w:color="auto"/>
            </w:tcBorders>
          </w:tcPr>
          <w:p w14:paraId="11157CD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00635CA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7EE6925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0.5</w:t>
            </w:r>
          </w:p>
        </w:tc>
        <w:tc>
          <w:tcPr>
            <w:tcW w:w="299" w:type="pct"/>
            <w:tcBorders>
              <w:top w:val="single" w:sz="4" w:space="0" w:color="auto"/>
            </w:tcBorders>
            <w:shd w:val="clear" w:color="auto" w:fill="D5D7D5" w:themeFill="text1" w:themeFillTint="33"/>
          </w:tcPr>
          <w:p w14:paraId="6E88F05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0.15</w:t>
            </w:r>
            <w:r w:rsidRPr="007223DE">
              <w:rPr>
                <w:szCs w:val="17"/>
                <w:vertAlign w:val="superscript"/>
              </w:rPr>
              <w:t>a</w:t>
            </w:r>
          </w:p>
        </w:tc>
        <w:tc>
          <w:tcPr>
            <w:tcW w:w="298" w:type="pct"/>
            <w:tcBorders>
              <w:top w:val="single" w:sz="4" w:space="0" w:color="auto"/>
            </w:tcBorders>
          </w:tcPr>
          <w:p w14:paraId="167A296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Borders>
              <w:top w:val="single" w:sz="4" w:space="0" w:color="auto"/>
            </w:tcBorders>
          </w:tcPr>
          <w:p w14:paraId="67942E5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3.2</w:t>
            </w:r>
          </w:p>
        </w:tc>
        <w:tc>
          <w:tcPr>
            <w:tcW w:w="301" w:type="pct"/>
            <w:tcBorders>
              <w:top w:val="single" w:sz="4" w:space="0" w:color="auto"/>
            </w:tcBorders>
          </w:tcPr>
          <w:p w14:paraId="3AC3719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0.32</w:t>
            </w:r>
          </w:p>
        </w:tc>
        <w:tc>
          <w:tcPr>
            <w:tcW w:w="321" w:type="pct"/>
            <w:tcBorders>
              <w:top w:val="single" w:sz="4" w:space="0" w:color="auto"/>
            </w:tcBorders>
          </w:tcPr>
          <w:p w14:paraId="76EA66F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1905</w:t>
            </w:r>
          </w:p>
        </w:tc>
      </w:tr>
      <w:tr w:rsidR="000110FD" w:rsidRPr="002C4E1B" w14:paraId="2ED14E10" w14:textId="77777777" w:rsidTr="00303DF5">
        <w:trPr>
          <w:cantSplit/>
          <w:trHeight w:val="13"/>
        </w:trPr>
        <w:tc>
          <w:tcPr>
            <w:tcW w:w="5000" w:type="pct"/>
            <w:gridSpan w:val="14"/>
            <w:tcBorders>
              <w:top w:val="single" w:sz="4" w:space="0" w:color="auto"/>
            </w:tcBorders>
          </w:tcPr>
          <w:p w14:paraId="7FD523F4" w14:textId="77777777" w:rsidR="000110FD" w:rsidRPr="002C4E1B" w:rsidRDefault="000110FD" w:rsidP="00E45161">
            <w:pPr>
              <w:pStyle w:val="TableSubHead0"/>
              <w:rPr>
                <w:color w:val="1A1B1A"/>
              </w:rPr>
            </w:pPr>
            <w:r>
              <w:t>General weed control in infested areas, hay freezing, pasture, public service areas, rights of way</w:t>
            </w:r>
          </w:p>
        </w:tc>
      </w:tr>
      <w:tr w:rsidR="000110FD" w:rsidRPr="002C4E1B" w14:paraId="225DEF06" w14:textId="77777777" w:rsidTr="000110FD">
        <w:trPr>
          <w:cantSplit/>
          <w:trHeight w:val="13"/>
        </w:trPr>
        <w:tc>
          <w:tcPr>
            <w:tcW w:w="492" w:type="pct"/>
            <w:vMerge w:val="restart"/>
            <w:tcBorders>
              <w:top w:val="single" w:sz="4" w:space="0" w:color="auto"/>
            </w:tcBorders>
          </w:tcPr>
          <w:p w14:paraId="2EAC908F" w14:textId="77777777" w:rsidR="000110FD" w:rsidRPr="002C4E1B" w:rsidRDefault="000110FD" w:rsidP="00303DF5">
            <w:pPr>
              <w:pStyle w:val="TableText"/>
              <w:widowControl w:val="0"/>
              <w:suppressAutoHyphens w:val="0"/>
              <w:spacing w:before="0" w:after="0" w:line="240" w:lineRule="auto"/>
              <w:rPr>
                <w:szCs w:val="17"/>
              </w:rPr>
            </w:pPr>
            <w:r>
              <w:rPr>
                <w:szCs w:val="17"/>
              </w:rPr>
              <w:t>Grassland</w:t>
            </w:r>
          </w:p>
        </w:tc>
        <w:tc>
          <w:tcPr>
            <w:tcW w:w="518" w:type="pct"/>
            <w:vMerge w:val="restart"/>
            <w:tcBorders>
              <w:top w:val="single" w:sz="4" w:space="0" w:color="auto"/>
            </w:tcBorders>
          </w:tcPr>
          <w:p w14:paraId="2D328223" w14:textId="77777777" w:rsidR="000110FD" w:rsidRPr="002C4E1B" w:rsidRDefault="000110FD" w:rsidP="00303DF5">
            <w:pPr>
              <w:pStyle w:val="TableText"/>
              <w:widowControl w:val="0"/>
              <w:suppressAutoHyphens w:val="0"/>
              <w:spacing w:before="0" w:after="0" w:line="240" w:lineRule="auto"/>
              <w:rPr>
                <w:szCs w:val="17"/>
              </w:rPr>
            </w:pPr>
            <w:r>
              <w:rPr>
                <w:szCs w:val="17"/>
              </w:rPr>
              <w:t xml:space="preserve">Small granivore </w:t>
            </w:r>
          </w:p>
        </w:tc>
        <w:tc>
          <w:tcPr>
            <w:tcW w:w="559" w:type="pct"/>
            <w:gridSpan w:val="2"/>
            <w:vMerge w:val="restart"/>
            <w:tcBorders>
              <w:top w:val="single" w:sz="4" w:space="0" w:color="auto"/>
            </w:tcBorders>
          </w:tcPr>
          <w:p w14:paraId="05B7376F" w14:textId="77777777" w:rsidR="000110FD" w:rsidRPr="002C4E1B" w:rsidRDefault="000110FD" w:rsidP="00303DF5">
            <w:pPr>
              <w:pStyle w:val="TableText"/>
              <w:widowControl w:val="0"/>
              <w:suppressAutoHyphens w:val="0"/>
              <w:spacing w:before="0" w:after="0" w:line="240" w:lineRule="auto"/>
              <w:rPr>
                <w:szCs w:val="17"/>
              </w:rPr>
            </w:pPr>
            <w:r>
              <w:rPr>
                <w:szCs w:val="17"/>
              </w:rPr>
              <w:t xml:space="preserve">Late season </w:t>
            </w:r>
          </w:p>
        </w:tc>
        <w:tc>
          <w:tcPr>
            <w:tcW w:w="486" w:type="pct"/>
            <w:vMerge w:val="restart"/>
            <w:tcBorders>
              <w:top w:val="single" w:sz="4" w:space="0" w:color="auto"/>
            </w:tcBorders>
          </w:tcPr>
          <w:p w14:paraId="60D65212"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191777F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24.7</w:t>
            </w:r>
          </w:p>
        </w:tc>
        <w:tc>
          <w:tcPr>
            <w:tcW w:w="293" w:type="pct"/>
            <w:tcBorders>
              <w:top w:val="single" w:sz="4" w:space="0" w:color="auto"/>
            </w:tcBorders>
          </w:tcPr>
          <w:p w14:paraId="34615EF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560</w:t>
            </w:r>
          </w:p>
        </w:tc>
        <w:tc>
          <w:tcPr>
            <w:tcW w:w="299" w:type="pct"/>
            <w:tcBorders>
              <w:top w:val="single" w:sz="4" w:space="0" w:color="auto"/>
            </w:tcBorders>
          </w:tcPr>
          <w:p w14:paraId="16854B0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29D0E5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2E3BC03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45493EE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14</w:t>
            </w:r>
          </w:p>
        </w:tc>
        <w:tc>
          <w:tcPr>
            <w:tcW w:w="300" w:type="pct"/>
            <w:tcBorders>
              <w:top w:val="single" w:sz="4" w:space="0" w:color="auto"/>
            </w:tcBorders>
          </w:tcPr>
          <w:p w14:paraId="25FE8CE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tcBorders>
              <w:top w:val="single" w:sz="4" w:space="0" w:color="auto"/>
            </w:tcBorders>
            <w:shd w:val="clear" w:color="auto" w:fill="FF0000"/>
            <w:vAlign w:val="center"/>
          </w:tcPr>
          <w:p w14:paraId="3170CFE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2.0</w:t>
            </w:r>
          </w:p>
        </w:tc>
        <w:tc>
          <w:tcPr>
            <w:tcW w:w="321" w:type="pct"/>
            <w:tcBorders>
              <w:top w:val="single" w:sz="4" w:space="0" w:color="auto"/>
            </w:tcBorders>
            <w:vAlign w:val="center"/>
          </w:tcPr>
          <w:p w14:paraId="4FE514D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7FA528F2" w14:textId="77777777" w:rsidTr="000110FD">
        <w:trPr>
          <w:cantSplit/>
          <w:trHeight w:val="13"/>
        </w:trPr>
        <w:tc>
          <w:tcPr>
            <w:tcW w:w="492" w:type="pct"/>
            <w:vMerge/>
          </w:tcPr>
          <w:p w14:paraId="08A78E60"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1F0DC082"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6D9F0793"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08F29621"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5D76300D"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1A1E482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533</w:t>
            </w:r>
          </w:p>
        </w:tc>
        <w:tc>
          <w:tcPr>
            <w:tcW w:w="299" w:type="pct"/>
          </w:tcPr>
          <w:p w14:paraId="16C3BDF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E5A86F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1F979D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AC4168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13</w:t>
            </w:r>
          </w:p>
        </w:tc>
        <w:tc>
          <w:tcPr>
            <w:tcW w:w="300" w:type="pct"/>
          </w:tcPr>
          <w:p w14:paraId="4FA128AF"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74A2B44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1.9</w:t>
            </w:r>
          </w:p>
        </w:tc>
        <w:tc>
          <w:tcPr>
            <w:tcW w:w="321" w:type="pct"/>
            <w:vAlign w:val="center"/>
          </w:tcPr>
          <w:p w14:paraId="20EB583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25F5B05D" w14:textId="77777777" w:rsidTr="000110FD">
        <w:trPr>
          <w:cantSplit/>
          <w:trHeight w:val="13"/>
        </w:trPr>
        <w:tc>
          <w:tcPr>
            <w:tcW w:w="492" w:type="pct"/>
            <w:vMerge/>
          </w:tcPr>
          <w:p w14:paraId="7E20D7BA"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4D00F8AD"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3950D34C"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6CC6EB44"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63C75AF"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787B764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Pr>
          <w:p w14:paraId="3375EC2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DF20E0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A12002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F9CECE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9.1</w:t>
            </w:r>
          </w:p>
        </w:tc>
        <w:tc>
          <w:tcPr>
            <w:tcW w:w="300" w:type="pct"/>
          </w:tcPr>
          <w:p w14:paraId="423922C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24F6E88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1.3</w:t>
            </w:r>
          </w:p>
        </w:tc>
        <w:tc>
          <w:tcPr>
            <w:tcW w:w="321" w:type="pct"/>
            <w:vAlign w:val="center"/>
          </w:tcPr>
          <w:p w14:paraId="2F42850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284AA884" w14:textId="77777777" w:rsidTr="000110FD">
        <w:trPr>
          <w:cantSplit/>
          <w:trHeight w:val="13"/>
        </w:trPr>
        <w:tc>
          <w:tcPr>
            <w:tcW w:w="492" w:type="pct"/>
            <w:vMerge/>
          </w:tcPr>
          <w:p w14:paraId="5D7BA551"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6B8203D8"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75DA5320"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53B3F4ED"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39C7FD24"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48472E2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6DC1C94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E54B85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32F9C0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6481462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7.4</w:t>
            </w:r>
          </w:p>
        </w:tc>
        <w:tc>
          <w:tcPr>
            <w:tcW w:w="300" w:type="pct"/>
          </w:tcPr>
          <w:p w14:paraId="4E6E2ECC"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74062B0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1.1</w:t>
            </w:r>
          </w:p>
        </w:tc>
        <w:tc>
          <w:tcPr>
            <w:tcW w:w="321" w:type="pct"/>
            <w:vAlign w:val="center"/>
          </w:tcPr>
          <w:p w14:paraId="2BAD094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7545D01F" w14:textId="77777777" w:rsidTr="000110FD">
        <w:trPr>
          <w:cantSplit/>
          <w:trHeight w:val="13"/>
        </w:trPr>
        <w:tc>
          <w:tcPr>
            <w:tcW w:w="492" w:type="pct"/>
            <w:vMerge/>
          </w:tcPr>
          <w:p w14:paraId="532F85C0"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612B009F"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9C3C6DA"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76B07308"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6A39F1F0"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4C03841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Pr>
          <w:p w14:paraId="3DEF428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ED7ABD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2E7B0B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D7442D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6.8</w:t>
            </w:r>
          </w:p>
        </w:tc>
        <w:tc>
          <w:tcPr>
            <w:tcW w:w="300" w:type="pct"/>
          </w:tcPr>
          <w:p w14:paraId="1035E9F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7F5D356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0.97</w:t>
            </w:r>
          </w:p>
        </w:tc>
        <w:tc>
          <w:tcPr>
            <w:tcW w:w="321" w:type="pct"/>
            <w:vAlign w:val="center"/>
          </w:tcPr>
          <w:p w14:paraId="35D631E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59611E8D" w14:textId="77777777" w:rsidTr="000110FD">
        <w:trPr>
          <w:cantSplit/>
          <w:trHeight w:val="13"/>
        </w:trPr>
        <w:tc>
          <w:tcPr>
            <w:tcW w:w="492" w:type="pct"/>
            <w:vMerge/>
          </w:tcPr>
          <w:p w14:paraId="124E279B"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5B521FFA"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78A19C46"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6AF51D31"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586DD311"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08470D2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28D0E3D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0C28CC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2A03D1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85439D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4.5</w:t>
            </w:r>
          </w:p>
        </w:tc>
        <w:tc>
          <w:tcPr>
            <w:tcW w:w="300" w:type="pct"/>
          </w:tcPr>
          <w:p w14:paraId="223C3757"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7B23C19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0.65</w:t>
            </w:r>
          </w:p>
        </w:tc>
        <w:tc>
          <w:tcPr>
            <w:tcW w:w="321" w:type="pct"/>
            <w:vAlign w:val="center"/>
          </w:tcPr>
          <w:p w14:paraId="25C6DEE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5BB26AE8" w14:textId="77777777" w:rsidTr="000110FD">
        <w:trPr>
          <w:cantSplit/>
          <w:trHeight w:val="13"/>
        </w:trPr>
        <w:tc>
          <w:tcPr>
            <w:tcW w:w="492" w:type="pct"/>
            <w:vMerge/>
          </w:tcPr>
          <w:p w14:paraId="7DDDE5A1"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44BF4C98"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79EA4DD7"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2CB91D27"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54A0384F"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219D120E" w14:textId="77777777" w:rsidR="000110FD" w:rsidRDefault="000110FD" w:rsidP="00E45161">
            <w:pPr>
              <w:pStyle w:val="TableText"/>
              <w:widowControl w:val="0"/>
              <w:suppressAutoHyphens w:val="0"/>
              <w:spacing w:before="0" w:after="0" w:line="240" w:lineRule="auto"/>
              <w:jc w:val="right"/>
              <w:rPr>
                <w:szCs w:val="17"/>
              </w:rPr>
            </w:pPr>
            <w:r>
              <w:rPr>
                <w:szCs w:val="17"/>
              </w:rPr>
              <w:t>173</w:t>
            </w:r>
          </w:p>
        </w:tc>
        <w:tc>
          <w:tcPr>
            <w:tcW w:w="299" w:type="pct"/>
          </w:tcPr>
          <w:p w14:paraId="21CA776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F52AB5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184000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5002A54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4.3</w:t>
            </w:r>
          </w:p>
        </w:tc>
        <w:tc>
          <w:tcPr>
            <w:tcW w:w="300" w:type="pct"/>
          </w:tcPr>
          <w:p w14:paraId="108C45C1"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705CBB3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0.61</w:t>
            </w:r>
          </w:p>
        </w:tc>
        <w:tc>
          <w:tcPr>
            <w:tcW w:w="321" w:type="pct"/>
            <w:vAlign w:val="center"/>
          </w:tcPr>
          <w:p w14:paraId="3087902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0D7512F5" w14:textId="77777777" w:rsidTr="000110FD">
        <w:trPr>
          <w:cantSplit/>
          <w:trHeight w:val="13"/>
        </w:trPr>
        <w:tc>
          <w:tcPr>
            <w:tcW w:w="492" w:type="pct"/>
            <w:vMerge/>
          </w:tcPr>
          <w:p w14:paraId="66BC2357"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5AA4B15F"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7B357182"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C508CED"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493B2DF3"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7E5E928C" w14:textId="77777777" w:rsidR="000110FD" w:rsidRDefault="000110FD" w:rsidP="00E45161">
            <w:pPr>
              <w:pStyle w:val="TableText"/>
              <w:widowControl w:val="0"/>
              <w:suppressAutoHyphens w:val="0"/>
              <w:spacing w:before="0" w:after="0" w:line="240" w:lineRule="auto"/>
              <w:jc w:val="right"/>
              <w:rPr>
                <w:szCs w:val="17"/>
              </w:rPr>
            </w:pPr>
            <w:r>
              <w:rPr>
                <w:szCs w:val="17"/>
              </w:rPr>
              <w:t>150</w:t>
            </w:r>
          </w:p>
        </w:tc>
        <w:tc>
          <w:tcPr>
            <w:tcW w:w="299" w:type="pct"/>
          </w:tcPr>
          <w:p w14:paraId="0D290BC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AB6BCE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4F7A707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739710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3.7</w:t>
            </w:r>
          </w:p>
        </w:tc>
        <w:tc>
          <w:tcPr>
            <w:tcW w:w="300" w:type="pct"/>
          </w:tcPr>
          <w:p w14:paraId="61B2E82C"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2781C1C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0.53</w:t>
            </w:r>
          </w:p>
        </w:tc>
        <w:tc>
          <w:tcPr>
            <w:tcW w:w="321" w:type="pct"/>
            <w:vAlign w:val="center"/>
          </w:tcPr>
          <w:p w14:paraId="37F3579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215F321C" w14:textId="77777777" w:rsidTr="000110FD">
        <w:trPr>
          <w:cantSplit/>
          <w:trHeight w:val="13"/>
        </w:trPr>
        <w:tc>
          <w:tcPr>
            <w:tcW w:w="492" w:type="pct"/>
            <w:vMerge/>
          </w:tcPr>
          <w:p w14:paraId="5F64EA36"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3D7A1613"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0FADA56E"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13B02E3A"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68EA2290"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793CD0B1" w14:textId="77777777" w:rsidR="000110FD"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2D1F031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9C6A60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4DC537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37B4F9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3.6</w:t>
            </w:r>
          </w:p>
        </w:tc>
        <w:tc>
          <w:tcPr>
            <w:tcW w:w="300" w:type="pct"/>
          </w:tcPr>
          <w:p w14:paraId="6CA9B084"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44E5B58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0.52</w:t>
            </w:r>
          </w:p>
        </w:tc>
        <w:tc>
          <w:tcPr>
            <w:tcW w:w="321" w:type="pct"/>
            <w:vAlign w:val="center"/>
          </w:tcPr>
          <w:p w14:paraId="3B720CB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4B9E09EE" w14:textId="77777777" w:rsidTr="000110FD">
        <w:trPr>
          <w:cantSplit/>
          <w:trHeight w:val="13"/>
        </w:trPr>
        <w:tc>
          <w:tcPr>
            <w:tcW w:w="492" w:type="pct"/>
            <w:vMerge/>
          </w:tcPr>
          <w:p w14:paraId="5C121D48"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3DFA4D71"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679AC4F"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4D43EBF"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1D77FC62"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1F19EAA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138</w:t>
            </w:r>
          </w:p>
        </w:tc>
        <w:tc>
          <w:tcPr>
            <w:tcW w:w="299" w:type="pct"/>
          </w:tcPr>
          <w:p w14:paraId="404C0B9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064A00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F5C0B0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91FE74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3.4</w:t>
            </w:r>
          </w:p>
        </w:tc>
        <w:tc>
          <w:tcPr>
            <w:tcW w:w="300" w:type="pct"/>
          </w:tcPr>
          <w:p w14:paraId="17F78F0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0F37581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0.49</w:t>
            </w:r>
          </w:p>
        </w:tc>
        <w:tc>
          <w:tcPr>
            <w:tcW w:w="321" w:type="pct"/>
            <w:vAlign w:val="center"/>
          </w:tcPr>
          <w:p w14:paraId="593B1B9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69DC0A9C" w14:textId="77777777" w:rsidTr="000110FD">
        <w:trPr>
          <w:cantSplit/>
          <w:trHeight w:val="13"/>
        </w:trPr>
        <w:tc>
          <w:tcPr>
            <w:tcW w:w="492" w:type="pct"/>
            <w:vMerge/>
          </w:tcPr>
          <w:p w14:paraId="08EFD165"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7340D2AD"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18DF1F86"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2C92814"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3A135D49" w14:textId="77777777" w:rsidR="000110FD"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Pr>
          <w:p w14:paraId="13EE811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92</w:t>
            </w:r>
          </w:p>
        </w:tc>
        <w:tc>
          <w:tcPr>
            <w:tcW w:w="299" w:type="pct"/>
          </w:tcPr>
          <w:p w14:paraId="3FDAA1A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1783EC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D0D8AE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B975AC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w:t>
            </w:r>
          </w:p>
        </w:tc>
        <w:tc>
          <w:tcPr>
            <w:tcW w:w="300" w:type="pct"/>
          </w:tcPr>
          <w:p w14:paraId="08822C0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04DF068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0.32</w:t>
            </w:r>
          </w:p>
        </w:tc>
        <w:tc>
          <w:tcPr>
            <w:tcW w:w="321" w:type="pct"/>
            <w:vAlign w:val="center"/>
          </w:tcPr>
          <w:p w14:paraId="7B0AD6B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3DCA5847" w14:textId="77777777" w:rsidTr="000110FD">
        <w:trPr>
          <w:cantSplit/>
          <w:trHeight w:val="13"/>
        </w:trPr>
        <w:tc>
          <w:tcPr>
            <w:tcW w:w="492" w:type="pct"/>
            <w:vMerge/>
          </w:tcPr>
          <w:p w14:paraId="399004A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51019F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5C01C20"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2603CED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7B22F86D" w14:textId="77777777" w:rsidR="000110FD" w:rsidRPr="002C4E1B" w:rsidRDefault="000110FD" w:rsidP="00E45161">
            <w:pPr>
              <w:pStyle w:val="TableText"/>
              <w:widowControl w:val="0"/>
              <w:suppressAutoHyphens w:val="0"/>
              <w:spacing w:before="0" w:after="0" w:line="240" w:lineRule="auto"/>
              <w:jc w:val="right"/>
              <w:rPr>
                <w:szCs w:val="17"/>
              </w:rPr>
            </w:pPr>
            <w:r w:rsidRPr="004B65BF">
              <w:rPr>
                <w:szCs w:val="17"/>
              </w:rPr>
              <w:t>24.7</w:t>
            </w:r>
          </w:p>
        </w:tc>
        <w:tc>
          <w:tcPr>
            <w:tcW w:w="293" w:type="pct"/>
            <w:tcBorders>
              <w:bottom w:val="single" w:sz="4" w:space="0" w:color="auto"/>
            </w:tcBorders>
          </w:tcPr>
          <w:p w14:paraId="07A1642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w:t>
            </w:r>
          </w:p>
        </w:tc>
        <w:tc>
          <w:tcPr>
            <w:tcW w:w="299" w:type="pct"/>
            <w:tcBorders>
              <w:bottom w:val="single" w:sz="4" w:space="0" w:color="auto"/>
            </w:tcBorders>
          </w:tcPr>
          <w:p w14:paraId="558B53F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5D217FA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692BF23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vAlign w:val="center"/>
          </w:tcPr>
          <w:p w14:paraId="55F887D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0.59</w:t>
            </w:r>
          </w:p>
        </w:tc>
        <w:tc>
          <w:tcPr>
            <w:tcW w:w="300" w:type="pct"/>
            <w:tcBorders>
              <w:bottom w:val="single" w:sz="4" w:space="0" w:color="auto"/>
            </w:tcBorders>
          </w:tcPr>
          <w:p w14:paraId="3A811F9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tcBorders>
              <w:bottom w:val="single" w:sz="4" w:space="0" w:color="auto"/>
            </w:tcBorders>
            <w:vAlign w:val="center"/>
          </w:tcPr>
          <w:p w14:paraId="06A6032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0.085</w:t>
            </w:r>
          </w:p>
        </w:tc>
        <w:tc>
          <w:tcPr>
            <w:tcW w:w="321" w:type="pct"/>
            <w:tcBorders>
              <w:bottom w:val="single" w:sz="4" w:space="0" w:color="auto"/>
            </w:tcBorders>
            <w:vAlign w:val="center"/>
          </w:tcPr>
          <w:p w14:paraId="29D3CF7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61B0D7BE" w14:textId="77777777" w:rsidTr="000110FD">
        <w:trPr>
          <w:cantSplit/>
          <w:trHeight w:val="13"/>
        </w:trPr>
        <w:tc>
          <w:tcPr>
            <w:tcW w:w="492" w:type="pct"/>
            <w:vMerge/>
          </w:tcPr>
          <w:p w14:paraId="16A96C0B"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7CA2AA13" w14:textId="77777777" w:rsidR="000110FD" w:rsidRPr="002C4E1B" w:rsidRDefault="000110FD" w:rsidP="00303DF5">
            <w:pPr>
              <w:pStyle w:val="TableText"/>
              <w:widowControl w:val="0"/>
              <w:suppressAutoHyphens w:val="0"/>
              <w:spacing w:before="0" w:after="0" w:line="240" w:lineRule="auto"/>
              <w:rPr>
                <w:szCs w:val="17"/>
              </w:rPr>
            </w:pPr>
            <w:r>
              <w:rPr>
                <w:szCs w:val="17"/>
              </w:rPr>
              <w:t>Large herbivore</w:t>
            </w:r>
          </w:p>
        </w:tc>
        <w:tc>
          <w:tcPr>
            <w:tcW w:w="559" w:type="pct"/>
            <w:gridSpan w:val="2"/>
            <w:vMerge w:val="restart"/>
            <w:tcBorders>
              <w:top w:val="single" w:sz="4" w:space="0" w:color="auto"/>
            </w:tcBorders>
          </w:tcPr>
          <w:p w14:paraId="07639111" w14:textId="77777777" w:rsidR="000110FD" w:rsidRPr="002C4E1B" w:rsidRDefault="000110FD" w:rsidP="00303DF5">
            <w:pPr>
              <w:pStyle w:val="TableText"/>
              <w:widowControl w:val="0"/>
              <w:suppressAutoHyphens w:val="0"/>
              <w:spacing w:before="0" w:after="0" w:line="240" w:lineRule="auto"/>
              <w:rPr>
                <w:szCs w:val="17"/>
              </w:rPr>
            </w:pPr>
            <w:r>
              <w:rPr>
                <w:szCs w:val="17"/>
              </w:rPr>
              <w:t>Growing shoots</w:t>
            </w:r>
          </w:p>
        </w:tc>
        <w:tc>
          <w:tcPr>
            <w:tcW w:w="486" w:type="pct"/>
            <w:vMerge w:val="restart"/>
            <w:tcBorders>
              <w:top w:val="single" w:sz="4" w:space="0" w:color="auto"/>
            </w:tcBorders>
          </w:tcPr>
          <w:p w14:paraId="11C0FDE3"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33D8B69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30.5</w:t>
            </w:r>
          </w:p>
        </w:tc>
        <w:tc>
          <w:tcPr>
            <w:tcW w:w="293" w:type="pct"/>
            <w:tcBorders>
              <w:top w:val="single" w:sz="4" w:space="0" w:color="auto"/>
            </w:tcBorders>
          </w:tcPr>
          <w:p w14:paraId="1BE1C9D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560</w:t>
            </w:r>
          </w:p>
        </w:tc>
        <w:tc>
          <w:tcPr>
            <w:tcW w:w="299" w:type="pct"/>
            <w:tcBorders>
              <w:top w:val="single" w:sz="4" w:space="0" w:color="auto"/>
            </w:tcBorders>
          </w:tcPr>
          <w:p w14:paraId="4009618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42EE32E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4723CC1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4359781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17</w:t>
            </w:r>
          </w:p>
        </w:tc>
        <w:tc>
          <w:tcPr>
            <w:tcW w:w="300" w:type="pct"/>
            <w:tcBorders>
              <w:top w:val="single" w:sz="4" w:space="0" w:color="auto"/>
            </w:tcBorders>
          </w:tcPr>
          <w:p w14:paraId="5A607C6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tcBorders>
              <w:top w:val="single" w:sz="4" w:space="0" w:color="auto"/>
            </w:tcBorders>
            <w:shd w:val="clear" w:color="auto" w:fill="FF0000"/>
            <w:vAlign w:val="center"/>
          </w:tcPr>
          <w:p w14:paraId="4291F6F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2.4</w:t>
            </w:r>
          </w:p>
        </w:tc>
        <w:tc>
          <w:tcPr>
            <w:tcW w:w="321" w:type="pct"/>
            <w:tcBorders>
              <w:top w:val="single" w:sz="4" w:space="0" w:color="auto"/>
            </w:tcBorders>
            <w:vAlign w:val="center"/>
          </w:tcPr>
          <w:p w14:paraId="74BBBF8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0CD76228" w14:textId="77777777" w:rsidTr="000110FD">
        <w:trPr>
          <w:cantSplit/>
          <w:trHeight w:val="13"/>
        </w:trPr>
        <w:tc>
          <w:tcPr>
            <w:tcW w:w="492" w:type="pct"/>
            <w:vMerge/>
          </w:tcPr>
          <w:p w14:paraId="58518B88"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B62D5BE"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29AEC519"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30CC1937"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0F01140"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34D2758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533</w:t>
            </w:r>
          </w:p>
        </w:tc>
        <w:tc>
          <w:tcPr>
            <w:tcW w:w="299" w:type="pct"/>
          </w:tcPr>
          <w:p w14:paraId="08F48FF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944E11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27BCC5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25B7DD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w:t>
            </w:r>
          </w:p>
        </w:tc>
        <w:tc>
          <w:tcPr>
            <w:tcW w:w="300" w:type="pct"/>
          </w:tcPr>
          <w:p w14:paraId="3AF7CFE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4FF0150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2.3</w:t>
            </w:r>
          </w:p>
        </w:tc>
        <w:tc>
          <w:tcPr>
            <w:tcW w:w="321" w:type="pct"/>
            <w:vAlign w:val="center"/>
          </w:tcPr>
          <w:p w14:paraId="4862AEC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3048AC09" w14:textId="77777777" w:rsidTr="000110FD">
        <w:trPr>
          <w:cantSplit/>
          <w:trHeight w:val="13"/>
        </w:trPr>
        <w:tc>
          <w:tcPr>
            <w:tcW w:w="492" w:type="pct"/>
            <w:vMerge/>
          </w:tcPr>
          <w:p w14:paraId="3DDD60E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0DBB650"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37EE1BF1"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4B2B036"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161EE249"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39DBB5C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Pr>
          <w:p w14:paraId="3CD87F8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8A17D1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4649B34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46F7A4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11</w:t>
            </w:r>
          </w:p>
        </w:tc>
        <w:tc>
          <w:tcPr>
            <w:tcW w:w="300" w:type="pct"/>
          </w:tcPr>
          <w:p w14:paraId="13B35E6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6338352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1.6</w:t>
            </w:r>
          </w:p>
        </w:tc>
        <w:tc>
          <w:tcPr>
            <w:tcW w:w="321" w:type="pct"/>
            <w:vAlign w:val="center"/>
          </w:tcPr>
          <w:p w14:paraId="7E5C26C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20824F3D" w14:textId="77777777" w:rsidTr="000110FD">
        <w:trPr>
          <w:cantSplit/>
          <w:trHeight w:val="13"/>
        </w:trPr>
        <w:tc>
          <w:tcPr>
            <w:tcW w:w="492" w:type="pct"/>
            <w:vMerge/>
          </w:tcPr>
          <w:p w14:paraId="6EFCA5F7"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D77E69E"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2BD73F33"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7BA04E7B"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4FEFC569"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3C75296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75C15F1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669713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629E51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046521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9.2</w:t>
            </w:r>
          </w:p>
        </w:tc>
        <w:tc>
          <w:tcPr>
            <w:tcW w:w="300" w:type="pct"/>
          </w:tcPr>
          <w:p w14:paraId="54C8E33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39C0EC1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1.3</w:t>
            </w:r>
          </w:p>
        </w:tc>
        <w:tc>
          <w:tcPr>
            <w:tcW w:w="321" w:type="pct"/>
            <w:vAlign w:val="center"/>
          </w:tcPr>
          <w:p w14:paraId="392D78D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2E185201" w14:textId="77777777" w:rsidTr="000110FD">
        <w:trPr>
          <w:cantSplit/>
          <w:trHeight w:val="13"/>
        </w:trPr>
        <w:tc>
          <w:tcPr>
            <w:tcW w:w="492" w:type="pct"/>
            <w:vMerge/>
          </w:tcPr>
          <w:p w14:paraId="42269D4B"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E6D20AF"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1B8BBCA2"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5AD04B45"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03E48DA8"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721B159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Pr>
          <w:p w14:paraId="1418E8A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AA10BC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F4DC05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54D8846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8.4</w:t>
            </w:r>
          </w:p>
        </w:tc>
        <w:tc>
          <w:tcPr>
            <w:tcW w:w="300" w:type="pct"/>
          </w:tcPr>
          <w:p w14:paraId="115D13A1"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shd w:val="clear" w:color="auto" w:fill="FF0000"/>
            <w:vAlign w:val="center"/>
          </w:tcPr>
          <w:p w14:paraId="3AC6CCA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1.2</w:t>
            </w:r>
          </w:p>
        </w:tc>
        <w:tc>
          <w:tcPr>
            <w:tcW w:w="321" w:type="pct"/>
            <w:vAlign w:val="center"/>
          </w:tcPr>
          <w:p w14:paraId="77A5C8E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42BE580D" w14:textId="77777777" w:rsidTr="000110FD">
        <w:trPr>
          <w:cantSplit/>
          <w:trHeight w:val="13"/>
        </w:trPr>
        <w:tc>
          <w:tcPr>
            <w:tcW w:w="492" w:type="pct"/>
            <w:vMerge/>
          </w:tcPr>
          <w:p w14:paraId="760ECA5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075BE4E"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3012877C"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51E46F05"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4383FDE4"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39AFDCF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2ABC87A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DAC298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0C19AB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E59890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5.6</w:t>
            </w:r>
          </w:p>
        </w:tc>
        <w:tc>
          <w:tcPr>
            <w:tcW w:w="300" w:type="pct"/>
          </w:tcPr>
          <w:p w14:paraId="5BEA482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45DFCB8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0.80</w:t>
            </w:r>
          </w:p>
        </w:tc>
        <w:tc>
          <w:tcPr>
            <w:tcW w:w="321" w:type="pct"/>
            <w:vAlign w:val="center"/>
          </w:tcPr>
          <w:p w14:paraId="358ECF9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59E6A921" w14:textId="77777777" w:rsidTr="000110FD">
        <w:trPr>
          <w:cantSplit/>
          <w:trHeight w:val="13"/>
        </w:trPr>
        <w:tc>
          <w:tcPr>
            <w:tcW w:w="492" w:type="pct"/>
            <w:vMerge/>
          </w:tcPr>
          <w:p w14:paraId="1B44CB28"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9328E9B"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63959850"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7D012441"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FD8C0BC"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2966AE2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173</w:t>
            </w:r>
          </w:p>
        </w:tc>
        <w:tc>
          <w:tcPr>
            <w:tcW w:w="299" w:type="pct"/>
          </w:tcPr>
          <w:p w14:paraId="633427C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2E6985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436F316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BC6F03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5.3</w:t>
            </w:r>
          </w:p>
        </w:tc>
        <w:tc>
          <w:tcPr>
            <w:tcW w:w="300" w:type="pct"/>
          </w:tcPr>
          <w:p w14:paraId="39F9755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3217A03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0.75</w:t>
            </w:r>
          </w:p>
        </w:tc>
        <w:tc>
          <w:tcPr>
            <w:tcW w:w="321" w:type="pct"/>
            <w:vAlign w:val="center"/>
          </w:tcPr>
          <w:p w14:paraId="4F6B13E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40CFEDFB" w14:textId="77777777" w:rsidTr="000110FD">
        <w:trPr>
          <w:cantSplit/>
          <w:trHeight w:val="13"/>
        </w:trPr>
        <w:tc>
          <w:tcPr>
            <w:tcW w:w="492" w:type="pct"/>
            <w:vMerge/>
          </w:tcPr>
          <w:p w14:paraId="00F343A3"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F76863B"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510839E2"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3A17E23"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570DD95"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75F160F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150</w:t>
            </w:r>
          </w:p>
        </w:tc>
        <w:tc>
          <w:tcPr>
            <w:tcW w:w="299" w:type="pct"/>
          </w:tcPr>
          <w:p w14:paraId="4820BFC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B6A71B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D9A32D5"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F9CE0A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4.6</w:t>
            </w:r>
          </w:p>
        </w:tc>
        <w:tc>
          <w:tcPr>
            <w:tcW w:w="300" w:type="pct"/>
          </w:tcPr>
          <w:p w14:paraId="1064621C"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7614790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0.65</w:t>
            </w:r>
          </w:p>
        </w:tc>
        <w:tc>
          <w:tcPr>
            <w:tcW w:w="321" w:type="pct"/>
            <w:vAlign w:val="center"/>
          </w:tcPr>
          <w:p w14:paraId="0A74E05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3A8C915C" w14:textId="77777777" w:rsidTr="000110FD">
        <w:trPr>
          <w:cantSplit/>
          <w:trHeight w:val="13"/>
        </w:trPr>
        <w:tc>
          <w:tcPr>
            <w:tcW w:w="492" w:type="pct"/>
            <w:vMerge/>
          </w:tcPr>
          <w:p w14:paraId="03E997BF"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36F1A88"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859AA53"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32E8009A"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096BF49B"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0D939DE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731E48B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BD96AF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EE9DD7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CE15C8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4.5</w:t>
            </w:r>
          </w:p>
        </w:tc>
        <w:tc>
          <w:tcPr>
            <w:tcW w:w="300" w:type="pct"/>
          </w:tcPr>
          <w:p w14:paraId="2CA728B1"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23D0E7F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0.64</w:t>
            </w:r>
          </w:p>
        </w:tc>
        <w:tc>
          <w:tcPr>
            <w:tcW w:w="321" w:type="pct"/>
            <w:vAlign w:val="center"/>
          </w:tcPr>
          <w:p w14:paraId="2060BF0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57991707" w14:textId="77777777" w:rsidTr="000110FD">
        <w:trPr>
          <w:cantSplit/>
          <w:trHeight w:val="13"/>
        </w:trPr>
        <w:tc>
          <w:tcPr>
            <w:tcW w:w="492" w:type="pct"/>
            <w:vMerge/>
          </w:tcPr>
          <w:p w14:paraId="3DB143E6"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486A159"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BE8C885"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3C617374"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0196FA84"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1815577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138</w:t>
            </w:r>
          </w:p>
        </w:tc>
        <w:tc>
          <w:tcPr>
            <w:tcW w:w="299" w:type="pct"/>
          </w:tcPr>
          <w:p w14:paraId="05C9754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CA6071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86AE61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809012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4.2</w:t>
            </w:r>
          </w:p>
        </w:tc>
        <w:tc>
          <w:tcPr>
            <w:tcW w:w="300" w:type="pct"/>
          </w:tcPr>
          <w:p w14:paraId="7C7E886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1D44AFD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0.60</w:t>
            </w:r>
          </w:p>
        </w:tc>
        <w:tc>
          <w:tcPr>
            <w:tcW w:w="321" w:type="pct"/>
            <w:vAlign w:val="center"/>
          </w:tcPr>
          <w:p w14:paraId="6F1A1B6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71ABCCD1" w14:textId="77777777" w:rsidTr="000110FD">
        <w:trPr>
          <w:cantSplit/>
          <w:trHeight w:val="13"/>
        </w:trPr>
        <w:tc>
          <w:tcPr>
            <w:tcW w:w="492" w:type="pct"/>
            <w:vMerge/>
          </w:tcPr>
          <w:p w14:paraId="271549C7"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6BC0FC9"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27B69093"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21D5294D"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099E36E8" w14:textId="77777777" w:rsidR="000110FD"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Pr>
          <w:p w14:paraId="15AD242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92</w:t>
            </w:r>
          </w:p>
        </w:tc>
        <w:tc>
          <w:tcPr>
            <w:tcW w:w="299" w:type="pct"/>
          </w:tcPr>
          <w:p w14:paraId="2E506C5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E58473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BB05F5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845A6E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w:t>
            </w:r>
          </w:p>
        </w:tc>
        <w:tc>
          <w:tcPr>
            <w:tcW w:w="300" w:type="pct"/>
          </w:tcPr>
          <w:p w14:paraId="6321BFB7"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vAlign w:val="center"/>
          </w:tcPr>
          <w:p w14:paraId="20C4C5B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0.40</w:t>
            </w:r>
          </w:p>
        </w:tc>
        <w:tc>
          <w:tcPr>
            <w:tcW w:w="321" w:type="pct"/>
            <w:vAlign w:val="center"/>
          </w:tcPr>
          <w:p w14:paraId="37E1EF7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78317C49" w14:textId="77777777" w:rsidTr="000110FD">
        <w:trPr>
          <w:cantSplit/>
          <w:trHeight w:val="13"/>
        </w:trPr>
        <w:tc>
          <w:tcPr>
            <w:tcW w:w="492" w:type="pct"/>
            <w:vMerge/>
          </w:tcPr>
          <w:p w14:paraId="66DD570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4616191"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36E8DB55"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E3315B0"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28D3B131" w14:textId="77777777" w:rsidR="000110FD" w:rsidRPr="002C4E1B" w:rsidRDefault="000110FD" w:rsidP="00E45161">
            <w:pPr>
              <w:pStyle w:val="TableText"/>
              <w:widowControl w:val="0"/>
              <w:suppressAutoHyphens w:val="0"/>
              <w:spacing w:before="0" w:after="0" w:line="240" w:lineRule="auto"/>
              <w:jc w:val="right"/>
              <w:rPr>
                <w:szCs w:val="17"/>
              </w:rPr>
            </w:pPr>
            <w:r w:rsidRPr="008C65FA">
              <w:rPr>
                <w:szCs w:val="17"/>
              </w:rPr>
              <w:t>30.5</w:t>
            </w:r>
          </w:p>
        </w:tc>
        <w:tc>
          <w:tcPr>
            <w:tcW w:w="293" w:type="pct"/>
            <w:tcBorders>
              <w:bottom w:val="single" w:sz="4" w:space="0" w:color="auto"/>
            </w:tcBorders>
          </w:tcPr>
          <w:p w14:paraId="5C417DB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w:t>
            </w:r>
          </w:p>
        </w:tc>
        <w:tc>
          <w:tcPr>
            <w:tcW w:w="299" w:type="pct"/>
            <w:tcBorders>
              <w:bottom w:val="single" w:sz="4" w:space="0" w:color="auto"/>
            </w:tcBorders>
          </w:tcPr>
          <w:p w14:paraId="5781ACC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24CF18F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37FD125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vAlign w:val="center"/>
          </w:tcPr>
          <w:p w14:paraId="02B6962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0.73</w:t>
            </w:r>
          </w:p>
        </w:tc>
        <w:tc>
          <w:tcPr>
            <w:tcW w:w="300" w:type="pct"/>
            <w:tcBorders>
              <w:bottom w:val="single" w:sz="4" w:space="0" w:color="auto"/>
            </w:tcBorders>
          </w:tcPr>
          <w:p w14:paraId="31AB7FF5"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2F4CE5">
              <w:t>7.0</w:t>
            </w:r>
          </w:p>
        </w:tc>
        <w:tc>
          <w:tcPr>
            <w:tcW w:w="301" w:type="pct"/>
            <w:tcBorders>
              <w:bottom w:val="single" w:sz="4" w:space="0" w:color="auto"/>
            </w:tcBorders>
            <w:vAlign w:val="center"/>
          </w:tcPr>
          <w:p w14:paraId="1B58A46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0.10</w:t>
            </w:r>
          </w:p>
        </w:tc>
        <w:tc>
          <w:tcPr>
            <w:tcW w:w="321" w:type="pct"/>
            <w:tcBorders>
              <w:bottom w:val="single" w:sz="4" w:space="0" w:color="auto"/>
            </w:tcBorders>
            <w:vAlign w:val="center"/>
          </w:tcPr>
          <w:p w14:paraId="32A828C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230</w:t>
            </w:r>
          </w:p>
        </w:tc>
      </w:tr>
      <w:tr w:rsidR="000110FD" w:rsidRPr="002C4E1B" w14:paraId="1E2A8928" w14:textId="77777777" w:rsidTr="000110FD">
        <w:trPr>
          <w:cantSplit/>
          <w:trHeight w:val="13"/>
        </w:trPr>
        <w:tc>
          <w:tcPr>
            <w:tcW w:w="492" w:type="pct"/>
            <w:vMerge/>
          </w:tcPr>
          <w:p w14:paraId="1D79F17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6A31EA5A"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17F86367" w14:textId="77777777" w:rsidR="000110FD" w:rsidRPr="002C4E1B" w:rsidRDefault="000110FD" w:rsidP="00303DF5">
            <w:pPr>
              <w:pStyle w:val="TableText"/>
              <w:widowControl w:val="0"/>
              <w:suppressAutoHyphens w:val="0"/>
              <w:spacing w:before="0" w:after="0" w:line="240" w:lineRule="auto"/>
              <w:rPr>
                <w:szCs w:val="17"/>
              </w:rPr>
            </w:pPr>
            <w:r>
              <w:rPr>
                <w:szCs w:val="17"/>
              </w:rPr>
              <w:t>Growing shoots</w:t>
            </w:r>
          </w:p>
        </w:tc>
        <w:tc>
          <w:tcPr>
            <w:tcW w:w="486" w:type="pct"/>
            <w:vMerge w:val="restart"/>
            <w:tcBorders>
              <w:top w:val="single" w:sz="4" w:space="0" w:color="auto"/>
            </w:tcBorders>
          </w:tcPr>
          <w:p w14:paraId="2F0A1EB1"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32482F9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26.8</w:t>
            </w:r>
          </w:p>
        </w:tc>
        <w:tc>
          <w:tcPr>
            <w:tcW w:w="293" w:type="pct"/>
            <w:tcBorders>
              <w:top w:val="single" w:sz="4" w:space="0" w:color="auto"/>
            </w:tcBorders>
          </w:tcPr>
          <w:p w14:paraId="16566BA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560</w:t>
            </w:r>
          </w:p>
        </w:tc>
        <w:tc>
          <w:tcPr>
            <w:tcW w:w="299" w:type="pct"/>
            <w:tcBorders>
              <w:top w:val="single" w:sz="4" w:space="0" w:color="auto"/>
            </w:tcBorders>
          </w:tcPr>
          <w:p w14:paraId="0C6DB20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67546D4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2CF0D40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2E02A97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15</w:t>
            </w:r>
          </w:p>
        </w:tc>
        <w:tc>
          <w:tcPr>
            <w:tcW w:w="300" w:type="pct"/>
            <w:tcBorders>
              <w:top w:val="single" w:sz="4" w:space="0" w:color="auto"/>
            </w:tcBorders>
          </w:tcPr>
          <w:p w14:paraId="372D3345"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tcBorders>
              <w:top w:val="single" w:sz="4" w:space="0" w:color="auto"/>
            </w:tcBorders>
            <w:shd w:val="clear" w:color="auto" w:fill="FF0000"/>
            <w:vAlign w:val="center"/>
          </w:tcPr>
          <w:p w14:paraId="5C14B88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2.1</w:t>
            </w:r>
          </w:p>
        </w:tc>
        <w:tc>
          <w:tcPr>
            <w:tcW w:w="321" w:type="pct"/>
            <w:tcBorders>
              <w:top w:val="single" w:sz="4" w:space="0" w:color="auto"/>
            </w:tcBorders>
            <w:vAlign w:val="center"/>
          </w:tcPr>
          <w:p w14:paraId="21F70FE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39FF857E" w14:textId="77777777" w:rsidTr="000110FD">
        <w:trPr>
          <w:cantSplit/>
          <w:trHeight w:val="13"/>
        </w:trPr>
        <w:tc>
          <w:tcPr>
            <w:tcW w:w="492" w:type="pct"/>
            <w:vMerge/>
          </w:tcPr>
          <w:p w14:paraId="60DC94C0"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943860F"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7E7AAE09"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3737F23"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40E142E6"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1CD03B9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533</w:t>
            </w:r>
          </w:p>
        </w:tc>
        <w:tc>
          <w:tcPr>
            <w:tcW w:w="299" w:type="pct"/>
          </w:tcPr>
          <w:p w14:paraId="7B8AAEA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25B093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497E81F0"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54BBC0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14</w:t>
            </w:r>
          </w:p>
        </w:tc>
        <w:tc>
          <w:tcPr>
            <w:tcW w:w="300" w:type="pct"/>
          </w:tcPr>
          <w:p w14:paraId="15799C0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shd w:val="clear" w:color="auto" w:fill="FF0000"/>
            <w:vAlign w:val="center"/>
          </w:tcPr>
          <w:p w14:paraId="7563B4E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2.0</w:t>
            </w:r>
          </w:p>
        </w:tc>
        <w:tc>
          <w:tcPr>
            <w:tcW w:w="321" w:type="pct"/>
            <w:vAlign w:val="center"/>
          </w:tcPr>
          <w:p w14:paraId="0D20AFA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59E3F104" w14:textId="77777777" w:rsidTr="000110FD">
        <w:trPr>
          <w:cantSplit/>
          <w:trHeight w:val="13"/>
        </w:trPr>
        <w:tc>
          <w:tcPr>
            <w:tcW w:w="492" w:type="pct"/>
            <w:vMerge/>
          </w:tcPr>
          <w:p w14:paraId="1AB0F4DD"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1AE7DB5"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6E193DCD"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5964D263"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0BE815FB"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619FF4E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Pr>
          <w:p w14:paraId="50824C8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1BDD8D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B35749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CC7C58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9.9</w:t>
            </w:r>
          </w:p>
        </w:tc>
        <w:tc>
          <w:tcPr>
            <w:tcW w:w="300" w:type="pct"/>
          </w:tcPr>
          <w:p w14:paraId="06F20771"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shd w:val="clear" w:color="auto" w:fill="FF0000"/>
            <w:vAlign w:val="center"/>
          </w:tcPr>
          <w:p w14:paraId="0E14386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1.4</w:t>
            </w:r>
          </w:p>
        </w:tc>
        <w:tc>
          <w:tcPr>
            <w:tcW w:w="321" w:type="pct"/>
            <w:vAlign w:val="center"/>
          </w:tcPr>
          <w:p w14:paraId="38C432F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0D9EC645" w14:textId="77777777" w:rsidTr="000110FD">
        <w:trPr>
          <w:cantSplit/>
          <w:trHeight w:val="13"/>
        </w:trPr>
        <w:tc>
          <w:tcPr>
            <w:tcW w:w="492" w:type="pct"/>
            <w:vMerge/>
          </w:tcPr>
          <w:p w14:paraId="18A204A4"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A98C76B"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7227246B"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62AD00D3"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205847B"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48B836C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5E195C4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DF7268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D8CFA9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476DAB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8.0</w:t>
            </w:r>
          </w:p>
        </w:tc>
        <w:tc>
          <w:tcPr>
            <w:tcW w:w="300" w:type="pct"/>
          </w:tcPr>
          <w:p w14:paraId="5EB0454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shd w:val="clear" w:color="auto" w:fill="FF0000"/>
            <w:vAlign w:val="center"/>
          </w:tcPr>
          <w:p w14:paraId="2B5E057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1.1</w:t>
            </w:r>
          </w:p>
        </w:tc>
        <w:tc>
          <w:tcPr>
            <w:tcW w:w="321" w:type="pct"/>
            <w:vAlign w:val="center"/>
          </w:tcPr>
          <w:p w14:paraId="51037B5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201F149E" w14:textId="77777777" w:rsidTr="000110FD">
        <w:trPr>
          <w:cantSplit/>
          <w:trHeight w:val="13"/>
        </w:trPr>
        <w:tc>
          <w:tcPr>
            <w:tcW w:w="492" w:type="pct"/>
            <w:vMerge/>
          </w:tcPr>
          <w:p w14:paraId="1F28F180"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0C58A54"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35586F4A"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1CB23B42"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7C981BFE"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7276CCA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Pr>
          <w:p w14:paraId="52952D8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0017E2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45232C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073D3F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7.4</w:t>
            </w:r>
          </w:p>
        </w:tc>
        <w:tc>
          <w:tcPr>
            <w:tcW w:w="300" w:type="pct"/>
          </w:tcPr>
          <w:p w14:paraId="669871DE"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shd w:val="clear" w:color="auto" w:fill="FF0000"/>
            <w:vAlign w:val="center"/>
          </w:tcPr>
          <w:p w14:paraId="01552D2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1.1</w:t>
            </w:r>
          </w:p>
        </w:tc>
        <w:tc>
          <w:tcPr>
            <w:tcW w:w="321" w:type="pct"/>
            <w:vAlign w:val="center"/>
          </w:tcPr>
          <w:p w14:paraId="3BB1693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3D0408BF" w14:textId="77777777" w:rsidTr="000110FD">
        <w:trPr>
          <w:cantSplit/>
          <w:trHeight w:val="13"/>
        </w:trPr>
        <w:tc>
          <w:tcPr>
            <w:tcW w:w="492" w:type="pct"/>
            <w:vMerge/>
          </w:tcPr>
          <w:p w14:paraId="6366ACF7"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5066914"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11FA0CF2"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40CF49F3"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6B54C54B"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2E21BC2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5F3C831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F7D7EB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7C73144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65DD29C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4.9</w:t>
            </w:r>
          </w:p>
        </w:tc>
        <w:tc>
          <w:tcPr>
            <w:tcW w:w="300" w:type="pct"/>
          </w:tcPr>
          <w:p w14:paraId="70979BA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033BBEB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0.70</w:t>
            </w:r>
          </w:p>
        </w:tc>
        <w:tc>
          <w:tcPr>
            <w:tcW w:w="321" w:type="pct"/>
            <w:vAlign w:val="center"/>
          </w:tcPr>
          <w:p w14:paraId="260F88E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0798782C" w14:textId="77777777" w:rsidTr="000110FD">
        <w:trPr>
          <w:cantSplit/>
          <w:trHeight w:val="13"/>
        </w:trPr>
        <w:tc>
          <w:tcPr>
            <w:tcW w:w="492" w:type="pct"/>
            <w:vMerge/>
          </w:tcPr>
          <w:p w14:paraId="5ED05769"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9B630AE"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5D7685BC"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26F56752"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F898F74"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4B5126B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173</w:t>
            </w:r>
          </w:p>
        </w:tc>
        <w:tc>
          <w:tcPr>
            <w:tcW w:w="299" w:type="pct"/>
          </w:tcPr>
          <w:p w14:paraId="0347F31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A453EF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4D8DC83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5346331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4.6</w:t>
            </w:r>
          </w:p>
        </w:tc>
        <w:tc>
          <w:tcPr>
            <w:tcW w:w="300" w:type="pct"/>
          </w:tcPr>
          <w:p w14:paraId="47235FD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3320641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0.66</w:t>
            </w:r>
          </w:p>
        </w:tc>
        <w:tc>
          <w:tcPr>
            <w:tcW w:w="321" w:type="pct"/>
            <w:vAlign w:val="center"/>
          </w:tcPr>
          <w:p w14:paraId="7CACADE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32FE87B0" w14:textId="77777777" w:rsidTr="000110FD">
        <w:trPr>
          <w:cantSplit/>
          <w:trHeight w:val="13"/>
        </w:trPr>
        <w:tc>
          <w:tcPr>
            <w:tcW w:w="492" w:type="pct"/>
            <w:vMerge/>
          </w:tcPr>
          <w:p w14:paraId="7F46F032"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5F79A18D"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583793EF"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67331F60"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2F4780C4"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65239F5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150</w:t>
            </w:r>
          </w:p>
        </w:tc>
        <w:tc>
          <w:tcPr>
            <w:tcW w:w="299" w:type="pct"/>
          </w:tcPr>
          <w:p w14:paraId="22A4B90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45B150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541FB4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5F513E1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w:t>
            </w:r>
          </w:p>
        </w:tc>
        <w:tc>
          <w:tcPr>
            <w:tcW w:w="300" w:type="pct"/>
          </w:tcPr>
          <w:p w14:paraId="4AC8B347"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1092955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0.57</w:t>
            </w:r>
          </w:p>
        </w:tc>
        <w:tc>
          <w:tcPr>
            <w:tcW w:w="321" w:type="pct"/>
            <w:vAlign w:val="center"/>
          </w:tcPr>
          <w:p w14:paraId="62780FA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59C8340D" w14:textId="77777777" w:rsidTr="000110FD">
        <w:trPr>
          <w:cantSplit/>
          <w:trHeight w:val="13"/>
        </w:trPr>
        <w:tc>
          <w:tcPr>
            <w:tcW w:w="492" w:type="pct"/>
            <w:vMerge/>
          </w:tcPr>
          <w:p w14:paraId="69A83FFB"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76AB603D"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2797FF1F"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0D22FE97"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128D8E6C"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5B9D751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42A2B5F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772CD70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E41BD6D"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B0CB39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3.9</w:t>
            </w:r>
          </w:p>
        </w:tc>
        <w:tc>
          <w:tcPr>
            <w:tcW w:w="300" w:type="pct"/>
          </w:tcPr>
          <w:p w14:paraId="0151D1FE"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3AF1AA9B"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0.56</w:t>
            </w:r>
          </w:p>
        </w:tc>
        <w:tc>
          <w:tcPr>
            <w:tcW w:w="321" w:type="pct"/>
            <w:vAlign w:val="center"/>
          </w:tcPr>
          <w:p w14:paraId="642AD20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44035571" w14:textId="77777777" w:rsidTr="000110FD">
        <w:trPr>
          <w:cantSplit/>
          <w:trHeight w:val="13"/>
        </w:trPr>
        <w:tc>
          <w:tcPr>
            <w:tcW w:w="492" w:type="pct"/>
            <w:vMerge/>
          </w:tcPr>
          <w:p w14:paraId="7081CAEF"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E532876"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1744179A"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2A4A3588"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7BF459ED"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682AC9C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138</w:t>
            </w:r>
          </w:p>
        </w:tc>
        <w:tc>
          <w:tcPr>
            <w:tcW w:w="299" w:type="pct"/>
          </w:tcPr>
          <w:p w14:paraId="4C8C2B6A"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86A63F7"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6489C82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14CF8C2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3.7</w:t>
            </w:r>
          </w:p>
        </w:tc>
        <w:tc>
          <w:tcPr>
            <w:tcW w:w="300" w:type="pct"/>
          </w:tcPr>
          <w:p w14:paraId="794193A7"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63CA70C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0.53</w:t>
            </w:r>
          </w:p>
        </w:tc>
        <w:tc>
          <w:tcPr>
            <w:tcW w:w="321" w:type="pct"/>
            <w:vAlign w:val="center"/>
          </w:tcPr>
          <w:p w14:paraId="6855F0C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52C2061D" w14:textId="77777777" w:rsidTr="000110FD">
        <w:trPr>
          <w:cantSplit/>
          <w:trHeight w:val="23"/>
        </w:trPr>
        <w:tc>
          <w:tcPr>
            <w:tcW w:w="492" w:type="pct"/>
            <w:vMerge/>
          </w:tcPr>
          <w:p w14:paraId="4EF1A4A5"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27462A8E"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9DB508B"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7DADBEDB"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0D7FDA03" w14:textId="77777777" w:rsidR="000110FD"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7CDB61B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92</w:t>
            </w:r>
          </w:p>
        </w:tc>
        <w:tc>
          <w:tcPr>
            <w:tcW w:w="299" w:type="pct"/>
          </w:tcPr>
          <w:p w14:paraId="0740349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52D9A62"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188772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6B50971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2.5</w:t>
            </w:r>
          </w:p>
        </w:tc>
        <w:tc>
          <w:tcPr>
            <w:tcW w:w="300" w:type="pct"/>
          </w:tcPr>
          <w:p w14:paraId="0DC151D5"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4C6D1CC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0.35</w:t>
            </w:r>
          </w:p>
        </w:tc>
        <w:tc>
          <w:tcPr>
            <w:tcW w:w="321" w:type="pct"/>
            <w:vAlign w:val="center"/>
          </w:tcPr>
          <w:p w14:paraId="10F6450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6783FB59" w14:textId="77777777" w:rsidTr="000110FD">
        <w:trPr>
          <w:cantSplit/>
          <w:trHeight w:val="13"/>
        </w:trPr>
        <w:tc>
          <w:tcPr>
            <w:tcW w:w="492" w:type="pct"/>
            <w:vMerge/>
          </w:tcPr>
          <w:p w14:paraId="78715CB3"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2FFE3AE3"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4725D3AE"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136A36A"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7827CDE1" w14:textId="77777777" w:rsidR="000110FD" w:rsidRPr="002C4E1B" w:rsidRDefault="000110FD" w:rsidP="00E45161">
            <w:pPr>
              <w:pStyle w:val="TableText"/>
              <w:widowControl w:val="0"/>
              <w:suppressAutoHyphens w:val="0"/>
              <w:spacing w:before="0" w:after="0" w:line="240" w:lineRule="auto"/>
              <w:jc w:val="right"/>
              <w:rPr>
                <w:szCs w:val="17"/>
              </w:rPr>
            </w:pPr>
            <w:r w:rsidRPr="00C23AC6">
              <w:rPr>
                <w:szCs w:val="17"/>
              </w:rPr>
              <w:t>26.8</w:t>
            </w:r>
          </w:p>
        </w:tc>
        <w:tc>
          <w:tcPr>
            <w:tcW w:w="293" w:type="pct"/>
          </w:tcPr>
          <w:p w14:paraId="2A122FA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w:t>
            </w:r>
          </w:p>
        </w:tc>
        <w:tc>
          <w:tcPr>
            <w:tcW w:w="299" w:type="pct"/>
          </w:tcPr>
          <w:p w14:paraId="16BB819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2669EB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5E2F8A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0F698D96"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0.64</w:t>
            </w:r>
          </w:p>
        </w:tc>
        <w:tc>
          <w:tcPr>
            <w:tcW w:w="300" w:type="pct"/>
          </w:tcPr>
          <w:p w14:paraId="5F697D7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D1FAF">
              <w:t>7.0</w:t>
            </w:r>
          </w:p>
        </w:tc>
        <w:tc>
          <w:tcPr>
            <w:tcW w:w="301" w:type="pct"/>
            <w:vAlign w:val="center"/>
          </w:tcPr>
          <w:p w14:paraId="6CFE62F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0.092</w:t>
            </w:r>
          </w:p>
        </w:tc>
        <w:tc>
          <w:tcPr>
            <w:tcW w:w="321" w:type="pct"/>
            <w:vAlign w:val="center"/>
          </w:tcPr>
          <w:p w14:paraId="762794C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543E1A4B" w14:textId="77777777" w:rsidTr="00303DF5">
        <w:trPr>
          <w:cantSplit/>
          <w:trHeight w:val="13"/>
        </w:trPr>
        <w:tc>
          <w:tcPr>
            <w:tcW w:w="5000" w:type="pct"/>
            <w:gridSpan w:val="14"/>
            <w:tcBorders>
              <w:top w:val="single" w:sz="4" w:space="0" w:color="auto"/>
            </w:tcBorders>
          </w:tcPr>
          <w:p w14:paraId="4D4E69CF" w14:textId="77777777" w:rsidR="000110FD" w:rsidRPr="002C4E1B" w:rsidRDefault="000110FD" w:rsidP="00E45161">
            <w:pPr>
              <w:pStyle w:val="TableSubHead0"/>
              <w:rPr>
                <w:color w:val="1A1B1A"/>
              </w:rPr>
            </w:pPr>
            <w:r>
              <w:t>General weed control in lucerne (grazed before application)</w:t>
            </w:r>
          </w:p>
        </w:tc>
      </w:tr>
      <w:tr w:rsidR="000110FD" w:rsidRPr="002C4E1B" w14:paraId="166801FE" w14:textId="77777777" w:rsidTr="000110FD">
        <w:trPr>
          <w:cantSplit/>
          <w:trHeight w:val="13"/>
        </w:trPr>
        <w:tc>
          <w:tcPr>
            <w:tcW w:w="492" w:type="pct"/>
            <w:vMerge w:val="restart"/>
            <w:tcBorders>
              <w:top w:val="single" w:sz="4" w:space="0" w:color="auto"/>
            </w:tcBorders>
          </w:tcPr>
          <w:p w14:paraId="6D837EE4" w14:textId="77777777" w:rsidR="000110FD" w:rsidRPr="002C4E1B" w:rsidRDefault="000110FD" w:rsidP="00303DF5">
            <w:pPr>
              <w:pStyle w:val="TableText"/>
              <w:widowControl w:val="0"/>
              <w:suppressAutoHyphens w:val="0"/>
              <w:spacing w:before="0" w:after="0" w:line="240" w:lineRule="auto"/>
              <w:rPr>
                <w:szCs w:val="17"/>
              </w:rPr>
            </w:pPr>
            <w:r>
              <w:rPr>
                <w:szCs w:val="17"/>
              </w:rPr>
              <w:t>Legume forage</w:t>
            </w:r>
          </w:p>
        </w:tc>
        <w:tc>
          <w:tcPr>
            <w:tcW w:w="518" w:type="pct"/>
            <w:vMerge w:val="restart"/>
            <w:tcBorders>
              <w:top w:val="single" w:sz="4" w:space="0" w:color="auto"/>
            </w:tcBorders>
          </w:tcPr>
          <w:p w14:paraId="68A7F440"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0E522C2C" w14:textId="77777777" w:rsidR="000110FD" w:rsidRPr="002C4E1B" w:rsidRDefault="000110FD" w:rsidP="00303DF5">
            <w:pPr>
              <w:pStyle w:val="TableText"/>
              <w:widowControl w:val="0"/>
              <w:suppressAutoHyphens w:val="0"/>
              <w:spacing w:before="0" w:after="0" w:line="240" w:lineRule="auto"/>
              <w:rPr>
                <w:szCs w:val="17"/>
              </w:rPr>
            </w:pPr>
            <w:r>
              <w:rPr>
                <w:szCs w:val="17"/>
              </w:rPr>
              <w:t>BBCH 10-19</w:t>
            </w:r>
          </w:p>
        </w:tc>
        <w:tc>
          <w:tcPr>
            <w:tcW w:w="486" w:type="pct"/>
            <w:vMerge w:val="restart"/>
            <w:tcBorders>
              <w:top w:val="single" w:sz="4" w:space="0" w:color="auto"/>
            </w:tcBorders>
          </w:tcPr>
          <w:p w14:paraId="01753D33"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09B97D4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26.8</w:t>
            </w:r>
          </w:p>
        </w:tc>
        <w:tc>
          <w:tcPr>
            <w:tcW w:w="293" w:type="pct"/>
            <w:tcBorders>
              <w:top w:val="single" w:sz="4" w:space="0" w:color="auto"/>
            </w:tcBorders>
          </w:tcPr>
          <w:p w14:paraId="2C071B8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276</w:t>
            </w:r>
          </w:p>
        </w:tc>
        <w:tc>
          <w:tcPr>
            <w:tcW w:w="299" w:type="pct"/>
            <w:tcBorders>
              <w:top w:val="single" w:sz="4" w:space="0" w:color="auto"/>
            </w:tcBorders>
          </w:tcPr>
          <w:p w14:paraId="27B6F0A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03A1AA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401C754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1ECC24B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7.4</w:t>
            </w:r>
          </w:p>
        </w:tc>
        <w:tc>
          <w:tcPr>
            <w:tcW w:w="300" w:type="pct"/>
            <w:tcBorders>
              <w:top w:val="single" w:sz="4" w:space="0" w:color="auto"/>
            </w:tcBorders>
          </w:tcPr>
          <w:p w14:paraId="18AA0CB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8C02DA">
              <w:t>7.0</w:t>
            </w:r>
          </w:p>
        </w:tc>
        <w:tc>
          <w:tcPr>
            <w:tcW w:w="301" w:type="pct"/>
            <w:tcBorders>
              <w:top w:val="single" w:sz="4" w:space="0" w:color="auto"/>
            </w:tcBorders>
            <w:shd w:val="clear" w:color="auto" w:fill="FF0000"/>
            <w:vAlign w:val="center"/>
          </w:tcPr>
          <w:p w14:paraId="4EB6F98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1.1</w:t>
            </w:r>
          </w:p>
        </w:tc>
        <w:tc>
          <w:tcPr>
            <w:tcW w:w="321" w:type="pct"/>
            <w:tcBorders>
              <w:top w:val="single" w:sz="4" w:space="0" w:color="auto"/>
            </w:tcBorders>
            <w:vAlign w:val="center"/>
          </w:tcPr>
          <w:p w14:paraId="5C8FDEE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57EFD1A9" w14:textId="77777777" w:rsidTr="000110FD">
        <w:trPr>
          <w:cantSplit/>
          <w:trHeight w:val="13"/>
        </w:trPr>
        <w:tc>
          <w:tcPr>
            <w:tcW w:w="492" w:type="pct"/>
            <w:vMerge/>
          </w:tcPr>
          <w:p w14:paraId="2F212339"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25511328"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3258AA04"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0E7F360B"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41490EA0" w14:textId="77777777" w:rsidR="000110FD" w:rsidRDefault="000110FD" w:rsidP="00E45161">
            <w:pPr>
              <w:pStyle w:val="TableText"/>
              <w:widowControl w:val="0"/>
              <w:suppressAutoHyphens w:val="0"/>
              <w:spacing w:before="0" w:after="0" w:line="240" w:lineRule="auto"/>
              <w:jc w:val="right"/>
              <w:rPr>
                <w:szCs w:val="17"/>
              </w:rPr>
            </w:pPr>
            <w:r w:rsidRPr="006A785A">
              <w:rPr>
                <w:szCs w:val="17"/>
              </w:rPr>
              <w:t>26.8</w:t>
            </w:r>
          </w:p>
        </w:tc>
        <w:tc>
          <w:tcPr>
            <w:tcW w:w="293" w:type="pct"/>
          </w:tcPr>
          <w:p w14:paraId="2AC2E6AB"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12180019" w14:textId="77777777" w:rsidR="000110FD" w:rsidRDefault="000110FD" w:rsidP="00E45161">
            <w:pPr>
              <w:pStyle w:val="TableText"/>
              <w:widowControl w:val="0"/>
              <w:suppressAutoHyphens w:val="0"/>
              <w:spacing w:before="0" w:after="0" w:line="240" w:lineRule="auto"/>
              <w:jc w:val="right"/>
              <w:rPr>
                <w:szCs w:val="17"/>
              </w:rPr>
            </w:pPr>
            <w:r w:rsidRPr="0046111E">
              <w:rPr>
                <w:szCs w:val="17"/>
              </w:rPr>
              <w:t>1.0</w:t>
            </w:r>
          </w:p>
        </w:tc>
        <w:tc>
          <w:tcPr>
            <w:tcW w:w="298" w:type="pct"/>
          </w:tcPr>
          <w:p w14:paraId="3DC8679E" w14:textId="77777777" w:rsidR="000110FD" w:rsidRDefault="000110FD" w:rsidP="00E45161">
            <w:pPr>
              <w:pStyle w:val="TableText"/>
              <w:widowControl w:val="0"/>
              <w:suppressAutoHyphens w:val="0"/>
              <w:spacing w:before="0" w:after="0" w:line="240" w:lineRule="auto"/>
              <w:jc w:val="right"/>
              <w:rPr>
                <w:szCs w:val="17"/>
              </w:rPr>
            </w:pPr>
            <w:r w:rsidRPr="0046111E">
              <w:rPr>
                <w:szCs w:val="17"/>
              </w:rPr>
              <w:t>1.0</w:t>
            </w:r>
          </w:p>
        </w:tc>
        <w:tc>
          <w:tcPr>
            <w:tcW w:w="299" w:type="pct"/>
          </w:tcPr>
          <w:p w14:paraId="4C3BFC81" w14:textId="77777777" w:rsidR="000110FD" w:rsidRDefault="000110FD" w:rsidP="00E45161">
            <w:pPr>
              <w:pStyle w:val="TableText"/>
              <w:widowControl w:val="0"/>
              <w:suppressAutoHyphens w:val="0"/>
              <w:spacing w:before="0" w:after="0" w:line="240" w:lineRule="auto"/>
              <w:jc w:val="right"/>
              <w:rPr>
                <w:szCs w:val="17"/>
              </w:rPr>
            </w:pPr>
            <w:r w:rsidRPr="0046111E">
              <w:rPr>
                <w:szCs w:val="17"/>
              </w:rPr>
              <w:t>1.0</w:t>
            </w:r>
          </w:p>
        </w:tc>
        <w:tc>
          <w:tcPr>
            <w:tcW w:w="298" w:type="pct"/>
            <w:vAlign w:val="center"/>
          </w:tcPr>
          <w:p w14:paraId="3452AE1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4.9</w:t>
            </w:r>
          </w:p>
        </w:tc>
        <w:tc>
          <w:tcPr>
            <w:tcW w:w="300" w:type="pct"/>
          </w:tcPr>
          <w:p w14:paraId="62EE72C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8C02DA">
              <w:t>7.0</w:t>
            </w:r>
          </w:p>
        </w:tc>
        <w:tc>
          <w:tcPr>
            <w:tcW w:w="301" w:type="pct"/>
            <w:vAlign w:val="center"/>
          </w:tcPr>
          <w:p w14:paraId="70B68A9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0.70</w:t>
            </w:r>
          </w:p>
        </w:tc>
        <w:tc>
          <w:tcPr>
            <w:tcW w:w="321" w:type="pct"/>
            <w:vAlign w:val="center"/>
          </w:tcPr>
          <w:p w14:paraId="25EEDF0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5D1A94B5" w14:textId="77777777" w:rsidTr="000110FD">
        <w:trPr>
          <w:cantSplit/>
          <w:trHeight w:val="13"/>
        </w:trPr>
        <w:tc>
          <w:tcPr>
            <w:tcW w:w="492" w:type="pct"/>
            <w:vMerge/>
          </w:tcPr>
          <w:p w14:paraId="264B155D"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297F69E0"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180D8F18" w14:textId="77777777" w:rsidR="000110FD" w:rsidRDefault="000110FD" w:rsidP="00303DF5">
            <w:pPr>
              <w:pStyle w:val="TableText"/>
              <w:widowControl w:val="0"/>
              <w:suppressAutoHyphens w:val="0"/>
              <w:spacing w:before="0" w:after="0" w:line="240" w:lineRule="auto"/>
              <w:rPr>
                <w:szCs w:val="17"/>
              </w:rPr>
            </w:pPr>
          </w:p>
        </w:tc>
        <w:tc>
          <w:tcPr>
            <w:tcW w:w="486" w:type="pct"/>
            <w:vMerge/>
          </w:tcPr>
          <w:p w14:paraId="5B374197" w14:textId="77777777" w:rsidR="000110FD" w:rsidRDefault="000110FD" w:rsidP="00303DF5">
            <w:pPr>
              <w:pStyle w:val="TableText"/>
              <w:widowControl w:val="0"/>
              <w:suppressAutoHyphens w:val="0"/>
              <w:spacing w:before="0" w:after="0" w:line="240" w:lineRule="auto"/>
              <w:jc w:val="center"/>
              <w:rPr>
                <w:szCs w:val="17"/>
              </w:rPr>
            </w:pPr>
          </w:p>
        </w:tc>
        <w:tc>
          <w:tcPr>
            <w:tcW w:w="537" w:type="pct"/>
          </w:tcPr>
          <w:p w14:paraId="71DC2EB2" w14:textId="77777777" w:rsidR="000110FD" w:rsidRDefault="000110FD" w:rsidP="00E45161">
            <w:pPr>
              <w:pStyle w:val="TableText"/>
              <w:widowControl w:val="0"/>
              <w:suppressAutoHyphens w:val="0"/>
              <w:spacing w:before="0" w:after="0" w:line="240" w:lineRule="auto"/>
              <w:jc w:val="right"/>
              <w:rPr>
                <w:szCs w:val="17"/>
              </w:rPr>
            </w:pPr>
            <w:r w:rsidRPr="006A785A">
              <w:rPr>
                <w:szCs w:val="17"/>
              </w:rPr>
              <w:t>26.8</w:t>
            </w:r>
          </w:p>
        </w:tc>
        <w:tc>
          <w:tcPr>
            <w:tcW w:w="293" w:type="pct"/>
          </w:tcPr>
          <w:p w14:paraId="26F851A2" w14:textId="77777777" w:rsidR="000110FD" w:rsidRDefault="000110FD" w:rsidP="00E45161">
            <w:pPr>
              <w:pStyle w:val="TableText"/>
              <w:widowControl w:val="0"/>
              <w:suppressAutoHyphens w:val="0"/>
              <w:spacing w:before="0" w:after="0" w:line="240" w:lineRule="auto"/>
              <w:jc w:val="right"/>
              <w:rPr>
                <w:szCs w:val="17"/>
              </w:rPr>
            </w:pPr>
            <w:r>
              <w:rPr>
                <w:szCs w:val="17"/>
              </w:rPr>
              <w:t>140</w:t>
            </w:r>
          </w:p>
        </w:tc>
        <w:tc>
          <w:tcPr>
            <w:tcW w:w="299" w:type="pct"/>
          </w:tcPr>
          <w:p w14:paraId="1F608E24" w14:textId="77777777" w:rsidR="000110FD" w:rsidRDefault="000110FD" w:rsidP="00E45161">
            <w:pPr>
              <w:pStyle w:val="TableText"/>
              <w:widowControl w:val="0"/>
              <w:suppressAutoHyphens w:val="0"/>
              <w:spacing w:before="0" w:after="0" w:line="240" w:lineRule="auto"/>
              <w:jc w:val="right"/>
              <w:rPr>
                <w:szCs w:val="17"/>
              </w:rPr>
            </w:pPr>
            <w:r w:rsidRPr="0046111E">
              <w:rPr>
                <w:szCs w:val="17"/>
              </w:rPr>
              <w:t>1.0</w:t>
            </w:r>
          </w:p>
        </w:tc>
        <w:tc>
          <w:tcPr>
            <w:tcW w:w="298" w:type="pct"/>
          </w:tcPr>
          <w:p w14:paraId="5639D032" w14:textId="77777777" w:rsidR="000110FD" w:rsidRDefault="000110FD" w:rsidP="00E45161">
            <w:pPr>
              <w:pStyle w:val="TableText"/>
              <w:widowControl w:val="0"/>
              <w:suppressAutoHyphens w:val="0"/>
              <w:spacing w:before="0" w:after="0" w:line="240" w:lineRule="auto"/>
              <w:jc w:val="right"/>
              <w:rPr>
                <w:szCs w:val="17"/>
              </w:rPr>
            </w:pPr>
            <w:r w:rsidRPr="0046111E">
              <w:rPr>
                <w:szCs w:val="17"/>
              </w:rPr>
              <w:t>1.0</w:t>
            </w:r>
          </w:p>
        </w:tc>
        <w:tc>
          <w:tcPr>
            <w:tcW w:w="299" w:type="pct"/>
          </w:tcPr>
          <w:p w14:paraId="02F4F532" w14:textId="77777777" w:rsidR="000110FD" w:rsidRDefault="000110FD" w:rsidP="00E45161">
            <w:pPr>
              <w:pStyle w:val="TableText"/>
              <w:widowControl w:val="0"/>
              <w:suppressAutoHyphens w:val="0"/>
              <w:spacing w:before="0" w:after="0" w:line="240" w:lineRule="auto"/>
              <w:jc w:val="right"/>
              <w:rPr>
                <w:szCs w:val="17"/>
              </w:rPr>
            </w:pPr>
            <w:r w:rsidRPr="0046111E">
              <w:rPr>
                <w:szCs w:val="17"/>
              </w:rPr>
              <w:t>1.0</w:t>
            </w:r>
          </w:p>
        </w:tc>
        <w:tc>
          <w:tcPr>
            <w:tcW w:w="298" w:type="pct"/>
            <w:vAlign w:val="center"/>
          </w:tcPr>
          <w:p w14:paraId="0A6F294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3.8</w:t>
            </w:r>
          </w:p>
        </w:tc>
        <w:tc>
          <w:tcPr>
            <w:tcW w:w="300" w:type="pct"/>
          </w:tcPr>
          <w:p w14:paraId="658F3F6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8C02DA">
              <w:t>7.0</w:t>
            </w:r>
          </w:p>
        </w:tc>
        <w:tc>
          <w:tcPr>
            <w:tcW w:w="301" w:type="pct"/>
            <w:vAlign w:val="center"/>
          </w:tcPr>
          <w:p w14:paraId="4380C64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0.54</w:t>
            </w:r>
          </w:p>
        </w:tc>
        <w:tc>
          <w:tcPr>
            <w:tcW w:w="321" w:type="pct"/>
            <w:vAlign w:val="center"/>
          </w:tcPr>
          <w:p w14:paraId="3E444BB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136B7048" w14:textId="77777777" w:rsidTr="000110FD">
        <w:trPr>
          <w:cantSplit/>
          <w:trHeight w:val="13"/>
        </w:trPr>
        <w:tc>
          <w:tcPr>
            <w:tcW w:w="492" w:type="pct"/>
            <w:vMerge/>
          </w:tcPr>
          <w:p w14:paraId="5FC7D80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10B7F43E"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7C21A49E"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31B54726"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2773920" w14:textId="77777777" w:rsidR="000110FD" w:rsidRPr="002C4E1B" w:rsidRDefault="000110FD" w:rsidP="00E45161">
            <w:pPr>
              <w:pStyle w:val="TableText"/>
              <w:widowControl w:val="0"/>
              <w:suppressAutoHyphens w:val="0"/>
              <w:spacing w:before="0" w:after="0" w:line="240" w:lineRule="auto"/>
              <w:jc w:val="right"/>
              <w:rPr>
                <w:szCs w:val="17"/>
              </w:rPr>
            </w:pPr>
            <w:r w:rsidRPr="006A785A">
              <w:rPr>
                <w:szCs w:val="17"/>
              </w:rPr>
              <w:t>26.8</w:t>
            </w:r>
          </w:p>
        </w:tc>
        <w:tc>
          <w:tcPr>
            <w:tcW w:w="293" w:type="pct"/>
          </w:tcPr>
          <w:p w14:paraId="02D73C9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70</w:t>
            </w:r>
          </w:p>
        </w:tc>
        <w:tc>
          <w:tcPr>
            <w:tcW w:w="299" w:type="pct"/>
          </w:tcPr>
          <w:p w14:paraId="163B6C8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0BE64F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3330E0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8ADD6E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1.9</w:t>
            </w:r>
          </w:p>
        </w:tc>
        <w:tc>
          <w:tcPr>
            <w:tcW w:w="300" w:type="pct"/>
          </w:tcPr>
          <w:p w14:paraId="401AD97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8C02DA">
              <w:t>7.0</w:t>
            </w:r>
          </w:p>
        </w:tc>
        <w:tc>
          <w:tcPr>
            <w:tcW w:w="301" w:type="pct"/>
            <w:vAlign w:val="center"/>
          </w:tcPr>
          <w:p w14:paraId="61147AAC"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0.27</w:t>
            </w:r>
          </w:p>
        </w:tc>
        <w:tc>
          <w:tcPr>
            <w:tcW w:w="321" w:type="pct"/>
            <w:vAlign w:val="center"/>
          </w:tcPr>
          <w:p w14:paraId="69B3024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261</w:t>
            </w:r>
          </w:p>
        </w:tc>
      </w:tr>
      <w:tr w:rsidR="000110FD" w:rsidRPr="002C4E1B" w14:paraId="10E48A6A" w14:textId="77777777" w:rsidTr="00303DF5">
        <w:trPr>
          <w:cantSplit/>
          <w:trHeight w:val="13"/>
        </w:trPr>
        <w:tc>
          <w:tcPr>
            <w:tcW w:w="5000" w:type="pct"/>
            <w:gridSpan w:val="14"/>
            <w:tcBorders>
              <w:top w:val="single" w:sz="4" w:space="0" w:color="auto"/>
            </w:tcBorders>
          </w:tcPr>
          <w:p w14:paraId="1BBF31C1" w14:textId="77777777" w:rsidR="000110FD" w:rsidRPr="002C4E1B" w:rsidRDefault="000110FD" w:rsidP="00E45161">
            <w:pPr>
              <w:pStyle w:val="TableSubHead0"/>
              <w:rPr>
                <w:color w:val="1A1B1A"/>
              </w:rPr>
            </w:pPr>
            <w:r w:rsidRPr="00B5044A">
              <w:lastRenderedPageBreak/>
              <w:t xml:space="preserve">Pre-harvest desiccation in </w:t>
            </w:r>
            <w:r>
              <w:t>lucerne and lupins</w:t>
            </w:r>
          </w:p>
        </w:tc>
      </w:tr>
      <w:tr w:rsidR="000110FD" w:rsidRPr="002C4E1B" w14:paraId="2FE13924" w14:textId="77777777" w:rsidTr="000110FD">
        <w:trPr>
          <w:cantSplit/>
          <w:trHeight w:val="13"/>
        </w:trPr>
        <w:tc>
          <w:tcPr>
            <w:tcW w:w="492" w:type="pct"/>
            <w:tcBorders>
              <w:top w:val="single" w:sz="4" w:space="0" w:color="auto"/>
            </w:tcBorders>
          </w:tcPr>
          <w:p w14:paraId="2A9EBB0F" w14:textId="77777777" w:rsidR="000110FD" w:rsidRPr="002C4E1B" w:rsidRDefault="000110FD" w:rsidP="00303DF5">
            <w:pPr>
              <w:pStyle w:val="TableText"/>
              <w:widowControl w:val="0"/>
              <w:suppressAutoHyphens w:val="0"/>
              <w:spacing w:before="0" w:after="0" w:line="240" w:lineRule="auto"/>
              <w:rPr>
                <w:szCs w:val="17"/>
              </w:rPr>
            </w:pPr>
            <w:r>
              <w:rPr>
                <w:szCs w:val="17"/>
              </w:rPr>
              <w:t>Legume forage</w:t>
            </w:r>
          </w:p>
        </w:tc>
        <w:tc>
          <w:tcPr>
            <w:tcW w:w="518" w:type="pct"/>
            <w:tcBorders>
              <w:top w:val="single" w:sz="4" w:space="0" w:color="auto"/>
            </w:tcBorders>
          </w:tcPr>
          <w:p w14:paraId="267AEAEB"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tcBorders>
              <w:top w:val="single" w:sz="4" w:space="0" w:color="auto"/>
            </w:tcBorders>
          </w:tcPr>
          <w:p w14:paraId="54930340" w14:textId="77777777" w:rsidR="000110FD" w:rsidRPr="002C4E1B" w:rsidRDefault="000110FD" w:rsidP="00303DF5">
            <w:pPr>
              <w:pStyle w:val="TableText"/>
              <w:widowControl w:val="0"/>
              <w:suppressAutoHyphens w:val="0"/>
              <w:spacing w:before="0" w:after="0" w:line="240" w:lineRule="auto"/>
              <w:rPr>
                <w:szCs w:val="17"/>
              </w:rPr>
            </w:pPr>
            <w:r>
              <w:rPr>
                <w:szCs w:val="17"/>
              </w:rPr>
              <w:t>BBCH ≥20</w:t>
            </w:r>
          </w:p>
        </w:tc>
        <w:tc>
          <w:tcPr>
            <w:tcW w:w="486" w:type="pct"/>
            <w:tcBorders>
              <w:top w:val="single" w:sz="4" w:space="0" w:color="auto"/>
            </w:tcBorders>
          </w:tcPr>
          <w:p w14:paraId="26F08BD6"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7531658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25.2</w:t>
            </w:r>
          </w:p>
        </w:tc>
        <w:tc>
          <w:tcPr>
            <w:tcW w:w="293" w:type="pct"/>
            <w:tcBorders>
              <w:top w:val="single" w:sz="4" w:space="0" w:color="auto"/>
            </w:tcBorders>
          </w:tcPr>
          <w:p w14:paraId="0312107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670E864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3419AC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76DC688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00A252B8"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15</w:t>
            </w:r>
          </w:p>
        </w:tc>
        <w:tc>
          <w:tcPr>
            <w:tcW w:w="300" w:type="pct"/>
            <w:tcBorders>
              <w:top w:val="single" w:sz="4" w:space="0" w:color="auto"/>
            </w:tcBorders>
          </w:tcPr>
          <w:p w14:paraId="6E4C0A5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Borders>
              <w:top w:val="single" w:sz="4" w:space="0" w:color="auto"/>
            </w:tcBorders>
            <w:shd w:val="clear" w:color="auto" w:fill="FF0000"/>
          </w:tcPr>
          <w:p w14:paraId="7634F5CE" w14:textId="77777777" w:rsidR="000110FD" w:rsidRPr="00104E3B" w:rsidRDefault="000110FD" w:rsidP="00E45161">
            <w:pPr>
              <w:pStyle w:val="TableText"/>
              <w:widowControl w:val="0"/>
              <w:suppressAutoHyphens w:val="0"/>
              <w:spacing w:before="0" w:after="0" w:line="240" w:lineRule="auto"/>
              <w:jc w:val="right"/>
              <w:rPr>
                <w:b/>
                <w:bCs/>
                <w:color w:val="1A1B1A"/>
                <w:szCs w:val="17"/>
              </w:rPr>
            </w:pPr>
            <w:r w:rsidRPr="00104E3B">
              <w:rPr>
                <w:b/>
                <w:bCs/>
                <w:color w:val="1A1B1A"/>
                <w:szCs w:val="17"/>
              </w:rPr>
              <w:t>2.2</w:t>
            </w:r>
          </w:p>
        </w:tc>
        <w:tc>
          <w:tcPr>
            <w:tcW w:w="321" w:type="pct"/>
            <w:tcBorders>
              <w:top w:val="single" w:sz="4" w:space="0" w:color="auto"/>
            </w:tcBorders>
          </w:tcPr>
          <w:p w14:paraId="68C6DB8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278</w:t>
            </w:r>
          </w:p>
        </w:tc>
      </w:tr>
      <w:tr w:rsidR="000110FD" w:rsidRPr="002C4E1B" w14:paraId="09B90986" w14:textId="77777777" w:rsidTr="00303DF5">
        <w:trPr>
          <w:cantSplit/>
          <w:trHeight w:val="13"/>
        </w:trPr>
        <w:tc>
          <w:tcPr>
            <w:tcW w:w="5000" w:type="pct"/>
            <w:gridSpan w:val="14"/>
            <w:tcBorders>
              <w:top w:val="single" w:sz="4" w:space="0" w:color="auto"/>
            </w:tcBorders>
          </w:tcPr>
          <w:p w14:paraId="6E59E527" w14:textId="77777777" w:rsidR="000110FD" w:rsidRPr="002C4E1B" w:rsidRDefault="000110FD" w:rsidP="00E45161">
            <w:pPr>
              <w:pStyle w:val="TableSubHead0"/>
              <w:rPr>
                <w:color w:val="1A1B1A"/>
                <w:szCs w:val="17"/>
              </w:rPr>
            </w:pPr>
            <w:r>
              <w:t>General weed control in sugarcane (over the top spray)</w:t>
            </w:r>
          </w:p>
        </w:tc>
      </w:tr>
      <w:tr w:rsidR="000110FD" w:rsidRPr="002C4E1B" w14:paraId="4681A537" w14:textId="77777777" w:rsidTr="000110FD">
        <w:trPr>
          <w:cantSplit/>
          <w:trHeight w:val="13"/>
        </w:trPr>
        <w:tc>
          <w:tcPr>
            <w:tcW w:w="492" w:type="pct"/>
            <w:vMerge w:val="restart"/>
            <w:tcBorders>
              <w:top w:val="single" w:sz="4" w:space="0" w:color="auto"/>
            </w:tcBorders>
          </w:tcPr>
          <w:p w14:paraId="1AAF1301" w14:textId="77777777" w:rsidR="000110FD" w:rsidRPr="002C4E1B" w:rsidRDefault="000110FD" w:rsidP="00303DF5">
            <w:pPr>
              <w:pStyle w:val="TableText"/>
              <w:widowControl w:val="0"/>
              <w:suppressAutoHyphens w:val="0"/>
              <w:spacing w:before="0" w:after="0" w:line="240" w:lineRule="auto"/>
              <w:rPr>
                <w:szCs w:val="17"/>
              </w:rPr>
            </w:pPr>
            <w:r>
              <w:rPr>
                <w:szCs w:val="17"/>
              </w:rPr>
              <w:t>Maize</w:t>
            </w:r>
          </w:p>
        </w:tc>
        <w:tc>
          <w:tcPr>
            <w:tcW w:w="518" w:type="pct"/>
            <w:vMerge w:val="restart"/>
            <w:tcBorders>
              <w:top w:val="single" w:sz="4" w:space="0" w:color="auto"/>
            </w:tcBorders>
          </w:tcPr>
          <w:p w14:paraId="4978BF1E" w14:textId="77777777" w:rsidR="000110FD" w:rsidRPr="002C4E1B" w:rsidRDefault="000110FD" w:rsidP="00303DF5">
            <w:pPr>
              <w:pStyle w:val="TableText"/>
              <w:widowControl w:val="0"/>
              <w:suppressAutoHyphens w:val="0"/>
              <w:spacing w:before="0" w:after="0" w:line="240" w:lineRule="auto"/>
              <w:rPr>
                <w:szCs w:val="17"/>
              </w:rPr>
            </w:pPr>
            <w:r>
              <w:rPr>
                <w:szCs w:val="17"/>
              </w:rPr>
              <w:t>Medium herbivore/ granivore</w:t>
            </w:r>
          </w:p>
        </w:tc>
        <w:tc>
          <w:tcPr>
            <w:tcW w:w="559" w:type="pct"/>
            <w:gridSpan w:val="2"/>
            <w:vMerge w:val="restart"/>
            <w:tcBorders>
              <w:top w:val="single" w:sz="4" w:space="0" w:color="auto"/>
            </w:tcBorders>
          </w:tcPr>
          <w:p w14:paraId="3848ACC1" w14:textId="77777777" w:rsidR="000110FD" w:rsidRPr="002C4E1B" w:rsidRDefault="000110FD" w:rsidP="00303DF5">
            <w:pPr>
              <w:pStyle w:val="TableText"/>
              <w:widowControl w:val="0"/>
              <w:suppressAutoHyphens w:val="0"/>
              <w:spacing w:before="0" w:after="0" w:line="240" w:lineRule="auto"/>
              <w:rPr>
                <w:szCs w:val="17"/>
              </w:rPr>
            </w:pPr>
            <w:r>
              <w:rPr>
                <w:szCs w:val="17"/>
              </w:rPr>
              <w:t>BBCH 10-29</w:t>
            </w:r>
          </w:p>
        </w:tc>
        <w:tc>
          <w:tcPr>
            <w:tcW w:w="486" w:type="pct"/>
            <w:vMerge w:val="restart"/>
            <w:tcBorders>
              <w:top w:val="single" w:sz="4" w:space="0" w:color="auto"/>
            </w:tcBorders>
          </w:tcPr>
          <w:p w14:paraId="57182D32"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shd w:val="clear" w:color="auto" w:fill="D5D7D5" w:themeFill="text1" w:themeFillTint="33"/>
          </w:tcPr>
          <w:p w14:paraId="558AC32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41.7</w:t>
            </w:r>
            <w:r w:rsidRPr="00922E17">
              <w:rPr>
                <w:szCs w:val="17"/>
                <w:vertAlign w:val="superscript"/>
              </w:rPr>
              <w:t>b</w:t>
            </w:r>
          </w:p>
        </w:tc>
        <w:tc>
          <w:tcPr>
            <w:tcW w:w="293" w:type="pct"/>
            <w:tcBorders>
              <w:top w:val="single" w:sz="4" w:space="0" w:color="auto"/>
            </w:tcBorders>
          </w:tcPr>
          <w:p w14:paraId="476CE5B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230</w:t>
            </w:r>
          </w:p>
        </w:tc>
        <w:tc>
          <w:tcPr>
            <w:tcW w:w="299" w:type="pct"/>
            <w:tcBorders>
              <w:top w:val="single" w:sz="4" w:space="0" w:color="auto"/>
            </w:tcBorders>
          </w:tcPr>
          <w:p w14:paraId="37B65D3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6A2249B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4071CED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6917CE4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Borders>
              <w:top w:val="single" w:sz="4" w:space="0" w:color="auto"/>
            </w:tcBorders>
          </w:tcPr>
          <w:p w14:paraId="5151C6B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F40296">
              <w:t>7.0</w:t>
            </w:r>
          </w:p>
        </w:tc>
        <w:tc>
          <w:tcPr>
            <w:tcW w:w="301" w:type="pct"/>
            <w:tcBorders>
              <w:top w:val="single" w:sz="4" w:space="0" w:color="auto"/>
            </w:tcBorders>
            <w:shd w:val="clear" w:color="auto" w:fill="FF0000"/>
            <w:vAlign w:val="center"/>
          </w:tcPr>
          <w:p w14:paraId="494178E1" w14:textId="77777777" w:rsidR="000110FD" w:rsidRPr="00922E17" w:rsidRDefault="000110FD" w:rsidP="00E45161">
            <w:pPr>
              <w:pStyle w:val="TableText"/>
              <w:widowControl w:val="0"/>
              <w:suppressAutoHyphens w:val="0"/>
              <w:spacing w:before="0" w:after="0" w:line="240" w:lineRule="auto"/>
              <w:jc w:val="right"/>
              <w:rPr>
                <w:b/>
                <w:bCs/>
                <w:color w:val="1A1B1A"/>
                <w:szCs w:val="17"/>
              </w:rPr>
            </w:pPr>
            <w:r w:rsidRPr="00922E17">
              <w:rPr>
                <w:b/>
                <w:bCs/>
                <w:color w:val="1A1B1A"/>
                <w:szCs w:val="17"/>
              </w:rPr>
              <w:t>1.4</w:t>
            </w:r>
          </w:p>
        </w:tc>
        <w:tc>
          <w:tcPr>
            <w:tcW w:w="321" w:type="pct"/>
            <w:tcBorders>
              <w:top w:val="single" w:sz="4" w:space="0" w:color="auto"/>
            </w:tcBorders>
            <w:vAlign w:val="center"/>
          </w:tcPr>
          <w:p w14:paraId="6FC7292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168</w:t>
            </w:r>
          </w:p>
        </w:tc>
      </w:tr>
      <w:tr w:rsidR="000110FD" w:rsidRPr="002C4E1B" w14:paraId="70FBE7C7" w14:textId="77777777" w:rsidTr="000110FD">
        <w:trPr>
          <w:cantSplit/>
          <w:trHeight w:val="13"/>
        </w:trPr>
        <w:tc>
          <w:tcPr>
            <w:tcW w:w="492" w:type="pct"/>
            <w:vMerge/>
            <w:tcBorders>
              <w:bottom w:val="single" w:sz="4" w:space="0" w:color="auto"/>
            </w:tcBorders>
          </w:tcPr>
          <w:p w14:paraId="76ABFABB"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Borders>
              <w:bottom w:val="single" w:sz="4" w:space="0" w:color="auto"/>
            </w:tcBorders>
          </w:tcPr>
          <w:p w14:paraId="3EBECA46"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Borders>
              <w:bottom w:val="single" w:sz="4" w:space="0" w:color="auto"/>
            </w:tcBorders>
          </w:tcPr>
          <w:p w14:paraId="3862C076"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Borders>
              <w:bottom w:val="single" w:sz="4" w:space="0" w:color="auto"/>
            </w:tcBorders>
          </w:tcPr>
          <w:p w14:paraId="3F7E5153"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shd w:val="clear" w:color="auto" w:fill="D5D7D5" w:themeFill="text1" w:themeFillTint="33"/>
          </w:tcPr>
          <w:p w14:paraId="6C02AA8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41.7</w:t>
            </w:r>
            <w:r w:rsidRPr="00922E17">
              <w:rPr>
                <w:szCs w:val="17"/>
                <w:vertAlign w:val="superscript"/>
              </w:rPr>
              <w:t>b</w:t>
            </w:r>
          </w:p>
        </w:tc>
        <w:tc>
          <w:tcPr>
            <w:tcW w:w="293" w:type="pct"/>
            <w:tcBorders>
              <w:bottom w:val="single" w:sz="4" w:space="0" w:color="auto"/>
            </w:tcBorders>
          </w:tcPr>
          <w:p w14:paraId="3D55D56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Borders>
              <w:bottom w:val="single" w:sz="4" w:space="0" w:color="auto"/>
            </w:tcBorders>
          </w:tcPr>
          <w:p w14:paraId="20E9167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290F3CE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48A03ED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vAlign w:val="center"/>
          </w:tcPr>
          <w:p w14:paraId="469683A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7.7</w:t>
            </w:r>
          </w:p>
        </w:tc>
        <w:tc>
          <w:tcPr>
            <w:tcW w:w="300" w:type="pct"/>
            <w:tcBorders>
              <w:bottom w:val="single" w:sz="4" w:space="0" w:color="auto"/>
            </w:tcBorders>
          </w:tcPr>
          <w:p w14:paraId="1746AD6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F40296">
              <w:t>7.0</w:t>
            </w:r>
          </w:p>
        </w:tc>
        <w:tc>
          <w:tcPr>
            <w:tcW w:w="301" w:type="pct"/>
            <w:tcBorders>
              <w:bottom w:val="single" w:sz="4" w:space="0" w:color="auto"/>
            </w:tcBorders>
            <w:shd w:val="clear" w:color="auto" w:fill="FF0000"/>
            <w:vAlign w:val="center"/>
          </w:tcPr>
          <w:p w14:paraId="0D777103" w14:textId="77777777" w:rsidR="000110FD" w:rsidRPr="00922E17" w:rsidRDefault="000110FD" w:rsidP="00E45161">
            <w:pPr>
              <w:pStyle w:val="TableText"/>
              <w:widowControl w:val="0"/>
              <w:suppressAutoHyphens w:val="0"/>
              <w:spacing w:before="0" w:after="0" w:line="240" w:lineRule="auto"/>
              <w:jc w:val="right"/>
              <w:rPr>
                <w:b/>
                <w:bCs/>
                <w:color w:val="1A1B1A"/>
                <w:szCs w:val="17"/>
              </w:rPr>
            </w:pPr>
            <w:r w:rsidRPr="00922E17">
              <w:rPr>
                <w:b/>
                <w:bCs/>
                <w:color w:val="1A1B1A"/>
                <w:szCs w:val="17"/>
              </w:rPr>
              <w:t>1.1</w:t>
            </w:r>
          </w:p>
        </w:tc>
        <w:tc>
          <w:tcPr>
            <w:tcW w:w="321" w:type="pct"/>
            <w:tcBorders>
              <w:bottom w:val="single" w:sz="4" w:space="0" w:color="auto"/>
            </w:tcBorders>
            <w:vAlign w:val="center"/>
          </w:tcPr>
          <w:p w14:paraId="3A3727B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168</w:t>
            </w:r>
          </w:p>
        </w:tc>
      </w:tr>
      <w:tr w:rsidR="000110FD" w14:paraId="5CF40578" w14:textId="77777777" w:rsidTr="00303DF5">
        <w:trPr>
          <w:cantSplit/>
          <w:trHeight w:val="13"/>
        </w:trPr>
        <w:tc>
          <w:tcPr>
            <w:tcW w:w="5000" w:type="pct"/>
            <w:gridSpan w:val="14"/>
            <w:tcBorders>
              <w:top w:val="single" w:sz="4" w:space="0" w:color="auto"/>
              <w:bottom w:val="single" w:sz="4" w:space="0" w:color="auto"/>
            </w:tcBorders>
          </w:tcPr>
          <w:p w14:paraId="0AF7BC00" w14:textId="77777777" w:rsidR="000110FD" w:rsidRDefault="000110FD" w:rsidP="00E45161">
            <w:pPr>
              <w:pStyle w:val="TableSubHead0"/>
              <w:rPr>
                <w:color w:val="1A1B1A"/>
                <w:szCs w:val="17"/>
              </w:rPr>
            </w:pPr>
            <w:r>
              <w:t>General weed control in sugarcane (inter-row spray)</w:t>
            </w:r>
          </w:p>
        </w:tc>
      </w:tr>
      <w:tr w:rsidR="000110FD" w14:paraId="561F0C18" w14:textId="77777777" w:rsidTr="000110FD">
        <w:trPr>
          <w:cantSplit/>
          <w:trHeight w:val="13"/>
        </w:trPr>
        <w:tc>
          <w:tcPr>
            <w:tcW w:w="492" w:type="pct"/>
            <w:vMerge w:val="restart"/>
            <w:tcBorders>
              <w:top w:val="single" w:sz="4" w:space="0" w:color="auto"/>
            </w:tcBorders>
          </w:tcPr>
          <w:p w14:paraId="1882B2A6" w14:textId="77777777" w:rsidR="000110FD" w:rsidRPr="002C4E1B" w:rsidRDefault="000110FD" w:rsidP="00303DF5">
            <w:pPr>
              <w:pStyle w:val="TableText"/>
              <w:widowControl w:val="0"/>
              <w:suppressAutoHyphens w:val="0"/>
              <w:spacing w:before="0" w:after="0" w:line="240" w:lineRule="auto"/>
              <w:rPr>
                <w:szCs w:val="17"/>
              </w:rPr>
            </w:pPr>
            <w:r>
              <w:rPr>
                <w:szCs w:val="17"/>
              </w:rPr>
              <w:t>Maize</w:t>
            </w:r>
          </w:p>
        </w:tc>
        <w:tc>
          <w:tcPr>
            <w:tcW w:w="518" w:type="pct"/>
            <w:vMerge w:val="restart"/>
            <w:tcBorders>
              <w:top w:val="single" w:sz="4" w:space="0" w:color="auto"/>
            </w:tcBorders>
          </w:tcPr>
          <w:p w14:paraId="690C4CEA" w14:textId="77777777" w:rsidR="000110FD" w:rsidRPr="002C4E1B" w:rsidRDefault="000110FD" w:rsidP="00303DF5">
            <w:pPr>
              <w:pStyle w:val="TableText"/>
              <w:widowControl w:val="0"/>
              <w:suppressAutoHyphens w:val="0"/>
              <w:spacing w:before="0" w:after="0" w:line="240" w:lineRule="auto"/>
              <w:rPr>
                <w:szCs w:val="17"/>
              </w:rPr>
            </w:pPr>
            <w:r>
              <w:rPr>
                <w:szCs w:val="17"/>
              </w:rPr>
              <w:t>Medium herbivore/ granivore</w:t>
            </w:r>
          </w:p>
        </w:tc>
        <w:tc>
          <w:tcPr>
            <w:tcW w:w="559" w:type="pct"/>
            <w:gridSpan w:val="2"/>
            <w:vMerge w:val="restart"/>
            <w:tcBorders>
              <w:top w:val="single" w:sz="4" w:space="0" w:color="auto"/>
            </w:tcBorders>
          </w:tcPr>
          <w:p w14:paraId="17EF9935" w14:textId="77777777" w:rsidR="000110FD" w:rsidRPr="002C4E1B" w:rsidRDefault="000110FD" w:rsidP="00303DF5">
            <w:pPr>
              <w:pStyle w:val="TableText"/>
              <w:widowControl w:val="0"/>
              <w:suppressAutoHyphens w:val="0"/>
              <w:spacing w:before="0" w:after="0" w:line="240" w:lineRule="auto"/>
              <w:rPr>
                <w:szCs w:val="17"/>
              </w:rPr>
            </w:pPr>
            <w:r>
              <w:rPr>
                <w:szCs w:val="17"/>
              </w:rPr>
              <w:t>BBCH 10-29</w:t>
            </w:r>
          </w:p>
        </w:tc>
        <w:tc>
          <w:tcPr>
            <w:tcW w:w="486" w:type="pct"/>
            <w:vMerge w:val="restart"/>
            <w:tcBorders>
              <w:top w:val="single" w:sz="4" w:space="0" w:color="auto"/>
            </w:tcBorders>
          </w:tcPr>
          <w:p w14:paraId="5DD544D1"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59BDF977" w14:textId="77777777" w:rsidR="000110FD" w:rsidRDefault="000110FD" w:rsidP="00E45161">
            <w:pPr>
              <w:pStyle w:val="TableText"/>
              <w:widowControl w:val="0"/>
              <w:suppressAutoHyphens w:val="0"/>
              <w:spacing w:before="0" w:after="0" w:line="240" w:lineRule="auto"/>
              <w:jc w:val="right"/>
              <w:rPr>
                <w:szCs w:val="17"/>
              </w:rPr>
            </w:pPr>
            <w:r>
              <w:rPr>
                <w:szCs w:val="17"/>
              </w:rPr>
              <w:t>55.6</w:t>
            </w:r>
          </w:p>
        </w:tc>
        <w:tc>
          <w:tcPr>
            <w:tcW w:w="293" w:type="pct"/>
            <w:tcBorders>
              <w:top w:val="single" w:sz="4" w:space="0" w:color="auto"/>
            </w:tcBorders>
          </w:tcPr>
          <w:p w14:paraId="68182784" w14:textId="77777777" w:rsidR="000110FD" w:rsidRDefault="000110FD" w:rsidP="00E45161">
            <w:pPr>
              <w:pStyle w:val="TableText"/>
              <w:widowControl w:val="0"/>
              <w:suppressAutoHyphens w:val="0"/>
              <w:spacing w:before="0" w:after="0" w:line="240" w:lineRule="auto"/>
              <w:jc w:val="right"/>
              <w:rPr>
                <w:szCs w:val="17"/>
              </w:rPr>
            </w:pPr>
            <w:r>
              <w:rPr>
                <w:szCs w:val="17"/>
              </w:rPr>
              <w:t>230</w:t>
            </w:r>
          </w:p>
        </w:tc>
        <w:tc>
          <w:tcPr>
            <w:tcW w:w="299" w:type="pct"/>
            <w:tcBorders>
              <w:top w:val="single" w:sz="4" w:space="0" w:color="auto"/>
            </w:tcBorders>
          </w:tcPr>
          <w:p w14:paraId="01B0D24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777F2FF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65606948"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3EB3C972"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13</w:t>
            </w:r>
          </w:p>
        </w:tc>
        <w:tc>
          <w:tcPr>
            <w:tcW w:w="300" w:type="pct"/>
            <w:tcBorders>
              <w:top w:val="single" w:sz="4" w:space="0" w:color="auto"/>
            </w:tcBorders>
          </w:tcPr>
          <w:p w14:paraId="1243EF89" w14:textId="77777777" w:rsidR="000110FD" w:rsidRPr="00F40296" w:rsidRDefault="000110FD" w:rsidP="00E45161">
            <w:pPr>
              <w:pStyle w:val="TableText"/>
              <w:widowControl w:val="0"/>
              <w:suppressAutoHyphens w:val="0"/>
              <w:spacing w:before="0" w:after="0" w:line="240" w:lineRule="auto"/>
              <w:jc w:val="right"/>
            </w:pPr>
            <w:r w:rsidRPr="00F40296">
              <w:t>7.0</w:t>
            </w:r>
          </w:p>
        </w:tc>
        <w:tc>
          <w:tcPr>
            <w:tcW w:w="301" w:type="pct"/>
            <w:tcBorders>
              <w:top w:val="single" w:sz="4" w:space="0" w:color="auto"/>
            </w:tcBorders>
            <w:shd w:val="clear" w:color="auto" w:fill="FF0000"/>
            <w:vAlign w:val="center"/>
          </w:tcPr>
          <w:p w14:paraId="53491B6F" w14:textId="77777777" w:rsidR="000110FD" w:rsidRDefault="000110FD" w:rsidP="00E45161">
            <w:pPr>
              <w:pStyle w:val="TableText"/>
              <w:widowControl w:val="0"/>
              <w:suppressAutoHyphens w:val="0"/>
              <w:spacing w:before="0" w:after="0" w:line="240" w:lineRule="auto"/>
              <w:jc w:val="right"/>
              <w:rPr>
                <w:b/>
                <w:bCs/>
                <w:color w:val="1A1B1A"/>
                <w:szCs w:val="17"/>
              </w:rPr>
            </w:pPr>
            <w:r>
              <w:rPr>
                <w:b/>
                <w:bCs/>
                <w:color w:val="1A1B1A"/>
                <w:szCs w:val="17"/>
              </w:rPr>
              <w:t>1.8</w:t>
            </w:r>
          </w:p>
        </w:tc>
        <w:tc>
          <w:tcPr>
            <w:tcW w:w="321" w:type="pct"/>
            <w:tcBorders>
              <w:top w:val="single" w:sz="4" w:space="0" w:color="auto"/>
            </w:tcBorders>
            <w:vAlign w:val="center"/>
          </w:tcPr>
          <w:p w14:paraId="36AE41CC"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126</w:t>
            </w:r>
          </w:p>
        </w:tc>
      </w:tr>
      <w:tr w:rsidR="000110FD" w14:paraId="7C7E16BF" w14:textId="77777777" w:rsidTr="000110FD">
        <w:trPr>
          <w:cantSplit/>
          <w:trHeight w:val="13"/>
        </w:trPr>
        <w:tc>
          <w:tcPr>
            <w:tcW w:w="492" w:type="pct"/>
            <w:vMerge/>
          </w:tcPr>
          <w:p w14:paraId="001FDE86"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61A85A13"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129468DE"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6287C5F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0DC29336" w14:textId="77777777" w:rsidR="000110FD" w:rsidRDefault="000110FD" w:rsidP="00E45161">
            <w:pPr>
              <w:pStyle w:val="TableText"/>
              <w:widowControl w:val="0"/>
              <w:suppressAutoHyphens w:val="0"/>
              <w:spacing w:before="0" w:after="0" w:line="240" w:lineRule="auto"/>
              <w:jc w:val="right"/>
              <w:rPr>
                <w:szCs w:val="17"/>
              </w:rPr>
            </w:pPr>
            <w:r>
              <w:rPr>
                <w:szCs w:val="17"/>
              </w:rPr>
              <w:t>55.6</w:t>
            </w:r>
          </w:p>
        </w:tc>
        <w:tc>
          <w:tcPr>
            <w:tcW w:w="293" w:type="pct"/>
          </w:tcPr>
          <w:p w14:paraId="7C964978" w14:textId="77777777" w:rsidR="000110FD" w:rsidRDefault="000110FD" w:rsidP="00E45161">
            <w:pPr>
              <w:pStyle w:val="TableText"/>
              <w:widowControl w:val="0"/>
              <w:suppressAutoHyphens w:val="0"/>
              <w:spacing w:before="0" w:after="0" w:line="240" w:lineRule="auto"/>
              <w:jc w:val="right"/>
              <w:rPr>
                <w:szCs w:val="17"/>
              </w:rPr>
            </w:pPr>
            <w:r>
              <w:rPr>
                <w:szCs w:val="17"/>
              </w:rPr>
              <w:t>184</w:t>
            </w:r>
          </w:p>
        </w:tc>
        <w:tc>
          <w:tcPr>
            <w:tcW w:w="299" w:type="pct"/>
          </w:tcPr>
          <w:p w14:paraId="2C8D6C0B"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876A7C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B0E751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4AE2B33"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Pr>
          <w:p w14:paraId="68BC2070" w14:textId="77777777" w:rsidR="000110FD" w:rsidRPr="00F40296" w:rsidRDefault="000110FD" w:rsidP="00E45161">
            <w:pPr>
              <w:pStyle w:val="TableText"/>
              <w:widowControl w:val="0"/>
              <w:suppressAutoHyphens w:val="0"/>
              <w:spacing w:before="0" w:after="0" w:line="240" w:lineRule="auto"/>
              <w:jc w:val="right"/>
            </w:pPr>
            <w:r w:rsidRPr="00F40296">
              <w:t>7.0</w:t>
            </w:r>
          </w:p>
        </w:tc>
        <w:tc>
          <w:tcPr>
            <w:tcW w:w="301" w:type="pct"/>
            <w:shd w:val="clear" w:color="auto" w:fill="FF0000"/>
            <w:vAlign w:val="center"/>
          </w:tcPr>
          <w:p w14:paraId="14354B85" w14:textId="77777777" w:rsidR="000110FD" w:rsidRDefault="000110FD" w:rsidP="00E45161">
            <w:pPr>
              <w:pStyle w:val="TableText"/>
              <w:widowControl w:val="0"/>
              <w:suppressAutoHyphens w:val="0"/>
              <w:spacing w:before="0" w:after="0" w:line="240" w:lineRule="auto"/>
              <w:jc w:val="right"/>
              <w:rPr>
                <w:b/>
                <w:bCs/>
                <w:color w:val="1A1B1A"/>
                <w:szCs w:val="17"/>
              </w:rPr>
            </w:pPr>
            <w:r>
              <w:rPr>
                <w:b/>
                <w:bCs/>
                <w:color w:val="1A1B1A"/>
                <w:szCs w:val="17"/>
              </w:rPr>
              <w:t>1.5</w:t>
            </w:r>
          </w:p>
        </w:tc>
        <w:tc>
          <w:tcPr>
            <w:tcW w:w="321" w:type="pct"/>
            <w:vAlign w:val="center"/>
          </w:tcPr>
          <w:p w14:paraId="5B9EF732" w14:textId="77777777" w:rsidR="000110FD" w:rsidRDefault="000110FD" w:rsidP="00E45161">
            <w:pPr>
              <w:pStyle w:val="TableText"/>
              <w:widowControl w:val="0"/>
              <w:suppressAutoHyphens w:val="0"/>
              <w:spacing w:before="0" w:after="0" w:line="240" w:lineRule="auto"/>
              <w:jc w:val="right"/>
              <w:rPr>
                <w:color w:val="1A1B1A"/>
                <w:szCs w:val="17"/>
              </w:rPr>
            </w:pPr>
            <w:r>
              <w:rPr>
                <w:color w:val="1A1B1A"/>
                <w:szCs w:val="17"/>
              </w:rPr>
              <w:t>126</w:t>
            </w:r>
          </w:p>
        </w:tc>
      </w:tr>
      <w:tr w:rsidR="000110FD" w:rsidRPr="002C4E1B" w14:paraId="6558E431" w14:textId="77777777" w:rsidTr="00303DF5">
        <w:trPr>
          <w:cantSplit/>
          <w:trHeight w:val="13"/>
        </w:trPr>
        <w:tc>
          <w:tcPr>
            <w:tcW w:w="5000" w:type="pct"/>
            <w:gridSpan w:val="14"/>
            <w:tcBorders>
              <w:top w:val="single" w:sz="4" w:space="0" w:color="auto"/>
            </w:tcBorders>
          </w:tcPr>
          <w:p w14:paraId="0C3B9893" w14:textId="77777777" w:rsidR="000110FD" w:rsidRPr="002C4E1B" w:rsidRDefault="000110FD" w:rsidP="00E45161">
            <w:pPr>
              <w:pStyle w:val="TableSubHead0"/>
              <w:rPr>
                <w:color w:val="1A1B1A"/>
              </w:rPr>
            </w:pPr>
            <w:r w:rsidRPr="00B5044A">
              <w:t xml:space="preserve">Pre-harvest desiccation in </w:t>
            </w:r>
            <w:r>
              <w:t>sugarcane</w:t>
            </w:r>
          </w:p>
        </w:tc>
      </w:tr>
      <w:tr w:rsidR="000110FD" w:rsidRPr="002C4E1B" w14:paraId="14B4659E" w14:textId="77777777" w:rsidTr="000110FD">
        <w:trPr>
          <w:cantSplit/>
          <w:trHeight w:val="13"/>
        </w:trPr>
        <w:tc>
          <w:tcPr>
            <w:tcW w:w="492" w:type="pct"/>
            <w:vMerge w:val="restart"/>
            <w:tcBorders>
              <w:top w:val="single" w:sz="4" w:space="0" w:color="auto"/>
            </w:tcBorders>
          </w:tcPr>
          <w:p w14:paraId="1E370CC3" w14:textId="77777777" w:rsidR="000110FD" w:rsidRPr="002C4E1B" w:rsidRDefault="000110FD" w:rsidP="00303DF5">
            <w:pPr>
              <w:pStyle w:val="TableText"/>
              <w:widowControl w:val="0"/>
              <w:suppressAutoHyphens w:val="0"/>
              <w:spacing w:before="0" w:after="0" w:line="240" w:lineRule="auto"/>
              <w:rPr>
                <w:szCs w:val="17"/>
              </w:rPr>
            </w:pPr>
            <w:r>
              <w:rPr>
                <w:szCs w:val="17"/>
              </w:rPr>
              <w:t>Maize</w:t>
            </w:r>
          </w:p>
        </w:tc>
        <w:tc>
          <w:tcPr>
            <w:tcW w:w="518" w:type="pct"/>
            <w:vMerge w:val="restart"/>
            <w:tcBorders>
              <w:top w:val="single" w:sz="4" w:space="0" w:color="auto"/>
            </w:tcBorders>
          </w:tcPr>
          <w:p w14:paraId="40F149F7" w14:textId="77777777" w:rsidR="000110FD" w:rsidRPr="002C4E1B" w:rsidRDefault="000110FD" w:rsidP="00303DF5">
            <w:pPr>
              <w:pStyle w:val="TableText"/>
              <w:widowControl w:val="0"/>
              <w:suppressAutoHyphens w:val="0"/>
              <w:spacing w:before="0" w:after="0" w:line="240" w:lineRule="auto"/>
              <w:rPr>
                <w:szCs w:val="17"/>
              </w:rPr>
            </w:pPr>
            <w:r>
              <w:rPr>
                <w:szCs w:val="17"/>
              </w:rPr>
              <w:t>Medium herbivore/ granivore</w:t>
            </w:r>
          </w:p>
        </w:tc>
        <w:tc>
          <w:tcPr>
            <w:tcW w:w="559" w:type="pct"/>
            <w:gridSpan w:val="2"/>
            <w:vMerge w:val="restart"/>
            <w:tcBorders>
              <w:top w:val="single" w:sz="4" w:space="0" w:color="auto"/>
            </w:tcBorders>
          </w:tcPr>
          <w:p w14:paraId="03AF5A42" w14:textId="77777777" w:rsidR="000110FD" w:rsidRPr="002C4E1B" w:rsidRDefault="000110FD" w:rsidP="00303DF5">
            <w:pPr>
              <w:pStyle w:val="TableText"/>
              <w:widowControl w:val="0"/>
              <w:suppressAutoHyphens w:val="0"/>
              <w:spacing w:before="0" w:after="0" w:line="240" w:lineRule="auto"/>
              <w:rPr>
                <w:szCs w:val="17"/>
              </w:rPr>
            </w:pPr>
            <w:r>
              <w:rPr>
                <w:szCs w:val="17"/>
              </w:rPr>
              <w:t>BBCH ≥40</w:t>
            </w:r>
          </w:p>
        </w:tc>
        <w:tc>
          <w:tcPr>
            <w:tcW w:w="486" w:type="pct"/>
            <w:vMerge w:val="restart"/>
            <w:tcBorders>
              <w:top w:val="single" w:sz="4" w:space="0" w:color="auto"/>
            </w:tcBorders>
          </w:tcPr>
          <w:p w14:paraId="79263B10"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4AB4D1A5"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13.9</w:t>
            </w:r>
          </w:p>
        </w:tc>
        <w:tc>
          <w:tcPr>
            <w:tcW w:w="293" w:type="pct"/>
            <w:tcBorders>
              <w:top w:val="single" w:sz="4" w:space="0" w:color="auto"/>
            </w:tcBorders>
          </w:tcPr>
          <w:p w14:paraId="15DB721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1EB4E3A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C8F3F5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3E7D97C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733405A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8.3</w:t>
            </w:r>
          </w:p>
        </w:tc>
        <w:tc>
          <w:tcPr>
            <w:tcW w:w="300" w:type="pct"/>
            <w:tcBorders>
              <w:top w:val="single" w:sz="4" w:space="0" w:color="auto"/>
            </w:tcBorders>
          </w:tcPr>
          <w:p w14:paraId="2DC9D48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1A6F43">
              <w:t>7.0</w:t>
            </w:r>
          </w:p>
        </w:tc>
        <w:tc>
          <w:tcPr>
            <w:tcW w:w="301" w:type="pct"/>
            <w:tcBorders>
              <w:top w:val="single" w:sz="4" w:space="0" w:color="auto"/>
            </w:tcBorders>
            <w:shd w:val="clear" w:color="auto" w:fill="FF0000"/>
          </w:tcPr>
          <w:p w14:paraId="32E9FDA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1.2</w:t>
            </w:r>
          </w:p>
        </w:tc>
        <w:tc>
          <w:tcPr>
            <w:tcW w:w="321" w:type="pct"/>
            <w:tcBorders>
              <w:top w:val="single" w:sz="4" w:space="0" w:color="auto"/>
            </w:tcBorders>
          </w:tcPr>
          <w:p w14:paraId="55B4D0A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504</w:t>
            </w:r>
          </w:p>
        </w:tc>
      </w:tr>
      <w:tr w:rsidR="000110FD" w:rsidRPr="002C4E1B" w14:paraId="4DCBC654" w14:textId="77777777" w:rsidTr="000110FD">
        <w:trPr>
          <w:cantSplit/>
          <w:trHeight w:val="13"/>
        </w:trPr>
        <w:tc>
          <w:tcPr>
            <w:tcW w:w="492" w:type="pct"/>
            <w:vMerge/>
          </w:tcPr>
          <w:p w14:paraId="67AB098E"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279A7E67"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CF00BE2"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004CE7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Borders>
              <w:bottom w:val="single" w:sz="4" w:space="0" w:color="auto"/>
            </w:tcBorders>
          </w:tcPr>
          <w:p w14:paraId="6371A4B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13.9</w:t>
            </w:r>
          </w:p>
        </w:tc>
        <w:tc>
          <w:tcPr>
            <w:tcW w:w="293" w:type="pct"/>
            <w:tcBorders>
              <w:bottom w:val="single" w:sz="4" w:space="0" w:color="auto"/>
            </w:tcBorders>
          </w:tcPr>
          <w:p w14:paraId="19C7DEA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200</w:t>
            </w:r>
          </w:p>
        </w:tc>
        <w:tc>
          <w:tcPr>
            <w:tcW w:w="299" w:type="pct"/>
            <w:tcBorders>
              <w:bottom w:val="single" w:sz="4" w:space="0" w:color="auto"/>
            </w:tcBorders>
          </w:tcPr>
          <w:p w14:paraId="23B4DFD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6CFD1A8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bottom w:val="single" w:sz="4" w:space="0" w:color="auto"/>
            </w:tcBorders>
          </w:tcPr>
          <w:p w14:paraId="44EF361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bottom w:val="single" w:sz="4" w:space="0" w:color="auto"/>
            </w:tcBorders>
          </w:tcPr>
          <w:p w14:paraId="27FBA94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w:t>
            </w:r>
          </w:p>
        </w:tc>
        <w:tc>
          <w:tcPr>
            <w:tcW w:w="300" w:type="pct"/>
            <w:tcBorders>
              <w:bottom w:val="single" w:sz="4" w:space="0" w:color="auto"/>
            </w:tcBorders>
          </w:tcPr>
          <w:p w14:paraId="7C99480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1A6F43">
              <w:t>7.0</w:t>
            </w:r>
          </w:p>
        </w:tc>
        <w:tc>
          <w:tcPr>
            <w:tcW w:w="301" w:type="pct"/>
            <w:tcBorders>
              <w:bottom w:val="single" w:sz="4" w:space="0" w:color="auto"/>
            </w:tcBorders>
          </w:tcPr>
          <w:p w14:paraId="1F6E1D53"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0.40</w:t>
            </w:r>
          </w:p>
        </w:tc>
        <w:tc>
          <w:tcPr>
            <w:tcW w:w="321" w:type="pct"/>
            <w:tcBorders>
              <w:bottom w:val="single" w:sz="4" w:space="0" w:color="auto"/>
            </w:tcBorders>
          </w:tcPr>
          <w:p w14:paraId="5E67C3B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504</w:t>
            </w:r>
          </w:p>
        </w:tc>
      </w:tr>
      <w:tr w:rsidR="000110FD" w:rsidRPr="002C4E1B" w14:paraId="66B2AAE0" w14:textId="77777777" w:rsidTr="000110FD">
        <w:trPr>
          <w:cantSplit/>
          <w:trHeight w:val="13"/>
        </w:trPr>
        <w:tc>
          <w:tcPr>
            <w:tcW w:w="492" w:type="pct"/>
            <w:vMerge/>
          </w:tcPr>
          <w:p w14:paraId="1D845A9C"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val="restart"/>
            <w:tcBorders>
              <w:top w:val="single" w:sz="4" w:space="0" w:color="auto"/>
            </w:tcBorders>
          </w:tcPr>
          <w:p w14:paraId="7994E132"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5F9022CA" w14:textId="77777777" w:rsidR="000110FD" w:rsidRPr="002C4E1B" w:rsidRDefault="000110FD" w:rsidP="00303DF5">
            <w:pPr>
              <w:pStyle w:val="TableText"/>
              <w:widowControl w:val="0"/>
              <w:suppressAutoHyphens w:val="0"/>
              <w:spacing w:before="0" w:after="0" w:line="240" w:lineRule="auto"/>
              <w:rPr>
                <w:szCs w:val="17"/>
              </w:rPr>
            </w:pPr>
            <w:r>
              <w:rPr>
                <w:szCs w:val="17"/>
              </w:rPr>
              <w:t>BBCH ≥20</w:t>
            </w:r>
          </w:p>
        </w:tc>
        <w:tc>
          <w:tcPr>
            <w:tcW w:w="486" w:type="pct"/>
            <w:vMerge w:val="restart"/>
            <w:tcBorders>
              <w:top w:val="single" w:sz="4" w:space="0" w:color="auto"/>
            </w:tcBorders>
          </w:tcPr>
          <w:p w14:paraId="37938151"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30D4C36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12.6</w:t>
            </w:r>
          </w:p>
        </w:tc>
        <w:tc>
          <w:tcPr>
            <w:tcW w:w="293" w:type="pct"/>
            <w:tcBorders>
              <w:top w:val="single" w:sz="4" w:space="0" w:color="auto"/>
            </w:tcBorders>
          </w:tcPr>
          <w:p w14:paraId="6D597BD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1CEFF79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CFB111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06CB44A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3F163F7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7.6</w:t>
            </w:r>
          </w:p>
        </w:tc>
        <w:tc>
          <w:tcPr>
            <w:tcW w:w="300" w:type="pct"/>
            <w:tcBorders>
              <w:top w:val="single" w:sz="4" w:space="0" w:color="auto"/>
            </w:tcBorders>
          </w:tcPr>
          <w:p w14:paraId="538EA9C7"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1A6F43">
              <w:t>7.0</w:t>
            </w:r>
          </w:p>
        </w:tc>
        <w:tc>
          <w:tcPr>
            <w:tcW w:w="301" w:type="pct"/>
            <w:tcBorders>
              <w:top w:val="single" w:sz="4" w:space="0" w:color="auto"/>
            </w:tcBorders>
            <w:shd w:val="clear" w:color="auto" w:fill="FF0000"/>
            <w:vAlign w:val="center"/>
          </w:tcPr>
          <w:p w14:paraId="23140B7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1.1</w:t>
            </w:r>
          </w:p>
        </w:tc>
        <w:tc>
          <w:tcPr>
            <w:tcW w:w="321" w:type="pct"/>
            <w:tcBorders>
              <w:top w:val="single" w:sz="4" w:space="0" w:color="auto"/>
            </w:tcBorders>
            <w:vAlign w:val="center"/>
          </w:tcPr>
          <w:p w14:paraId="5307A0D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556</w:t>
            </w:r>
          </w:p>
        </w:tc>
      </w:tr>
      <w:tr w:rsidR="000110FD" w:rsidRPr="002C4E1B" w14:paraId="721A3C04" w14:textId="77777777" w:rsidTr="000110FD">
        <w:trPr>
          <w:cantSplit/>
          <w:trHeight w:val="13"/>
        </w:trPr>
        <w:tc>
          <w:tcPr>
            <w:tcW w:w="492" w:type="pct"/>
            <w:vMerge/>
          </w:tcPr>
          <w:p w14:paraId="6F5251DA"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441B0969"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5C44ECAA"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5B3828B2"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47E26E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12.6</w:t>
            </w:r>
          </w:p>
        </w:tc>
        <w:tc>
          <w:tcPr>
            <w:tcW w:w="293" w:type="pct"/>
          </w:tcPr>
          <w:p w14:paraId="46A8526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200</w:t>
            </w:r>
          </w:p>
        </w:tc>
        <w:tc>
          <w:tcPr>
            <w:tcW w:w="299" w:type="pct"/>
          </w:tcPr>
          <w:p w14:paraId="426D058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B796E3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C864F4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379D520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2.5</w:t>
            </w:r>
          </w:p>
        </w:tc>
        <w:tc>
          <w:tcPr>
            <w:tcW w:w="300" w:type="pct"/>
          </w:tcPr>
          <w:p w14:paraId="295FD51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1A6F43">
              <w:t>7.0</w:t>
            </w:r>
          </w:p>
        </w:tc>
        <w:tc>
          <w:tcPr>
            <w:tcW w:w="301" w:type="pct"/>
            <w:vAlign w:val="center"/>
          </w:tcPr>
          <w:p w14:paraId="5C7DCBC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0.36</w:t>
            </w:r>
          </w:p>
        </w:tc>
        <w:tc>
          <w:tcPr>
            <w:tcW w:w="321" w:type="pct"/>
            <w:vAlign w:val="center"/>
          </w:tcPr>
          <w:p w14:paraId="6100ADD9"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556</w:t>
            </w:r>
          </w:p>
        </w:tc>
      </w:tr>
      <w:tr w:rsidR="000110FD" w:rsidRPr="002C4E1B" w14:paraId="28CC3C95" w14:textId="77777777" w:rsidTr="00303DF5">
        <w:trPr>
          <w:cantSplit/>
          <w:trHeight w:val="13"/>
        </w:trPr>
        <w:tc>
          <w:tcPr>
            <w:tcW w:w="5000" w:type="pct"/>
            <w:gridSpan w:val="14"/>
            <w:tcBorders>
              <w:top w:val="single" w:sz="4" w:space="0" w:color="auto"/>
            </w:tcBorders>
          </w:tcPr>
          <w:p w14:paraId="737D4BA7" w14:textId="77777777" w:rsidR="000110FD" w:rsidRPr="002C4E1B" w:rsidRDefault="000110FD" w:rsidP="00E45161">
            <w:pPr>
              <w:pStyle w:val="TableSubHead0"/>
              <w:rPr>
                <w:color w:val="1A1B1A"/>
              </w:rPr>
            </w:pPr>
            <w:r w:rsidRPr="00B5044A">
              <w:t xml:space="preserve">Pre-harvest desiccation in </w:t>
            </w:r>
            <w:r>
              <w:t>poppies and oilseeds</w:t>
            </w:r>
          </w:p>
        </w:tc>
      </w:tr>
      <w:tr w:rsidR="000110FD" w:rsidRPr="002C4E1B" w14:paraId="107EA533" w14:textId="77777777" w:rsidTr="000110FD">
        <w:trPr>
          <w:cantSplit/>
          <w:trHeight w:val="13"/>
        </w:trPr>
        <w:tc>
          <w:tcPr>
            <w:tcW w:w="492" w:type="pct"/>
            <w:vMerge w:val="restart"/>
            <w:tcBorders>
              <w:top w:val="single" w:sz="4" w:space="0" w:color="auto"/>
            </w:tcBorders>
          </w:tcPr>
          <w:p w14:paraId="3E3CDDCC" w14:textId="77777777" w:rsidR="000110FD" w:rsidRPr="002C4E1B" w:rsidRDefault="000110FD" w:rsidP="00303DF5">
            <w:pPr>
              <w:pStyle w:val="TableText"/>
              <w:widowControl w:val="0"/>
              <w:suppressAutoHyphens w:val="0"/>
              <w:spacing w:before="0" w:after="0" w:line="240" w:lineRule="auto"/>
              <w:rPr>
                <w:szCs w:val="17"/>
              </w:rPr>
            </w:pPr>
            <w:r>
              <w:rPr>
                <w:szCs w:val="17"/>
              </w:rPr>
              <w:t>Oilseeds</w:t>
            </w:r>
          </w:p>
        </w:tc>
        <w:tc>
          <w:tcPr>
            <w:tcW w:w="518" w:type="pct"/>
            <w:vMerge w:val="restart"/>
            <w:tcBorders>
              <w:top w:val="single" w:sz="4" w:space="0" w:color="auto"/>
            </w:tcBorders>
          </w:tcPr>
          <w:p w14:paraId="4015A164" w14:textId="77777777" w:rsidR="000110FD" w:rsidRPr="002C4E1B" w:rsidRDefault="000110FD" w:rsidP="00303DF5">
            <w:pPr>
              <w:pStyle w:val="TableText"/>
              <w:widowControl w:val="0"/>
              <w:suppressAutoHyphens w:val="0"/>
              <w:spacing w:before="0" w:after="0" w:line="240" w:lineRule="auto"/>
              <w:rPr>
                <w:szCs w:val="17"/>
              </w:rPr>
            </w:pPr>
            <w:r>
              <w:rPr>
                <w:szCs w:val="17"/>
              </w:rPr>
              <w:t>Small granivore</w:t>
            </w:r>
          </w:p>
        </w:tc>
        <w:tc>
          <w:tcPr>
            <w:tcW w:w="559" w:type="pct"/>
            <w:gridSpan w:val="2"/>
            <w:vMerge w:val="restart"/>
            <w:tcBorders>
              <w:top w:val="single" w:sz="4" w:space="0" w:color="auto"/>
            </w:tcBorders>
          </w:tcPr>
          <w:p w14:paraId="18DD61B5" w14:textId="77777777" w:rsidR="000110FD" w:rsidRPr="002C4E1B" w:rsidRDefault="000110FD" w:rsidP="00303DF5">
            <w:pPr>
              <w:pStyle w:val="TableText"/>
              <w:widowControl w:val="0"/>
              <w:suppressAutoHyphens w:val="0"/>
              <w:spacing w:before="0" w:after="0" w:line="240" w:lineRule="auto"/>
              <w:rPr>
                <w:szCs w:val="17"/>
              </w:rPr>
            </w:pPr>
            <w:r>
              <w:rPr>
                <w:szCs w:val="17"/>
              </w:rPr>
              <w:t>BBCH 80-99</w:t>
            </w:r>
          </w:p>
        </w:tc>
        <w:tc>
          <w:tcPr>
            <w:tcW w:w="486" w:type="pct"/>
            <w:vMerge w:val="restart"/>
            <w:tcBorders>
              <w:top w:val="single" w:sz="4" w:space="0" w:color="auto"/>
            </w:tcBorders>
          </w:tcPr>
          <w:p w14:paraId="7FFA1133"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3772D76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24.7</w:t>
            </w:r>
          </w:p>
        </w:tc>
        <w:tc>
          <w:tcPr>
            <w:tcW w:w="293" w:type="pct"/>
            <w:tcBorders>
              <w:top w:val="single" w:sz="4" w:space="0" w:color="auto"/>
            </w:tcBorders>
          </w:tcPr>
          <w:p w14:paraId="4BBF3AD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800</w:t>
            </w:r>
          </w:p>
        </w:tc>
        <w:tc>
          <w:tcPr>
            <w:tcW w:w="299" w:type="pct"/>
            <w:tcBorders>
              <w:top w:val="single" w:sz="4" w:space="0" w:color="auto"/>
            </w:tcBorders>
          </w:tcPr>
          <w:p w14:paraId="0241974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2954A58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2F60059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11C43E6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20</w:t>
            </w:r>
          </w:p>
        </w:tc>
        <w:tc>
          <w:tcPr>
            <w:tcW w:w="300" w:type="pct"/>
            <w:tcBorders>
              <w:top w:val="single" w:sz="4" w:space="0" w:color="auto"/>
            </w:tcBorders>
          </w:tcPr>
          <w:p w14:paraId="309A3A73"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E310CC">
              <w:t>7.0</w:t>
            </w:r>
          </w:p>
        </w:tc>
        <w:tc>
          <w:tcPr>
            <w:tcW w:w="301" w:type="pct"/>
            <w:tcBorders>
              <w:top w:val="single" w:sz="4" w:space="0" w:color="auto"/>
            </w:tcBorders>
            <w:shd w:val="clear" w:color="auto" w:fill="FF0000"/>
            <w:vAlign w:val="center"/>
          </w:tcPr>
          <w:p w14:paraId="27C1297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2.8</w:t>
            </w:r>
          </w:p>
        </w:tc>
        <w:tc>
          <w:tcPr>
            <w:tcW w:w="321" w:type="pct"/>
            <w:tcBorders>
              <w:top w:val="single" w:sz="4" w:space="0" w:color="auto"/>
            </w:tcBorders>
            <w:vAlign w:val="center"/>
          </w:tcPr>
          <w:p w14:paraId="386186D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55B7C3C7" w14:textId="77777777" w:rsidTr="000110FD">
        <w:trPr>
          <w:cantSplit/>
          <w:trHeight w:val="13"/>
        </w:trPr>
        <w:tc>
          <w:tcPr>
            <w:tcW w:w="492" w:type="pct"/>
            <w:vMerge/>
          </w:tcPr>
          <w:p w14:paraId="659446C1"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46B40EB"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21A632F1"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7FFD0A8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298A127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24.7</w:t>
            </w:r>
          </w:p>
        </w:tc>
        <w:tc>
          <w:tcPr>
            <w:tcW w:w="293" w:type="pct"/>
          </w:tcPr>
          <w:p w14:paraId="30F26FD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Pr>
          <w:p w14:paraId="5FB8549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D919FB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6A7E85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42887345"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15</w:t>
            </w:r>
          </w:p>
        </w:tc>
        <w:tc>
          <w:tcPr>
            <w:tcW w:w="300" w:type="pct"/>
          </w:tcPr>
          <w:p w14:paraId="07BB03F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E310CC">
              <w:t>7.0</w:t>
            </w:r>
          </w:p>
        </w:tc>
        <w:tc>
          <w:tcPr>
            <w:tcW w:w="301" w:type="pct"/>
            <w:shd w:val="clear" w:color="auto" w:fill="FF0000"/>
            <w:vAlign w:val="center"/>
          </w:tcPr>
          <w:p w14:paraId="2C941C2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2.1</w:t>
            </w:r>
          </w:p>
        </w:tc>
        <w:tc>
          <w:tcPr>
            <w:tcW w:w="321" w:type="pct"/>
            <w:vAlign w:val="center"/>
          </w:tcPr>
          <w:p w14:paraId="4908126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283</w:t>
            </w:r>
          </w:p>
        </w:tc>
      </w:tr>
      <w:tr w:rsidR="000110FD" w:rsidRPr="002C4E1B" w14:paraId="4381EAB9" w14:textId="77777777" w:rsidTr="00303DF5">
        <w:trPr>
          <w:cantSplit/>
          <w:trHeight w:val="13"/>
        </w:trPr>
        <w:tc>
          <w:tcPr>
            <w:tcW w:w="5000" w:type="pct"/>
            <w:gridSpan w:val="14"/>
            <w:tcBorders>
              <w:top w:val="single" w:sz="4" w:space="0" w:color="auto"/>
            </w:tcBorders>
          </w:tcPr>
          <w:p w14:paraId="05DE7D84" w14:textId="77777777" w:rsidR="000110FD" w:rsidRPr="002C4E1B" w:rsidRDefault="000110FD" w:rsidP="00E45161">
            <w:pPr>
              <w:pStyle w:val="TableSubHead0"/>
              <w:rPr>
                <w:color w:val="1A1B1A"/>
              </w:rPr>
            </w:pPr>
            <w:r w:rsidRPr="006E2167">
              <w:t xml:space="preserve">General weed control in </w:t>
            </w:r>
            <w:r>
              <w:t xml:space="preserve">bananas, duboisia, forests, </w:t>
            </w:r>
            <w:r w:rsidRPr="006E2167">
              <w:t>orchards, plantations</w:t>
            </w:r>
            <w:r>
              <w:t>, tea tree, tropical fruits and vineyards</w:t>
            </w:r>
          </w:p>
        </w:tc>
      </w:tr>
      <w:tr w:rsidR="000110FD" w:rsidRPr="002C4E1B" w14:paraId="6269EC7A" w14:textId="77777777" w:rsidTr="000110FD">
        <w:trPr>
          <w:cantSplit/>
          <w:trHeight w:val="13"/>
        </w:trPr>
        <w:tc>
          <w:tcPr>
            <w:tcW w:w="492" w:type="pct"/>
            <w:vMerge w:val="restart"/>
            <w:tcBorders>
              <w:top w:val="single" w:sz="4" w:space="0" w:color="auto"/>
            </w:tcBorders>
          </w:tcPr>
          <w:p w14:paraId="6A1696C4" w14:textId="77777777" w:rsidR="000110FD" w:rsidRPr="002C4E1B" w:rsidRDefault="000110FD" w:rsidP="00303DF5">
            <w:pPr>
              <w:pStyle w:val="TableText"/>
              <w:widowControl w:val="0"/>
              <w:suppressAutoHyphens w:val="0"/>
              <w:spacing w:before="0" w:after="0" w:line="240" w:lineRule="auto"/>
              <w:rPr>
                <w:szCs w:val="17"/>
              </w:rPr>
            </w:pPr>
            <w:r>
              <w:rPr>
                <w:szCs w:val="17"/>
              </w:rPr>
              <w:t>Orchards</w:t>
            </w:r>
          </w:p>
        </w:tc>
        <w:tc>
          <w:tcPr>
            <w:tcW w:w="518" w:type="pct"/>
            <w:vMerge w:val="restart"/>
            <w:tcBorders>
              <w:top w:val="single" w:sz="4" w:space="0" w:color="auto"/>
            </w:tcBorders>
          </w:tcPr>
          <w:p w14:paraId="7FA2DC0E" w14:textId="77777777" w:rsidR="000110FD" w:rsidRPr="002C4E1B" w:rsidRDefault="000110FD" w:rsidP="00303DF5">
            <w:pPr>
              <w:pStyle w:val="TableText"/>
              <w:widowControl w:val="0"/>
              <w:suppressAutoHyphens w:val="0"/>
              <w:spacing w:before="0" w:after="0" w:line="240" w:lineRule="auto"/>
              <w:rPr>
                <w:szCs w:val="17"/>
              </w:rPr>
            </w:pPr>
            <w:r>
              <w:rPr>
                <w:szCs w:val="17"/>
              </w:rPr>
              <w:t>Small granivore</w:t>
            </w:r>
          </w:p>
        </w:tc>
        <w:tc>
          <w:tcPr>
            <w:tcW w:w="559" w:type="pct"/>
            <w:gridSpan w:val="2"/>
            <w:vMerge w:val="restart"/>
            <w:tcBorders>
              <w:top w:val="single" w:sz="4" w:space="0" w:color="auto"/>
            </w:tcBorders>
          </w:tcPr>
          <w:p w14:paraId="25E0F2C8" w14:textId="77777777" w:rsidR="000110FD" w:rsidRPr="002C4E1B" w:rsidRDefault="000110FD" w:rsidP="00303DF5">
            <w:pPr>
              <w:pStyle w:val="TableText"/>
              <w:widowControl w:val="0"/>
              <w:suppressAutoHyphens w:val="0"/>
              <w:spacing w:before="0" w:after="0" w:line="240" w:lineRule="auto"/>
              <w:rPr>
                <w:szCs w:val="17"/>
              </w:rPr>
            </w:pPr>
            <w:r w:rsidRPr="00C20C79">
              <w:rPr>
                <w:szCs w:val="17"/>
              </w:rPr>
              <w:t>Ground directed</w:t>
            </w:r>
          </w:p>
        </w:tc>
        <w:tc>
          <w:tcPr>
            <w:tcW w:w="486" w:type="pct"/>
            <w:vMerge w:val="restart"/>
            <w:tcBorders>
              <w:top w:val="single" w:sz="4" w:space="0" w:color="auto"/>
            </w:tcBorders>
          </w:tcPr>
          <w:p w14:paraId="41CEB980"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shd w:val="clear" w:color="auto" w:fill="D5D7D5" w:themeFill="text1" w:themeFillTint="33"/>
          </w:tcPr>
          <w:p w14:paraId="32AF2AF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15.1</w:t>
            </w:r>
            <w:r w:rsidRPr="00BC315F">
              <w:rPr>
                <w:szCs w:val="17"/>
                <w:vertAlign w:val="superscript"/>
              </w:rPr>
              <w:t>b</w:t>
            </w:r>
          </w:p>
        </w:tc>
        <w:tc>
          <w:tcPr>
            <w:tcW w:w="293" w:type="pct"/>
            <w:tcBorders>
              <w:top w:val="single" w:sz="4" w:space="0" w:color="auto"/>
            </w:tcBorders>
          </w:tcPr>
          <w:p w14:paraId="0510C3F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Borders>
              <w:top w:val="single" w:sz="4" w:space="0" w:color="auto"/>
            </w:tcBorders>
          </w:tcPr>
          <w:p w14:paraId="6F3A99F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3631A49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2985466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78EA7A5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DA661C">
              <w:t>5.6</w:t>
            </w:r>
          </w:p>
        </w:tc>
        <w:tc>
          <w:tcPr>
            <w:tcW w:w="300" w:type="pct"/>
            <w:tcBorders>
              <w:top w:val="single" w:sz="4" w:space="0" w:color="auto"/>
            </w:tcBorders>
          </w:tcPr>
          <w:p w14:paraId="566439C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7273A">
              <w:t>7.0</w:t>
            </w:r>
          </w:p>
        </w:tc>
        <w:tc>
          <w:tcPr>
            <w:tcW w:w="301" w:type="pct"/>
            <w:tcBorders>
              <w:top w:val="single" w:sz="4" w:space="0" w:color="auto"/>
            </w:tcBorders>
          </w:tcPr>
          <w:p w14:paraId="5E09E0A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7823CF">
              <w:t>0.79</w:t>
            </w:r>
          </w:p>
        </w:tc>
        <w:tc>
          <w:tcPr>
            <w:tcW w:w="321" w:type="pct"/>
            <w:tcBorders>
              <w:top w:val="single" w:sz="4" w:space="0" w:color="auto"/>
            </w:tcBorders>
          </w:tcPr>
          <w:p w14:paraId="3BFC8AE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0C002A">
              <w:t>464</w:t>
            </w:r>
          </w:p>
        </w:tc>
      </w:tr>
      <w:tr w:rsidR="000110FD" w:rsidRPr="002C4E1B" w14:paraId="5B1013AD" w14:textId="77777777" w:rsidTr="000110FD">
        <w:trPr>
          <w:cantSplit/>
          <w:trHeight w:val="13"/>
        </w:trPr>
        <w:tc>
          <w:tcPr>
            <w:tcW w:w="492" w:type="pct"/>
            <w:vMerge/>
          </w:tcPr>
          <w:p w14:paraId="14A1EA60"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22A9277D"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E5CAC3E" w14:textId="77777777" w:rsidR="000110FD" w:rsidRPr="00C20C79" w:rsidRDefault="000110FD" w:rsidP="00303DF5">
            <w:pPr>
              <w:pStyle w:val="TableText"/>
              <w:widowControl w:val="0"/>
              <w:suppressAutoHyphens w:val="0"/>
              <w:spacing w:before="0" w:after="0" w:line="240" w:lineRule="auto"/>
              <w:rPr>
                <w:szCs w:val="17"/>
              </w:rPr>
            </w:pPr>
          </w:p>
        </w:tc>
        <w:tc>
          <w:tcPr>
            <w:tcW w:w="486" w:type="pct"/>
            <w:vMerge/>
          </w:tcPr>
          <w:p w14:paraId="5448AB73" w14:textId="77777777" w:rsidR="000110FD" w:rsidRDefault="000110FD" w:rsidP="00303DF5">
            <w:pPr>
              <w:pStyle w:val="TableText"/>
              <w:widowControl w:val="0"/>
              <w:suppressAutoHyphens w:val="0"/>
              <w:spacing w:before="0" w:after="0" w:line="240" w:lineRule="auto"/>
              <w:jc w:val="center"/>
              <w:rPr>
                <w:szCs w:val="17"/>
              </w:rPr>
            </w:pPr>
          </w:p>
        </w:tc>
        <w:tc>
          <w:tcPr>
            <w:tcW w:w="537" w:type="pct"/>
            <w:shd w:val="clear" w:color="auto" w:fill="D5D7D5" w:themeFill="text1" w:themeFillTint="33"/>
          </w:tcPr>
          <w:p w14:paraId="02E64E52" w14:textId="77777777" w:rsidR="000110FD" w:rsidRDefault="000110FD" w:rsidP="00E45161">
            <w:pPr>
              <w:pStyle w:val="TableText"/>
              <w:widowControl w:val="0"/>
              <w:suppressAutoHyphens w:val="0"/>
              <w:spacing w:before="0" w:after="0" w:line="240" w:lineRule="auto"/>
              <w:jc w:val="right"/>
              <w:rPr>
                <w:szCs w:val="17"/>
              </w:rPr>
            </w:pPr>
            <w:r w:rsidRPr="0068190C">
              <w:rPr>
                <w:szCs w:val="17"/>
              </w:rPr>
              <w:t>15.1</w:t>
            </w:r>
            <w:r w:rsidRPr="0068190C">
              <w:rPr>
                <w:szCs w:val="17"/>
                <w:vertAlign w:val="superscript"/>
              </w:rPr>
              <w:t>b</w:t>
            </w:r>
          </w:p>
        </w:tc>
        <w:tc>
          <w:tcPr>
            <w:tcW w:w="293" w:type="pct"/>
          </w:tcPr>
          <w:p w14:paraId="585756B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29A6636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F413F3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523DD8E"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3BF754B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DA661C">
              <w:t>4.5</w:t>
            </w:r>
          </w:p>
        </w:tc>
        <w:tc>
          <w:tcPr>
            <w:tcW w:w="300" w:type="pct"/>
          </w:tcPr>
          <w:p w14:paraId="1A790EC7"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7273A">
              <w:t>7.0</w:t>
            </w:r>
          </w:p>
        </w:tc>
        <w:tc>
          <w:tcPr>
            <w:tcW w:w="301" w:type="pct"/>
          </w:tcPr>
          <w:p w14:paraId="3138A12A"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7823CF">
              <w:t>0.65</w:t>
            </w:r>
          </w:p>
        </w:tc>
        <w:tc>
          <w:tcPr>
            <w:tcW w:w="321" w:type="pct"/>
          </w:tcPr>
          <w:p w14:paraId="648B9CE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0C002A">
              <w:t>464</w:t>
            </w:r>
          </w:p>
        </w:tc>
      </w:tr>
      <w:tr w:rsidR="000110FD" w:rsidRPr="000C002A" w14:paraId="1DF14718" w14:textId="77777777" w:rsidTr="000110FD">
        <w:trPr>
          <w:cantSplit/>
          <w:trHeight w:val="13"/>
        </w:trPr>
        <w:tc>
          <w:tcPr>
            <w:tcW w:w="492" w:type="pct"/>
            <w:vMerge/>
          </w:tcPr>
          <w:p w14:paraId="12CFBD0D"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46945019"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42D1A7A6" w14:textId="77777777" w:rsidR="000110FD" w:rsidRPr="00C20C79" w:rsidRDefault="000110FD" w:rsidP="00303DF5">
            <w:pPr>
              <w:pStyle w:val="TableText"/>
              <w:widowControl w:val="0"/>
              <w:suppressAutoHyphens w:val="0"/>
              <w:spacing w:before="0" w:after="0" w:line="240" w:lineRule="auto"/>
              <w:rPr>
                <w:szCs w:val="17"/>
              </w:rPr>
            </w:pPr>
          </w:p>
        </w:tc>
        <w:tc>
          <w:tcPr>
            <w:tcW w:w="486" w:type="pct"/>
            <w:vMerge/>
          </w:tcPr>
          <w:p w14:paraId="0019599C" w14:textId="77777777" w:rsidR="000110FD" w:rsidRDefault="000110FD" w:rsidP="00303DF5">
            <w:pPr>
              <w:pStyle w:val="TableText"/>
              <w:widowControl w:val="0"/>
              <w:suppressAutoHyphens w:val="0"/>
              <w:spacing w:before="0" w:after="0" w:line="240" w:lineRule="auto"/>
              <w:jc w:val="center"/>
              <w:rPr>
                <w:szCs w:val="17"/>
              </w:rPr>
            </w:pPr>
          </w:p>
        </w:tc>
        <w:tc>
          <w:tcPr>
            <w:tcW w:w="537" w:type="pct"/>
            <w:shd w:val="clear" w:color="auto" w:fill="D5D7D5" w:themeFill="text1" w:themeFillTint="33"/>
          </w:tcPr>
          <w:p w14:paraId="678F6207" w14:textId="77777777" w:rsidR="000110FD" w:rsidRPr="0068190C" w:rsidRDefault="000110FD" w:rsidP="00E45161">
            <w:pPr>
              <w:pStyle w:val="TableText"/>
              <w:widowControl w:val="0"/>
              <w:suppressAutoHyphens w:val="0"/>
              <w:spacing w:before="0" w:after="0" w:line="240" w:lineRule="auto"/>
              <w:jc w:val="right"/>
              <w:rPr>
                <w:szCs w:val="17"/>
              </w:rPr>
            </w:pPr>
            <w:r w:rsidRPr="0068190C">
              <w:rPr>
                <w:szCs w:val="17"/>
              </w:rPr>
              <w:t>15.1</w:t>
            </w:r>
            <w:r w:rsidRPr="0068190C">
              <w:rPr>
                <w:szCs w:val="17"/>
                <w:vertAlign w:val="superscript"/>
              </w:rPr>
              <w:t>b</w:t>
            </w:r>
          </w:p>
        </w:tc>
        <w:tc>
          <w:tcPr>
            <w:tcW w:w="293" w:type="pct"/>
          </w:tcPr>
          <w:p w14:paraId="02B094C5" w14:textId="77777777" w:rsidR="000110FD" w:rsidRDefault="000110FD" w:rsidP="00E45161">
            <w:pPr>
              <w:pStyle w:val="TableText"/>
              <w:widowControl w:val="0"/>
              <w:suppressAutoHyphens w:val="0"/>
              <w:spacing w:before="0" w:after="0" w:line="240" w:lineRule="auto"/>
              <w:jc w:val="right"/>
              <w:rPr>
                <w:szCs w:val="17"/>
              </w:rPr>
            </w:pPr>
            <w:r>
              <w:rPr>
                <w:szCs w:val="17"/>
              </w:rPr>
              <w:t>171</w:t>
            </w:r>
          </w:p>
        </w:tc>
        <w:tc>
          <w:tcPr>
            <w:tcW w:w="299" w:type="pct"/>
          </w:tcPr>
          <w:p w14:paraId="4B47EBB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12B5E8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7D6E3C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29ECDE46" w14:textId="77777777" w:rsidR="000110FD" w:rsidRPr="00DA661C" w:rsidRDefault="000110FD" w:rsidP="00E45161">
            <w:pPr>
              <w:pStyle w:val="TableText"/>
              <w:widowControl w:val="0"/>
              <w:suppressAutoHyphens w:val="0"/>
              <w:spacing w:before="0" w:after="0" w:line="240" w:lineRule="auto"/>
              <w:jc w:val="right"/>
            </w:pPr>
            <w:r>
              <w:t>2.6</w:t>
            </w:r>
          </w:p>
        </w:tc>
        <w:tc>
          <w:tcPr>
            <w:tcW w:w="300" w:type="pct"/>
          </w:tcPr>
          <w:p w14:paraId="7F17F7DF" w14:textId="77777777" w:rsidR="000110FD" w:rsidRPr="0067273A" w:rsidRDefault="000110FD" w:rsidP="00E45161">
            <w:pPr>
              <w:pStyle w:val="TableText"/>
              <w:widowControl w:val="0"/>
              <w:suppressAutoHyphens w:val="0"/>
              <w:spacing w:before="0" w:after="0" w:line="240" w:lineRule="auto"/>
              <w:jc w:val="right"/>
            </w:pPr>
            <w:r>
              <w:t>7.0</w:t>
            </w:r>
          </w:p>
        </w:tc>
        <w:tc>
          <w:tcPr>
            <w:tcW w:w="301" w:type="pct"/>
          </w:tcPr>
          <w:p w14:paraId="558D1B0C" w14:textId="77777777" w:rsidR="000110FD" w:rsidRPr="007823CF" w:rsidRDefault="000110FD" w:rsidP="00E45161">
            <w:pPr>
              <w:pStyle w:val="TableText"/>
              <w:widowControl w:val="0"/>
              <w:suppressAutoHyphens w:val="0"/>
              <w:spacing w:before="0" w:after="0" w:line="240" w:lineRule="auto"/>
              <w:jc w:val="right"/>
            </w:pPr>
            <w:r>
              <w:t>0.37</w:t>
            </w:r>
          </w:p>
        </w:tc>
        <w:tc>
          <w:tcPr>
            <w:tcW w:w="321" w:type="pct"/>
          </w:tcPr>
          <w:p w14:paraId="21539113" w14:textId="77777777" w:rsidR="000110FD" w:rsidRPr="000C002A" w:rsidRDefault="000110FD" w:rsidP="00E45161">
            <w:pPr>
              <w:pStyle w:val="TableText"/>
              <w:widowControl w:val="0"/>
              <w:suppressAutoHyphens w:val="0"/>
              <w:spacing w:before="0" w:after="0" w:line="240" w:lineRule="auto"/>
              <w:jc w:val="right"/>
            </w:pPr>
            <w:r>
              <w:t>464</w:t>
            </w:r>
          </w:p>
        </w:tc>
      </w:tr>
      <w:tr w:rsidR="000110FD" w:rsidRPr="002C4E1B" w14:paraId="533F4A80" w14:textId="77777777" w:rsidTr="000110FD">
        <w:trPr>
          <w:cantSplit/>
          <w:trHeight w:val="13"/>
        </w:trPr>
        <w:tc>
          <w:tcPr>
            <w:tcW w:w="492" w:type="pct"/>
            <w:vMerge/>
          </w:tcPr>
          <w:p w14:paraId="4C41183E"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784BE906"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1337779B" w14:textId="77777777" w:rsidR="000110FD" w:rsidRPr="00C20C79" w:rsidRDefault="000110FD" w:rsidP="00303DF5">
            <w:pPr>
              <w:pStyle w:val="TableText"/>
              <w:widowControl w:val="0"/>
              <w:suppressAutoHyphens w:val="0"/>
              <w:spacing w:before="0" w:after="0" w:line="240" w:lineRule="auto"/>
              <w:rPr>
                <w:szCs w:val="17"/>
              </w:rPr>
            </w:pPr>
          </w:p>
        </w:tc>
        <w:tc>
          <w:tcPr>
            <w:tcW w:w="486" w:type="pct"/>
            <w:vMerge/>
          </w:tcPr>
          <w:p w14:paraId="51F4227D" w14:textId="77777777" w:rsidR="000110FD" w:rsidRDefault="000110FD" w:rsidP="00303DF5">
            <w:pPr>
              <w:pStyle w:val="TableText"/>
              <w:widowControl w:val="0"/>
              <w:suppressAutoHyphens w:val="0"/>
              <w:spacing w:before="0" w:after="0" w:line="240" w:lineRule="auto"/>
              <w:jc w:val="center"/>
              <w:rPr>
                <w:szCs w:val="17"/>
              </w:rPr>
            </w:pPr>
          </w:p>
        </w:tc>
        <w:tc>
          <w:tcPr>
            <w:tcW w:w="537" w:type="pct"/>
            <w:shd w:val="clear" w:color="auto" w:fill="D5D7D5" w:themeFill="text1" w:themeFillTint="33"/>
          </w:tcPr>
          <w:p w14:paraId="1DDC038F" w14:textId="77777777" w:rsidR="000110FD" w:rsidRDefault="000110FD" w:rsidP="00E45161">
            <w:pPr>
              <w:pStyle w:val="TableText"/>
              <w:widowControl w:val="0"/>
              <w:suppressAutoHyphens w:val="0"/>
              <w:spacing w:before="0" w:after="0" w:line="240" w:lineRule="auto"/>
              <w:jc w:val="right"/>
              <w:rPr>
                <w:szCs w:val="17"/>
              </w:rPr>
            </w:pPr>
            <w:r w:rsidRPr="0068190C">
              <w:rPr>
                <w:szCs w:val="17"/>
              </w:rPr>
              <w:t>15.1</w:t>
            </w:r>
            <w:r w:rsidRPr="0068190C">
              <w:rPr>
                <w:szCs w:val="17"/>
                <w:vertAlign w:val="superscript"/>
              </w:rPr>
              <w:t>b</w:t>
            </w:r>
          </w:p>
        </w:tc>
        <w:tc>
          <w:tcPr>
            <w:tcW w:w="293" w:type="pct"/>
          </w:tcPr>
          <w:p w14:paraId="1C8138E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152</w:t>
            </w:r>
          </w:p>
        </w:tc>
        <w:tc>
          <w:tcPr>
            <w:tcW w:w="299" w:type="pct"/>
            <w:shd w:val="clear" w:color="auto" w:fill="D5D7D5" w:themeFill="text1" w:themeFillTint="33"/>
          </w:tcPr>
          <w:p w14:paraId="246FBE7F" w14:textId="77777777" w:rsidR="000110FD" w:rsidRDefault="000110FD" w:rsidP="00E45161">
            <w:pPr>
              <w:pStyle w:val="TableText"/>
              <w:widowControl w:val="0"/>
              <w:suppressAutoHyphens w:val="0"/>
              <w:spacing w:before="0" w:after="0" w:line="240" w:lineRule="auto"/>
              <w:jc w:val="right"/>
              <w:rPr>
                <w:szCs w:val="17"/>
              </w:rPr>
            </w:pPr>
            <w:r>
              <w:rPr>
                <w:szCs w:val="17"/>
              </w:rPr>
              <w:t>1.3</w:t>
            </w:r>
            <w:r w:rsidRPr="00A464C1">
              <w:rPr>
                <w:szCs w:val="17"/>
                <w:vertAlign w:val="superscript"/>
              </w:rPr>
              <w:t>a</w:t>
            </w:r>
          </w:p>
        </w:tc>
        <w:tc>
          <w:tcPr>
            <w:tcW w:w="298" w:type="pct"/>
          </w:tcPr>
          <w:p w14:paraId="6DEBCECC"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0A695EF3"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76C470E"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DA661C">
              <w:t>3.0</w:t>
            </w:r>
          </w:p>
        </w:tc>
        <w:tc>
          <w:tcPr>
            <w:tcW w:w="300" w:type="pct"/>
          </w:tcPr>
          <w:p w14:paraId="5FEE8F18"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7273A">
              <w:t>7.0</w:t>
            </w:r>
          </w:p>
        </w:tc>
        <w:tc>
          <w:tcPr>
            <w:tcW w:w="301" w:type="pct"/>
          </w:tcPr>
          <w:p w14:paraId="5DF46F99"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7823CF">
              <w:t>0.43</w:t>
            </w:r>
          </w:p>
        </w:tc>
        <w:tc>
          <w:tcPr>
            <w:tcW w:w="321" w:type="pct"/>
          </w:tcPr>
          <w:p w14:paraId="056A1F4C"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0C002A">
              <w:t>357</w:t>
            </w:r>
          </w:p>
        </w:tc>
      </w:tr>
      <w:tr w:rsidR="000110FD" w:rsidRPr="002C4E1B" w14:paraId="1D4761D7" w14:textId="77777777" w:rsidTr="000110FD">
        <w:trPr>
          <w:cantSplit/>
          <w:trHeight w:val="13"/>
        </w:trPr>
        <w:tc>
          <w:tcPr>
            <w:tcW w:w="492" w:type="pct"/>
            <w:vMerge/>
          </w:tcPr>
          <w:p w14:paraId="3E19EA90"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03487CE5"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0EEC03DC" w14:textId="77777777" w:rsidR="000110FD" w:rsidRPr="00C20C79" w:rsidRDefault="000110FD" w:rsidP="00303DF5">
            <w:pPr>
              <w:pStyle w:val="TableText"/>
              <w:widowControl w:val="0"/>
              <w:suppressAutoHyphens w:val="0"/>
              <w:spacing w:before="0" w:after="0" w:line="240" w:lineRule="auto"/>
              <w:rPr>
                <w:szCs w:val="17"/>
              </w:rPr>
            </w:pPr>
          </w:p>
        </w:tc>
        <w:tc>
          <w:tcPr>
            <w:tcW w:w="486" w:type="pct"/>
            <w:vMerge/>
          </w:tcPr>
          <w:p w14:paraId="0F5CB7EA" w14:textId="77777777" w:rsidR="000110FD" w:rsidRDefault="000110FD" w:rsidP="00303DF5">
            <w:pPr>
              <w:pStyle w:val="TableText"/>
              <w:widowControl w:val="0"/>
              <w:suppressAutoHyphens w:val="0"/>
              <w:spacing w:before="0" w:after="0" w:line="240" w:lineRule="auto"/>
              <w:jc w:val="center"/>
              <w:rPr>
                <w:szCs w:val="17"/>
              </w:rPr>
            </w:pPr>
          </w:p>
        </w:tc>
        <w:tc>
          <w:tcPr>
            <w:tcW w:w="537" w:type="pct"/>
            <w:shd w:val="clear" w:color="auto" w:fill="D5D7D5" w:themeFill="text1" w:themeFillTint="33"/>
          </w:tcPr>
          <w:p w14:paraId="73083DD5" w14:textId="77777777" w:rsidR="000110FD" w:rsidRDefault="000110FD" w:rsidP="00E45161">
            <w:pPr>
              <w:pStyle w:val="TableText"/>
              <w:widowControl w:val="0"/>
              <w:suppressAutoHyphens w:val="0"/>
              <w:spacing w:before="0" w:after="0" w:line="240" w:lineRule="auto"/>
              <w:jc w:val="right"/>
              <w:rPr>
                <w:szCs w:val="17"/>
              </w:rPr>
            </w:pPr>
            <w:r w:rsidRPr="0068190C">
              <w:rPr>
                <w:szCs w:val="17"/>
              </w:rPr>
              <w:t>15.1</w:t>
            </w:r>
            <w:r w:rsidRPr="0068190C">
              <w:rPr>
                <w:szCs w:val="17"/>
                <w:vertAlign w:val="superscript"/>
              </w:rPr>
              <w:t>b</w:t>
            </w:r>
          </w:p>
        </w:tc>
        <w:tc>
          <w:tcPr>
            <w:tcW w:w="293" w:type="pct"/>
          </w:tcPr>
          <w:p w14:paraId="1E390C9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0DA3D7A4"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194748F"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74884D1"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541C0ADC"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DA661C">
              <w:t>2.2</w:t>
            </w:r>
          </w:p>
        </w:tc>
        <w:tc>
          <w:tcPr>
            <w:tcW w:w="300" w:type="pct"/>
          </w:tcPr>
          <w:p w14:paraId="52D977F5"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7273A">
              <w:t>7.0</w:t>
            </w:r>
          </w:p>
        </w:tc>
        <w:tc>
          <w:tcPr>
            <w:tcW w:w="301" w:type="pct"/>
          </w:tcPr>
          <w:p w14:paraId="7BDBCA44"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7823CF">
              <w:t>0.32</w:t>
            </w:r>
          </w:p>
        </w:tc>
        <w:tc>
          <w:tcPr>
            <w:tcW w:w="321" w:type="pct"/>
          </w:tcPr>
          <w:p w14:paraId="39EB91D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0C002A">
              <w:t>464</w:t>
            </w:r>
          </w:p>
        </w:tc>
      </w:tr>
      <w:tr w:rsidR="000110FD" w:rsidRPr="002C4E1B" w14:paraId="2F52245B" w14:textId="77777777" w:rsidTr="000110FD">
        <w:trPr>
          <w:cantSplit/>
          <w:trHeight w:val="13"/>
        </w:trPr>
        <w:tc>
          <w:tcPr>
            <w:tcW w:w="492" w:type="pct"/>
            <w:vMerge/>
          </w:tcPr>
          <w:p w14:paraId="5681426E" w14:textId="77777777" w:rsidR="000110FD" w:rsidRDefault="000110FD" w:rsidP="00303DF5">
            <w:pPr>
              <w:pStyle w:val="TableText"/>
              <w:widowControl w:val="0"/>
              <w:suppressAutoHyphens w:val="0"/>
              <w:spacing w:before="0" w:after="0" w:line="240" w:lineRule="auto"/>
              <w:rPr>
                <w:szCs w:val="17"/>
              </w:rPr>
            </w:pPr>
          </w:p>
        </w:tc>
        <w:tc>
          <w:tcPr>
            <w:tcW w:w="518" w:type="pct"/>
            <w:vMerge/>
          </w:tcPr>
          <w:p w14:paraId="37DE612F" w14:textId="77777777" w:rsidR="000110FD" w:rsidRDefault="000110FD" w:rsidP="00303DF5">
            <w:pPr>
              <w:pStyle w:val="TableText"/>
              <w:widowControl w:val="0"/>
              <w:suppressAutoHyphens w:val="0"/>
              <w:spacing w:before="0" w:after="0" w:line="240" w:lineRule="auto"/>
              <w:rPr>
                <w:szCs w:val="17"/>
              </w:rPr>
            </w:pPr>
          </w:p>
        </w:tc>
        <w:tc>
          <w:tcPr>
            <w:tcW w:w="559" w:type="pct"/>
            <w:gridSpan w:val="2"/>
            <w:vMerge/>
          </w:tcPr>
          <w:p w14:paraId="69431F24" w14:textId="77777777" w:rsidR="000110FD" w:rsidRPr="00C20C79" w:rsidRDefault="000110FD" w:rsidP="00303DF5">
            <w:pPr>
              <w:pStyle w:val="TableText"/>
              <w:widowControl w:val="0"/>
              <w:suppressAutoHyphens w:val="0"/>
              <w:spacing w:before="0" w:after="0" w:line="240" w:lineRule="auto"/>
              <w:rPr>
                <w:szCs w:val="17"/>
              </w:rPr>
            </w:pPr>
          </w:p>
        </w:tc>
        <w:tc>
          <w:tcPr>
            <w:tcW w:w="486" w:type="pct"/>
            <w:vMerge/>
          </w:tcPr>
          <w:p w14:paraId="4F0E8477" w14:textId="77777777" w:rsidR="000110FD" w:rsidRDefault="000110FD" w:rsidP="00303DF5">
            <w:pPr>
              <w:pStyle w:val="TableText"/>
              <w:widowControl w:val="0"/>
              <w:suppressAutoHyphens w:val="0"/>
              <w:spacing w:before="0" w:after="0" w:line="240" w:lineRule="auto"/>
              <w:jc w:val="center"/>
              <w:rPr>
                <w:szCs w:val="17"/>
              </w:rPr>
            </w:pPr>
          </w:p>
        </w:tc>
        <w:tc>
          <w:tcPr>
            <w:tcW w:w="537" w:type="pct"/>
            <w:shd w:val="clear" w:color="auto" w:fill="D5D7D5" w:themeFill="text1" w:themeFillTint="33"/>
          </w:tcPr>
          <w:p w14:paraId="7AFCA1A5" w14:textId="77777777" w:rsidR="000110FD" w:rsidRDefault="000110FD" w:rsidP="00E45161">
            <w:pPr>
              <w:pStyle w:val="TableText"/>
              <w:widowControl w:val="0"/>
              <w:suppressAutoHyphens w:val="0"/>
              <w:spacing w:before="0" w:after="0" w:line="240" w:lineRule="auto"/>
              <w:jc w:val="right"/>
              <w:rPr>
                <w:szCs w:val="17"/>
              </w:rPr>
            </w:pPr>
            <w:r w:rsidRPr="0068190C">
              <w:rPr>
                <w:szCs w:val="17"/>
              </w:rPr>
              <w:t>15.1</w:t>
            </w:r>
            <w:r w:rsidRPr="0068190C">
              <w:rPr>
                <w:szCs w:val="17"/>
                <w:vertAlign w:val="superscript"/>
              </w:rPr>
              <w:t>b</w:t>
            </w:r>
          </w:p>
        </w:tc>
        <w:tc>
          <w:tcPr>
            <w:tcW w:w="293" w:type="pct"/>
          </w:tcPr>
          <w:p w14:paraId="48D21DAB"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120</w:t>
            </w:r>
          </w:p>
        </w:tc>
        <w:tc>
          <w:tcPr>
            <w:tcW w:w="299" w:type="pct"/>
          </w:tcPr>
          <w:p w14:paraId="3FC9042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DB166F9"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39C81C46" w14:textId="77777777" w:rsidR="000110FD"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4CF17DA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DA661C">
              <w:t>1.8</w:t>
            </w:r>
          </w:p>
        </w:tc>
        <w:tc>
          <w:tcPr>
            <w:tcW w:w="300" w:type="pct"/>
          </w:tcPr>
          <w:p w14:paraId="676E297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7273A">
              <w:t>7.0</w:t>
            </w:r>
          </w:p>
        </w:tc>
        <w:tc>
          <w:tcPr>
            <w:tcW w:w="301" w:type="pct"/>
          </w:tcPr>
          <w:p w14:paraId="08388941"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7823CF">
              <w:t>0.26</w:t>
            </w:r>
          </w:p>
        </w:tc>
        <w:tc>
          <w:tcPr>
            <w:tcW w:w="321" w:type="pct"/>
          </w:tcPr>
          <w:p w14:paraId="7BF634BD"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0C002A">
              <w:t>464</w:t>
            </w:r>
          </w:p>
        </w:tc>
      </w:tr>
      <w:tr w:rsidR="000110FD" w:rsidRPr="002C4E1B" w14:paraId="500EA147" w14:textId="77777777" w:rsidTr="000110FD">
        <w:trPr>
          <w:cantSplit/>
          <w:trHeight w:val="13"/>
        </w:trPr>
        <w:tc>
          <w:tcPr>
            <w:tcW w:w="492" w:type="pct"/>
            <w:vMerge/>
          </w:tcPr>
          <w:p w14:paraId="7D498DE6"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9D59E67"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32A93FB"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737BF7B8"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shd w:val="clear" w:color="auto" w:fill="D5D7D5" w:themeFill="text1" w:themeFillTint="33"/>
          </w:tcPr>
          <w:p w14:paraId="75DB517D" w14:textId="77777777" w:rsidR="000110FD" w:rsidRPr="002C4E1B" w:rsidRDefault="000110FD" w:rsidP="00E45161">
            <w:pPr>
              <w:pStyle w:val="TableText"/>
              <w:widowControl w:val="0"/>
              <w:suppressAutoHyphens w:val="0"/>
              <w:spacing w:before="0" w:after="0" w:line="240" w:lineRule="auto"/>
              <w:jc w:val="right"/>
              <w:rPr>
                <w:szCs w:val="17"/>
              </w:rPr>
            </w:pPr>
            <w:r w:rsidRPr="0068190C">
              <w:rPr>
                <w:szCs w:val="17"/>
              </w:rPr>
              <w:t>15.1</w:t>
            </w:r>
            <w:r w:rsidRPr="0068190C">
              <w:rPr>
                <w:szCs w:val="17"/>
                <w:vertAlign w:val="superscript"/>
              </w:rPr>
              <w:t>b</w:t>
            </w:r>
          </w:p>
        </w:tc>
        <w:tc>
          <w:tcPr>
            <w:tcW w:w="293" w:type="pct"/>
          </w:tcPr>
          <w:p w14:paraId="79D22E2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110</w:t>
            </w:r>
          </w:p>
        </w:tc>
        <w:tc>
          <w:tcPr>
            <w:tcW w:w="299" w:type="pct"/>
          </w:tcPr>
          <w:p w14:paraId="0F419737"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6252D4F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1EC2276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96F9D4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DA661C">
              <w:t>1.7</w:t>
            </w:r>
          </w:p>
        </w:tc>
        <w:tc>
          <w:tcPr>
            <w:tcW w:w="300" w:type="pct"/>
          </w:tcPr>
          <w:p w14:paraId="69F15900"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67273A">
              <w:t>7.0</w:t>
            </w:r>
          </w:p>
        </w:tc>
        <w:tc>
          <w:tcPr>
            <w:tcW w:w="301" w:type="pct"/>
          </w:tcPr>
          <w:p w14:paraId="6AF03548"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7823CF">
              <w:t>0.24</w:t>
            </w:r>
          </w:p>
        </w:tc>
        <w:tc>
          <w:tcPr>
            <w:tcW w:w="321" w:type="pct"/>
          </w:tcPr>
          <w:p w14:paraId="1C38F4A8"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0C002A">
              <w:t>464</w:t>
            </w:r>
          </w:p>
        </w:tc>
      </w:tr>
      <w:tr w:rsidR="000110FD" w:rsidRPr="002C4E1B" w14:paraId="39AB66F6" w14:textId="77777777" w:rsidTr="00303DF5">
        <w:trPr>
          <w:cantSplit/>
          <w:trHeight w:val="13"/>
        </w:trPr>
        <w:tc>
          <w:tcPr>
            <w:tcW w:w="5000" w:type="pct"/>
            <w:gridSpan w:val="14"/>
            <w:tcBorders>
              <w:top w:val="single" w:sz="4" w:space="0" w:color="auto"/>
            </w:tcBorders>
          </w:tcPr>
          <w:p w14:paraId="5C4E0F3C" w14:textId="77777777" w:rsidR="000110FD" w:rsidRPr="002C4E1B" w:rsidRDefault="000110FD" w:rsidP="00E45161">
            <w:pPr>
              <w:pStyle w:val="TableSubHead0"/>
              <w:rPr>
                <w:color w:val="1A1B1A"/>
                <w:szCs w:val="17"/>
              </w:rPr>
            </w:pPr>
            <w:r>
              <w:t>General weed control in p</w:t>
            </w:r>
            <w:r w:rsidRPr="004F1343">
              <w:t>otatoes</w:t>
            </w:r>
            <w:r>
              <w:t xml:space="preserve"> (pre-harvest)</w:t>
            </w:r>
          </w:p>
        </w:tc>
      </w:tr>
      <w:tr w:rsidR="000110FD" w:rsidRPr="002C4E1B" w14:paraId="731CBB19" w14:textId="77777777" w:rsidTr="000110FD">
        <w:trPr>
          <w:cantSplit/>
          <w:trHeight w:val="13"/>
        </w:trPr>
        <w:tc>
          <w:tcPr>
            <w:tcW w:w="492" w:type="pct"/>
            <w:vMerge w:val="restart"/>
            <w:tcBorders>
              <w:top w:val="single" w:sz="4" w:space="0" w:color="auto"/>
            </w:tcBorders>
          </w:tcPr>
          <w:p w14:paraId="7F99AFFF" w14:textId="77777777" w:rsidR="000110FD" w:rsidRPr="002C4E1B" w:rsidRDefault="000110FD" w:rsidP="00303DF5">
            <w:pPr>
              <w:pStyle w:val="TableText"/>
              <w:widowControl w:val="0"/>
              <w:suppressAutoHyphens w:val="0"/>
              <w:spacing w:before="0" w:after="0" w:line="240" w:lineRule="auto"/>
              <w:rPr>
                <w:szCs w:val="17"/>
              </w:rPr>
            </w:pPr>
            <w:r>
              <w:rPr>
                <w:szCs w:val="17"/>
              </w:rPr>
              <w:t>Potatoes</w:t>
            </w:r>
          </w:p>
        </w:tc>
        <w:tc>
          <w:tcPr>
            <w:tcW w:w="518" w:type="pct"/>
            <w:vMerge w:val="restart"/>
            <w:tcBorders>
              <w:top w:val="single" w:sz="4" w:space="0" w:color="auto"/>
            </w:tcBorders>
          </w:tcPr>
          <w:p w14:paraId="4601D886"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4FDC7581" w14:textId="77777777" w:rsidR="000110FD" w:rsidRPr="002C4E1B" w:rsidRDefault="000110FD" w:rsidP="00303DF5">
            <w:pPr>
              <w:pStyle w:val="TableText"/>
              <w:widowControl w:val="0"/>
              <w:suppressAutoHyphens w:val="0"/>
              <w:spacing w:before="0" w:after="0" w:line="240" w:lineRule="auto"/>
              <w:rPr>
                <w:szCs w:val="17"/>
              </w:rPr>
            </w:pPr>
            <w:r>
              <w:rPr>
                <w:szCs w:val="17"/>
              </w:rPr>
              <w:t>BBCH ≥20</w:t>
            </w:r>
          </w:p>
        </w:tc>
        <w:tc>
          <w:tcPr>
            <w:tcW w:w="486" w:type="pct"/>
            <w:vMerge w:val="restart"/>
            <w:tcBorders>
              <w:top w:val="single" w:sz="4" w:space="0" w:color="auto"/>
            </w:tcBorders>
          </w:tcPr>
          <w:p w14:paraId="5794B41F"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7ECEF66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25.2</w:t>
            </w:r>
          </w:p>
        </w:tc>
        <w:tc>
          <w:tcPr>
            <w:tcW w:w="293" w:type="pct"/>
            <w:tcBorders>
              <w:top w:val="single" w:sz="4" w:space="0" w:color="auto"/>
            </w:tcBorders>
          </w:tcPr>
          <w:p w14:paraId="64D0CCC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368</w:t>
            </w:r>
          </w:p>
        </w:tc>
        <w:tc>
          <w:tcPr>
            <w:tcW w:w="299" w:type="pct"/>
            <w:tcBorders>
              <w:top w:val="single" w:sz="4" w:space="0" w:color="auto"/>
            </w:tcBorders>
          </w:tcPr>
          <w:p w14:paraId="394BC61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2AFACF6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72F43A1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1E66B9F0"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9.3</w:t>
            </w:r>
          </w:p>
        </w:tc>
        <w:tc>
          <w:tcPr>
            <w:tcW w:w="300" w:type="pct"/>
            <w:tcBorders>
              <w:top w:val="single" w:sz="4" w:space="0" w:color="auto"/>
            </w:tcBorders>
          </w:tcPr>
          <w:p w14:paraId="65F7FDA2"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04268">
              <w:t>7.0</w:t>
            </w:r>
          </w:p>
        </w:tc>
        <w:tc>
          <w:tcPr>
            <w:tcW w:w="301" w:type="pct"/>
            <w:tcBorders>
              <w:top w:val="single" w:sz="4" w:space="0" w:color="auto"/>
            </w:tcBorders>
            <w:shd w:val="clear" w:color="auto" w:fill="FF0000"/>
            <w:vAlign w:val="center"/>
          </w:tcPr>
          <w:p w14:paraId="75CA1AB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1.3</w:t>
            </w:r>
          </w:p>
        </w:tc>
        <w:tc>
          <w:tcPr>
            <w:tcW w:w="321" w:type="pct"/>
            <w:tcBorders>
              <w:top w:val="single" w:sz="4" w:space="0" w:color="auto"/>
            </w:tcBorders>
            <w:vAlign w:val="center"/>
          </w:tcPr>
          <w:p w14:paraId="656F1F9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278</w:t>
            </w:r>
          </w:p>
        </w:tc>
      </w:tr>
      <w:tr w:rsidR="000110FD" w:rsidRPr="002C4E1B" w14:paraId="30B9025C" w14:textId="77777777" w:rsidTr="000110FD">
        <w:trPr>
          <w:cantSplit/>
          <w:trHeight w:val="13"/>
        </w:trPr>
        <w:tc>
          <w:tcPr>
            <w:tcW w:w="492" w:type="pct"/>
            <w:vMerge/>
          </w:tcPr>
          <w:p w14:paraId="3042B1F5"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09B1D1DC"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05CC8DD6"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136A04F7"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654D306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25.2</w:t>
            </w:r>
          </w:p>
        </w:tc>
        <w:tc>
          <w:tcPr>
            <w:tcW w:w="293" w:type="pct"/>
          </w:tcPr>
          <w:p w14:paraId="5D45B900"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147</w:t>
            </w:r>
          </w:p>
        </w:tc>
        <w:tc>
          <w:tcPr>
            <w:tcW w:w="299" w:type="pct"/>
          </w:tcPr>
          <w:p w14:paraId="56D724F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16B119A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2330F46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281DE99E"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3.7</w:t>
            </w:r>
          </w:p>
        </w:tc>
        <w:tc>
          <w:tcPr>
            <w:tcW w:w="300" w:type="pct"/>
          </w:tcPr>
          <w:p w14:paraId="1E981B15"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A04268">
              <w:t>7.0</w:t>
            </w:r>
          </w:p>
        </w:tc>
        <w:tc>
          <w:tcPr>
            <w:tcW w:w="301" w:type="pct"/>
            <w:vAlign w:val="center"/>
          </w:tcPr>
          <w:p w14:paraId="4C53AF72"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0.53</w:t>
            </w:r>
          </w:p>
        </w:tc>
        <w:tc>
          <w:tcPr>
            <w:tcW w:w="321" w:type="pct"/>
            <w:vAlign w:val="center"/>
          </w:tcPr>
          <w:p w14:paraId="417E98C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278</w:t>
            </w:r>
          </w:p>
        </w:tc>
      </w:tr>
      <w:tr w:rsidR="000110FD" w:rsidRPr="002C4E1B" w14:paraId="3BB5DBE7" w14:textId="77777777" w:rsidTr="00303DF5">
        <w:trPr>
          <w:cantSplit/>
          <w:trHeight w:val="13"/>
        </w:trPr>
        <w:tc>
          <w:tcPr>
            <w:tcW w:w="5000" w:type="pct"/>
            <w:gridSpan w:val="14"/>
            <w:tcBorders>
              <w:top w:val="single" w:sz="4" w:space="0" w:color="auto"/>
            </w:tcBorders>
          </w:tcPr>
          <w:p w14:paraId="449C5000" w14:textId="77777777" w:rsidR="000110FD" w:rsidRPr="002C4E1B" w:rsidRDefault="000110FD" w:rsidP="00E45161">
            <w:pPr>
              <w:pStyle w:val="TableSubHead0"/>
              <w:rPr>
                <w:color w:val="1A1B1A"/>
              </w:rPr>
            </w:pPr>
            <w:r w:rsidRPr="00B5044A">
              <w:t xml:space="preserve">Pre-harvest desiccation in </w:t>
            </w:r>
            <w:r>
              <w:t>potatoes</w:t>
            </w:r>
          </w:p>
        </w:tc>
      </w:tr>
      <w:tr w:rsidR="000110FD" w:rsidRPr="002C4E1B" w14:paraId="5A9E3247" w14:textId="77777777" w:rsidTr="000110FD">
        <w:trPr>
          <w:cantSplit/>
          <w:trHeight w:val="13"/>
        </w:trPr>
        <w:tc>
          <w:tcPr>
            <w:tcW w:w="492" w:type="pct"/>
            <w:vMerge w:val="restart"/>
            <w:tcBorders>
              <w:top w:val="single" w:sz="4" w:space="0" w:color="auto"/>
            </w:tcBorders>
          </w:tcPr>
          <w:p w14:paraId="4AC206D5" w14:textId="77777777" w:rsidR="000110FD" w:rsidRPr="002C4E1B" w:rsidRDefault="000110FD" w:rsidP="00303DF5">
            <w:pPr>
              <w:pStyle w:val="TableText"/>
              <w:widowControl w:val="0"/>
              <w:suppressAutoHyphens w:val="0"/>
              <w:spacing w:before="0" w:after="0" w:line="240" w:lineRule="auto"/>
              <w:rPr>
                <w:szCs w:val="17"/>
              </w:rPr>
            </w:pPr>
            <w:r>
              <w:rPr>
                <w:szCs w:val="17"/>
              </w:rPr>
              <w:t>Potatoes</w:t>
            </w:r>
          </w:p>
        </w:tc>
        <w:tc>
          <w:tcPr>
            <w:tcW w:w="518" w:type="pct"/>
            <w:vMerge w:val="restart"/>
            <w:tcBorders>
              <w:top w:val="single" w:sz="4" w:space="0" w:color="auto"/>
            </w:tcBorders>
          </w:tcPr>
          <w:p w14:paraId="108CF206"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vMerge w:val="restart"/>
            <w:tcBorders>
              <w:top w:val="single" w:sz="4" w:space="0" w:color="auto"/>
            </w:tcBorders>
          </w:tcPr>
          <w:p w14:paraId="0A2D7F17" w14:textId="77777777" w:rsidR="000110FD" w:rsidRPr="002C4E1B" w:rsidRDefault="000110FD" w:rsidP="00303DF5">
            <w:pPr>
              <w:pStyle w:val="TableText"/>
              <w:widowControl w:val="0"/>
              <w:suppressAutoHyphens w:val="0"/>
              <w:spacing w:before="0" w:after="0" w:line="240" w:lineRule="auto"/>
              <w:rPr>
                <w:szCs w:val="17"/>
              </w:rPr>
            </w:pPr>
            <w:r>
              <w:rPr>
                <w:szCs w:val="17"/>
              </w:rPr>
              <w:t>BBCH ≥20</w:t>
            </w:r>
          </w:p>
        </w:tc>
        <w:tc>
          <w:tcPr>
            <w:tcW w:w="486" w:type="pct"/>
            <w:vMerge w:val="restart"/>
            <w:tcBorders>
              <w:top w:val="single" w:sz="4" w:space="0" w:color="auto"/>
            </w:tcBorders>
          </w:tcPr>
          <w:p w14:paraId="0E713D98"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2954B87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25.2</w:t>
            </w:r>
          </w:p>
        </w:tc>
        <w:tc>
          <w:tcPr>
            <w:tcW w:w="293" w:type="pct"/>
            <w:tcBorders>
              <w:top w:val="single" w:sz="4" w:space="0" w:color="auto"/>
            </w:tcBorders>
          </w:tcPr>
          <w:p w14:paraId="3234F184"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800</w:t>
            </w:r>
          </w:p>
        </w:tc>
        <w:tc>
          <w:tcPr>
            <w:tcW w:w="299" w:type="pct"/>
            <w:tcBorders>
              <w:top w:val="single" w:sz="4" w:space="0" w:color="auto"/>
            </w:tcBorders>
          </w:tcPr>
          <w:p w14:paraId="34221159"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1A00463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17939A3C"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vAlign w:val="center"/>
          </w:tcPr>
          <w:p w14:paraId="14909DE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20</w:t>
            </w:r>
          </w:p>
        </w:tc>
        <w:tc>
          <w:tcPr>
            <w:tcW w:w="300" w:type="pct"/>
            <w:tcBorders>
              <w:top w:val="single" w:sz="4" w:space="0" w:color="auto"/>
            </w:tcBorders>
          </w:tcPr>
          <w:p w14:paraId="0B058F6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390A20">
              <w:t>7.0</w:t>
            </w:r>
          </w:p>
        </w:tc>
        <w:tc>
          <w:tcPr>
            <w:tcW w:w="301" w:type="pct"/>
            <w:tcBorders>
              <w:top w:val="single" w:sz="4" w:space="0" w:color="auto"/>
            </w:tcBorders>
            <w:shd w:val="clear" w:color="auto" w:fill="FF0000"/>
            <w:vAlign w:val="center"/>
          </w:tcPr>
          <w:p w14:paraId="6F5BA4B4"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2.9</w:t>
            </w:r>
          </w:p>
        </w:tc>
        <w:tc>
          <w:tcPr>
            <w:tcW w:w="321" w:type="pct"/>
            <w:tcBorders>
              <w:top w:val="single" w:sz="4" w:space="0" w:color="auto"/>
            </w:tcBorders>
            <w:vAlign w:val="center"/>
          </w:tcPr>
          <w:p w14:paraId="29CA8D5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278</w:t>
            </w:r>
          </w:p>
        </w:tc>
      </w:tr>
      <w:tr w:rsidR="000110FD" w:rsidRPr="002C4E1B" w14:paraId="23AF329B" w14:textId="77777777" w:rsidTr="000110FD">
        <w:trPr>
          <w:cantSplit/>
          <w:trHeight w:val="13"/>
        </w:trPr>
        <w:tc>
          <w:tcPr>
            <w:tcW w:w="492" w:type="pct"/>
            <w:vMerge/>
          </w:tcPr>
          <w:p w14:paraId="01FBB38D" w14:textId="77777777" w:rsidR="000110FD" w:rsidRPr="002C4E1B" w:rsidRDefault="000110FD" w:rsidP="00303DF5">
            <w:pPr>
              <w:pStyle w:val="TableText"/>
              <w:widowControl w:val="0"/>
              <w:suppressAutoHyphens w:val="0"/>
              <w:spacing w:before="0" w:after="0" w:line="240" w:lineRule="auto"/>
              <w:rPr>
                <w:szCs w:val="17"/>
              </w:rPr>
            </w:pPr>
          </w:p>
        </w:tc>
        <w:tc>
          <w:tcPr>
            <w:tcW w:w="518" w:type="pct"/>
            <w:vMerge/>
          </w:tcPr>
          <w:p w14:paraId="3023CEF6" w14:textId="77777777" w:rsidR="000110FD" w:rsidRPr="002C4E1B" w:rsidRDefault="000110FD" w:rsidP="00303DF5">
            <w:pPr>
              <w:pStyle w:val="TableText"/>
              <w:widowControl w:val="0"/>
              <w:suppressAutoHyphens w:val="0"/>
              <w:spacing w:before="0" w:after="0" w:line="240" w:lineRule="auto"/>
              <w:rPr>
                <w:szCs w:val="17"/>
              </w:rPr>
            </w:pPr>
          </w:p>
        </w:tc>
        <w:tc>
          <w:tcPr>
            <w:tcW w:w="559" w:type="pct"/>
            <w:gridSpan w:val="2"/>
            <w:vMerge/>
          </w:tcPr>
          <w:p w14:paraId="68C789AF" w14:textId="77777777" w:rsidR="000110FD" w:rsidRPr="002C4E1B" w:rsidRDefault="000110FD" w:rsidP="00303DF5">
            <w:pPr>
              <w:pStyle w:val="TableText"/>
              <w:widowControl w:val="0"/>
              <w:suppressAutoHyphens w:val="0"/>
              <w:spacing w:before="0" w:after="0" w:line="240" w:lineRule="auto"/>
              <w:rPr>
                <w:szCs w:val="17"/>
              </w:rPr>
            </w:pPr>
          </w:p>
        </w:tc>
        <w:tc>
          <w:tcPr>
            <w:tcW w:w="486" w:type="pct"/>
            <w:vMerge/>
          </w:tcPr>
          <w:p w14:paraId="49F9F902" w14:textId="77777777" w:rsidR="000110FD" w:rsidRPr="002C4E1B" w:rsidRDefault="000110FD" w:rsidP="00303DF5">
            <w:pPr>
              <w:pStyle w:val="TableText"/>
              <w:widowControl w:val="0"/>
              <w:suppressAutoHyphens w:val="0"/>
              <w:spacing w:before="0" w:after="0" w:line="240" w:lineRule="auto"/>
              <w:jc w:val="center"/>
              <w:rPr>
                <w:szCs w:val="17"/>
              </w:rPr>
            </w:pPr>
          </w:p>
        </w:tc>
        <w:tc>
          <w:tcPr>
            <w:tcW w:w="537" w:type="pct"/>
          </w:tcPr>
          <w:p w14:paraId="15D293E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25.2</w:t>
            </w:r>
          </w:p>
        </w:tc>
        <w:tc>
          <w:tcPr>
            <w:tcW w:w="293" w:type="pct"/>
          </w:tcPr>
          <w:p w14:paraId="4A81A88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300</w:t>
            </w:r>
          </w:p>
        </w:tc>
        <w:tc>
          <w:tcPr>
            <w:tcW w:w="299" w:type="pct"/>
          </w:tcPr>
          <w:p w14:paraId="6B2B8DDF"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Pr>
          <w:p w14:paraId="00EE98C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Pr>
          <w:p w14:paraId="5C66D79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vAlign w:val="center"/>
          </w:tcPr>
          <w:p w14:paraId="70698D8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7.6</w:t>
            </w:r>
          </w:p>
        </w:tc>
        <w:tc>
          <w:tcPr>
            <w:tcW w:w="300" w:type="pct"/>
          </w:tcPr>
          <w:p w14:paraId="1C6758E6"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390A20">
              <w:t>7.0</w:t>
            </w:r>
          </w:p>
        </w:tc>
        <w:tc>
          <w:tcPr>
            <w:tcW w:w="301" w:type="pct"/>
            <w:shd w:val="clear" w:color="auto" w:fill="FF0000"/>
            <w:vAlign w:val="center"/>
          </w:tcPr>
          <w:p w14:paraId="43CA35E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b/>
                <w:bCs/>
                <w:color w:val="1A1B1A"/>
                <w:szCs w:val="17"/>
              </w:rPr>
              <w:t>1.1</w:t>
            </w:r>
          </w:p>
        </w:tc>
        <w:tc>
          <w:tcPr>
            <w:tcW w:w="321" w:type="pct"/>
            <w:vAlign w:val="center"/>
          </w:tcPr>
          <w:p w14:paraId="3F831AFD"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278</w:t>
            </w:r>
          </w:p>
        </w:tc>
      </w:tr>
      <w:tr w:rsidR="000110FD" w:rsidRPr="002C4E1B" w14:paraId="77C72137" w14:textId="77777777" w:rsidTr="00303DF5">
        <w:trPr>
          <w:cantSplit/>
          <w:trHeight w:val="13"/>
        </w:trPr>
        <w:tc>
          <w:tcPr>
            <w:tcW w:w="5000" w:type="pct"/>
            <w:gridSpan w:val="14"/>
            <w:tcBorders>
              <w:top w:val="single" w:sz="4" w:space="0" w:color="auto"/>
            </w:tcBorders>
          </w:tcPr>
          <w:p w14:paraId="13351DDB" w14:textId="77777777" w:rsidR="000110FD" w:rsidRPr="002C4E1B" w:rsidRDefault="000110FD" w:rsidP="00E45161">
            <w:pPr>
              <w:pStyle w:val="TableSubHead0"/>
              <w:rPr>
                <w:color w:val="1A1B1A"/>
              </w:rPr>
            </w:pPr>
            <w:r w:rsidRPr="00B5044A">
              <w:lastRenderedPageBreak/>
              <w:t xml:space="preserve">Pre-harvest desiccation in </w:t>
            </w:r>
            <w:r>
              <w:t>pulses</w:t>
            </w:r>
          </w:p>
        </w:tc>
      </w:tr>
      <w:tr w:rsidR="000110FD" w:rsidRPr="002C4E1B" w14:paraId="7D0352FD" w14:textId="77777777" w:rsidTr="000110FD">
        <w:trPr>
          <w:cantSplit/>
          <w:trHeight w:val="13"/>
        </w:trPr>
        <w:tc>
          <w:tcPr>
            <w:tcW w:w="492" w:type="pct"/>
            <w:tcBorders>
              <w:top w:val="single" w:sz="4" w:space="0" w:color="auto"/>
            </w:tcBorders>
          </w:tcPr>
          <w:p w14:paraId="2D521FD6" w14:textId="77777777" w:rsidR="000110FD" w:rsidRPr="002C4E1B" w:rsidRDefault="000110FD" w:rsidP="00303DF5">
            <w:pPr>
              <w:pStyle w:val="TableText"/>
              <w:widowControl w:val="0"/>
              <w:suppressAutoHyphens w:val="0"/>
              <w:spacing w:before="0" w:after="0" w:line="240" w:lineRule="auto"/>
              <w:rPr>
                <w:szCs w:val="17"/>
              </w:rPr>
            </w:pPr>
            <w:r>
              <w:rPr>
                <w:szCs w:val="17"/>
              </w:rPr>
              <w:t>Pulses</w:t>
            </w:r>
          </w:p>
        </w:tc>
        <w:tc>
          <w:tcPr>
            <w:tcW w:w="518" w:type="pct"/>
            <w:tcBorders>
              <w:top w:val="single" w:sz="4" w:space="0" w:color="auto"/>
            </w:tcBorders>
          </w:tcPr>
          <w:p w14:paraId="429C1B1A" w14:textId="77777777" w:rsidR="000110FD" w:rsidRPr="002C4E1B" w:rsidRDefault="000110FD" w:rsidP="00303DF5">
            <w:pPr>
              <w:pStyle w:val="TableText"/>
              <w:widowControl w:val="0"/>
              <w:suppressAutoHyphens w:val="0"/>
              <w:spacing w:before="0" w:after="0" w:line="240" w:lineRule="auto"/>
              <w:rPr>
                <w:szCs w:val="17"/>
              </w:rPr>
            </w:pPr>
            <w:r>
              <w:rPr>
                <w:szCs w:val="17"/>
              </w:rPr>
              <w:t>Small insectivore</w:t>
            </w:r>
          </w:p>
        </w:tc>
        <w:tc>
          <w:tcPr>
            <w:tcW w:w="559" w:type="pct"/>
            <w:gridSpan w:val="2"/>
            <w:tcBorders>
              <w:top w:val="single" w:sz="4" w:space="0" w:color="auto"/>
            </w:tcBorders>
          </w:tcPr>
          <w:p w14:paraId="79C87D6C" w14:textId="77777777" w:rsidR="000110FD" w:rsidRPr="002C4E1B" w:rsidRDefault="000110FD" w:rsidP="00303DF5">
            <w:pPr>
              <w:pStyle w:val="TableText"/>
              <w:widowControl w:val="0"/>
              <w:suppressAutoHyphens w:val="0"/>
              <w:spacing w:before="0" w:after="0" w:line="240" w:lineRule="auto"/>
              <w:rPr>
                <w:szCs w:val="17"/>
              </w:rPr>
            </w:pPr>
            <w:r>
              <w:rPr>
                <w:szCs w:val="17"/>
              </w:rPr>
              <w:t>BBCH ≥20</w:t>
            </w:r>
          </w:p>
        </w:tc>
        <w:tc>
          <w:tcPr>
            <w:tcW w:w="486" w:type="pct"/>
            <w:tcBorders>
              <w:top w:val="single" w:sz="4" w:space="0" w:color="auto"/>
            </w:tcBorders>
          </w:tcPr>
          <w:p w14:paraId="1B80954B"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tcBorders>
          </w:tcPr>
          <w:p w14:paraId="2EEC17D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25.2</w:t>
            </w:r>
          </w:p>
        </w:tc>
        <w:tc>
          <w:tcPr>
            <w:tcW w:w="293" w:type="pct"/>
            <w:tcBorders>
              <w:top w:val="single" w:sz="4" w:space="0" w:color="auto"/>
            </w:tcBorders>
          </w:tcPr>
          <w:p w14:paraId="325C6D4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tcBorders>
          </w:tcPr>
          <w:p w14:paraId="1ED8F72A"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048ECCD8"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tcBorders>
          </w:tcPr>
          <w:p w14:paraId="755531FD"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tcBorders>
          </w:tcPr>
          <w:p w14:paraId="606BA79A"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15</w:t>
            </w:r>
          </w:p>
        </w:tc>
        <w:tc>
          <w:tcPr>
            <w:tcW w:w="300" w:type="pct"/>
            <w:tcBorders>
              <w:top w:val="single" w:sz="4" w:space="0" w:color="auto"/>
            </w:tcBorders>
          </w:tcPr>
          <w:p w14:paraId="1D099FFB"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Borders>
              <w:top w:val="single" w:sz="4" w:space="0" w:color="auto"/>
            </w:tcBorders>
            <w:shd w:val="clear" w:color="auto" w:fill="FF0000"/>
          </w:tcPr>
          <w:p w14:paraId="154B1C47" w14:textId="77777777" w:rsidR="000110FD" w:rsidRPr="00B3732F" w:rsidRDefault="000110FD" w:rsidP="00E45161">
            <w:pPr>
              <w:pStyle w:val="TableText"/>
              <w:widowControl w:val="0"/>
              <w:suppressAutoHyphens w:val="0"/>
              <w:spacing w:before="0" w:after="0" w:line="240" w:lineRule="auto"/>
              <w:jc w:val="right"/>
              <w:rPr>
                <w:b/>
                <w:bCs/>
                <w:color w:val="1A1B1A"/>
                <w:szCs w:val="17"/>
              </w:rPr>
            </w:pPr>
            <w:r w:rsidRPr="00B3732F">
              <w:rPr>
                <w:b/>
                <w:bCs/>
                <w:color w:val="1A1B1A"/>
                <w:szCs w:val="17"/>
              </w:rPr>
              <w:t>2.2</w:t>
            </w:r>
          </w:p>
        </w:tc>
        <w:tc>
          <w:tcPr>
            <w:tcW w:w="321" w:type="pct"/>
            <w:tcBorders>
              <w:top w:val="single" w:sz="4" w:space="0" w:color="auto"/>
            </w:tcBorders>
          </w:tcPr>
          <w:p w14:paraId="7D889D31"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278</w:t>
            </w:r>
          </w:p>
        </w:tc>
      </w:tr>
      <w:tr w:rsidR="000110FD" w:rsidRPr="002C4E1B" w14:paraId="53691A2E" w14:textId="77777777" w:rsidTr="00303DF5">
        <w:trPr>
          <w:cantSplit/>
          <w:trHeight w:val="13"/>
        </w:trPr>
        <w:tc>
          <w:tcPr>
            <w:tcW w:w="5000" w:type="pct"/>
            <w:gridSpan w:val="14"/>
            <w:tcBorders>
              <w:top w:val="single" w:sz="4" w:space="0" w:color="auto"/>
              <w:bottom w:val="single" w:sz="4" w:space="0" w:color="auto"/>
            </w:tcBorders>
          </w:tcPr>
          <w:p w14:paraId="0393AD39" w14:textId="77777777" w:rsidR="000110FD" w:rsidRPr="002C4E1B" w:rsidRDefault="000110FD" w:rsidP="00E45161">
            <w:pPr>
              <w:pStyle w:val="TableSubHead0"/>
              <w:rPr>
                <w:color w:val="1A1B1A"/>
              </w:rPr>
            </w:pPr>
            <w:bookmarkStart w:id="517" w:name="_Hlk206401254"/>
            <w:r w:rsidRPr="00B5044A">
              <w:t xml:space="preserve">Pre-harvest desiccation in </w:t>
            </w:r>
            <w:r>
              <w:t>sunflower</w:t>
            </w:r>
            <w:bookmarkEnd w:id="517"/>
          </w:p>
        </w:tc>
      </w:tr>
      <w:tr w:rsidR="000110FD" w:rsidRPr="002C4E1B" w14:paraId="46BCDAE8" w14:textId="77777777" w:rsidTr="000110FD">
        <w:trPr>
          <w:cantSplit/>
          <w:trHeight w:val="13"/>
        </w:trPr>
        <w:tc>
          <w:tcPr>
            <w:tcW w:w="492" w:type="pct"/>
            <w:tcBorders>
              <w:top w:val="single" w:sz="4" w:space="0" w:color="auto"/>
              <w:bottom w:val="single" w:sz="4" w:space="0" w:color="auto"/>
            </w:tcBorders>
          </w:tcPr>
          <w:p w14:paraId="021E3294" w14:textId="77777777" w:rsidR="000110FD" w:rsidRPr="002C4E1B" w:rsidRDefault="000110FD" w:rsidP="00303DF5">
            <w:pPr>
              <w:pStyle w:val="TableText"/>
              <w:widowControl w:val="0"/>
              <w:suppressAutoHyphens w:val="0"/>
              <w:spacing w:before="0" w:after="0" w:line="240" w:lineRule="auto"/>
              <w:jc w:val="right"/>
              <w:rPr>
                <w:szCs w:val="17"/>
              </w:rPr>
            </w:pPr>
            <w:r>
              <w:rPr>
                <w:szCs w:val="17"/>
              </w:rPr>
              <w:t>Sunflower</w:t>
            </w:r>
          </w:p>
        </w:tc>
        <w:tc>
          <w:tcPr>
            <w:tcW w:w="518" w:type="pct"/>
            <w:tcBorders>
              <w:top w:val="single" w:sz="4" w:space="0" w:color="auto"/>
              <w:bottom w:val="single" w:sz="4" w:space="0" w:color="auto"/>
            </w:tcBorders>
          </w:tcPr>
          <w:p w14:paraId="5B86FF67" w14:textId="77777777" w:rsidR="000110FD" w:rsidRPr="002C4E1B" w:rsidRDefault="000110FD" w:rsidP="00303DF5">
            <w:pPr>
              <w:pStyle w:val="TableText"/>
              <w:widowControl w:val="0"/>
              <w:suppressAutoHyphens w:val="0"/>
              <w:spacing w:before="0" w:after="0" w:line="240" w:lineRule="auto"/>
              <w:rPr>
                <w:szCs w:val="17"/>
              </w:rPr>
            </w:pPr>
            <w:r>
              <w:rPr>
                <w:szCs w:val="17"/>
              </w:rPr>
              <w:t>Small granivore/ insectivore</w:t>
            </w:r>
          </w:p>
        </w:tc>
        <w:tc>
          <w:tcPr>
            <w:tcW w:w="559" w:type="pct"/>
            <w:gridSpan w:val="2"/>
            <w:tcBorders>
              <w:top w:val="single" w:sz="4" w:space="0" w:color="auto"/>
              <w:bottom w:val="single" w:sz="4" w:space="0" w:color="auto"/>
            </w:tcBorders>
          </w:tcPr>
          <w:p w14:paraId="6500EFA1" w14:textId="77777777" w:rsidR="000110FD" w:rsidRPr="002C4E1B" w:rsidRDefault="000110FD" w:rsidP="00303DF5">
            <w:pPr>
              <w:pStyle w:val="TableText"/>
              <w:widowControl w:val="0"/>
              <w:suppressAutoHyphens w:val="0"/>
              <w:spacing w:before="0" w:after="0" w:line="240" w:lineRule="auto"/>
              <w:rPr>
                <w:szCs w:val="17"/>
              </w:rPr>
            </w:pPr>
            <w:r>
              <w:rPr>
                <w:szCs w:val="17"/>
              </w:rPr>
              <w:t>BBCH 61-92</w:t>
            </w:r>
          </w:p>
        </w:tc>
        <w:tc>
          <w:tcPr>
            <w:tcW w:w="486" w:type="pct"/>
            <w:tcBorders>
              <w:top w:val="single" w:sz="4" w:space="0" w:color="auto"/>
              <w:bottom w:val="single" w:sz="4" w:space="0" w:color="auto"/>
            </w:tcBorders>
          </w:tcPr>
          <w:p w14:paraId="6FF5E2D4" w14:textId="77777777" w:rsidR="000110FD" w:rsidRPr="002C4E1B" w:rsidRDefault="000110FD" w:rsidP="00303DF5">
            <w:pPr>
              <w:pStyle w:val="TableText"/>
              <w:widowControl w:val="0"/>
              <w:suppressAutoHyphens w:val="0"/>
              <w:spacing w:before="0" w:after="0" w:line="240" w:lineRule="auto"/>
              <w:jc w:val="center"/>
              <w:rPr>
                <w:szCs w:val="17"/>
              </w:rPr>
            </w:pPr>
            <w:r>
              <w:rPr>
                <w:szCs w:val="17"/>
              </w:rPr>
              <w:t>Acute</w:t>
            </w:r>
          </w:p>
        </w:tc>
        <w:tc>
          <w:tcPr>
            <w:tcW w:w="537" w:type="pct"/>
            <w:tcBorders>
              <w:top w:val="single" w:sz="4" w:space="0" w:color="auto"/>
              <w:bottom w:val="single" w:sz="4" w:space="0" w:color="auto"/>
            </w:tcBorders>
            <w:shd w:val="clear" w:color="auto" w:fill="D5D7D5" w:themeFill="text1" w:themeFillTint="33"/>
          </w:tcPr>
          <w:p w14:paraId="470BDC12"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17.4</w:t>
            </w:r>
            <w:r>
              <w:rPr>
                <w:szCs w:val="17"/>
                <w:vertAlign w:val="superscript"/>
              </w:rPr>
              <w:t>c</w:t>
            </w:r>
          </w:p>
        </w:tc>
        <w:tc>
          <w:tcPr>
            <w:tcW w:w="293" w:type="pct"/>
            <w:tcBorders>
              <w:top w:val="single" w:sz="4" w:space="0" w:color="auto"/>
              <w:bottom w:val="single" w:sz="4" w:space="0" w:color="auto"/>
            </w:tcBorders>
          </w:tcPr>
          <w:p w14:paraId="2D067E86"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600</w:t>
            </w:r>
          </w:p>
        </w:tc>
        <w:tc>
          <w:tcPr>
            <w:tcW w:w="299" w:type="pct"/>
            <w:tcBorders>
              <w:top w:val="single" w:sz="4" w:space="0" w:color="auto"/>
              <w:bottom w:val="single" w:sz="4" w:space="0" w:color="auto"/>
            </w:tcBorders>
          </w:tcPr>
          <w:p w14:paraId="6D30A84E"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bottom w:val="single" w:sz="4" w:space="0" w:color="auto"/>
            </w:tcBorders>
          </w:tcPr>
          <w:p w14:paraId="7EB59911"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9" w:type="pct"/>
            <w:tcBorders>
              <w:top w:val="single" w:sz="4" w:space="0" w:color="auto"/>
              <w:bottom w:val="single" w:sz="4" w:space="0" w:color="auto"/>
            </w:tcBorders>
          </w:tcPr>
          <w:p w14:paraId="17BE0E33" w14:textId="77777777" w:rsidR="000110FD" w:rsidRPr="002C4E1B" w:rsidRDefault="000110FD" w:rsidP="00E45161">
            <w:pPr>
              <w:pStyle w:val="TableText"/>
              <w:widowControl w:val="0"/>
              <w:suppressAutoHyphens w:val="0"/>
              <w:spacing w:before="0" w:after="0" w:line="240" w:lineRule="auto"/>
              <w:jc w:val="right"/>
              <w:rPr>
                <w:szCs w:val="17"/>
              </w:rPr>
            </w:pPr>
            <w:r>
              <w:rPr>
                <w:szCs w:val="17"/>
              </w:rPr>
              <w:t>1.0</w:t>
            </w:r>
          </w:p>
        </w:tc>
        <w:tc>
          <w:tcPr>
            <w:tcW w:w="298" w:type="pct"/>
            <w:tcBorders>
              <w:top w:val="single" w:sz="4" w:space="0" w:color="auto"/>
              <w:bottom w:val="single" w:sz="4" w:space="0" w:color="auto"/>
            </w:tcBorders>
          </w:tcPr>
          <w:p w14:paraId="71337917"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10</w:t>
            </w:r>
          </w:p>
        </w:tc>
        <w:tc>
          <w:tcPr>
            <w:tcW w:w="300" w:type="pct"/>
            <w:tcBorders>
              <w:top w:val="single" w:sz="4" w:space="0" w:color="auto"/>
              <w:bottom w:val="single" w:sz="4" w:space="0" w:color="auto"/>
            </w:tcBorders>
          </w:tcPr>
          <w:p w14:paraId="5EB95AE5" w14:textId="77777777" w:rsidR="000110FD" w:rsidRPr="002C4E1B" w:rsidRDefault="000110FD" w:rsidP="00E45161">
            <w:pPr>
              <w:pStyle w:val="TableText"/>
              <w:widowControl w:val="0"/>
              <w:suppressAutoHyphens w:val="0"/>
              <w:spacing w:before="0" w:after="0" w:line="240" w:lineRule="auto"/>
              <w:jc w:val="right"/>
              <w:rPr>
                <w:color w:val="1A1B1A"/>
                <w:szCs w:val="17"/>
              </w:rPr>
            </w:pPr>
            <w:r w:rsidRPr="00917C96">
              <w:t>7.0</w:t>
            </w:r>
          </w:p>
        </w:tc>
        <w:tc>
          <w:tcPr>
            <w:tcW w:w="301" w:type="pct"/>
            <w:tcBorders>
              <w:top w:val="single" w:sz="4" w:space="0" w:color="auto"/>
              <w:bottom w:val="single" w:sz="4" w:space="0" w:color="auto"/>
            </w:tcBorders>
            <w:shd w:val="clear" w:color="auto" w:fill="FF0000"/>
          </w:tcPr>
          <w:p w14:paraId="07E0E0A1" w14:textId="77777777" w:rsidR="000110FD" w:rsidRPr="00B3732F" w:rsidRDefault="000110FD" w:rsidP="00E45161">
            <w:pPr>
              <w:pStyle w:val="TableText"/>
              <w:widowControl w:val="0"/>
              <w:suppressAutoHyphens w:val="0"/>
              <w:spacing w:before="0" w:after="0" w:line="240" w:lineRule="auto"/>
              <w:jc w:val="right"/>
              <w:rPr>
                <w:b/>
                <w:bCs/>
                <w:color w:val="1A1B1A"/>
                <w:szCs w:val="17"/>
              </w:rPr>
            </w:pPr>
            <w:r w:rsidRPr="00B3732F">
              <w:rPr>
                <w:b/>
                <w:bCs/>
                <w:color w:val="1A1B1A"/>
                <w:szCs w:val="17"/>
              </w:rPr>
              <w:t>1.</w:t>
            </w:r>
            <w:r>
              <w:rPr>
                <w:b/>
                <w:bCs/>
                <w:color w:val="1A1B1A"/>
                <w:szCs w:val="17"/>
              </w:rPr>
              <w:t>5</w:t>
            </w:r>
          </w:p>
        </w:tc>
        <w:tc>
          <w:tcPr>
            <w:tcW w:w="321" w:type="pct"/>
            <w:tcBorders>
              <w:top w:val="single" w:sz="4" w:space="0" w:color="auto"/>
              <w:bottom w:val="single" w:sz="4" w:space="0" w:color="auto"/>
            </w:tcBorders>
          </w:tcPr>
          <w:p w14:paraId="5916475F" w14:textId="77777777" w:rsidR="000110FD" w:rsidRPr="002C4E1B" w:rsidRDefault="000110FD" w:rsidP="00E45161">
            <w:pPr>
              <w:pStyle w:val="TableText"/>
              <w:widowControl w:val="0"/>
              <w:suppressAutoHyphens w:val="0"/>
              <w:spacing w:before="0" w:after="0" w:line="240" w:lineRule="auto"/>
              <w:jc w:val="right"/>
              <w:rPr>
                <w:color w:val="1A1B1A"/>
                <w:szCs w:val="17"/>
              </w:rPr>
            </w:pPr>
            <w:r>
              <w:rPr>
                <w:color w:val="1A1B1A"/>
                <w:szCs w:val="17"/>
              </w:rPr>
              <w:t>402</w:t>
            </w:r>
          </w:p>
        </w:tc>
      </w:tr>
    </w:tbl>
    <w:p w14:paraId="257016C6" w14:textId="77777777" w:rsidR="000110FD" w:rsidRPr="005548EB" w:rsidRDefault="000110FD" w:rsidP="005548EB">
      <w:pPr>
        <w:pStyle w:val="SourceTableNote"/>
      </w:pPr>
      <w:r w:rsidRPr="005548EB">
        <w:rPr>
          <w:vertAlign w:val="superscript"/>
        </w:rPr>
        <w:t>a</w:t>
      </w:r>
      <w:r w:rsidRPr="005548EB">
        <w:t xml:space="preserve"> Value (MAF or TWA) adjusted to account for DT</w:t>
      </w:r>
      <w:r w:rsidRPr="005548EB">
        <w:rPr>
          <w:vertAlign w:val="subscript"/>
        </w:rPr>
        <w:t>50</w:t>
      </w:r>
      <w:r w:rsidRPr="005548EB">
        <w:t xml:space="preserve"> values of 2.2 d for insects, 1.6 d for foliage and 7.9 d for seeds</w:t>
      </w:r>
    </w:p>
    <w:p w14:paraId="582680FF" w14:textId="77777777" w:rsidR="000110FD" w:rsidRPr="005548EB" w:rsidRDefault="000110FD" w:rsidP="005548EB">
      <w:pPr>
        <w:pStyle w:val="SourceTableNote"/>
      </w:pPr>
      <w:r w:rsidRPr="005548EB">
        <w:rPr>
          <w:vertAlign w:val="superscript"/>
        </w:rPr>
        <w:t xml:space="preserve">b </w:t>
      </w:r>
      <w:r w:rsidRPr="005548EB">
        <w:t>Refined shortcut value used for risk assessment; adjusted for interception values in EFSA (2020)</w:t>
      </w:r>
    </w:p>
    <w:p w14:paraId="582F9306" w14:textId="77777777" w:rsidR="000110FD" w:rsidRPr="005548EB" w:rsidRDefault="000110FD" w:rsidP="005548EB">
      <w:pPr>
        <w:pStyle w:val="SourceTableNote"/>
      </w:pPr>
      <w:r w:rsidRPr="005548EB">
        <w:rPr>
          <w:vertAlign w:val="superscript"/>
        </w:rPr>
        <w:t>c</w:t>
      </w:r>
      <w:r w:rsidRPr="005548EB">
        <w:t xml:space="preserve"> Refined shortcut value used for risk assessment; adjusted to account for energy content, assimilation efficiency and moisture content of sunflower seeds (based on Gutiérrez-Expósito et al. 2024)</w:t>
      </w:r>
    </w:p>
    <w:p w14:paraId="34282599" w14:textId="77A0A5D5" w:rsidR="000110FD" w:rsidRPr="005548EB" w:rsidRDefault="000110FD" w:rsidP="005548EB">
      <w:pPr>
        <w:pStyle w:val="SourceTableNote"/>
      </w:pPr>
      <w:r w:rsidRPr="005548EB">
        <w:t xml:space="preserve">Crop groups and situations as indicated in </w:t>
      </w:r>
      <w:r w:rsidR="001B2D62">
        <w:fldChar w:fldCharType="begin" w:fldLock="1"/>
      </w:r>
      <w:r w:rsidR="001B2D62">
        <w:instrText xml:space="preserve"> REF _Ref170461176 \h </w:instrText>
      </w:r>
      <w:r w:rsidR="001B2D62">
        <w:fldChar w:fldCharType="separate"/>
      </w:r>
      <w:r w:rsidR="001B2D62" w:rsidRPr="00247DE6">
        <w:t xml:space="preserve">Table </w:t>
      </w:r>
      <w:r w:rsidR="001B2D62">
        <w:rPr>
          <w:noProof/>
        </w:rPr>
        <w:t>55</w:t>
      </w:r>
      <w:r w:rsidR="001B2D62">
        <w:fldChar w:fldCharType="end"/>
      </w:r>
    </w:p>
    <w:p w14:paraId="03371EF3" w14:textId="77777777" w:rsidR="000110FD" w:rsidRPr="005548EB" w:rsidRDefault="000110FD" w:rsidP="005548EB">
      <w:pPr>
        <w:pStyle w:val="SourceTableNote"/>
      </w:pPr>
      <w:r w:rsidRPr="005548EB">
        <w:t>Generic focal species and shortcut values for indicated crop groups from EFSA (2009), unless indicated otherwise</w:t>
      </w:r>
    </w:p>
    <w:p w14:paraId="74AB04E0" w14:textId="324D10F3" w:rsidR="000110FD" w:rsidRPr="005548EB" w:rsidRDefault="000110FD" w:rsidP="005548EB">
      <w:pPr>
        <w:pStyle w:val="SourceTableNote"/>
      </w:pPr>
      <w:r w:rsidRPr="005548EB">
        <w:t xml:space="preserve">AR (g ac/ha) = application rate, the values quoted have been adjusted for FFT (from </w:t>
      </w:r>
      <w:r w:rsidR="008C566B" w:rsidRPr="005548EB">
        <w:fldChar w:fldCharType="begin" w:fldLock="1"/>
      </w:r>
      <w:r w:rsidR="008C566B" w:rsidRPr="005548EB">
        <w:instrText xml:space="preserve"> REF _Ref170461176 \h  \* MERGEFORMAT </w:instrText>
      </w:r>
      <w:r w:rsidR="008C566B" w:rsidRPr="005548EB">
        <w:fldChar w:fldCharType="separate"/>
      </w:r>
      <w:r w:rsidR="0033298E" w:rsidRPr="005548EB">
        <w:t>Table 61</w:t>
      </w:r>
      <w:r w:rsidR="008C566B" w:rsidRPr="005548EB">
        <w:fldChar w:fldCharType="end"/>
      </w:r>
      <w:r w:rsidRPr="005548EB">
        <w:t>)</w:t>
      </w:r>
    </w:p>
    <w:p w14:paraId="5FE6F2D9" w14:textId="77777777" w:rsidR="000110FD" w:rsidRPr="005548EB" w:rsidRDefault="000110FD" w:rsidP="005548EB">
      <w:pPr>
        <w:pStyle w:val="SourceTableNote"/>
      </w:pPr>
      <w:r w:rsidRPr="005548EB">
        <w:t>MAF = multiple application factor</w:t>
      </w:r>
    </w:p>
    <w:p w14:paraId="39FF47C6" w14:textId="77777777" w:rsidR="000110FD" w:rsidRPr="005548EB" w:rsidRDefault="000110FD" w:rsidP="005548EB">
      <w:pPr>
        <w:pStyle w:val="SourceTableNote"/>
      </w:pPr>
      <w:r w:rsidRPr="005548EB">
        <w:t>PT = proportion of daily diet obtained treated area (acute 1.0, chronic 0.5)</w:t>
      </w:r>
    </w:p>
    <w:p w14:paraId="117141B6" w14:textId="77777777" w:rsidR="000110FD" w:rsidRPr="005548EB" w:rsidRDefault="000110FD" w:rsidP="005548EB">
      <w:pPr>
        <w:pStyle w:val="SourceTableNote"/>
      </w:pPr>
      <w:r w:rsidRPr="005548EB">
        <w:t>TWA = time weighted average factor</w:t>
      </w:r>
    </w:p>
    <w:p w14:paraId="40F2A13C" w14:textId="77777777" w:rsidR="000110FD" w:rsidRPr="005548EB" w:rsidRDefault="000110FD" w:rsidP="005548EB">
      <w:pPr>
        <w:pStyle w:val="SourceTableNote"/>
      </w:pPr>
      <w:r w:rsidRPr="005548EB">
        <w:t>DDD (mg ac/kg bw or mg ac/kg bw/d) = daily dietary dose = AR ∕ 1000 × shortcut value × MAF × PT × TWA</w:t>
      </w:r>
    </w:p>
    <w:p w14:paraId="37204487" w14:textId="77777777" w:rsidR="000110FD" w:rsidRPr="005548EB" w:rsidRDefault="000110FD" w:rsidP="005548EB">
      <w:pPr>
        <w:pStyle w:val="SourceTableNote"/>
      </w:pPr>
      <w:r w:rsidRPr="005548EB">
        <w:t>RAL = regulatory acceptable level</w:t>
      </w:r>
    </w:p>
    <w:p w14:paraId="6BF1BEB0" w14:textId="77777777" w:rsidR="000110FD" w:rsidRPr="005548EB" w:rsidRDefault="000110FD" w:rsidP="005548EB">
      <w:pPr>
        <w:pStyle w:val="SourceTableNote"/>
      </w:pPr>
      <w:r w:rsidRPr="005548EB">
        <w:t>Acute = geomean LD</w:t>
      </w:r>
      <w:r w:rsidRPr="005548EB">
        <w:rPr>
          <w:vertAlign w:val="subscript"/>
        </w:rPr>
        <w:t>50</w:t>
      </w:r>
      <w:r w:rsidRPr="005548EB">
        <w:t xml:space="preserve"> 70 mg/kg bw (Fink et al. 1982, Hubbard 2013, Roberts &amp; Fairley 1980) and assessment factor of 10</w:t>
      </w:r>
    </w:p>
    <w:p w14:paraId="342D695D" w14:textId="77777777" w:rsidR="000110FD" w:rsidRPr="005548EB" w:rsidRDefault="000110FD" w:rsidP="005548EB">
      <w:pPr>
        <w:pStyle w:val="SourceTableNote"/>
      </w:pPr>
      <w:r w:rsidRPr="005548EB">
        <w:tab/>
        <w:t>Chronic = NOEL 3.2 mg/kg bw/d (Temple et al. 2004a, 2004b) and assessment factor of 1</w:t>
      </w:r>
    </w:p>
    <w:p w14:paraId="4D2FDF57" w14:textId="77777777" w:rsidR="000110FD" w:rsidRPr="005548EB" w:rsidRDefault="000110FD" w:rsidP="005548EB">
      <w:pPr>
        <w:pStyle w:val="SourceTableNote"/>
      </w:pPr>
      <w:r w:rsidRPr="005548EB">
        <w:t>RQ = risk quotient = DDD ∕ RAL, RQ ≤1 indicates an acceptable risk</w:t>
      </w:r>
    </w:p>
    <w:p w14:paraId="4097DC2E" w14:textId="77777777" w:rsidR="000110FD" w:rsidRPr="005548EB" w:rsidRDefault="000110FD" w:rsidP="005548EB">
      <w:pPr>
        <w:pStyle w:val="SourceTableNote"/>
      </w:pPr>
      <w:r w:rsidRPr="005548EB">
        <w:t>Max rate (g ac/ha) = maximum acceptable rate, per application = RAL × 1000 / (shortcut value × MAF × PT × TWA)</w:t>
      </w:r>
    </w:p>
    <w:p w14:paraId="08B91D8D" w14:textId="77777777" w:rsidR="000110FD" w:rsidRPr="00B10F80" w:rsidRDefault="000110FD" w:rsidP="002345BB">
      <w:pPr>
        <w:pStyle w:val="PreliminariesH2"/>
      </w:pPr>
      <w:bookmarkStart w:id="518" w:name="_Toc216683827"/>
      <w:r w:rsidRPr="00B10F80">
        <w:t>Weight-of</w:t>
      </w:r>
      <w:r>
        <w:t>-</w:t>
      </w:r>
      <w:r w:rsidRPr="00B10F80">
        <w:t>evidence discussion</w:t>
      </w:r>
      <w:bookmarkEnd w:id="518"/>
    </w:p>
    <w:p w14:paraId="40AF55FB" w14:textId="2CA54C6B" w:rsidR="000110FD" w:rsidRPr="008E1AC0" w:rsidRDefault="000110FD" w:rsidP="005548EB">
      <w:pPr>
        <w:pStyle w:val="NormalText"/>
      </w:pPr>
      <w:r>
        <w:t xml:space="preserve">It is acknowledged that </w:t>
      </w:r>
      <w:r w:rsidRPr="008E1AC0">
        <w:t xml:space="preserve">uncertainties </w:t>
      </w:r>
      <w:r>
        <w:t xml:space="preserve">are inherent in </w:t>
      </w:r>
      <w:r w:rsidRPr="008E1AC0">
        <w:t>the risk assessment scheme in general and</w:t>
      </w:r>
      <w:r w:rsidR="00491573">
        <w:t xml:space="preserve"> in</w:t>
      </w:r>
      <w:r w:rsidRPr="008E1AC0">
        <w:t xml:space="preserve"> Tier 1 assessments. These issues are discussed in EFSA (2023) (</w:t>
      </w:r>
      <w:r>
        <w:t>S</w:t>
      </w:r>
      <w:r w:rsidRPr="008E1AC0">
        <w:t>ections 13.1.2 and 13.2)</w:t>
      </w:r>
      <w:r>
        <w:t xml:space="preserve">; that summary is useful, but </w:t>
      </w:r>
      <w:r w:rsidRPr="008E1AC0">
        <w:t xml:space="preserve">differences </w:t>
      </w:r>
      <w:r>
        <w:t xml:space="preserve">in risk assessment </w:t>
      </w:r>
      <w:r w:rsidRPr="008E1AC0">
        <w:t>between EFSA (2023) and EFSA (2009)</w:t>
      </w:r>
      <w:r>
        <w:t xml:space="preserve"> should be kept in mind</w:t>
      </w:r>
      <w:r w:rsidRPr="008E1AC0">
        <w:t xml:space="preserve">. The </w:t>
      </w:r>
      <w:r>
        <w:t>discussion has</w:t>
      </w:r>
      <w:r w:rsidRPr="008E1AC0">
        <w:t xml:space="preserve"> not been rep</w:t>
      </w:r>
      <w:r>
        <w:t xml:space="preserve">roduced </w:t>
      </w:r>
      <w:r w:rsidRPr="008E1AC0">
        <w:t>here</w:t>
      </w:r>
      <w:r>
        <w:t>,</w:t>
      </w:r>
      <w:r w:rsidRPr="008E1AC0">
        <w:t xml:space="preserve"> but</w:t>
      </w:r>
      <w:r>
        <w:t xml:space="preserve"> to greater or lesser extent,</w:t>
      </w:r>
      <w:r w:rsidRPr="008E1AC0">
        <w:t xml:space="preserve"> </w:t>
      </w:r>
      <w:r>
        <w:t xml:space="preserve">is </w:t>
      </w:r>
      <w:r w:rsidRPr="008E1AC0">
        <w:t>relevant to the current assessment.</w:t>
      </w:r>
    </w:p>
    <w:p w14:paraId="09E9FB10" w14:textId="2E9829A4" w:rsidR="002B1A69" w:rsidRDefault="000110FD" w:rsidP="005548EB">
      <w:pPr>
        <w:pStyle w:val="NormalText"/>
      </w:pPr>
      <w:r>
        <w:t>T</w:t>
      </w:r>
      <w:r w:rsidRPr="008E1AC0">
        <w:t xml:space="preserve">here are </w:t>
      </w:r>
      <w:r>
        <w:t>additional observations</w:t>
      </w:r>
      <w:r w:rsidRPr="008E1AC0">
        <w:t xml:space="preserve"> that are </w:t>
      </w:r>
      <w:r>
        <w:t xml:space="preserve">relevant </w:t>
      </w:r>
      <w:r w:rsidRPr="008E1AC0">
        <w:t xml:space="preserve">to </w:t>
      </w:r>
      <w:r>
        <w:t>the assessment of di</w:t>
      </w:r>
      <w:r w:rsidRPr="008E1AC0">
        <w:t>quat</w:t>
      </w:r>
      <w:r>
        <w:t xml:space="preserve"> that</w:t>
      </w:r>
      <w:r w:rsidRPr="008E1AC0">
        <w:t xml:space="preserve"> have not or cannot </w:t>
      </w:r>
      <w:r>
        <w:t xml:space="preserve">currently </w:t>
      </w:r>
      <w:r w:rsidRPr="008E1AC0">
        <w:t xml:space="preserve">be accounted </w:t>
      </w:r>
      <w:r w:rsidRPr="008C566B">
        <w:t>for in the quantitative risk assessment. A summary of these issues relevant to the risk assessment for diquat is included in</w:t>
      </w:r>
      <w:r w:rsidR="005A361E">
        <w:t xml:space="preserve"> </w:t>
      </w:r>
      <w:r w:rsidR="005A361E">
        <w:fldChar w:fldCharType="begin" w:fldLock="1"/>
      </w:r>
      <w:r w:rsidR="005A361E">
        <w:instrText xml:space="preserve"> REF _Ref221022757 \h </w:instrText>
      </w:r>
      <w:r w:rsidR="005A361E">
        <w:fldChar w:fldCharType="separate"/>
      </w:r>
      <w:r w:rsidR="00AE0115" w:rsidRPr="00247DE6">
        <w:t xml:space="preserve">Table </w:t>
      </w:r>
      <w:r w:rsidR="00AE0115">
        <w:rPr>
          <w:noProof/>
        </w:rPr>
        <w:t>60</w:t>
      </w:r>
      <w:r w:rsidR="005A361E">
        <w:fldChar w:fldCharType="end"/>
      </w:r>
      <w:r w:rsidRPr="008C566B">
        <w:t xml:space="preserve">. These </w:t>
      </w:r>
      <w:bookmarkStart w:id="519" w:name="_Hlk204330877"/>
      <w:r w:rsidRPr="008C566B">
        <w:t xml:space="preserve">sources of uncertainty </w:t>
      </w:r>
      <w:bookmarkEnd w:id="519"/>
      <w:r w:rsidRPr="008C566B">
        <w:t>a</w:t>
      </w:r>
      <w:r w:rsidR="005A361E">
        <w:t>r</w:t>
      </w:r>
      <w:r w:rsidRPr="008C566B">
        <w:t>e not specific to a particular crop and are applicable to all, or many uses. Issues related to specific crops/uses and qualitative data submitted to support those risk assessments ha</w:t>
      </w:r>
      <w:r w:rsidR="00491573">
        <w:t>ve</w:t>
      </w:r>
      <w:r w:rsidRPr="008E1AC0">
        <w:t xml:space="preserve"> been considered below the table under </w:t>
      </w:r>
      <w:r>
        <w:t xml:space="preserve">the </w:t>
      </w:r>
      <w:r w:rsidRPr="008E1AC0">
        <w:t>relevant heading.</w:t>
      </w:r>
    </w:p>
    <w:p w14:paraId="15C314B2" w14:textId="7DB969EA" w:rsidR="000110FD" w:rsidRPr="00247DE6" w:rsidRDefault="000110FD" w:rsidP="00247DE6">
      <w:pPr>
        <w:pStyle w:val="Caption"/>
      </w:pPr>
      <w:bookmarkStart w:id="520" w:name="_Ref221022757"/>
      <w:bookmarkStart w:id="521" w:name="_Toc232589655"/>
      <w:r w:rsidRPr="00247DE6">
        <w:lastRenderedPageBreak/>
        <w:t xml:space="preserve">Table </w:t>
      </w:r>
      <w:fldSimple w:instr=" SEQ Table \* ARABIC ">
        <w:r w:rsidR="00AE0115">
          <w:rPr>
            <w:noProof/>
          </w:rPr>
          <w:t>60</w:t>
        </w:r>
      </w:fldSimple>
      <w:bookmarkEnd w:id="520"/>
      <w:r w:rsidRPr="00247DE6">
        <w:t>: Sources of uncertainty relevant to a weight of evidence argument</w:t>
      </w:r>
      <w:bookmarkEnd w:id="521"/>
    </w:p>
    <w:tbl>
      <w:tblPr>
        <w:tblW w:w="5000" w:type="pct"/>
        <w:tblCellMar>
          <w:top w:w="57" w:type="dxa"/>
          <w:left w:w="57" w:type="dxa"/>
          <w:bottom w:w="57" w:type="dxa"/>
          <w:right w:w="57" w:type="dxa"/>
        </w:tblCellMar>
        <w:tblLook w:val="0000" w:firstRow="0" w:lastRow="0" w:firstColumn="0" w:lastColumn="0" w:noHBand="0" w:noVBand="0"/>
      </w:tblPr>
      <w:tblGrid>
        <w:gridCol w:w="1292"/>
        <w:gridCol w:w="1004"/>
        <w:gridCol w:w="7456"/>
      </w:tblGrid>
      <w:tr w:rsidR="000110FD" w14:paraId="258EC8B3" w14:textId="77777777" w:rsidTr="00303DF5">
        <w:trPr>
          <w:cantSplit/>
          <w:tblHeader/>
        </w:trPr>
        <w:tc>
          <w:tcPr>
            <w:tcW w:w="662" w:type="pct"/>
            <w:tcBorders>
              <w:top w:val="single" w:sz="4" w:space="0" w:color="auto"/>
              <w:bottom w:val="single" w:sz="4" w:space="0" w:color="auto"/>
              <w:right w:val="single" w:sz="4" w:space="0" w:color="auto"/>
            </w:tcBorders>
            <w:shd w:val="clear" w:color="auto" w:fill="5C2946"/>
          </w:tcPr>
          <w:p w14:paraId="4182F975" w14:textId="77777777" w:rsidR="000110FD" w:rsidRPr="005548EB" w:rsidRDefault="000110FD" w:rsidP="005548EB">
            <w:pPr>
              <w:pStyle w:val="TableHead"/>
            </w:pPr>
            <w:r w:rsidRPr="005548EB">
              <w:t>Source of uncertainty</w:t>
            </w:r>
          </w:p>
        </w:tc>
        <w:tc>
          <w:tcPr>
            <w:tcW w:w="515" w:type="pct"/>
            <w:tcBorders>
              <w:top w:val="single" w:sz="4" w:space="0" w:color="auto"/>
              <w:left w:val="single" w:sz="4" w:space="0" w:color="auto"/>
              <w:bottom w:val="single" w:sz="4" w:space="0" w:color="auto"/>
              <w:right w:val="single" w:sz="4" w:space="0" w:color="auto"/>
            </w:tcBorders>
            <w:shd w:val="clear" w:color="auto" w:fill="5C2946"/>
          </w:tcPr>
          <w:p w14:paraId="58A8D0AC" w14:textId="77777777" w:rsidR="000110FD" w:rsidRPr="005548EB" w:rsidRDefault="000110FD" w:rsidP="005548EB">
            <w:pPr>
              <w:pStyle w:val="TableHead"/>
            </w:pPr>
            <w:r w:rsidRPr="005548EB">
              <w:t>Relevant taxa</w:t>
            </w:r>
          </w:p>
        </w:tc>
        <w:tc>
          <w:tcPr>
            <w:tcW w:w="3823" w:type="pct"/>
            <w:tcBorders>
              <w:top w:val="single" w:sz="4" w:space="0" w:color="auto"/>
              <w:left w:val="single" w:sz="4" w:space="0" w:color="auto"/>
              <w:bottom w:val="single" w:sz="4" w:space="0" w:color="auto"/>
            </w:tcBorders>
            <w:shd w:val="clear" w:color="auto" w:fill="5C2946"/>
          </w:tcPr>
          <w:p w14:paraId="5F5A4826" w14:textId="77777777" w:rsidR="000110FD" w:rsidRPr="005548EB" w:rsidRDefault="000110FD" w:rsidP="005548EB">
            <w:pPr>
              <w:pStyle w:val="TableHead"/>
            </w:pPr>
            <w:r w:rsidRPr="005548EB">
              <w:t>Discussion</w:t>
            </w:r>
          </w:p>
        </w:tc>
      </w:tr>
      <w:tr w:rsidR="000110FD" w:rsidRPr="00704159" w14:paraId="39CE81E9" w14:textId="77777777" w:rsidTr="00303DF5">
        <w:trPr>
          <w:cantSplit/>
          <w:trHeight w:val="13"/>
        </w:trPr>
        <w:tc>
          <w:tcPr>
            <w:tcW w:w="662" w:type="pct"/>
            <w:vMerge w:val="restart"/>
            <w:tcBorders>
              <w:top w:val="single" w:sz="4" w:space="0" w:color="auto"/>
            </w:tcBorders>
          </w:tcPr>
          <w:p w14:paraId="71B64E45" w14:textId="77777777" w:rsidR="000110FD" w:rsidRDefault="000110FD" w:rsidP="00303DF5">
            <w:pPr>
              <w:pStyle w:val="TableText"/>
              <w:widowControl w:val="0"/>
              <w:suppressAutoHyphens w:val="0"/>
              <w:spacing w:before="0" w:after="0" w:line="240" w:lineRule="auto"/>
              <w:rPr>
                <w:szCs w:val="17"/>
              </w:rPr>
            </w:pPr>
            <w:r>
              <w:rPr>
                <w:szCs w:val="17"/>
              </w:rPr>
              <w:t>Acute dietary exposure</w:t>
            </w:r>
          </w:p>
        </w:tc>
        <w:tc>
          <w:tcPr>
            <w:tcW w:w="515" w:type="pct"/>
            <w:tcBorders>
              <w:top w:val="single" w:sz="4" w:space="0" w:color="auto"/>
              <w:bottom w:val="single" w:sz="4" w:space="0" w:color="auto"/>
            </w:tcBorders>
          </w:tcPr>
          <w:p w14:paraId="79E5A5B3" w14:textId="77777777" w:rsidR="000110FD" w:rsidRDefault="000110FD" w:rsidP="00303DF5">
            <w:pPr>
              <w:pStyle w:val="TableText"/>
              <w:widowControl w:val="0"/>
              <w:suppressAutoHyphens w:val="0"/>
              <w:spacing w:before="0" w:after="0" w:line="240" w:lineRule="auto"/>
              <w:rPr>
                <w:szCs w:val="17"/>
              </w:rPr>
            </w:pPr>
            <w:r>
              <w:rPr>
                <w:szCs w:val="17"/>
              </w:rPr>
              <w:t>Birds</w:t>
            </w:r>
          </w:p>
        </w:tc>
        <w:tc>
          <w:tcPr>
            <w:tcW w:w="3823" w:type="pct"/>
            <w:tcBorders>
              <w:top w:val="single" w:sz="4" w:space="0" w:color="auto"/>
              <w:bottom w:val="single" w:sz="4" w:space="0" w:color="auto"/>
            </w:tcBorders>
          </w:tcPr>
          <w:p w14:paraId="7A12AEF2" w14:textId="77777777" w:rsidR="000110FD" w:rsidRPr="00704159" w:rsidRDefault="000110FD" w:rsidP="00303DF5">
            <w:pPr>
              <w:pStyle w:val="TableText"/>
              <w:widowControl w:val="0"/>
              <w:suppressAutoHyphens w:val="0"/>
              <w:spacing w:before="0" w:after="0" w:line="240" w:lineRule="auto"/>
              <w:rPr>
                <w:szCs w:val="17"/>
                <w:highlight w:val="magenta"/>
              </w:rPr>
            </w:pPr>
            <w:r w:rsidRPr="00505463">
              <w:rPr>
                <w:szCs w:val="17"/>
              </w:rPr>
              <w:t xml:space="preserve">The available dietary exposure study (Hill et al. 1975) is not considered suitable to determine a regulatory acceptable level when expressed as a dose (mg ac/kg bw). However, as implied by this study, it is </w:t>
            </w:r>
            <w:r>
              <w:rPr>
                <w:szCs w:val="17"/>
              </w:rPr>
              <w:t xml:space="preserve">possible </w:t>
            </w:r>
            <w:r w:rsidRPr="00505463">
              <w:rPr>
                <w:szCs w:val="17"/>
              </w:rPr>
              <w:t xml:space="preserve">that dietary exposure would result in lower levels of exposure than predicted by the current assumptions of the quantitative risk </w:t>
            </w:r>
            <w:r w:rsidRPr="00F1236D">
              <w:rPr>
                <w:szCs w:val="17"/>
              </w:rPr>
              <w:t>assessment. Reliable</w:t>
            </w:r>
            <w:r w:rsidRPr="00505463">
              <w:rPr>
                <w:szCs w:val="17"/>
              </w:rPr>
              <w:t xml:space="preserve"> experimental information would be required to establish what magnitude of effect occurs.</w:t>
            </w:r>
          </w:p>
        </w:tc>
      </w:tr>
      <w:tr w:rsidR="000110FD" w:rsidRPr="00704159" w14:paraId="3C6BE1C5" w14:textId="77777777" w:rsidTr="00303DF5">
        <w:trPr>
          <w:cantSplit/>
          <w:trHeight w:val="13"/>
        </w:trPr>
        <w:tc>
          <w:tcPr>
            <w:tcW w:w="662" w:type="pct"/>
            <w:vMerge/>
            <w:tcBorders>
              <w:bottom w:val="single" w:sz="4" w:space="0" w:color="auto"/>
            </w:tcBorders>
          </w:tcPr>
          <w:p w14:paraId="425A9532" w14:textId="77777777" w:rsidR="000110FD" w:rsidRDefault="000110FD" w:rsidP="00303DF5">
            <w:pPr>
              <w:pStyle w:val="TableText"/>
              <w:widowControl w:val="0"/>
              <w:suppressAutoHyphens w:val="0"/>
              <w:spacing w:before="0" w:after="0" w:line="240" w:lineRule="auto"/>
              <w:rPr>
                <w:szCs w:val="17"/>
              </w:rPr>
            </w:pPr>
          </w:p>
        </w:tc>
        <w:tc>
          <w:tcPr>
            <w:tcW w:w="515" w:type="pct"/>
            <w:tcBorders>
              <w:top w:val="single" w:sz="4" w:space="0" w:color="auto"/>
              <w:bottom w:val="single" w:sz="4" w:space="0" w:color="auto"/>
            </w:tcBorders>
          </w:tcPr>
          <w:p w14:paraId="281A78EE" w14:textId="77777777" w:rsidR="000110FD" w:rsidRDefault="000110FD" w:rsidP="00303DF5">
            <w:pPr>
              <w:pStyle w:val="TableText"/>
              <w:widowControl w:val="0"/>
              <w:suppressAutoHyphens w:val="0"/>
              <w:spacing w:before="0" w:after="0" w:line="240" w:lineRule="auto"/>
              <w:rPr>
                <w:szCs w:val="17"/>
              </w:rPr>
            </w:pPr>
            <w:r>
              <w:rPr>
                <w:szCs w:val="17"/>
              </w:rPr>
              <w:t>Mammals</w:t>
            </w:r>
          </w:p>
        </w:tc>
        <w:tc>
          <w:tcPr>
            <w:tcW w:w="3823" w:type="pct"/>
            <w:tcBorders>
              <w:top w:val="single" w:sz="4" w:space="0" w:color="auto"/>
              <w:bottom w:val="single" w:sz="4" w:space="0" w:color="auto"/>
            </w:tcBorders>
          </w:tcPr>
          <w:p w14:paraId="1A9E0D2B" w14:textId="77777777" w:rsidR="000110FD" w:rsidRPr="00704159" w:rsidRDefault="000110FD" w:rsidP="00303DF5">
            <w:pPr>
              <w:pStyle w:val="TableText"/>
              <w:widowControl w:val="0"/>
              <w:suppressAutoHyphens w:val="0"/>
              <w:spacing w:before="0" w:after="0" w:line="240" w:lineRule="auto"/>
              <w:rPr>
                <w:szCs w:val="17"/>
                <w:highlight w:val="magenta"/>
              </w:rPr>
            </w:pPr>
            <w:r w:rsidRPr="00321143">
              <w:rPr>
                <w:szCs w:val="17"/>
              </w:rPr>
              <w:t>Theoretically there may be a difference between dietary and oral dosing. However, reliable experimental information is not available to confirm this or establish the magnitude of any effect.</w:t>
            </w:r>
          </w:p>
        </w:tc>
      </w:tr>
      <w:tr w:rsidR="000110FD" w:rsidRPr="00704159" w14:paraId="4729E930" w14:textId="77777777" w:rsidTr="00303DF5">
        <w:trPr>
          <w:cantSplit/>
          <w:trHeight w:val="13"/>
        </w:trPr>
        <w:tc>
          <w:tcPr>
            <w:tcW w:w="662" w:type="pct"/>
            <w:tcBorders>
              <w:bottom w:val="single" w:sz="4" w:space="0" w:color="auto"/>
            </w:tcBorders>
          </w:tcPr>
          <w:p w14:paraId="11C1106C" w14:textId="77777777" w:rsidR="000110FD" w:rsidRDefault="000110FD" w:rsidP="00303DF5">
            <w:pPr>
              <w:pStyle w:val="TableText"/>
              <w:widowControl w:val="0"/>
              <w:suppressAutoHyphens w:val="0"/>
              <w:spacing w:before="0" w:after="0" w:line="240" w:lineRule="auto"/>
              <w:rPr>
                <w:szCs w:val="17"/>
              </w:rPr>
            </w:pPr>
            <w:r>
              <w:rPr>
                <w:szCs w:val="17"/>
              </w:rPr>
              <w:t>Indirect mortality</w:t>
            </w:r>
          </w:p>
        </w:tc>
        <w:tc>
          <w:tcPr>
            <w:tcW w:w="515" w:type="pct"/>
            <w:tcBorders>
              <w:top w:val="single" w:sz="4" w:space="0" w:color="auto"/>
              <w:bottom w:val="single" w:sz="4" w:space="0" w:color="auto"/>
            </w:tcBorders>
          </w:tcPr>
          <w:p w14:paraId="369FA825"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26027407" w14:textId="77777777" w:rsidR="000110FD" w:rsidRPr="00704159" w:rsidRDefault="000110FD" w:rsidP="00303DF5">
            <w:pPr>
              <w:pStyle w:val="TableText"/>
              <w:widowControl w:val="0"/>
              <w:suppressAutoHyphens w:val="0"/>
              <w:spacing w:before="0" w:after="0" w:line="240" w:lineRule="auto"/>
              <w:rPr>
                <w:szCs w:val="17"/>
                <w:highlight w:val="magenta"/>
              </w:rPr>
            </w:pPr>
            <w:r w:rsidRPr="00321143">
              <w:rPr>
                <w:szCs w:val="17"/>
              </w:rPr>
              <w:t xml:space="preserve">The toxicological studies for birds and mammals do not account for indirect mortality, e.g. starvation and/or dehydration due to impaired foraging performance following sub-lethal </w:t>
            </w:r>
            <w:r w:rsidRPr="00414FB0">
              <w:rPr>
                <w:szCs w:val="17"/>
              </w:rPr>
              <w:t>exposure to diquat. Diquat exposure can damage the gastrointestinal tract and renal system. The prevalence of any such effects under real world conditions is unknown. This source of uncertainty should be acknowledged in a weight-of-evidence argument.</w:t>
            </w:r>
          </w:p>
        </w:tc>
      </w:tr>
      <w:tr w:rsidR="000110FD" w:rsidRPr="00704159" w14:paraId="58BF863D" w14:textId="77777777" w:rsidTr="00303DF5">
        <w:trPr>
          <w:cantSplit/>
          <w:trHeight w:val="13"/>
        </w:trPr>
        <w:tc>
          <w:tcPr>
            <w:tcW w:w="662" w:type="pct"/>
            <w:tcBorders>
              <w:bottom w:val="single" w:sz="4" w:space="0" w:color="auto"/>
            </w:tcBorders>
          </w:tcPr>
          <w:p w14:paraId="2DE3BC91" w14:textId="77777777" w:rsidR="000110FD" w:rsidRDefault="000110FD" w:rsidP="00303DF5">
            <w:pPr>
              <w:pStyle w:val="TableText"/>
              <w:widowControl w:val="0"/>
              <w:suppressAutoHyphens w:val="0"/>
              <w:spacing w:before="0" w:after="0" w:line="240" w:lineRule="auto"/>
              <w:rPr>
                <w:szCs w:val="17"/>
              </w:rPr>
            </w:pPr>
            <w:r>
              <w:rPr>
                <w:szCs w:val="17"/>
              </w:rPr>
              <w:t>Contact exposure</w:t>
            </w:r>
          </w:p>
        </w:tc>
        <w:tc>
          <w:tcPr>
            <w:tcW w:w="515" w:type="pct"/>
            <w:tcBorders>
              <w:top w:val="single" w:sz="4" w:space="0" w:color="auto"/>
              <w:bottom w:val="single" w:sz="4" w:space="0" w:color="auto"/>
            </w:tcBorders>
          </w:tcPr>
          <w:p w14:paraId="14C5D042"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03D335B1" w14:textId="741F506C" w:rsidR="000110FD" w:rsidRPr="00704159" w:rsidRDefault="000110FD" w:rsidP="00303DF5">
            <w:pPr>
              <w:pStyle w:val="TableText"/>
              <w:widowControl w:val="0"/>
              <w:suppressAutoHyphens w:val="0"/>
              <w:spacing w:before="0" w:after="0" w:line="240" w:lineRule="auto"/>
              <w:rPr>
                <w:szCs w:val="17"/>
                <w:highlight w:val="magenta"/>
              </w:rPr>
            </w:pPr>
            <w:r w:rsidRPr="00414FB0">
              <w:rPr>
                <w:szCs w:val="17"/>
              </w:rPr>
              <w:t>Diquat can have toxicological effects due to contact exposure (rat dermal LD</w:t>
            </w:r>
            <w:r w:rsidRPr="00414FB0">
              <w:rPr>
                <w:szCs w:val="17"/>
                <w:vertAlign w:val="subscript"/>
              </w:rPr>
              <w:t>50</w:t>
            </w:r>
            <w:r w:rsidRPr="00414FB0">
              <w:rPr>
                <w:szCs w:val="17"/>
              </w:rPr>
              <w:t xml:space="preserve"> &gt;420 mg ac/kg bw, rabbit dermal LD</w:t>
            </w:r>
            <w:r w:rsidRPr="00414FB0">
              <w:rPr>
                <w:szCs w:val="17"/>
                <w:vertAlign w:val="subscript"/>
              </w:rPr>
              <w:t>50</w:t>
            </w:r>
            <w:r w:rsidRPr="00414FB0">
              <w:rPr>
                <w:szCs w:val="17"/>
              </w:rPr>
              <w:t xml:space="preserve"> 50 mg ac/kg bw). This route of exposure would primarily be expected to be of significance to organisms that remain in the treated area during spraying or that enter shortly after spraying before spray deposits have dried. Contact exposure is not considered within the quantitative risk assessment but should be acknowledged as source of uncertainty within a weight-of-evidence argument.</w:t>
            </w:r>
          </w:p>
        </w:tc>
      </w:tr>
      <w:tr w:rsidR="000110FD" w:rsidRPr="00704159" w14:paraId="798E539E" w14:textId="77777777" w:rsidTr="00303DF5">
        <w:trPr>
          <w:cantSplit/>
          <w:trHeight w:val="13"/>
        </w:trPr>
        <w:tc>
          <w:tcPr>
            <w:tcW w:w="662" w:type="pct"/>
            <w:tcBorders>
              <w:top w:val="single" w:sz="4" w:space="0" w:color="auto"/>
              <w:bottom w:val="single" w:sz="4" w:space="0" w:color="auto"/>
            </w:tcBorders>
          </w:tcPr>
          <w:p w14:paraId="468DC22E" w14:textId="77777777" w:rsidR="000110FD" w:rsidRDefault="000110FD" w:rsidP="00303DF5">
            <w:pPr>
              <w:pStyle w:val="TableText"/>
              <w:widowControl w:val="0"/>
              <w:suppressAutoHyphens w:val="0"/>
              <w:spacing w:before="0" w:after="0" w:line="240" w:lineRule="auto"/>
              <w:rPr>
                <w:szCs w:val="17"/>
              </w:rPr>
            </w:pPr>
            <w:r>
              <w:rPr>
                <w:szCs w:val="17"/>
              </w:rPr>
              <w:t>Avoidance</w:t>
            </w:r>
          </w:p>
        </w:tc>
        <w:tc>
          <w:tcPr>
            <w:tcW w:w="515" w:type="pct"/>
            <w:tcBorders>
              <w:top w:val="single" w:sz="4" w:space="0" w:color="auto"/>
              <w:bottom w:val="single" w:sz="4" w:space="0" w:color="auto"/>
            </w:tcBorders>
          </w:tcPr>
          <w:p w14:paraId="475F2764"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28770883" w14:textId="101A6B1F" w:rsidR="000110FD" w:rsidRPr="00704159" w:rsidRDefault="000110FD" w:rsidP="00303DF5">
            <w:pPr>
              <w:pStyle w:val="TableText"/>
              <w:widowControl w:val="0"/>
              <w:suppressAutoHyphens w:val="0"/>
              <w:spacing w:before="0" w:after="0" w:line="240" w:lineRule="auto"/>
              <w:rPr>
                <w:szCs w:val="17"/>
                <w:highlight w:val="magenta"/>
              </w:rPr>
            </w:pPr>
            <w:r w:rsidRPr="008E5F24">
              <w:rPr>
                <w:szCs w:val="17"/>
              </w:rPr>
              <w:t xml:space="preserve">Experimental studies addressing avoidance of food treated with diquat have not been submitted or cited during </w:t>
            </w:r>
            <w:r>
              <w:rPr>
                <w:szCs w:val="17"/>
              </w:rPr>
              <w:t>consultation</w:t>
            </w:r>
            <w:r w:rsidRPr="008E5F24">
              <w:rPr>
                <w:szCs w:val="17"/>
              </w:rPr>
              <w:t>. Extrapolation from data for paraquat (Linder &amp; Richmond, 1990) implies that some food avoidance may occur</w:t>
            </w:r>
            <w:r>
              <w:rPr>
                <w:szCs w:val="17"/>
              </w:rPr>
              <w:t>, at least for mammals</w:t>
            </w:r>
            <w:r w:rsidR="00491573">
              <w:rPr>
                <w:szCs w:val="17"/>
              </w:rPr>
              <w:t>, t</w:t>
            </w:r>
            <w:r w:rsidRPr="008E5F24">
              <w:rPr>
                <w:szCs w:val="17"/>
              </w:rPr>
              <w:t>hough at what concentration avoidance would occur, or to what degree</w:t>
            </w:r>
            <w:r w:rsidR="00491573">
              <w:rPr>
                <w:szCs w:val="17"/>
              </w:rPr>
              <w:t>,</w:t>
            </w:r>
            <w:r w:rsidRPr="008E5F24">
              <w:rPr>
                <w:szCs w:val="17"/>
              </w:rPr>
              <w:t xml:space="preserve"> has not been demonstrated for diquat.</w:t>
            </w:r>
          </w:p>
        </w:tc>
      </w:tr>
      <w:tr w:rsidR="000110FD" w:rsidRPr="00CD15E3" w14:paraId="3BD722AD" w14:textId="77777777" w:rsidTr="00303DF5">
        <w:trPr>
          <w:cantSplit/>
          <w:trHeight w:val="13"/>
        </w:trPr>
        <w:tc>
          <w:tcPr>
            <w:tcW w:w="662" w:type="pct"/>
            <w:tcBorders>
              <w:top w:val="single" w:sz="4" w:space="0" w:color="auto"/>
              <w:bottom w:val="single" w:sz="4" w:space="0" w:color="auto"/>
            </w:tcBorders>
          </w:tcPr>
          <w:p w14:paraId="642ABFEB" w14:textId="77777777" w:rsidR="000110FD" w:rsidRDefault="000110FD" w:rsidP="00303DF5">
            <w:pPr>
              <w:pStyle w:val="TableText"/>
              <w:widowControl w:val="0"/>
              <w:suppressAutoHyphens w:val="0"/>
              <w:spacing w:before="0" w:after="0" w:line="240" w:lineRule="auto"/>
              <w:rPr>
                <w:szCs w:val="17"/>
              </w:rPr>
            </w:pPr>
            <w:r>
              <w:rPr>
                <w:szCs w:val="17"/>
              </w:rPr>
              <w:t>Dehusking</w:t>
            </w:r>
          </w:p>
        </w:tc>
        <w:tc>
          <w:tcPr>
            <w:tcW w:w="515" w:type="pct"/>
            <w:tcBorders>
              <w:top w:val="single" w:sz="4" w:space="0" w:color="auto"/>
              <w:bottom w:val="single" w:sz="4" w:space="0" w:color="auto"/>
            </w:tcBorders>
          </w:tcPr>
          <w:p w14:paraId="57118D63"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5769E1D6" w14:textId="4249CC1D" w:rsidR="000110FD" w:rsidRDefault="000110FD" w:rsidP="00303DF5">
            <w:pPr>
              <w:pStyle w:val="TableText"/>
              <w:widowControl w:val="0"/>
              <w:suppressAutoHyphens w:val="0"/>
              <w:spacing w:before="0" w:after="0" w:line="240" w:lineRule="auto"/>
              <w:rPr>
                <w:szCs w:val="17"/>
              </w:rPr>
            </w:pPr>
            <w:r w:rsidRPr="0031486B">
              <w:rPr>
                <w:szCs w:val="17"/>
              </w:rPr>
              <w:t>Dehusking behaviour has been cited as a mechanism that can reduce exposure for seed eating animals.</w:t>
            </w:r>
            <w:r>
              <w:rPr>
                <w:szCs w:val="17"/>
              </w:rPr>
              <w:t xml:space="preserve"> The study </w:t>
            </w:r>
            <w:r w:rsidR="00491573">
              <w:rPr>
                <w:szCs w:val="17"/>
              </w:rPr>
              <w:t xml:space="preserve">of </w:t>
            </w:r>
            <w:r>
              <w:rPr>
                <w:szCs w:val="17"/>
              </w:rPr>
              <w:t>Brühl et al. (2011) and the northern zone guidance (Northern Zone 2020) have been cited to support this argument. These publications look at dehusking amongst wood mice (</w:t>
            </w:r>
            <w:r w:rsidRPr="0031486B">
              <w:rPr>
                <w:i/>
                <w:iCs/>
                <w:szCs w:val="17"/>
              </w:rPr>
              <w:t>Apodemus sylvaticus</w:t>
            </w:r>
            <w:r>
              <w:rPr>
                <w:szCs w:val="17"/>
              </w:rPr>
              <w:t>) presented with treated and dyed seeds. The observed exposure reductions are summarised below:</w:t>
            </w:r>
          </w:p>
          <w:p w14:paraId="1409A48A" w14:textId="77777777" w:rsidR="000110FD" w:rsidRDefault="000110FD" w:rsidP="00303DF5">
            <w:pPr>
              <w:pStyle w:val="TableText"/>
              <w:widowControl w:val="0"/>
              <w:suppressAutoHyphens w:val="0"/>
              <w:spacing w:before="0" w:after="0" w:line="240" w:lineRule="auto"/>
              <w:rPr>
                <w:szCs w:val="17"/>
              </w:rPr>
            </w:pPr>
          </w:p>
          <w:tbl>
            <w:tblPr>
              <w:tblStyle w:val="TableGrid"/>
              <w:tblW w:w="0" w:type="auto"/>
              <w:tblBorders>
                <w:insideV w:val="none" w:sz="0" w:space="0" w:color="auto"/>
              </w:tblBorders>
              <w:tblLook w:val="04A0" w:firstRow="1" w:lastRow="0" w:firstColumn="1" w:lastColumn="0" w:noHBand="0" w:noVBand="1"/>
            </w:tblPr>
            <w:tblGrid>
              <w:gridCol w:w="2136"/>
              <w:gridCol w:w="778"/>
              <w:gridCol w:w="778"/>
              <w:gridCol w:w="842"/>
              <w:gridCol w:w="842"/>
              <w:gridCol w:w="843"/>
              <w:gridCol w:w="1026"/>
            </w:tblGrid>
            <w:tr w:rsidR="000110FD" w:rsidRPr="0031486B" w14:paraId="4E3D756B" w14:textId="77777777" w:rsidTr="00303DF5">
              <w:tc>
                <w:tcPr>
                  <w:tcW w:w="2136" w:type="dxa"/>
                  <w:vMerge w:val="restart"/>
                  <w:tcBorders>
                    <w:left w:val="nil"/>
                  </w:tcBorders>
                </w:tcPr>
                <w:p w14:paraId="50F9F4C9" w14:textId="77777777" w:rsidR="000110FD" w:rsidRPr="0031486B" w:rsidRDefault="000110FD" w:rsidP="00303DF5">
                  <w:pPr>
                    <w:pStyle w:val="TableText"/>
                    <w:widowControl w:val="0"/>
                    <w:suppressAutoHyphens w:val="0"/>
                    <w:spacing w:before="0" w:after="0" w:line="240" w:lineRule="auto"/>
                    <w:rPr>
                      <w:szCs w:val="17"/>
                    </w:rPr>
                  </w:pPr>
                </w:p>
              </w:tc>
              <w:tc>
                <w:tcPr>
                  <w:tcW w:w="1556" w:type="dxa"/>
                  <w:gridSpan w:val="2"/>
                </w:tcPr>
                <w:p w14:paraId="203094C5"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Fungicide treated seeds</w:t>
                  </w:r>
                </w:p>
              </w:tc>
              <w:tc>
                <w:tcPr>
                  <w:tcW w:w="3553" w:type="dxa"/>
                  <w:gridSpan w:val="4"/>
                  <w:tcBorders>
                    <w:right w:val="nil"/>
                  </w:tcBorders>
                </w:tcPr>
                <w:p w14:paraId="02C80391"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Pigmented seeds</w:t>
                  </w:r>
                </w:p>
              </w:tc>
            </w:tr>
            <w:tr w:rsidR="000110FD" w:rsidRPr="0031486B" w14:paraId="1A9AA197" w14:textId="77777777" w:rsidTr="00303DF5">
              <w:tc>
                <w:tcPr>
                  <w:tcW w:w="2136" w:type="dxa"/>
                  <w:vMerge/>
                  <w:tcBorders>
                    <w:left w:val="nil"/>
                    <w:bottom w:val="single" w:sz="4" w:space="0" w:color="auto"/>
                  </w:tcBorders>
                </w:tcPr>
                <w:p w14:paraId="26CE5601" w14:textId="77777777" w:rsidR="000110FD" w:rsidRPr="0031486B" w:rsidRDefault="000110FD" w:rsidP="00303DF5">
                  <w:pPr>
                    <w:pStyle w:val="TableText"/>
                    <w:widowControl w:val="0"/>
                    <w:suppressAutoHyphens w:val="0"/>
                    <w:spacing w:before="0" w:after="0" w:line="240" w:lineRule="auto"/>
                    <w:rPr>
                      <w:szCs w:val="17"/>
                    </w:rPr>
                  </w:pPr>
                </w:p>
              </w:tc>
              <w:tc>
                <w:tcPr>
                  <w:tcW w:w="778" w:type="dxa"/>
                  <w:tcBorders>
                    <w:bottom w:val="single" w:sz="4" w:space="0" w:color="auto"/>
                  </w:tcBorders>
                </w:tcPr>
                <w:p w14:paraId="54C61D75"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Wheat</w:t>
                  </w:r>
                </w:p>
              </w:tc>
              <w:tc>
                <w:tcPr>
                  <w:tcW w:w="778" w:type="dxa"/>
                  <w:tcBorders>
                    <w:bottom w:val="single" w:sz="4" w:space="0" w:color="auto"/>
                  </w:tcBorders>
                </w:tcPr>
                <w:p w14:paraId="4F64FB14"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Barley</w:t>
                  </w:r>
                </w:p>
              </w:tc>
              <w:tc>
                <w:tcPr>
                  <w:tcW w:w="842" w:type="dxa"/>
                  <w:tcBorders>
                    <w:bottom w:val="single" w:sz="4" w:space="0" w:color="auto"/>
                  </w:tcBorders>
                </w:tcPr>
                <w:p w14:paraId="7001057B"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Wheat</w:t>
                  </w:r>
                </w:p>
              </w:tc>
              <w:tc>
                <w:tcPr>
                  <w:tcW w:w="842" w:type="dxa"/>
                  <w:tcBorders>
                    <w:bottom w:val="single" w:sz="4" w:space="0" w:color="auto"/>
                  </w:tcBorders>
                </w:tcPr>
                <w:p w14:paraId="723C2A01"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Barley</w:t>
                  </w:r>
                </w:p>
              </w:tc>
              <w:tc>
                <w:tcPr>
                  <w:tcW w:w="843" w:type="dxa"/>
                  <w:tcBorders>
                    <w:bottom w:val="single" w:sz="4" w:space="0" w:color="auto"/>
                  </w:tcBorders>
                </w:tcPr>
                <w:p w14:paraId="09245EFA"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Maize</w:t>
                  </w:r>
                </w:p>
              </w:tc>
              <w:tc>
                <w:tcPr>
                  <w:tcW w:w="1026" w:type="dxa"/>
                  <w:tcBorders>
                    <w:bottom w:val="single" w:sz="4" w:space="0" w:color="auto"/>
                    <w:right w:val="nil"/>
                  </w:tcBorders>
                </w:tcPr>
                <w:p w14:paraId="535C64FA"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Sunflower</w:t>
                  </w:r>
                </w:p>
              </w:tc>
            </w:tr>
            <w:tr w:rsidR="000110FD" w:rsidRPr="0031486B" w14:paraId="731B1D12" w14:textId="77777777" w:rsidTr="00303DF5">
              <w:tc>
                <w:tcPr>
                  <w:tcW w:w="2136" w:type="dxa"/>
                  <w:tcBorders>
                    <w:left w:val="nil"/>
                    <w:bottom w:val="nil"/>
                    <w:right w:val="nil"/>
                  </w:tcBorders>
                </w:tcPr>
                <w:p w14:paraId="3935DE5F"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Mean exposure reduction (%)</w:t>
                  </w:r>
                </w:p>
              </w:tc>
              <w:tc>
                <w:tcPr>
                  <w:tcW w:w="778" w:type="dxa"/>
                  <w:tcBorders>
                    <w:left w:val="nil"/>
                    <w:bottom w:val="nil"/>
                    <w:right w:val="nil"/>
                  </w:tcBorders>
                </w:tcPr>
                <w:p w14:paraId="62A0A50C" w14:textId="77777777" w:rsidR="000110FD" w:rsidRPr="0031486B" w:rsidRDefault="000110FD" w:rsidP="00303DF5">
                  <w:pPr>
                    <w:pStyle w:val="TableText"/>
                    <w:widowControl w:val="0"/>
                    <w:suppressAutoHyphens w:val="0"/>
                    <w:spacing w:before="0" w:after="0" w:line="240" w:lineRule="auto"/>
                    <w:rPr>
                      <w:szCs w:val="17"/>
                    </w:rPr>
                  </w:pPr>
                  <w:r>
                    <w:rPr>
                      <w:szCs w:val="17"/>
                    </w:rPr>
                    <w:t>61.4</w:t>
                  </w:r>
                </w:p>
              </w:tc>
              <w:tc>
                <w:tcPr>
                  <w:tcW w:w="778" w:type="dxa"/>
                  <w:tcBorders>
                    <w:left w:val="nil"/>
                    <w:bottom w:val="nil"/>
                    <w:right w:val="nil"/>
                  </w:tcBorders>
                </w:tcPr>
                <w:p w14:paraId="47E8A296" w14:textId="77777777" w:rsidR="000110FD" w:rsidRPr="0031486B" w:rsidRDefault="000110FD" w:rsidP="00303DF5">
                  <w:pPr>
                    <w:pStyle w:val="TableText"/>
                    <w:widowControl w:val="0"/>
                    <w:suppressAutoHyphens w:val="0"/>
                    <w:spacing w:before="0" w:after="0" w:line="240" w:lineRule="auto"/>
                    <w:rPr>
                      <w:szCs w:val="17"/>
                    </w:rPr>
                  </w:pPr>
                  <w:r>
                    <w:rPr>
                      <w:szCs w:val="17"/>
                    </w:rPr>
                    <w:t>79.5</w:t>
                  </w:r>
                </w:p>
              </w:tc>
              <w:tc>
                <w:tcPr>
                  <w:tcW w:w="842" w:type="dxa"/>
                  <w:tcBorders>
                    <w:left w:val="nil"/>
                    <w:bottom w:val="nil"/>
                    <w:right w:val="nil"/>
                  </w:tcBorders>
                </w:tcPr>
                <w:p w14:paraId="42B23D8B" w14:textId="77777777" w:rsidR="000110FD" w:rsidRPr="0031486B" w:rsidRDefault="000110FD" w:rsidP="00303DF5">
                  <w:pPr>
                    <w:pStyle w:val="TableText"/>
                    <w:widowControl w:val="0"/>
                    <w:suppressAutoHyphens w:val="0"/>
                    <w:spacing w:before="0" w:after="0" w:line="240" w:lineRule="auto"/>
                    <w:rPr>
                      <w:szCs w:val="17"/>
                    </w:rPr>
                  </w:pPr>
                  <w:r>
                    <w:rPr>
                      <w:szCs w:val="17"/>
                    </w:rPr>
                    <w:t>58.0</w:t>
                  </w:r>
                </w:p>
              </w:tc>
              <w:tc>
                <w:tcPr>
                  <w:tcW w:w="842" w:type="dxa"/>
                  <w:tcBorders>
                    <w:left w:val="nil"/>
                    <w:bottom w:val="nil"/>
                    <w:right w:val="nil"/>
                  </w:tcBorders>
                </w:tcPr>
                <w:p w14:paraId="4AEFCA4C" w14:textId="77777777" w:rsidR="000110FD" w:rsidRPr="0031486B" w:rsidRDefault="000110FD" w:rsidP="00303DF5">
                  <w:pPr>
                    <w:pStyle w:val="TableText"/>
                    <w:widowControl w:val="0"/>
                    <w:suppressAutoHyphens w:val="0"/>
                    <w:spacing w:before="0" w:after="0" w:line="240" w:lineRule="auto"/>
                    <w:rPr>
                      <w:szCs w:val="17"/>
                    </w:rPr>
                  </w:pPr>
                  <w:r>
                    <w:rPr>
                      <w:szCs w:val="17"/>
                    </w:rPr>
                    <w:t>84.0</w:t>
                  </w:r>
                </w:p>
              </w:tc>
              <w:tc>
                <w:tcPr>
                  <w:tcW w:w="843" w:type="dxa"/>
                  <w:tcBorders>
                    <w:left w:val="nil"/>
                    <w:bottom w:val="nil"/>
                    <w:right w:val="nil"/>
                  </w:tcBorders>
                </w:tcPr>
                <w:p w14:paraId="6C30A66A" w14:textId="77777777" w:rsidR="000110FD" w:rsidRPr="0031486B" w:rsidRDefault="000110FD" w:rsidP="00303DF5">
                  <w:pPr>
                    <w:pStyle w:val="TableText"/>
                    <w:widowControl w:val="0"/>
                    <w:suppressAutoHyphens w:val="0"/>
                    <w:spacing w:before="0" w:after="0" w:line="240" w:lineRule="auto"/>
                    <w:rPr>
                      <w:szCs w:val="17"/>
                    </w:rPr>
                  </w:pPr>
                  <w:r>
                    <w:rPr>
                      <w:szCs w:val="17"/>
                    </w:rPr>
                    <w:t>59.0</w:t>
                  </w:r>
                </w:p>
              </w:tc>
              <w:tc>
                <w:tcPr>
                  <w:tcW w:w="1026" w:type="dxa"/>
                  <w:tcBorders>
                    <w:left w:val="nil"/>
                    <w:bottom w:val="nil"/>
                    <w:right w:val="nil"/>
                  </w:tcBorders>
                </w:tcPr>
                <w:p w14:paraId="216D246D" w14:textId="77777777" w:rsidR="000110FD" w:rsidRPr="0031486B" w:rsidRDefault="000110FD" w:rsidP="00303DF5">
                  <w:pPr>
                    <w:pStyle w:val="TableText"/>
                    <w:widowControl w:val="0"/>
                    <w:suppressAutoHyphens w:val="0"/>
                    <w:spacing w:before="0" w:after="0" w:line="240" w:lineRule="auto"/>
                    <w:rPr>
                      <w:szCs w:val="17"/>
                    </w:rPr>
                  </w:pPr>
                  <w:r>
                    <w:rPr>
                      <w:szCs w:val="17"/>
                    </w:rPr>
                    <w:t>98.8</w:t>
                  </w:r>
                </w:p>
              </w:tc>
            </w:tr>
            <w:tr w:rsidR="000110FD" w:rsidRPr="0031486B" w14:paraId="59CAD896" w14:textId="77777777" w:rsidTr="00303DF5">
              <w:tc>
                <w:tcPr>
                  <w:tcW w:w="2136" w:type="dxa"/>
                  <w:tcBorders>
                    <w:top w:val="nil"/>
                    <w:left w:val="nil"/>
                    <w:bottom w:val="single" w:sz="4" w:space="0" w:color="auto"/>
                    <w:right w:val="nil"/>
                  </w:tcBorders>
                </w:tcPr>
                <w:p w14:paraId="72373392"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Dehusking factor</w:t>
                  </w:r>
                </w:p>
              </w:tc>
              <w:tc>
                <w:tcPr>
                  <w:tcW w:w="778" w:type="dxa"/>
                  <w:tcBorders>
                    <w:top w:val="nil"/>
                    <w:left w:val="nil"/>
                    <w:bottom w:val="single" w:sz="4" w:space="0" w:color="auto"/>
                    <w:right w:val="nil"/>
                  </w:tcBorders>
                </w:tcPr>
                <w:p w14:paraId="4AC267F1" w14:textId="77777777" w:rsidR="000110FD" w:rsidRPr="0031486B" w:rsidRDefault="000110FD" w:rsidP="00303DF5">
                  <w:pPr>
                    <w:pStyle w:val="TableText"/>
                    <w:widowControl w:val="0"/>
                    <w:suppressAutoHyphens w:val="0"/>
                    <w:spacing w:before="0" w:after="0" w:line="240" w:lineRule="auto"/>
                    <w:rPr>
                      <w:szCs w:val="17"/>
                    </w:rPr>
                  </w:pPr>
                  <w:r>
                    <w:rPr>
                      <w:szCs w:val="17"/>
                    </w:rPr>
                    <w:t>0.39</w:t>
                  </w:r>
                </w:p>
              </w:tc>
              <w:tc>
                <w:tcPr>
                  <w:tcW w:w="778" w:type="dxa"/>
                  <w:tcBorders>
                    <w:top w:val="nil"/>
                    <w:left w:val="nil"/>
                    <w:bottom w:val="single" w:sz="4" w:space="0" w:color="auto"/>
                    <w:right w:val="nil"/>
                  </w:tcBorders>
                </w:tcPr>
                <w:p w14:paraId="1F1A64CA" w14:textId="77777777" w:rsidR="000110FD" w:rsidRPr="0031486B" w:rsidRDefault="000110FD" w:rsidP="00303DF5">
                  <w:pPr>
                    <w:pStyle w:val="TableText"/>
                    <w:widowControl w:val="0"/>
                    <w:suppressAutoHyphens w:val="0"/>
                    <w:spacing w:before="0" w:after="0" w:line="240" w:lineRule="auto"/>
                    <w:rPr>
                      <w:szCs w:val="17"/>
                    </w:rPr>
                  </w:pPr>
                  <w:r>
                    <w:rPr>
                      <w:szCs w:val="17"/>
                    </w:rPr>
                    <w:t>0.21</w:t>
                  </w:r>
                </w:p>
              </w:tc>
              <w:tc>
                <w:tcPr>
                  <w:tcW w:w="842" w:type="dxa"/>
                  <w:tcBorders>
                    <w:top w:val="nil"/>
                    <w:left w:val="nil"/>
                    <w:bottom w:val="single" w:sz="4" w:space="0" w:color="auto"/>
                    <w:right w:val="nil"/>
                  </w:tcBorders>
                </w:tcPr>
                <w:p w14:paraId="529963DC" w14:textId="77777777" w:rsidR="000110FD" w:rsidRPr="0031486B" w:rsidRDefault="000110FD" w:rsidP="00303DF5">
                  <w:pPr>
                    <w:pStyle w:val="TableText"/>
                    <w:widowControl w:val="0"/>
                    <w:suppressAutoHyphens w:val="0"/>
                    <w:spacing w:before="0" w:after="0" w:line="240" w:lineRule="auto"/>
                    <w:rPr>
                      <w:szCs w:val="17"/>
                    </w:rPr>
                  </w:pPr>
                  <w:r>
                    <w:rPr>
                      <w:szCs w:val="17"/>
                    </w:rPr>
                    <w:t>0.42</w:t>
                  </w:r>
                </w:p>
              </w:tc>
              <w:tc>
                <w:tcPr>
                  <w:tcW w:w="842" w:type="dxa"/>
                  <w:tcBorders>
                    <w:top w:val="nil"/>
                    <w:left w:val="nil"/>
                    <w:bottom w:val="single" w:sz="4" w:space="0" w:color="auto"/>
                    <w:right w:val="nil"/>
                  </w:tcBorders>
                </w:tcPr>
                <w:p w14:paraId="6198DDE4" w14:textId="77777777" w:rsidR="000110FD" w:rsidRPr="0031486B" w:rsidRDefault="000110FD" w:rsidP="00303DF5">
                  <w:pPr>
                    <w:pStyle w:val="TableText"/>
                    <w:widowControl w:val="0"/>
                    <w:suppressAutoHyphens w:val="0"/>
                    <w:spacing w:before="0" w:after="0" w:line="240" w:lineRule="auto"/>
                    <w:rPr>
                      <w:szCs w:val="17"/>
                    </w:rPr>
                  </w:pPr>
                  <w:r>
                    <w:rPr>
                      <w:szCs w:val="17"/>
                    </w:rPr>
                    <w:t>0.16</w:t>
                  </w:r>
                </w:p>
              </w:tc>
              <w:tc>
                <w:tcPr>
                  <w:tcW w:w="843" w:type="dxa"/>
                  <w:tcBorders>
                    <w:top w:val="nil"/>
                    <w:left w:val="nil"/>
                    <w:bottom w:val="single" w:sz="4" w:space="0" w:color="auto"/>
                    <w:right w:val="nil"/>
                  </w:tcBorders>
                </w:tcPr>
                <w:p w14:paraId="40854E0B" w14:textId="77777777" w:rsidR="000110FD" w:rsidRPr="0031486B" w:rsidRDefault="000110FD" w:rsidP="00303DF5">
                  <w:pPr>
                    <w:pStyle w:val="TableText"/>
                    <w:widowControl w:val="0"/>
                    <w:suppressAutoHyphens w:val="0"/>
                    <w:spacing w:before="0" w:after="0" w:line="240" w:lineRule="auto"/>
                    <w:rPr>
                      <w:szCs w:val="17"/>
                    </w:rPr>
                  </w:pPr>
                  <w:r>
                    <w:rPr>
                      <w:szCs w:val="17"/>
                    </w:rPr>
                    <w:t>0.41</w:t>
                  </w:r>
                </w:p>
              </w:tc>
              <w:tc>
                <w:tcPr>
                  <w:tcW w:w="1026" w:type="dxa"/>
                  <w:tcBorders>
                    <w:top w:val="nil"/>
                    <w:left w:val="nil"/>
                    <w:bottom w:val="single" w:sz="4" w:space="0" w:color="auto"/>
                    <w:right w:val="nil"/>
                  </w:tcBorders>
                </w:tcPr>
                <w:p w14:paraId="550FCA25" w14:textId="77777777" w:rsidR="000110FD" w:rsidRPr="0031486B" w:rsidRDefault="000110FD" w:rsidP="00303DF5">
                  <w:pPr>
                    <w:pStyle w:val="TableText"/>
                    <w:widowControl w:val="0"/>
                    <w:suppressAutoHyphens w:val="0"/>
                    <w:spacing w:before="0" w:after="0" w:line="240" w:lineRule="auto"/>
                    <w:rPr>
                      <w:szCs w:val="17"/>
                    </w:rPr>
                  </w:pPr>
                  <w:r>
                    <w:rPr>
                      <w:szCs w:val="17"/>
                    </w:rPr>
                    <w:t>0.01</w:t>
                  </w:r>
                </w:p>
              </w:tc>
            </w:tr>
            <w:tr w:rsidR="000110FD" w:rsidRPr="0031486B" w14:paraId="7A923400" w14:textId="77777777" w:rsidTr="00303DF5">
              <w:tc>
                <w:tcPr>
                  <w:tcW w:w="2136" w:type="dxa"/>
                  <w:tcBorders>
                    <w:left w:val="nil"/>
                    <w:bottom w:val="nil"/>
                  </w:tcBorders>
                </w:tcPr>
                <w:p w14:paraId="55E3E8F4"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10</w:t>
                  </w:r>
                  <w:r w:rsidRPr="0031486B">
                    <w:rPr>
                      <w:szCs w:val="17"/>
                      <w:vertAlign w:val="superscript"/>
                    </w:rPr>
                    <w:t>th</w:t>
                  </w:r>
                  <w:r w:rsidRPr="0031486B">
                    <w:rPr>
                      <w:szCs w:val="17"/>
                    </w:rPr>
                    <w:t xml:space="preserve"> percentile exposure reduction (%)</w:t>
                  </w:r>
                </w:p>
              </w:tc>
              <w:tc>
                <w:tcPr>
                  <w:tcW w:w="778" w:type="dxa"/>
                  <w:tcBorders>
                    <w:bottom w:val="nil"/>
                  </w:tcBorders>
                </w:tcPr>
                <w:p w14:paraId="236CB926" w14:textId="77777777" w:rsidR="000110FD" w:rsidRPr="0031486B" w:rsidRDefault="000110FD" w:rsidP="00303DF5">
                  <w:pPr>
                    <w:pStyle w:val="TableText"/>
                    <w:widowControl w:val="0"/>
                    <w:suppressAutoHyphens w:val="0"/>
                    <w:spacing w:before="0" w:after="0" w:line="240" w:lineRule="auto"/>
                    <w:rPr>
                      <w:szCs w:val="17"/>
                    </w:rPr>
                  </w:pPr>
                  <w:r>
                    <w:rPr>
                      <w:szCs w:val="17"/>
                    </w:rPr>
                    <w:t>40.9</w:t>
                  </w:r>
                </w:p>
              </w:tc>
              <w:tc>
                <w:tcPr>
                  <w:tcW w:w="778" w:type="dxa"/>
                  <w:tcBorders>
                    <w:bottom w:val="nil"/>
                  </w:tcBorders>
                </w:tcPr>
                <w:p w14:paraId="1D07BED9" w14:textId="77777777" w:rsidR="000110FD" w:rsidRPr="0031486B" w:rsidRDefault="000110FD" w:rsidP="00303DF5">
                  <w:pPr>
                    <w:pStyle w:val="TableText"/>
                    <w:widowControl w:val="0"/>
                    <w:suppressAutoHyphens w:val="0"/>
                    <w:spacing w:before="0" w:after="0" w:line="240" w:lineRule="auto"/>
                    <w:rPr>
                      <w:szCs w:val="17"/>
                    </w:rPr>
                  </w:pPr>
                  <w:r>
                    <w:rPr>
                      <w:szCs w:val="17"/>
                    </w:rPr>
                    <w:t>69.3</w:t>
                  </w:r>
                </w:p>
              </w:tc>
              <w:tc>
                <w:tcPr>
                  <w:tcW w:w="842" w:type="dxa"/>
                  <w:tcBorders>
                    <w:bottom w:val="nil"/>
                  </w:tcBorders>
                </w:tcPr>
                <w:p w14:paraId="4D314EB7" w14:textId="77777777" w:rsidR="000110FD" w:rsidRPr="0031486B" w:rsidRDefault="000110FD" w:rsidP="00303DF5">
                  <w:pPr>
                    <w:pStyle w:val="TableText"/>
                    <w:widowControl w:val="0"/>
                    <w:suppressAutoHyphens w:val="0"/>
                    <w:spacing w:before="0" w:after="0" w:line="240" w:lineRule="auto"/>
                    <w:rPr>
                      <w:szCs w:val="17"/>
                    </w:rPr>
                  </w:pPr>
                  <w:r>
                    <w:rPr>
                      <w:szCs w:val="17"/>
                    </w:rPr>
                    <w:t>38.2</w:t>
                  </w:r>
                </w:p>
              </w:tc>
              <w:tc>
                <w:tcPr>
                  <w:tcW w:w="842" w:type="dxa"/>
                  <w:tcBorders>
                    <w:bottom w:val="nil"/>
                  </w:tcBorders>
                </w:tcPr>
                <w:p w14:paraId="77A5B20C" w14:textId="77777777" w:rsidR="000110FD" w:rsidRPr="0031486B" w:rsidRDefault="000110FD" w:rsidP="00303DF5">
                  <w:pPr>
                    <w:pStyle w:val="TableText"/>
                    <w:widowControl w:val="0"/>
                    <w:suppressAutoHyphens w:val="0"/>
                    <w:spacing w:before="0" w:after="0" w:line="240" w:lineRule="auto"/>
                    <w:rPr>
                      <w:szCs w:val="17"/>
                    </w:rPr>
                  </w:pPr>
                  <w:r>
                    <w:rPr>
                      <w:szCs w:val="17"/>
                    </w:rPr>
                    <w:t>71.2</w:t>
                  </w:r>
                </w:p>
              </w:tc>
              <w:tc>
                <w:tcPr>
                  <w:tcW w:w="843" w:type="dxa"/>
                  <w:tcBorders>
                    <w:bottom w:val="nil"/>
                  </w:tcBorders>
                </w:tcPr>
                <w:p w14:paraId="2AAC61F5" w14:textId="77777777" w:rsidR="000110FD" w:rsidRPr="0031486B" w:rsidRDefault="000110FD" w:rsidP="00303DF5">
                  <w:pPr>
                    <w:pStyle w:val="TableText"/>
                    <w:widowControl w:val="0"/>
                    <w:suppressAutoHyphens w:val="0"/>
                    <w:spacing w:before="0" w:after="0" w:line="240" w:lineRule="auto"/>
                    <w:rPr>
                      <w:szCs w:val="17"/>
                    </w:rPr>
                  </w:pPr>
                  <w:r>
                    <w:rPr>
                      <w:szCs w:val="17"/>
                    </w:rPr>
                    <w:t>41.1</w:t>
                  </w:r>
                </w:p>
              </w:tc>
              <w:tc>
                <w:tcPr>
                  <w:tcW w:w="1026" w:type="dxa"/>
                  <w:tcBorders>
                    <w:bottom w:val="nil"/>
                    <w:right w:val="nil"/>
                  </w:tcBorders>
                </w:tcPr>
                <w:p w14:paraId="3236C78D" w14:textId="77777777" w:rsidR="000110FD" w:rsidRPr="0031486B" w:rsidRDefault="000110FD" w:rsidP="00303DF5">
                  <w:pPr>
                    <w:pStyle w:val="TableText"/>
                    <w:widowControl w:val="0"/>
                    <w:suppressAutoHyphens w:val="0"/>
                    <w:spacing w:before="0" w:after="0" w:line="240" w:lineRule="auto"/>
                    <w:rPr>
                      <w:szCs w:val="17"/>
                    </w:rPr>
                  </w:pPr>
                  <w:r>
                    <w:rPr>
                      <w:szCs w:val="17"/>
                    </w:rPr>
                    <w:t>96.0</w:t>
                  </w:r>
                </w:p>
              </w:tc>
            </w:tr>
            <w:tr w:rsidR="000110FD" w:rsidRPr="0031486B" w14:paraId="4656BF5D" w14:textId="77777777" w:rsidTr="00303DF5">
              <w:tc>
                <w:tcPr>
                  <w:tcW w:w="2136" w:type="dxa"/>
                  <w:tcBorders>
                    <w:top w:val="nil"/>
                    <w:left w:val="nil"/>
                  </w:tcBorders>
                </w:tcPr>
                <w:p w14:paraId="55E1E4A7" w14:textId="77777777" w:rsidR="000110FD" w:rsidRPr="0031486B" w:rsidRDefault="000110FD" w:rsidP="00303DF5">
                  <w:pPr>
                    <w:pStyle w:val="TableText"/>
                    <w:widowControl w:val="0"/>
                    <w:suppressAutoHyphens w:val="0"/>
                    <w:spacing w:before="0" w:after="0" w:line="240" w:lineRule="auto"/>
                    <w:rPr>
                      <w:szCs w:val="17"/>
                    </w:rPr>
                  </w:pPr>
                  <w:r w:rsidRPr="0031486B">
                    <w:rPr>
                      <w:szCs w:val="17"/>
                    </w:rPr>
                    <w:t>Dehusking factor</w:t>
                  </w:r>
                </w:p>
              </w:tc>
              <w:tc>
                <w:tcPr>
                  <w:tcW w:w="778" w:type="dxa"/>
                  <w:tcBorders>
                    <w:top w:val="nil"/>
                  </w:tcBorders>
                </w:tcPr>
                <w:p w14:paraId="560DAFDC" w14:textId="77777777" w:rsidR="000110FD" w:rsidRPr="0031486B" w:rsidRDefault="000110FD" w:rsidP="00303DF5">
                  <w:pPr>
                    <w:pStyle w:val="TableText"/>
                    <w:widowControl w:val="0"/>
                    <w:suppressAutoHyphens w:val="0"/>
                    <w:spacing w:before="0" w:after="0" w:line="240" w:lineRule="auto"/>
                    <w:rPr>
                      <w:szCs w:val="17"/>
                    </w:rPr>
                  </w:pPr>
                  <w:r>
                    <w:rPr>
                      <w:szCs w:val="17"/>
                    </w:rPr>
                    <w:t>0.59</w:t>
                  </w:r>
                </w:p>
              </w:tc>
              <w:tc>
                <w:tcPr>
                  <w:tcW w:w="778" w:type="dxa"/>
                  <w:tcBorders>
                    <w:top w:val="nil"/>
                  </w:tcBorders>
                </w:tcPr>
                <w:p w14:paraId="662078EA" w14:textId="77777777" w:rsidR="000110FD" w:rsidRPr="0031486B" w:rsidRDefault="000110FD" w:rsidP="00303DF5">
                  <w:pPr>
                    <w:pStyle w:val="TableText"/>
                    <w:widowControl w:val="0"/>
                    <w:suppressAutoHyphens w:val="0"/>
                    <w:spacing w:before="0" w:after="0" w:line="240" w:lineRule="auto"/>
                    <w:rPr>
                      <w:szCs w:val="17"/>
                    </w:rPr>
                  </w:pPr>
                  <w:r>
                    <w:rPr>
                      <w:szCs w:val="17"/>
                    </w:rPr>
                    <w:t>0.31</w:t>
                  </w:r>
                </w:p>
              </w:tc>
              <w:tc>
                <w:tcPr>
                  <w:tcW w:w="842" w:type="dxa"/>
                  <w:tcBorders>
                    <w:top w:val="nil"/>
                  </w:tcBorders>
                </w:tcPr>
                <w:p w14:paraId="06CB9BBA" w14:textId="77777777" w:rsidR="000110FD" w:rsidRPr="0031486B" w:rsidRDefault="000110FD" w:rsidP="00303DF5">
                  <w:pPr>
                    <w:pStyle w:val="TableText"/>
                    <w:widowControl w:val="0"/>
                    <w:suppressAutoHyphens w:val="0"/>
                    <w:spacing w:before="0" w:after="0" w:line="240" w:lineRule="auto"/>
                    <w:rPr>
                      <w:szCs w:val="17"/>
                    </w:rPr>
                  </w:pPr>
                  <w:r>
                    <w:rPr>
                      <w:szCs w:val="17"/>
                    </w:rPr>
                    <w:t>0.62</w:t>
                  </w:r>
                </w:p>
              </w:tc>
              <w:tc>
                <w:tcPr>
                  <w:tcW w:w="842" w:type="dxa"/>
                  <w:tcBorders>
                    <w:top w:val="nil"/>
                  </w:tcBorders>
                </w:tcPr>
                <w:p w14:paraId="4C21E591" w14:textId="77777777" w:rsidR="000110FD" w:rsidRPr="0031486B" w:rsidRDefault="000110FD" w:rsidP="00303DF5">
                  <w:pPr>
                    <w:pStyle w:val="TableText"/>
                    <w:widowControl w:val="0"/>
                    <w:suppressAutoHyphens w:val="0"/>
                    <w:spacing w:before="0" w:after="0" w:line="240" w:lineRule="auto"/>
                    <w:rPr>
                      <w:szCs w:val="17"/>
                    </w:rPr>
                  </w:pPr>
                  <w:r>
                    <w:rPr>
                      <w:szCs w:val="17"/>
                    </w:rPr>
                    <w:t>0.29</w:t>
                  </w:r>
                </w:p>
              </w:tc>
              <w:tc>
                <w:tcPr>
                  <w:tcW w:w="843" w:type="dxa"/>
                  <w:tcBorders>
                    <w:top w:val="nil"/>
                  </w:tcBorders>
                </w:tcPr>
                <w:p w14:paraId="4B70D1F4" w14:textId="77777777" w:rsidR="000110FD" w:rsidRPr="0031486B" w:rsidRDefault="000110FD" w:rsidP="00303DF5">
                  <w:pPr>
                    <w:pStyle w:val="TableText"/>
                    <w:widowControl w:val="0"/>
                    <w:suppressAutoHyphens w:val="0"/>
                    <w:spacing w:before="0" w:after="0" w:line="240" w:lineRule="auto"/>
                    <w:rPr>
                      <w:szCs w:val="17"/>
                    </w:rPr>
                  </w:pPr>
                  <w:r>
                    <w:rPr>
                      <w:szCs w:val="17"/>
                    </w:rPr>
                    <w:t>0.59</w:t>
                  </w:r>
                </w:p>
              </w:tc>
              <w:tc>
                <w:tcPr>
                  <w:tcW w:w="1026" w:type="dxa"/>
                  <w:tcBorders>
                    <w:top w:val="nil"/>
                    <w:right w:val="nil"/>
                  </w:tcBorders>
                </w:tcPr>
                <w:p w14:paraId="42335528" w14:textId="77777777" w:rsidR="000110FD" w:rsidRPr="0031486B" w:rsidRDefault="000110FD" w:rsidP="00303DF5">
                  <w:pPr>
                    <w:pStyle w:val="TableText"/>
                    <w:widowControl w:val="0"/>
                    <w:suppressAutoHyphens w:val="0"/>
                    <w:spacing w:before="0" w:after="0" w:line="240" w:lineRule="auto"/>
                    <w:rPr>
                      <w:szCs w:val="17"/>
                    </w:rPr>
                  </w:pPr>
                  <w:r>
                    <w:rPr>
                      <w:szCs w:val="17"/>
                    </w:rPr>
                    <w:t>0.04</w:t>
                  </w:r>
                </w:p>
              </w:tc>
            </w:tr>
          </w:tbl>
          <w:p w14:paraId="08F838D7" w14:textId="77777777" w:rsidR="000110FD" w:rsidRDefault="000110FD" w:rsidP="00303DF5">
            <w:pPr>
              <w:pStyle w:val="TableText"/>
              <w:widowControl w:val="0"/>
              <w:suppressAutoHyphens w:val="0"/>
              <w:spacing w:before="0" w:after="0" w:line="240" w:lineRule="auto"/>
              <w:rPr>
                <w:szCs w:val="17"/>
                <w:highlight w:val="magenta"/>
              </w:rPr>
            </w:pPr>
          </w:p>
          <w:p w14:paraId="35A952B8" w14:textId="354E680D" w:rsidR="000110FD" w:rsidRPr="00CD15E3" w:rsidRDefault="000110FD" w:rsidP="00303DF5">
            <w:pPr>
              <w:pStyle w:val="TableText"/>
              <w:widowControl w:val="0"/>
              <w:suppressAutoHyphens w:val="0"/>
              <w:spacing w:before="0" w:after="0" w:line="240" w:lineRule="auto"/>
              <w:rPr>
                <w:szCs w:val="17"/>
                <w:highlight w:val="magenta"/>
              </w:rPr>
            </w:pPr>
            <w:r w:rsidRPr="00D77EDC">
              <w:rPr>
                <w:szCs w:val="17"/>
              </w:rPr>
              <w:t>It is noted that whilst dehusking can occur in mammals</w:t>
            </w:r>
            <w:r>
              <w:rPr>
                <w:szCs w:val="17"/>
              </w:rPr>
              <w:t xml:space="preserve"> (e.g. rodents)</w:t>
            </w:r>
            <w:r w:rsidRPr="00D77EDC">
              <w:rPr>
                <w:szCs w:val="17"/>
              </w:rPr>
              <w:t xml:space="preserve"> and birds</w:t>
            </w:r>
            <w:r>
              <w:rPr>
                <w:szCs w:val="17"/>
              </w:rPr>
              <w:t xml:space="preserve"> (mainly smaller birds)</w:t>
            </w:r>
            <w:r w:rsidRPr="00D77EDC">
              <w:rPr>
                <w:szCs w:val="17"/>
              </w:rPr>
              <w:t xml:space="preserve"> the behaviour differs between species and as indicated above between seed types. The EFSA (2009) guidance recommends that </w:t>
            </w:r>
            <w:r>
              <w:rPr>
                <w:szCs w:val="17"/>
              </w:rPr>
              <w:t xml:space="preserve">dehusking </w:t>
            </w:r>
            <w:r w:rsidRPr="00D77EDC">
              <w:rPr>
                <w:szCs w:val="17"/>
              </w:rPr>
              <w:t>studies are conducted with a defined focal species and ideally with the relevant seed type and product</w:t>
            </w:r>
            <w:r>
              <w:rPr>
                <w:szCs w:val="17"/>
              </w:rPr>
              <w:t>, and</w:t>
            </w:r>
            <w:r w:rsidR="00592DEC">
              <w:rPr>
                <w:szCs w:val="17"/>
              </w:rPr>
              <w:t xml:space="preserve"> that</w:t>
            </w:r>
            <w:r>
              <w:rPr>
                <w:szCs w:val="17"/>
              </w:rPr>
              <w:t xml:space="preserve"> it should also be demonstrated that dehusking occurs under field conditions</w:t>
            </w:r>
            <w:r w:rsidRPr="00D77EDC">
              <w:rPr>
                <w:szCs w:val="17"/>
              </w:rPr>
              <w:t>. Focal</w:t>
            </w:r>
            <w:r>
              <w:rPr>
                <w:szCs w:val="17"/>
              </w:rPr>
              <w:t>-</w:t>
            </w:r>
            <w:r w:rsidRPr="00D77EDC">
              <w:rPr>
                <w:szCs w:val="17"/>
              </w:rPr>
              <w:t>species</w:t>
            </w:r>
            <w:r>
              <w:rPr>
                <w:szCs w:val="17"/>
              </w:rPr>
              <w:t xml:space="preserve"> </w:t>
            </w:r>
            <w:r w:rsidRPr="00D77EDC">
              <w:rPr>
                <w:szCs w:val="17"/>
              </w:rPr>
              <w:t>specific data is not available. However, the available information indicates that for Australian species that do dehusk seeds exposure reductions</w:t>
            </w:r>
            <w:r>
              <w:rPr>
                <w:szCs w:val="17"/>
              </w:rPr>
              <w:t xml:space="preserve"> could be substantial depending on the specific seeds consumed.</w:t>
            </w:r>
          </w:p>
        </w:tc>
      </w:tr>
      <w:tr w:rsidR="000110FD" w14:paraId="419E504B" w14:textId="77777777" w:rsidTr="00303DF5">
        <w:trPr>
          <w:cantSplit/>
          <w:trHeight w:val="13"/>
        </w:trPr>
        <w:tc>
          <w:tcPr>
            <w:tcW w:w="662" w:type="pct"/>
            <w:tcBorders>
              <w:top w:val="single" w:sz="4" w:space="0" w:color="auto"/>
              <w:bottom w:val="single" w:sz="4" w:space="0" w:color="auto"/>
            </w:tcBorders>
          </w:tcPr>
          <w:p w14:paraId="475A2BC7" w14:textId="77777777" w:rsidR="000110FD" w:rsidRDefault="000110FD" w:rsidP="00303DF5">
            <w:pPr>
              <w:pStyle w:val="TableText"/>
              <w:widowControl w:val="0"/>
              <w:suppressAutoHyphens w:val="0"/>
              <w:spacing w:before="0" w:after="0" w:line="240" w:lineRule="auto"/>
              <w:rPr>
                <w:szCs w:val="17"/>
              </w:rPr>
            </w:pPr>
            <w:r>
              <w:rPr>
                <w:szCs w:val="17"/>
              </w:rPr>
              <w:lastRenderedPageBreak/>
              <w:t>Herbicidal mode of action</w:t>
            </w:r>
          </w:p>
        </w:tc>
        <w:tc>
          <w:tcPr>
            <w:tcW w:w="515" w:type="pct"/>
            <w:tcBorders>
              <w:top w:val="single" w:sz="4" w:space="0" w:color="auto"/>
              <w:bottom w:val="single" w:sz="4" w:space="0" w:color="auto"/>
            </w:tcBorders>
          </w:tcPr>
          <w:p w14:paraId="694E3E78"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79BF5EE0" w14:textId="77777777" w:rsidR="000110FD" w:rsidRDefault="000110FD" w:rsidP="00303DF5">
            <w:pPr>
              <w:pStyle w:val="TableText"/>
              <w:widowControl w:val="0"/>
              <w:suppressAutoHyphens w:val="0"/>
              <w:spacing w:before="0" w:after="0" w:line="240" w:lineRule="auto"/>
              <w:rPr>
                <w:szCs w:val="17"/>
              </w:rPr>
            </w:pPr>
            <w:r>
              <w:rPr>
                <w:szCs w:val="17"/>
              </w:rPr>
              <w:t>The herbicidal mode of action of diquat may affect exposure in a couple of ways that are not quantitatively accounted for in the risk assessment:</w:t>
            </w:r>
          </w:p>
          <w:p w14:paraId="3DA7BD0C" w14:textId="77777777" w:rsidR="000110FD" w:rsidRDefault="000110FD" w:rsidP="00303DF5">
            <w:pPr>
              <w:pStyle w:val="TableText"/>
              <w:widowControl w:val="0"/>
              <w:suppressAutoHyphens w:val="0"/>
              <w:spacing w:before="0" w:after="0" w:line="240" w:lineRule="auto"/>
              <w:rPr>
                <w:szCs w:val="17"/>
              </w:rPr>
            </w:pPr>
          </w:p>
          <w:p w14:paraId="670C50FF" w14:textId="7A72B0EC" w:rsidR="000110FD" w:rsidRPr="00E82268" w:rsidRDefault="000110FD">
            <w:pPr>
              <w:pStyle w:val="TableText"/>
              <w:widowControl w:val="0"/>
              <w:numPr>
                <w:ilvl w:val="0"/>
                <w:numId w:val="20"/>
              </w:numPr>
              <w:suppressAutoHyphens w:val="0"/>
              <w:spacing w:before="0" w:after="0" w:line="240" w:lineRule="auto"/>
              <w:rPr>
                <w:szCs w:val="17"/>
              </w:rPr>
            </w:pPr>
            <w:r w:rsidRPr="00E82268">
              <w:rPr>
                <w:szCs w:val="17"/>
              </w:rPr>
              <w:t xml:space="preserve">The damage to treated foliage may affect its attractiveness to consumer organisms. This may limit </w:t>
            </w:r>
            <w:r>
              <w:rPr>
                <w:szCs w:val="17"/>
              </w:rPr>
              <w:t xml:space="preserve">the </w:t>
            </w:r>
            <w:r w:rsidR="005D2DBE">
              <w:rPr>
                <w:szCs w:val="17"/>
              </w:rPr>
              <w:t>likelihood</w:t>
            </w:r>
            <w:r>
              <w:rPr>
                <w:szCs w:val="17"/>
              </w:rPr>
              <w:t xml:space="preserve"> of </w:t>
            </w:r>
            <w:r w:rsidRPr="00E82268">
              <w:rPr>
                <w:szCs w:val="17"/>
              </w:rPr>
              <w:t xml:space="preserve">exposure, particularly given the rapid action of </w:t>
            </w:r>
            <w:r>
              <w:rPr>
                <w:szCs w:val="17"/>
              </w:rPr>
              <w:t>di</w:t>
            </w:r>
            <w:r w:rsidRPr="00E82268">
              <w:rPr>
                <w:szCs w:val="17"/>
              </w:rPr>
              <w:t xml:space="preserve">quat. This effect has not been experimentally demonstrated. However, beyond the initial few hours after application it can reasonably be expected that this will occur to </w:t>
            </w:r>
            <w:r w:rsidR="005D2DBE">
              <w:rPr>
                <w:szCs w:val="17"/>
              </w:rPr>
              <w:t xml:space="preserve">some </w:t>
            </w:r>
            <w:r w:rsidRPr="00E82268">
              <w:rPr>
                <w:szCs w:val="17"/>
              </w:rPr>
              <w:t xml:space="preserve">degree. </w:t>
            </w:r>
            <w:r>
              <w:rPr>
                <w:szCs w:val="17"/>
              </w:rPr>
              <w:t xml:space="preserve">Any effect will </w:t>
            </w:r>
            <w:r w:rsidRPr="00E82268">
              <w:rPr>
                <w:szCs w:val="17"/>
              </w:rPr>
              <w:t xml:space="preserve">vary between consumer species, between </w:t>
            </w:r>
            <w:r>
              <w:rPr>
                <w:szCs w:val="17"/>
              </w:rPr>
              <w:t>treated plant species</w:t>
            </w:r>
            <w:r w:rsidRPr="00E82268">
              <w:rPr>
                <w:szCs w:val="17"/>
              </w:rPr>
              <w:t xml:space="preserve"> and depending on the availability of alternate food sources.</w:t>
            </w:r>
            <w:r>
              <w:rPr>
                <w:szCs w:val="17"/>
              </w:rPr>
              <w:t xml:space="preserve"> This is only relevant to foliar dietary food items.</w:t>
            </w:r>
          </w:p>
          <w:p w14:paraId="5E8C2618" w14:textId="1E95D77F" w:rsidR="000110FD" w:rsidRDefault="000110FD">
            <w:pPr>
              <w:pStyle w:val="TableText"/>
              <w:widowControl w:val="0"/>
              <w:numPr>
                <w:ilvl w:val="0"/>
                <w:numId w:val="20"/>
              </w:numPr>
              <w:suppressAutoHyphens w:val="0"/>
              <w:spacing w:before="0" w:after="0" w:line="240" w:lineRule="auto"/>
              <w:rPr>
                <w:szCs w:val="17"/>
              </w:rPr>
            </w:pPr>
            <w:r>
              <w:rPr>
                <w:szCs w:val="17"/>
              </w:rPr>
              <w:t>Depending on the degree of defoliation and the specific scenario in question (crop, application timing</w:t>
            </w:r>
            <w:r w:rsidR="005D2DBE">
              <w:rPr>
                <w:szCs w:val="17"/>
              </w:rPr>
              <w:t>,</w:t>
            </w:r>
            <w:r>
              <w:rPr>
                <w:szCs w:val="17"/>
              </w:rPr>
              <w:t xml:space="preserve"> etc.), the herbicidal action may alter the vegetation structure. This can </w:t>
            </w:r>
            <w:r w:rsidR="005D2DBE">
              <w:rPr>
                <w:szCs w:val="17"/>
              </w:rPr>
              <w:t>influence the identity of</w:t>
            </w:r>
            <w:r>
              <w:rPr>
                <w:szCs w:val="17"/>
              </w:rPr>
              <w:t xml:space="preserve"> species that will forage in the treated area and/or change the behaviour of any foraging species.</w:t>
            </w:r>
          </w:p>
        </w:tc>
      </w:tr>
      <w:tr w:rsidR="000110FD" w14:paraId="215876DA" w14:textId="77777777" w:rsidTr="00303DF5">
        <w:trPr>
          <w:cantSplit/>
          <w:trHeight w:val="13"/>
        </w:trPr>
        <w:tc>
          <w:tcPr>
            <w:tcW w:w="662" w:type="pct"/>
            <w:tcBorders>
              <w:top w:val="single" w:sz="4" w:space="0" w:color="auto"/>
              <w:bottom w:val="single" w:sz="4" w:space="0" w:color="auto"/>
            </w:tcBorders>
          </w:tcPr>
          <w:p w14:paraId="717B2476" w14:textId="77777777" w:rsidR="000110FD" w:rsidRDefault="000110FD" w:rsidP="00303DF5">
            <w:pPr>
              <w:pStyle w:val="TableText"/>
              <w:widowControl w:val="0"/>
              <w:suppressAutoHyphens w:val="0"/>
              <w:spacing w:before="0" w:after="0" w:line="240" w:lineRule="auto"/>
              <w:rPr>
                <w:szCs w:val="17"/>
              </w:rPr>
            </w:pPr>
            <w:r>
              <w:rPr>
                <w:szCs w:val="17"/>
              </w:rPr>
              <w:t>Spot spraying</w:t>
            </w:r>
          </w:p>
        </w:tc>
        <w:tc>
          <w:tcPr>
            <w:tcW w:w="515" w:type="pct"/>
            <w:tcBorders>
              <w:top w:val="single" w:sz="4" w:space="0" w:color="auto"/>
              <w:bottom w:val="single" w:sz="4" w:space="0" w:color="auto"/>
            </w:tcBorders>
          </w:tcPr>
          <w:p w14:paraId="1C32AD31"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5F2B010C" w14:textId="77777777" w:rsidR="000110FD" w:rsidRDefault="000110FD" w:rsidP="00303DF5">
            <w:pPr>
              <w:pStyle w:val="TableText"/>
              <w:widowControl w:val="0"/>
              <w:suppressAutoHyphens w:val="0"/>
              <w:spacing w:before="0" w:after="0" w:line="240" w:lineRule="auto"/>
              <w:rPr>
                <w:szCs w:val="17"/>
              </w:rPr>
            </w:pPr>
            <w:r>
              <w:rPr>
                <w:szCs w:val="17"/>
              </w:rPr>
              <w:t xml:space="preserve">Spot spraying has been accounted for quantitatively by proportionately adjusting the application rate relative to the estimated fraction of the cropped area that is treated (i.e. if 40% of the cropped area is treated the application rate is adjusted to 40% of the full rate). This assumes no bias in foraging within the treated area by a consumer and that there are alternate food sources in non-treated locations. This does not necessarily directly replicate the actual exposure of an organism which will relate to the foraging behaviour of the consumer organism, the availability of food items and the treatment application in relation to those food items. Nor does it account for spray drift within the treated area. </w:t>
            </w:r>
          </w:p>
          <w:p w14:paraId="0FD417CF" w14:textId="77777777" w:rsidR="000110FD" w:rsidRDefault="000110FD" w:rsidP="00303DF5">
            <w:pPr>
              <w:pStyle w:val="TableText"/>
              <w:widowControl w:val="0"/>
              <w:suppressAutoHyphens w:val="0"/>
              <w:spacing w:before="0" w:after="0" w:line="240" w:lineRule="auto"/>
              <w:rPr>
                <w:szCs w:val="17"/>
              </w:rPr>
            </w:pPr>
          </w:p>
          <w:p w14:paraId="56A209A2" w14:textId="076A67AF" w:rsidR="000110FD" w:rsidRDefault="000110FD" w:rsidP="00303DF5">
            <w:pPr>
              <w:pStyle w:val="TableText"/>
              <w:widowControl w:val="0"/>
              <w:suppressAutoHyphens w:val="0"/>
              <w:spacing w:before="0" w:after="0" w:line="240" w:lineRule="auto"/>
              <w:rPr>
                <w:szCs w:val="17"/>
              </w:rPr>
            </w:pPr>
            <w:r>
              <w:rPr>
                <w:szCs w:val="17"/>
              </w:rPr>
              <w:t xml:space="preserve">This approach may under-estimate the actual exposure for some groups of organisms, e.g. for herbivorous organisms if all potential food items are treated there </w:t>
            </w:r>
            <w:r w:rsidR="005D2DBE">
              <w:rPr>
                <w:szCs w:val="17"/>
              </w:rPr>
              <w:t xml:space="preserve">will be </w:t>
            </w:r>
            <w:r>
              <w:rPr>
                <w:szCs w:val="17"/>
              </w:rPr>
              <w:t>no reduction in exposure even though the treatment is only applied to a fraction of the cropped area.</w:t>
            </w:r>
          </w:p>
        </w:tc>
      </w:tr>
      <w:tr w:rsidR="000110FD" w14:paraId="7EEA32B3" w14:textId="77777777" w:rsidTr="00303DF5">
        <w:trPr>
          <w:cantSplit/>
          <w:trHeight w:val="13"/>
        </w:trPr>
        <w:tc>
          <w:tcPr>
            <w:tcW w:w="662" w:type="pct"/>
            <w:tcBorders>
              <w:top w:val="single" w:sz="4" w:space="0" w:color="auto"/>
              <w:bottom w:val="single" w:sz="4" w:space="0" w:color="auto"/>
            </w:tcBorders>
          </w:tcPr>
          <w:p w14:paraId="59D44B5B" w14:textId="77777777" w:rsidR="000110FD" w:rsidRDefault="000110FD" w:rsidP="00303DF5">
            <w:pPr>
              <w:pStyle w:val="TableText"/>
              <w:widowControl w:val="0"/>
              <w:suppressAutoHyphens w:val="0"/>
              <w:spacing w:before="0" w:after="0" w:line="240" w:lineRule="auto"/>
              <w:rPr>
                <w:szCs w:val="17"/>
              </w:rPr>
            </w:pPr>
            <w:r>
              <w:rPr>
                <w:szCs w:val="17"/>
              </w:rPr>
              <w:t>Focal species</w:t>
            </w:r>
          </w:p>
        </w:tc>
        <w:tc>
          <w:tcPr>
            <w:tcW w:w="515" w:type="pct"/>
            <w:tcBorders>
              <w:top w:val="single" w:sz="4" w:space="0" w:color="auto"/>
              <w:bottom w:val="single" w:sz="4" w:space="0" w:color="auto"/>
            </w:tcBorders>
          </w:tcPr>
          <w:p w14:paraId="405BCACF"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1C803E7E" w14:textId="4BB3B1BC" w:rsidR="000110FD" w:rsidRDefault="000110FD" w:rsidP="00303DF5">
            <w:pPr>
              <w:pStyle w:val="TableText"/>
              <w:widowControl w:val="0"/>
              <w:suppressAutoHyphens w:val="0"/>
              <w:spacing w:before="0" w:after="0" w:line="240" w:lineRule="auto"/>
              <w:rPr>
                <w:szCs w:val="17"/>
              </w:rPr>
            </w:pPr>
            <w:r w:rsidRPr="000730B8">
              <w:rPr>
                <w:szCs w:val="17"/>
              </w:rPr>
              <w:t>Unless specific information has been submitted that allows consideration of focal species</w:t>
            </w:r>
            <w:r>
              <w:rPr>
                <w:szCs w:val="17"/>
              </w:rPr>
              <w:t>, for a particular use situation,</w:t>
            </w:r>
            <w:r w:rsidRPr="000730B8">
              <w:rPr>
                <w:szCs w:val="17"/>
              </w:rPr>
              <w:t xml:space="preserve"> the current assessment is based on generic focal species. This is not </w:t>
            </w:r>
            <w:r>
              <w:rPr>
                <w:szCs w:val="17"/>
              </w:rPr>
              <w:t xml:space="preserve">reason </w:t>
            </w:r>
            <w:r w:rsidRPr="000730B8">
              <w:rPr>
                <w:szCs w:val="17"/>
              </w:rPr>
              <w:t>to reject or modify the conclusions of the risk assessment</w:t>
            </w:r>
            <w:r>
              <w:rPr>
                <w:szCs w:val="17"/>
              </w:rPr>
              <w:t>.</w:t>
            </w:r>
            <w:r w:rsidRPr="000730B8">
              <w:rPr>
                <w:szCs w:val="17"/>
              </w:rPr>
              <w:t xml:space="preserve"> </w:t>
            </w:r>
            <w:r>
              <w:rPr>
                <w:szCs w:val="17"/>
              </w:rPr>
              <w:t>W</w:t>
            </w:r>
            <w:r w:rsidRPr="000730B8">
              <w:rPr>
                <w:szCs w:val="17"/>
              </w:rPr>
              <w:t>here the risk is unresolved it is incumbent on applicants/</w:t>
            </w:r>
            <w:r>
              <w:rPr>
                <w:szCs w:val="17"/>
              </w:rPr>
              <w:t>holder</w:t>
            </w:r>
            <w:r w:rsidRPr="000730B8">
              <w:rPr>
                <w:szCs w:val="17"/>
              </w:rPr>
              <w:t xml:space="preserve">s to provide additional information to </w:t>
            </w:r>
            <w:r>
              <w:rPr>
                <w:szCs w:val="17"/>
              </w:rPr>
              <w:t xml:space="preserve">refine </w:t>
            </w:r>
            <w:r w:rsidRPr="000730B8">
              <w:rPr>
                <w:szCs w:val="17"/>
              </w:rPr>
              <w:t>the risk</w:t>
            </w:r>
            <w:r>
              <w:rPr>
                <w:szCs w:val="17"/>
              </w:rPr>
              <w:t xml:space="preserve"> assessment</w:t>
            </w:r>
            <w:r w:rsidR="005D2DBE">
              <w:rPr>
                <w:szCs w:val="17"/>
              </w:rPr>
              <w:t>;</w:t>
            </w:r>
            <w:r w:rsidRPr="000730B8">
              <w:rPr>
                <w:szCs w:val="17"/>
              </w:rPr>
              <w:t xml:space="preserve"> </w:t>
            </w:r>
            <w:r w:rsidR="005D2DBE">
              <w:rPr>
                <w:szCs w:val="17"/>
              </w:rPr>
              <w:t xml:space="preserve">this may </w:t>
            </w:r>
            <w:r w:rsidRPr="000730B8">
              <w:rPr>
                <w:szCs w:val="17"/>
              </w:rPr>
              <w:t>include identifying focal species and proposing relevant refinements for those species.</w:t>
            </w:r>
            <w:r>
              <w:rPr>
                <w:szCs w:val="17"/>
              </w:rPr>
              <w:t xml:space="preserve"> However, the uncertainty inherent to an assessment based on generic focal species is acknowledged.</w:t>
            </w:r>
          </w:p>
        </w:tc>
      </w:tr>
      <w:tr w:rsidR="000110FD" w14:paraId="7F5BEA34" w14:textId="77777777" w:rsidTr="00303DF5">
        <w:trPr>
          <w:cantSplit/>
          <w:trHeight w:val="13"/>
        </w:trPr>
        <w:tc>
          <w:tcPr>
            <w:tcW w:w="662" w:type="pct"/>
            <w:tcBorders>
              <w:top w:val="single" w:sz="4" w:space="0" w:color="auto"/>
              <w:bottom w:val="single" w:sz="4" w:space="0" w:color="auto"/>
            </w:tcBorders>
          </w:tcPr>
          <w:p w14:paraId="79A7EF71" w14:textId="77777777" w:rsidR="000110FD" w:rsidRDefault="000110FD" w:rsidP="00303DF5">
            <w:pPr>
              <w:pStyle w:val="TableText"/>
              <w:widowControl w:val="0"/>
              <w:suppressAutoHyphens w:val="0"/>
              <w:spacing w:before="0" w:after="0" w:line="240" w:lineRule="auto"/>
              <w:rPr>
                <w:szCs w:val="17"/>
              </w:rPr>
            </w:pPr>
            <w:r>
              <w:rPr>
                <w:szCs w:val="17"/>
              </w:rPr>
              <w:lastRenderedPageBreak/>
              <w:t>Wildlife monitoring data</w:t>
            </w:r>
          </w:p>
        </w:tc>
        <w:tc>
          <w:tcPr>
            <w:tcW w:w="515" w:type="pct"/>
            <w:tcBorders>
              <w:top w:val="single" w:sz="4" w:space="0" w:color="auto"/>
              <w:bottom w:val="single" w:sz="4" w:space="0" w:color="auto"/>
            </w:tcBorders>
          </w:tcPr>
          <w:p w14:paraId="3A99A9FA"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341AB343" w14:textId="67CEF65B" w:rsidR="000110FD" w:rsidRDefault="000110FD" w:rsidP="00303DF5">
            <w:pPr>
              <w:pStyle w:val="TableText"/>
              <w:widowControl w:val="0"/>
              <w:suppressAutoHyphens w:val="0"/>
              <w:spacing w:before="0" w:after="0" w:line="240" w:lineRule="auto"/>
              <w:rPr>
                <w:szCs w:val="17"/>
              </w:rPr>
            </w:pPr>
            <w:r w:rsidRPr="006115A3">
              <w:rPr>
                <w:szCs w:val="17"/>
              </w:rPr>
              <w:t xml:space="preserve">Several submissions </w:t>
            </w:r>
            <w:r>
              <w:rPr>
                <w:szCs w:val="17"/>
              </w:rPr>
              <w:t xml:space="preserve">received </w:t>
            </w:r>
            <w:r w:rsidRPr="006115A3">
              <w:rPr>
                <w:szCs w:val="17"/>
              </w:rPr>
              <w:t xml:space="preserve">during </w:t>
            </w:r>
            <w:r>
              <w:rPr>
                <w:szCs w:val="17"/>
              </w:rPr>
              <w:t>the consultation</w:t>
            </w:r>
            <w:r w:rsidRPr="006115A3">
              <w:rPr>
                <w:szCs w:val="17"/>
              </w:rPr>
              <w:t xml:space="preserve"> </w:t>
            </w:r>
            <w:r>
              <w:rPr>
                <w:szCs w:val="17"/>
              </w:rPr>
              <w:t xml:space="preserve">period </w:t>
            </w:r>
            <w:r w:rsidRPr="006115A3">
              <w:rPr>
                <w:szCs w:val="17"/>
              </w:rPr>
              <w:t xml:space="preserve">have </w:t>
            </w:r>
            <w:r>
              <w:rPr>
                <w:szCs w:val="17"/>
              </w:rPr>
              <w:t xml:space="preserve">referenced </w:t>
            </w:r>
            <w:r w:rsidRPr="006115A3">
              <w:rPr>
                <w:szCs w:val="17"/>
              </w:rPr>
              <w:t xml:space="preserve">wildlife monitoring data or anecdotal observations implying a lack of population level effects on terrestrial vertebrates. </w:t>
            </w:r>
            <w:r w:rsidR="008C566B">
              <w:rPr>
                <w:szCs w:val="17"/>
              </w:rPr>
              <w:t>W</w:t>
            </w:r>
            <w:r>
              <w:rPr>
                <w:szCs w:val="17"/>
              </w:rPr>
              <w:t>ildlife monitoring data is inherently unreliable</w:t>
            </w:r>
            <w:r w:rsidR="008C566B">
              <w:rPr>
                <w:szCs w:val="17"/>
              </w:rPr>
              <w:t>.</w:t>
            </w:r>
            <w:r>
              <w:rPr>
                <w:szCs w:val="17"/>
              </w:rPr>
              <w:t xml:space="preserve"> Anecdotal reports/claims of no or limited effects of diquat use on terrestrial vertebrates are similarly unreliable, but with additional limitations. Whilst this line of argument is noted it does not provide a scientifically justifiable basis </w:t>
            </w:r>
            <w:r w:rsidR="002F4E7D">
              <w:rPr>
                <w:szCs w:val="17"/>
              </w:rPr>
              <w:t xml:space="preserve">on which </w:t>
            </w:r>
            <w:r>
              <w:rPr>
                <w:szCs w:val="17"/>
              </w:rPr>
              <w:t xml:space="preserve">to adjust the conclusions of the risk </w:t>
            </w:r>
            <w:r w:rsidR="008E2515">
              <w:rPr>
                <w:szCs w:val="17"/>
              </w:rPr>
              <w:t>assessment and</w:t>
            </w:r>
            <w:r>
              <w:rPr>
                <w:szCs w:val="17"/>
              </w:rPr>
              <w:t xml:space="preserve"> has not been considered further.</w:t>
            </w:r>
          </w:p>
        </w:tc>
      </w:tr>
      <w:tr w:rsidR="000110FD" w14:paraId="685E550B" w14:textId="77777777" w:rsidTr="00303DF5">
        <w:trPr>
          <w:cantSplit/>
          <w:trHeight w:val="13"/>
        </w:trPr>
        <w:tc>
          <w:tcPr>
            <w:tcW w:w="662" w:type="pct"/>
            <w:tcBorders>
              <w:top w:val="single" w:sz="4" w:space="0" w:color="auto"/>
              <w:bottom w:val="single" w:sz="4" w:space="0" w:color="auto"/>
            </w:tcBorders>
          </w:tcPr>
          <w:p w14:paraId="0434B711" w14:textId="77777777" w:rsidR="000110FD" w:rsidRDefault="000110FD" w:rsidP="00303DF5">
            <w:pPr>
              <w:pStyle w:val="TableText"/>
              <w:widowControl w:val="0"/>
              <w:suppressAutoHyphens w:val="0"/>
              <w:spacing w:before="0" w:after="0" w:line="240" w:lineRule="auto"/>
              <w:rPr>
                <w:szCs w:val="17"/>
              </w:rPr>
            </w:pPr>
            <w:r>
              <w:rPr>
                <w:szCs w:val="17"/>
              </w:rPr>
              <w:t>Population effects</w:t>
            </w:r>
          </w:p>
        </w:tc>
        <w:tc>
          <w:tcPr>
            <w:tcW w:w="515" w:type="pct"/>
            <w:tcBorders>
              <w:top w:val="single" w:sz="4" w:space="0" w:color="auto"/>
              <w:bottom w:val="single" w:sz="4" w:space="0" w:color="auto"/>
            </w:tcBorders>
          </w:tcPr>
          <w:p w14:paraId="755FC97C" w14:textId="77777777" w:rsidR="000110FD" w:rsidRDefault="000110FD" w:rsidP="00303DF5">
            <w:pPr>
              <w:pStyle w:val="TableText"/>
              <w:widowControl w:val="0"/>
              <w:suppressAutoHyphens w:val="0"/>
              <w:spacing w:before="0" w:after="0" w:line="240" w:lineRule="auto"/>
              <w:rPr>
                <w:szCs w:val="17"/>
              </w:rPr>
            </w:pPr>
            <w:r>
              <w:rPr>
                <w:szCs w:val="17"/>
              </w:rPr>
              <w:t>Birds and mammals</w:t>
            </w:r>
          </w:p>
        </w:tc>
        <w:tc>
          <w:tcPr>
            <w:tcW w:w="3823" w:type="pct"/>
            <w:tcBorders>
              <w:top w:val="single" w:sz="4" w:space="0" w:color="auto"/>
              <w:bottom w:val="single" w:sz="4" w:space="0" w:color="auto"/>
            </w:tcBorders>
          </w:tcPr>
          <w:p w14:paraId="76C190BB" w14:textId="0FFEE105" w:rsidR="000110FD" w:rsidRDefault="000110FD" w:rsidP="00303DF5">
            <w:pPr>
              <w:pStyle w:val="TableText"/>
              <w:widowControl w:val="0"/>
              <w:suppressAutoHyphens w:val="0"/>
              <w:spacing w:before="0" w:after="0" w:line="240" w:lineRule="auto"/>
              <w:rPr>
                <w:szCs w:val="17"/>
              </w:rPr>
            </w:pPr>
            <w:r>
              <w:rPr>
                <w:szCs w:val="17"/>
              </w:rPr>
              <w:t>As described in the current APVMA guidance</w:t>
            </w:r>
            <w:r w:rsidR="00E61669">
              <w:rPr>
                <w:rFonts w:ascii="ZWAdobeF" w:hAnsi="ZWAdobeF" w:cs="ZWAdobeF"/>
                <w:spacing w:val="0"/>
                <w:sz w:val="2"/>
                <w:szCs w:val="2"/>
              </w:rPr>
              <w:t>40F</w:t>
            </w:r>
            <w:r w:rsidR="00602535">
              <w:rPr>
                <w:rFonts w:ascii="ZWAdobeF" w:hAnsi="ZWAdobeF" w:cs="ZWAdobeF"/>
                <w:spacing w:val="0"/>
                <w:sz w:val="2"/>
                <w:szCs w:val="2"/>
              </w:rPr>
              <w:t>43F</w:t>
            </w:r>
            <w:r>
              <w:rPr>
                <w:rStyle w:val="FootnoteReference"/>
                <w:szCs w:val="17"/>
              </w:rPr>
              <w:footnoteReference w:id="45"/>
            </w:r>
            <w:r>
              <w:rPr>
                <w:szCs w:val="17"/>
              </w:rPr>
              <w:t>, the aim of the assessment is to protect populations of terrestrial vertebrate species not individual animals, with respect to both acute and chronic exposure. The population of relevance is the local population in the immediate vicinity of the treated area; the assessment does not consider effects at a landscape or pan-Australian level. Whilst protecting populations is the intended aim, the current quantitative risk assessment does not directly evaluate the effect on a population – estimates of individual exposure are used to establish if there is an expectation that risks to individuals may occur and hence exclude situations where there is no risk at the population level.</w:t>
            </w:r>
          </w:p>
          <w:p w14:paraId="7ADA4B58" w14:textId="77777777" w:rsidR="000110FD" w:rsidRDefault="000110FD" w:rsidP="00303DF5">
            <w:pPr>
              <w:pStyle w:val="TableText"/>
              <w:widowControl w:val="0"/>
              <w:suppressAutoHyphens w:val="0"/>
              <w:spacing w:before="0" w:after="0" w:line="240" w:lineRule="auto"/>
              <w:rPr>
                <w:szCs w:val="17"/>
              </w:rPr>
            </w:pPr>
          </w:p>
          <w:p w14:paraId="23896116" w14:textId="12A2B0EA" w:rsidR="000110FD" w:rsidRDefault="002F4E7D" w:rsidP="00303DF5">
            <w:pPr>
              <w:pStyle w:val="TableText"/>
              <w:widowControl w:val="0"/>
              <w:suppressAutoHyphens w:val="0"/>
              <w:spacing w:before="0" w:after="0" w:line="240" w:lineRule="auto"/>
              <w:rPr>
                <w:szCs w:val="17"/>
              </w:rPr>
            </w:pPr>
            <w:r>
              <w:rPr>
                <w:szCs w:val="17"/>
              </w:rPr>
              <w:t>Specific p</w:t>
            </w:r>
            <w:r w:rsidR="000110FD">
              <w:rPr>
                <w:szCs w:val="17"/>
              </w:rPr>
              <w:t>opulation level analysis requires additional consideration/analysis, which it is the applicant/holder’s responsibility to provide. Field study data or population modelling could be used to consider population level impacts of diquat use on relevant organisms. This type of information is not currently available. Therefore, it is only possible to consider the impact on populations subjectively.</w:t>
            </w:r>
          </w:p>
        </w:tc>
      </w:tr>
    </w:tbl>
    <w:p w14:paraId="61570737" w14:textId="41629065" w:rsidR="000110FD" w:rsidRPr="005548EB" w:rsidRDefault="000110FD" w:rsidP="005548EB">
      <w:pPr>
        <w:pStyle w:val="NormalText"/>
        <w:rPr>
          <w:b/>
          <w:bCs/>
        </w:rPr>
      </w:pPr>
      <w:r w:rsidRPr="005548EB">
        <w:rPr>
          <w:b/>
          <w:bCs/>
        </w:rPr>
        <w:t>Bare soil crop group – General weed control in fallow, market gardens, nurseries, potatoes (early/pre-emergence), rice, row crops, vegetables, oilseeds, hops, asparagus</w:t>
      </w:r>
    </w:p>
    <w:p w14:paraId="62BCAC09" w14:textId="618A4578" w:rsidR="000110FD" w:rsidRPr="008C566B" w:rsidRDefault="000110FD" w:rsidP="005548EB">
      <w:pPr>
        <w:pStyle w:val="NormalText"/>
      </w:pPr>
      <w:r w:rsidRPr="00655862">
        <w:t xml:space="preserve">Mammals – </w:t>
      </w:r>
      <w:r w:rsidRPr="008C566B">
        <w:t>Acceptable risks can be concluded based on the Tier-1 risk assessment (</w:t>
      </w:r>
      <w:r w:rsidR="001B2D62">
        <w:fldChar w:fldCharType="begin" w:fldLock="1"/>
      </w:r>
      <w:r w:rsidR="001B2D62">
        <w:instrText xml:space="preserve"> REF _Ref170461194 \h </w:instrText>
      </w:r>
      <w:r w:rsidR="001B2D62">
        <w:fldChar w:fldCharType="separate"/>
      </w:r>
      <w:r w:rsidR="001B2D62" w:rsidRPr="00247DE6">
        <w:t xml:space="preserve">Table </w:t>
      </w:r>
      <w:r w:rsidR="001B2D62">
        <w:rPr>
          <w:noProof/>
        </w:rPr>
        <w:t>56</w:t>
      </w:r>
      <w:r w:rsidR="001B2D62">
        <w:fldChar w:fldCharType="end"/>
      </w:r>
      <w:r w:rsidRPr="008C566B">
        <w:t>); no further consideration is required.</w:t>
      </w:r>
    </w:p>
    <w:p w14:paraId="7B20B40D" w14:textId="65E843B8" w:rsidR="000110FD" w:rsidRPr="008C566B" w:rsidRDefault="000110FD" w:rsidP="005548EB">
      <w:pPr>
        <w:pStyle w:val="NormalText"/>
      </w:pPr>
      <w:r w:rsidRPr="008C566B">
        <w:t>Birds – There are unresolved acute risks for small granivorous (at rates &gt;283 g ac/ha or 2 × 189 g ac/ha), small omnivorous (at rates &gt;402 g ac/ha or 2 × 309 g ac/ha) and small insectivorous birds (at rates &gt;642 g ac/ha or 2 × 584 g ac/ha). Few refinements have been proposed and/or are acceptable for birds. Consequently, the risk assessment is largely unchanged from the default Tier-1 assessment. Without confirmatory data a refined RAL, to account for any difference between dietary and oral exposure, cannot currently be established. For birds, information that can be used to define focal species or other lines of evidence specific to bare soil scenarios has not been submitted. Therefore, only the generic weight-of-evidence arguments (</w:t>
      </w:r>
      <w:r w:rsidR="00AE0115">
        <w:fldChar w:fldCharType="begin" w:fldLock="1"/>
      </w:r>
      <w:r w:rsidR="00AE0115">
        <w:instrText xml:space="preserve"> REF _Ref221022757 \h </w:instrText>
      </w:r>
      <w:r w:rsidR="00AE0115">
        <w:fldChar w:fldCharType="separate"/>
      </w:r>
      <w:r w:rsidR="00AE0115" w:rsidRPr="00247DE6">
        <w:t xml:space="preserve">Table </w:t>
      </w:r>
      <w:r w:rsidR="00AE0115">
        <w:rPr>
          <w:noProof/>
        </w:rPr>
        <w:t>60</w:t>
      </w:r>
      <w:r w:rsidR="00AE0115">
        <w:fldChar w:fldCharType="end"/>
      </w:r>
      <w:r w:rsidRPr="008C566B">
        <w:t>) can be considered further. Currently the available information is not considered sufficient to resolve the risk for birds, and an acceptable risk cannot be established for application rates &gt;283 g ac/ha (or 2 × 189 g ac/ha).</w:t>
      </w:r>
    </w:p>
    <w:p w14:paraId="30A84E4F" w14:textId="39F347D5" w:rsidR="000110FD" w:rsidRPr="005548EB" w:rsidRDefault="000110FD" w:rsidP="005548EB">
      <w:pPr>
        <w:pStyle w:val="NormalText"/>
        <w:rPr>
          <w:b/>
          <w:bCs/>
        </w:rPr>
      </w:pPr>
      <w:r w:rsidRPr="005548EB">
        <w:rPr>
          <w:b/>
          <w:bCs/>
        </w:rPr>
        <w:t>Cereal crop group – General weed control in cereals (pre-harvest)</w:t>
      </w:r>
    </w:p>
    <w:p w14:paraId="43D102A4" w14:textId="0AB360B6" w:rsidR="000110FD" w:rsidRPr="008C566B" w:rsidRDefault="000110FD" w:rsidP="005548EB">
      <w:pPr>
        <w:pStyle w:val="NormalText"/>
      </w:pPr>
      <w:r w:rsidRPr="008C566B">
        <w:lastRenderedPageBreak/>
        <w:t>Mammals – Acceptable risks can be concluded based on the refined risk assessment (</w:t>
      </w:r>
      <w:r w:rsidR="001B2D62">
        <w:fldChar w:fldCharType="begin" w:fldLock="1"/>
      </w:r>
      <w:r w:rsidR="001B2D62">
        <w:instrText xml:space="preserve"> REF _Ref221022628 \h </w:instrText>
      </w:r>
      <w:r w:rsidR="001B2D62">
        <w:fldChar w:fldCharType="separate"/>
      </w:r>
      <w:r w:rsidR="001B2D62" w:rsidRPr="00247DE6">
        <w:t xml:space="preserve">Table </w:t>
      </w:r>
      <w:r w:rsidR="001B2D62">
        <w:rPr>
          <w:noProof/>
        </w:rPr>
        <w:t>58</w:t>
      </w:r>
      <w:r w:rsidR="001B2D62">
        <w:fldChar w:fldCharType="end"/>
      </w:r>
      <w:r w:rsidRPr="008C566B">
        <w:t>); no further consideration is required.</w:t>
      </w:r>
    </w:p>
    <w:p w14:paraId="445F3488" w14:textId="6ED78202" w:rsidR="000110FD" w:rsidRPr="00655862" w:rsidRDefault="000110FD" w:rsidP="005548EB">
      <w:pPr>
        <w:pStyle w:val="NormalText"/>
      </w:pPr>
      <w:r w:rsidRPr="008C566B">
        <w:t xml:space="preserve">Birds – There are unresolved acute risks for small insectivorous (at rates &gt;122 g ac/ha), and small granivorous/insectivorous birds (at rates &gt;259 g ac/ha). As stated in relation to the bare soil crop group the risk assessment is largely unchanged, and generic weight-of-evidence arguments </w:t>
      </w:r>
      <w:r w:rsidR="00AE0115">
        <w:t>(</w:t>
      </w:r>
      <w:r w:rsidR="00AE0115">
        <w:fldChar w:fldCharType="begin" w:fldLock="1"/>
      </w:r>
      <w:r w:rsidR="00AE0115">
        <w:instrText xml:space="preserve"> REF _Ref221022757 \h </w:instrText>
      </w:r>
      <w:r w:rsidR="00AE0115">
        <w:fldChar w:fldCharType="separate"/>
      </w:r>
      <w:r w:rsidR="00AE0115" w:rsidRPr="00247DE6">
        <w:t xml:space="preserve">Table </w:t>
      </w:r>
      <w:r w:rsidR="00AE0115">
        <w:rPr>
          <w:noProof/>
        </w:rPr>
        <w:t>60</w:t>
      </w:r>
      <w:r w:rsidR="00AE0115">
        <w:fldChar w:fldCharType="end"/>
      </w:r>
      <w:r w:rsidRPr="008C566B">
        <w:t xml:space="preserve">) are not considered sufficient to resolve the risk. Therefore, the conclusion of the risk assessment is unchanged from the refined assessment presented in </w:t>
      </w:r>
      <w:r w:rsidR="001B2D62">
        <w:fldChar w:fldCharType="begin" w:fldLock="1"/>
      </w:r>
      <w:r w:rsidR="001B2D62">
        <w:instrText xml:space="preserve"> REF _Ref221022636 \h </w:instrText>
      </w:r>
      <w:r w:rsidR="001B2D62">
        <w:fldChar w:fldCharType="separate"/>
      </w:r>
      <w:r w:rsidR="001B2D62" w:rsidRPr="00247DE6">
        <w:t xml:space="preserve">Table </w:t>
      </w:r>
      <w:r w:rsidR="001B2D62">
        <w:rPr>
          <w:noProof/>
        </w:rPr>
        <w:t>59</w:t>
      </w:r>
      <w:r w:rsidR="001B2D62">
        <w:fldChar w:fldCharType="end"/>
      </w:r>
      <w:r w:rsidRPr="008C566B">
        <w:t>, and an acceptable risk cannot be established for application rates &gt;122 g ac/ha</w:t>
      </w:r>
      <w:r w:rsidRPr="0093107D">
        <w:t>.</w:t>
      </w:r>
    </w:p>
    <w:p w14:paraId="136F0EEA" w14:textId="0656C00E" w:rsidR="000110FD" w:rsidRPr="005548EB" w:rsidRDefault="000110FD" w:rsidP="005548EB">
      <w:pPr>
        <w:pStyle w:val="NormalText"/>
        <w:rPr>
          <w:b/>
          <w:bCs/>
        </w:rPr>
      </w:pPr>
      <w:r w:rsidRPr="005548EB">
        <w:rPr>
          <w:b/>
          <w:bCs/>
        </w:rPr>
        <w:t>Cereal crop group – Pre-harvest desiccation in cereals and rice</w:t>
      </w:r>
    </w:p>
    <w:p w14:paraId="269BE1C1" w14:textId="0DD7BC07" w:rsidR="000110FD" w:rsidRPr="008C566B" w:rsidRDefault="000110FD" w:rsidP="005548EB">
      <w:pPr>
        <w:pStyle w:val="NormalText"/>
      </w:pPr>
      <w:r w:rsidRPr="008C566B">
        <w:t>Mammals – Acceptable risks can be concluded based on the refined risk assessment (</w:t>
      </w:r>
      <w:r w:rsidR="001B2D62">
        <w:fldChar w:fldCharType="begin" w:fldLock="1"/>
      </w:r>
      <w:r w:rsidR="001B2D62">
        <w:instrText xml:space="preserve"> REF _Ref221022628 \h </w:instrText>
      </w:r>
      <w:r w:rsidR="001B2D62">
        <w:fldChar w:fldCharType="separate"/>
      </w:r>
      <w:r w:rsidR="001B2D62" w:rsidRPr="00247DE6">
        <w:t xml:space="preserve">Table </w:t>
      </w:r>
      <w:r w:rsidR="001B2D62">
        <w:rPr>
          <w:noProof/>
        </w:rPr>
        <w:t>58</w:t>
      </w:r>
      <w:r w:rsidR="001B2D62">
        <w:fldChar w:fldCharType="end"/>
      </w:r>
      <w:r w:rsidRPr="008C566B">
        <w:t>); no further consideration is required.</w:t>
      </w:r>
    </w:p>
    <w:p w14:paraId="45306C2D" w14:textId="1DA9E911" w:rsidR="000110FD" w:rsidRPr="00655862" w:rsidRDefault="000110FD" w:rsidP="005548EB">
      <w:pPr>
        <w:pStyle w:val="NormalText"/>
      </w:pPr>
      <w:r w:rsidRPr="008C566B">
        <w:t>Birds – There are unresolved acute risks for small insectivorous (at rates &gt;122 g ac/ha), and small granivorous/insectivorous birds (at rates &gt;259 g ac/ha). As stated in relation to the bare soil crop group the risk assessment is largely unchanged, and generic weight-of-evidence arguments (</w:t>
      </w:r>
      <w:r w:rsidR="00AE0115">
        <w:fldChar w:fldCharType="begin" w:fldLock="1"/>
      </w:r>
      <w:r w:rsidR="00AE0115">
        <w:instrText xml:space="preserve"> REF _Ref221022757 \h </w:instrText>
      </w:r>
      <w:r w:rsidR="00AE0115">
        <w:fldChar w:fldCharType="separate"/>
      </w:r>
      <w:r w:rsidR="00AE0115" w:rsidRPr="00247DE6">
        <w:t xml:space="preserve">Table </w:t>
      </w:r>
      <w:r w:rsidR="00AE0115">
        <w:rPr>
          <w:noProof/>
        </w:rPr>
        <w:t>60</w:t>
      </w:r>
      <w:r w:rsidR="00AE0115">
        <w:fldChar w:fldCharType="end"/>
      </w:r>
      <w:r w:rsidRPr="008C566B">
        <w:t xml:space="preserve">) are not considered sufficient to resolve the risk. Therefore, the conclusion of the risk assessment is unchanged from the refined assessment presented in </w:t>
      </w:r>
      <w:r w:rsidR="001B2D62">
        <w:fldChar w:fldCharType="begin" w:fldLock="1"/>
      </w:r>
      <w:r w:rsidR="001B2D62">
        <w:instrText xml:space="preserve"> REF _Ref221022636 \h </w:instrText>
      </w:r>
      <w:r w:rsidR="001B2D62">
        <w:fldChar w:fldCharType="separate"/>
      </w:r>
      <w:r w:rsidR="001B2D62" w:rsidRPr="00247DE6">
        <w:t xml:space="preserve">Table </w:t>
      </w:r>
      <w:r w:rsidR="001B2D62">
        <w:rPr>
          <w:noProof/>
        </w:rPr>
        <w:t>59</w:t>
      </w:r>
      <w:r w:rsidR="001B2D62">
        <w:fldChar w:fldCharType="end"/>
      </w:r>
      <w:r w:rsidRPr="008C566B">
        <w:t>, and an acceptable risk cannot be established for application rates &gt;122 g ac/ha</w:t>
      </w:r>
      <w:r w:rsidRPr="0093107D">
        <w:t>.</w:t>
      </w:r>
    </w:p>
    <w:p w14:paraId="6DB2C3A0" w14:textId="77777777" w:rsidR="000110FD" w:rsidRPr="005548EB" w:rsidRDefault="000110FD" w:rsidP="005548EB">
      <w:pPr>
        <w:pStyle w:val="NormalText"/>
        <w:rPr>
          <w:b/>
          <w:bCs/>
        </w:rPr>
      </w:pPr>
      <w:r w:rsidRPr="005548EB">
        <w:rPr>
          <w:b/>
          <w:bCs/>
        </w:rPr>
        <w:t>Grassland crop group – General weed control in hay freezing and pasture</w:t>
      </w:r>
    </w:p>
    <w:p w14:paraId="7E07C3B0" w14:textId="77777777" w:rsidR="000110FD" w:rsidRPr="008C566B" w:rsidRDefault="000110FD" w:rsidP="005548EB">
      <w:pPr>
        <w:pStyle w:val="NormalText"/>
      </w:pPr>
      <w:r w:rsidRPr="008C566B">
        <w:t>Mammals – There are unresolved acute risks for small herbivorous mammals (at rates &gt;188 g ac/ha). The RQ values are ≥1.5 at rates ≥276 g ac/ha.</w:t>
      </w:r>
    </w:p>
    <w:p w14:paraId="0AEB2CCE" w14:textId="688D3D5C" w:rsidR="000110FD" w:rsidRPr="008C566B" w:rsidRDefault="000110FD" w:rsidP="005548EB">
      <w:pPr>
        <w:pStyle w:val="NormalText"/>
      </w:pPr>
      <w:r w:rsidRPr="008C566B">
        <w:t xml:space="preserve">No relevant weight-of-evidence arguments have been provided during consultation that are specific to use in grassland situations. There are weight-of-evidence arguments included in </w:t>
      </w:r>
      <w:r w:rsidR="00AE0115">
        <w:fldChar w:fldCharType="begin" w:fldLock="1"/>
      </w:r>
      <w:r w:rsidR="00AE0115">
        <w:instrText xml:space="preserve"> REF _Ref221022757 \h </w:instrText>
      </w:r>
      <w:r w:rsidR="00AE0115">
        <w:fldChar w:fldCharType="separate"/>
      </w:r>
      <w:r w:rsidR="00AE0115" w:rsidRPr="00247DE6">
        <w:t xml:space="preserve">Table </w:t>
      </w:r>
      <w:r w:rsidR="00AE0115">
        <w:rPr>
          <w:noProof/>
        </w:rPr>
        <w:t>60</w:t>
      </w:r>
      <w:r w:rsidR="00AE0115">
        <w:fldChar w:fldCharType="end"/>
      </w:r>
      <w:r w:rsidR="00AE0115">
        <w:t xml:space="preserve"> </w:t>
      </w:r>
      <w:r w:rsidRPr="008C566B">
        <w:t>that would affect the risk to small herbivorous mammals, i.e. the herbicidal mode of action of diquat. However, without additional argument they are not considered sufficient in isolation to resolve the risk for all the current use rates (as there are RQ values up to 3.0).</w:t>
      </w:r>
    </w:p>
    <w:p w14:paraId="76223718" w14:textId="1D727DF6" w:rsidR="000110FD" w:rsidRPr="008C566B" w:rsidRDefault="000110FD" w:rsidP="005548EB">
      <w:pPr>
        <w:pStyle w:val="NormalText"/>
      </w:pPr>
      <w:r w:rsidRPr="008C566B">
        <w:t>Birds – There are unresolved acute risks for small granivorous (at rates &gt;283 g ac/ha), large herbivorous (at rates &gt;230 g ac/ha) and small insectivorous birds (at rates &gt;261 g ac/ha). As stated in relation to the bare soil crop group the risk assessment is largely unchanged, and generic weight-of-evidence arguments (</w:t>
      </w:r>
      <w:r w:rsidR="00AE0115">
        <w:fldChar w:fldCharType="begin" w:fldLock="1"/>
      </w:r>
      <w:r w:rsidR="00AE0115">
        <w:instrText xml:space="preserve"> REF _Ref221022757 \h </w:instrText>
      </w:r>
      <w:r w:rsidR="00AE0115">
        <w:fldChar w:fldCharType="separate"/>
      </w:r>
      <w:r w:rsidR="00AE0115" w:rsidRPr="00247DE6">
        <w:t xml:space="preserve">Table </w:t>
      </w:r>
      <w:r w:rsidR="00AE0115">
        <w:rPr>
          <w:noProof/>
        </w:rPr>
        <w:t>60</w:t>
      </w:r>
      <w:r w:rsidR="00AE0115">
        <w:fldChar w:fldCharType="end"/>
      </w:r>
      <w:r w:rsidRPr="008C566B">
        <w:t xml:space="preserve">) are not considered sufficient to resolve the risk. Therefore, the conclusion of the risk assessment is unchanged from the refined assessment presented in </w:t>
      </w:r>
      <w:r w:rsidR="001B2D62">
        <w:fldChar w:fldCharType="begin" w:fldLock="1"/>
      </w:r>
      <w:r w:rsidR="001B2D62">
        <w:instrText xml:space="preserve"> REF _Ref221022636 \h </w:instrText>
      </w:r>
      <w:r w:rsidR="001B2D62">
        <w:fldChar w:fldCharType="separate"/>
      </w:r>
      <w:r w:rsidR="001B2D62" w:rsidRPr="00247DE6">
        <w:t xml:space="preserve">Table </w:t>
      </w:r>
      <w:r w:rsidR="001B2D62">
        <w:rPr>
          <w:noProof/>
        </w:rPr>
        <w:t>59</w:t>
      </w:r>
      <w:r w:rsidR="001B2D62">
        <w:fldChar w:fldCharType="end"/>
      </w:r>
      <w:r w:rsidRPr="008C566B">
        <w:t>, and an acceptable risk cannot be established for application rates &gt;230 g ac/ha.</w:t>
      </w:r>
    </w:p>
    <w:p w14:paraId="19A89D37" w14:textId="77777777" w:rsidR="000110FD" w:rsidRPr="005548EB" w:rsidRDefault="000110FD" w:rsidP="005548EB">
      <w:pPr>
        <w:pStyle w:val="NormalText"/>
        <w:rPr>
          <w:b/>
          <w:bCs/>
        </w:rPr>
      </w:pPr>
      <w:r w:rsidRPr="005548EB">
        <w:rPr>
          <w:b/>
          <w:bCs/>
        </w:rPr>
        <w:t>Grassland crop group – General weed control in infested areas, public service areas and rights of way</w:t>
      </w:r>
    </w:p>
    <w:p w14:paraId="74A40671" w14:textId="4E020CE2" w:rsidR="000110FD" w:rsidRDefault="000110FD" w:rsidP="005548EB">
      <w:pPr>
        <w:pStyle w:val="NormalText"/>
      </w:pPr>
      <w:r w:rsidRPr="00655862">
        <w:t>Mammals – There are unresolved acute risks for small herbivorous mammals (at rates &gt;188 g ac/ha). The RQ values are ≥1.5 at rates ≥276 g ac/ha.</w:t>
      </w:r>
    </w:p>
    <w:p w14:paraId="5398177C" w14:textId="57F964D3" w:rsidR="000110FD" w:rsidRPr="00655862" w:rsidRDefault="000110FD" w:rsidP="005548EB">
      <w:pPr>
        <w:pStyle w:val="NormalText"/>
      </w:pPr>
      <w:r w:rsidRPr="0009247F">
        <w:t xml:space="preserve">It has been argued during </w:t>
      </w:r>
      <w:r>
        <w:t>consultation</w:t>
      </w:r>
      <w:r w:rsidRPr="0009247F">
        <w:t xml:space="preserve"> that the treatment rate should be modelled assuming only 10% </w:t>
      </w:r>
      <w:r>
        <w:t xml:space="preserve">of </w:t>
      </w:r>
      <w:r w:rsidRPr="0009247F">
        <w:t xml:space="preserve">the area is treated. The appropriateness of this argument depends on both the size of the treated area and the surrounding </w:t>
      </w:r>
      <w:r w:rsidRPr="0009247F">
        <w:lastRenderedPageBreak/>
        <w:t>land use, particularly for mammals which are less mobile than birds. In situations where there is limited alternate vegetation in the land use surrounding the treated area the presence of herbivorous mammals is not expected, due to the lack of food items, and the risk assessment for omnivorous mammals can be considered sufficient to address relevant species. More modest reductions in the treated area (i.e.</w:t>
      </w:r>
      <w:r w:rsidR="008D4106">
        <w:t xml:space="preserve"> accepting that</w:t>
      </w:r>
      <w:r w:rsidRPr="0009247F">
        <w:t xml:space="preserve"> ~33% of the area is treated) would be sufficient to resolve the risk for herbivorous mammals. In other cases there will be alternate foraging sites and given the rapid herbicidal action of </w:t>
      </w:r>
      <w:r>
        <w:t>di</w:t>
      </w:r>
      <w:r w:rsidRPr="0009247F">
        <w:t>quat significant population level effects are not expected as animals will be able to shift feeding sites. Therefore, the risk is concluded to be acceptable based on the weight-of-evidence at up to the maximum rate proposed for this use type, 560 g ac/ha.</w:t>
      </w:r>
    </w:p>
    <w:p w14:paraId="0CC9C266" w14:textId="3FB515BD" w:rsidR="000110FD" w:rsidRDefault="000110FD" w:rsidP="005548EB">
      <w:pPr>
        <w:pStyle w:val="NormalText"/>
      </w:pPr>
      <w:r w:rsidRPr="00392266">
        <w:t>Birds – There are unresolved acute risks for small granivorous (at rates &gt;283 g ac/ha), large herbivorous (at rates &gt;230 g ac/ha) and small insectivorous birds (at rates &gt;261 g ac/ha).</w:t>
      </w:r>
    </w:p>
    <w:p w14:paraId="33336812" w14:textId="1C0B3911" w:rsidR="000110FD" w:rsidRPr="00152EB9" w:rsidRDefault="000110FD" w:rsidP="005548EB">
      <w:pPr>
        <w:pStyle w:val="NormalText"/>
      </w:pPr>
      <w:r>
        <w:t xml:space="preserve">For birds a similar situation applies as for mammals, see discussion above, regarding refinement of the treated area and the surrounding land use. However, birds will typically be more mobile and better able to access alternate foraging sites. When sites with limited alternate foraging options are treated, organisms are not expected to routinely obtain significant fractions of their diet from the treated area. Where there are other local foraging sites organisms will experience reduced exposure due to the small scale of the treatment application. The risk is </w:t>
      </w:r>
      <w:r w:rsidR="008D4106">
        <w:t xml:space="preserve">therefore </w:t>
      </w:r>
      <w:r>
        <w:t>concluded to be acceptable based on the weight of evidence at up to the maximum rate proposed for this use type, 560 g ac/ha.</w:t>
      </w:r>
    </w:p>
    <w:p w14:paraId="562C4A09" w14:textId="77777777" w:rsidR="000110FD" w:rsidRPr="005548EB" w:rsidRDefault="000110FD" w:rsidP="005548EB">
      <w:pPr>
        <w:pStyle w:val="NormalText"/>
        <w:rPr>
          <w:b/>
          <w:bCs/>
        </w:rPr>
      </w:pPr>
      <w:r w:rsidRPr="005548EB">
        <w:rPr>
          <w:b/>
          <w:bCs/>
        </w:rPr>
        <w:t>Legume forage crop group – Pre-harvest desiccation in lucerne and lupins</w:t>
      </w:r>
    </w:p>
    <w:p w14:paraId="7C2130C1" w14:textId="3F458385" w:rsidR="000110FD" w:rsidRPr="00ED4F77" w:rsidRDefault="000110FD" w:rsidP="005548EB">
      <w:pPr>
        <w:pStyle w:val="NormalText"/>
      </w:pPr>
      <w:r w:rsidRPr="00ED4F77">
        <w:t>Mammals – Acceptable risks can be concluded based on the refined risk assessment (</w:t>
      </w:r>
      <w:r w:rsidR="001B2D62">
        <w:fldChar w:fldCharType="begin" w:fldLock="1"/>
      </w:r>
      <w:r w:rsidR="001B2D62">
        <w:instrText xml:space="preserve"> REF _Ref221022628 \h </w:instrText>
      </w:r>
      <w:r w:rsidR="001B2D62">
        <w:fldChar w:fldCharType="separate"/>
      </w:r>
      <w:r w:rsidR="001B2D62" w:rsidRPr="00247DE6">
        <w:t xml:space="preserve">Table </w:t>
      </w:r>
      <w:r w:rsidR="001B2D62">
        <w:rPr>
          <w:noProof/>
        </w:rPr>
        <w:t>58</w:t>
      </w:r>
      <w:r w:rsidR="001B2D62">
        <w:fldChar w:fldCharType="end"/>
      </w:r>
      <w:r w:rsidRPr="00ED4F77">
        <w:t>); no further consideration is required.</w:t>
      </w:r>
    </w:p>
    <w:p w14:paraId="20585520" w14:textId="470E9396" w:rsidR="000110FD" w:rsidRPr="00ED4F77" w:rsidRDefault="000110FD" w:rsidP="005548EB">
      <w:pPr>
        <w:pStyle w:val="NormalText"/>
      </w:pPr>
      <w:r w:rsidRPr="00ED4F77">
        <w:t>Birds – There are unresolved acute risks for small insectivorous birds (at rates &gt;261 g ac/ha). As stated in relation to the bare soil crop group the risk assessment is largely unchanged, and generic weight-of-evidence arguments (</w:t>
      </w:r>
      <w:r w:rsidR="005E27C8">
        <w:fldChar w:fldCharType="begin" w:fldLock="1"/>
      </w:r>
      <w:r w:rsidR="005E27C8">
        <w:instrText xml:space="preserve"> REF _Ref221022757 \h </w:instrText>
      </w:r>
      <w:r w:rsidR="005E27C8">
        <w:fldChar w:fldCharType="separate"/>
      </w:r>
      <w:r w:rsidR="005E27C8" w:rsidRPr="00247DE6">
        <w:t xml:space="preserve">Table </w:t>
      </w:r>
      <w:r w:rsidR="005E27C8">
        <w:rPr>
          <w:noProof/>
        </w:rPr>
        <w:t>60</w:t>
      </w:r>
      <w:r w:rsidR="005E27C8">
        <w:fldChar w:fldCharType="end"/>
      </w:r>
      <w:r w:rsidR="005E27C8">
        <w:t xml:space="preserve">) </w:t>
      </w:r>
      <w:r w:rsidRPr="00ED4F77">
        <w:t>are not considered sufficient to resolve the risk. Therefore, the conclusion of the risk assessment is unchanged from the refined assessment presented in</w:t>
      </w:r>
      <w:r w:rsidR="005E27C8">
        <w:t xml:space="preserve"> </w:t>
      </w:r>
      <w:r w:rsidR="001B2D62">
        <w:fldChar w:fldCharType="begin" w:fldLock="1"/>
      </w:r>
      <w:r w:rsidR="001B2D62">
        <w:instrText xml:space="preserve"> REF _Ref221022636 \h </w:instrText>
      </w:r>
      <w:r w:rsidR="001B2D62">
        <w:fldChar w:fldCharType="separate"/>
      </w:r>
      <w:r w:rsidR="001B2D62" w:rsidRPr="00247DE6">
        <w:t xml:space="preserve">Table </w:t>
      </w:r>
      <w:r w:rsidR="001B2D62">
        <w:rPr>
          <w:noProof/>
        </w:rPr>
        <w:t>59</w:t>
      </w:r>
      <w:r w:rsidR="001B2D62">
        <w:fldChar w:fldCharType="end"/>
      </w:r>
      <w:r w:rsidRPr="00ED4F77">
        <w:t>, and an acceptable risk cannot be established for application rates &gt;261 g ac/ha.</w:t>
      </w:r>
    </w:p>
    <w:p w14:paraId="77C66D96" w14:textId="77777777" w:rsidR="000110FD" w:rsidRPr="005548EB" w:rsidRDefault="000110FD" w:rsidP="005548EB">
      <w:pPr>
        <w:pStyle w:val="NormalText"/>
        <w:rPr>
          <w:b/>
          <w:bCs/>
        </w:rPr>
      </w:pPr>
      <w:r w:rsidRPr="005548EB">
        <w:rPr>
          <w:b/>
          <w:bCs/>
        </w:rPr>
        <w:t>Legume forage crop group – General weed control in lucerne (grazed before application)</w:t>
      </w:r>
    </w:p>
    <w:p w14:paraId="1266FFD7" w14:textId="40FDBF88" w:rsidR="000110FD" w:rsidRPr="00ED4F77" w:rsidRDefault="000110FD" w:rsidP="005548EB">
      <w:pPr>
        <w:pStyle w:val="NormalText"/>
      </w:pPr>
      <w:r w:rsidRPr="00ED4F77">
        <w:t>Mammals – Acceptable risks can be concluded based on the Tier-1 risk assessment (</w:t>
      </w:r>
      <w:r w:rsidR="001B2D62">
        <w:fldChar w:fldCharType="begin" w:fldLock="1"/>
      </w:r>
      <w:r w:rsidR="001B2D62">
        <w:instrText xml:space="preserve"> REF _Ref170461194 \h </w:instrText>
      </w:r>
      <w:r w:rsidR="001B2D62">
        <w:fldChar w:fldCharType="separate"/>
      </w:r>
      <w:r w:rsidR="001B2D62" w:rsidRPr="00247DE6">
        <w:t xml:space="preserve">Table </w:t>
      </w:r>
      <w:r w:rsidR="001B2D62">
        <w:rPr>
          <w:noProof/>
        </w:rPr>
        <w:t>56</w:t>
      </w:r>
      <w:r w:rsidR="001B2D62">
        <w:fldChar w:fldCharType="end"/>
      </w:r>
      <w:r w:rsidRPr="00ED4F77">
        <w:t>); no further consideration is required.</w:t>
      </w:r>
    </w:p>
    <w:p w14:paraId="1471A7C3" w14:textId="3501D738" w:rsidR="000110FD" w:rsidRPr="00ED4F77" w:rsidRDefault="000110FD" w:rsidP="005548EB">
      <w:pPr>
        <w:pStyle w:val="NormalText"/>
      </w:pPr>
      <w:r w:rsidRPr="00ED4F77">
        <w:t>Birds – There are unresolved acute risks for small insectivorous birds (at rates &gt;261 g ac/ha).</w:t>
      </w:r>
    </w:p>
    <w:p w14:paraId="673D9058" w14:textId="639F7506" w:rsidR="000110FD" w:rsidRPr="00ED4F77" w:rsidRDefault="000110FD" w:rsidP="005548EB">
      <w:pPr>
        <w:pStyle w:val="NormalText"/>
      </w:pPr>
      <w:r w:rsidRPr="00ED4F77">
        <w:t xml:space="preserve">For lucerne, submissions during consultation have noted that the majority of lucerne production (83-85%) is geographically restricted to the south-east of South Australia, the distribution of the remaining 15% has not been established. Additionally, threatened species of birds have been cited for this region of Australia. Current product labels are not restricted to South Australia, and the assessment must address the full on-label use. The information related to threatened species cannot be used to establish focal species in the crop, even for South Australia, and the risk assessment is not restricted to effects on threatened species. Therefore, these lines of argument are not a suitable basis </w:t>
      </w:r>
      <w:r w:rsidR="00484CAD">
        <w:t xml:space="preserve">on which </w:t>
      </w:r>
      <w:r w:rsidRPr="00ED4F77">
        <w:t>to refine the risk assessment.</w:t>
      </w:r>
    </w:p>
    <w:p w14:paraId="3FD77C20" w14:textId="77777777" w:rsidR="000110FD" w:rsidRPr="00ED4F77" w:rsidRDefault="000110FD" w:rsidP="005548EB">
      <w:pPr>
        <w:pStyle w:val="NormalText"/>
      </w:pPr>
      <w:r w:rsidRPr="00ED4F77">
        <w:lastRenderedPageBreak/>
        <w:t>However, the exceedance of the RQ (1.1) at the maximum rate is marginal and the intent of the risk assessment is to avoid population level effects. Therefore, the risk is concluded to be acceptable at up to the 276 g ac/ha.</w:t>
      </w:r>
    </w:p>
    <w:p w14:paraId="48C1B0A4" w14:textId="77777777" w:rsidR="000110FD" w:rsidRPr="005548EB" w:rsidRDefault="000110FD" w:rsidP="005548EB">
      <w:pPr>
        <w:pStyle w:val="NormalText"/>
        <w:rPr>
          <w:b/>
          <w:bCs/>
        </w:rPr>
      </w:pPr>
      <w:r w:rsidRPr="005548EB">
        <w:rPr>
          <w:b/>
          <w:bCs/>
        </w:rPr>
        <w:t>Maize crop group – General weed control in sugarcane (over-the-top spray and inter-row spray)</w:t>
      </w:r>
    </w:p>
    <w:p w14:paraId="49A25553" w14:textId="400B4592" w:rsidR="000110FD" w:rsidRPr="00655862" w:rsidRDefault="000110FD" w:rsidP="005548EB">
      <w:pPr>
        <w:pStyle w:val="NormalText"/>
      </w:pPr>
      <w:r w:rsidRPr="00655862">
        <w:t>Mammals – There are unresolved acute risks for small herbivorous mammals (at rates &gt;188 g ac/ha)</w:t>
      </w:r>
      <w:r w:rsidR="00E61669">
        <w:rPr>
          <w:rFonts w:ascii="ZWAdobeF" w:hAnsi="ZWAdobeF" w:cs="ZWAdobeF"/>
          <w:sz w:val="2"/>
          <w:szCs w:val="2"/>
        </w:rPr>
        <w:t>41F</w:t>
      </w:r>
      <w:r w:rsidR="00602535">
        <w:rPr>
          <w:rFonts w:ascii="ZWAdobeF" w:hAnsi="ZWAdobeF" w:cs="ZWAdobeF"/>
          <w:sz w:val="2"/>
          <w:szCs w:val="2"/>
        </w:rPr>
        <w:t>44F</w:t>
      </w:r>
      <w:r>
        <w:rPr>
          <w:rStyle w:val="FootnoteReference"/>
          <w:szCs w:val="19"/>
        </w:rPr>
        <w:footnoteReference w:id="46"/>
      </w:r>
      <w:r w:rsidRPr="00655862">
        <w:t>. The RQ value is 1.2 at the rate of 230 g ac/ha.</w:t>
      </w:r>
    </w:p>
    <w:p w14:paraId="73B03182" w14:textId="2140EEDC" w:rsidR="000110FD" w:rsidRPr="00655862" w:rsidRDefault="000110FD" w:rsidP="005548EB">
      <w:pPr>
        <w:pStyle w:val="NormalText"/>
      </w:pPr>
      <w:r w:rsidRPr="00655862">
        <w:t xml:space="preserve">References were cited during </w:t>
      </w:r>
      <w:r>
        <w:t>consultation</w:t>
      </w:r>
      <w:r w:rsidRPr="00655862">
        <w:t xml:space="preserve"> that relate to rodent species in sugarcane situations (Wilson &amp; Whisson 1993, Fuller &amp; Dyer 2008). Additional information related to rodents in sugarcane can be found in Dyer (2007). Whilst not intended as studies to define focal species there is relevant information in Wilson &amp; Whission (1993) and Dyer (2007) regarding the rodent species that frequent sugarcane fields. Given the distribution of sugarcane production the sampled locations in Queensland are expected to provide reasonable geographic coverage to consider the rodent species that are likely to frequent sugarcane fields.</w:t>
      </w:r>
    </w:p>
    <w:p w14:paraId="496838B2" w14:textId="0B78DA31" w:rsidR="000110FD" w:rsidRPr="00655862" w:rsidRDefault="000110FD" w:rsidP="005548EB">
      <w:pPr>
        <w:pStyle w:val="NormalText"/>
      </w:pPr>
      <w:r w:rsidRPr="00655862">
        <w:rPr>
          <w:i/>
          <w:iCs/>
        </w:rPr>
        <w:t>Rattus sordidus</w:t>
      </w:r>
      <w:r w:rsidRPr="00655862">
        <w:t xml:space="preserve"> and </w:t>
      </w:r>
      <w:r w:rsidRPr="00655862">
        <w:rPr>
          <w:i/>
          <w:iCs/>
        </w:rPr>
        <w:t>Melomys burtoni</w:t>
      </w:r>
      <w:r w:rsidRPr="00655862">
        <w:t xml:space="preserve"> were the main species observed</w:t>
      </w:r>
      <w:r>
        <w:t>, comprising</w:t>
      </w:r>
      <w:r w:rsidRPr="00655862">
        <w:t xml:space="preserve"> up to 90 or 38% of rodents captured, respectively. These are both considered pest species in sugarcane, though in other situations this would not be the case. Regardless of their status in sugarcane, based on the information available there is reason to expect that they are not exposed to the extent predicted by the Tier 1 risk assessment. The prevalence at early growth stages is relatively low for both </w:t>
      </w:r>
      <w:r w:rsidRPr="00655862">
        <w:rPr>
          <w:i/>
          <w:iCs/>
        </w:rPr>
        <w:t>R. sordidus</w:t>
      </w:r>
      <w:r w:rsidRPr="00655862">
        <w:t xml:space="preserve"> and </w:t>
      </w:r>
      <w:r w:rsidRPr="00655862">
        <w:rPr>
          <w:i/>
          <w:iCs/>
        </w:rPr>
        <w:t>M. burtoni</w:t>
      </w:r>
      <w:r w:rsidRPr="00655862">
        <w:t xml:space="preserve">, the implication being that individuals move into the crop from the surrounding area. Therefore, only a fraction of the population is expected to frequent sugarcane fields at early growth stages, particularly when over-the-top spraying would occur. The studies that consider dietary composition of </w:t>
      </w:r>
      <w:r w:rsidRPr="00655862">
        <w:rPr>
          <w:i/>
          <w:iCs/>
        </w:rPr>
        <w:t>R. sordidus</w:t>
      </w:r>
      <w:r w:rsidRPr="00655862">
        <w:t xml:space="preserve"> (Wilson &amp; Whisson 1993) and </w:t>
      </w:r>
      <w:r w:rsidRPr="00655862">
        <w:rPr>
          <w:i/>
          <w:iCs/>
        </w:rPr>
        <w:t>M. burtoni</w:t>
      </w:r>
      <w:r w:rsidRPr="00655862">
        <w:t xml:space="preserve"> (Dyer 2007, Fuller &amp; Dyer 2008) were not designed specifically for regulatory purposes but do provide useful insights. The proportion of </w:t>
      </w:r>
      <w:r w:rsidRPr="00655862">
        <w:rPr>
          <w:i/>
          <w:iCs/>
        </w:rPr>
        <w:t>R. sordidus</w:t>
      </w:r>
      <w:r w:rsidRPr="00655862">
        <w:t xml:space="preserve"> individuals with &gt;50% sugarcane, by volume, in their stomach contents was 0.35-0.69 for individuals captured in crop or crop margin. The mean stomach contents of </w:t>
      </w:r>
      <w:r w:rsidRPr="00655862">
        <w:rPr>
          <w:i/>
          <w:iCs/>
        </w:rPr>
        <w:t>M. bu</w:t>
      </w:r>
      <w:r>
        <w:rPr>
          <w:i/>
          <w:iCs/>
        </w:rPr>
        <w:t>r</w:t>
      </w:r>
      <w:r w:rsidRPr="00655862">
        <w:rPr>
          <w:i/>
          <w:iCs/>
        </w:rPr>
        <w:t>toni</w:t>
      </w:r>
      <w:r w:rsidRPr="00655862">
        <w:t xml:space="preserve">, caught in-crop at growth stages 4 and 5, was ~60% seeds, ~20-40% sugarcane and 6-13% other vegetation. Sugarcane is not treated when application is by inter-row spraying, and no </w:t>
      </w:r>
      <w:r>
        <w:t>di</w:t>
      </w:r>
      <w:r w:rsidRPr="00655862">
        <w:t xml:space="preserve">quat residues can be assumed for sugarcane in the diet – though the actual fraction may vary depending on the timing of any inter-row spraying. The data also implies that exposure of </w:t>
      </w:r>
      <w:r w:rsidRPr="00655862">
        <w:rPr>
          <w:i/>
          <w:iCs/>
        </w:rPr>
        <w:t>M. burtoni</w:t>
      </w:r>
      <w:r w:rsidRPr="00655862">
        <w:t xml:space="preserve"> will also be reduced by the seed content of their diet. Given the weight</w:t>
      </w:r>
      <w:r>
        <w:t xml:space="preserve"> </w:t>
      </w:r>
      <w:r w:rsidRPr="00655862">
        <w:t>of</w:t>
      </w:r>
      <w:r>
        <w:t xml:space="preserve"> </w:t>
      </w:r>
      <w:r w:rsidRPr="00655862">
        <w:t>evidence and that these are pest species</w:t>
      </w:r>
      <w:r w:rsidR="00E61669">
        <w:rPr>
          <w:rFonts w:ascii="ZWAdobeF" w:hAnsi="ZWAdobeF" w:cs="ZWAdobeF"/>
          <w:sz w:val="2"/>
          <w:szCs w:val="2"/>
        </w:rPr>
        <w:t>42F</w:t>
      </w:r>
      <w:r w:rsidR="00602535">
        <w:rPr>
          <w:rFonts w:ascii="ZWAdobeF" w:hAnsi="ZWAdobeF" w:cs="ZWAdobeF"/>
          <w:sz w:val="2"/>
          <w:szCs w:val="2"/>
        </w:rPr>
        <w:t>45F</w:t>
      </w:r>
      <w:r w:rsidRPr="00655862">
        <w:rPr>
          <w:rStyle w:val="FootnoteReference"/>
          <w:szCs w:val="19"/>
        </w:rPr>
        <w:footnoteReference w:id="47"/>
      </w:r>
      <w:r w:rsidRPr="00655862">
        <w:t xml:space="preserve"> the risk to these species can be assumed to be acceptable.</w:t>
      </w:r>
    </w:p>
    <w:p w14:paraId="3E53D0DE" w14:textId="36574FB6" w:rsidR="000110FD" w:rsidRPr="000110FD" w:rsidRDefault="000110FD" w:rsidP="005548EB">
      <w:pPr>
        <w:pStyle w:val="NormalText"/>
      </w:pPr>
      <w:r w:rsidRPr="00655862">
        <w:lastRenderedPageBreak/>
        <w:t>Other native rodents</w:t>
      </w:r>
      <w:r w:rsidR="00E61669">
        <w:rPr>
          <w:rFonts w:ascii="ZWAdobeF" w:hAnsi="ZWAdobeF" w:cs="ZWAdobeF"/>
          <w:sz w:val="2"/>
          <w:szCs w:val="2"/>
        </w:rPr>
        <w:t>43F</w:t>
      </w:r>
      <w:r w:rsidR="00602535">
        <w:rPr>
          <w:rFonts w:ascii="ZWAdobeF" w:hAnsi="ZWAdobeF" w:cs="ZWAdobeF"/>
          <w:sz w:val="2"/>
          <w:szCs w:val="2"/>
        </w:rPr>
        <w:t>46F</w:t>
      </w:r>
      <w:r w:rsidRPr="00655862">
        <w:rPr>
          <w:rStyle w:val="FootnoteReference"/>
          <w:szCs w:val="19"/>
        </w:rPr>
        <w:footnoteReference w:id="48"/>
      </w:r>
      <w:r w:rsidRPr="00655862">
        <w:t xml:space="preserve"> captured were </w:t>
      </w:r>
      <w:r w:rsidRPr="00655862">
        <w:rPr>
          <w:i/>
          <w:iCs/>
        </w:rPr>
        <w:t>Melomys cervinipes</w:t>
      </w:r>
      <w:r w:rsidRPr="00655862">
        <w:t xml:space="preserve">, </w:t>
      </w:r>
      <w:r w:rsidRPr="00655862">
        <w:rPr>
          <w:i/>
          <w:iCs/>
        </w:rPr>
        <w:t>Rattus fuscipes</w:t>
      </w:r>
      <w:r w:rsidRPr="00655862">
        <w:t xml:space="preserve">, </w:t>
      </w:r>
      <w:r w:rsidRPr="00655862">
        <w:rPr>
          <w:i/>
          <w:iCs/>
        </w:rPr>
        <w:t>Uromys caudimaculatus</w:t>
      </w:r>
      <w:r w:rsidRPr="00655862">
        <w:t xml:space="preserve">, and </w:t>
      </w:r>
      <w:r w:rsidRPr="000110FD">
        <w:rPr>
          <w:i/>
          <w:iCs/>
        </w:rPr>
        <w:t>Hydromys chrysogaster</w:t>
      </w:r>
      <w:r w:rsidRPr="000110FD">
        <w:t>. None were captured frequently, though precise numbers are not necessarily available nor is any comparison to the size of the local population.</w:t>
      </w:r>
    </w:p>
    <w:p w14:paraId="3080A413" w14:textId="77777777" w:rsidR="000110FD" w:rsidRPr="00514EF5" w:rsidRDefault="000110FD" w:rsidP="005548EB">
      <w:pPr>
        <w:pStyle w:val="Bullet1"/>
      </w:pPr>
      <w:r w:rsidRPr="00514EF5">
        <w:rPr>
          <w:i/>
          <w:iCs/>
        </w:rPr>
        <w:t>H.</w:t>
      </w:r>
      <w:r w:rsidRPr="00514EF5">
        <w:t xml:space="preserve"> </w:t>
      </w:r>
      <w:r w:rsidRPr="00514EF5">
        <w:rPr>
          <w:i/>
          <w:iCs/>
        </w:rPr>
        <w:t>chrysogaster</w:t>
      </w:r>
      <w:r w:rsidRPr="00514EF5">
        <w:t xml:space="preserve"> is carnivorous/piscivorous. Therefore, it is not relevant to this assessment, and the risk is acceptable.</w:t>
      </w:r>
    </w:p>
    <w:p w14:paraId="5223350F" w14:textId="27C05E7F" w:rsidR="000110FD" w:rsidRPr="00514EF5" w:rsidRDefault="000110FD" w:rsidP="005548EB">
      <w:pPr>
        <w:pStyle w:val="Bullet1"/>
      </w:pPr>
      <w:r w:rsidRPr="00514EF5">
        <w:rPr>
          <w:i/>
          <w:iCs/>
        </w:rPr>
        <w:t>U. caudimaculatus</w:t>
      </w:r>
      <w:r w:rsidRPr="00514EF5">
        <w:t xml:space="preserve"> is understood to be omnivorous, though measured data for the diet in a sugarcane situation are not available. The limited data available do not indicate that foliage constitutes a large fraction of the diet (Watts 1977), which would reduce the expected exposure compared to the default assumptions of the risk assessment for omnivorous/herbivorous species. The species is relatively large, </w:t>
      </w:r>
      <w:r w:rsidR="00484CAD">
        <w:t xml:space="preserve">with </w:t>
      </w:r>
      <w:r w:rsidRPr="00514EF5">
        <w:t>median body weight estimated at 650 g. The species habitat preferences indicate it is not expected to routinely use sugarcane fields. Given these observations the risk is expected to be acceptable, even without considering other weight-of-evidence factors.</w:t>
      </w:r>
    </w:p>
    <w:p w14:paraId="2BB75738" w14:textId="4E99BEA6" w:rsidR="000110FD" w:rsidRPr="00514EF5" w:rsidRDefault="000110FD" w:rsidP="005548EB">
      <w:pPr>
        <w:pStyle w:val="Bullet1"/>
      </w:pPr>
      <w:r w:rsidRPr="00514EF5">
        <w:rPr>
          <w:i/>
          <w:iCs/>
        </w:rPr>
        <w:t>R. fuscipes</w:t>
      </w:r>
      <w:r w:rsidRPr="00514EF5">
        <w:t xml:space="preserve"> is expected to be omnivorous though foliage can constitute a significant portion of the diet (Cheal 1987, Carron et al. 1990, Watts 1977, Watts &amp; Braithwaite 1978). Specific data related to sugarcane situations are not available. Based on the available information a diet including 50% foliage is considered a reasonably conservative estimate. There are some observations of foliage/stems reaching about 75% of the diet. Assuming a mean body weight of 125 g and a diet of 50% grass</w:t>
      </w:r>
      <w:r w:rsidR="00E61669">
        <w:rPr>
          <w:rFonts w:ascii="ZWAdobeF" w:hAnsi="ZWAdobeF" w:cs="ZWAdobeF"/>
          <w:sz w:val="2"/>
          <w:szCs w:val="2"/>
        </w:rPr>
        <w:t>44F</w:t>
      </w:r>
      <w:r w:rsidR="00602535">
        <w:rPr>
          <w:rFonts w:ascii="ZWAdobeF" w:hAnsi="ZWAdobeF" w:cs="ZWAdobeF"/>
          <w:sz w:val="2"/>
          <w:szCs w:val="2"/>
        </w:rPr>
        <w:t>47F</w:t>
      </w:r>
      <w:r w:rsidRPr="00514EF5">
        <w:rPr>
          <w:rStyle w:val="FootnoteReference"/>
          <w:szCs w:val="19"/>
        </w:rPr>
        <w:footnoteReference w:id="49"/>
      </w:r>
      <w:r w:rsidRPr="00514EF5">
        <w:t>, 25% seeds and 25% arthropods the RQ would be 0.21 at an application rate of 230 g ac/ha; if the foliar component of the diet were 75% grass the RQ would be 0.38. Treated foliage is only expected to be fully palatable for a short period after treatment (</w:t>
      </w:r>
      <w:r w:rsidR="00ED4F77" w:rsidRPr="00ED4F77">
        <w:fldChar w:fldCharType="begin" w:fldLock="1"/>
      </w:r>
      <w:r w:rsidR="00ED4F77" w:rsidRPr="00ED4F77">
        <w:instrText xml:space="preserve"> REF _Ref221022757 \h  \* MERGEFORMAT </w:instrText>
      </w:r>
      <w:r w:rsidR="00ED4F77" w:rsidRPr="00ED4F77">
        <w:fldChar w:fldCharType="separate"/>
      </w:r>
      <w:r w:rsidR="0033298E" w:rsidRPr="0033298E">
        <w:t xml:space="preserve">Table </w:t>
      </w:r>
      <w:r w:rsidR="0033298E" w:rsidRPr="0033298E">
        <w:rPr>
          <w:noProof/>
        </w:rPr>
        <w:t>66</w:t>
      </w:r>
      <w:r w:rsidR="00ED4F77" w:rsidRPr="00ED4F77">
        <w:fldChar w:fldCharType="end"/>
      </w:r>
      <w:r w:rsidRPr="00514EF5">
        <w:t>) limiting the potential exposure. On balance, for what is a common rodent species in Australia and one that does not appear to routinely use sugarcane, the risk is concluded to be acceptable.</w:t>
      </w:r>
    </w:p>
    <w:p w14:paraId="3399BFDC" w14:textId="77777777" w:rsidR="000110FD" w:rsidRPr="00514EF5" w:rsidRDefault="000110FD" w:rsidP="005548EB">
      <w:pPr>
        <w:pStyle w:val="Bullet1"/>
      </w:pPr>
      <w:r w:rsidRPr="00514EF5">
        <w:rPr>
          <w:i/>
          <w:iCs/>
        </w:rPr>
        <w:t>M. cervinipes</w:t>
      </w:r>
      <w:r w:rsidRPr="00514EF5">
        <w:t xml:space="preserve"> including a substantial foliar component of the diet cannot be excluded. The available observations of </w:t>
      </w:r>
      <w:r w:rsidRPr="00514EF5">
        <w:rPr>
          <w:i/>
          <w:iCs/>
        </w:rPr>
        <w:t>M. cervinipes</w:t>
      </w:r>
      <w:r w:rsidRPr="00514EF5">
        <w:t xml:space="preserve"> in sugarcane (Wilson &amp; Whisson 1993, Dyer 2007) indicate that the number of individuals</w:t>
      </w:r>
      <w:r w:rsidRPr="00514EF5">
        <w:rPr>
          <w:i/>
          <w:iCs/>
        </w:rPr>
        <w:t xml:space="preserve"> </w:t>
      </w:r>
      <w:r w:rsidRPr="00514EF5">
        <w:t xml:space="preserve">in sugarcane is consistently low. Slightly higher abundance is observed later in the season after correcting for sampling effort. How substantial a fraction of the local population this represents is unknown. The species is unlikely to be present in sugarcane early in the crop’s growth cycle when over-the-top spraying would occur. The habitat preferences of </w:t>
      </w:r>
      <w:r w:rsidRPr="00514EF5">
        <w:rPr>
          <w:i/>
          <w:iCs/>
        </w:rPr>
        <w:t>M. cervinipes</w:t>
      </w:r>
      <w:r w:rsidRPr="00514EF5">
        <w:t xml:space="preserve"> imply it is not expected to occur frequently in sugarcane situations. Also it is understood that </w:t>
      </w:r>
      <w:r w:rsidRPr="00514EF5">
        <w:rPr>
          <w:i/>
          <w:iCs/>
        </w:rPr>
        <w:t>M. cervinipes</w:t>
      </w:r>
      <w:r w:rsidRPr="00514EF5">
        <w:t xml:space="preserve"> is scansorial which would indicate that foraging on the ground is limited, therefore limiting exposure to residues of diquat from ground-directed applications. There is uncertainty given the current information, but the available information implies that population level effects are not expected.</w:t>
      </w:r>
    </w:p>
    <w:p w14:paraId="2C621D76" w14:textId="77777777" w:rsidR="000110FD" w:rsidRPr="00655862" w:rsidRDefault="000110FD" w:rsidP="005548EB">
      <w:pPr>
        <w:pStyle w:val="NormalText"/>
      </w:pPr>
      <w:r w:rsidRPr="000110FD">
        <w:lastRenderedPageBreak/>
        <w:t>Whilst the data are limited for several species, the risk is expected to be acceptable for the species observed to occur in sugarcane. Therefore, the risk from exposure to diquat can be considered acceptable</w:t>
      </w:r>
      <w:r w:rsidRPr="00655862">
        <w:t xml:space="preserve"> at up to the current maximum on-label rate (230 g ac/ha).</w:t>
      </w:r>
    </w:p>
    <w:p w14:paraId="4B10F6BB" w14:textId="2D8F3E75" w:rsidR="000110FD" w:rsidRPr="00ED4F77" w:rsidRDefault="000110FD" w:rsidP="005548EB">
      <w:pPr>
        <w:pStyle w:val="NormalText"/>
      </w:pPr>
      <w:r w:rsidRPr="00ED4F77">
        <w:t>Birds – For over-the-top spraying there are unresolved acute risks for medium herbivorous/granivorous birds (at rates &gt;168 g ac/ha). For inter-row spraying there are unresolved acute risks for medium herbivorous/granivorous birds (at rates &gt;126 g ac/ha). As stated in relation to the bare soil crop group the risk assessment is largely unchanged, and generic weight-of-evidence arguments (</w:t>
      </w:r>
      <w:r w:rsidR="005E27C8">
        <w:fldChar w:fldCharType="begin" w:fldLock="1"/>
      </w:r>
      <w:r w:rsidR="005E27C8">
        <w:instrText xml:space="preserve"> REF _Ref221022757 \h </w:instrText>
      </w:r>
      <w:r w:rsidR="005E27C8">
        <w:fldChar w:fldCharType="separate"/>
      </w:r>
      <w:r w:rsidR="005E27C8" w:rsidRPr="00247DE6">
        <w:t xml:space="preserve">Table </w:t>
      </w:r>
      <w:r w:rsidR="005E27C8">
        <w:rPr>
          <w:noProof/>
        </w:rPr>
        <w:t>60</w:t>
      </w:r>
      <w:r w:rsidR="005E27C8">
        <w:fldChar w:fldCharType="end"/>
      </w:r>
      <w:r w:rsidRPr="00ED4F77">
        <w:t>) are not considered sufficient to resolve the risk. Therefore, the conclusion of the risk assessment is unchanged from the refined assessment presented in</w:t>
      </w:r>
      <w:r w:rsidR="005E27C8">
        <w:t xml:space="preserve"> </w:t>
      </w:r>
      <w:r w:rsidR="005E27C8">
        <w:fldChar w:fldCharType="begin" w:fldLock="1"/>
      </w:r>
      <w:r w:rsidR="005E27C8">
        <w:instrText xml:space="preserve"> REF _Ref221022636 \h </w:instrText>
      </w:r>
      <w:r w:rsidR="005E27C8">
        <w:fldChar w:fldCharType="separate"/>
      </w:r>
      <w:r w:rsidR="005E27C8" w:rsidRPr="00247DE6">
        <w:t xml:space="preserve">Table </w:t>
      </w:r>
      <w:r w:rsidR="005E27C8">
        <w:rPr>
          <w:noProof/>
        </w:rPr>
        <w:t>59</w:t>
      </w:r>
      <w:r w:rsidR="005E27C8">
        <w:fldChar w:fldCharType="end"/>
      </w:r>
      <w:r w:rsidRPr="00ED4F77">
        <w:t>, and an acceptable risk cannot be established for application rates &gt;168 g ac/ha (over-the-top spraying) or &gt;126 g ac/ha (interrow spraying).</w:t>
      </w:r>
    </w:p>
    <w:p w14:paraId="64D64CFB" w14:textId="77777777" w:rsidR="000110FD" w:rsidRPr="005548EB" w:rsidRDefault="000110FD" w:rsidP="005548EB">
      <w:pPr>
        <w:pStyle w:val="NormalText"/>
        <w:rPr>
          <w:b/>
          <w:bCs/>
        </w:rPr>
      </w:pPr>
      <w:r w:rsidRPr="005548EB">
        <w:rPr>
          <w:b/>
          <w:bCs/>
        </w:rPr>
        <w:t>Maize crop group – Pre-harvest desiccation in sugarcane</w:t>
      </w:r>
    </w:p>
    <w:p w14:paraId="0C542C5A" w14:textId="1F21948E" w:rsidR="000110FD" w:rsidRPr="00ED4F77" w:rsidRDefault="000110FD" w:rsidP="005548EB">
      <w:pPr>
        <w:pStyle w:val="NormalText"/>
      </w:pPr>
      <w:r w:rsidRPr="00ED4F77">
        <w:t xml:space="preserve">Mammals – Acceptable risks can be concluded based on the Tier-1 risk assessment </w:t>
      </w:r>
      <w:r w:rsidR="005E27C8">
        <w:t>(</w:t>
      </w:r>
      <w:r w:rsidR="005E27C8">
        <w:fldChar w:fldCharType="begin" w:fldLock="1"/>
      </w:r>
      <w:r w:rsidR="005E27C8">
        <w:instrText xml:space="preserve"> REF _Ref170461194 \h </w:instrText>
      </w:r>
      <w:r w:rsidR="005E27C8">
        <w:fldChar w:fldCharType="separate"/>
      </w:r>
      <w:r w:rsidR="005E27C8" w:rsidRPr="00247DE6">
        <w:t xml:space="preserve">Table </w:t>
      </w:r>
      <w:r w:rsidR="005E27C8">
        <w:rPr>
          <w:noProof/>
        </w:rPr>
        <w:t>56</w:t>
      </w:r>
      <w:r w:rsidR="005E27C8">
        <w:fldChar w:fldCharType="end"/>
      </w:r>
      <w:r w:rsidRPr="00ED4F77">
        <w:t>), no further consideration is required.</w:t>
      </w:r>
    </w:p>
    <w:p w14:paraId="14363324" w14:textId="6A8ECCDE" w:rsidR="000110FD" w:rsidRPr="00ED4F77" w:rsidRDefault="000110FD" w:rsidP="005548EB">
      <w:pPr>
        <w:pStyle w:val="NormalText"/>
      </w:pPr>
      <w:r w:rsidRPr="00ED4F77">
        <w:t>Birds – There are unresolved acute risks for medium herbivorous/granivorous birds (at rates &gt;504 g ac/ha) and small insectivorous birds (at rates &gt;556 g ac/ha). However, the exceedance of the RQ (max 1.2) at the maximum rate is marginal</w:t>
      </w:r>
      <w:r w:rsidR="00484CAD">
        <w:t>,</w:t>
      </w:r>
      <w:r w:rsidRPr="00ED4F77">
        <w:t xml:space="preserve"> and the intent of the risk assessment is to avoid population level effects. Therefore, the risk is concluded to be acceptable at up to the 600 g ac/ha.</w:t>
      </w:r>
    </w:p>
    <w:p w14:paraId="7E54B9A0" w14:textId="77777777" w:rsidR="000110FD" w:rsidRPr="005548EB" w:rsidRDefault="000110FD" w:rsidP="005548EB">
      <w:pPr>
        <w:pStyle w:val="NormalText"/>
        <w:rPr>
          <w:b/>
          <w:bCs/>
        </w:rPr>
      </w:pPr>
      <w:r w:rsidRPr="005548EB">
        <w:rPr>
          <w:b/>
          <w:bCs/>
        </w:rPr>
        <w:t>Oilseeds crop group – Pre-harvest desiccation in poppies and oilseeds</w:t>
      </w:r>
    </w:p>
    <w:p w14:paraId="13622F41" w14:textId="29CEC7BC" w:rsidR="000110FD" w:rsidRPr="00ED4F77" w:rsidRDefault="000110FD" w:rsidP="005548EB">
      <w:pPr>
        <w:pStyle w:val="NormalText"/>
      </w:pPr>
      <w:r w:rsidRPr="00ED4F77">
        <w:t>Mammals – Acceptable risks can be concluded based on the refined risk assessment (</w:t>
      </w:r>
      <w:r w:rsidR="005E27C8">
        <w:fldChar w:fldCharType="begin" w:fldLock="1"/>
      </w:r>
      <w:r w:rsidR="005E27C8">
        <w:instrText xml:space="preserve"> REF _Ref221022628 \h </w:instrText>
      </w:r>
      <w:r w:rsidR="005E27C8">
        <w:fldChar w:fldCharType="separate"/>
      </w:r>
      <w:r w:rsidR="005E27C8" w:rsidRPr="00247DE6">
        <w:t xml:space="preserve">Table </w:t>
      </w:r>
      <w:r w:rsidR="005E27C8">
        <w:rPr>
          <w:noProof/>
        </w:rPr>
        <w:t>58</w:t>
      </w:r>
      <w:r w:rsidR="005E27C8">
        <w:fldChar w:fldCharType="end"/>
      </w:r>
      <w:r w:rsidRPr="00ED4F77">
        <w:t>); no further consideration is required.</w:t>
      </w:r>
    </w:p>
    <w:p w14:paraId="38BB9B78" w14:textId="02EDCC00" w:rsidR="000110FD" w:rsidRPr="00ED4F77" w:rsidRDefault="000110FD" w:rsidP="005548EB">
      <w:pPr>
        <w:pStyle w:val="NormalText"/>
      </w:pPr>
      <w:r w:rsidRPr="00ED4F77">
        <w:t>Birds – There are unresolved acute risks for small granivorous birds (at rates &gt;283 g ac/ha).</w:t>
      </w:r>
    </w:p>
    <w:p w14:paraId="10480FAE" w14:textId="68822DF4" w:rsidR="000110FD" w:rsidRPr="00ED4F77" w:rsidRDefault="000110FD" w:rsidP="005548EB">
      <w:pPr>
        <w:pStyle w:val="NormalText"/>
      </w:pPr>
      <w:r w:rsidRPr="00ED4F77">
        <w:t>For Tasmania, potentially relevant species of granivorous birds</w:t>
      </w:r>
      <w:r w:rsidR="00E61669">
        <w:rPr>
          <w:rFonts w:ascii="ZWAdobeF" w:hAnsi="ZWAdobeF" w:cs="ZWAdobeF"/>
          <w:sz w:val="2"/>
          <w:szCs w:val="2"/>
        </w:rPr>
        <w:t>45F</w:t>
      </w:r>
      <w:r w:rsidR="00602535">
        <w:rPr>
          <w:rFonts w:ascii="ZWAdobeF" w:hAnsi="ZWAdobeF" w:cs="ZWAdobeF"/>
          <w:sz w:val="2"/>
          <w:szCs w:val="2"/>
        </w:rPr>
        <w:t>48F</w:t>
      </w:r>
      <w:r w:rsidRPr="00ED4F77">
        <w:rPr>
          <w:rStyle w:val="FootnoteReference"/>
          <w:szCs w:val="19"/>
        </w:rPr>
        <w:footnoteReference w:id="50"/>
      </w:r>
      <w:r w:rsidRPr="00ED4F77">
        <w:t xml:space="preserve"> have been identified – these species are relevant for preharvest desiccation in poppies at up to 800 g ac/ha. At Tier-1 the default body weight for granivorous birds foraging in oilseeds is 15.3 g. Amongst the granivorous bird species considered native to Tasmania</w:t>
      </w:r>
      <w:r w:rsidR="00E61669">
        <w:rPr>
          <w:rFonts w:ascii="ZWAdobeF" w:hAnsi="ZWAdobeF" w:cs="ZWAdobeF"/>
          <w:sz w:val="2"/>
          <w:szCs w:val="2"/>
        </w:rPr>
        <w:t>46F</w:t>
      </w:r>
      <w:r w:rsidR="00602535">
        <w:rPr>
          <w:rFonts w:ascii="ZWAdobeF" w:hAnsi="ZWAdobeF" w:cs="ZWAdobeF"/>
          <w:sz w:val="2"/>
          <w:szCs w:val="2"/>
        </w:rPr>
        <w:t>49F</w:t>
      </w:r>
      <w:r w:rsidRPr="00ED4F77">
        <w:rPr>
          <w:rStyle w:val="FootnoteReference"/>
          <w:szCs w:val="19"/>
        </w:rPr>
        <w:footnoteReference w:id="51"/>
      </w:r>
      <w:r w:rsidRPr="00ED4F77">
        <w:t xml:space="preserve"> body weight estimates are all ≥45 g, the smallest species being </w:t>
      </w:r>
      <w:r w:rsidRPr="00ED4F77">
        <w:rPr>
          <w:i/>
          <w:iCs/>
        </w:rPr>
        <w:t>Neophema chrysogaster</w:t>
      </w:r>
      <w:r w:rsidRPr="00ED4F77">
        <w:t xml:space="preserve"> (Orange-bellied parrot). For </w:t>
      </w:r>
      <w:r w:rsidRPr="00ED4F77">
        <w:rPr>
          <w:i/>
          <w:iCs/>
        </w:rPr>
        <w:t xml:space="preserve">N. </w:t>
      </w:r>
      <w:r w:rsidRPr="00ED4F77">
        <w:rPr>
          <w:i/>
          <w:iCs/>
        </w:rPr>
        <w:lastRenderedPageBreak/>
        <w:t>chrysogaster</w:t>
      </w:r>
      <w:r w:rsidRPr="00ED4F77">
        <w:t xml:space="preserve"> at an application rate of 800 g ac/ha and with an acute shortcut value of 11.4</w:t>
      </w:r>
      <w:r w:rsidR="00E61669">
        <w:rPr>
          <w:rFonts w:ascii="ZWAdobeF" w:hAnsi="ZWAdobeF" w:cs="ZWAdobeF"/>
          <w:sz w:val="2"/>
          <w:szCs w:val="2"/>
        </w:rPr>
        <w:t>47F</w:t>
      </w:r>
      <w:r w:rsidR="00602535">
        <w:rPr>
          <w:rFonts w:ascii="ZWAdobeF" w:hAnsi="ZWAdobeF" w:cs="ZWAdobeF"/>
          <w:sz w:val="2"/>
          <w:szCs w:val="2"/>
        </w:rPr>
        <w:t>50F</w:t>
      </w:r>
      <w:r w:rsidRPr="00ED4F77">
        <w:rPr>
          <w:rStyle w:val="FootnoteReference"/>
          <w:szCs w:val="19"/>
        </w:rPr>
        <w:footnoteReference w:id="52"/>
      </w:r>
      <w:r w:rsidRPr="00ED4F77">
        <w:t xml:space="preserve"> the RQ would be 1.3 for an acute exposure. This indicates a marginally unacceptable risk (RQ ≤1.0 indicates an acceptable risk). However, the predicted exposure is expected to be overestimated; interception will reduce deposition on seeds on the ground and seeds in the seed capsules will also be protected from spray deposition</w:t>
      </w:r>
      <w:r w:rsidR="00E61669">
        <w:rPr>
          <w:rFonts w:ascii="ZWAdobeF" w:hAnsi="ZWAdobeF" w:cs="ZWAdobeF"/>
          <w:sz w:val="2"/>
          <w:szCs w:val="2"/>
        </w:rPr>
        <w:t>48F</w:t>
      </w:r>
      <w:r w:rsidR="00602535">
        <w:rPr>
          <w:rFonts w:ascii="ZWAdobeF" w:hAnsi="ZWAdobeF" w:cs="ZWAdobeF"/>
          <w:sz w:val="2"/>
          <w:szCs w:val="2"/>
        </w:rPr>
        <w:t>51F</w:t>
      </w:r>
      <w:r w:rsidRPr="00ED4F77">
        <w:rPr>
          <w:rStyle w:val="FootnoteReference"/>
          <w:szCs w:val="19"/>
        </w:rPr>
        <w:footnoteReference w:id="53"/>
      </w:r>
      <w:r w:rsidRPr="00ED4F77">
        <w:t xml:space="preserve">. Therefore, the risk can be concluded to be acceptable for all relevant native Tasmanian bird species. Non-native birds such as </w:t>
      </w:r>
      <w:r w:rsidRPr="00ED4F77">
        <w:rPr>
          <w:i/>
          <w:iCs/>
        </w:rPr>
        <w:t>Carduelis chloris</w:t>
      </w:r>
      <w:r w:rsidRPr="00ED4F77">
        <w:t xml:space="preserve"> (European greenfinch) and </w:t>
      </w:r>
      <w:r w:rsidRPr="00ED4F77">
        <w:rPr>
          <w:i/>
          <w:iCs/>
        </w:rPr>
        <w:t>Carduelis carduelis</w:t>
      </w:r>
      <w:r w:rsidRPr="00ED4F77">
        <w:t xml:space="preserve"> (European goldfinch) and </w:t>
      </w:r>
      <w:r w:rsidRPr="00ED4F77">
        <w:rPr>
          <w:i/>
          <w:iCs/>
        </w:rPr>
        <w:t>Melopsittacus undulatus</w:t>
      </w:r>
      <w:r w:rsidRPr="00ED4F77">
        <w:t xml:space="preserve"> (budgerigar)</w:t>
      </w:r>
      <w:r w:rsidR="00E61669">
        <w:rPr>
          <w:rFonts w:ascii="ZWAdobeF" w:hAnsi="ZWAdobeF" w:cs="ZWAdobeF"/>
          <w:sz w:val="2"/>
          <w:szCs w:val="2"/>
        </w:rPr>
        <w:t>49F</w:t>
      </w:r>
      <w:r w:rsidR="00602535">
        <w:rPr>
          <w:rFonts w:ascii="ZWAdobeF" w:hAnsi="ZWAdobeF" w:cs="ZWAdobeF"/>
          <w:sz w:val="2"/>
          <w:szCs w:val="2"/>
        </w:rPr>
        <w:t>52F</w:t>
      </w:r>
      <w:r w:rsidRPr="00ED4F77">
        <w:rPr>
          <w:rStyle w:val="FootnoteReference"/>
          <w:szCs w:val="19"/>
        </w:rPr>
        <w:footnoteReference w:id="54"/>
      </w:r>
      <w:r w:rsidRPr="00ED4F77">
        <w:t xml:space="preserve"> are expected to have lower body weight (14-40 g depending on the species) than </w:t>
      </w:r>
      <w:r w:rsidRPr="00ED4F77">
        <w:rPr>
          <w:i/>
          <w:iCs/>
        </w:rPr>
        <w:t>N. chrysogaster</w:t>
      </w:r>
      <w:r w:rsidRPr="00ED4F77">
        <w:t>. The same uncertainty over the true exposure for granivores foraging in late season poppy crops also applies</w:t>
      </w:r>
      <w:r w:rsidR="00484CAD">
        <w:t>,</w:t>
      </w:r>
      <w:r w:rsidRPr="00ED4F77">
        <w:t xml:space="preserve"> and given </w:t>
      </w:r>
      <w:r w:rsidR="00484CAD">
        <w:t xml:space="preserve">that </w:t>
      </w:r>
      <w:r w:rsidRPr="00ED4F77">
        <w:t>these are not native species the risk is concluded to be acceptable.</w:t>
      </w:r>
    </w:p>
    <w:p w14:paraId="378E4BD2" w14:textId="7A9B7BB2" w:rsidR="000110FD" w:rsidRPr="00ED4F77" w:rsidRDefault="000110FD" w:rsidP="005548EB">
      <w:pPr>
        <w:pStyle w:val="NormalText"/>
      </w:pPr>
      <w:r w:rsidRPr="00ED4F77">
        <w:t>The above argument only applies to use in Tasmania</w:t>
      </w:r>
      <w:r w:rsidR="00484CAD">
        <w:t>;</w:t>
      </w:r>
      <w:r w:rsidRPr="00ED4F77">
        <w:t xml:space="preserve"> in other situations the risk remains unresolved.</w:t>
      </w:r>
    </w:p>
    <w:p w14:paraId="68FF874F" w14:textId="77777777" w:rsidR="000110FD" w:rsidRPr="005548EB" w:rsidRDefault="000110FD" w:rsidP="005548EB">
      <w:pPr>
        <w:pStyle w:val="NormalText"/>
        <w:rPr>
          <w:b/>
          <w:bCs/>
        </w:rPr>
      </w:pPr>
      <w:r w:rsidRPr="005548EB">
        <w:rPr>
          <w:b/>
          <w:bCs/>
        </w:rPr>
        <w:t>Orchard crop group – General weed control in bananas, duboisia, forests, orchards, plantations, tea tree, and tropical fruits</w:t>
      </w:r>
    </w:p>
    <w:p w14:paraId="2DF6E19A" w14:textId="2BFFEA52" w:rsidR="000110FD" w:rsidRPr="00ED4F77" w:rsidRDefault="000110FD" w:rsidP="005548EB">
      <w:pPr>
        <w:pStyle w:val="NormalText"/>
      </w:pPr>
      <w:r w:rsidRPr="00ED4F77">
        <w:t>Mammals – There are unresolved acute risks for small herbivorous mammals (at rates &gt;188 g ac/ha). The RQ values are ≥1.6 at rates ≥300 g ac/ha.</w:t>
      </w:r>
    </w:p>
    <w:p w14:paraId="7339AD1B" w14:textId="1591B5D1" w:rsidR="000110FD" w:rsidRPr="00ED4F77" w:rsidRDefault="000110FD" w:rsidP="005548EB">
      <w:pPr>
        <w:pStyle w:val="NormalText"/>
      </w:pPr>
      <w:r w:rsidRPr="00ED4F77">
        <w:t xml:space="preserve">No relevant weight-of-evidence arguments have been provided during consultation that are specific to use in vineyards. There are weight-of-evidence arguments included in </w:t>
      </w:r>
      <w:r w:rsidR="00E45E5E">
        <w:fldChar w:fldCharType="begin" w:fldLock="1"/>
      </w:r>
      <w:r w:rsidR="00E45E5E">
        <w:instrText xml:space="preserve"> REF _Ref221022757 \h </w:instrText>
      </w:r>
      <w:r w:rsidR="00E45E5E">
        <w:fldChar w:fldCharType="separate"/>
      </w:r>
      <w:r w:rsidR="00E45E5E" w:rsidRPr="00247DE6">
        <w:t xml:space="preserve">Table </w:t>
      </w:r>
      <w:r w:rsidR="00E45E5E">
        <w:rPr>
          <w:noProof/>
        </w:rPr>
        <w:t>60</w:t>
      </w:r>
      <w:r w:rsidR="00E45E5E">
        <w:fldChar w:fldCharType="end"/>
      </w:r>
      <w:r w:rsidR="00E45E5E">
        <w:t xml:space="preserve"> </w:t>
      </w:r>
      <w:r w:rsidRPr="00ED4F77">
        <w:t>that would affect the risk to small herbivorous mammals, large herbivorous mammals and small omnivorous mammals. However, without additional argument they are not considered sufficient in isolation to resolve the risk for all the current use rates (as there are RQ values up to 2.0).</w:t>
      </w:r>
    </w:p>
    <w:p w14:paraId="06B2CEB0" w14:textId="521DECDD" w:rsidR="000110FD" w:rsidRPr="00ED4F77" w:rsidRDefault="000110FD" w:rsidP="005548EB">
      <w:pPr>
        <w:pStyle w:val="NormalText"/>
      </w:pPr>
      <w:r w:rsidRPr="00ED4F77">
        <w:t>Further argument could be submitted to refine the risk assessment, e.g. it may be possible to reconsider the relevance of small herbivorous mammals based on the distribution of orchards in Australia. At present such information has not been provided</w:t>
      </w:r>
      <w:r w:rsidR="001B7EF5">
        <w:t>,</w:t>
      </w:r>
      <w:r w:rsidRPr="00ED4F77">
        <w:t xml:space="preserve"> and the conclusion of the Tier-1 risk assessment has not been changed, i.e. the risk i</w:t>
      </w:r>
      <w:r w:rsidR="001B7EF5">
        <w:t>s</w:t>
      </w:r>
      <w:r w:rsidRPr="00ED4F77">
        <w:t xml:space="preserve"> unacceptable at rates &gt;188 g ac/ha.</w:t>
      </w:r>
    </w:p>
    <w:p w14:paraId="2600FD65" w14:textId="0F250898" w:rsidR="00A97745" w:rsidRPr="00ED4F77" w:rsidRDefault="000110FD" w:rsidP="005548EB">
      <w:pPr>
        <w:pStyle w:val="NormalText"/>
      </w:pPr>
      <w:r w:rsidRPr="00ED4F77">
        <w:t>Birds – Acceptable risks can be concluded based on the refined risk assessment (</w:t>
      </w:r>
      <w:r w:rsidR="00E45E5E">
        <w:fldChar w:fldCharType="begin" w:fldLock="1"/>
      </w:r>
      <w:r w:rsidR="00E45E5E">
        <w:instrText xml:space="preserve"> REF _Ref221022636 \h </w:instrText>
      </w:r>
      <w:r w:rsidR="00E45E5E">
        <w:fldChar w:fldCharType="separate"/>
      </w:r>
      <w:r w:rsidR="00E45E5E" w:rsidRPr="00247DE6">
        <w:t xml:space="preserve">Table </w:t>
      </w:r>
      <w:r w:rsidR="00E45E5E">
        <w:rPr>
          <w:noProof/>
        </w:rPr>
        <w:t>59</w:t>
      </w:r>
      <w:r w:rsidR="00E45E5E">
        <w:fldChar w:fldCharType="end"/>
      </w:r>
      <w:r w:rsidRPr="00ED4F77">
        <w:t>); no further consideration is required.</w:t>
      </w:r>
    </w:p>
    <w:p w14:paraId="39A62FAF" w14:textId="77777777" w:rsidR="000110FD" w:rsidRPr="00A97745" w:rsidRDefault="000110FD" w:rsidP="00A97745">
      <w:pPr>
        <w:pStyle w:val="NormalText"/>
        <w:rPr>
          <w:b/>
          <w:bCs/>
        </w:rPr>
      </w:pPr>
      <w:r w:rsidRPr="00A97745">
        <w:rPr>
          <w:b/>
          <w:bCs/>
        </w:rPr>
        <w:t>Potatoes crop group – General weed control in potatoes (pre-harvest) and pre-harvest desiccation in potatoes</w:t>
      </w:r>
    </w:p>
    <w:p w14:paraId="37801A20" w14:textId="3BC5C493" w:rsidR="000110FD" w:rsidRPr="00ED4F77" w:rsidRDefault="000110FD" w:rsidP="005548EB">
      <w:pPr>
        <w:pStyle w:val="NormalText"/>
      </w:pPr>
      <w:r w:rsidRPr="00ED4F77">
        <w:lastRenderedPageBreak/>
        <w:t>Mammals – Acceptable risks can be concluded based on the Tier-1 (</w:t>
      </w:r>
      <w:r w:rsidR="00E45E5E">
        <w:fldChar w:fldCharType="begin" w:fldLock="1"/>
      </w:r>
      <w:r w:rsidR="00E45E5E">
        <w:instrText xml:space="preserve"> REF _Ref170461194 \h </w:instrText>
      </w:r>
      <w:r w:rsidR="00E45E5E">
        <w:fldChar w:fldCharType="separate"/>
      </w:r>
      <w:r w:rsidR="00E45E5E" w:rsidRPr="00247DE6">
        <w:t xml:space="preserve">Table </w:t>
      </w:r>
      <w:r w:rsidR="00E45E5E">
        <w:rPr>
          <w:noProof/>
        </w:rPr>
        <w:t>56</w:t>
      </w:r>
      <w:r w:rsidR="00E45E5E">
        <w:fldChar w:fldCharType="end"/>
      </w:r>
      <w:r w:rsidRPr="00ED4F77">
        <w:t>) or refined risk assessment (</w:t>
      </w:r>
      <w:r w:rsidR="001B2D62">
        <w:fldChar w:fldCharType="begin" w:fldLock="1"/>
      </w:r>
      <w:r w:rsidR="001B2D62">
        <w:instrText xml:space="preserve"> REF _Ref221022628 \h </w:instrText>
      </w:r>
      <w:r w:rsidR="001B2D62">
        <w:fldChar w:fldCharType="separate"/>
      </w:r>
      <w:r w:rsidR="001B2D62" w:rsidRPr="00247DE6">
        <w:t xml:space="preserve">Table </w:t>
      </w:r>
      <w:r w:rsidR="001B2D62">
        <w:rPr>
          <w:noProof/>
        </w:rPr>
        <w:t>58</w:t>
      </w:r>
      <w:r w:rsidR="001B2D62">
        <w:fldChar w:fldCharType="end"/>
      </w:r>
      <w:r w:rsidRPr="00ED4F77">
        <w:t>); no further consideration is required.</w:t>
      </w:r>
    </w:p>
    <w:p w14:paraId="48771764" w14:textId="0A2E3905" w:rsidR="000110FD" w:rsidRPr="00ED4F77" w:rsidRDefault="000110FD" w:rsidP="005548EB">
      <w:pPr>
        <w:pStyle w:val="NormalText"/>
      </w:pPr>
      <w:r w:rsidRPr="00ED4F77">
        <w:t>Birds – There are unresolved acute risks for small insectivorous birds (at rates &gt;278 g ac/ha). As stated in relation to the bare soil crop group the risk assessment is largely unchanged, and generic weight-of-evidence arguments (</w:t>
      </w:r>
      <w:r w:rsidR="001B2D62">
        <w:fldChar w:fldCharType="begin" w:fldLock="1"/>
      </w:r>
      <w:r w:rsidR="001B2D62">
        <w:instrText xml:space="preserve"> REF _Ref221022757 \h </w:instrText>
      </w:r>
      <w:r w:rsidR="001B2D62">
        <w:fldChar w:fldCharType="separate"/>
      </w:r>
      <w:r w:rsidR="001B2D62" w:rsidRPr="00247DE6">
        <w:t xml:space="preserve">Table </w:t>
      </w:r>
      <w:r w:rsidR="001B2D62">
        <w:rPr>
          <w:noProof/>
        </w:rPr>
        <w:t>60</w:t>
      </w:r>
      <w:r w:rsidR="001B2D62">
        <w:fldChar w:fldCharType="end"/>
      </w:r>
      <w:r w:rsidRPr="00ED4F77">
        <w:t xml:space="preserve">) are not considered sufficient to resolve the risk. Therefore, the conclusion of the risk assessment is unchanged from the refined assessment presented in </w:t>
      </w:r>
      <w:r w:rsidR="00ED4F77" w:rsidRPr="00ED4F77">
        <w:fldChar w:fldCharType="begin" w:fldLock="1"/>
      </w:r>
      <w:r w:rsidR="00ED4F77" w:rsidRPr="00ED4F77">
        <w:instrText xml:space="preserve"> REF _Ref221022636 \h  \* MERGEFORMAT </w:instrText>
      </w:r>
      <w:r w:rsidR="00ED4F77" w:rsidRPr="00ED4F77">
        <w:fldChar w:fldCharType="separate"/>
      </w:r>
      <w:r w:rsidR="0033298E" w:rsidRPr="0033298E">
        <w:t xml:space="preserve">Table </w:t>
      </w:r>
      <w:r w:rsidR="0033298E" w:rsidRPr="0033298E">
        <w:rPr>
          <w:noProof/>
        </w:rPr>
        <w:t>65</w:t>
      </w:r>
      <w:r w:rsidR="00ED4F77" w:rsidRPr="00ED4F77">
        <w:fldChar w:fldCharType="end"/>
      </w:r>
      <w:r w:rsidRPr="00ED4F77">
        <w:t>, and an acceptable risk cannot be established for application rates &gt;278 g ac/ha.</w:t>
      </w:r>
    </w:p>
    <w:p w14:paraId="1BC92209" w14:textId="77777777" w:rsidR="000110FD" w:rsidRPr="005548EB" w:rsidRDefault="000110FD" w:rsidP="005548EB">
      <w:pPr>
        <w:pStyle w:val="NormalText"/>
        <w:rPr>
          <w:b/>
          <w:bCs/>
        </w:rPr>
      </w:pPr>
      <w:r w:rsidRPr="005548EB">
        <w:rPr>
          <w:b/>
          <w:bCs/>
        </w:rPr>
        <w:t>Pulses crop group – Pre-harvest desiccation in pulses</w:t>
      </w:r>
    </w:p>
    <w:p w14:paraId="0E2B6A6C" w14:textId="0D3BF39C" w:rsidR="000110FD" w:rsidRPr="00ED4F77" w:rsidRDefault="000110FD" w:rsidP="005548EB">
      <w:pPr>
        <w:pStyle w:val="NormalText"/>
      </w:pPr>
      <w:r w:rsidRPr="00ED4F77">
        <w:t>Mammals – Acceptable risks can be concluded based on the refined risk assessment (</w:t>
      </w:r>
      <w:r w:rsidR="00E45E5E">
        <w:fldChar w:fldCharType="begin" w:fldLock="1"/>
      </w:r>
      <w:r w:rsidR="00E45E5E">
        <w:instrText xml:space="preserve"> REF _Ref221022628 \h </w:instrText>
      </w:r>
      <w:r w:rsidR="00E45E5E">
        <w:fldChar w:fldCharType="separate"/>
      </w:r>
      <w:r w:rsidR="00E45E5E" w:rsidRPr="00247DE6">
        <w:t xml:space="preserve">Table </w:t>
      </w:r>
      <w:r w:rsidR="00E45E5E">
        <w:rPr>
          <w:noProof/>
        </w:rPr>
        <w:t>58</w:t>
      </w:r>
      <w:r w:rsidR="00E45E5E">
        <w:fldChar w:fldCharType="end"/>
      </w:r>
      <w:r w:rsidRPr="00ED4F77">
        <w:t>); no further consideration is required.</w:t>
      </w:r>
    </w:p>
    <w:p w14:paraId="329E58B9" w14:textId="65ACFB25" w:rsidR="000110FD" w:rsidRPr="00ED4F77" w:rsidRDefault="000110FD" w:rsidP="005548EB">
      <w:pPr>
        <w:pStyle w:val="NormalText"/>
      </w:pPr>
      <w:r w:rsidRPr="00ED4F77">
        <w:t>Birds – There are unresolved acute risks for small insectivorous birds (at rates &gt;278 g ac/ha). As stated in relation to the bare soil crop group the risk assessment is largely unchanged, and generic weight-of-evidence arguments (</w:t>
      </w:r>
      <w:r w:rsidR="001B2D62">
        <w:fldChar w:fldCharType="begin" w:fldLock="1"/>
      </w:r>
      <w:r w:rsidR="001B2D62">
        <w:instrText xml:space="preserve"> REF _Ref221022757 \h </w:instrText>
      </w:r>
      <w:r w:rsidR="001B2D62">
        <w:fldChar w:fldCharType="separate"/>
      </w:r>
      <w:r w:rsidR="001B2D62" w:rsidRPr="00247DE6">
        <w:t xml:space="preserve">Table </w:t>
      </w:r>
      <w:r w:rsidR="001B2D62">
        <w:rPr>
          <w:noProof/>
        </w:rPr>
        <w:t>60</w:t>
      </w:r>
      <w:r w:rsidR="001B2D62">
        <w:fldChar w:fldCharType="end"/>
      </w:r>
      <w:r w:rsidRPr="00ED4F77">
        <w:t xml:space="preserve">) are not considered sufficient to resolve the risk. Therefore, the conclusion of the risk assessment is unchanged from the refined assessment presented in </w:t>
      </w:r>
      <w:r w:rsidR="001B2D62">
        <w:fldChar w:fldCharType="begin" w:fldLock="1"/>
      </w:r>
      <w:r w:rsidR="001B2D62">
        <w:instrText xml:space="preserve"> REF _Ref221022636 \h </w:instrText>
      </w:r>
      <w:r w:rsidR="001B2D62">
        <w:fldChar w:fldCharType="separate"/>
      </w:r>
      <w:r w:rsidR="001B2D62" w:rsidRPr="00247DE6">
        <w:t xml:space="preserve">Table </w:t>
      </w:r>
      <w:r w:rsidR="001B2D62">
        <w:rPr>
          <w:noProof/>
        </w:rPr>
        <w:t>59</w:t>
      </w:r>
      <w:r w:rsidR="001B2D62">
        <w:fldChar w:fldCharType="end"/>
      </w:r>
      <w:r w:rsidRPr="00ED4F77">
        <w:t>, and an acceptable risk cannot be established for application rates &gt;278 g ac/ha.</w:t>
      </w:r>
    </w:p>
    <w:p w14:paraId="7FBE807A" w14:textId="77777777" w:rsidR="000110FD" w:rsidRPr="005548EB" w:rsidRDefault="000110FD" w:rsidP="005548EB">
      <w:pPr>
        <w:pStyle w:val="NormalText"/>
        <w:rPr>
          <w:b/>
          <w:bCs/>
        </w:rPr>
      </w:pPr>
      <w:r w:rsidRPr="005548EB">
        <w:rPr>
          <w:b/>
          <w:bCs/>
        </w:rPr>
        <w:t>Sunflower crop group – Pre-harvest desiccation in sunflower</w:t>
      </w:r>
    </w:p>
    <w:p w14:paraId="4A53CF44" w14:textId="06AF4DB2" w:rsidR="000110FD" w:rsidRPr="00ED4F77" w:rsidRDefault="000110FD" w:rsidP="005548EB">
      <w:pPr>
        <w:pStyle w:val="NormalText"/>
      </w:pPr>
      <w:r w:rsidRPr="00ED4F77">
        <w:t>Mammals – Acceptable risks can be concluded based on the Tier-1 risk assessment (</w:t>
      </w:r>
      <w:r w:rsidR="001B2D62">
        <w:fldChar w:fldCharType="begin" w:fldLock="1"/>
      </w:r>
      <w:r w:rsidR="001B2D62">
        <w:instrText xml:space="preserve"> REF _Ref170461194 \h </w:instrText>
      </w:r>
      <w:r w:rsidR="001B2D62">
        <w:fldChar w:fldCharType="separate"/>
      </w:r>
      <w:r w:rsidR="001B2D62" w:rsidRPr="00247DE6">
        <w:t xml:space="preserve">Table </w:t>
      </w:r>
      <w:r w:rsidR="001B2D62">
        <w:rPr>
          <w:noProof/>
        </w:rPr>
        <w:t>56</w:t>
      </w:r>
      <w:r w:rsidR="001B2D62">
        <w:fldChar w:fldCharType="end"/>
      </w:r>
      <w:r w:rsidRPr="00ED4F77">
        <w:t>); no further consideration is required.</w:t>
      </w:r>
    </w:p>
    <w:p w14:paraId="0C4342CA" w14:textId="05B6C7D4" w:rsidR="000110FD" w:rsidRPr="00655862" w:rsidRDefault="000110FD" w:rsidP="005548EB">
      <w:pPr>
        <w:pStyle w:val="NormalText"/>
      </w:pPr>
      <w:r w:rsidRPr="00ED4F77">
        <w:t>Birds – There are unresolved acute risks for small granivorous/insectivorous birds (at rates &gt;402 g ac/ha). The assessment (</w:t>
      </w:r>
      <w:r w:rsidR="001B2D62">
        <w:fldChar w:fldCharType="begin" w:fldLock="1"/>
      </w:r>
      <w:r w:rsidR="001B2D62">
        <w:instrText xml:space="preserve"> REF _Ref221022636 \h </w:instrText>
      </w:r>
      <w:r w:rsidR="001B2D62">
        <w:fldChar w:fldCharType="separate"/>
      </w:r>
      <w:r w:rsidR="001B2D62" w:rsidRPr="00247DE6">
        <w:t xml:space="preserve">Table </w:t>
      </w:r>
      <w:r w:rsidR="001B2D62">
        <w:rPr>
          <w:noProof/>
        </w:rPr>
        <w:t>59</w:t>
      </w:r>
      <w:r w:rsidR="001B2D62">
        <w:fldChar w:fldCharType="end"/>
      </w:r>
      <w:r w:rsidRPr="00ED4F77">
        <w:t>) has been updated to reflect assimilation efficiency, moisture content and energy content of sunflower seeds. Generic weight-of-evidence arguments (</w:t>
      </w:r>
      <w:r w:rsidR="001B2D62">
        <w:fldChar w:fldCharType="begin" w:fldLock="1"/>
      </w:r>
      <w:r w:rsidR="001B2D62">
        <w:instrText xml:space="preserve"> REF _Ref221022757 \h </w:instrText>
      </w:r>
      <w:r w:rsidR="001B2D62">
        <w:fldChar w:fldCharType="separate"/>
      </w:r>
      <w:r w:rsidR="001B2D62" w:rsidRPr="00247DE6">
        <w:t xml:space="preserve">Table </w:t>
      </w:r>
      <w:r w:rsidR="001B2D62">
        <w:rPr>
          <w:noProof/>
        </w:rPr>
        <w:t>60</w:t>
      </w:r>
      <w:r w:rsidR="001B2D62">
        <w:fldChar w:fldCharType="end"/>
      </w:r>
      <w:r w:rsidRPr="00ED4F77">
        <w:t>) are not considered sufficient to resolve the risk. Therefore, an acceptable risk cannot be established for application rates &gt;402 g ac/ha</w:t>
      </w:r>
      <w:r w:rsidRPr="0093107D">
        <w:t>.</w:t>
      </w:r>
    </w:p>
    <w:p w14:paraId="0B66061E" w14:textId="77777777" w:rsidR="000110FD" w:rsidRPr="00A97745" w:rsidRDefault="000110FD" w:rsidP="00A97745">
      <w:pPr>
        <w:pStyle w:val="NormalText"/>
        <w:rPr>
          <w:b/>
          <w:bCs/>
        </w:rPr>
      </w:pPr>
      <w:r w:rsidRPr="00A97745">
        <w:rPr>
          <w:b/>
          <w:bCs/>
        </w:rPr>
        <w:t>Vineyard crop group – General weed control in vineyards</w:t>
      </w:r>
    </w:p>
    <w:p w14:paraId="6405725B" w14:textId="44C17F2C" w:rsidR="000110FD" w:rsidRPr="00ED4F77" w:rsidRDefault="000110FD" w:rsidP="005548EB">
      <w:pPr>
        <w:pStyle w:val="NormalText"/>
      </w:pPr>
      <w:r w:rsidRPr="00ED4F77">
        <w:t>Mammals – There are unresolved acute risks for small herbivorous mammals (at rates &gt;188 g ac/ha). The RQ values are ≥1.6 at rates ≥300 g ac/ha.</w:t>
      </w:r>
    </w:p>
    <w:p w14:paraId="4000F582" w14:textId="6DEC6F9F" w:rsidR="000110FD" w:rsidRPr="00ED4F77" w:rsidRDefault="000110FD" w:rsidP="005548EB">
      <w:pPr>
        <w:pStyle w:val="NormalText"/>
      </w:pPr>
      <w:r w:rsidRPr="00ED4F77">
        <w:t xml:space="preserve">No relevant weight-of-evidence arguments have been provided during consultation that are specific to use in vineyards. There are weight-of-evidence arguments included in </w:t>
      </w:r>
      <w:r w:rsidR="001B2D62">
        <w:fldChar w:fldCharType="begin" w:fldLock="1"/>
      </w:r>
      <w:r w:rsidR="001B2D62">
        <w:instrText xml:space="preserve"> REF _Ref221022757 \h </w:instrText>
      </w:r>
      <w:r w:rsidR="001B2D62">
        <w:fldChar w:fldCharType="separate"/>
      </w:r>
      <w:r w:rsidR="001B2D62" w:rsidRPr="00247DE6">
        <w:t xml:space="preserve">Table </w:t>
      </w:r>
      <w:r w:rsidR="001B2D62">
        <w:rPr>
          <w:noProof/>
        </w:rPr>
        <w:t>60</w:t>
      </w:r>
      <w:r w:rsidR="001B2D62">
        <w:fldChar w:fldCharType="end"/>
      </w:r>
      <w:r w:rsidRPr="00ED4F77">
        <w:t xml:space="preserve"> that would affect the risk to small herbivorous mammals, large herbivorous mammals and small omnivorous mammals. However, without additional argument they are not considered sufficient in isolation to resolve the risk for all the current use rates (as there are RQ values up to 2.0).</w:t>
      </w:r>
    </w:p>
    <w:p w14:paraId="7FD75E01" w14:textId="77777777" w:rsidR="000110FD" w:rsidRPr="00ED4F77" w:rsidRDefault="000110FD" w:rsidP="005548EB">
      <w:pPr>
        <w:pStyle w:val="NormalText"/>
      </w:pPr>
      <w:r w:rsidRPr="00ED4F77">
        <w:t>Further argument could be submitted to refine the risk assessment, e.g. it may be possible to reconsider the relevance of small herbivorous mammals based on the distribution of vineyards in Australia. At present such information has not been provided and the conclusion of the Tier-1 risk assessment has not been changed, i.e. the risk in unacceptable at rates &gt;188 g ac/ha.</w:t>
      </w:r>
    </w:p>
    <w:p w14:paraId="0D50ADD3" w14:textId="5FCA915F" w:rsidR="002B1A69" w:rsidRPr="000742AA" w:rsidRDefault="000110FD" w:rsidP="000742AA">
      <w:pPr>
        <w:pStyle w:val="SourceTableNote"/>
        <w:spacing w:before="240" w:after="240" w:line="280" w:lineRule="exact"/>
        <w:rPr>
          <w:sz w:val="19"/>
          <w:szCs w:val="19"/>
        </w:rPr>
      </w:pPr>
      <w:r w:rsidRPr="00ED4F77">
        <w:rPr>
          <w:sz w:val="19"/>
          <w:szCs w:val="19"/>
        </w:rPr>
        <w:lastRenderedPageBreak/>
        <w:t>Birds – Acceptable risks can be concluded based on the refined risk assessment (</w:t>
      </w:r>
      <w:r w:rsidR="001B2D62">
        <w:rPr>
          <w:sz w:val="19"/>
          <w:szCs w:val="19"/>
        </w:rPr>
        <w:fldChar w:fldCharType="begin" w:fldLock="1"/>
      </w:r>
      <w:r w:rsidR="001B2D62">
        <w:rPr>
          <w:sz w:val="19"/>
          <w:szCs w:val="19"/>
        </w:rPr>
        <w:instrText xml:space="preserve"> REF _Ref221022636 \h  \* MERGEFORMAT </w:instrText>
      </w:r>
      <w:r w:rsidR="001B2D62">
        <w:rPr>
          <w:sz w:val="19"/>
          <w:szCs w:val="19"/>
        </w:rPr>
      </w:r>
      <w:r w:rsidR="001B2D62">
        <w:rPr>
          <w:sz w:val="19"/>
          <w:szCs w:val="19"/>
        </w:rPr>
        <w:fldChar w:fldCharType="separate"/>
      </w:r>
      <w:r w:rsidR="001B2D62" w:rsidRPr="001B2D62">
        <w:rPr>
          <w:sz w:val="19"/>
          <w:szCs w:val="19"/>
        </w:rPr>
        <w:t>Table 59</w:t>
      </w:r>
      <w:r w:rsidR="001B2D62">
        <w:rPr>
          <w:sz w:val="19"/>
          <w:szCs w:val="19"/>
        </w:rPr>
        <w:fldChar w:fldCharType="end"/>
      </w:r>
      <w:r w:rsidRPr="00ED4F77">
        <w:rPr>
          <w:sz w:val="19"/>
          <w:szCs w:val="19"/>
        </w:rPr>
        <w:t>); no further consideration is required.</w:t>
      </w:r>
    </w:p>
    <w:p w14:paraId="0BC636BA" w14:textId="77777777" w:rsidR="000110FD" w:rsidRPr="00B10F80" w:rsidRDefault="000110FD" w:rsidP="002345BB">
      <w:pPr>
        <w:pStyle w:val="PreliminariesH2"/>
      </w:pPr>
      <w:bookmarkStart w:id="522" w:name="_Toc216683828"/>
      <w:r w:rsidRPr="00B10F80">
        <w:t>Conclusions</w:t>
      </w:r>
      <w:bookmarkEnd w:id="522"/>
    </w:p>
    <w:p w14:paraId="4E2E2582" w14:textId="34FA396F" w:rsidR="000110FD" w:rsidRPr="00ED4F77" w:rsidRDefault="000110FD" w:rsidP="005548EB">
      <w:pPr>
        <w:pStyle w:val="NormalText"/>
      </w:pPr>
      <w:r w:rsidRPr="008800B4">
        <w:t xml:space="preserve">The </w:t>
      </w:r>
      <w:r w:rsidRPr="00ED4F77">
        <w:t xml:space="preserve">risk assessment conclusions, based on the risk assessment in the preceding sections, are summarised in </w:t>
      </w:r>
      <w:r w:rsidR="008E2515">
        <w:fldChar w:fldCharType="begin" w:fldLock="1"/>
      </w:r>
      <w:r w:rsidR="008E2515">
        <w:instrText xml:space="preserve"> REF _Ref221023774 \h </w:instrText>
      </w:r>
      <w:r w:rsidR="008E2515">
        <w:fldChar w:fldCharType="separate"/>
      </w:r>
      <w:r w:rsidR="00DA3D2E" w:rsidRPr="00247DE6">
        <w:t xml:space="preserve">Table </w:t>
      </w:r>
      <w:r w:rsidR="00DA3D2E">
        <w:rPr>
          <w:noProof/>
        </w:rPr>
        <w:t>61</w:t>
      </w:r>
      <w:r w:rsidR="008E2515">
        <w:fldChar w:fldCharType="end"/>
      </w:r>
      <w:r w:rsidR="00ED4F77" w:rsidRPr="00ED4F77">
        <w:fldChar w:fldCharType="begin" w:fldLock="1"/>
      </w:r>
      <w:r w:rsidR="00ED4F77" w:rsidRPr="00ED4F77">
        <w:instrText xml:space="preserve"> REF _Ref221023774 \h </w:instrText>
      </w:r>
      <w:r w:rsidR="00ED4F77">
        <w:instrText xml:space="preserve"> \* MERGEFORMAT </w:instrText>
      </w:r>
      <w:r w:rsidR="00ED4F77" w:rsidRPr="00ED4F77">
        <w:fldChar w:fldCharType="separate"/>
      </w:r>
      <w:r w:rsidR="00ED4F77" w:rsidRPr="00ED4F77">
        <w:fldChar w:fldCharType="end"/>
      </w:r>
      <w:r w:rsidRPr="00ED4F77">
        <w:t xml:space="preserve">. Note that this summary is only relevant for the risk from diquat in isolation and does not account for combination toxicity. </w:t>
      </w:r>
      <w:r w:rsidR="001B7EF5">
        <w:t>Furthermore</w:t>
      </w:r>
      <w:r w:rsidR="00A33C2E">
        <w:t>,</w:t>
      </w:r>
      <w:r w:rsidR="001B7EF5">
        <w:t xml:space="preserve"> </w:t>
      </w:r>
      <w:r w:rsidRPr="00ED4F77">
        <w:t>this summary table does not present a conclusion at the level of each individual application rate on every product label. Application rates below the maximum acceptable rate quoted would be considered acceptable.</w:t>
      </w:r>
    </w:p>
    <w:p w14:paraId="4221C785" w14:textId="7E78568D" w:rsidR="000110FD" w:rsidRPr="00247DE6" w:rsidRDefault="000110FD" w:rsidP="00247DE6">
      <w:pPr>
        <w:pStyle w:val="Caption"/>
      </w:pPr>
      <w:bookmarkStart w:id="523" w:name="_Ref221023774"/>
      <w:bookmarkStart w:id="524" w:name="_Toc232589656"/>
      <w:r w:rsidRPr="00247DE6">
        <w:t xml:space="preserve">Table </w:t>
      </w:r>
      <w:fldSimple w:instr=" SEQ Table \* ARABIC ">
        <w:r w:rsidR="00E95915">
          <w:rPr>
            <w:noProof/>
          </w:rPr>
          <w:t>61</w:t>
        </w:r>
      </w:fldSimple>
      <w:bookmarkEnd w:id="523"/>
      <w:r w:rsidRPr="00247DE6">
        <w:t>: Risk assessment conclusions for terrestrial vertebrates</w:t>
      </w:r>
      <w:bookmarkEnd w:id="5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2"/>
        <w:gridCol w:w="1074"/>
        <w:gridCol w:w="1544"/>
        <w:gridCol w:w="1868"/>
        <w:gridCol w:w="1189"/>
        <w:gridCol w:w="994"/>
        <w:gridCol w:w="1022"/>
        <w:gridCol w:w="989"/>
      </w:tblGrid>
      <w:tr w:rsidR="000110FD" w:rsidRPr="00EF5C2F" w14:paraId="06CF805A" w14:textId="77777777" w:rsidTr="005548EB">
        <w:trPr>
          <w:cantSplit/>
          <w:tblHeader/>
        </w:trPr>
        <w:tc>
          <w:tcPr>
            <w:tcW w:w="556" w:type="pct"/>
            <w:vMerge w:val="restart"/>
            <w:tcBorders>
              <w:bottom w:val="single" w:sz="4" w:space="0" w:color="auto"/>
            </w:tcBorders>
            <w:shd w:val="clear" w:color="auto" w:fill="5C2946"/>
          </w:tcPr>
          <w:p w14:paraId="58770B9F" w14:textId="77777777" w:rsidR="000110FD" w:rsidRPr="00EF5C2F" w:rsidRDefault="000110FD" w:rsidP="005548EB">
            <w:pPr>
              <w:pStyle w:val="TableHead"/>
            </w:pPr>
            <w:r w:rsidRPr="00EF5C2F">
              <w:t>Use pattern</w:t>
            </w:r>
          </w:p>
        </w:tc>
        <w:tc>
          <w:tcPr>
            <w:tcW w:w="557" w:type="pct"/>
            <w:vMerge w:val="restart"/>
            <w:shd w:val="clear" w:color="auto" w:fill="5C2946"/>
          </w:tcPr>
          <w:p w14:paraId="6A05AF39" w14:textId="77777777" w:rsidR="000110FD" w:rsidRPr="00EF5C2F" w:rsidRDefault="000110FD" w:rsidP="005548EB">
            <w:pPr>
              <w:pStyle w:val="TableHead"/>
            </w:pPr>
            <w:r w:rsidRPr="00EF5C2F">
              <w:t>EFSA 2009</w:t>
            </w:r>
          </w:p>
          <w:p w14:paraId="771FFD16" w14:textId="77777777" w:rsidR="000110FD" w:rsidRPr="00EF5C2F" w:rsidRDefault="000110FD" w:rsidP="005548EB">
            <w:pPr>
              <w:pStyle w:val="TableHead"/>
            </w:pPr>
            <w:r w:rsidRPr="00EF5C2F">
              <w:t>crop group</w:t>
            </w:r>
          </w:p>
        </w:tc>
        <w:tc>
          <w:tcPr>
            <w:tcW w:w="798" w:type="pct"/>
            <w:vMerge w:val="restart"/>
            <w:shd w:val="clear" w:color="auto" w:fill="5C2946"/>
          </w:tcPr>
          <w:p w14:paraId="213D3DF7" w14:textId="77777777" w:rsidR="000110FD" w:rsidRPr="00EF5C2F" w:rsidRDefault="000110FD" w:rsidP="005548EB">
            <w:pPr>
              <w:pStyle w:val="TableHead"/>
            </w:pPr>
            <w:r w:rsidRPr="00EF5C2F">
              <w:t>Situation</w:t>
            </w:r>
          </w:p>
        </w:tc>
        <w:tc>
          <w:tcPr>
            <w:tcW w:w="964" w:type="pct"/>
            <w:vMerge w:val="restart"/>
            <w:shd w:val="clear" w:color="auto" w:fill="5C2946"/>
          </w:tcPr>
          <w:p w14:paraId="457EE1B4" w14:textId="77777777" w:rsidR="000110FD" w:rsidRPr="00EF5C2F" w:rsidRDefault="000110FD" w:rsidP="005548EB">
            <w:pPr>
              <w:pStyle w:val="TableHead"/>
            </w:pPr>
            <w:r>
              <w:t>Maximum a</w:t>
            </w:r>
            <w:r w:rsidRPr="00EF5C2F">
              <w:t>pplication rate</w:t>
            </w:r>
          </w:p>
          <w:p w14:paraId="2FA5A057" w14:textId="6529E8CB" w:rsidR="000110FD" w:rsidRPr="00EF5C2F" w:rsidRDefault="000110FD" w:rsidP="005548EB">
            <w:pPr>
              <w:pStyle w:val="TableHead"/>
            </w:pPr>
            <w:r w:rsidRPr="00EF5C2F">
              <w:t>&amp; frequency</w:t>
            </w:r>
            <w:r w:rsidR="00E61669">
              <w:rPr>
                <w:rFonts w:ascii="ZWAdobeF" w:hAnsi="ZWAdobeF" w:cs="ZWAdobeF"/>
                <w:sz w:val="2"/>
                <w:szCs w:val="2"/>
              </w:rPr>
              <w:t>50F</w:t>
            </w:r>
            <w:r w:rsidR="00602535">
              <w:rPr>
                <w:rFonts w:ascii="ZWAdobeF" w:hAnsi="ZWAdobeF" w:cs="ZWAdobeF"/>
                <w:color w:val="auto"/>
                <w:spacing w:val="0"/>
                <w:sz w:val="2"/>
                <w:szCs w:val="2"/>
              </w:rPr>
              <w:t>53F</w:t>
            </w:r>
            <w:r>
              <w:rPr>
                <w:rStyle w:val="FootnoteReference"/>
                <w:b/>
                <w:sz w:val="17"/>
                <w:szCs w:val="17"/>
              </w:rPr>
              <w:footnoteReference w:id="55"/>
            </w:r>
          </w:p>
        </w:tc>
        <w:tc>
          <w:tcPr>
            <w:tcW w:w="1096" w:type="pct"/>
            <w:gridSpan w:val="2"/>
            <w:tcBorders>
              <w:bottom w:val="single" w:sz="4" w:space="0" w:color="auto"/>
            </w:tcBorders>
            <w:shd w:val="clear" w:color="auto" w:fill="5C2946"/>
          </w:tcPr>
          <w:p w14:paraId="0004FD4E" w14:textId="77777777" w:rsidR="000110FD" w:rsidRPr="00EF5C2F" w:rsidRDefault="000110FD" w:rsidP="005548EB">
            <w:pPr>
              <w:pStyle w:val="TableHead"/>
            </w:pPr>
            <w:r>
              <w:t>Birds</w:t>
            </w:r>
          </w:p>
        </w:tc>
        <w:tc>
          <w:tcPr>
            <w:tcW w:w="1029" w:type="pct"/>
            <w:gridSpan w:val="2"/>
            <w:tcBorders>
              <w:bottom w:val="single" w:sz="4" w:space="0" w:color="auto"/>
            </w:tcBorders>
            <w:shd w:val="clear" w:color="auto" w:fill="5C2946"/>
          </w:tcPr>
          <w:p w14:paraId="5A7648B0" w14:textId="77777777" w:rsidR="000110FD" w:rsidRPr="00EF5C2F" w:rsidRDefault="000110FD" w:rsidP="005548EB">
            <w:pPr>
              <w:pStyle w:val="TableHead"/>
            </w:pPr>
            <w:r>
              <w:t>Mammals</w:t>
            </w:r>
          </w:p>
        </w:tc>
      </w:tr>
      <w:tr w:rsidR="000110FD" w14:paraId="053235B3" w14:textId="77777777" w:rsidTr="005548EB">
        <w:trPr>
          <w:cantSplit/>
          <w:tblHeader/>
        </w:trPr>
        <w:tc>
          <w:tcPr>
            <w:tcW w:w="556" w:type="pct"/>
            <w:vMerge/>
            <w:tcBorders>
              <w:top w:val="single" w:sz="4" w:space="0" w:color="auto"/>
              <w:bottom w:val="single" w:sz="4" w:space="0" w:color="auto"/>
            </w:tcBorders>
            <w:shd w:val="clear" w:color="auto" w:fill="5C2946"/>
          </w:tcPr>
          <w:p w14:paraId="617BBA0F" w14:textId="77777777" w:rsidR="000110FD" w:rsidRPr="00EF5C2F" w:rsidRDefault="000110FD" w:rsidP="005548EB">
            <w:pPr>
              <w:pStyle w:val="TableHead"/>
            </w:pPr>
          </w:p>
        </w:tc>
        <w:tc>
          <w:tcPr>
            <w:tcW w:w="557" w:type="pct"/>
            <w:vMerge/>
            <w:tcBorders>
              <w:bottom w:val="single" w:sz="4" w:space="0" w:color="auto"/>
            </w:tcBorders>
            <w:shd w:val="clear" w:color="auto" w:fill="5C2946"/>
          </w:tcPr>
          <w:p w14:paraId="629DC895" w14:textId="77777777" w:rsidR="000110FD" w:rsidRPr="00EF5C2F" w:rsidRDefault="000110FD" w:rsidP="005548EB">
            <w:pPr>
              <w:pStyle w:val="TableHead"/>
            </w:pPr>
          </w:p>
        </w:tc>
        <w:tc>
          <w:tcPr>
            <w:tcW w:w="798" w:type="pct"/>
            <w:vMerge/>
            <w:tcBorders>
              <w:bottom w:val="single" w:sz="4" w:space="0" w:color="auto"/>
            </w:tcBorders>
            <w:shd w:val="clear" w:color="auto" w:fill="5C2946"/>
          </w:tcPr>
          <w:p w14:paraId="5A24F4FD" w14:textId="77777777" w:rsidR="000110FD" w:rsidRPr="00EF5C2F" w:rsidRDefault="000110FD" w:rsidP="005548EB">
            <w:pPr>
              <w:pStyle w:val="TableHead"/>
            </w:pPr>
          </w:p>
        </w:tc>
        <w:tc>
          <w:tcPr>
            <w:tcW w:w="964" w:type="pct"/>
            <w:vMerge/>
            <w:tcBorders>
              <w:bottom w:val="single" w:sz="4" w:space="0" w:color="auto"/>
            </w:tcBorders>
            <w:shd w:val="clear" w:color="auto" w:fill="5C2946"/>
          </w:tcPr>
          <w:p w14:paraId="56D76739" w14:textId="77777777" w:rsidR="000110FD" w:rsidRPr="00EF5C2F" w:rsidRDefault="000110FD" w:rsidP="005548EB">
            <w:pPr>
              <w:pStyle w:val="TableHead"/>
            </w:pPr>
          </w:p>
        </w:tc>
        <w:tc>
          <w:tcPr>
            <w:tcW w:w="580" w:type="pct"/>
            <w:tcBorders>
              <w:top w:val="single" w:sz="4" w:space="0" w:color="auto"/>
              <w:bottom w:val="single" w:sz="4" w:space="0" w:color="auto"/>
            </w:tcBorders>
            <w:shd w:val="clear" w:color="auto" w:fill="5C2946"/>
          </w:tcPr>
          <w:p w14:paraId="209FE354" w14:textId="13D496F4" w:rsidR="000110FD" w:rsidRPr="00EF5C2F" w:rsidRDefault="000110FD" w:rsidP="00AC676E">
            <w:pPr>
              <w:pStyle w:val="TableHead"/>
              <w:jc w:val="center"/>
            </w:pPr>
            <w:r>
              <w:t>Risk acceptable</w:t>
            </w:r>
            <w:r w:rsidR="00E61669">
              <w:rPr>
                <w:rFonts w:ascii="ZWAdobeF" w:hAnsi="ZWAdobeF" w:cs="ZWAdobeF"/>
                <w:sz w:val="2"/>
                <w:szCs w:val="2"/>
              </w:rPr>
              <w:t>51F</w:t>
            </w:r>
            <w:r w:rsidR="00602535">
              <w:rPr>
                <w:rFonts w:ascii="ZWAdobeF" w:hAnsi="ZWAdobeF" w:cs="ZWAdobeF"/>
                <w:color w:val="auto"/>
                <w:spacing w:val="0"/>
                <w:sz w:val="2"/>
                <w:szCs w:val="2"/>
              </w:rPr>
              <w:t>54F</w:t>
            </w:r>
            <w:r>
              <w:rPr>
                <w:rStyle w:val="FootnoteReference"/>
                <w:b/>
                <w:sz w:val="17"/>
                <w:szCs w:val="17"/>
              </w:rPr>
              <w:footnoteReference w:id="56"/>
            </w:r>
          </w:p>
        </w:tc>
        <w:tc>
          <w:tcPr>
            <w:tcW w:w="516" w:type="pct"/>
            <w:tcBorders>
              <w:top w:val="single" w:sz="4" w:space="0" w:color="auto"/>
              <w:bottom w:val="single" w:sz="4" w:space="0" w:color="auto"/>
            </w:tcBorders>
            <w:shd w:val="clear" w:color="auto" w:fill="5C2946"/>
          </w:tcPr>
          <w:p w14:paraId="30E0DD64" w14:textId="46F489CF" w:rsidR="000110FD" w:rsidRDefault="000110FD" w:rsidP="00AC676E">
            <w:pPr>
              <w:pStyle w:val="TableHead"/>
              <w:jc w:val="center"/>
            </w:pPr>
            <w:r>
              <w:t>Max.</w:t>
            </w:r>
          </w:p>
          <w:p w14:paraId="3D9A10EE" w14:textId="77777777" w:rsidR="000110FD" w:rsidRDefault="000110FD" w:rsidP="00AC676E">
            <w:pPr>
              <w:pStyle w:val="TableHead"/>
              <w:jc w:val="center"/>
            </w:pPr>
            <w:r>
              <w:t>(g ac/ha)</w:t>
            </w:r>
          </w:p>
        </w:tc>
        <w:tc>
          <w:tcPr>
            <w:tcW w:w="516" w:type="pct"/>
            <w:tcBorders>
              <w:top w:val="single" w:sz="4" w:space="0" w:color="auto"/>
              <w:bottom w:val="single" w:sz="4" w:space="0" w:color="auto"/>
            </w:tcBorders>
            <w:shd w:val="clear" w:color="auto" w:fill="5C2946"/>
          </w:tcPr>
          <w:p w14:paraId="5A885EDD" w14:textId="77777777" w:rsidR="000110FD" w:rsidRDefault="000110FD" w:rsidP="00AC676E">
            <w:pPr>
              <w:pStyle w:val="TableHead"/>
              <w:jc w:val="center"/>
            </w:pPr>
            <w:r>
              <w:t>Risk acceptable</w:t>
            </w:r>
          </w:p>
        </w:tc>
        <w:tc>
          <w:tcPr>
            <w:tcW w:w="513" w:type="pct"/>
            <w:tcBorders>
              <w:top w:val="single" w:sz="4" w:space="0" w:color="auto"/>
              <w:bottom w:val="single" w:sz="4" w:space="0" w:color="auto"/>
            </w:tcBorders>
            <w:shd w:val="clear" w:color="auto" w:fill="5C2946"/>
          </w:tcPr>
          <w:p w14:paraId="3CAC2D69" w14:textId="2E5797AD" w:rsidR="000110FD" w:rsidRDefault="000110FD" w:rsidP="00AC676E">
            <w:pPr>
              <w:pStyle w:val="TableHead"/>
              <w:jc w:val="center"/>
            </w:pPr>
            <w:r>
              <w:t>Max.</w:t>
            </w:r>
          </w:p>
          <w:p w14:paraId="3456E8EA" w14:textId="77777777" w:rsidR="000110FD" w:rsidRDefault="000110FD" w:rsidP="00AC676E">
            <w:pPr>
              <w:pStyle w:val="TableHead"/>
              <w:jc w:val="center"/>
            </w:pPr>
            <w:r>
              <w:t>(g ac/ha)</w:t>
            </w:r>
          </w:p>
        </w:tc>
      </w:tr>
      <w:tr w:rsidR="000110FD" w14:paraId="769A1ADA" w14:textId="77777777" w:rsidTr="00303DF5">
        <w:trPr>
          <w:cantSplit/>
        </w:trPr>
        <w:tc>
          <w:tcPr>
            <w:tcW w:w="556" w:type="pct"/>
            <w:vMerge w:val="restart"/>
            <w:tcBorders>
              <w:top w:val="single" w:sz="4" w:space="0" w:color="auto"/>
              <w:left w:val="nil"/>
              <w:bottom w:val="nil"/>
              <w:right w:val="nil"/>
            </w:tcBorders>
          </w:tcPr>
          <w:p w14:paraId="7242BB9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Pre-harvest crop desiccation</w:t>
            </w:r>
          </w:p>
        </w:tc>
        <w:tc>
          <w:tcPr>
            <w:tcW w:w="557" w:type="pct"/>
            <w:tcBorders>
              <w:top w:val="single" w:sz="4" w:space="0" w:color="auto"/>
              <w:left w:val="nil"/>
              <w:bottom w:val="nil"/>
              <w:right w:val="nil"/>
            </w:tcBorders>
          </w:tcPr>
          <w:p w14:paraId="0523661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Cereals</w:t>
            </w:r>
          </w:p>
        </w:tc>
        <w:tc>
          <w:tcPr>
            <w:tcW w:w="798" w:type="pct"/>
            <w:tcBorders>
              <w:top w:val="single" w:sz="4" w:space="0" w:color="auto"/>
              <w:left w:val="nil"/>
              <w:bottom w:val="nil"/>
              <w:right w:val="nil"/>
            </w:tcBorders>
          </w:tcPr>
          <w:p w14:paraId="3A10A99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Cereals, rice</w:t>
            </w:r>
          </w:p>
        </w:tc>
        <w:tc>
          <w:tcPr>
            <w:tcW w:w="964" w:type="pct"/>
            <w:tcBorders>
              <w:top w:val="single" w:sz="4" w:space="0" w:color="auto"/>
              <w:left w:val="nil"/>
              <w:bottom w:val="nil"/>
              <w:right w:val="nil"/>
            </w:tcBorders>
          </w:tcPr>
          <w:p w14:paraId="2C47F8C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single" w:sz="4" w:space="0" w:color="auto"/>
              <w:left w:val="nil"/>
              <w:bottom w:val="nil"/>
              <w:right w:val="nil"/>
            </w:tcBorders>
            <w:shd w:val="clear" w:color="auto" w:fill="FF0000"/>
          </w:tcPr>
          <w:p w14:paraId="601EBC3C"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16282583"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122</w:t>
            </w:r>
          </w:p>
        </w:tc>
        <w:tc>
          <w:tcPr>
            <w:tcW w:w="516" w:type="pct"/>
            <w:tcBorders>
              <w:top w:val="single" w:sz="4" w:space="0" w:color="auto"/>
              <w:left w:val="nil"/>
              <w:bottom w:val="nil"/>
              <w:right w:val="nil"/>
            </w:tcBorders>
            <w:shd w:val="clear" w:color="auto" w:fill="92D050"/>
          </w:tcPr>
          <w:p w14:paraId="1D33D2A8"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6825361E"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1875</w:t>
            </w:r>
          </w:p>
        </w:tc>
      </w:tr>
      <w:tr w:rsidR="000110FD" w14:paraId="4282041C" w14:textId="77777777" w:rsidTr="00303DF5">
        <w:trPr>
          <w:cantSplit/>
        </w:trPr>
        <w:tc>
          <w:tcPr>
            <w:tcW w:w="556" w:type="pct"/>
            <w:vMerge/>
            <w:tcBorders>
              <w:top w:val="nil"/>
              <w:left w:val="nil"/>
              <w:bottom w:val="nil"/>
              <w:right w:val="nil"/>
            </w:tcBorders>
          </w:tcPr>
          <w:p w14:paraId="11050400"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08772F92"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Cotton</w:t>
            </w:r>
          </w:p>
        </w:tc>
        <w:tc>
          <w:tcPr>
            <w:tcW w:w="798" w:type="pct"/>
            <w:tcBorders>
              <w:top w:val="nil"/>
              <w:left w:val="nil"/>
              <w:bottom w:val="nil"/>
              <w:right w:val="nil"/>
            </w:tcBorders>
          </w:tcPr>
          <w:p w14:paraId="5F68B70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Cotton</w:t>
            </w:r>
          </w:p>
        </w:tc>
        <w:tc>
          <w:tcPr>
            <w:tcW w:w="964" w:type="pct"/>
            <w:tcBorders>
              <w:top w:val="nil"/>
              <w:left w:val="nil"/>
              <w:bottom w:val="nil"/>
              <w:right w:val="nil"/>
            </w:tcBorders>
          </w:tcPr>
          <w:p w14:paraId="4F4249D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nil"/>
              <w:left w:val="nil"/>
              <w:bottom w:val="nil"/>
              <w:right w:val="nil"/>
            </w:tcBorders>
            <w:shd w:val="clear" w:color="auto" w:fill="92D050"/>
          </w:tcPr>
          <w:p w14:paraId="3D1826E2" w14:textId="77777777" w:rsidR="000110FD" w:rsidRPr="00AC676E" w:rsidDel="00DA6DCD"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nil"/>
              <w:right w:val="nil"/>
            </w:tcBorders>
          </w:tcPr>
          <w:p w14:paraId="62987B26"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1591</w:t>
            </w:r>
          </w:p>
        </w:tc>
        <w:tc>
          <w:tcPr>
            <w:tcW w:w="516" w:type="pct"/>
            <w:tcBorders>
              <w:top w:val="nil"/>
              <w:left w:val="nil"/>
              <w:bottom w:val="nil"/>
              <w:right w:val="nil"/>
            </w:tcBorders>
            <w:shd w:val="clear" w:color="auto" w:fill="92D050"/>
          </w:tcPr>
          <w:p w14:paraId="0EB952D9"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76AC13D7"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610</w:t>
            </w:r>
          </w:p>
        </w:tc>
      </w:tr>
      <w:tr w:rsidR="000110FD" w14:paraId="7C3895AC" w14:textId="77777777" w:rsidTr="00303DF5">
        <w:trPr>
          <w:cantSplit/>
        </w:trPr>
        <w:tc>
          <w:tcPr>
            <w:tcW w:w="556" w:type="pct"/>
            <w:vMerge/>
            <w:tcBorders>
              <w:top w:val="nil"/>
              <w:left w:val="nil"/>
              <w:bottom w:val="nil"/>
              <w:right w:val="nil"/>
            </w:tcBorders>
          </w:tcPr>
          <w:p w14:paraId="10E47A52"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28354E9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Legume forage</w:t>
            </w:r>
          </w:p>
        </w:tc>
        <w:tc>
          <w:tcPr>
            <w:tcW w:w="798" w:type="pct"/>
            <w:tcBorders>
              <w:top w:val="nil"/>
              <w:left w:val="nil"/>
              <w:bottom w:val="single" w:sz="4" w:space="0" w:color="auto"/>
              <w:right w:val="nil"/>
            </w:tcBorders>
          </w:tcPr>
          <w:p w14:paraId="2014D68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Lucerne, lupins</w:t>
            </w:r>
          </w:p>
        </w:tc>
        <w:tc>
          <w:tcPr>
            <w:tcW w:w="964" w:type="pct"/>
            <w:tcBorders>
              <w:top w:val="nil"/>
              <w:left w:val="nil"/>
              <w:bottom w:val="single" w:sz="4" w:space="0" w:color="auto"/>
              <w:right w:val="nil"/>
            </w:tcBorders>
          </w:tcPr>
          <w:p w14:paraId="5A77443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nil"/>
              <w:left w:val="nil"/>
              <w:bottom w:val="single" w:sz="4" w:space="0" w:color="auto"/>
              <w:right w:val="nil"/>
            </w:tcBorders>
            <w:shd w:val="clear" w:color="auto" w:fill="FF0000"/>
          </w:tcPr>
          <w:p w14:paraId="2C82161B"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single" w:sz="4" w:space="0" w:color="auto"/>
              <w:right w:val="nil"/>
            </w:tcBorders>
          </w:tcPr>
          <w:p w14:paraId="1596CEE5"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278</w:t>
            </w:r>
          </w:p>
        </w:tc>
        <w:tc>
          <w:tcPr>
            <w:tcW w:w="516" w:type="pct"/>
            <w:tcBorders>
              <w:top w:val="nil"/>
              <w:left w:val="nil"/>
              <w:bottom w:val="single" w:sz="4" w:space="0" w:color="auto"/>
              <w:right w:val="nil"/>
            </w:tcBorders>
            <w:shd w:val="clear" w:color="auto" w:fill="92D050"/>
          </w:tcPr>
          <w:p w14:paraId="558BECCC"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7408447E"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1250</w:t>
            </w:r>
          </w:p>
        </w:tc>
      </w:tr>
      <w:tr w:rsidR="000110FD" w14:paraId="68106A9F" w14:textId="77777777" w:rsidTr="00303DF5">
        <w:trPr>
          <w:cantSplit/>
        </w:trPr>
        <w:tc>
          <w:tcPr>
            <w:tcW w:w="556" w:type="pct"/>
            <w:vMerge/>
            <w:tcBorders>
              <w:top w:val="nil"/>
              <w:left w:val="nil"/>
              <w:bottom w:val="nil"/>
              <w:right w:val="nil"/>
            </w:tcBorders>
          </w:tcPr>
          <w:p w14:paraId="21D2EA16"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336B188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Maize</w:t>
            </w:r>
          </w:p>
        </w:tc>
        <w:tc>
          <w:tcPr>
            <w:tcW w:w="798" w:type="pct"/>
            <w:tcBorders>
              <w:top w:val="single" w:sz="4" w:space="0" w:color="auto"/>
              <w:left w:val="nil"/>
              <w:bottom w:val="nil"/>
              <w:right w:val="nil"/>
            </w:tcBorders>
          </w:tcPr>
          <w:p w14:paraId="2E99826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Sugarcane</w:t>
            </w:r>
          </w:p>
        </w:tc>
        <w:tc>
          <w:tcPr>
            <w:tcW w:w="964" w:type="pct"/>
            <w:tcBorders>
              <w:top w:val="single" w:sz="4" w:space="0" w:color="auto"/>
              <w:left w:val="nil"/>
              <w:bottom w:val="nil"/>
              <w:right w:val="nil"/>
            </w:tcBorders>
          </w:tcPr>
          <w:p w14:paraId="522DB26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single" w:sz="4" w:space="0" w:color="auto"/>
              <w:left w:val="nil"/>
              <w:bottom w:val="nil"/>
              <w:right w:val="nil"/>
            </w:tcBorders>
            <w:shd w:val="clear" w:color="auto" w:fill="92D050"/>
          </w:tcPr>
          <w:p w14:paraId="3E228165"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nil"/>
              <w:right w:val="nil"/>
            </w:tcBorders>
          </w:tcPr>
          <w:p w14:paraId="4CCAE751"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600</w:t>
            </w:r>
          </w:p>
          <w:p w14:paraId="1F18F049"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single" w:sz="4" w:space="0" w:color="auto"/>
              <w:left w:val="nil"/>
              <w:bottom w:val="nil"/>
              <w:right w:val="nil"/>
            </w:tcBorders>
            <w:shd w:val="clear" w:color="auto" w:fill="92D050"/>
          </w:tcPr>
          <w:p w14:paraId="1AC6DC8A"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5A076090"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610</w:t>
            </w:r>
          </w:p>
        </w:tc>
      </w:tr>
      <w:tr w:rsidR="000110FD" w14:paraId="154A8A86" w14:textId="77777777" w:rsidTr="00303DF5">
        <w:trPr>
          <w:cantSplit/>
        </w:trPr>
        <w:tc>
          <w:tcPr>
            <w:tcW w:w="556" w:type="pct"/>
            <w:vMerge/>
            <w:tcBorders>
              <w:top w:val="nil"/>
              <w:left w:val="nil"/>
              <w:bottom w:val="nil"/>
              <w:right w:val="nil"/>
            </w:tcBorders>
          </w:tcPr>
          <w:p w14:paraId="58D74EB2"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56F2E2F2"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3EF9476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Sugarcane (hand spraying)</w:t>
            </w:r>
          </w:p>
        </w:tc>
        <w:tc>
          <w:tcPr>
            <w:tcW w:w="964" w:type="pct"/>
            <w:tcBorders>
              <w:top w:val="nil"/>
              <w:left w:val="nil"/>
              <w:bottom w:val="single" w:sz="4" w:space="0" w:color="auto"/>
              <w:right w:val="nil"/>
            </w:tcBorders>
          </w:tcPr>
          <w:p w14:paraId="7C357DC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200 g ac/ha</w:t>
            </w:r>
          </w:p>
        </w:tc>
        <w:tc>
          <w:tcPr>
            <w:tcW w:w="580" w:type="pct"/>
            <w:tcBorders>
              <w:top w:val="nil"/>
              <w:left w:val="nil"/>
              <w:bottom w:val="single" w:sz="4" w:space="0" w:color="auto"/>
              <w:right w:val="nil"/>
            </w:tcBorders>
            <w:shd w:val="clear" w:color="auto" w:fill="92D050"/>
          </w:tcPr>
          <w:p w14:paraId="2B26438F"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75FA94E5"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504</w:t>
            </w:r>
          </w:p>
        </w:tc>
        <w:tc>
          <w:tcPr>
            <w:tcW w:w="516" w:type="pct"/>
            <w:tcBorders>
              <w:top w:val="nil"/>
              <w:left w:val="nil"/>
              <w:bottom w:val="single" w:sz="4" w:space="0" w:color="auto"/>
              <w:right w:val="nil"/>
            </w:tcBorders>
            <w:shd w:val="clear" w:color="auto" w:fill="92D050"/>
          </w:tcPr>
          <w:p w14:paraId="292F0E21"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0D3DC210"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610</w:t>
            </w:r>
          </w:p>
        </w:tc>
      </w:tr>
      <w:tr w:rsidR="000110FD" w14:paraId="58221BD6" w14:textId="77777777" w:rsidTr="00303DF5">
        <w:trPr>
          <w:cantSplit/>
        </w:trPr>
        <w:tc>
          <w:tcPr>
            <w:tcW w:w="556" w:type="pct"/>
            <w:vMerge/>
            <w:tcBorders>
              <w:top w:val="nil"/>
              <w:left w:val="nil"/>
              <w:bottom w:val="nil"/>
              <w:right w:val="nil"/>
            </w:tcBorders>
          </w:tcPr>
          <w:p w14:paraId="67B0FEAF"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0C276EC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Oilseeds</w:t>
            </w:r>
          </w:p>
        </w:tc>
        <w:tc>
          <w:tcPr>
            <w:tcW w:w="798" w:type="pct"/>
            <w:tcBorders>
              <w:top w:val="single" w:sz="4" w:space="0" w:color="auto"/>
              <w:left w:val="nil"/>
              <w:bottom w:val="nil"/>
              <w:right w:val="nil"/>
            </w:tcBorders>
          </w:tcPr>
          <w:p w14:paraId="5FD14452"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Poppies</w:t>
            </w:r>
          </w:p>
        </w:tc>
        <w:tc>
          <w:tcPr>
            <w:tcW w:w="964" w:type="pct"/>
            <w:tcBorders>
              <w:top w:val="single" w:sz="4" w:space="0" w:color="auto"/>
              <w:left w:val="nil"/>
              <w:bottom w:val="nil"/>
              <w:right w:val="nil"/>
            </w:tcBorders>
          </w:tcPr>
          <w:p w14:paraId="7A36E5F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800 g ac/ha</w:t>
            </w:r>
          </w:p>
        </w:tc>
        <w:tc>
          <w:tcPr>
            <w:tcW w:w="580" w:type="pct"/>
            <w:tcBorders>
              <w:top w:val="single" w:sz="4" w:space="0" w:color="auto"/>
              <w:left w:val="nil"/>
              <w:bottom w:val="nil"/>
              <w:right w:val="nil"/>
            </w:tcBorders>
            <w:shd w:val="clear" w:color="auto" w:fill="92D050"/>
          </w:tcPr>
          <w:p w14:paraId="27201476"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nil"/>
              <w:right w:val="nil"/>
            </w:tcBorders>
          </w:tcPr>
          <w:p w14:paraId="14BDB87B"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800</w:t>
            </w:r>
          </w:p>
          <w:p w14:paraId="4D5AF058"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single" w:sz="4" w:space="0" w:color="auto"/>
              <w:left w:val="nil"/>
              <w:bottom w:val="nil"/>
              <w:right w:val="nil"/>
            </w:tcBorders>
            <w:shd w:val="clear" w:color="auto" w:fill="92D050"/>
          </w:tcPr>
          <w:p w14:paraId="34C33982"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40820C63"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938</w:t>
            </w:r>
          </w:p>
        </w:tc>
      </w:tr>
      <w:tr w:rsidR="000110FD" w14:paraId="6048526E" w14:textId="77777777" w:rsidTr="00303DF5">
        <w:trPr>
          <w:cantSplit/>
        </w:trPr>
        <w:tc>
          <w:tcPr>
            <w:tcW w:w="556" w:type="pct"/>
            <w:vMerge/>
            <w:tcBorders>
              <w:top w:val="nil"/>
              <w:left w:val="nil"/>
              <w:bottom w:val="nil"/>
              <w:right w:val="nil"/>
            </w:tcBorders>
          </w:tcPr>
          <w:p w14:paraId="2F92D3D5"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2ED56C38"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4CA5720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Oilseeds</w:t>
            </w:r>
          </w:p>
        </w:tc>
        <w:tc>
          <w:tcPr>
            <w:tcW w:w="964" w:type="pct"/>
            <w:tcBorders>
              <w:top w:val="nil"/>
              <w:left w:val="nil"/>
              <w:bottom w:val="single" w:sz="4" w:space="0" w:color="auto"/>
              <w:right w:val="nil"/>
            </w:tcBorders>
          </w:tcPr>
          <w:p w14:paraId="0213DCD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nil"/>
              <w:left w:val="nil"/>
              <w:bottom w:val="single" w:sz="4" w:space="0" w:color="auto"/>
              <w:right w:val="nil"/>
            </w:tcBorders>
            <w:shd w:val="clear" w:color="auto" w:fill="FF0000"/>
          </w:tcPr>
          <w:p w14:paraId="4F0C18B1"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single" w:sz="4" w:space="0" w:color="auto"/>
              <w:right w:val="nil"/>
            </w:tcBorders>
          </w:tcPr>
          <w:p w14:paraId="1E1C306C"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single" w:sz="4" w:space="0" w:color="auto"/>
              <w:right w:val="nil"/>
            </w:tcBorders>
            <w:shd w:val="clear" w:color="auto" w:fill="92D050"/>
          </w:tcPr>
          <w:p w14:paraId="3A7A5BDA"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03229204"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938</w:t>
            </w:r>
          </w:p>
        </w:tc>
      </w:tr>
      <w:tr w:rsidR="000110FD" w14:paraId="7676CCA9" w14:textId="77777777" w:rsidTr="00303DF5">
        <w:trPr>
          <w:cantSplit/>
        </w:trPr>
        <w:tc>
          <w:tcPr>
            <w:tcW w:w="556" w:type="pct"/>
            <w:vMerge/>
            <w:tcBorders>
              <w:top w:val="nil"/>
              <w:left w:val="nil"/>
              <w:bottom w:val="nil"/>
              <w:right w:val="nil"/>
            </w:tcBorders>
          </w:tcPr>
          <w:p w14:paraId="518F41E5"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7FDFC94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Potatoes</w:t>
            </w:r>
          </w:p>
        </w:tc>
        <w:tc>
          <w:tcPr>
            <w:tcW w:w="798" w:type="pct"/>
            <w:tcBorders>
              <w:top w:val="single" w:sz="4" w:space="0" w:color="auto"/>
              <w:left w:val="nil"/>
              <w:bottom w:val="nil"/>
              <w:right w:val="nil"/>
            </w:tcBorders>
          </w:tcPr>
          <w:p w14:paraId="473A8A6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Potatoes (haulm desiccation), sweet potatoes</w:t>
            </w:r>
          </w:p>
        </w:tc>
        <w:tc>
          <w:tcPr>
            <w:tcW w:w="964" w:type="pct"/>
            <w:tcBorders>
              <w:top w:val="single" w:sz="4" w:space="0" w:color="auto"/>
              <w:left w:val="nil"/>
              <w:bottom w:val="nil"/>
              <w:right w:val="nil"/>
            </w:tcBorders>
          </w:tcPr>
          <w:p w14:paraId="2BDB8B5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800 g ac/ha</w:t>
            </w:r>
          </w:p>
        </w:tc>
        <w:tc>
          <w:tcPr>
            <w:tcW w:w="580" w:type="pct"/>
            <w:tcBorders>
              <w:top w:val="single" w:sz="4" w:space="0" w:color="auto"/>
              <w:left w:val="nil"/>
              <w:bottom w:val="nil"/>
              <w:right w:val="nil"/>
            </w:tcBorders>
            <w:shd w:val="clear" w:color="auto" w:fill="FF0000"/>
          </w:tcPr>
          <w:p w14:paraId="207E9714"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33768C65"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278</w:t>
            </w:r>
          </w:p>
        </w:tc>
        <w:tc>
          <w:tcPr>
            <w:tcW w:w="516" w:type="pct"/>
            <w:tcBorders>
              <w:top w:val="single" w:sz="4" w:space="0" w:color="auto"/>
              <w:left w:val="nil"/>
              <w:bottom w:val="nil"/>
              <w:right w:val="nil"/>
            </w:tcBorders>
            <w:shd w:val="clear" w:color="auto" w:fill="92D050"/>
          </w:tcPr>
          <w:p w14:paraId="65F4C605"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7A5DAB05"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1250</w:t>
            </w:r>
          </w:p>
        </w:tc>
      </w:tr>
      <w:tr w:rsidR="000110FD" w14:paraId="29434400" w14:textId="77777777" w:rsidTr="00303DF5">
        <w:trPr>
          <w:cantSplit/>
        </w:trPr>
        <w:tc>
          <w:tcPr>
            <w:tcW w:w="556" w:type="pct"/>
            <w:vMerge/>
            <w:tcBorders>
              <w:top w:val="nil"/>
              <w:left w:val="nil"/>
              <w:bottom w:val="nil"/>
              <w:right w:val="nil"/>
            </w:tcBorders>
          </w:tcPr>
          <w:p w14:paraId="46965453"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102DC168"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466170A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Potatoes (pre-harvest)</w:t>
            </w:r>
          </w:p>
        </w:tc>
        <w:tc>
          <w:tcPr>
            <w:tcW w:w="964" w:type="pct"/>
            <w:tcBorders>
              <w:top w:val="nil"/>
              <w:left w:val="nil"/>
              <w:bottom w:val="single" w:sz="4" w:space="0" w:color="auto"/>
              <w:right w:val="nil"/>
            </w:tcBorders>
          </w:tcPr>
          <w:p w14:paraId="232C51A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300 g ac/ha</w:t>
            </w:r>
          </w:p>
        </w:tc>
        <w:tc>
          <w:tcPr>
            <w:tcW w:w="580" w:type="pct"/>
            <w:tcBorders>
              <w:top w:val="nil"/>
              <w:left w:val="nil"/>
              <w:bottom w:val="single" w:sz="4" w:space="0" w:color="auto"/>
              <w:right w:val="nil"/>
            </w:tcBorders>
            <w:shd w:val="clear" w:color="auto" w:fill="FF0000"/>
          </w:tcPr>
          <w:p w14:paraId="76460F7E"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single" w:sz="4" w:space="0" w:color="auto"/>
              <w:right w:val="nil"/>
            </w:tcBorders>
          </w:tcPr>
          <w:p w14:paraId="78CD5712"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278</w:t>
            </w:r>
          </w:p>
        </w:tc>
        <w:tc>
          <w:tcPr>
            <w:tcW w:w="516" w:type="pct"/>
            <w:tcBorders>
              <w:top w:val="nil"/>
              <w:left w:val="nil"/>
              <w:bottom w:val="single" w:sz="4" w:space="0" w:color="auto"/>
              <w:right w:val="nil"/>
            </w:tcBorders>
            <w:shd w:val="clear" w:color="auto" w:fill="92D050"/>
          </w:tcPr>
          <w:p w14:paraId="789248F1"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1F054C0D" w14:textId="77777777" w:rsidR="000110FD" w:rsidRPr="00AC676E" w:rsidRDefault="000110FD" w:rsidP="00AC676E">
            <w:pPr>
              <w:pStyle w:val="BodyText"/>
              <w:widowControl w:val="0"/>
              <w:spacing w:after="0"/>
              <w:jc w:val="center"/>
              <w:rPr>
                <w:rFonts w:ascii="Arial" w:hAnsi="Arial" w:cs="Arial"/>
                <w:sz w:val="17"/>
                <w:szCs w:val="17"/>
              </w:rPr>
            </w:pPr>
            <w:r w:rsidRPr="00AC676E">
              <w:rPr>
                <w:rFonts w:ascii="Arial" w:hAnsi="Arial" w:cs="Arial"/>
                <w:sz w:val="17"/>
                <w:szCs w:val="17"/>
              </w:rPr>
              <w:t>1250</w:t>
            </w:r>
          </w:p>
        </w:tc>
      </w:tr>
      <w:tr w:rsidR="000110FD" w14:paraId="7FF3D239" w14:textId="77777777" w:rsidTr="00303DF5">
        <w:trPr>
          <w:cantSplit/>
        </w:trPr>
        <w:tc>
          <w:tcPr>
            <w:tcW w:w="556" w:type="pct"/>
            <w:vMerge/>
            <w:tcBorders>
              <w:top w:val="nil"/>
              <w:left w:val="nil"/>
              <w:bottom w:val="nil"/>
              <w:right w:val="nil"/>
            </w:tcBorders>
          </w:tcPr>
          <w:p w14:paraId="14946D19"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1D2A1B4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Pulses</w:t>
            </w:r>
          </w:p>
        </w:tc>
        <w:tc>
          <w:tcPr>
            <w:tcW w:w="798" w:type="pct"/>
            <w:tcBorders>
              <w:top w:val="single" w:sz="4" w:space="0" w:color="auto"/>
              <w:left w:val="nil"/>
              <w:bottom w:val="nil"/>
              <w:right w:val="nil"/>
            </w:tcBorders>
          </w:tcPr>
          <w:p w14:paraId="7365E37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Pulses</w:t>
            </w:r>
          </w:p>
        </w:tc>
        <w:tc>
          <w:tcPr>
            <w:tcW w:w="964" w:type="pct"/>
            <w:tcBorders>
              <w:top w:val="single" w:sz="4" w:space="0" w:color="auto"/>
              <w:left w:val="nil"/>
              <w:bottom w:val="nil"/>
              <w:right w:val="nil"/>
            </w:tcBorders>
          </w:tcPr>
          <w:p w14:paraId="26D4103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single" w:sz="4" w:space="0" w:color="auto"/>
              <w:left w:val="nil"/>
              <w:bottom w:val="nil"/>
              <w:right w:val="nil"/>
            </w:tcBorders>
            <w:shd w:val="clear" w:color="auto" w:fill="FF0000"/>
          </w:tcPr>
          <w:p w14:paraId="307DF80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6BA1D2C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278</w:t>
            </w:r>
          </w:p>
        </w:tc>
        <w:tc>
          <w:tcPr>
            <w:tcW w:w="516" w:type="pct"/>
            <w:tcBorders>
              <w:top w:val="single" w:sz="4" w:space="0" w:color="auto"/>
              <w:left w:val="nil"/>
              <w:bottom w:val="nil"/>
              <w:right w:val="nil"/>
            </w:tcBorders>
            <w:shd w:val="clear" w:color="auto" w:fill="92D050"/>
          </w:tcPr>
          <w:p w14:paraId="3A20F8A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1DEF49E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625</w:t>
            </w:r>
          </w:p>
        </w:tc>
      </w:tr>
      <w:tr w:rsidR="000110FD" w14:paraId="69DB32C5" w14:textId="77777777" w:rsidTr="00303DF5">
        <w:trPr>
          <w:cantSplit/>
        </w:trPr>
        <w:tc>
          <w:tcPr>
            <w:tcW w:w="556" w:type="pct"/>
            <w:vMerge/>
            <w:tcBorders>
              <w:top w:val="nil"/>
              <w:left w:val="nil"/>
              <w:bottom w:val="single" w:sz="4" w:space="0" w:color="auto"/>
              <w:right w:val="nil"/>
            </w:tcBorders>
          </w:tcPr>
          <w:p w14:paraId="47D4DFB3"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4C96ADC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Sunflower</w:t>
            </w:r>
          </w:p>
        </w:tc>
        <w:tc>
          <w:tcPr>
            <w:tcW w:w="798" w:type="pct"/>
            <w:tcBorders>
              <w:top w:val="nil"/>
              <w:left w:val="nil"/>
              <w:bottom w:val="single" w:sz="4" w:space="0" w:color="auto"/>
              <w:right w:val="nil"/>
            </w:tcBorders>
          </w:tcPr>
          <w:p w14:paraId="4B952CF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Sunflower</w:t>
            </w:r>
          </w:p>
        </w:tc>
        <w:tc>
          <w:tcPr>
            <w:tcW w:w="964" w:type="pct"/>
            <w:tcBorders>
              <w:top w:val="nil"/>
              <w:left w:val="nil"/>
              <w:bottom w:val="single" w:sz="4" w:space="0" w:color="auto"/>
              <w:right w:val="nil"/>
            </w:tcBorders>
          </w:tcPr>
          <w:p w14:paraId="34E9F33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nil"/>
              <w:left w:val="nil"/>
              <w:bottom w:val="single" w:sz="4" w:space="0" w:color="auto"/>
              <w:right w:val="nil"/>
            </w:tcBorders>
            <w:shd w:val="clear" w:color="auto" w:fill="FF0000"/>
          </w:tcPr>
          <w:p w14:paraId="0E25554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single" w:sz="4" w:space="0" w:color="auto"/>
              <w:right w:val="nil"/>
            </w:tcBorders>
          </w:tcPr>
          <w:p w14:paraId="4944A69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323</w:t>
            </w:r>
          </w:p>
        </w:tc>
        <w:tc>
          <w:tcPr>
            <w:tcW w:w="516" w:type="pct"/>
            <w:tcBorders>
              <w:top w:val="nil"/>
              <w:left w:val="nil"/>
              <w:bottom w:val="single" w:sz="4" w:space="0" w:color="auto"/>
              <w:right w:val="nil"/>
            </w:tcBorders>
            <w:shd w:val="clear" w:color="auto" w:fill="92D050"/>
          </w:tcPr>
          <w:p w14:paraId="69B87C2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657F9099"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610</w:t>
            </w:r>
          </w:p>
        </w:tc>
      </w:tr>
      <w:tr w:rsidR="000110FD" w14:paraId="25E9B44B" w14:textId="77777777" w:rsidTr="00303DF5">
        <w:trPr>
          <w:cantSplit/>
        </w:trPr>
        <w:tc>
          <w:tcPr>
            <w:tcW w:w="556" w:type="pct"/>
            <w:vMerge w:val="restart"/>
            <w:tcBorders>
              <w:top w:val="single" w:sz="4" w:space="0" w:color="auto"/>
              <w:left w:val="nil"/>
              <w:right w:val="nil"/>
            </w:tcBorders>
          </w:tcPr>
          <w:p w14:paraId="19378CB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General weed control</w:t>
            </w:r>
          </w:p>
        </w:tc>
        <w:tc>
          <w:tcPr>
            <w:tcW w:w="557" w:type="pct"/>
            <w:tcBorders>
              <w:top w:val="single" w:sz="4" w:space="0" w:color="auto"/>
              <w:left w:val="nil"/>
              <w:bottom w:val="nil"/>
              <w:right w:val="nil"/>
            </w:tcBorders>
          </w:tcPr>
          <w:p w14:paraId="031DA6C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Bare soil</w:t>
            </w:r>
          </w:p>
        </w:tc>
        <w:tc>
          <w:tcPr>
            <w:tcW w:w="798" w:type="pct"/>
            <w:tcBorders>
              <w:top w:val="single" w:sz="4" w:space="0" w:color="auto"/>
              <w:left w:val="nil"/>
              <w:bottom w:val="nil"/>
              <w:right w:val="nil"/>
            </w:tcBorders>
          </w:tcPr>
          <w:p w14:paraId="23936AB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Market gardens, row crops, vegetables</w:t>
            </w:r>
          </w:p>
        </w:tc>
        <w:tc>
          <w:tcPr>
            <w:tcW w:w="964" w:type="pct"/>
            <w:tcBorders>
              <w:top w:val="single" w:sz="4" w:space="0" w:color="auto"/>
              <w:left w:val="nil"/>
              <w:bottom w:val="nil"/>
              <w:right w:val="nil"/>
            </w:tcBorders>
          </w:tcPr>
          <w:p w14:paraId="6971F38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800 g ac/ha</w:t>
            </w:r>
          </w:p>
        </w:tc>
        <w:tc>
          <w:tcPr>
            <w:tcW w:w="580" w:type="pct"/>
            <w:tcBorders>
              <w:top w:val="single" w:sz="4" w:space="0" w:color="auto"/>
              <w:left w:val="nil"/>
              <w:bottom w:val="nil"/>
              <w:right w:val="nil"/>
            </w:tcBorders>
            <w:shd w:val="clear" w:color="auto" w:fill="FF0000"/>
          </w:tcPr>
          <w:p w14:paraId="53996FD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4064827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single" w:sz="4" w:space="0" w:color="auto"/>
              <w:left w:val="nil"/>
              <w:bottom w:val="nil"/>
              <w:right w:val="nil"/>
            </w:tcBorders>
            <w:shd w:val="clear" w:color="auto" w:fill="92D050"/>
          </w:tcPr>
          <w:p w14:paraId="6AEDF6A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461B71C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rsidRPr="007B099F" w14:paraId="44A043DA" w14:textId="77777777" w:rsidTr="00303DF5">
        <w:trPr>
          <w:cantSplit/>
        </w:trPr>
        <w:tc>
          <w:tcPr>
            <w:tcW w:w="556" w:type="pct"/>
            <w:vMerge/>
            <w:tcBorders>
              <w:left w:val="nil"/>
              <w:right w:val="nil"/>
            </w:tcBorders>
          </w:tcPr>
          <w:p w14:paraId="11B66D87"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1E948413"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429B90F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Market gardens, row crops, vegetables (shielded inter-row spraying)</w:t>
            </w:r>
          </w:p>
        </w:tc>
        <w:tc>
          <w:tcPr>
            <w:tcW w:w="964" w:type="pct"/>
            <w:tcBorders>
              <w:top w:val="nil"/>
              <w:left w:val="nil"/>
              <w:bottom w:val="nil"/>
              <w:right w:val="nil"/>
            </w:tcBorders>
          </w:tcPr>
          <w:p w14:paraId="65141E5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800 g ac/ha</w:t>
            </w:r>
          </w:p>
        </w:tc>
        <w:tc>
          <w:tcPr>
            <w:tcW w:w="580" w:type="pct"/>
            <w:tcBorders>
              <w:top w:val="nil"/>
              <w:left w:val="nil"/>
              <w:bottom w:val="nil"/>
              <w:right w:val="nil"/>
            </w:tcBorders>
            <w:shd w:val="clear" w:color="auto" w:fill="FF0000"/>
          </w:tcPr>
          <w:p w14:paraId="4FDC5FDF"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No</w:t>
            </w:r>
          </w:p>
        </w:tc>
        <w:tc>
          <w:tcPr>
            <w:tcW w:w="516" w:type="pct"/>
            <w:tcBorders>
              <w:top w:val="nil"/>
              <w:left w:val="nil"/>
              <w:bottom w:val="nil"/>
              <w:right w:val="nil"/>
            </w:tcBorders>
          </w:tcPr>
          <w:p w14:paraId="5456C24E"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283</w:t>
            </w:r>
          </w:p>
        </w:tc>
        <w:tc>
          <w:tcPr>
            <w:tcW w:w="516" w:type="pct"/>
            <w:tcBorders>
              <w:top w:val="nil"/>
              <w:left w:val="nil"/>
              <w:bottom w:val="nil"/>
              <w:right w:val="nil"/>
            </w:tcBorders>
            <w:shd w:val="clear" w:color="auto" w:fill="92D050"/>
          </w:tcPr>
          <w:p w14:paraId="1F691171"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Yes</w:t>
            </w:r>
          </w:p>
        </w:tc>
        <w:tc>
          <w:tcPr>
            <w:tcW w:w="513" w:type="pct"/>
            <w:tcBorders>
              <w:top w:val="nil"/>
              <w:left w:val="nil"/>
              <w:bottom w:val="nil"/>
              <w:right w:val="nil"/>
            </w:tcBorders>
          </w:tcPr>
          <w:p w14:paraId="1CCECD22"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1455</w:t>
            </w:r>
          </w:p>
        </w:tc>
      </w:tr>
      <w:tr w:rsidR="000110FD" w14:paraId="0B0E13DF" w14:textId="77777777" w:rsidTr="00303DF5">
        <w:trPr>
          <w:cantSplit/>
        </w:trPr>
        <w:tc>
          <w:tcPr>
            <w:tcW w:w="556" w:type="pct"/>
            <w:vMerge/>
            <w:tcBorders>
              <w:left w:val="nil"/>
              <w:right w:val="nil"/>
            </w:tcBorders>
          </w:tcPr>
          <w:p w14:paraId="5357EC5E"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6F13BABF"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62F0211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Oilseeds</w:t>
            </w:r>
          </w:p>
        </w:tc>
        <w:tc>
          <w:tcPr>
            <w:tcW w:w="964" w:type="pct"/>
            <w:tcBorders>
              <w:top w:val="nil"/>
              <w:left w:val="nil"/>
              <w:bottom w:val="nil"/>
              <w:right w:val="nil"/>
            </w:tcBorders>
          </w:tcPr>
          <w:p w14:paraId="3132DC0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300 g ac/ha</w:t>
            </w:r>
          </w:p>
        </w:tc>
        <w:tc>
          <w:tcPr>
            <w:tcW w:w="580" w:type="pct"/>
            <w:tcBorders>
              <w:top w:val="nil"/>
              <w:left w:val="nil"/>
              <w:bottom w:val="nil"/>
              <w:right w:val="nil"/>
            </w:tcBorders>
            <w:shd w:val="clear" w:color="auto" w:fill="92D050"/>
          </w:tcPr>
          <w:p w14:paraId="0730D75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nil"/>
              <w:right w:val="nil"/>
            </w:tcBorders>
          </w:tcPr>
          <w:p w14:paraId="77C2A8D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300</w:t>
            </w:r>
          </w:p>
          <w:p w14:paraId="01D3C701" w14:textId="5DAFD4FF"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r w:rsidR="00E61669" w:rsidRPr="00AC676E">
              <w:rPr>
                <w:rFonts w:ascii="Arial" w:hAnsi="Arial" w:cs="Arial"/>
                <w:sz w:val="2"/>
                <w:szCs w:val="2"/>
              </w:rPr>
              <w:t>52F</w:t>
            </w:r>
            <w:r w:rsidR="00602535">
              <w:rPr>
                <w:rFonts w:ascii="ZWAdobeF" w:hAnsi="ZWAdobeF" w:cs="ZWAdobeF"/>
                <w:sz w:val="2"/>
                <w:szCs w:val="2"/>
              </w:rPr>
              <w:t>55F</w:t>
            </w:r>
            <w:r w:rsidRPr="00AC676E">
              <w:rPr>
                <w:rStyle w:val="FootnoteReference"/>
                <w:rFonts w:ascii="Arial" w:hAnsi="Arial" w:cs="Arial"/>
                <w:sz w:val="17"/>
                <w:szCs w:val="17"/>
              </w:rPr>
              <w:footnoteReference w:id="57"/>
            </w:r>
          </w:p>
        </w:tc>
        <w:tc>
          <w:tcPr>
            <w:tcW w:w="516" w:type="pct"/>
            <w:tcBorders>
              <w:top w:val="nil"/>
              <w:left w:val="nil"/>
              <w:bottom w:val="nil"/>
              <w:right w:val="nil"/>
            </w:tcBorders>
            <w:shd w:val="clear" w:color="auto" w:fill="92D050"/>
          </w:tcPr>
          <w:p w14:paraId="348619C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1796B0E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rsidRPr="007B099F" w14:paraId="4148E9E2" w14:textId="77777777" w:rsidTr="00303DF5">
        <w:trPr>
          <w:cantSplit/>
        </w:trPr>
        <w:tc>
          <w:tcPr>
            <w:tcW w:w="556" w:type="pct"/>
            <w:vMerge/>
            <w:tcBorders>
              <w:left w:val="nil"/>
              <w:right w:val="nil"/>
            </w:tcBorders>
          </w:tcPr>
          <w:p w14:paraId="361D0616"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127F5D0D"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3B21742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Hops</w:t>
            </w:r>
          </w:p>
        </w:tc>
        <w:tc>
          <w:tcPr>
            <w:tcW w:w="964" w:type="pct"/>
            <w:tcBorders>
              <w:top w:val="nil"/>
              <w:left w:val="nil"/>
              <w:bottom w:val="nil"/>
              <w:right w:val="nil"/>
            </w:tcBorders>
          </w:tcPr>
          <w:p w14:paraId="0D7180A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280 g ac/ha</w:t>
            </w:r>
          </w:p>
        </w:tc>
        <w:tc>
          <w:tcPr>
            <w:tcW w:w="580" w:type="pct"/>
            <w:tcBorders>
              <w:top w:val="nil"/>
              <w:left w:val="nil"/>
              <w:bottom w:val="nil"/>
              <w:right w:val="nil"/>
            </w:tcBorders>
            <w:shd w:val="clear" w:color="auto" w:fill="92D050"/>
          </w:tcPr>
          <w:p w14:paraId="5661CFB3"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Yes</w:t>
            </w:r>
          </w:p>
        </w:tc>
        <w:tc>
          <w:tcPr>
            <w:tcW w:w="516" w:type="pct"/>
            <w:tcBorders>
              <w:top w:val="nil"/>
              <w:left w:val="nil"/>
              <w:bottom w:val="nil"/>
              <w:right w:val="nil"/>
            </w:tcBorders>
          </w:tcPr>
          <w:p w14:paraId="0169ECFC"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283</w:t>
            </w:r>
          </w:p>
        </w:tc>
        <w:tc>
          <w:tcPr>
            <w:tcW w:w="516" w:type="pct"/>
            <w:tcBorders>
              <w:top w:val="nil"/>
              <w:left w:val="nil"/>
              <w:bottom w:val="nil"/>
              <w:right w:val="nil"/>
            </w:tcBorders>
            <w:shd w:val="clear" w:color="auto" w:fill="92D050"/>
          </w:tcPr>
          <w:p w14:paraId="57B522B0"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Yes</w:t>
            </w:r>
          </w:p>
        </w:tc>
        <w:tc>
          <w:tcPr>
            <w:tcW w:w="513" w:type="pct"/>
            <w:tcBorders>
              <w:top w:val="nil"/>
              <w:left w:val="nil"/>
              <w:bottom w:val="nil"/>
              <w:right w:val="nil"/>
            </w:tcBorders>
          </w:tcPr>
          <w:p w14:paraId="5B009B0B"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1455</w:t>
            </w:r>
          </w:p>
        </w:tc>
      </w:tr>
      <w:tr w:rsidR="000110FD" w14:paraId="504DC5D4" w14:textId="77777777" w:rsidTr="00303DF5">
        <w:trPr>
          <w:cantSplit/>
        </w:trPr>
        <w:tc>
          <w:tcPr>
            <w:tcW w:w="556" w:type="pct"/>
            <w:vMerge/>
            <w:tcBorders>
              <w:left w:val="nil"/>
              <w:right w:val="nil"/>
            </w:tcBorders>
          </w:tcPr>
          <w:p w14:paraId="25416ABB"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59A8436D"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272F8EF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Hops (directed inter-row spraying)</w:t>
            </w:r>
          </w:p>
        </w:tc>
        <w:tc>
          <w:tcPr>
            <w:tcW w:w="964" w:type="pct"/>
            <w:tcBorders>
              <w:top w:val="nil"/>
              <w:left w:val="nil"/>
              <w:bottom w:val="nil"/>
              <w:right w:val="nil"/>
            </w:tcBorders>
          </w:tcPr>
          <w:p w14:paraId="668CF99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280 g ac/ha</w:t>
            </w:r>
          </w:p>
          <w:p w14:paraId="4950F25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(112 g ac/ha)</w:t>
            </w:r>
          </w:p>
        </w:tc>
        <w:tc>
          <w:tcPr>
            <w:tcW w:w="580" w:type="pct"/>
            <w:tcBorders>
              <w:top w:val="nil"/>
              <w:left w:val="nil"/>
              <w:bottom w:val="nil"/>
              <w:right w:val="nil"/>
            </w:tcBorders>
            <w:shd w:val="clear" w:color="auto" w:fill="92D050"/>
          </w:tcPr>
          <w:p w14:paraId="416E12E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nil"/>
              <w:right w:val="nil"/>
            </w:tcBorders>
          </w:tcPr>
          <w:p w14:paraId="36D8083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nil"/>
              <w:right w:val="nil"/>
            </w:tcBorders>
            <w:shd w:val="clear" w:color="auto" w:fill="92D050"/>
          </w:tcPr>
          <w:p w14:paraId="18BF760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041FBAC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43975C3F" w14:textId="77777777" w:rsidTr="00303DF5">
        <w:trPr>
          <w:cantSplit/>
        </w:trPr>
        <w:tc>
          <w:tcPr>
            <w:tcW w:w="556" w:type="pct"/>
            <w:vMerge/>
            <w:tcBorders>
              <w:left w:val="nil"/>
              <w:right w:val="nil"/>
            </w:tcBorders>
          </w:tcPr>
          <w:p w14:paraId="52AB25D0"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0AD68790"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631B617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Asparagus</w:t>
            </w:r>
          </w:p>
        </w:tc>
        <w:tc>
          <w:tcPr>
            <w:tcW w:w="964" w:type="pct"/>
            <w:tcBorders>
              <w:top w:val="nil"/>
              <w:left w:val="nil"/>
              <w:bottom w:val="single" w:sz="4" w:space="0" w:color="auto"/>
              <w:right w:val="nil"/>
            </w:tcBorders>
          </w:tcPr>
          <w:p w14:paraId="2C7747B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280 g ac/ha</w:t>
            </w:r>
          </w:p>
        </w:tc>
        <w:tc>
          <w:tcPr>
            <w:tcW w:w="580" w:type="pct"/>
            <w:tcBorders>
              <w:top w:val="nil"/>
              <w:left w:val="nil"/>
              <w:bottom w:val="single" w:sz="4" w:space="0" w:color="auto"/>
              <w:right w:val="nil"/>
            </w:tcBorders>
            <w:shd w:val="clear" w:color="auto" w:fill="92D050"/>
          </w:tcPr>
          <w:p w14:paraId="7706C20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594F1149"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single" w:sz="4" w:space="0" w:color="auto"/>
              <w:right w:val="nil"/>
            </w:tcBorders>
            <w:shd w:val="clear" w:color="auto" w:fill="92D050"/>
          </w:tcPr>
          <w:p w14:paraId="49570FE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2C0B2BA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3FCCD7B6" w14:textId="77777777" w:rsidTr="00303DF5">
        <w:trPr>
          <w:cantSplit/>
        </w:trPr>
        <w:tc>
          <w:tcPr>
            <w:tcW w:w="556" w:type="pct"/>
            <w:vMerge/>
            <w:tcBorders>
              <w:left w:val="nil"/>
              <w:right w:val="nil"/>
            </w:tcBorders>
          </w:tcPr>
          <w:p w14:paraId="20BAB2E8"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356E35D7"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Cereals</w:t>
            </w:r>
          </w:p>
        </w:tc>
        <w:tc>
          <w:tcPr>
            <w:tcW w:w="798" w:type="pct"/>
            <w:tcBorders>
              <w:top w:val="single" w:sz="4" w:space="0" w:color="auto"/>
              <w:left w:val="nil"/>
              <w:bottom w:val="nil"/>
              <w:right w:val="nil"/>
            </w:tcBorders>
          </w:tcPr>
          <w:p w14:paraId="60143E7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Cereals (pre-harvest)</w:t>
            </w:r>
          </w:p>
        </w:tc>
        <w:tc>
          <w:tcPr>
            <w:tcW w:w="964" w:type="pct"/>
            <w:tcBorders>
              <w:top w:val="single" w:sz="4" w:space="0" w:color="auto"/>
              <w:left w:val="nil"/>
              <w:bottom w:val="nil"/>
              <w:right w:val="nil"/>
            </w:tcBorders>
          </w:tcPr>
          <w:p w14:paraId="03AE22E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600 g ac/ha</w:t>
            </w:r>
          </w:p>
        </w:tc>
        <w:tc>
          <w:tcPr>
            <w:tcW w:w="580" w:type="pct"/>
            <w:tcBorders>
              <w:top w:val="single" w:sz="4" w:space="0" w:color="auto"/>
              <w:left w:val="nil"/>
              <w:bottom w:val="nil"/>
              <w:right w:val="nil"/>
            </w:tcBorders>
            <w:shd w:val="clear" w:color="auto" w:fill="FF0000"/>
          </w:tcPr>
          <w:p w14:paraId="4A7D6AB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487462F9"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122</w:t>
            </w:r>
          </w:p>
        </w:tc>
        <w:tc>
          <w:tcPr>
            <w:tcW w:w="516" w:type="pct"/>
            <w:tcBorders>
              <w:top w:val="single" w:sz="4" w:space="0" w:color="auto"/>
              <w:left w:val="nil"/>
              <w:bottom w:val="nil"/>
              <w:right w:val="nil"/>
            </w:tcBorders>
            <w:shd w:val="clear" w:color="auto" w:fill="92D050"/>
          </w:tcPr>
          <w:p w14:paraId="3405B889"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5A851D96"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1875</w:t>
            </w:r>
          </w:p>
        </w:tc>
      </w:tr>
      <w:tr w:rsidR="000110FD" w14:paraId="69DF47B9" w14:textId="77777777" w:rsidTr="00303DF5">
        <w:trPr>
          <w:cantSplit/>
        </w:trPr>
        <w:tc>
          <w:tcPr>
            <w:tcW w:w="556" w:type="pct"/>
            <w:vMerge/>
            <w:tcBorders>
              <w:left w:val="nil"/>
              <w:right w:val="nil"/>
            </w:tcBorders>
          </w:tcPr>
          <w:p w14:paraId="307C4140"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29E00FD0"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13CB770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Cereals (up to tillering)</w:t>
            </w:r>
          </w:p>
        </w:tc>
        <w:tc>
          <w:tcPr>
            <w:tcW w:w="964" w:type="pct"/>
            <w:tcBorders>
              <w:top w:val="nil"/>
              <w:left w:val="nil"/>
              <w:bottom w:val="single" w:sz="4" w:space="0" w:color="auto"/>
              <w:right w:val="nil"/>
            </w:tcBorders>
          </w:tcPr>
          <w:p w14:paraId="7FA31B6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140 g ac/ha</w:t>
            </w:r>
          </w:p>
        </w:tc>
        <w:tc>
          <w:tcPr>
            <w:tcW w:w="580" w:type="pct"/>
            <w:tcBorders>
              <w:top w:val="nil"/>
              <w:left w:val="nil"/>
              <w:bottom w:val="single" w:sz="4" w:space="0" w:color="auto"/>
              <w:right w:val="nil"/>
            </w:tcBorders>
            <w:shd w:val="clear" w:color="auto" w:fill="92D050"/>
          </w:tcPr>
          <w:p w14:paraId="2F5FAEB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04BE6A0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230</w:t>
            </w:r>
          </w:p>
        </w:tc>
        <w:tc>
          <w:tcPr>
            <w:tcW w:w="516" w:type="pct"/>
            <w:tcBorders>
              <w:top w:val="nil"/>
              <w:left w:val="nil"/>
              <w:bottom w:val="single" w:sz="4" w:space="0" w:color="auto"/>
              <w:right w:val="nil"/>
            </w:tcBorders>
            <w:shd w:val="clear" w:color="auto" w:fill="92D050"/>
          </w:tcPr>
          <w:p w14:paraId="17F6C70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713DC5E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494</w:t>
            </w:r>
          </w:p>
        </w:tc>
      </w:tr>
      <w:tr w:rsidR="000110FD" w14:paraId="6AFB4221" w14:textId="77777777" w:rsidTr="00303DF5">
        <w:trPr>
          <w:cantSplit/>
        </w:trPr>
        <w:tc>
          <w:tcPr>
            <w:tcW w:w="556" w:type="pct"/>
            <w:vMerge/>
            <w:tcBorders>
              <w:left w:val="nil"/>
              <w:right w:val="nil"/>
            </w:tcBorders>
          </w:tcPr>
          <w:p w14:paraId="35CF859C"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75457FB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Grassland</w:t>
            </w:r>
          </w:p>
        </w:tc>
        <w:tc>
          <w:tcPr>
            <w:tcW w:w="798" w:type="pct"/>
            <w:tcBorders>
              <w:top w:val="single" w:sz="4" w:space="0" w:color="auto"/>
              <w:left w:val="nil"/>
              <w:bottom w:val="nil"/>
              <w:right w:val="nil"/>
            </w:tcBorders>
          </w:tcPr>
          <w:p w14:paraId="0642A692"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Pasture (grazed before spraying)</w:t>
            </w:r>
          </w:p>
        </w:tc>
        <w:tc>
          <w:tcPr>
            <w:tcW w:w="964" w:type="pct"/>
            <w:tcBorders>
              <w:top w:val="single" w:sz="4" w:space="0" w:color="auto"/>
              <w:left w:val="nil"/>
              <w:bottom w:val="nil"/>
              <w:right w:val="nil"/>
            </w:tcBorders>
          </w:tcPr>
          <w:p w14:paraId="45FCDCF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300 g ac/ha</w:t>
            </w:r>
          </w:p>
        </w:tc>
        <w:tc>
          <w:tcPr>
            <w:tcW w:w="580" w:type="pct"/>
            <w:tcBorders>
              <w:top w:val="single" w:sz="4" w:space="0" w:color="auto"/>
              <w:left w:val="nil"/>
              <w:bottom w:val="nil"/>
              <w:right w:val="nil"/>
            </w:tcBorders>
            <w:shd w:val="clear" w:color="auto" w:fill="FF0000"/>
          </w:tcPr>
          <w:p w14:paraId="10B5FD3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30BF3E9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230</w:t>
            </w:r>
          </w:p>
        </w:tc>
        <w:tc>
          <w:tcPr>
            <w:tcW w:w="516" w:type="pct"/>
            <w:tcBorders>
              <w:top w:val="single" w:sz="4" w:space="0" w:color="auto"/>
              <w:left w:val="nil"/>
              <w:bottom w:val="nil"/>
              <w:right w:val="nil"/>
            </w:tcBorders>
            <w:shd w:val="clear" w:color="auto" w:fill="FF0000"/>
          </w:tcPr>
          <w:p w14:paraId="33D1992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3" w:type="pct"/>
            <w:tcBorders>
              <w:top w:val="single" w:sz="4" w:space="0" w:color="auto"/>
              <w:left w:val="nil"/>
              <w:bottom w:val="nil"/>
              <w:right w:val="nil"/>
            </w:tcBorders>
          </w:tcPr>
          <w:p w14:paraId="0AEE1729"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66731934" w14:textId="77777777" w:rsidTr="00303DF5">
        <w:trPr>
          <w:cantSplit/>
        </w:trPr>
        <w:tc>
          <w:tcPr>
            <w:tcW w:w="556" w:type="pct"/>
            <w:vMerge/>
            <w:tcBorders>
              <w:left w:val="nil"/>
              <w:right w:val="nil"/>
            </w:tcBorders>
          </w:tcPr>
          <w:p w14:paraId="4424DBB5"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550D8200"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02410C4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Infested areas</w:t>
            </w:r>
          </w:p>
        </w:tc>
        <w:tc>
          <w:tcPr>
            <w:tcW w:w="964" w:type="pct"/>
            <w:tcBorders>
              <w:top w:val="nil"/>
              <w:left w:val="nil"/>
              <w:bottom w:val="nil"/>
              <w:right w:val="nil"/>
            </w:tcBorders>
          </w:tcPr>
          <w:p w14:paraId="14809DD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560 g ac/ha</w:t>
            </w:r>
          </w:p>
        </w:tc>
        <w:tc>
          <w:tcPr>
            <w:tcW w:w="580" w:type="pct"/>
            <w:tcBorders>
              <w:top w:val="nil"/>
              <w:left w:val="nil"/>
              <w:bottom w:val="nil"/>
              <w:right w:val="nil"/>
            </w:tcBorders>
            <w:shd w:val="clear" w:color="auto" w:fill="92D050"/>
          </w:tcPr>
          <w:p w14:paraId="253414B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nil"/>
              <w:right w:val="nil"/>
            </w:tcBorders>
          </w:tcPr>
          <w:p w14:paraId="5A0C095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1ACE824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nil"/>
              <w:left w:val="nil"/>
              <w:bottom w:val="nil"/>
              <w:right w:val="nil"/>
            </w:tcBorders>
            <w:shd w:val="clear" w:color="auto" w:fill="92D050"/>
          </w:tcPr>
          <w:p w14:paraId="7F67CDE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4C5406E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4E99342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r>
      <w:tr w:rsidR="000110FD" w14:paraId="1034F2CF" w14:textId="77777777" w:rsidTr="00303DF5">
        <w:trPr>
          <w:cantSplit/>
        </w:trPr>
        <w:tc>
          <w:tcPr>
            <w:tcW w:w="556" w:type="pct"/>
            <w:vMerge/>
            <w:tcBorders>
              <w:left w:val="nil"/>
              <w:right w:val="nil"/>
            </w:tcBorders>
          </w:tcPr>
          <w:p w14:paraId="689AD9F2"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17A81500"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263A4CA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Infested areas (knapsack sprayer and spot spraying)</w:t>
            </w:r>
          </w:p>
        </w:tc>
        <w:tc>
          <w:tcPr>
            <w:tcW w:w="964" w:type="pct"/>
            <w:tcBorders>
              <w:top w:val="nil"/>
              <w:left w:val="nil"/>
              <w:bottom w:val="single" w:sz="4" w:space="0" w:color="auto"/>
              <w:right w:val="nil"/>
            </w:tcBorders>
          </w:tcPr>
          <w:p w14:paraId="259CAB72"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1333 g ac/ha</w:t>
            </w:r>
          </w:p>
          <w:p w14:paraId="0669EE0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(533 g ac/ha)</w:t>
            </w:r>
          </w:p>
        </w:tc>
        <w:tc>
          <w:tcPr>
            <w:tcW w:w="580" w:type="pct"/>
            <w:tcBorders>
              <w:top w:val="nil"/>
              <w:left w:val="nil"/>
              <w:bottom w:val="single" w:sz="4" w:space="0" w:color="auto"/>
              <w:right w:val="nil"/>
            </w:tcBorders>
            <w:shd w:val="clear" w:color="auto" w:fill="92D050"/>
          </w:tcPr>
          <w:p w14:paraId="28DD9CE6"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58D8DDE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12C693A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nil"/>
              <w:left w:val="nil"/>
              <w:bottom w:val="single" w:sz="4" w:space="0" w:color="auto"/>
              <w:right w:val="nil"/>
            </w:tcBorders>
            <w:shd w:val="clear" w:color="auto" w:fill="92D050"/>
          </w:tcPr>
          <w:p w14:paraId="671C581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456C8169"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6EAD7A2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r>
      <w:tr w:rsidR="000110FD" w14:paraId="3387D462" w14:textId="77777777" w:rsidTr="00303DF5">
        <w:trPr>
          <w:cantSplit/>
        </w:trPr>
        <w:tc>
          <w:tcPr>
            <w:tcW w:w="556" w:type="pct"/>
            <w:vMerge/>
            <w:tcBorders>
              <w:left w:val="nil"/>
              <w:right w:val="nil"/>
            </w:tcBorders>
          </w:tcPr>
          <w:p w14:paraId="5A539663"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single" w:sz="4" w:space="0" w:color="auto"/>
              <w:right w:val="nil"/>
            </w:tcBorders>
          </w:tcPr>
          <w:p w14:paraId="53BD2DB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Legume forage</w:t>
            </w:r>
          </w:p>
        </w:tc>
        <w:tc>
          <w:tcPr>
            <w:tcW w:w="798" w:type="pct"/>
            <w:tcBorders>
              <w:top w:val="single" w:sz="4" w:space="0" w:color="auto"/>
              <w:left w:val="nil"/>
              <w:bottom w:val="single" w:sz="4" w:space="0" w:color="auto"/>
              <w:right w:val="nil"/>
            </w:tcBorders>
          </w:tcPr>
          <w:p w14:paraId="1B9029A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Lucerne (grazed before spraying)</w:t>
            </w:r>
          </w:p>
        </w:tc>
        <w:tc>
          <w:tcPr>
            <w:tcW w:w="964" w:type="pct"/>
            <w:tcBorders>
              <w:top w:val="single" w:sz="4" w:space="0" w:color="auto"/>
              <w:left w:val="nil"/>
              <w:bottom w:val="single" w:sz="4" w:space="0" w:color="auto"/>
              <w:right w:val="nil"/>
            </w:tcBorders>
          </w:tcPr>
          <w:p w14:paraId="049A2FB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140 g ac/ha</w:t>
            </w:r>
          </w:p>
        </w:tc>
        <w:tc>
          <w:tcPr>
            <w:tcW w:w="580" w:type="pct"/>
            <w:tcBorders>
              <w:top w:val="single" w:sz="4" w:space="0" w:color="auto"/>
              <w:left w:val="nil"/>
              <w:bottom w:val="single" w:sz="4" w:space="0" w:color="auto"/>
              <w:right w:val="nil"/>
            </w:tcBorders>
            <w:shd w:val="clear" w:color="auto" w:fill="92D050"/>
          </w:tcPr>
          <w:p w14:paraId="2A25C06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single" w:sz="4" w:space="0" w:color="auto"/>
              <w:right w:val="nil"/>
            </w:tcBorders>
          </w:tcPr>
          <w:p w14:paraId="0553BE8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261</w:t>
            </w:r>
          </w:p>
        </w:tc>
        <w:tc>
          <w:tcPr>
            <w:tcW w:w="516" w:type="pct"/>
            <w:tcBorders>
              <w:top w:val="single" w:sz="4" w:space="0" w:color="auto"/>
              <w:left w:val="nil"/>
              <w:bottom w:val="single" w:sz="4" w:space="0" w:color="auto"/>
              <w:right w:val="nil"/>
            </w:tcBorders>
            <w:shd w:val="clear" w:color="auto" w:fill="92D050"/>
          </w:tcPr>
          <w:p w14:paraId="78C061C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single" w:sz="4" w:space="0" w:color="auto"/>
              <w:right w:val="nil"/>
            </w:tcBorders>
          </w:tcPr>
          <w:p w14:paraId="07752136"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1209</w:t>
            </w:r>
          </w:p>
        </w:tc>
      </w:tr>
      <w:tr w:rsidR="000110FD" w:rsidRPr="008800B4" w14:paraId="358B4980" w14:textId="77777777" w:rsidTr="00303DF5">
        <w:trPr>
          <w:cantSplit/>
        </w:trPr>
        <w:tc>
          <w:tcPr>
            <w:tcW w:w="556" w:type="pct"/>
            <w:vMerge/>
            <w:tcBorders>
              <w:left w:val="nil"/>
              <w:right w:val="nil"/>
            </w:tcBorders>
          </w:tcPr>
          <w:p w14:paraId="7CEB7D2E"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712E35C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Orchards</w:t>
            </w:r>
          </w:p>
        </w:tc>
        <w:tc>
          <w:tcPr>
            <w:tcW w:w="798" w:type="pct"/>
            <w:tcBorders>
              <w:top w:val="single" w:sz="4" w:space="0" w:color="auto"/>
              <w:left w:val="nil"/>
              <w:bottom w:val="nil"/>
              <w:right w:val="nil"/>
            </w:tcBorders>
          </w:tcPr>
          <w:p w14:paraId="14D24567"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Orchards</w:t>
            </w:r>
          </w:p>
        </w:tc>
        <w:tc>
          <w:tcPr>
            <w:tcW w:w="964" w:type="pct"/>
            <w:tcBorders>
              <w:top w:val="single" w:sz="4" w:space="0" w:color="auto"/>
              <w:left w:val="nil"/>
              <w:bottom w:val="nil"/>
              <w:right w:val="nil"/>
            </w:tcBorders>
          </w:tcPr>
          <w:p w14:paraId="61BD2AC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300 g ac/ha</w:t>
            </w:r>
          </w:p>
        </w:tc>
        <w:tc>
          <w:tcPr>
            <w:tcW w:w="580" w:type="pct"/>
            <w:tcBorders>
              <w:top w:val="single" w:sz="4" w:space="0" w:color="auto"/>
              <w:left w:val="nil"/>
              <w:bottom w:val="nil"/>
              <w:right w:val="nil"/>
            </w:tcBorders>
            <w:shd w:val="clear" w:color="auto" w:fill="92D050"/>
          </w:tcPr>
          <w:p w14:paraId="311DF9A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nil"/>
              <w:right w:val="nil"/>
            </w:tcBorders>
          </w:tcPr>
          <w:p w14:paraId="65FEE60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single" w:sz="4" w:space="0" w:color="auto"/>
              <w:left w:val="nil"/>
              <w:bottom w:val="nil"/>
              <w:right w:val="nil"/>
            </w:tcBorders>
            <w:shd w:val="clear" w:color="auto" w:fill="FF0000"/>
          </w:tcPr>
          <w:p w14:paraId="7ECAEE5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3" w:type="pct"/>
            <w:tcBorders>
              <w:top w:val="single" w:sz="4" w:space="0" w:color="auto"/>
              <w:left w:val="nil"/>
              <w:bottom w:val="nil"/>
              <w:right w:val="nil"/>
            </w:tcBorders>
          </w:tcPr>
          <w:p w14:paraId="4A262CA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rsidRPr="008800B4" w14:paraId="00F7FC1C" w14:textId="77777777" w:rsidTr="00303DF5">
        <w:trPr>
          <w:cantSplit/>
        </w:trPr>
        <w:tc>
          <w:tcPr>
            <w:tcW w:w="556" w:type="pct"/>
            <w:vMerge/>
            <w:tcBorders>
              <w:left w:val="nil"/>
              <w:right w:val="nil"/>
            </w:tcBorders>
          </w:tcPr>
          <w:p w14:paraId="3B8F76A3"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09C71B77"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36756C5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Orchards (directed spray under trees and inter-row spraying)</w:t>
            </w:r>
          </w:p>
        </w:tc>
        <w:tc>
          <w:tcPr>
            <w:tcW w:w="964" w:type="pct"/>
            <w:tcBorders>
              <w:top w:val="nil"/>
              <w:left w:val="nil"/>
              <w:bottom w:val="single" w:sz="4" w:space="0" w:color="auto"/>
              <w:right w:val="nil"/>
            </w:tcBorders>
          </w:tcPr>
          <w:p w14:paraId="51C908D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300 g ac/ha</w:t>
            </w:r>
          </w:p>
          <w:p w14:paraId="2865CAE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(120 g ac/ha)</w:t>
            </w:r>
          </w:p>
        </w:tc>
        <w:tc>
          <w:tcPr>
            <w:tcW w:w="580" w:type="pct"/>
            <w:tcBorders>
              <w:top w:val="nil"/>
              <w:left w:val="nil"/>
              <w:bottom w:val="single" w:sz="4" w:space="0" w:color="auto"/>
              <w:right w:val="nil"/>
            </w:tcBorders>
            <w:shd w:val="clear" w:color="auto" w:fill="92D050"/>
          </w:tcPr>
          <w:p w14:paraId="642681E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345216F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nil"/>
              <w:left w:val="nil"/>
              <w:bottom w:val="single" w:sz="4" w:space="0" w:color="auto"/>
              <w:right w:val="nil"/>
            </w:tcBorders>
            <w:shd w:val="clear" w:color="auto" w:fill="92D050"/>
          </w:tcPr>
          <w:p w14:paraId="4C46F2D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58DF136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rsidRPr="007B099F" w14:paraId="0C20E186" w14:textId="77777777" w:rsidTr="00303DF5">
        <w:trPr>
          <w:cantSplit/>
        </w:trPr>
        <w:tc>
          <w:tcPr>
            <w:tcW w:w="556" w:type="pct"/>
            <w:vMerge/>
            <w:tcBorders>
              <w:left w:val="nil"/>
              <w:right w:val="nil"/>
            </w:tcBorders>
          </w:tcPr>
          <w:p w14:paraId="448F7FA9"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502146C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Vineyards</w:t>
            </w:r>
          </w:p>
        </w:tc>
        <w:tc>
          <w:tcPr>
            <w:tcW w:w="798" w:type="pct"/>
            <w:tcBorders>
              <w:top w:val="single" w:sz="4" w:space="0" w:color="auto"/>
              <w:left w:val="nil"/>
              <w:bottom w:val="nil"/>
              <w:right w:val="nil"/>
            </w:tcBorders>
          </w:tcPr>
          <w:p w14:paraId="27A5BB3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Vineyards</w:t>
            </w:r>
          </w:p>
        </w:tc>
        <w:tc>
          <w:tcPr>
            <w:tcW w:w="964" w:type="pct"/>
            <w:tcBorders>
              <w:top w:val="single" w:sz="4" w:space="0" w:color="auto"/>
              <w:left w:val="nil"/>
              <w:bottom w:val="nil"/>
              <w:right w:val="nil"/>
            </w:tcBorders>
          </w:tcPr>
          <w:p w14:paraId="1C0C85F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300 g ac/ha</w:t>
            </w:r>
          </w:p>
        </w:tc>
        <w:tc>
          <w:tcPr>
            <w:tcW w:w="580" w:type="pct"/>
            <w:tcBorders>
              <w:top w:val="single" w:sz="4" w:space="0" w:color="auto"/>
              <w:left w:val="nil"/>
              <w:bottom w:val="nil"/>
              <w:right w:val="nil"/>
            </w:tcBorders>
            <w:shd w:val="clear" w:color="auto" w:fill="92D050"/>
          </w:tcPr>
          <w:p w14:paraId="277C7C7F"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Yes</w:t>
            </w:r>
          </w:p>
        </w:tc>
        <w:tc>
          <w:tcPr>
            <w:tcW w:w="516" w:type="pct"/>
            <w:tcBorders>
              <w:top w:val="single" w:sz="4" w:space="0" w:color="auto"/>
              <w:left w:val="nil"/>
              <w:bottom w:val="nil"/>
              <w:right w:val="nil"/>
            </w:tcBorders>
          </w:tcPr>
          <w:p w14:paraId="6DC0E236"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464</w:t>
            </w:r>
          </w:p>
        </w:tc>
        <w:tc>
          <w:tcPr>
            <w:tcW w:w="516" w:type="pct"/>
            <w:tcBorders>
              <w:top w:val="single" w:sz="4" w:space="0" w:color="auto"/>
              <w:left w:val="nil"/>
              <w:bottom w:val="nil"/>
              <w:right w:val="nil"/>
            </w:tcBorders>
            <w:shd w:val="clear" w:color="auto" w:fill="FF0000"/>
          </w:tcPr>
          <w:p w14:paraId="1BB315CD"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No</w:t>
            </w:r>
          </w:p>
        </w:tc>
        <w:tc>
          <w:tcPr>
            <w:tcW w:w="513" w:type="pct"/>
            <w:tcBorders>
              <w:top w:val="single" w:sz="4" w:space="0" w:color="auto"/>
              <w:left w:val="nil"/>
              <w:bottom w:val="nil"/>
              <w:right w:val="nil"/>
            </w:tcBorders>
          </w:tcPr>
          <w:p w14:paraId="40580767" w14:textId="77777777" w:rsidR="000110FD" w:rsidRPr="00AC676E" w:rsidRDefault="000110FD" w:rsidP="00303DF5">
            <w:pPr>
              <w:pStyle w:val="BodyText"/>
              <w:widowControl w:val="0"/>
              <w:spacing w:after="0"/>
              <w:jc w:val="center"/>
              <w:rPr>
                <w:rFonts w:ascii="Arial" w:hAnsi="Arial" w:cs="Arial"/>
                <w:sz w:val="17"/>
                <w:szCs w:val="17"/>
                <w:highlight w:val="magenta"/>
              </w:rPr>
            </w:pPr>
            <w:r w:rsidRPr="00AC676E">
              <w:rPr>
                <w:rFonts w:ascii="Arial" w:hAnsi="Arial" w:cs="Arial"/>
                <w:sz w:val="17"/>
                <w:szCs w:val="17"/>
              </w:rPr>
              <w:t>188</w:t>
            </w:r>
          </w:p>
        </w:tc>
      </w:tr>
      <w:tr w:rsidR="000110FD" w14:paraId="26E71DEE" w14:textId="77777777" w:rsidTr="00303DF5">
        <w:trPr>
          <w:cantSplit/>
        </w:trPr>
        <w:tc>
          <w:tcPr>
            <w:tcW w:w="556" w:type="pct"/>
            <w:vMerge/>
            <w:tcBorders>
              <w:left w:val="nil"/>
              <w:bottom w:val="single" w:sz="4" w:space="0" w:color="auto"/>
              <w:right w:val="nil"/>
            </w:tcBorders>
          </w:tcPr>
          <w:p w14:paraId="647882C1"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7E3D2557"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0ACE64C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Vineyards (directed spray under vines and inter-row spraying)</w:t>
            </w:r>
          </w:p>
        </w:tc>
        <w:tc>
          <w:tcPr>
            <w:tcW w:w="964" w:type="pct"/>
            <w:tcBorders>
              <w:top w:val="nil"/>
              <w:left w:val="nil"/>
              <w:bottom w:val="single" w:sz="4" w:space="0" w:color="auto"/>
              <w:right w:val="nil"/>
            </w:tcBorders>
          </w:tcPr>
          <w:p w14:paraId="2AFD0EF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300 g ac/ha</w:t>
            </w:r>
          </w:p>
          <w:p w14:paraId="4934106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(120 g ac/ha)</w:t>
            </w:r>
          </w:p>
        </w:tc>
        <w:tc>
          <w:tcPr>
            <w:tcW w:w="580" w:type="pct"/>
            <w:tcBorders>
              <w:top w:val="nil"/>
              <w:left w:val="nil"/>
              <w:bottom w:val="single" w:sz="4" w:space="0" w:color="auto"/>
              <w:right w:val="nil"/>
            </w:tcBorders>
            <w:shd w:val="clear" w:color="auto" w:fill="92D050"/>
          </w:tcPr>
          <w:p w14:paraId="6D66A7E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1644D46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nil"/>
              <w:left w:val="nil"/>
              <w:bottom w:val="single" w:sz="4" w:space="0" w:color="auto"/>
              <w:right w:val="nil"/>
            </w:tcBorders>
            <w:shd w:val="clear" w:color="auto" w:fill="92D050"/>
          </w:tcPr>
          <w:p w14:paraId="6995ABA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2DE78BB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78C2D834" w14:textId="77777777" w:rsidTr="00303DF5">
        <w:trPr>
          <w:cantSplit/>
        </w:trPr>
        <w:tc>
          <w:tcPr>
            <w:tcW w:w="556" w:type="pct"/>
            <w:vMerge w:val="restart"/>
            <w:tcBorders>
              <w:top w:val="single" w:sz="4" w:space="0" w:color="auto"/>
              <w:left w:val="nil"/>
              <w:bottom w:val="nil"/>
              <w:right w:val="nil"/>
            </w:tcBorders>
          </w:tcPr>
          <w:p w14:paraId="0B740D6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Combination products containing paraquat</w:t>
            </w:r>
          </w:p>
        </w:tc>
        <w:tc>
          <w:tcPr>
            <w:tcW w:w="557" w:type="pct"/>
            <w:tcBorders>
              <w:top w:val="single" w:sz="4" w:space="0" w:color="auto"/>
              <w:left w:val="nil"/>
              <w:bottom w:val="nil"/>
              <w:right w:val="nil"/>
            </w:tcBorders>
          </w:tcPr>
          <w:p w14:paraId="7E31F483"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Bare soil</w:t>
            </w:r>
          </w:p>
        </w:tc>
        <w:tc>
          <w:tcPr>
            <w:tcW w:w="798" w:type="pct"/>
            <w:tcBorders>
              <w:top w:val="single" w:sz="4" w:space="0" w:color="auto"/>
              <w:left w:val="nil"/>
              <w:bottom w:val="nil"/>
              <w:right w:val="nil"/>
            </w:tcBorders>
          </w:tcPr>
          <w:p w14:paraId="5D7E413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Fallow (minimal disturbance)</w:t>
            </w:r>
          </w:p>
        </w:tc>
        <w:tc>
          <w:tcPr>
            <w:tcW w:w="964" w:type="pct"/>
            <w:tcBorders>
              <w:top w:val="single" w:sz="4" w:space="0" w:color="auto"/>
              <w:left w:val="nil"/>
              <w:bottom w:val="nil"/>
              <w:right w:val="nil"/>
            </w:tcBorders>
          </w:tcPr>
          <w:p w14:paraId="4F98F67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2× 368 g ac/ha</w:t>
            </w:r>
          </w:p>
          <w:p w14:paraId="3A33BCA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7d interval</w:t>
            </w:r>
          </w:p>
        </w:tc>
        <w:tc>
          <w:tcPr>
            <w:tcW w:w="580" w:type="pct"/>
            <w:tcBorders>
              <w:top w:val="single" w:sz="4" w:space="0" w:color="auto"/>
              <w:left w:val="nil"/>
              <w:bottom w:val="nil"/>
              <w:right w:val="nil"/>
            </w:tcBorders>
            <w:shd w:val="clear" w:color="auto" w:fill="FF0000"/>
          </w:tcPr>
          <w:p w14:paraId="6DD9E7F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5BA5455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189</w:t>
            </w:r>
          </w:p>
        </w:tc>
        <w:tc>
          <w:tcPr>
            <w:tcW w:w="516" w:type="pct"/>
            <w:tcBorders>
              <w:top w:val="single" w:sz="4" w:space="0" w:color="auto"/>
              <w:left w:val="nil"/>
              <w:bottom w:val="nil"/>
              <w:right w:val="nil"/>
            </w:tcBorders>
            <w:shd w:val="clear" w:color="auto" w:fill="92D050"/>
          </w:tcPr>
          <w:p w14:paraId="6E61636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292E8576"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0F007A79" w14:textId="77777777" w:rsidTr="00303DF5">
        <w:trPr>
          <w:cantSplit/>
        </w:trPr>
        <w:tc>
          <w:tcPr>
            <w:tcW w:w="556" w:type="pct"/>
            <w:vMerge/>
            <w:tcBorders>
              <w:top w:val="nil"/>
              <w:left w:val="nil"/>
              <w:bottom w:val="nil"/>
              <w:right w:val="nil"/>
            </w:tcBorders>
          </w:tcPr>
          <w:p w14:paraId="65ED4903"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5B16D753"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164F5FD3"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Fallow (minimal disturbance)</w:t>
            </w:r>
          </w:p>
        </w:tc>
        <w:tc>
          <w:tcPr>
            <w:tcW w:w="964" w:type="pct"/>
            <w:tcBorders>
              <w:top w:val="nil"/>
              <w:left w:val="nil"/>
              <w:bottom w:val="nil"/>
              <w:right w:val="nil"/>
            </w:tcBorders>
          </w:tcPr>
          <w:p w14:paraId="7E1BDED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tc>
        <w:tc>
          <w:tcPr>
            <w:tcW w:w="580" w:type="pct"/>
            <w:tcBorders>
              <w:top w:val="nil"/>
              <w:left w:val="nil"/>
              <w:bottom w:val="nil"/>
              <w:right w:val="nil"/>
            </w:tcBorders>
            <w:shd w:val="clear" w:color="auto" w:fill="FF0000"/>
          </w:tcPr>
          <w:p w14:paraId="0E41D3D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nil"/>
              <w:right w:val="nil"/>
            </w:tcBorders>
          </w:tcPr>
          <w:p w14:paraId="0E69069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nil"/>
              <w:right w:val="nil"/>
            </w:tcBorders>
            <w:shd w:val="clear" w:color="auto" w:fill="92D050"/>
          </w:tcPr>
          <w:p w14:paraId="6E2DE79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721AF39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19CC2AC1" w14:textId="77777777" w:rsidTr="00303DF5">
        <w:trPr>
          <w:cantSplit/>
        </w:trPr>
        <w:tc>
          <w:tcPr>
            <w:tcW w:w="556" w:type="pct"/>
            <w:vMerge/>
            <w:tcBorders>
              <w:top w:val="nil"/>
              <w:left w:val="nil"/>
              <w:bottom w:val="nil"/>
              <w:right w:val="nil"/>
            </w:tcBorders>
          </w:tcPr>
          <w:p w14:paraId="20671C7F"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2EBCF1E1"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219811F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Fallow (full disturbance)</w:t>
            </w:r>
          </w:p>
        </w:tc>
        <w:tc>
          <w:tcPr>
            <w:tcW w:w="964" w:type="pct"/>
            <w:tcBorders>
              <w:top w:val="nil"/>
              <w:left w:val="nil"/>
              <w:bottom w:val="nil"/>
              <w:right w:val="nil"/>
            </w:tcBorders>
          </w:tcPr>
          <w:p w14:paraId="61F6FB2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276 g ac/ha</w:t>
            </w:r>
          </w:p>
        </w:tc>
        <w:tc>
          <w:tcPr>
            <w:tcW w:w="580" w:type="pct"/>
            <w:tcBorders>
              <w:top w:val="nil"/>
              <w:left w:val="nil"/>
              <w:bottom w:val="nil"/>
              <w:right w:val="nil"/>
            </w:tcBorders>
            <w:shd w:val="clear" w:color="auto" w:fill="FF0000"/>
          </w:tcPr>
          <w:p w14:paraId="5B0E557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nil"/>
              <w:right w:val="nil"/>
            </w:tcBorders>
          </w:tcPr>
          <w:p w14:paraId="4FF0D26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nil"/>
              <w:right w:val="nil"/>
            </w:tcBorders>
            <w:shd w:val="clear" w:color="auto" w:fill="92D050"/>
          </w:tcPr>
          <w:p w14:paraId="64C57B8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07210BB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17A08521" w14:textId="77777777" w:rsidTr="00303DF5">
        <w:trPr>
          <w:cantSplit/>
        </w:trPr>
        <w:tc>
          <w:tcPr>
            <w:tcW w:w="556" w:type="pct"/>
            <w:vMerge/>
            <w:tcBorders>
              <w:top w:val="nil"/>
              <w:left w:val="nil"/>
              <w:bottom w:val="nil"/>
              <w:right w:val="nil"/>
            </w:tcBorders>
          </w:tcPr>
          <w:p w14:paraId="4890E077"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79001177"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12AAF313"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 xml:space="preserve">Market gardens, nurseries, potatoes (pre/early-emergence), rice (pre-emergence), vegetables </w:t>
            </w:r>
          </w:p>
        </w:tc>
        <w:tc>
          <w:tcPr>
            <w:tcW w:w="964" w:type="pct"/>
            <w:tcBorders>
              <w:top w:val="nil"/>
              <w:left w:val="nil"/>
              <w:bottom w:val="nil"/>
              <w:right w:val="nil"/>
            </w:tcBorders>
          </w:tcPr>
          <w:p w14:paraId="433BE8A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tc>
        <w:tc>
          <w:tcPr>
            <w:tcW w:w="580" w:type="pct"/>
            <w:tcBorders>
              <w:top w:val="nil"/>
              <w:left w:val="nil"/>
              <w:bottom w:val="nil"/>
              <w:right w:val="nil"/>
            </w:tcBorders>
            <w:shd w:val="clear" w:color="auto" w:fill="FF0000"/>
          </w:tcPr>
          <w:p w14:paraId="6C595D2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nil"/>
              <w:right w:val="nil"/>
            </w:tcBorders>
          </w:tcPr>
          <w:p w14:paraId="3B5899F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nil"/>
              <w:right w:val="nil"/>
            </w:tcBorders>
            <w:shd w:val="clear" w:color="auto" w:fill="92D050"/>
          </w:tcPr>
          <w:p w14:paraId="51181E2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2549B48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678F45D7" w14:textId="77777777" w:rsidTr="00303DF5">
        <w:trPr>
          <w:cantSplit/>
        </w:trPr>
        <w:tc>
          <w:tcPr>
            <w:tcW w:w="556" w:type="pct"/>
            <w:vMerge/>
            <w:tcBorders>
              <w:top w:val="nil"/>
              <w:left w:val="nil"/>
              <w:bottom w:val="nil"/>
              <w:right w:val="nil"/>
            </w:tcBorders>
          </w:tcPr>
          <w:p w14:paraId="041FF8CA"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599820E4"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3C32BDE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Spot spray in market gardens, nurseries, potatoes (pre/early emergence)</w:t>
            </w:r>
          </w:p>
        </w:tc>
        <w:tc>
          <w:tcPr>
            <w:tcW w:w="964" w:type="pct"/>
            <w:tcBorders>
              <w:top w:val="nil"/>
              <w:left w:val="nil"/>
              <w:bottom w:val="single" w:sz="4" w:space="0" w:color="auto"/>
              <w:right w:val="nil"/>
            </w:tcBorders>
          </w:tcPr>
          <w:p w14:paraId="01ACBA37"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p w14:paraId="5A707B4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(147 g ac/ha)</w:t>
            </w:r>
          </w:p>
        </w:tc>
        <w:tc>
          <w:tcPr>
            <w:tcW w:w="580" w:type="pct"/>
            <w:tcBorders>
              <w:top w:val="nil"/>
              <w:left w:val="nil"/>
              <w:bottom w:val="single" w:sz="4" w:space="0" w:color="auto"/>
              <w:right w:val="nil"/>
            </w:tcBorders>
            <w:shd w:val="clear" w:color="auto" w:fill="92D050"/>
          </w:tcPr>
          <w:p w14:paraId="28369F4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528925A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283</w:t>
            </w:r>
          </w:p>
        </w:tc>
        <w:tc>
          <w:tcPr>
            <w:tcW w:w="516" w:type="pct"/>
            <w:tcBorders>
              <w:top w:val="nil"/>
              <w:left w:val="nil"/>
              <w:bottom w:val="single" w:sz="4" w:space="0" w:color="auto"/>
              <w:right w:val="nil"/>
            </w:tcBorders>
            <w:shd w:val="clear" w:color="auto" w:fill="92D050"/>
          </w:tcPr>
          <w:p w14:paraId="7276871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4828FD6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1455</w:t>
            </w:r>
          </w:p>
        </w:tc>
      </w:tr>
      <w:tr w:rsidR="000110FD" w14:paraId="63B28B9D" w14:textId="77777777" w:rsidTr="00303DF5">
        <w:trPr>
          <w:cantSplit/>
        </w:trPr>
        <w:tc>
          <w:tcPr>
            <w:tcW w:w="556" w:type="pct"/>
            <w:vMerge/>
            <w:tcBorders>
              <w:top w:val="nil"/>
              <w:left w:val="nil"/>
              <w:bottom w:val="nil"/>
              <w:right w:val="nil"/>
            </w:tcBorders>
          </w:tcPr>
          <w:p w14:paraId="7E7743FC"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single" w:sz="4" w:space="0" w:color="auto"/>
              <w:right w:val="nil"/>
            </w:tcBorders>
          </w:tcPr>
          <w:p w14:paraId="4078168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Cotton</w:t>
            </w:r>
          </w:p>
        </w:tc>
        <w:tc>
          <w:tcPr>
            <w:tcW w:w="798" w:type="pct"/>
            <w:tcBorders>
              <w:top w:val="single" w:sz="4" w:space="0" w:color="auto"/>
              <w:left w:val="nil"/>
              <w:bottom w:val="single" w:sz="4" w:space="0" w:color="auto"/>
              <w:right w:val="nil"/>
            </w:tcBorders>
          </w:tcPr>
          <w:p w14:paraId="5A0610B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Cotton desiccant</w:t>
            </w:r>
          </w:p>
        </w:tc>
        <w:tc>
          <w:tcPr>
            <w:tcW w:w="964" w:type="pct"/>
            <w:tcBorders>
              <w:top w:val="single" w:sz="4" w:space="0" w:color="auto"/>
              <w:left w:val="nil"/>
              <w:bottom w:val="single" w:sz="4" w:space="0" w:color="auto"/>
              <w:right w:val="nil"/>
            </w:tcBorders>
          </w:tcPr>
          <w:p w14:paraId="35BD039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184 g ac/ha</w:t>
            </w:r>
          </w:p>
        </w:tc>
        <w:tc>
          <w:tcPr>
            <w:tcW w:w="580" w:type="pct"/>
            <w:tcBorders>
              <w:top w:val="single" w:sz="4" w:space="0" w:color="auto"/>
              <w:left w:val="nil"/>
              <w:bottom w:val="single" w:sz="4" w:space="0" w:color="auto"/>
              <w:right w:val="nil"/>
            </w:tcBorders>
            <w:shd w:val="clear" w:color="auto" w:fill="92D050"/>
          </w:tcPr>
          <w:p w14:paraId="2F409FE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single" w:sz="4" w:space="0" w:color="auto"/>
              <w:right w:val="nil"/>
            </w:tcBorders>
          </w:tcPr>
          <w:p w14:paraId="5D4298F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1591</w:t>
            </w:r>
          </w:p>
        </w:tc>
        <w:tc>
          <w:tcPr>
            <w:tcW w:w="516" w:type="pct"/>
            <w:tcBorders>
              <w:top w:val="single" w:sz="4" w:space="0" w:color="auto"/>
              <w:left w:val="nil"/>
              <w:bottom w:val="single" w:sz="4" w:space="0" w:color="auto"/>
              <w:right w:val="nil"/>
            </w:tcBorders>
            <w:shd w:val="clear" w:color="auto" w:fill="92D050"/>
          </w:tcPr>
          <w:p w14:paraId="5EF3ED5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single" w:sz="4" w:space="0" w:color="auto"/>
              <w:right w:val="nil"/>
            </w:tcBorders>
          </w:tcPr>
          <w:p w14:paraId="4EE5DF4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610</w:t>
            </w:r>
          </w:p>
        </w:tc>
      </w:tr>
      <w:tr w:rsidR="000110FD" w14:paraId="5A7D15D3" w14:textId="77777777" w:rsidTr="00303DF5">
        <w:trPr>
          <w:cantSplit/>
        </w:trPr>
        <w:tc>
          <w:tcPr>
            <w:tcW w:w="556" w:type="pct"/>
            <w:vMerge/>
            <w:tcBorders>
              <w:top w:val="nil"/>
              <w:left w:val="nil"/>
              <w:bottom w:val="nil"/>
              <w:right w:val="nil"/>
            </w:tcBorders>
          </w:tcPr>
          <w:p w14:paraId="53A2FF6B"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2F2D8F9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Grassland</w:t>
            </w:r>
          </w:p>
        </w:tc>
        <w:tc>
          <w:tcPr>
            <w:tcW w:w="798" w:type="pct"/>
            <w:tcBorders>
              <w:top w:val="single" w:sz="4" w:space="0" w:color="auto"/>
              <w:left w:val="nil"/>
              <w:bottom w:val="nil"/>
              <w:right w:val="nil"/>
            </w:tcBorders>
          </w:tcPr>
          <w:p w14:paraId="01EAD7B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Public service areas, rights of way</w:t>
            </w:r>
          </w:p>
        </w:tc>
        <w:tc>
          <w:tcPr>
            <w:tcW w:w="964" w:type="pct"/>
            <w:tcBorders>
              <w:top w:val="single" w:sz="4" w:space="0" w:color="auto"/>
              <w:left w:val="nil"/>
              <w:bottom w:val="nil"/>
              <w:right w:val="nil"/>
            </w:tcBorders>
          </w:tcPr>
          <w:p w14:paraId="29628057"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tc>
        <w:tc>
          <w:tcPr>
            <w:tcW w:w="580" w:type="pct"/>
            <w:tcBorders>
              <w:top w:val="single" w:sz="4" w:space="0" w:color="auto"/>
              <w:left w:val="nil"/>
              <w:bottom w:val="nil"/>
              <w:right w:val="nil"/>
            </w:tcBorders>
            <w:shd w:val="clear" w:color="auto" w:fill="92D050"/>
          </w:tcPr>
          <w:p w14:paraId="42E262E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nil"/>
              <w:right w:val="nil"/>
            </w:tcBorders>
          </w:tcPr>
          <w:p w14:paraId="01F9D60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68935E7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single" w:sz="4" w:space="0" w:color="auto"/>
              <w:left w:val="nil"/>
              <w:bottom w:val="nil"/>
              <w:right w:val="nil"/>
            </w:tcBorders>
            <w:shd w:val="clear" w:color="auto" w:fill="92D050"/>
          </w:tcPr>
          <w:p w14:paraId="789B07D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6E88BE6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0EFEA7E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r>
      <w:tr w:rsidR="000110FD" w14:paraId="41698052" w14:textId="77777777" w:rsidTr="00303DF5">
        <w:trPr>
          <w:cantSplit/>
        </w:trPr>
        <w:tc>
          <w:tcPr>
            <w:tcW w:w="556" w:type="pct"/>
            <w:vMerge/>
            <w:tcBorders>
              <w:top w:val="nil"/>
              <w:left w:val="nil"/>
              <w:bottom w:val="nil"/>
              <w:right w:val="nil"/>
            </w:tcBorders>
          </w:tcPr>
          <w:p w14:paraId="0BBB1A9E"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23F8E682"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1EAFCB2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Spot spray in public service areas, rights of way</w:t>
            </w:r>
          </w:p>
        </w:tc>
        <w:tc>
          <w:tcPr>
            <w:tcW w:w="964" w:type="pct"/>
            <w:tcBorders>
              <w:top w:val="nil"/>
              <w:left w:val="nil"/>
              <w:bottom w:val="nil"/>
              <w:right w:val="nil"/>
            </w:tcBorders>
          </w:tcPr>
          <w:p w14:paraId="5911DE1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p w14:paraId="1D826F1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(147 g ac/ha)</w:t>
            </w:r>
          </w:p>
        </w:tc>
        <w:tc>
          <w:tcPr>
            <w:tcW w:w="580" w:type="pct"/>
            <w:tcBorders>
              <w:top w:val="nil"/>
              <w:left w:val="nil"/>
              <w:bottom w:val="nil"/>
              <w:right w:val="nil"/>
            </w:tcBorders>
            <w:shd w:val="clear" w:color="auto" w:fill="92D050"/>
          </w:tcPr>
          <w:p w14:paraId="2FED024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nil"/>
              <w:right w:val="nil"/>
            </w:tcBorders>
          </w:tcPr>
          <w:p w14:paraId="327C27D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60124896"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nil"/>
              <w:left w:val="nil"/>
              <w:bottom w:val="nil"/>
              <w:right w:val="nil"/>
            </w:tcBorders>
            <w:shd w:val="clear" w:color="auto" w:fill="92D050"/>
          </w:tcPr>
          <w:p w14:paraId="387793A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5E67925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560</w:t>
            </w:r>
          </w:p>
          <w:p w14:paraId="4665909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r>
      <w:tr w:rsidR="000110FD" w14:paraId="3D011DFC" w14:textId="77777777" w:rsidTr="00303DF5">
        <w:trPr>
          <w:cantSplit/>
        </w:trPr>
        <w:tc>
          <w:tcPr>
            <w:tcW w:w="556" w:type="pct"/>
            <w:vMerge/>
            <w:tcBorders>
              <w:top w:val="nil"/>
              <w:left w:val="nil"/>
              <w:bottom w:val="nil"/>
              <w:right w:val="nil"/>
            </w:tcBorders>
          </w:tcPr>
          <w:p w14:paraId="076CA6DB"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6E49C399"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1EE1AC9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Pasture</w:t>
            </w:r>
          </w:p>
        </w:tc>
        <w:tc>
          <w:tcPr>
            <w:tcW w:w="964" w:type="pct"/>
            <w:tcBorders>
              <w:top w:val="nil"/>
              <w:left w:val="nil"/>
              <w:bottom w:val="nil"/>
              <w:right w:val="nil"/>
            </w:tcBorders>
          </w:tcPr>
          <w:p w14:paraId="52A6AE7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tc>
        <w:tc>
          <w:tcPr>
            <w:tcW w:w="580" w:type="pct"/>
            <w:tcBorders>
              <w:top w:val="nil"/>
              <w:left w:val="nil"/>
              <w:bottom w:val="nil"/>
              <w:right w:val="nil"/>
            </w:tcBorders>
            <w:shd w:val="clear" w:color="auto" w:fill="FF0000"/>
          </w:tcPr>
          <w:p w14:paraId="5F7FD90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nil"/>
              <w:right w:val="nil"/>
            </w:tcBorders>
          </w:tcPr>
          <w:p w14:paraId="46B4EA0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230</w:t>
            </w:r>
          </w:p>
        </w:tc>
        <w:tc>
          <w:tcPr>
            <w:tcW w:w="516" w:type="pct"/>
            <w:tcBorders>
              <w:top w:val="nil"/>
              <w:left w:val="nil"/>
              <w:bottom w:val="nil"/>
              <w:right w:val="nil"/>
            </w:tcBorders>
            <w:shd w:val="clear" w:color="auto" w:fill="FF0000"/>
          </w:tcPr>
          <w:p w14:paraId="2583199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3" w:type="pct"/>
            <w:tcBorders>
              <w:top w:val="nil"/>
              <w:left w:val="nil"/>
              <w:bottom w:val="nil"/>
              <w:right w:val="nil"/>
            </w:tcBorders>
          </w:tcPr>
          <w:p w14:paraId="317A544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68E580F5" w14:textId="77777777" w:rsidTr="00303DF5">
        <w:trPr>
          <w:cantSplit/>
        </w:trPr>
        <w:tc>
          <w:tcPr>
            <w:tcW w:w="556" w:type="pct"/>
            <w:vMerge/>
            <w:tcBorders>
              <w:top w:val="nil"/>
              <w:left w:val="nil"/>
              <w:bottom w:val="nil"/>
              <w:right w:val="nil"/>
            </w:tcBorders>
          </w:tcPr>
          <w:p w14:paraId="6EE82ABB"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5BBC2E22"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5D42C543"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Hay freezing</w:t>
            </w:r>
          </w:p>
        </w:tc>
        <w:tc>
          <w:tcPr>
            <w:tcW w:w="964" w:type="pct"/>
            <w:tcBorders>
              <w:top w:val="nil"/>
              <w:left w:val="nil"/>
              <w:bottom w:val="single" w:sz="4" w:space="0" w:color="auto"/>
              <w:right w:val="nil"/>
            </w:tcBorders>
          </w:tcPr>
          <w:p w14:paraId="65967F4B"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173 g ac/ha</w:t>
            </w:r>
          </w:p>
        </w:tc>
        <w:tc>
          <w:tcPr>
            <w:tcW w:w="580" w:type="pct"/>
            <w:tcBorders>
              <w:top w:val="nil"/>
              <w:left w:val="nil"/>
              <w:bottom w:val="single" w:sz="4" w:space="0" w:color="auto"/>
              <w:right w:val="nil"/>
            </w:tcBorders>
            <w:shd w:val="clear" w:color="auto" w:fill="92D050"/>
          </w:tcPr>
          <w:p w14:paraId="599E45E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27ED5B3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230</w:t>
            </w:r>
          </w:p>
        </w:tc>
        <w:tc>
          <w:tcPr>
            <w:tcW w:w="516" w:type="pct"/>
            <w:tcBorders>
              <w:top w:val="nil"/>
              <w:left w:val="nil"/>
              <w:bottom w:val="single" w:sz="4" w:space="0" w:color="auto"/>
              <w:right w:val="nil"/>
            </w:tcBorders>
            <w:shd w:val="clear" w:color="auto" w:fill="92D050"/>
          </w:tcPr>
          <w:p w14:paraId="57D1C0D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24E10E1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197E29DE" w14:textId="77777777" w:rsidTr="00303DF5">
        <w:trPr>
          <w:cantSplit/>
        </w:trPr>
        <w:tc>
          <w:tcPr>
            <w:tcW w:w="556" w:type="pct"/>
            <w:vMerge/>
            <w:tcBorders>
              <w:top w:val="nil"/>
              <w:left w:val="nil"/>
              <w:bottom w:val="nil"/>
              <w:right w:val="nil"/>
            </w:tcBorders>
          </w:tcPr>
          <w:p w14:paraId="47912E97"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single" w:sz="4" w:space="0" w:color="auto"/>
              <w:right w:val="nil"/>
            </w:tcBorders>
          </w:tcPr>
          <w:p w14:paraId="27B52CC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Legume forage</w:t>
            </w:r>
          </w:p>
        </w:tc>
        <w:tc>
          <w:tcPr>
            <w:tcW w:w="798" w:type="pct"/>
            <w:tcBorders>
              <w:top w:val="single" w:sz="4" w:space="0" w:color="auto"/>
              <w:left w:val="nil"/>
              <w:bottom w:val="single" w:sz="4" w:space="0" w:color="auto"/>
              <w:right w:val="nil"/>
            </w:tcBorders>
          </w:tcPr>
          <w:p w14:paraId="6C84750F" w14:textId="77777777" w:rsidR="000110FD" w:rsidRPr="00AC676E" w:rsidRDefault="000110FD" w:rsidP="00303DF5">
            <w:pPr>
              <w:pStyle w:val="BodyText"/>
              <w:widowControl w:val="0"/>
              <w:spacing w:after="0"/>
              <w:rPr>
                <w:rFonts w:ascii="Arial" w:hAnsi="Arial" w:cs="Arial"/>
                <w:sz w:val="17"/>
                <w:szCs w:val="17"/>
                <w:highlight w:val="magenta"/>
              </w:rPr>
            </w:pPr>
            <w:r w:rsidRPr="00AC676E">
              <w:rPr>
                <w:rFonts w:ascii="Arial" w:hAnsi="Arial" w:cs="Arial"/>
                <w:sz w:val="17"/>
                <w:szCs w:val="17"/>
              </w:rPr>
              <w:t>Lucerne (grazed before spraying)</w:t>
            </w:r>
          </w:p>
        </w:tc>
        <w:tc>
          <w:tcPr>
            <w:tcW w:w="964" w:type="pct"/>
            <w:tcBorders>
              <w:top w:val="single" w:sz="4" w:space="0" w:color="auto"/>
              <w:left w:val="nil"/>
              <w:bottom w:val="single" w:sz="4" w:space="0" w:color="auto"/>
              <w:right w:val="nil"/>
            </w:tcBorders>
          </w:tcPr>
          <w:p w14:paraId="308BB052"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276 g ac/ha</w:t>
            </w:r>
          </w:p>
        </w:tc>
        <w:tc>
          <w:tcPr>
            <w:tcW w:w="580" w:type="pct"/>
            <w:tcBorders>
              <w:top w:val="single" w:sz="4" w:space="0" w:color="auto"/>
              <w:left w:val="nil"/>
              <w:bottom w:val="single" w:sz="4" w:space="0" w:color="auto"/>
              <w:right w:val="nil"/>
            </w:tcBorders>
            <w:shd w:val="clear" w:color="auto" w:fill="92D050"/>
          </w:tcPr>
          <w:p w14:paraId="79F7F49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single" w:sz="4" w:space="0" w:color="auto"/>
              <w:right w:val="nil"/>
            </w:tcBorders>
          </w:tcPr>
          <w:p w14:paraId="386FCEB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276</w:t>
            </w:r>
          </w:p>
          <w:p w14:paraId="3459948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c>
          <w:tcPr>
            <w:tcW w:w="516" w:type="pct"/>
            <w:tcBorders>
              <w:top w:val="single" w:sz="4" w:space="0" w:color="auto"/>
              <w:left w:val="nil"/>
              <w:bottom w:val="single" w:sz="4" w:space="0" w:color="auto"/>
              <w:right w:val="nil"/>
            </w:tcBorders>
            <w:shd w:val="clear" w:color="auto" w:fill="92D050"/>
          </w:tcPr>
          <w:p w14:paraId="6BA4B1C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single" w:sz="4" w:space="0" w:color="auto"/>
              <w:right w:val="nil"/>
            </w:tcBorders>
          </w:tcPr>
          <w:p w14:paraId="2845D16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1209</w:t>
            </w:r>
          </w:p>
        </w:tc>
      </w:tr>
      <w:tr w:rsidR="000110FD" w14:paraId="7A561E1B" w14:textId="77777777" w:rsidTr="00303DF5">
        <w:trPr>
          <w:cantSplit/>
        </w:trPr>
        <w:tc>
          <w:tcPr>
            <w:tcW w:w="556" w:type="pct"/>
            <w:vMerge/>
            <w:tcBorders>
              <w:top w:val="nil"/>
              <w:left w:val="nil"/>
              <w:bottom w:val="nil"/>
              <w:right w:val="nil"/>
            </w:tcBorders>
          </w:tcPr>
          <w:p w14:paraId="1818E2E5"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0DC53C58"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Maize</w:t>
            </w:r>
          </w:p>
        </w:tc>
        <w:tc>
          <w:tcPr>
            <w:tcW w:w="798" w:type="pct"/>
            <w:tcBorders>
              <w:top w:val="single" w:sz="4" w:space="0" w:color="auto"/>
              <w:left w:val="nil"/>
              <w:bottom w:val="nil"/>
              <w:right w:val="nil"/>
            </w:tcBorders>
          </w:tcPr>
          <w:p w14:paraId="62A8A49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Sugarcane (over the top spray)</w:t>
            </w:r>
          </w:p>
        </w:tc>
        <w:tc>
          <w:tcPr>
            <w:tcW w:w="964" w:type="pct"/>
            <w:tcBorders>
              <w:top w:val="single" w:sz="4" w:space="0" w:color="auto"/>
              <w:left w:val="nil"/>
              <w:bottom w:val="nil"/>
              <w:right w:val="nil"/>
            </w:tcBorders>
          </w:tcPr>
          <w:p w14:paraId="7ABEACD6"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230 g ac/ha</w:t>
            </w:r>
          </w:p>
        </w:tc>
        <w:tc>
          <w:tcPr>
            <w:tcW w:w="580" w:type="pct"/>
            <w:tcBorders>
              <w:top w:val="single" w:sz="4" w:space="0" w:color="auto"/>
              <w:left w:val="nil"/>
              <w:bottom w:val="nil"/>
              <w:right w:val="nil"/>
            </w:tcBorders>
            <w:shd w:val="clear" w:color="auto" w:fill="FF0000"/>
          </w:tcPr>
          <w:p w14:paraId="7FF97D3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21464B6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168</w:t>
            </w:r>
          </w:p>
        </w:tc>
        <w:tc>
          <w:tcPr>
            <w:tcW w:w="516" w:type="pct"/>
            <w:tcBorders>
              <w:top w:val="single" w:sz="4" w:space="0" w:color="auto"/>
              <w:left w:val="nil"/>
              <w:bottom w:val="nil"/>
              <w:right w:val="nil"/>
            </w:tcBorders>
            <w:shd w:val="clear" w:color="auto" w:fill="92D050"/>
          </w:tcPr>
          <w:p w14:paraId="20C86C5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43F113F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230</w:t>
            </w:r>
          </w:p>
          <w:p w14:paraId="12985DE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r>
      <w:tr w:rsidR="000110FD" w14:paraId="14DE0FE5" w14:textId="77777777" w:rsidTr="00303DF5">
        <w:trPr>
          <w:cantSplit/>
        </w:trPr>
        <w:tc>
          <w:tcPr>
            <w:tcW w:w="556" w:type="pct"/>
            <w:vMerge/>
            <w:tcBorders>
              <w:top w:val="nil"/>
              <w:left w:val="nil"/>
              <w:bottom w:val="nil"/>
              <w:right w:val="nil"/>
            </w:tcBorders>
          </w:tcPr>
          <w:p w14:paraId="54CDF9CD"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7CF52162"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630EACBA"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Sugarcane (inter-row spray)</w:t>
            </w:r>
          </w:p>
        </w:tc>
        <w:tc>
          <w:tcPr>
            <w:tcW w:w="964" w:type="pct"/>
            <w:tcBorders>
              <w:top w:val="nil"/>
              <w:left w:val="nil"/>
              <w:bottom w:val="single" w:sz="4" w:space="0" w:color="auto"/>
              <w:right w:val="nil"/>
            </w:tcBorders>
          </w:tcPr>
          <w:p w14:paraId="45054CC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230 g ac/ha</w:t>
            </w:r>
          </w:p>
        </w:tc>
        <w:tc>
          <w:tcPr>
            <w:tcW w:w="580" w:type="pct"/>
            <w:tcBorders>
              <w:top w:val="nil"/>
              <w:left w:val="nil"/>
              <w:bottom w:val="single" w:sz="4" w:space="0" w:color="auto"/>
              <w:right w:val="nil"/>
            </w:tcBorders>
            <w:shd w:val="clear" w:color="auto" w:fill="FF0000"/>
          </w:tcPr>
          <w:p w14:paraId="775FA677"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nil"/>
              <w:left w:val="nil"/>
              <w:bottom w:val="single" w:sz="4" w:space="0" w:color="auto"/>
              <w:right w:val="nil"/>
            </w:tcBorders>
          </w:tcPr>
          <w:p w14:paraId="2B820F3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126</w:t>
            </w:r>
          </w:p>
        </w:tc>
        <w:tc>
          <w:tcPr>
            <w:tcW w:w="516" w:type="pct"/>
            <w:tcBorders>
              <w:top w:val="nil"/>
              <w:left w:val="nil"/>
              <w:bottom w:val="single" w:sz="4" w:space="0" w:color="auto"/>
              <w:right w:val="nil"/>
            </w:tcBorders>
            <w:shd w:val="clear" w:color="auto" w:fill="92D050"/>
          </w:tcPr>
          <w:p w14:paraId="378E0DF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5FBB836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230</w:t>
            </w:r>
          </w:p>
          <w:p w14:paraId="37AD77E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(WOE)</w:t>
            </w:r>
          </w:p>
        </w:tc>
      </w:tr>
      <w:tr w:rsidR="000110FD" w14:paraId="5D9083A6" w14:textId="77777777" w:rsidTr="00303DF5">
        <w:trPr>
          <w:cantSplit/>
        </w:trPr>
        <w:tc>
          <w:tcPr>
            <w:tcW w:w="556" w:type="pct"/>
            <w:vMerge/>
            <w:tcBorders>
              <w:top w:val="nil"/>
              <w:left w:val="nil"/>
              <w:bottom w:val="nil"/>
              <w:right w:val="nil"/>
            </w:tcBorders>
          </w:tcPr>
          <w:p w14:paraId="26148D66"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7D81474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Potatoes</w:t>
            </w:r>
          </w:p>
        </w:tc>
        <w:tc>
          <w:tcPr>
            <w:tcW w:w="798" w:type="pct"/>
            <w:tcBorders>
              <w:top w:val="single" w:sz="4" w:space="0" w:color="auto"/>
              <w:left w:val="nil"/>
              <w:bottom w:val="nil"/>
              <w:right w:val="nil"/>
            </w:tcBorders>
          </w:tcPr>
          <w:p w14:paraId="6398B56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Potatoes (pre-harvest)</w:t>
            </w:r>
          </w:p>
        </w:tc>
        <w:tc>
          <w:tcPr>
            <w:tcW w:w="964" w:type="pct"/>
            <w:tcBorders>
              <w:top w:val="single" w:sz="4" w:space="0" w:color="auto"/>
              <w:left w:val="nil"/>
              <w:bottom w:val="nil"/>
              <w:right w:val="nil"/>
            </w:tcBorders>
          </w:tcPr>
          <w:p w14:paraId="747504D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368 g ac/ha</w:t>
            </w:r>
          </w:p>
        </w:tc>
        <w:tc>
          <w:tcPr>
            <w:tcW w:w="580" w:type="pct"/>
            <w:tcBorders>
              <w:top w:val="single" w:sz="4" w:space="0" w:color="auto"/>
              <w:left w:val="nil"/>
              <w:bottom w:val="nil"/>
              <w:right w:val="nil"/>
            </w:tcBorders>
            <w:shd w:val="clear" w:color="auto" w:fill="FF0000"/>
          </w:tcPr>
          <w:p w14:paraId="4846A72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6" w:type="pct"/>
            <w:tcBorders>
              <w:top w:val="single" w:sz="4" w:space="0" w:color="auto"/>
              <w:left w:val="nil"/>
              <w:bottom w:val="nil"/>
              <w:right w:val="nil"/>
            </w:tcBorders>
          </w:tcPr>
          <w:p w14:paraId="5988873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278</w:t>
            </w:r>
          </w:p>
        </w:tc>
        <w:tc>
          <w:tcPr>
            <w:tcW w:w="516" w:type="pct"/>
            <w:tcBorders>
              <w:top w:val="single" w:sz="4" w:space="0" w:color="auto"/>
              <w:left w:val="nil"/>
              <w:bottom w:val="nil"/>
              <w:right w:val="nil"/>
            </w:tcBorders>
            <w:shd w:val="clear" w:color="auto" w:fill="92D050"/>
          </w:tcPr>
          <w:p w14:paraId="65B864A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single" w:sz="4" w:space="0" w:color="auto"/>
              <w:left w:val="nil"/>
              <w:bottom w:val="nil"/>
              <w:right w:val="nil"/>
            </w:tcBorders>
          </w:tcPr>
          <w:p w14:paraId="6DFB524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509</w:t>
            </w:r>
          </w:p>
        </w:tc>
      </w:tr>
      <w:tr w:rsidR="000110FD" w14:paraId="29BDB05C" w14:textId="77777777" w:rsidTr="00303DF5">
        <w:trPr>
          <w:cantSplit/>
        </w:trPr>
        <w:tc>
          <w:tcPr>
            <w:tcW w:w="556" w:type="pct"/>
            <w:vMerge/>
            <w:tcBorders>
              <w:top w:val="nil"/>
              <w:left w:val="nil"/>
              <w:bottom w:val="nil"/>
              <w:right w:val="nil"/>
            </w:tcBorders>
          </w:tcPr>
          <w:p w14:paraId="0C175BF0"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772EB77D"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5642242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Spot spray in potatoes (pre-harvest)</w:t>
            </w:r>
          </w:p>
        </w:tc>
        <w:tc>
          <w:tcPr>
            <w:tcW w:w="964" w:type="pct"/>
            <w:tcBorders>
              <w:top w:val="nil"/>
              <w:left w:val="nil"/>
              <w:bottom w:val="single" w:sz="4" w:space="0" w:color="auto"/>
              <w:right w:val="nil"/>
            </w:tcBorders>
          </w:tcPr>
          <w:p w14:paraId="4272D69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 368 g ac/ha</w:t>
            </w:r>
          </w:p>
          <w:p w14:paraId="4A9F75E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(147 g ac/ha)</w:t>
            </w:r>
          </w:p>
        </w:tc>
        <w:tc>
          <w:tcPr>
            <w:tcW w:w="580" w:type="pct"/>
            <w:tcBorders>
              <w:top w:val="nil"/>
              <w:left w:val="nil"/>
              <w:bottom w:val="single" w:sz="4" w:space="0" w:color="auto"/>
              <w:right w:val="nil"/>
            </w:tcBorders>
            <w:shd w:val="clear" w:color="auto" w:fill="92D050"/>
          </w:tcPr>
          <w:p w14:paraId="627B4CA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2F396B4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278</w:t>
            </w:r>
          </w:p>
        </w:tc>
        <w:tc>
          <w:tcPr>
            <w:tcW w:w="516" w:type="pct"/>
            <w:tcBorders>
              <w:top w:val="nil"/>
              <w:left w:val="nil"/>
              <w:bottom w:val="single" w:sz="4" w:space="0" w:color="auto"/>
              <w:right w:val="nil"/>
            </w:tcBorders>
            <w:shd w:val="clear" w:color="auto" w:fill="92D050"/>
          </w:tcPr>
          <w:p w14:paraId="48D65CB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62B08A7C"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509</w:t>
            </w:r>
          </w:p>
        </w:tc>
      </w:tr>
      <w:tr w:rsidR="000110FD" w14:paraId="5C661357" w14:textId="77777777" w:rsidTr="00303DF5">
        <w:trPr>
          <w:cantSplit/>
        </w:trPr>
        <w:tc>
          <w:tcPr>
            <w:tcW w:w="556" w:type="pct"/>
            <w:vMerge/>
            <w:tcBorders>
              <w:top w:val="nil"/>
              <w:left w:val="nil"/>
              <w:bottom w:val="nil"/>
              <w:right w:val="nil"/>
            </w:tcBorders>
          </w:tcPr>
          <w:p w14:paraId="6D236FD1"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0385A03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Orchards</w:t>
            </w:r>
          </w:p>
        </w:tc>
        <w:tc>
          <w:tcPr>
            <w:tcW w:w="798" w:type="pct"/>
            <w:tcBorders>
              <w:top w:val="single" w:sz="4" w:space="0" w:color="auto"/>
              <w:left w:val="nil"/>
              <w:bottom w:val="nil"/>
              <w:right w:val="nil"/>
            </w:tcBorders>
          </w:tcPr>
          <w:p w14:paraId="385EFD45"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Forests, orchards, plantations, bananas, duboisia, tea tree</w:t>
            </w:r>
          </w:p>
        </w:tc>
        <w:tc>
          <w:tcPr>
            <w:tcW w:w="964" w:type="pct"/>
            <w:tcBorders>
              <w:top w:val="single" w:sz="4" w:space="0" w:color="auto"/>
              <w:left w:val="nil"/>
              <w:bottom w:val="nil"/>
              <w:right w:val="nil"/>
            </w:tcBorders>
          </w:tcPr>
          <w:p w14:paraId="2F2723D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tc>
        <w:tc>
          <w:tcPr>
            <w:tcW w:w="580" w:type="pct"/>
            <w:tcBorders>
              <w:top w:val="single" w:sz="4" w:space="0" w:color="auto"/>
              <w:left w:val="nil"/>
              <w:bottom w:val="nil"/>
              <w:right w:val="nil"/>
            </w:tcBorders>
            <w:shd w:val="clear" w:color="auto" w:fill="92D050"/>
          </w:tcPr>
          <w:p w14:paraId="0B97F9C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nil"/>
              <w:right w:val="nil"/>
            </w:tcBorders>
          </w:tcPr>
          <w:p w14:paraId="60552F7D"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single" w:sz="4" w:space="0" w:color="auto"/>
              <w:left w:val="nil"/>
              <w:bottom w:val="nil"/>
              <w:right w:val="nil"/>
            </w:tcBorders>
            <w:shd w:val="clear" w:color="auto" w:fill="FF0000"/>
          </w:tcPr>
          <w:p w14:paraId="3F0BA81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3" w:type="pct"/>
            <w:tcBorders>
              <w:top w:val="single" w:sz="4" w:space="0" w:color="auto"/>
              <w:left w:val="nil"/>
              <w:bottom w:val="nil"/>
              <w:right w:val="nil"/>
            </w:tcBorders>
          </w:tcPr>
          <w:p w14:paraId="3D3CB12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3309074F" w14:textId="77777777" w:rsidTr="00303DF5">
        <w:trPr>
          <w:cantSplit/>
        </w:trPr>
        <w:tc>
          <w:tcPr>
            <w:tcW w:w="556" w:type="pct"/>
            <w:vMerge/>
            <w:tcBorders>
              <w:top w:val="nil"/>
              <w:left w:val="nil"/>
              <w:bottom w:val="nil"/>
              <w:right w:val="nil"/>
            </w:tcBorders>
          </w:tcPr>
          <w:p w14:paraId="5300E472"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nil"/>
              <w:right w:val="nil"/>
            </w:tcBorders>
          </w:tcPr>
          <w:p w14:paraId="6448BC35"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nil"/>
              <w:right w:val="nil"/>
            </w:tcBorders>
          </w:tcPr>
          <w:p w14:paraId="5569327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Spot application in orchards, plantations, bananas, duboisia</w:t>
            </w:r>
          </w:p>
        </w:tc>
        <w:tc>
          <w:tcPr>
            <w:tcW w:w="964" w:type="pct"/>
            <w:tcBorders>
              <w:top w:val="nil"/>
              <w:left w:val="nil"/>
              <w:bottom w:val="nil"/>
              <w:right w:val="nil"/>
            </w:tcBorders>
          </w:tcPr>
          <w:p w14:paraId="3FC0F630"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p w14:paraId="68B160CF"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(147 g ac/ha)</w:t>
            </w:r>
          </w:p>
        </w:tc>
        <w:tc>
          <w:tcPr>
            <w:tcW w:w="580" w:type="pct"/>
            <w:tcBorders>
              <w:top w:val="nil"/>
              <w:left w:val="nil"/>
              <w:bottom w:val="nil"/>
              <w:right w:val="nil"/>
            </w:tcBorders>
            <w:shd w:val="clear" w:color="auto" w:fill="92D050"/>
          </w:tcPr>
          <w:p w14:paraId="77DBC91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nil"/>
              <w:right w:val="nil"/>
            </w:tcBorders>
          </w:tcPr>
          <w:p w14:paraId="45BDE2FA"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nil"/>
              <w:left w:val="nil"/>
              <w:bottom w:val="nil"/>
              <w:right w:val="nil"/>
            </w:tcBorders>
            <w:shd w:val="clear" w:color="auto" w:fill="92D050"/>
          </w:tcPr>
          <w:p w14:paraId="20B95B1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nil"/>
              <w:right w:val="nil"/>
            </w:tcBorders>
          </w:tcPr>
          <w:p w14:paraId="01E7C1F8"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401870FB" w14:textId="77777777" w:rsidTr="00303DF5">
        <w:trPr>
          <w:cantSplit/>
        </w:trPr>
        <w:tc>
          <w:tcPr>
            <w:tcW w:w="556" w:type="pct"/>
            <w:vMerge/>
            <w:tcBorders>
              <w:top w:val="nil"/>
              <w:left w:val="nil"/>
              <w:bottom w:val="nil"/>
              <w:right w:val="nil"/>
            </w:tcBorders>
          </w:tcPr>
          <w:p w14:paraId="7C6A2EB9"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108F7BED"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6B91EB5E"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Spot application in avocado, custard apples, lychees, mangos</w:t>
            </w:r>
          </w:p>
        </w:tc>
        <w:tc>
          <w:tcPr>
            <w:tcW w:w="964" w:type="pct"/>
            <w:tcBorders>
              <w:top w:val="nil"/>
              <w:left w:val="nil"/>
              <w:bottom w:val="single" w:sz="4" w:space="0" w:color="auto"/>
              <w:right w:val="nil"/>
            </w:tcBorders>
          </w:tcPr>
          <w:p w14:paraId="57FF5ECC"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2× 276 g ac/ha</w:t>
            </w:r>
          </w:p>
          <w:p w14:paraId="7AE4967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14d interval</w:t>
            </w:r>
          </w:p>
          <w:p w14:paraId="2E6C6131"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(152 g ac/ha)</w:t>
            </w:r>
          </w:p>
        </w:tc>
        <w:tc>
          <w:tcPr>
            <w:tcW w:w="580" w:type="pct"/>
            <w:tcBorders>
              <w:top w:val="nil"/>
              <w:left w:val="nil"/>
              <w:bottom w:val="single" w:sz="4" w:space="0" w:color="auto"/>
              <w:right w:val="nil"/>
            </w:tcBorders>
            <w:shd w:val="clear" w:color="auto" w:fill="92D050"/>
          </w:tcPr>
          <w:p w14:paraId="0ED95D43"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43DB794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357</w:t>
            </w:r>
          </w:p>
        </w:tc>
        <w:tc>
          <w:tcPr>
            <w:tcW w:w="516" w:type="pct"/>
            <w:tcBorders>
              <w:top w:val="nil"/>
              <w:left w:val="nil"/>
              <w:bottom w:val="single" w:sz="4" w:space="0" w:color="auto"/>
              <w:right w:val="nil"/>
            </w:tcBorders>
            <w:shd w:val="clear" w:color="auto" w:fill="92D050"/>
          </w:tcPr>
          <w:p w14:paraId="55C7890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62DFD5C2"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7367FFED" w14:textId="77777777" w:rsidTr="00303DF5">
        <w:trPr>
          <w:cantSplit/>
        </w:trPr>
        <w:tc>
          <w:tcPr>
            <w:tcW w:w="556" w:type="pct"/>
            <w:vMerge/>
            <w:tcBorders>
              <w:top w:val="nil"/>
              <w:left w:val="nil"/>
              <w:bottom w:val="nil"/>
              <w:right w:val="nil"/>
            </w:tcBorders>
          </w:tcPr>
          <w:p w14:paraId="04B3308B"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single" w:sz="4" w:space="0" w:color="auto"/>
              <w:left w:val="nil"/>
              <w:bottom w:val="nil"/>
              <w:right w:val="nil"/>
            </w:tcBorders>
          </w:tcPr>
          <w:p w14:paraId="6959F26D"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Vineyards</w:t>
            </w:r>
          </w:p>
        </w:tc>
        <w:tc>
          <w:tcPr>
            <w:tcW w:w="798" w:type="pct"/>
            <w:tcBorders>
              <w:top w:val="single" w:sz="4" w:space="0" w:color="auto"/>
              <w:left w:val="nil"/>
              <w:bottom w:val="nil"/>
              <w:right w:val="nil"/>
            </w:tcBorders>
          </w:tcPr>
          <w:p w14:paraId="3AB626B3"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Vineyards</w:t>
            </w:r>
          </w:p>
        </w:tc>
        <w:tc>
          <w:tcPr>
            <w:tcW w:w="964" w:type="pct"/>
            <w:tcBorders>
              <w:top w:val="single" w:sz="4" w:space="0" w:color="auto"/>
              <w:left w:val="nil"/>
              <w:bottom w:val="nil"/>
              <w:right w:val="nil"/>
            </w:tcBorders>
          </w:tcPr>
          <w:p w14:paraId="78F77877"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tc>
        <w:tc>
          <w:tcPr>
            <w:tcW w:w="580" w:type="pct"/>
            <w:tcBorders>
              <w:top w:val="single" w:sz="4" w:space="0" w:color="auto"/>
              <w:left w:val="nil"/>
              <w:bottom w:val="nil"/>
              <w:right w:val="nil"/>
            </w:tcBorders>
            <w:shd w:val="clear" w:color="auto" w:fill="92D050"/>
          </w:tcPr>
          <w:p w14:paraId="48D56C7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single" w:sz="4" w:space="0" w:color="auto"/>
              <w:left w:val="nil"/>
              <w:bottom w:val="nil"/>
              <w:right w:val="nil"/>
            </w:tcBorders>
          </w:tcPr>
          <w:p w14:paraId="3EAEAED4"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single" w:sz="4" w:space="0" w:color="auto"/>
              <w:left w:val="nil"/>
              <w:bottom w:val="nil"/>
              <w:right w:val="nil"/>
            </w:tcBorders>
            <w:shd w:val="clear" w:color="auto" w:fill="FF0000"/>
          </w:tcPr>
          <w:p w14:paraId="4E75CB30"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No</w:t>
            </w:r>
          </w:p>
        </w:tc>
        <w:tc>
          <w:tcPr>
            <w:tcW w:w="513" w:type="pct"/>
            <w:tcBorders>
              <w:top w:val="single" w:sz="4" w:space="0" w:color="auto"/>
              <w:left w:val="nil"/>
              <w:bottom w:val="nil"/>
              <w:right w:val="nil"/>
            </w:tcBorders>
          </w:tcPr>
          <w:p w14:paraId="1800D7EB"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r w:rsidR="000110FD" w14:paraId="408D30F8" w14:textId="77777777" w:rsidTr="00303DF5">
        <w:trPr>
          <w:cantSplit/>
        </w:trPr>
        <w:tc>
          <w:tcPr>
            <w:tcW w:w="556" w:type="pct"/>
            <w:vMerge/>
            <w:tcBorders>
              <w:top w:val="nil"/>
              <w:left w:val="nil"/>
              <w:right w:val="nil"/>
            </w:tcBorders>
          </w:tcPr>
          <w:p w14:paraId="77D211B8" w14:textId="77777777" w:rsidR="000110FD" w:rsidRPr="00AC676E" w:rsidRDefault="000110FD" w:rsidP="00303DF5">
            <w:pPr>
              <w:pStyle w:val="BodyText"/>
              <w:widowControl w:val="0"/>
              <w:spacing w:after="0"/>
              <w:rPr>
                <w:rFonts w:ascii="Arial" w:hAnsi="Arial" w:cs="Arial"/>
                <w:sz w:val="17"/>
                <w:szCs w:val="17"/>
              </w:rPr>
            </w:pPr>
          </w:p>
        </w:tc>
        <w:tc>
          <w:tcPr>
            <w:tcW w:w="557" w:type="pct"/>
            <w:tcBorders>
              <w:top w:val="nil"/>
              <w:left w:val="nil"/>
              <w:bottom w:val="single" w:sz="4" w:space="0" w:color="auto"/>
              <w:right w:val="nil"/>
            </w:tcBorders>
          </w:tcPr>
          <w:p w14:paraId="50FEABF7" w14:textId="77777777" w:rsidR="000110FD" w:rsidRPr="00AC676E" w:rsidRDefault="000110FD" w:rsidP="00303DF5">
            <w:pPr>
              <w:pStyle w:val="BodyText"/>
              <w:widowControl w:val="0"/>
              <w:spacing w:after="0"/>
              <w:rPr>
                <w:rFonts w:ascii="Arial" w:hAnsi="Arial" w:cs="Arial"/>
                <w:sz w:val="17"/>
                <w:szCs w:val="17"/>
              </w:rPr>
            </w:pPr>
          </w:p>
        </w:tc>
        <w:tc>
          <w:tcPr>
            <w:tcW w:w="798" w:type="pct"/>
            <w:tcBorders>
              <w:top w:val="nil"/>
              <w:left w:val="nil"/>
              <w:bottom w:val="single" w:sz="4" w:space="0" w:color="auto"/>
              <w:right w:val="nil"/>
            </w:tcBorders>
          </w:tcPr>
          <w:p w14:paraId="551800C4"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Spot application in vineyards</w:t>
            </w:r>
          </w:p>
        </w:tc>
        <w:tc>
          <w:tcPr>
            <w:tcW w:w="964" w:type="pct"/>
            <w:tcBorders>
              <w:top w:val="nil"/>
              <w:left w:val="nil"/>
              <w:bottom w:val="single" w:sz="4" w:space="0" w:color="auto"/>
              <w:right w:val="nil"/>
            </w:tcBorders>
          </w:tcPr>
          <w:p w14:paraId="14E23779"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From 1× 368 g ac/ha</w:t>
            </w:r>
          </w:p>
          <w:p w14:paraId="4576CF62" w14:textId="77777777" w:rsidR="000110FD" w:rsidRPr="00AC676E" w:rsidRDefault="000110FD" w:rsidP="00303DF5">
            <w:pPr>
              <w:pStyle w:val="BodyText"/>
              <w:widowControl w:val="0"/>
              <w:spacing w:after="0"/>
              <w:rPr>
                <w:rFonts w:ascii="Arial" w:hAnsi="Arial" w:cs="Arial"/>
                <w:sz w:val="17"/>
                <w:szCs w:val="17"/>
              </w:rPr>
            </w:pPr>
            <w:r w:rsidRPr="00AC676E">
              <w:rPr>
                <w:rFonts w:ascii="Arial" w:hAnsi="Arial" w:cs="Arial"/>
                <w:sz w:val="17"/>
                <w:szCs w:val="17"/>
              </w:rPr>
              <w:t>(147 g ac/ha)</w:t>
            </w:r>
          </w:p>
        </w:tc>
        <w:tc>
          <w:tcPr>
            <w:tcW w:w="580" w:type="pct"/>
            <w:tcBorders>
              <w:top w:val="nil"/>
              <w:left w:val="nil"/>
              <w:bottom w:val="single" w:sz="4" w:space="0" w:color="auto"/>
              <w:right w:val="nil"/>
            </w:tcBorders>
            <w:shd w:val="clear" w:color="auto" w:fill="92D050"/>
          </w:tcPr>
          <w:p w14:paraId="79FEC5CE"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6" w:type="pct"/>
            <w:tcBorders>
              <w:top w:val="nil"/>
              <w:left w:val="nil"/>
              <w:bottom w:val="single" w:sz="4" w:space="0" w:color="auto"/>
              <w:right w:val="nil"/>
            </w:tcBorders>
          </w:tcPr>
          <w:p w14:paraId="3DF75C8F"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464</w:t>
            </w:r>
          </w:p>
        </w:tc>
        <w:tc>
          <w:tcPr>
            <w:tcW w:w="516" w:type="pct"/>
            <w:tcBorders>
              <w:top w:val="nil"/>
              <w:left w:val="nil"/>
              <w:bottom w:val="single" w:sz="4" w:space="0" w:color="auto"/>
              <w:right w:val="nil"/>
            </w:tcBorders>
            <w:shd w:val="clear" w:color="auto" w:fill="92D050"/>
          </w:tcPr>
          <w:p w14:paraId="55A6A301"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Yes</w:t>
            </w:r>
          </w:p>
        </w:tc>
        <w:tc>
          <w:tcPr>
            <w:tcW w:w="513" w:type="pct"/>
            <w:tcBorders>
              <w:top w:val="nil"/>
              <w:left w:val="nil"/>
              <w:bottom w:val="single" w:sz="4" w:space="0" w:color="auto"/>
              <w:right w:val="nil"/>
            </w:tcBorders>
          </w:tcPr>
          <w:p w14:paraId="74C83B05" w14:textId="77777777" w:rsidR="000110FD" w:rsidRPr="00AC676E" w:rsidRDefault="000110FD" w:rsidP="00303DF5">
            <w:pPr>
              <w:pStyle w:val="BodyText"/>
              <w:widowControl w:val="0"/>
              <w:spacing w:after="0"/>
              <w:jc w:val="center"/>
              <w:rPr>
                <w:rFonts w:ascii="Arial" w:hAnsi="Arial" w:cs="Arial"/>
                <w:sz w:val="17"/>
                <w:szCs w:val="17"/>
              </w:rPr>
            </w:pPr>
            <w:r w:rsidRPr="00AC676E">
              <w:rPr>
                <w:rFonts w:ascii="Arial" w:hAnsi="Arial" w:cs="Arial"/>
                <w:sz w:val="17"/>
                <w:szCs w:val="17"/>
              </w:rPr>
              <w:t>188</w:t>
            </w:r>
          </w:p>
        </w:tc>
      </w:tr>
    </w:tbl>
    <w:p w14:paraId="0DA96DA8" w14:textId="77777777" w:rsidR="000110FD" w:rsidRDefault="000110FD" w:rsidP="00AC676E">
      <w:pPr>
        <w:pStyle w:val="SourceTableNote"/>
      </w:pPr>
      <w:r>
        <w:t>WOE = weight-of-evidence, the risk assessment conclusion is based on a weight-of-evidence argument</w:t>
      </w:r>
    </w:p>
    <w:p w14:paraId="3DF23E8A" w14:textId="77777777" w:rsidR="002B1A69" w:rsidRDefault="002B1A69" w:rsidP="00115810">
      <w:pPr>
        <w:pStyle w:val="SourceTableNote"/>
        <w:sectPr w:rsidR="002B1A69" w:rsidSect="009A2AA4">
          <w:headerReference w:type="even" r:id="rId50"/>
          <w:pgSz w:w="11906" w:h="16838" w:code="9"/>
          <w:pgMar w:top="2835" w:right="1134" w:bottom="1134" w:left="1134" w:header="1701" w:footer="680" w:gutter="0"/>
          <w:cols w:space="708"/>
          <w:docGrid w:linePitch="360"/>
        </w:sectPr>
      </w:pPr>
    </w:p>
    <w:p w14:paraId="05427008" w14:textId="77777777" w:rsidR="00644988" w:rsidRDefault="00644988" w:rsidP="00C97A0F">
      <w:pPr>
        <w:pStyle w:val="Heading1"/>
        <w:numPr>
          <w:ilvl w:val="0"/>
          <w:numId w:val="0"/>
        </w:numPr>
        <w:ind w:left="432" w:hanging="432"/>
      </w:pPr>
      <w:bookmarkStart w:id="525" w:name="_Toc149734924"/>
      <w:bookmarkStart w:id="526" w:name="_Toc153649661"/>
      <w:bookmarkStart w:id="527" w:name="_Toc156980644"/>
      <w:bookmarkStart w:id="528" w:name="_Toc233039045"/>
      <w:r>
        <w:lastRenderedPageBreak/>
        <w:t>Appendix D –</w:t>
      </w:r>
      <w:bookmarkStart w:id="529" w:name="_Toc153649662"/>
      <w:bookmarkStart w:id="530" w:name="_Toc156980645"/>
      <w:bookmarkEnd w:id="525"/>
      <w:bookmarkEnd w:id="526"/>
      <w:bookmarkEnd w:id="527"/>
      <w:r>
        <w:t xml:space="preserve"> PBT and POP assessments</w:t>
      </w:r>
      <w:bookmarkEnd w:id="528"/>
      <w:bookmarkEnd w:id="529"/>
      <w:bookmarkEnd w:id="530"/>
    </w:p>
    <w:p w14:paraId="60D0A13F" w14:textId="013FE49F" w:rsidR="00644988" w:rsidRPr="00644988" w:rsidRDefault="00644988" w:rsidP="00644988">
      <w:pPr>
        <w:pStyle w:val="NormalText"/>
      </w:pPr>
      <w:r w:rsidRPr="00644988">
        <w:t>The Stockholm Convention provides scientifically based criteria for potential POPs (persistent organic pollutants) and a process that ultimately may lead to elimination of a POP substance globally. POPs are persistent, bioaccumulative, and toxic (PBT)</w:t>
      </w:r>
      <w:r w:rsidR="00E601B1">
        <w:t>,</w:t>
      </w:r>
      <w:r w:rsidRPr="00644988">
        <w:t xml:space="preserve"> and also have potential for long-range transport.</w:t>
      </w:r>
    </w:p>
    <w:p w14:paraId="3EC6CC86" w14:textId="77777777" w:rsidR="00644988" w:rsidRPr="008C00B3" w:rsidRDefault="00644988" w:rsidP="002345BB">
      <w:pPr>
        <w:pStyle w:val="PreliminariesH2"/>
        <w:rPr>
          <w:b/>
          <w:bCs/>
        </w:rPr>
      </w:pPr>
      <w:r w:rsidRPr="0084476E">
        <w:t>Persistence</w:t>
      </w:r>
      <w:r w:rsidRPr="008C00B3">
        <w:rPr>
          <w:b/>
          <w:bCs/>
        </w:rPr>
        <w:t xml:space="preserve"> </w:t>
      </w:r>
      <w:r w:rsidRPr="0084476E">
        <w:t>criterion</w:t>
      </w:r>
    </w:p>
    <w:p w14:paraId="6BA0F3F7" w14:textId="77777777" w:rsidR="00644988" w:rsidRPr="00305A1A" w:rsidRDefault="00644988" w:rsidP="00305A1A">
      <w:pPr>
        <w:pStyle w:val="NormalText"/>
      </w:pPr>
      <w:r w:rsidRPr="00305A1A">
        <w:t>The criteria for persistence in Annex D of the convention are expressed as follows:</w:t>
      </w:r>
    </w:p>
    <w:p w14:paraId="18BC28EB" w14:textId="3BDB172D" w:rsidR="00644988" w:rsidRDefault="00644988" w:rsidP="00EB3550">
      <w:pPr>
        <w:pStyle w:val="Bullet1"/>
      </w:pPr>
      <w:r w:rsidRPr="00305A1A">
        <w:t xml:space="preserve">Evidence that the half-life of the chemical in water is greater than </w:t>
      </w:r>
      <w:r w:rsidR="00EB3550">
        <w:t>2</w:t>
      </w:r>
      <w:r w:rsidRPr="00305A1A">
        <w:t xml:space="preserve"> months (60 days), or that its half-life in soil is greater than </w:t>
      </w:r>
      <w:r w:rsidR="00EB3550">
        <w:t>6</w:t>
      </w:r>
      <w:r w:rsidRPr="00305A1A">
        <w:t xml:space="preserve"> months (180 days), or that its half-life in sediment is greater than </w:t>
      </w:r>
      <w:r w:rsidR="00EB3550">
        <w:t>6</w:t>
      </w:r>
      <w:r w:rsidRPr="00305A1A">
        <w:t xml:space="preserve"> months (180 days)</w:t>
      </w:r>
    </w:p>
    <w:p w14:paraId="3FB8918B" w14:textId="4EC6949C" w:rsidR="00EB3550" w:rsidRPr="00305A1A" w:rsidRDefault="00EB3550" w:rsidP="00EB3550">
      <w:pPr>
        <w:pStyle w:val="NormalText"/>
      </w:pPr>
      <w:r>
        <w:t>Or,</w:t>
      </w:r>
    </w:p>
    <w:p w14:paraId="057A7F4A" w14:textId="57E0CF0C" w:rsidR="00644988" w:rsidRPr="00305A1A" w:rsidRDefault="00644988" w:rsidP="00EB3550">
      <w:pPr>
        <w:pStyle w:val="Bullet1"/>
      </w:pPr>
      <w:r w:rsidRPr="00305A1A">
        <w:t>Evidence that the chemical is otherwise sufficiently persistent to justify its consideration within the scope of the Convention.</w:t>
      </w:r>
    </w:p>
    <w:p w14:paraId="4771EB09" w14:textId="333FFC57" w:rsidR="00644988" w:rsidRPr="00305A1A" w:rsidRDefault="00644988" w:rsidP="00305A1A">
      <w:pPr>
        <w:pStyle w:val="NormalText"/>
      </w:pPr>
      <w:r w:rsidRPr="00305A1A">
        <w:t>As diquat is considered to be not readily biodegradable, a weight of evidence approach is followed.</w:t>
      </w:r>
    </w:p>
    <w:p w14:paraId="7852981A" w14:textId="19B93474" w:rsidR="00644988" w:rsidRPr="00305A1A" w:rsidRDefault="00644988" w:rsidP="00305A1A">
      <w:pPr>
        <w:pStyle w:val="Bullet1"/>
      </w:pPr>
      <w:r w:rsidRPr="00305A1A">
        <w:t>The photolytic half-li</w:t>
      </w:r>
      <w:r w:rsidR="00E601B1">
        <w:t xml:space="preserve">fe estimates for </w:t>
      </w:r>
      <w:r w:rsidRPr="00305A1A">
        <w:t>diquat in freshwater d</w:t>
      </w:r>
      <w:r w:rsidR="00E601B1">
        <w:t>o</w:t>
      </w:r>
      <w:r w:rsidRPr="00305A1A">
        <w:t xml:space="preserve"> not exceed 40 days. The DT</w:t>
      </w:r>
      <w:r w:rsidRPr="00EB3550">
        <w:rPr>
          <w:vertAlign w:val="subscript"/>
        </w:rPr>
        <w:t>50</w:t>
      </w:r>
      <w:r w:rsidRPr="00305A1A">
        <w:t xml:space="preserve"> was determined to be 2.0</w:t>
      </w:r>
      <w:r w:rsidR="00EB3550">
        <w:t> </w:t>
      </w:r>
      <w:r w:rsidRPr="00305A1A">
        <w:t>days at 40˚N latitude in summer (Oliver &amp; Webb 2005) and 10 days at 35°N latitude in spring (Dean 2000). Furthermore, a DT</w:t>
      </w:r>
      <w:r w:rsidRPr="000742AA">
        <w:rPr>
          <w:vertAlign w:val="subscript"/>
        </w:rPr>
        <w:t>50</w:t>
      </w:r>
      <w:r w:rsidRPr="00305A1A">
        <w:t xml:space="preserve"> of 11 days was determined in pH 7 buffer under mid-European spring sunlight conditions (Moffatt 1993).</w:t>
      </w:r>
    </w:p>
    <w:p w14:paraId="13A20380" w14:textId="52290998" w:rsidR="00644988" w:rsidRPr="00305A1A" w:rsidRDefault="00644988" w:rsidP="00305A1A">
      <w:pPr>
        <w:pStyle w:val="Bullet1"/>
      </w:pPr>
      <w:r w:rsidRPr="00305A1A">
        <w:t>The degradation half-life of diquat determined in a freshwater sediment simulation study exceeded 180</w:t>
      </w:r>
      <w:r w:rsidR="00EB3550">
        <w:t> </w:t>
      </w:r>
      <w:r w:rsidRPr="00305A1A">
        <w:t>days. The DT</w:t>
      </w:r>
      <w:r w:rsidRPr="00EB3550">
        <w:rPr>
          <w:vertAlign w:val="subscript"/>
        </w:rPr>
        <w:t xml:space="preserve">50 </w:t>
      </w:r>
      <w:r w:rsidRPr="00305A1A">
        <w:t>values were determined to be &gt;1</w:t>
      </w:r>
      <w:r w:rsidR="00EB3550">
        <w:t>,</w:t>
      </w:r>
      <w:r w:rsidRPr="00305A1A">
        <w:t>000 days, under aerobic conditions</w:t>
      </w:r>
      <w:r w:rsidR="00E601B1">
        <w:t>,</w:t>
      </w:r>
      <w:r w:rsidRPr="00305A1A">
        <w:t xml:space="preserve"> in </w:t>
      </w:r>
      <w:r w:rsidR="00EB3550">
        <w:t>2</w:t>
      </w:r>
      <w:r w:rsidRPr="00305A1A">
        <w:t xml:space="preserve"> different freshwater systems (Calwich Abbey and Swiss Lake) (Ford </w:t>
      </w:r>
      <w:r w:rsidR="00897E74">
        <w:t xml:space="preserve">et al </w:t>
      </w:r>
      <w:r w:rsidRPr="00305A1A">
        <w:t>2012). Diquat was also considered to be stable in a Florida water/sediment system (Cranor &amp; Daly 1988).</w:t>
      </w:r>
    </w:p>
    <w:p w14:paraId="496D0843" w14:textId="5949CD80" w:rsidR="00644988" w:rsidRPr="00305A1A" w:rsidRDefault="00644988" w:rsidP="00305A1A">
      <w:pPr>
        <w:pStyle w:val="Bullet1"/>
      </w:pPr>
      <w:r w:rsidRPr="00305A1A">
        <w:t xml:space="preserve">The degradation half-life of diquat was determined in </w:t>
      </w:r>
      <w:r w:rsidR="00EB3550">
        <w:t>3</w:t>
      </w:r>
      <w:r w:rsidRPr="00305A1A">
        <w:t xml:space="preserve"> aerobic studies, which exceeded 180 days in all </w:t>
      </w:r>
      <w:r w:rsidR="00EB3550">
        <w:t>9 </w:t>
      </w:r>
      <w:r w:rsidRPr="00305A1A">
        <w:t>soils tested (Dixon 2012a, Johnston 1988, Mônego 2006a).</w:t>
      </w:r>
    </w:p>
    <w:p w14:paraId="76E2C61B" w14:textId="77777777" w:rsidR="00644988" w:rsidRPr="00305A1A" w:rsidRDefault="00644988" w:rsidP="00305A1A">
      <w:pPr>
        <w:pStyle w:val="NormalText"/>
      </w:pPr>
      <w:r w:rsidRPr="00305A1A">
        <w:t>Overall, these results show that the degradation of the substance in freshwater sediment and soil exceeded the persistence threshold. It can thus be concluded that diquat meets the persistence criterion.</w:t>
      </w:r>
    </w:p>
    <w:p w14:paraId="74D6FCDB" w14:textId="77777777" w:rsidR="00644988" w:rsidRPr="0084476E" w:rsidRDefault="00644988" w:rsidP="002345BB">
      <w:pPr>
        <w:pStyle w:val="PreliminariesH2"/>
      </w:pPr>
      <w:r w:rsidRPr="0084476E">
        <w:t>Bioaccumulation criterion</w:t>
      </w:r>
    </w:p>
    <w:p w14:paraId="76AF51EB" w14:textId="77777777" w:rsidR="00644988" w:rsidRPr="00305A1A" w:rsidRDefault="00644988" w:rsidP="00305A1A">
      <w:pPr>
        <w:pStyle w:val="NormalText"/>
      </w:pPr>
      <w:r w:rsidRPr="00305A1A">
        <w:t>The criteria for bioaccumulation in Annex D of the Stockholm Convention are given as follows:</w:t>
      </w:r>
    </w:p>
    <w:p w14:paraId="3EE6A805" w14:textId="29204B8E" w:rsidR="00644988" w:rsidRPr="00305A1A" w:rsidRDefault="00644988" w:rsidP="00EB3550">
      <w:pPr>
        <w:pStyle w:val="Bullet1"/>
      </w:pPr>
      <w:r w:rsidRPr="00305A1A">
        <w:t>Evidence that the bioconcentration factor or bioaccumulation factor in aquatic species for the chemical is greater than 5</w:t>
      </w:r>
      <w:r w:rsidR="00D84B7F">
        <w:t>,</w:t>
      </w:r>
      <w:r w:rsidRPr="00305A1A">
        <w:t>000 or, in the absence of such data, that the log Pow is greater than 5</w:t>
      </w:r>
      <w:r w:rsidR="00D84B7F">
        <w:t>.</w:t>
      </w:r>
    </w:p>
    <w:p w14:paraId="31C8A734" w14:textId="1963D63A" w:rsidR="00644988" w:rsidRDefault="00644988" w:rsidP="00EB3550">
      <w:pPr>
        <w:pStyle w:val="Bullet1"/>
      </w:pPr>
      <w:r w:rsidRPr="00305A1A">
        <w:t>Evidence that a chemical presents other reasons for concern, such as high bioaccumulation in other species, high toxicity or ecotoxicity</w:t>
      </w:r>
      <w:r w:rsidR="00D84B7F">
        <w:t>.</w:t>
      </w:r>
    </w:p>
    <w:p w14:paraId="7125383B" w14:textId="44D97F7C" w:rsidR="00D84B7F" w:rsidRPr="00305A1A" w:rsidRDefault="00D84B7F" w:rsidP="00D84B7F">
      <w:pPr>
        <w:pStyle w:val="NormalText"/>
      </w:pPr>
      <w:r>
        <w:t>Or,</w:t>
      </w:r>
    </w:p>
    <w:p w14:paraId="79C33221" w14:textId="298A4849" w:rsidR="00644988" w:rsidRPr="00305A1A" w:rsidRDefault="00644988" w:rsidP="00EB3550">
      <w:pPr>
        <w:pStyle w:val="Bullet1"/>
      </w:pPr>
      <w:r w:rsidRPr="00305A1A">
        <w:lastRenderedPageBreak/>
        <w:t>Monitoring data in biota indicating that the bioaccumulation potential of the chemical is sufficient to justify its consideration within the scope of the Convention.</w:t>
      </w:r>
    </w:p>
    <w:p w14:paraId="50671DB0" w14:textId="1D19392B" w:rsidR="00644988" w:rsidRPr="00305A1A" w:rsidRDefault="00644988" w:rsidP="00305A1A">
      <w:pPr>
        <w:pStyle w:val="NormalText"/>
      </w:pPr>
      <w:r w:rsidRPr="00305A1A">
        <w:t xml:space="preserve">Diquat is </w:t>
      </w:r>
      <w:r w:rsidR="00E601B1" w:rsidRPr="00305A1A">
        <w:t xml:space="preserve">not </w:t>
      </w:r>
      <w:r w:rsidRPr="00305A1A">
        <w:t xml:space="preserve">considered </w:t>
      </w:r>
      <w:r w:rsidR="00E601B1">
        <w:t xml:space="preserve">to be </w:t>
      </w:r>
      <w:r w:rsidRPr="00305A1A">
        <w:t>bioaccumulative based on a fish BCF of 1.0 (Hamer et al. 1987).</w:t>
      </w:r>
    </w:p>
    <w:p w14:paraId="1EEAD2F7" w14:textId="77777777" w:rsidR="00644988" w:rsidRPr="0084476E" w:rsidRDefault="00644988" w:rsidP="002345BB">
      <w:pPr>
        <w:pStyle w:val="PreliminariesH2"/>
      </w:pPr>
      <w:r w:rsidRPr="0084476E">
        <w:t>Toxicity criterion</w:t>
      </w:r>
    </w:p>
    <w:p w14:paraId="31AC0208" w14:textId="77777777" w:rsidR="00644988" w:rsidRPr="00305A1A" w:rsidRDefault="00644988" w:rsidP="00305A1A">
      <w:pPr>
        <w:pStyle w:val="NormalText"/>
      </w:pPr>
      <w:r w:rsidRPr="00305A1A">
        <w:t>The criteria for toxicity in Annex D of the POPs convention are given as follows:</w:t>
      </w:r>
    </w:p>
    <w:p w14:paraId="2ED6BE81" w14:textId="6AAA94DD" w:rsidR="00644988" w:rsidRDefault="00644988" w:rsidP="00D84B7F">
      <w:pPr>
        <w:pStyle w:val="Bullet1"/>
      </w:pPr>
      <w:r w:rsidRPr="00305A1A">
        <w:t>Evidence of adverse effects to human health or to the environment that justifies consideration of the chemical within the scope of this Convention</w:t>
      </w:r>
      <w:r w:rsidR="00D84B7F">
        <w:t>.</w:t>
      </w:r>
    </w:p>
    <w:p w14:paraId="6BC386E5" w14:textId="276BE5D8" w:rsidR="00D84B7F" w:rsidRPr="00305A1A" w:rsidRDefault="00D84B7F" w:rsidP="00D84B7F">
      <w:pPr>
        <w:pStyle w:val="NormalText"/>
      </w:pPr>
      <w:r>
        <w:t>Or,</w:t>
      </w:r>
    </w:p>
    <w:p w14:paraId="7F572D48" w14:textId="0C349817" w:rsidR="00644988" w:rsidRPr="00305A1A" w:rsidRDefault="00644988" w:rsidP="00D84B7F">
      <w:pPr>
        <w:pStyle w:val="Bullet1"/>
      </w:pPr>
      <w:r w:rsidRPr="00305A1A">
        <w:t>Toxicity or ecotoxicity data that indicate the potential for damage to human health or to the environment.</w:t>
      </w:r>
    </w:p>
    <w:p w14:paraId="4E711BDD" w14:textId="77777777" w:rsidR="00644988" w:rsidRPr="00305A1A" w:rsidRDefault="00644988" w:rsidP="00305A1A">
      <w:pPr>
        <w:pStyle w:val="NormalText"/>
      </w:pPr>
      <w:r w:rsidRPr="00305A1A">
        <w:t>The lowest aquatic long-term effect value of diquat is below 10 µg/L (lowest NOEC is 1.1 µg/L, Ducrot et al. 2010). Therefore, diquat is considered to meet the toxicity criterion.</w:t>
      </w:r>
    </w:p>
    <w:p w14:paraId="6446DF19" w14:textId="77777777" w:rsidR="00644988" w:rsidRPr="0084476E" w:rsidRDefault="00644988" w:rsidP="002345BB">
      <w:pPr>
        <w:pStyle w:val="PreliminariesH2"/>
      </w:pPr>
      <w:r w:rsidRPr="0084476E">
        <w:t>Potential for long-range environmental transport</w:t>
      </w:r>
    </w:p>
    <w:p w14:paraId="0DE9BEEA" w14:textId="77777777" w:rsidR="00644988" w:rsidRDefault="00644988" w:rsidP="00644988">
      <w:pPr>
        <w:pStyle w:val="NormalText"/>
      </w:pPr>
      <w:r>
        <w:t>The criteria for long-range transport in Annex D of the Stockholm convention are given as follows:</w:t>
      </w:r>
    </w:p>
    <w:p w14:paraId="5B4DE202" w14:textId="5356F550" w:rsidR="00644988" w:rsidRPr="00305A1A" w:rsidRDefault="00644988" w:rsidP="00D84B7F">
      <w:pPr>
        <w:pStyle w:val="Bullet1"/>
      </w:pPr>
      <w:r w:rsidRPr="00305A1A">
        <w:t>Measured levels of the chemical in locations distant from the sources of its release that are of potential concern</w:t>
      </w:r>
      <w:r w:rsidR="00D84B7F">
        <w:t>.</w:t>
      </w:r>
    </w:p>
    <w:p w14:paraId="55E4601C" w14:textId="48B453AA" w:rsidR="00644988" w:rsidRDefault="00644988" w:rsidP="00D84B7F">
      <w:pPr>
        <w:pStyle w:val="Bullet1"/>
      </w:pPr>
      <w:r w:rsidRPr="00305A1A">
        <w:t>Monitoring data showing that long-range environmental transport, with the potential for transfer to a receiving environment, (via air, water or migratory species)</w:t>
      </w:r>
      <w:r w:rsidR="00D84B7F">
        <w:t>.</w:t>
      </w:r>
    </w:p>
    <w:p w14:paraId="4E323AC0" w14:textId="07D8CE84" w:rsidR="00D84B7F" w:rsidRPr="00305A1A" w:rsidRDefault="00D84B7F" w:rsidP="00D84B7F">
      <w:pPr>
        <w:pStyle w:val="NormalText"/>
      </w:pPr>
      <w:r>
        <w:t>Or,</w:t>
      </w:r>
    </w:p>
    <w:p w14:paraId="3547F5E7" w14:textId="327FB997" w:rsidR="00644988" w:rsidRPr="00305A1A" w:rsidRDefault="00644988" w:rsidP="00D84B7F">
      <w:pPr>
        <w:pStyle w:val="Bullet1"/>
      </w:pPr>
      <w:r w:rsidRPr="00305A1A">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D84B7F">
        <w:t>2 </w:t>
      </w:r>
      <w:r w:rsidRPr="00305A1A">
        <w:t>days.</w:t>
      </w:r>
    </w:p>
    <w:p w14:paraId="24B16FB1" w14:textId="7556A3A3" w:rsidR="00644988" w:rsidRPr="0084476E" w:rsidRDefault="00644988" w:rsidP="00644988">
      <w:pPr>
        <w:pStyle w:val="NormalText"/>
      </w:pPr>
      <w:r w:rsidRPr="0084476E">
        <w:t xml:space="preserve">Diquat has low vapour </w:t>
      </w:r>
      <w:r w:rsidR="00D84B7F" w:rsidRPr="0084476E">
        <w:t>pressure,</w:t>
      </w:r>
      <w:r w:rsidRPr="0084476E">
        <w:t xml:space="preserve"> and the modelled atmospheric half-life is &lt;2 days (Hayes 2001); therefore</w:t>
      </w:r>
      <w:r w:rsidR="00B66D28">
        <w:t>,</w:t>
      </w:r>
      <w:r w:rsidRPr="0084476E">
        <w:t xml:space="preserve"> it is unlikely to travel long distances through the air. There </w:t>
      </w:r>
      <w:r>
        <w:t>is no evidence</w:t>
      </w:r>
      <w:r w:rsidRPr="0084476E">
        <w:t xml:space="preserve"> to suggest diquat is being transported long distances</w:t>
      </w:r>
      <w:r>
        <w:t xml:space="preserve"> in the environment.</w:t>
      </w:r>
    </w:p>
    <w:p w14:paraId="4616ABCC" w14:textId="77777777" w:rsidR="00644988" w:rsidRPr="0084476E" w:rsidRDefault="00644988" w:rsidP="002345BB">
      <w:pPr>
        <w:pStyle w:val="PreliminariesH2"/>
      </w:pPr>
      <w:r w:rsidRPr="0084476E">
        <w:t>Conclusion</w:t>
      </w:r>
    </w:p>
    <w:p w14:paraId="4A008B86" w14:textId="77777777" w:rsidR="00D84B7F" w:rsidRDefault="00644988" w:rsidP="00305A1A">
      <w:pPr>
        <w:pStyle w:val="NormalText"/>
        <w:sectPr w:rsidR="00D84B7F" w:rsidSect="009A2AA4">
          <w:headerReference w:type="even" r:id="rId51"/>
          <w:pgSz w:w="11906" w:h="16838" w:code="9"/>
          <w:pgMar w:top="2835" w:right="1134" w:bottom="1134" w:left="1134" w:header="1701" w:footer="680" w:gutter="0"/>
          <w:cols w:space="708"/>
          <w:docGrid w:linePitch="360"/>
        </w:sectPr>
      </w:pPr>
      <w:r w:rsidRPr="00305A1A">
        <w:t>Diquat does not fulfil the PBT criteria (not PBT) and has low potential for long-range transport. Therefore, diquat does not meet the criteria for POPs in Annex D of the Stockholm convention.</w:t>
      </w:r>
    </w:p>
    <w:p w14:paraId="4F782976" w14:textId="77777777" w:rsidR="009D0B81" w:rsidRPr="00AC676E" w:rsidRDefault="009D0B81" w:rsidP="00AC676E">
      <w:pPr>
        <w:pStyle w:val="Heading1"/>
        <w:numPr>
          <w:ilvl w:val="0"/>
          <w:numId w:val="0"/>
        </w:numPr>
      </w:pPr>
      <w:bookmarkStart w:id="531" w:name="_Toc414373848"/>
      <w:bookmarkStart w:id="532" w:name="_Toc81569147"/>
      <w:bookmarkStart w:id="533" w:name="_Toc233039046"/>
      <w:r w:rsidRPr="00AC676E">
        <w:lastRenderedPageBreak/>
        <w:t>Acronyms and abbreviations</w:t>
      </w:r>
      <w:bookmarkEnd w:id="531"/>
      <w:bookmarkEnd w:id="532"/>
      <w:bookmarkEnd w:id="533"/>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94"/>
        <w:gridCol w:w="7662"/>
      </w:tblGrid>
      <w:tr w:rsidR="009D0B81" w14:paraId="39008FD5" w14:textId="77777777" w:rsidTr="00493AD9">
        <w:trPr>
          <w:tblHeader/>
        </w:trPr>
        <w:tc>
          <w:tcPr>
            <w:tcW w:w="1113" w:type="pct"/>
            <w:shd w:val="clear" w:color="auto" w:fill="5C2946"/>
          </w:tcPr>
          <w:p w14:paraId="4FDB6BC2" w14:textId="77777777" w:rsidR="009D0B81" w:rsidRPr="009D0B81" w:rsidRDefault="009D0B81" w:rsidP="009D0B81">
            <w:pPr>
              <w:pStyle w:val="TableHead"/>
            </w:pPr>
            <w:r w:rsidRPr="009D0B81">
              <w:t>Shortened term</w:t>
            </w:r>
          </w:p>
        </w:tc>
        <w:tc>
          <w:tcPr>
            <w:tcW w:w="3887" w:type="pct"/>
            <w:shd w:val="clear" w:color="auto" w:fill="5C2946"/>
          </w:tcPr>
          <w:p w14:paraId="2FC1CDCA" w14:textId="77777777" w:rsidR="009D0B81" w:rsidRPr="009D0B81" w:rsidRDefault="009D0B81" w:rsidP="009D0B81">
            <w:pPr>
              <w:pStyle w:val="TableHead"/>
            </w:pPr>
            <w:r w:rsidRPr="009D0B81">
              <w:t>Full term</w:t>
            </w:r>
          </w:p>
        </w:tc>
      </w:tr>
      <w:tr w:rsidR="008938C3" w14:paraId="300120EC" w14:textId="77777777" w:rsidTr="000742AA">
        <w:tc>
          <w:tcPr>
            <w:tcW w:w="1113" w:type="pct"/>
          </w:tcPr>
          <w:p w14:paraId="07292000" w14:textId="35C53C0C" w:rsidR="008938C3" w:rsidRPr="009D0B81" w:rsidRDefault="008938C3" w:rsidP="008938C3">
            <w:pPr>
              <w:pStyle w:val="TableText"/>
            </w:pPr>
            <w:r w:rsidRPr="00D50587">
              <w:rPr>
                <w:szCs w:val="17"/>
              </w:rPr>
              <w:t>µg</w:t>
            </w:r>
          </w:p>
        </w:tc>
        <w:tc>
          <w:tcPr>
            <w:tcW w:w="3887" w:type="pct"/>
          </w:tcPr>
          <w:p w14:paraId="4FBD660F" w14:textId="6A9D6C94" w:rsidR="008938C3" w:rsidRPr="009D0B81" w:rsidRDefault="008938C3" w:rsidP="008938C3">
            <w:pPr>
              <w:pStyle w:val="TableText"/>
            </w:pPr>
            <w:r>
              <w:t>m</w:t>
            </w:r>
            <w:r w:rsidRPr="00D50587">
              <w:t>icrogram(s)</w:t>
            </w:r>
          </w:p>
        </w:tc>
      </w:tr>
      <w:tr w:rsidR="008938C3" w14:paraId="0DDD3B02" w14:textId="77777777" w:rsidTr="000742AA">
        <w:tc>
          <w:tcPr>
            <w:tcW w:w="1113" w:type="pct"/>
          </w:tcPr>
          <w:p w14:paraId="41CFA3B8" w14:textId="345B49E6" w:rsidR="008938C3" w:rsidRPr="009D0B81" w:rsidRDefault="008938C3" w:rsidP="008938C3">
            <w:pPr>
              <w:pStyle w:val="TableText"/>
            </w:pPr>
            <w:r w:rsidRPr="00A349B4">
              <w:t>µL</w:t>
            </w:r>
          </w:p>
        </w:tc>
        <w:tc>
          <w:tcPr>
            <w:tcW w:w="3887" w:type="pct"/>
          </w:tcPr>
          <w:p w14:paraId="55C8A7E1" w14:textId="2D2ED81E" w:rsidR="008938C3" w:rsidRPr="009D0B81" w:rsidRDefault="008938C3" w:rsidP="008938C3">
            <w:pPr>
              <w:pStyle w:val="TableText"/>
            </w:pPr>
            <w:r w:rsidRPr="00A349B4">
              <w:t>microlitre(s)</w:t>
            </w:r>
          </w:p>
        </w:tc>
      </w:tr>
      <w:tr w:rsidR="009D0B81" w14:paraId="1BB4A602" w14:textId="77777777" w:rsidTr="00493AD9">
        <w:tc>
          <w:tcPr>
            <w:tcW w:w="1113" w:type="pct"/>
            <w:vAlign w:val="bottom"/>
          </w:tcPr>
          <w:p w14:paraId="659AA2DD" w14:textId="77777777" w:rsidR="009D0B81" w:rsidRPr="009D0B81" w:rsidRDefault="009D0B81" w:rsidP="009D0B81">
            <w:pPr>
              <w:pStyle w:val="TableText"/>
            </w:pPr>
            <w:r w:rsidRPr="009D0B81">
              <w:t>ac</w:t>
            </w:r>
          </w:p>
        </w:tc>
        <w:tc>
          <w:tcPr>
            <w:tcW w:w="3887" w:type="pct"/>
            <w:vAlign w:val="bottom"/>
          </w:tcPr>
          <w:p w14:paraId="7866D2DF" w14:textId="77777777" w:rsidR="009D0B81" w:rsidRPr="009D0B81" w:rsidRDefault="009D0B81" w:rsidP="009D0B81">
            <w:pPr>
              <w:pStyle w:val="TableText"/>
            </w:pPr>
            <w:r w:rsidRPr="009D0B81">
              <w:t>active constituent</w:t>
            </w:r>
          </w:p>
        </w:tc>
      </w:tr>
      <w:tr w:rsidR="008938C3" w14:paraId="399F4B37" w14:textId="77777777" w:rsidTr="000742AA">
        <w:tc>
          <w:tcPr>
            <w:tcW w:w="1113" w:type="pct"/>
          </w:tcPr>
          <w:p w14:paraId="0FAFD81B" w14:textId="23F1101E" w:rsidR="008938C3" w:rsidRPr="009D0B81" w:rsidRDefault="008938C3" w:rsidP="008938C3">
            <w:pPr>
              <w:pStyle w:val="TableText"/>
            </w:pPr>
            <w:r w:rsidRPr="00C50A84">
              <w:t>acs</w:t>
            </w:r>
          </w:p>
        </w:tc>
        <w:tc>
          <w:tcPr>
            <w:tcW w:w="3887" w:type="pct"/>
          </w:tcPr>
          <w:p w14:paraId="680241B2" w14:textId="720417E0" w:rsidR="008938C3" w:rsidRPr="009D0B81" w:rsidRDefault="008938C3" w:rsidP="008938C3">
            <w:pPr>
              <w:pStyle w:val="TableText"/>
            </w:pPr>
            <w:r w:rsidRPr="00C50A84">
              <w:t>active constituents</w:t>
            </w:r>
          </w:p>
        </w:tc>
      </w:tr>
      <w:tr w:rsidR="008938C3" w14:paraId="7F51DB76" w14:textId="77777777" w:rsidTr="000742AA">
        <w:tc>
          <w:tcPr>
            <w:tcW w:w="1113" w:type="pct"/>
          </w:tcPr>
          <w:p w14:paraId="02BC60AB" w14:textId="7EEC24D1" w:rsidR="008938C3" w:rsidRPr="009D0B81" w:rsidRDefault="008938C3" w:rsidP="008938C3">
            <w:pPr>
              <w:pStyle w:val="TableText"/>
            </w:pPr>
            <w:r w:rsidRPr="00C50A84">
              <w:t>AE</w:t>
            </w:r>
          </w:p>
        </w:tc>
        <w:tc>
          <w:tcPr>
            <w:tcW w:w="3887" w:type="pct"/>
          </w:tcPr>
          <w:p w14:paraId="0FD52750" w14:textId="444D5D23" w:rsidR="008938C3" w:rsidRPr="009D0B81" w:rsidRDefault="008938C3" w:rsidP="008938C3">
            <w:pPr>
              <w:pStyle w:val="TableText"/>
            </w:pPr>
            <w:r w:rsidRPr="00C50A84">
              <w:t>assimilation efficiency</w:t>
            </w:r>
          </w:p>
        </w:tc>
      </w:tr>
      <w:tr w:rsidR="008938C3" w14:paraId="60F952C0" w14:textId="77777777" w:rsidTr="000742AA">
        <w:tc>
          <w:tcPr>
            <w:tcW w:w="1113" w:type="pct"/>
          </w:tcPr>
          <w:p w14:paraId="54778BD4" w14:textId="66FAE141" w:rsidR="008938C3" w:rsidRPr="009D0B81" w:rsidRDefault="008938C3" w:rsidP="008938C3">
            <w:pPr>
              <w:pStyle w:val="TableText"/>
            </w:pPr>
            <w:r w:rsidRPr="00C50A84">
              <w:t>AERP</w:t>
            </w:r>
          </w:p>
        </w:tc>
        <w:tc>
          <w:tcPr>
            <w:tcW w:w="3887" w:type="pct"/>
          </w:tcPr>
          <w:p w14:paraId="093C14DF" w14:textId="41A056C6" w:rsidR="008938C3" w:rsidRPr="009D0B81" w:rsidRDefault="008938C3" w:rsidP="008938C3">
            <w:pPr>
              <w:pStyle w:val="TableText"/>
            </w:pPr>
            <w:r w:rsidRPr="00C50A84">
              <w:t>Adverse Experience Reporting Program</w:t>
            </w:r>
          </w:p>
        </w:tc>
      </w:tr>
      <w:tr w:rsidR="008938C3" w14:paraId="1AC40676" w14:textId="77777777" w:rsidTr="000742AA">
        <w:tc>
          <w:tcPr>
            <w:tcW w:w="1113" w:type="pct"/>
          </w:tcPr>
          <w:p w14:paraId="6A74B9F3" w14:textId="3F2DD3CE" w:rsidR="008938C3" w:rsidRPr="009D0B81" w:rsidRDefault="008938C3" w:rsidP="008938C3">
            <w:pPr>
              <w:pStyle w:val="TableText"/>
            </w:pPr>
            <w:r>
              <w:t>AF</w:t>
            </w:r>
          </w:p>
        </w:tc>
        <w:tc>
          <w:tcPr>
            <w:tcW w:w="3887" w:type="pct"/>
          </w:tcPr>
          <w:p w14:paraId="1B0E9DAF" w14:textId="5C235290" w:rsidR="008938C3" w:rsidRPr="009D0B81" w:rsidRDefault="008938C3" w:rsidP="008938C3">
            <w:pPr>
              <w:pStyle w:val="TableText"/>
            </w:pPr>
            <w:r>
              <w:t>assessment factor</w:t>
            </w:r>
          </w:p>
        </w:tc>
      </w:tr>
      <w:tr w:rsidR="008938C3" w14:paraId="611924A9" w14:textId="77777777" w:rsidTr="00493AD9">
        <w:tc>
          <w:tcPr>
            <w:tcW w:w="1113" w:type="pct"/>
            <w:vAlign w:val="bottom"/>
          </w:tcPr>
          <w:p w14:paraId="7C514AE7" w14:textId="77777777" w:rsidR="008938C3" w:rsidRPr="009D0B81" w:rsidRDefault="008938C3" w:rsidP="008938C3">
            <w:pPr>
              <w:pStyle w:val="TableText"/>
            </w:pPr>
            <w:r w:rsidRPr="009D0B81">
              <w:t>APVMA</w:t>
            </w:r>
          </w:p>
        </w:tc>
        <w:tc>
          <w:tcPr>
            <w:tcW w:w="3887" w:type="pct"/>
            <w:vAlign w:val="bottom"/>
          </w:tcPr>
          <w:p w14:paraId="55B37840" w14:textId="77777777" w:rsidR="008938C3" w:rsidRPr="009D0B81" w:rsidRDefault="008938C3" w:rsidP="008938C3">
            <w:pPr>
              <w:pStyle w:val="TableText"/>
            </w:pPr>
            <w:r w:rsidRPr="009D0B81">
              <w:t>Australian Pesticide and Veterinary Medicines Authority</w:t>
            </w:r>
          </w:p>
        </w:tc>
      </w:tr>
      <w:tr w:rsidR="008938C3" w14:paraId="1A6CABAC" w14:textId="77777777" w:rsidTr="00493AD9">
        <w:tc>
          <w:tcPr>
            <w:tcW w:w="1113" w:type="pct"/>
          </w:tcPr>
          <w:p w14:paraId="1CA05970" w14:textId="77777777" w:rsidR="008938C3" w:rsidRPr="009D0B81" w:rsidRDefault="008938C3" w:rsidP="008938C3">
            <w:pPr>
              <w:pStyle w:val="TableText"/>
            </w:pPr>
            <w:r w:rsidRPr="009D0B81">
              <w:t>AQ1</w:t>
            </w:r>
          </w:p>
        </w:tc>
        <w:tc>
          <w:tcPr>
            <w:tcW w:w="3887" w:type="pct"/>
          </w:tcPr>
          <w:p w14:paraId="4E93E2B2" w14:textId="77777777" w:rsidR="008938C3" w:rsidRPr="009D0B81" w:rsidRDefault="008938C3" w:rsidP="008938C3">
            <w:pPr>
              <w:pStyle w:val="TableText"/>
            </w:pPr>
            <w:r w:rsidRPr="009D0B81">
              <w:t>1-hydroxy- 3,4-dihydro-H-pyrido[1,2-a] pyrazine-2-carboxylic acid</w:t>
            </w:r>
          </w:p>
        </w:tc>
      </w:tr>
      <w:tr w:rsidR="008938C3" w14:paraId="54F05BDB" w14:textId="77777777" w:rsidTr="00493AD9">
        <w:tc>
          <w:tcPr>
            <w:tcW w:w="1113" w:type="pct"/>
          </w:tcPr>
          <w:p w14:paraId="2BD498FF" w14:textId="77777777" w:rsidR="008938C3" w:rsidRPr="009D0B81" w:rsidRDefault="008938C3" w:rsidP="008938C3">
            <w:pPr>
              <w:pStyle w:val="TableText"/>
            </w:pPr>
            <w:r w:rsidRPr="009D0B81">
              <w:t>AR</w:t>
            </w:r>
          </w:p>
        </w:tc>
        <w:tc>
          <w:tcPr>
            <w:tcW w:w="3887" w:type="pct"/>
          </w:tcPr>
          <w:p w14:paraId="15FE397E" w14:textId="77777777" w:rsidR="008938C3" w:rsidRPr="009D0B81" w:rsidRDefault="008938C3" w:rsidP="008938C3">
            <w:pPr>
              <w:pStyle w:val="TableText"/>
            </w:pPr>
            <w:r w:rsidRPr="009D0B81">
              <w:t>applied radioactivity</w:t>
            </w:r>
          </w:p>
        </w:tc>
      </w:tr>
      <w:tr w:rsidR="008938C3" w14:paraId="72AE4E7F" w14:textId="77777777" w:rsidTr="00493AD9">
        <w:tc>
          <w:tcPr>
            <w:tcW w:w="1113" w:type="pct"/>
            <w:vAlign w:val="bottom"/>
          </w:tcPr>
          <w:p w14:paraId="2400CC88" w14:textId="77777777" w:rsidR="008938C3" w:rsidRPr="009D0B81" w:rsidRDefault="008938C3" w:rsidP="008938C3">
            <w:pPr>
              <w:pStyle w:val="TableText"/>
            </w:pPr>
            <w:r w:rsidRPr="009D0B81">
              <w:t>BBCH</w:t>
            </w:r>
          </w:p>
        </w:tc>
        <w:tc>
          <w:tcPr>
            <w:tcW w:w="3887" w:type="pct"/>
            <w:vAlign w:val="bottom"/>
          </w:tcPr>
          <w:p w14:paraId="4DB34D6E" w14:textId="76B6A467" w:rsidR="008938C3" w:rsidRPr="009D0B81" w:rsidRDefault="008938C3" w:rsidP="008938C3">
            <w:pPr>
              <w:pStyle w:val="TableText"/>
            </w:pPr>
            <w:r w:rsidRPr="009D0B81">
              <w:t xml:space="preserve">Biologische Bundesanstalt, Bundessortenamt </w:t>
            </w:r>
            <w:r>
              <w:t>u</w:t>
            </w:r>
            <w:r w:rsidRPr="009D0B81">
              <w:t>nd C</w:t>
            </w:r>
            <w:r w:rsidR="007E3FA9">
              <w:t>H</w:t>
            </w:r>
            <w:r w:rsidRPr="009D0B81">
              <w:t>emi</w:t>
            </w:r>
            <w:r>
              <w:t>sche Industrie</w:t>
            </w:r>
          </w:p>
        </w:tc>
      </w:tr>
      <w:tr w:rsidR="008938C3" w14:paraId="42F06C89" w14:textId="77777777" w:rsidTr="00493AD9">
        <w:tc>
          <w:tcPr>
            <w:tcW w:w="1113" w:type="pct"/>
            <w:vAlign w:val="bottom"/>
          </w:tcPr>
          <w:p w14:paraId="240660AA" w14:textId="77777777" w:rsidR="008938C3" w:rsidRPr="009D0B81" w:rsidRDefault="008938C3" w:rsidP="008938C3">
            <w:pPr>
              <w:pStyle w:val="TableText"/>
            </w:pPr>
            <w:r w:rsidRPr="009D0B81">
              <w:t>BCF</w:t>
            </w:r>
          </w:p>
        </w:tc>
        <w:tc>
          <w:tcPr>
            <w:tcW w:w="3887" w:type="pct"/>
            <w:vAlign w:val="bottom"/>
          </w:tcPr>
          <w:p w14:paraId="23B71D6C" w14:textId="77777777" w:rsidR="008938C3" w:rsidRPr="009D0B81" w:rsidRDefault="008938C3" w:rsidP="008938C3">
            <w:pPr>
              <w:pStyle w:val="TableText"/>
            </w:pPr>
            <w:r w:rsidRPr="009D0B81">
              <w:t>bioconcentration factor</w:t>
            </w:r>
          </w:p>
        </w:tc>
      </w:tr>
      <w:tr w:rsidR="008938C3" w14:paraId="6C4EF862" w14:textId="77777777" w:rsidTr="00493AD9">
        <w:tc>
          <w:tcPr>
            <w:tcW w:w="1113" w:type="pct"/>
            <w:vAlign w:val="bottom"/>
          </w:tcPr>
          <w:p w14:paraId="1C80955E" w14:textId="77777777" w:rsidR="008938C3" w:rsidRPr="009D0B81" w:rsidRDefault="008938C3" w:rsidP="008938C3">
            <w:pPr>
              <w:pStyle w:val="TableText"/>
            </w:pPr>
            <w:r w:rsidRPr="009D0B81">
              <w:t>bw</w:t>
            </w:r>
          </w:p>
        </w:tc>
        <w:tc>
          <w:tcPr>
            <w:tcW w:w="3887" w:type="pct"/>
            <w:vAlign w:val="bottom"/>
          </w:tcPr>
          <w:p w14:paraId="0BEF0993" w14:textId="77777777" w:rsidR="008938C3" w:rsidRPr="009D0B81" w:rsidRDefault="008938C3" w:rsidP="008938C3">
            <w:pPr>
              <w:pStyle w:val="TableText"/>
            </w:pPr>
            <w:r w:rsidRPr="009D0B81">
              <w:t>body weight</w:t>
            </w:r>
          </w:p>
        </w:tc>
      </w:tr>
      <w:tr w:rsidR="008938C3" w14:paraId="27EE5807" w14:textId="77777777" w:rsidTr="00493AD9">
        <w:tc>
          <w:tcPr>
            <w:tcW w:w="1113" w:type="pct"/>
          </w:tcPr>
          <w:p w14:paraId="1A19DF69" w14:textId="0ECEC296" w:rsidR="008938C3" w:rsidRPr="009D0B81" w:rsidRDefault="008938C3" w:rsidP="008938C3">
            <w:pPr>
              <w:pStyle w:val="TableText"/>
            </w:pPr>
            <w:r>
              <w:t>CCPR</w:t>
            </w:r>
          </w:p>
        </w:tc>
        <w:tc>
          <w:tcPr>
            <w:tcW w:w="3887" w:type="pct"/>
            <w:vAlign w:val="bottom"/>
          </w:tcPr>
          <w:p w14:paraId="6D9C802E" w14:textId="0C6ABB0C" w:rsidR="008938C3" w:rsidRPr="009D0B81" w:rsidRDefault="008938C3" w:rsidP="008938C3">
            <w:pPr>
              <w:pStyle w:val="TableText"/>
            </w:pPr>
            <w:r w:rsidRPr="001374F5">
              <w:t xml:space="preserve">Codex Committee on Pesticide Residues </w:t>
            </w:r>
          </w:p>
        </w:tc>
      </w:tr>
      <w:tr w:rsidR="008938C3" w14:paraId="54496E75" w14:textId="77777777" w:rsidTr="00493AD9">
        <w:tc>
          <w:tcPr>
            <w:tcW w:w="1113" w:type="pct"/>
          </w:tcPr>
          <w:p w14:paraId="2C9BB958" w14:textId="77777777" w:rsidR="008938C3" w:rsidRPr="009D0B81" w:rsidRDefault="008938C3" w:rsidP="008938C3">
            <w:pPr>
              <w:pStyle w:val="TableText"/>
            </w:pPr>
            <w:r w:rsidRPr="009D0B81">
              <w:t>CI</w:t>
            </w:r>
          </w:p>
        </w:tc>
        <w:tc>
          <w:tcPr>
            <w:tcW w:w="3887" w:type="pct"/>
            <w:vAlign w:val="bottom"/>
          </w:tcPr>
          <w:p w14:paraId="6D22349D" w14:textId="77777777" w:rsidR="008938C3" w:rsidRPr="009D0B81" w:rsidRDefault="008938C3" w:rsidP="008938C3">
            <w:pPr>
              <w:pStyle w:val="TableText"/>
            </w:pPr>
            <w:r w:rsidRPr="009D0B81">
              <w:t>confidence interval</w:t>
            </w:r>
          </w:p>
        </w:tc>
      </w:tr>
      <w:tr w:rsidR="008938C3" w14:paraId="0109484C" w14:textId="77777777" w:rsidTr="00493AD9">
        <w:tc>
          <w:tcPr>
            <w:tcW w:w="1113" w:type="pct"/>
            <w:vAlign w:val="bottom"/>
          </w:tcPr>
          <w:p w14:paraId="201F6F6C" w14:textId="77777777" w:rsidR="008938C3" w:rsidRPr="009D0B81" w:rsidRDefault="008938C3" w:rsidP="008938C3">
            <w:pPr>
              <w:pStyle w:val="TableText"/>
            </w:pPr>
            <w:r w:rsidRPr="009D0B81">
              <w:t>cm</w:t>
            </w:r>
          </w:p>
        </w:tc>
        <w:tc>
          <w:tcPr>
            <w:tcW w:w="3887" w:type="pct"/>
            <w:vAlign w:val="bottom"/>
          </w:tcPr>
          <w:p w14:paraId="710251CE" w14:textId="77777777" w:rsidR="008938C3" w:rsidRPr="009D0B81" w:rsidRDefault="008938C3" w:rsidP="008938C3">
            <w:pPr>
              <w:pStyle w:val="TableText"/>
            </w:pPr>
            <w:r w:rsidRPr="009D0B81">
              <w:t>centimetre(s)</w:t>
            </w:r>
          </w:p>
        </w:tc>
      </w:tr>
      <w:tr w:rsidR="008938C3" w14:paraId="41181B5F" w14:textId="77777777" w:rsidTr="00493AD9">
        <w:tc>
          <w:tcPr>
            <w:tcW w:w="1113" w:type="pct"/>
            <w:vAlign w:val="bottom"/>
          </w:tcPr>
          <w:p w14:paraId="46E97146" w14:textId="2CB1373D" w:rsidR="008938C3" w:rsidRPr="009D0B81" w:rsidRDefault="008938C3" w:rsidP="008938C3">
            <w:pPr>
              <w:pStyle w:val="TableText"/>
            </w:pPr>
            <w:r>
              <w:t>codex</w:t>
            </w:r>
          </w:p>
        </w:tc>
        <w:tc>
          <w:tcPr>
            <w:tcW w:w="3887" w:type="pct"/>
            <w:vAlign w:val="bottom"/>
          </w:tcPr>
          <w:p w14:paraId="04AB779B" w14:textId="7C5E894C" w:rsidR="008938C3" w:rsidRPr="009D0B81" w:rsidRDefault="008938C3" w:rsidP="008938C3">
            <w:pPr>
              <w:pStyle w:val="TableText"/>
            </w:pPr>
            <w:r w:rsidRPr="00943557">
              <w:t>Codex Alimentarius</w:t>
            </w:r>
          </w:p>
        </w:tc>
      </w:tr>
      <w:tr w:rsidR="008938C3" w14:paraId="0C605304" w14:textId="77777777" w:rsidTr="00493AD9">
        <w:tc>
          <w:tcPr>
            <w:tcW w:w="1113" w:type="pct"/>
            <w:vAlign w:val="bottom"/>
          </w:tcPr>
          <w:p w14:paraId="5C2733D8" w14:textId="77777777" w:rsidR="008938C3" w:rsidRPr="009D0B81" w:rsidRDefault="008938C3" w:rsidP="008938C3">
            <w:pPr>
              <w:pStyle w:val="TableText"/>
            </w:pPr>
            <w:r w:rsidRPr="009D0B81">
              <w:t>d</w:t>
            </w:r>
          </w:p>
        </w:tc>
        <w:tc>
          <w:tcPr>
            <w:tcW w:w="3887" w:type="pct"/>
            <w:vAlign w:val="bottom"/>
          </w:tcPr>
          <w:p w14:paraId="66FCD410" w14:textId="77777777" w:rsidR="008938C3" w:rsidRPr="009D0B81" w:rsidRDefault="008938C3" w:rsidP="008938C3">
            <w:pPr>
              <w:pStyle w:val="TableText"/>
            </w:pPr>
            <w:r w:rsidRPr="009D0B81">
              <w:t>day(s)</w:t>
            </w:r>
          </w:p>
        </w:tc>
      </w:tr>
      <w:tr w:rsidR="008938C3" w14:paraId="03AA3F6F" w14:textId="77777777" w:rsidTr="00493AD9">
        <w:tc>
          <w:tcPr>
            <w:tcW w:w="1113" w:type="pct"/>
          </w:tcPr>
          <w:p w14:paraId="665D74D3" w14:textId="77777777" w:rsidR="008938C3" w:rsidRPr="009D0B81" w:rsidRDefault="008938C3" w:rsidP="008938C3">
            <w:pPr>
              <w:pStyle w:val="TableText"/>
            </w:pPr>
            <w:r w:rsidRPr="009D0B81">
              <w:t>DAT</w:t>
            </w:r>
          </w:p>
        </w:tc>
        <w:tc>
          <w:tcPr>
            <w:tcW w:w="3887" w:type="pct"/>
          </w:tcPr>
          <w:p w14:paraId="2A57C195" w14:textId="77777777" w:rsidR="008938C3" w:rsidRPr="009D0B81" w:rsidRDefault="008938C3" w:rsidP="008938C3">
            <w:pPr>
              <w:pStyle w:val="TableText"/>
            </w:pPr>
            <w:r w:rsidRPr="009D0B81">
              <w:t>days after treatment</w:t>
            </w:r>
          </w:p>
        </w:tc>
      </w:tr>
      <w:tr w:rsidR="008938C3" w14:paraId="61923337" w14:textId="77777777" w:rsidTr="00493AD9">
        <w:tc>
          <w:tcPr>
            <w:tcW w:w="1113" w:type="pct"/>
            <w:vAlign w:val="bottom"/>
          </w:tcPr>
          <w:p w14:paraId="355031AF" w14:textId="77777777" w:rsidR="008938C3" w:rsidRPr="009D0B81" w:rsidRDefault="008938C3" w:rsidP="008938C3">
            <w:pPr>
              <w:pStyle w:val="TableText"/>
            </w:pPr>
            <w:r w:rsidRPr="009D0B81">
              <w:t>DDD</w:t>
            </w:r>
          </w:p>
        </w:tc>
        <w:tc>
          <w:tcPr>
            <w:tcW w:w="3887" w:type="pct"/>
            <w:vAlign w:val="bottom"/>
          </w:tcPr>
          <w:p w14:paraId="608ECE6E" w14:textId="77777777" w:rsidR="008938C3" w:rsidRPr="009D0B81" w:rsidRDefault="008938C3" w:rsidP="008938C3">
            <w:pPr>
              <w:pStyle w:val="TableText"/>
            </w:pPr>
            <w:r w:rsidRPr="009D0B81">
              <w:t>daily dietary dose</w:t>
            </w:r>
          </w:p>
        </w:tc>
      </w:tr>
      <w:tr w:rsidR="008938C3" w14:paraId="5DF09BA9" w14:textId="77777777" w:rsidTr="000742AA">
        <w:tc>
          <w:tcPr>
            <w:tcW w:w="1113" w:type="pct"/>
          </w:tcPr>
          <w:p w14:paraId="493F75C3" w14:textId="37E772B1" w:rsidR="008938C3" w:rsidRPr="009D0B81" w:rsidRDefault="008938C3" w:rsidP="008938C3">
            <w:pPr>
              <w:pStyle w:val="TableText"/>
            </w:pPr>
            <w:r w:rsidRPr="00770DF5">
              <w:t>DEE</w:t>
            </w:r>
          </w:p>
        </w:tc>
        <w:tc>
          <w:tcPr>
            <w:tcW w:w="3887" w:type="pct"/>
          </w:tcPr>
          <w:p w14:paraId="22958A8A" w14:textId="4527C08D" w:rsidR="008938C3" w:rsidRPr="009D0B81" w:rsidRDefault="008938C3" w:rsidP="008938C3">
            <w:pPr>
              <w:pStyle w:val="TableText"/>
            </w:pPr>
            <w:r w:rsidRPr="00770DF5">
              <w:t xml:space="preserve">daily energy </w:t>
            </w:r>
            <w:r>
              <w:t>expenditure</w:t>
            </w:r>
          </w:p>
        </w:tc>
      </w:tr>
      <w:tr w:rsidR="008938C3" w14:paraId="78F47AFC" w14:textId="77777777" w:rsidTr="000742AA">
        <w:tc>
          <w:tcPr>
            <w:tcW w:w="1113" w:type="pct"/>
          </w:tcPr>
          <w:p w14:paraId="6A5EC1CF" w14:textId="2112A94E" w:rsidR="008938C3" w:rsidRPr="009D0B81" w:rsidRDefault="008938C3" w:rsidP="008938C3">
            <w:pPr>
              <w:pStyle w:val="TableText"/>
            </w:pPr>
            <w:r w:rsidRPr="00343DA2">
              <w:t>DEFRA</w:t>
            </w:r>
          </w:p>
        </w:tc>
        <w:tc>
          <w:tcPr>
            <w:tcW w:w="3887" w:type="pct"/>
          </w:tcPr>
          <w:p w14:paraId="503E1690" w14:textId="63F5E522" w:rsidR="008938C3" w:rsidRPr="009D0B81" w:rsidRDefault="008938C3" w:rsidP="008938C3">
            <w:pPr>
              <w:pStyle w:val="TableText"/>
            </w:pPr>
            <w:r w:rsidRPr="00343DA2">
              <w:t>Department for Environment, Food and Rural Affairs</w:t>
            </w:r>
          </w:p>
        </w:tc>
      </w:tr>
      <w:tr w:rsidR="008938C3" w14:paraId="6CBA42AD" w14:textId="77777777" w:rsidTr="00493AD9">
        <w:tc>
          <w:tcPr>
            <w:tcW w:w="1113" w:type="pct"/>
          </w:tcPr>
          <w:p w14:paraId="40C3BC57" w14:textId="77777777" w:rsidR="008938C3" w:rsidRPr="009D0B81" w:rsidRDefault="008938C3" w:rsidP="008938C3">
            <w:pPr>
              <w:pStyle w:val="TableText"/>
            </w:pPr>
            <w:r w:rsidRPr="009D0B81">
              <w:t>ds</w:t>
            </w:r>
          </w:p>
        </w:tc>
        <w:tc>
          <w:tcPr>
            <w:tcW w:w="3887" w:type="pct"/>
          </w:tcPr>
          <w:p w14:paraId="301D3D02" w14:textId="77777777" w:rsidR="008938C3" w:rsidRPr="009D0B81" w:rsidRDefault="008938C3" w:rsidP="008938C3">
            <w:pPr>
              <w:pStyle w:val="TableText"/>
            </w:pPr>
            <w:r w:rsidRPr="009D0B81">
              <w:t>dry soil or sediment</w:t>
            </w:r>
          </w:p>
        </w:tc>
      </w:tr>
      <w:tr w:rsidR="008938C3" w14:paraId="2D3CEE4D" w14:textId="77777777" w:rsidTr="00493AD9">
        <w:tc>
          <w:tcPr>
            <w:tcW w:w="1113" w:type="pct"/>
          </w:tcPr>
          <w:p w14:paraId="409CD598" w14:textId="77777777" w:rsidR="008938C3" w:rsidRPr="009D0B81" w:rsidRDefault="008938C3" w:rsidP="008938C3">
            <w:pPr>
              <w:pStyle w:val="TableText"/>
            </w:pPr>
            <w:r w:rsidRPr="009D0B81">
              <w:t>DT</w:t>
            </w:r>
            <w:r w:rsidRPr="00754F8D">
              <w:rPr>
                <w:vertAlign w:val="subscript"/>
              </w:rPr>
              <w:t>50</w:t>
            </w:r>
          </w:p>
        </w:tc>
        <w:tc>
          <w:tcPr>
            <w:tcW w:w="3887" w:type="pct"/>
          </w:tcPr>
          <w:p w14:paraId="5BBAEDAD" w14:textId="77777777" w:rsidR="008938C3" w:rsidRPr="009D0B81" w:rsidRDefault="008938C3" w:rsidP="008938C3">
            <w:pPr>
              <w:pStyle w:val="TableText"/>
            </w:pPr>
            <w:r w:rsidRPr="009D0B81">
              <w:t>period required for 50 percent dissipation</w:t>
            </w:r>
          </w:p>
        </w:tc>
      </w:tr>
      <w:tr w:rsidR="008938C3" w14:paraId="68503193" w14:textId="77777777" w:rsidTr="00493AD9">
        <w:tc>
          <w:tcPr>
            <w:tcW w:w="1113" w:type="pct"/>
          </w:tcPr>
          <w:p w14:paraId="158EBB65" w14:textId="77777777" w:rsidR="008938C3" w:rsidRPr="009D0B81" w:rsidRDefault="008938C3" w:rsidP="008938C3">
            <w:pPr>
              <w:pStyle w:val="TableText"/>
            </w:pPr>
            <w:r w:rsidRPr="009D0B81">
              <w:t>EC</w:t>
            </w:r>
            <w:r w:rsidRPr="00754F8D">
              <w:rPr>
                <w:vertAlign w:val="subscript"/>
              </w:rPr>
              <w:t>X</w:t>
            </w:r>
          </w:p>
        </w:tc>
        <w:tc>
          <w:tcPr>
            <w:tcW w:w="3887" w:type="pct"/>
            <w:vAlign w:val="bottom"/>
          </w:tcPr>
          <w:p w14:paraId="1FB7C6BE" w14:textId="77FA41BB" w:rsidR="008938C3" w:rsidRPr="009D0B81" w:rsidRDefault="008938C3" w:rsidP="008938C3">
            <w:pPr>
              <w:pStyle w:val="TableText"/>
            </w:pPr>
            <w:r w:rsidRPr="009D0B81">
              <w:t>concentration causing X% effect (E</w:t>
            </w:r>
            <w:r w:rsidRPr="000742AA">
              <w:rPr>
                <w:vertAlign w:val="subscript"/>
              </w:rPr>
              <w:t>r</w:t>
            </w:r>
            <w:r w:rsidRPr="009D0B81">
              <w:t>C</w:t>
            </w:r>
            <w:r w:rsidRPr="000742AA">
              <w:rPr>
                <w:vertAlign w:val="subscript"/>
              </w:rPr>
              <w:t>X</w:t>
            </w:r>
            <w:r w:rsidRPr="009D0B81">
              <w:t xml:space="preserve"> is used for growth rate; E</w:t>
            </w:r>
            <w:r w:rsidRPr="000742AA">
              <w:rPr>
                <w:vertAlign w:val="subscript"/>
              </w:rPr>
              <w:t>b</w:t>
            </w:r>
            <w:r w:rsidRPr="009D0B81">
              <w:t>C</w:t>
            </w:r>
            <w:r w:rsidRPr="000742AA">
              <w:rPr>
                <w:vertAlign w:val="subscript"/>
              </w:rPr>
              <w:t>X</w:t>
            </w:r>
            <w:r w:rsidRPr="009D0B81">
              <w:t xml:space="preserve"> is used for biomass; E</w:t>
            </w:r>
            <w:r w:rsidRPr="000742AA">
              <w:rPr>
                <w:vertAlign w:val="subscript"/>
              </w:rPr>
              <w:t>y</w:t>
            </w:r>
            <w:r w:rsidRPr="009D0B81">
              <w:t>C</w:t>
            </w:r>
            <w:r w:rsidRPr="000742AA">
              <w:rPr>
                <w:vertAlign w:val="subscript"/>
              </w:rPr>
              <w:t>X</w:t>
            </w:r>
            <w:r w:rsidRPr="009D0B81">
              <w:t xml:space="preserve"> is used for yield)</w:t>
            </w:r>
          </w:p>
        </w:tc>
      </w:tr>
      <w:tr w:rsidR="008938C3" w14:paraId="43C23E8D" w14:textId="77777777" w:rsidTr="00493AD9">
        <w:tc>
          <w:tcPr>
            <w:tcW w:w="1113" w:type="pct"/>
            <w:vAlign w:val="bottom"/>
          </w:tcPr>
          <w:p w14:paraId="678ACA56" w14:textId="77777777" w:rsidR="008938C3" w:rsidRPr="009D0B81" w:rsidRDefault="008938C3" w:rsidP="008938C3">
            <w:pPr>
              <w:pStyle w:val="TableText"/>
            </w:pPr>
            <w:r w:rsidRPr="009D0B81">
              <w:lastRenderedPageBreak/>
              <w:t>ECHA</w:t>
            </w:r>
          </w:p>
        </w:tc>
        <w:tc>
          <w:tcPr>
            <w:tcW w:w="3887" w:type="pct"/>
            <w:vAlign w:val="bottom"/>
          </w:tcPr>
          <w:p w14:paraId="528141B3" w14:textId="77777777" w:rsidR="008938C3" w:rsidRPr="009D0B81" w:rsidRDefault="008938C3" w:rsidP="008938C3">
            <w:pPr>
              <w:pStyle w:val="TableText"/>
            </w:pPr>
            <w:r w:rsidRPr="009D0B81">
              <w:t>European Chemicals Agency</w:t>
            </w:r>
          </w:p>
        </w:tc>
      </w:tr>
      <w:tr w:rsidR="008938C3" w14:paraId="354741E4" w14:textId="77777777" w:rsidTr="000742AA">
        <w:tc>
          <w:tcPr>
            <w:tcW w:w="1113" w:type="pct"/>
          </w:tcPr>
          <w:p w14:paraId="712AC678" w14:textId="3FB93D38" w:rsidR="008938C3" w:rsidRPr="009D0B81" w:rsidRDefault="008938C3" w:rsidP="008938C3">
            <w:pPr>
              <w:pStyle w:val="TableText"/>
            </w:pPr>
            <w:r w:rsidRPr="008D7446">
              <w:t>EEC</w:t>
            </w:r>
          </w:p>
        </w:tc>
        <w:tc>
          <w:tcPr>
            <w:tcW w:w="3887" w:type="pct"/>
          </w:tcPr>
          <w:p w14:paraId="110CDB57" w14:textId="406E7113" w:rsidR="008938C3" w:rsidRPr="009D0B81" w:rsidRDefault="008938C3" w:rsidP="008938C3">
            <w:pPr>
              <w:pStyle w:val="TableText"/>
            </w:pPr>
            <w:r w:rsidRPr="008D7446">
              <w:t>estimated exposure concentration</w:t>
            </w:r>
          </w:p>
        </w:tc>
      </w:tr>
      <w:tr w:rsidR="008938C3" w14:paraId="4AA4CE51" w14:textId="77777777" w:rsidTr="00493AD9">
        <w:tc>
          <w:tcPr>
            <w:tcW w:w="1113" w:type="pct"/>
            <w:vAlign w:val="bottom"/>
          </w:tcPr>
          <w:p w14:paraId="0DE68EDA" w14:textId="77777777" w:rsidR="008938C3" w:rsidRPr="009D0B81" w:rsidRDefault="008938C3" w:rsidP="008938C3">
            <w:pPr>
              <w:pStyle w:val="TableText"/>
            </w:pPr>
            <w:r w:rsidRPr="009D0B81">
              <w:t>EFSA</w:t>
            </w:r>
          </w:p>
        </w:tc>
        <w:tc>
          <w:tcPr>
            <w:tcW w:w="3887" w:type="pct"/>
            <w:vAlign w:val="bottom"/>
          </w:tcPr>
          <w:p w14:paraId="6102FCB0" w14:textId="77777777" w:rsidR="008938C3" w:rsidRPr="009D0B81" w:rsidRDefault="008938C3" w:rsidP="008938C3">
            <w:pPr>
              <w:pStyle w:val="TableText"/>
            </w:pPr>
            <w:r w:rsidRPr="009D0B81">
              <w:t>European Food Safety Authority</w:t>
            </w:r>
          </w:p>
        </w:tc>
      </w:tr>
      <w:tr w:rsidR="008938C3" w14:paraId="54E9479A" w14:textId="77777777" w:rsidTr="00493AD9">
        <w:tc>
          <w:tcPr>
            <w:tcW w:w="1113" w:type="pct"/>
          </w:tcPr>
          <w:p w14:paraId="2F8BE639" w14:textId="77777777" w:rsidR="008938C3" w:rsidRPr="009D0B81" w:rsidRDefault="008938C3" w:rsidP="008938C3">
            <w:pPr>
              <w:pStyle w:val="TableText"/>
            </w:pPr>
            <w:r w:rsidRPr="009D0B81">
              <w:t>ER</w:t>
            </w:r>
            <w:r w:rsidRPr="000742AA">
              <w:rPr>
                <w:vertAlign w:val="subscript"/>
              </w:rPr>
              <w:t>X</w:t>
            </w:r>
          </w:p>
        </w:tc>
        <w:tc>
          <w:tcPr>
            <w:tcW w:w="3887" w:type="pct"/>
            <w:vAlign w:val="bottom"/>
          </w:tcPr>
          <w:p w14:paraId="250BE8A8" w14:textId="77777777" w:rsidR="008938C3" w:rsidRPr="009D0B81" w:rsidRDefault="008938C3" w:rsidP="008938C3">
            <w:pPr>
              <w:pStyle w:val="TableText"/>
            </w:pPr>
            <w:r w:rsidRPr="009D0B81">
              <w:t>rate causing X% effect</w:t>
            </w:r>
          </w:p>
        </w:tc>
      </w:tr>
      <w:tr w:rsidR="008938C3" w14:paraId="07306002" w14:textId="77777777" w:rsidTr="000742AA">
        <w:tc>
          <w:tcPr>
            <w:tcW w:w="1113" w:type="pct"/>
          </w:tcPr>
          <w:p w14:paraId="0DFF64B5" w14:textId="26D8CCD0" w:rsidR="008938C3" w:rsidRPr="009D0B81" w:rsidRDefault="008938C3" w:rsidP="008938C3">
            <w:pPr>
              <w:pStyle w:val="TableText"/>
            </w:pPr>
            <w:r w:rsidRPr="00C93DFE">
              <w:t>EXP</w:t>
            </w:r>
          </w:p>
        </w:tc>
        <w:tc>
          <w:tcPr>
            <w:tcW w:w="3887" w:type="pct"/>
          </w:tcPr>
          <w:p w14:paraId="19C72057" w14:textId="66361230" w:rsidR="008938C3" w:rsidRPr="009D0B81" w:rsidRDefault="008938C3" w:rsidP="008938C3">
            <w:pPr>
              <w:pStyle w:val="TableText"/>
            </w:pPr>
            <w:r w:rsidRPr="00C93DFE">
              <w:t>exponential function</w:t>
            </w:r>
          </w:p>
        </w:tc>
      </w:tr>
      <w:tr w:rsidR="008938C3" w14:paraId="7A3C9A49" w14:textId="77777777" w:rsidTr="00493AD9">
        <w:tc>
          <w:tcPr>
            <w:tcW w:w="1113" w:type="pct"/>
          </w:tcPr>
          <w:p w14:paraId="146CBF3B" w14:textId="77777777" w:rsidR="008938C3" w:rsidRPr="009D0B81" w:rsidRDefault="008938C3" w:rsidP="008938C3">
            <w:pPr>
              <w:pStyle w:val="TableText"/>
            </w:pPr>
            <w:r w:rsidRPr="009D0B81">
              <w:t>ExpE</w:t>
            </w:r>
          </w:p>
        </w:tc>
        <w:tc>
          <w:tcPr>
            <w:tcW w:w="3887" w:type="pct"/>
          </w:tcPr>
          <w:p w14:paraId="2AF0FD92" w14:textId="77777777" w:rsidR="008938C3" w:rsidRPr="009D0B81" w:rsidRDefault="008938C3" w:rsidP="008938C3">
            <w:pPr>
              <w:pStyle w:val="TableText"/>
            </w:pPr>
            <w:r w:rsidRPr="009D0B81">
              <w:t>exposure estimate</w:t>
            </w:r>
          </w:p>
        </w:tc>
      </w:tr>
      <w:tr w:rsidR="008938C3" w14:paraId="11B4DCCA" w14:textId="77777777" w:rsidTr="00493AD9">
        <w:tc>
          <w:tcPr>
            <w:tcW w:w="1113" w:type="pct"/>
          </w:tcPr>
          <w:p w14:paraId="01F7D0F8" w14:textId="77777777" w:rsidR="008938C3" w:rsidRPr="009D0B81" w:rsidRDefault="008938C3" w:rsidP="008938C3">
            <w:pPr>
              <w:pStyle w:val="TableText"/>
            </w:pPr>
            <w:r w:rsidRPr="009D0B81">
              <w:t>F1</w:t>
            </w:r>
          </w:p>
        </w:tc>
        <w:tc>
          <w:tcPr>
            <w:tcW w:w="3887" w:type="pct"/>
          </w:tcPr>
          <w:p w14:paraId="1B1863AE" w14:textId="77777777" w:rsidR="008938C3" w:rsidRPr="009D0B81" w:rsidRDefault="008938C3" w:rsidP="008938C3">
            <w:pPr>
              <w:pStyle w:val="TableText"/>
            </w:pPr>
            <w:r w:rsidRPr="009D0B81">
              <w:t>first generation</w:t>
            </w:r>
          </w:p>
        </w:tc>
      </w:tr>
      <w:tr w:rsidR="008938C3" w14:paraId="28B61BA7" w14:textId="77777777" w:rsidTr="000742AA">
        <w:tc>
          <w:tcPr>
            <w:tcW w:w="1113" w:type="pct"/>
            <w:vAlign w:val="bottom"/>
          </w:tcPr>
          <w:p w14:paraId="0B2A89DD" w14:textId="21340BFE" w:rsidR="008938C3" w:rsidRPr="009D0B81" w:rsidRDefault="008938C3" w:rsidP="008938C3">
            <w:pPr>
              <w:pStyle w:val="TableText"/>
            </w:pPr>
            <w:r>
              <w:rPr>
                <w:color w:val="000000"/>
                <w:szCs w:val="17"/>
                <w:lang w:eastAsia="en-AU"/>
              </w:rPr>
              <w:t>FE</w:t>
            </w:r>
          </w:p>
        </w:tc>
        <w:tc>
          <w:tcPr>
            <w:tcW w:w="3887" w:type="pct"/>
            <w:vAlign w:val="bottom"/>
          </w:tcPr>
          <w:p w14:paraId="79F78BAB" w14:textId="64BCD927" w:rsidR="008938C3" w:rsidRPr="009D0B81" w:rsidRDefault="008938C3" w:rsidP="008938C3">
            <w:pPr>
              <w:pStyle w:val="TableText"/>
            </w:pPr>
            <w:r w:rsidRPr="00370BB0">
              <w:rPr>
                <w:szCs w:val="17"/>
              </w:rPr>
              <w:t>food energy</w:t>
            </w:r>
          </w:p>
        </w:tc>
      </w:tr>
      <w:tr w:rsidR="008938C3" w14:paraId="64EDC5CB" w14:textId="77777777" w:rsidTr="00493AD9">
        <w:tc>
          <w:tcPr>
            <w:tcW w:w="1113" w:type="pct"/>
          </w:tcPr>
          <w:p w14:paraId="1EDDA774" w14:textId="3BE38AC1" w:rsidR="008938C3" w:rsidRPr="009D0B81" w:rsidRDefault="008938C3" w:rsidP="008938C3">
            <w:pPr>
              <w:pStyle w:val="TableText"/>
            </w:pPr>
            <w:r w:rsidRPr="00B507E0">
              <w:t>FFT</w:t>
            </w:r>
          </w:p>
        </w:tc>
        <w:tc>
          <w:tcPr>
            <w:tcW w:w="3887" w:type="pct"/>
          </w:tcPr>
          <w:p w14:paraId="386DBCB9" w14:textId="234EE2EF" w:rsidR="008938C3" w:rsidRPr="009D0B81" w:rsidRDefault="008938C3" w:rsidP="008938C3">
            <w:pPr>
              <w:pStyle w:val="TableText"/>
            </w:pPr>
            <w:r w:rsidRPr="00B507E0">
              <w:t>fraction of field treated</w:t>
            </w:r>
          </w:p>
        </w:tc>
      </w:tr>
      <w:tr w:rsidR="008938C3" w14:paraId="6AB85412" w14:textId="77777777" w:rsidTr="00493AD9">
        <w:tc>
          <w:tcPr>
            <w:tcW w:w="1113" w:type="pct"/>
          </w:tcPr>
          <w:p w14:paraId="3BCF6081" w14:textId="2464B5FB" w:rsidR="008938C3" w:rsidRPr="009D0B81" w:rsidRDefault="008938C3" w:rsidP="008938C3">
            <w:pPr>
              <w:pStyle w:val="TableText"/>
            </w:pPr>
            <w:r w:rsidRPr="00B507E0">
              <w:t>F</w:t>
            </w:r>
            <w:r w:rsidRPr="00351517">
              <w:rPr>
                <w:vertAlign w:val="subscript"/>
              </w:rPr>
              <w:t>int</w:t>
            </w:r>
          </w:p>
        </w:tc>
        <w:tc>
          <w:tcPr>
            <w:tcW w:w="3887" w:type="pct"/>
          </w:tcPr>
          <w:p w14:paraId="1DB603B1" w14:textId="46A618C7" w:rsidR="008938C3" w:rsidRPr="009D0B81" w:rsidRDefault="008938C3" w:rsidP="008938C3">
            <w:pPr>
              <w:pStyle w:val="TableText"/>
            </w:pPr>
            <w:r w:rsidRPr="00B507E0">
              <w:t>interception factor</w:t>
            </w:r>
          </w:p>
        </w:tc>
      </w:tr>
      <w:tr w:rsidR="008938C3" w14:paraId="2E269FE2" w14:textId="77777777" w:rsidTr="000742AA">
        <w:tc>
          <w:tcPr>
            <w:tcW w:w="1113" w:type="pct"/>
            <w:vAlign w:val="bottom"/>
          </w:tcPr>
          <w:p w14:paraId="2920AFEF" w14:textId="6D1165C7" w:rsidR="008938C3" w:rsidRPr="009D0B81" w:rsidRDefault="008938C3" w:rsidP="008938C3">
            <w:pPr>
              <w:pStyle w:val="TableText"/>
            </w:pPr>
            <w:r w:rsidRPr="00DA1455">
              <w:rPr>
                <w:color w:val="000000"/>
                <w:szCs w:val="17"/>
                <w:lang w:eastAsia="en-AU"/>
              </w:rPr>
              <w:t>FIR</w:t>
            </w:r>
          </w:p>
        </w:tc>
        <w:tc>
          <w:tcPr>
            <w:tcW w:w="3887" w:type="pct"/>
            <w:vAlign w:val="bottom"/>
          </w:tcPr>
          <w:p w14:paraId="660A247C" w14:textId="4F7A7B2D" w:rsidR="008938C3" w:rsidRPr="009D0B81" w:rsidRDefault="008938C3" w:rsidP="008938C3">
            <w:pPr>
              <w:pStyle w:val="TableText"/>
            </w:pPr>
            <w:r w:rsidRPr="00DA1455">
              <w:rPr>
                <w:szCs w:val="17"/>
              </w:rPr>
              <w:t>Food ingestion rate</w:t>
            </w:r>
          </w:p>
        </w:tc>
      </w:tr>
      <w:tr w:rsidR="008938C3" w14:paraId="121D709F" w14:textId="77777777" w:rsidTr="00493AD9">
        <w:tc>
          <w:tcPr>
            <w:tcW w:w="1113" w:type="pct"/>
            <w:vAlign w:val="bottom"/>
          </w:tcPr>
          <w:p w14:paraId="6286DBF1" w14:textId="77777777" w:rsidR="008938C3" w:rsidRPr="009D0B81" w:rsidRDefault="008938C3" w:rsidP="008938C3">
            <w:pPr>
              <w:pStyle w:val="TableText"/>
            </w:pPr>
            <w:r w:rsidRPr="009D0B81">
              <w:t>g</w:t>
            </w:r>
          </w:p>
        </w:tc>
        <w:tc>
          <w:tcPr>
            <w:tcW w:w="3887" w:type="pct"/>
            <w:vAlign w:val="bottom"/>
          </w:tcPr>
          <w:p w14:paraId="6AB08CFB" w14:textId="77777777" w:rsidR="008938C3" w:rsidRPr="009D0B81" w:rsidRDefault="008938C3" w:rsidP="008938C3">
            <w:pPr>
              <w:pStyle w:val="TableText"/>
            </w:pPr>
            <w:r w:rsidRPr="009D0B81">
              <w:t>gram(s)</w:t>
            </w:r>
          </w:p>
        </w:tc>
      </w:tr>
      <w:tr w:rsidR="008938C3" w14:paraId="4384838B" w14:textId="77777777" w:rsidTr="00493AD9">
        <w:tc>
          <w:tcPr>
            <w:tcW w:w="1113" w:type="pct"/>
          </w:tcPr>
          <w:p w14:paraId="401A27A4" w14:textId="4251644D" w:rsidR="008938C3" w:rsidRDefault="008938C3" w:rsidP="008938C3">
            <w:pPr>
              <w:pStyle w:val="TableText"/>
            </w:pPr>
            <w:r>
              <w:t>GAP</w:t>
            </w:r>
          </w:p>
        </w:tc>
        <w:tc>
          <w:tcPr>
            <w:tcW w:w="3887" w:type="pct"/>
          </w:tcPr>
          <w:p w14:paraId="466FA11C" w14:textId="3826689F" w:rsidR="008938C3" w:rsidRDefault="008938C3" w:rsidP="008938C3">
            <w:pPr>
              <w:pStyle w:val="TableText"/>
            </w:pPr>
            <w:r>
              <w:t>Good Agricultural Practice</w:t>
            </w:r>
          </w:p>
        </w:tc>
      </w:tr>
      <w:tr w:rsidR="008938C3" w14:paraId="420180A7" w14:textId="77777777" w:rsidTr="00493AD9">
        <w:tc>
          <w:tcPr>
            <w:tcW w:w="1113" w:type="pct"/>
          </w:tcPr>
          <w:p w14:paraId="5369F1F0" w14:textId="36803DE3" w:rsidR="008938C3" w:rsidRPr="009D0B81" w:rsidRDefault="008938C3" w:rsidP="008938C3">
            <w:pPr>
              <w:pStyle w:val="TableText"/>
            </w:pPr>
            <w:r>
              <w:t>GIT</w:t>
            </w:r>
          </w:p>
        </w:tc>
        <w:tc>
          <w:tcPr>
            <w:tcW w:w="3887" w:type="pct"/>
          </w:tcPr>
          <w:p w14:paraId="227372A2" w14:textId="25D97252" w:rsidR="008938C3" w:rsidRPr="009D0B81" w:rsidRDefault="008938C3" w:rsidP="008938C3">
            <w:pPr>
              <w:pStyle w:val="TableText"/>
            </w:pPr>
            <w:r>
              <w:t>gastrointestinal tract</w:t>
            </w:r>
          </w:p>
        </w:tc>
      </w:tr>
      <w:tr w:rsidR="008938C3" w14:paraId="475DC8B9" w14:textId="77777777" w:rsidTr="00493AD9">
        <w:tc>
          <w:tcPr>
            <w:tcW w:w="1113" w:type="pct"/>
          </w:tcPr>
          <w:p w14:paraId="7A215359" w14:textId="0A2A41BB" w:rsidR="008938C3" w:rsidRDefault="008938C3" w:rsidP="008938C3">
            <w:pPr>
              <w:pStyle w:val="TableText"/>
            </w:pPr>
            <w:r w:rsidRPr="00061A9F">
              <w:t>GLP</w:t>
            </w:r>
          </w:p>
        </w:tc>
        <w:tc>
          <w:tcPr>
            <w:tcW w:w="3887" w:type="pct"/>
          </w:tcPr>
          <w:p w14:paraId="6B8779EF" w14:textId="12284D1F" w:rsidR="008938C3" w:rsidRDefault="008938C3" w:rsidP="008938C3">
            <w:pPr>
              <w:pStyle w:val="TableText"/>
            </w:pPr>
            <w:r w:rsidRPr="00061A9F">
              <w:t>good laboratory practice</w:t>
            </w:r>
          </w:p>
        </w:tc>
      </w:tr>
      <w:tr w:rsidR="008938C3" w14:paraId="664E4ACF" w14:textId="77777777" w:rsidTr="00493AD9">
        <w:tc>
          <w:tcPr>
            <w:tcW w:w="1113" w:type="pct"/>
          </w:tcPr>
          <w:p w14:paraId="0E764BC5" w14:textId="77777777" w:rsidR="008938C3" w:rsidRPr="009D0B81" w:rsidRDefault="008938C3" w:rsidP="008938C3">
            <w:pPr>
              <w:pStyle w:val="TableText"/>
            </w:pPr>
            <w:r w:rsidRPr="009D0B81">
              <w:t>h</w:t>
            </w:r>
          </w:p>
        </w:tc>
        <w:tc>
          <w:tcPr>
            <w:tcW w:w="3887" w:type="pct"/>
          </w:tcPr>
          <w:p w14:paraId="6B458D65" w14:textId="77777777" w:rsidR="008938C3" w:rsidRPr="009D0B81" w:rsidRDefault="008938C3" w:rsidP="008938C3">
            <w:pPr>
              <w:pStyle w:val="TableText"/>
            </w:pPr>
            <w:r w:rsidRPr="009D0B81">
              <w:t>hour(s)</w:t>
            </w:r>
          </w:p>
        </w:tc>
      </w:tr>
      <w:tr w:rsidR="008938C3" w14:paraId="058DEABD" w14:textId="77777777" w:rsidTr="00493AD9">
        <w:tc>
          <w:tcPr>
            <w:tcW w:w="1113" w:type="pct"/>
            <w:vAlign w:val="bottom"/>
          </w:tcPr>
          <w:p w14:paraId="6498CF6C" w14:textId="77777777" w:rsidR="008938C3" w:rsidRPr="009D0B81" w:rsidRDefault="008938C3" w:rsidP="008938C3">
            <w:pPr>
              <w:pStyle w:val="TableText"/>
            </w:pPr>
            <w:r w:rsidRPr="009D0B81">
              <w:t>ha</w:t>
            </w:r>
          </w:p>
        </w:tc>
        <w:tc>
          <w:tcPr>
            <w:tcW w:w="3887" w:type="pct"/>
            <w:vAlign w:val="bottom"/>
          </w:tcPr>
          <w:p w14:paraId="555A5579" w14:textId="77777777" w:rsidR="008938C3" w:rsidRPr="009D0B81" w:rsidRDefault="008938C3" w:rsidP="008938C3">
            <w:pPr>
              <w:pStyle w:val="TableText"/>
            </w:pPr>
            <w:r w:rsidRPr="009D0B81">
              <w:t>hectare(s)</w:t>
            </w:r>
          </w:p>
        </w:tc>
      </w:tr>
      <w:tr w:rsidR="008938C3" w14:paraId="3808314D" w14:textId="77777777" w:rsidTr="00493AD9">
        <w:tc>
          <w:tcPr>
            <w:tcW w:w="1113" w:type="pct"/>
          </w:tcPr>
          <w:p w14:paraId="3072F7BA" w14:textId="77777777" w:rsidR="008938C3" w:rsidRPr="009D0B81" w:rsidRDefault="008938C3" w:rsidP="008938C3">
            <w:pPr>
              <w:pStyle w:val="TableText"/>
            </w:pPr>
            <w:r w:rsidRPr="009D0B81">
              <w:t>HC</w:t>
            </w:r>
            <w:r w:rsidRPr="00754F8D">
              <w:rPr>
                <w:vertAlign w:val="subscript"/>
              </w:rPr>
              <w:t>X</w:t>
            </w:r>
          </w:p>
        </w:tc>
        <w:tc>
          <w:tcPr>
            <w:tcW w:w="3887" w:type="pct"/>
          </w:tcPr>
          <w:p w14:paraId="459674B6" w14:textId="77777777" w:rsidR="008938C3" w:rsidRPr="009D0B81" w:rsidRDefault="008938C3" w:rsidP="008938C3">
            <w:pPr>
              <w:pStyle w:val="TableText"/>
            </w:pPr>
            <w:r w:rsidRPr="009D0B81">
              <w:t>hazardous concentration for X% of the species</w:t>
            </w:r>
          </w:p>
        </w:tc>
      </w:tr>
      <w:tr w:rsidR="008938C3" w14:paraId="2D22F4E6" w14:textId="77777777" w:rsidTr="00493AD9">
        <w:tc>
          <w:tcPr>
            <w:tcW w:w="1113" w:type="pct"/>
          </w:tcPr>
          <w:p w14:paraId="2D581FE1" w14:textId="77777777" w:rsidR="008938C3" w:rsidRPr="009D0B81" w:rsidRDefault="008938C3" w:rsidP="008938C3">
            <w:pPr>
              <w:pStyle w:val="TableText"/>
            </w:pPr>
            <w:r w:rsidRPr="009D0B81">
              <w:t>HR</w:t>
            </w:r>
            <w:r w:rsidRPr="00754F8D">
              <w:rPr>
                <w:vertAlign w:val="subscript"/>
              </w:rPr>
              <w:t>X</w:t>
            </w:r>
          </w:p>
        </w:tc>
        <w:tc>
          <w:tcPr>
            <w:tcW w:w="3887" w:type="pct"/>
          </w:tcPr>
          <w:p w14:paraId="28CBCA77" w14:textId="77777777" w:rsidR="008938C3" w:rsidRPr="009D0B81" w:rsidRDefault="008938C3" w:rsidP="008938C3">
            <w:pPr>
              <w:pStyle w:val="TableText"/>
            </w:pPr>
            <w:r w:rsidRPr="009D0B81">
              <w:t>hazardous rate for X% of the species</w:t>
            </w:r>
          </w:p>
        </w:tc>
      </w:tr>
      <w:tr w:rsidR="008938C3" w14:paraId="41BF7B52" w14:textId="77777777" w:rsidTr="00493AD9">
        <w:tc>
          <w:tcPr>
            <w:tcW w:w="1113" w:type="pct"/>
            <w:vAlign w:val="bottom"/>
          </w:tcPr>
          <w:p w14:paraId="359A1477" w14:textId="372C2741" w:rsidR="008938C3" w:rsidRPr="009D0B81" w:rsidRDefault="008938C3" w:rsidP="008938C3">
            <w:pPr>
              <w:pStyle w:val="TableText"/>
            </w:pPr>
            <w:r>
              <w:t>HR</w:t>
            </w:r>
          </w:p>
        </w:tc>
        <w:tc>
          <w:tcPr>
            <w:tcW w:w="3887" w:type="pct"/>
            <w:vAlign w:val="bottom"/>
          </w:tcPr>
          <w:p w14:paraId="730FD732" w14:textId="679C662E" w:rsidR="008938C3" w:rsidRPr="009D0B81" w:rsidRDefault="008938C3" w:rsidP="008938C3">
            <w:pPr>
              <w:pStyle w:val="TableText"/>
            </w:pPr>
            <w:r>
              <w:t>high residue</w:t>
            </w:r>
          </w:p>
        </w:tc>
      </w:tr>
      <w:tr w:rsidR="008938C3" w14:paraId="2EF2D4B7" w14:textId="77777777" w:rsidTr="00493AD9">
        <w:tc>
          <w:tcPr>
            <w:tcW w:w="1113" w:type="pct"/>
            <w:vAlign w:val="bottom"/>
          </w:tcPr>
          <w:p w14:paraId="3119E1D7" w14:textId="77777777" w:rsidR="008938C3" w:rsidRPr="009D0B81" w:rsidRDefault="008938C3" w:rsidP="008938C3">
            <w:pPr>
              <w:pStyle w:val="TableText"/>
            </w:pPr>
            <w:r w:rsidRPr="009D0B81">
              <w:t>IPM</w:t>
            </w:r>
          </w:p>
        </w:tc>
        <w:tc>
          <w:tcPr>
            <w:tcW w:w="3887" w:type="pct"/>
            <w:vAlign w:val="bottom"/>
          </w:tcPr>
          <w:p w14:paraId="48F9B71E" w14:textId="77777777" w:rsidR="008938C3" w:rsidRPr="009D0B81" w:rsidRDefault="008938C3" w:rsidP="008938C3">
            <w:pPr>
              <w:pStyle w:val="TableText"/>
            </w:pPr>
            <w:r w:rsidRPr="009D0B81">
              <w:t>integrated pest management</w:t>
            </w:r>
          </w:p>
        </w:tc>
      </w:tr>
      <w:tr w:rsidR="008938C3" w14:paraId="3C6A3670" w14:textId="77777777" w:rsidTr="00493AD9">
        <w:tc>
          <w:tcPr>
            <w:tcW w:w="1113" w:type="pct"/>
          </w:tcPr>
          <w:p w14:paraId="73F5E756" w14:textId="23711CF5" w:rsidR="008938C3" w:rsidRPr="009D0B81" w:rsidRDefault="008938C3" w:rsidP="008938C3">
            <w:pPr>
              <w:pStyle w:val="TableText"/>
            </w:pPr>
            <w:r>
              <w:t>JMPR</w:t>
            </w:r>
          </w:p>
        </w:tc>
        <w:tc>
          <w:tcPr>
            <w:tcW w:w="3887" w:type="pct"/>
          </w:tcPr>
          <w:p w14:paraId="3BB8D257" w14:textId="4FC8D052" w:rsidR="008938C3" w:rsidRPr="009D0B81" w:rsidRDefault="008938C3" w:rsidP="008938C3">
            <w:pPr>
              <w:pStyle w:val="TableText"/>
            </w:pPr>
            <w:r w:rsidRPr="004B79F5">
              <w:t xml:space="preserve">Joint FAO/WHO Meeting on Pesticide Residues </w:t>
            </w:r>
          </w:p>
        </w:tc>
      </w:tr>
      <w:tr w:rsidR="008938C3" w14:paraId="01FE18EE" w14:textId="77777777" w:rsidTr="00493AD9">
        <w:tc>
          <w:tcPr>
            <w:tcW w:w="1113" w:type="pct"/>
          </w:tcPr>
          <w:p w14:paraId="34D729A7" w14:textId="77777777" w:rsidR="008938C3" w:rsidRPr="009D0B81" w:rsidRDefault="008938C3" w:rsidP="008938C3">
            <w:pPr>
              <w:pStyle w:val="TableText"/>
            </w:pPr>
            <w:r w:rsidRPr="009D0B81">
              <w:t>K</w:t>
            </w:r>
            <w:r w:rsidRPr="000742AA">
              <w:rPr>
                <w:vertAlign w:val="subscript"/>
              </w:rPr>
              <w:t>d</w:t>
            </w:r>
            <w:r w:rsidRPr="009D0B81">
              <w:t xml:space="preserve"> or K</w:t>
            </w:r>
            <w:r w:rsidRPr="000742AA">
              <w:rPr>
                <w:vertAlign w:val="subscript"/>
              </w:rPr>
              <w:t>f</w:t>
            </w:r>
          </w:p>
        </w:tc>
        <w:tc>
          <w:tcPr>
            <w:tcW w:w="3887" w:type="pct"/>
          </w:tcPr>
          <w:p w14:paraId="3D65B5D9" w14:textId="77777777" w:rsidR="008938C3" w:rsidRPr="009D0B81" w:rsidRDefault="008938C3" w:rsidP="008938C3">
            <w:pPr>
              <w:pStyle w:val="TableText"/>
            </w:pPr>
            <w:r w:rsidRPr="009D0B81">
              <w:t>(Freundlich) adsorption constant</w:t>
            </w:r>
          </w:p>
        </w:tc>
      </w:tr>
      <w:tr w:rsidR="008938C3" w14:paraId="6AD21EB4" w14:textId="77777777" w:rsidTr="00493AD9">
        <w:tc>
          <w:tcPr>
            <w:tcW w:w="1113" w:type="pct"/>
            <w:vAlign w:val="bottom"/>
          </w:tcPr>
          <w:p w14:paraId="0C0F26CD" w14:textId="47555F59" w:rsidR="008938C3" w:rsidRPr="009D0B81" w:rsidRDefault="008938C3" w:rsidP="008938C3">
            <w:pPr>
              <w:pStyle w:val="TableText"/>
            </w:pPr>
            <w:r w:rsidRPr="009D0B81">
              <w:t>Kg</w:t>
            </w:r>
          </w:p>
        </w:tc>
        <w:tc>
          <w:tcPr>
            <w:tcW w:w="3887" w:type="pct"/>
            <w:vAlign w:val="bottom"/>
          </w:tcPr>
          <w:p w14:paraId="3C502CC4" w14:textId="77777777" w:rsidR="008938C3" w:rsidRPr="009D0B81" w:rsidRDefault="008938C3" w:rsidP="008938C3">
            <w:pPr>
              <w:pStyle w:val="TableText"/>
            </w:pPr>
            <w:r w:rsidRPr="009D0B81">
              <w:t>kilogram(s)</w:t>
            </w:r>
          </w:p>
        </w:tc>
      </w:tr>
      <w:tr w:rsidR="008938C3" w14:paraId="11308EA9" w14:textId="77777777" w:rsidTr="00493AD9">
        <w:tc>
          <w:tcPr>
            <w:tcW w:w="1113" w:type="pct"/>
          </w:tcPr>
          <w:p w14:paraId="19F0C333" w14:textId="77777777" w:rsidR="008938C3" w:rsidRPr="009D0B81" w:rsidRDefault="008938C3" w:rsidP="008938C3">
            <w:pPr>
              <w:pStyle w:val="TableText"/>
            </w:pPr>
            <w:r w:rsidRPr="009D0B81">
              <w:t>K</w:t>
            </w:r>
            <w:r w:rsidRPr="000742AA">
              <w:rPr>
                <w:vertAlign w:val="subscript"/>
              </w:rPr>
              <w:t>p</w:t>
            </w:r>
          </w:p>
        </w:tc>
        <w:tc>
          <w:tcPr>
            <w:tcW w:w="3887" w:type="pct"/>
          </w:tcPr>
          <w:p w14:paraId="447D2CE8" w14:textId="77777777" w:rsidR="008938C3" w:rsidRPr="009D0B81" w:rsidRDefault="008938C3" w:rsidP="008938C3">
            <w:pPr>
              <w:pStyle w:val="TableText"/>
            </w:pPr>
            <w:r w:rsidRPr="009D0B81">
              <w:t>sediment sorption coefficient</w:t>
            </w:r>
          </w:p>
        </w:tc>
      </w:tr>
      <w:tr w:rsidR="008938C3" w14:paraId="2779872F" w14:textId="77777777" w:rsidTr="00493AD9">
        <w:tc>
          <w:tcPr>
            <w:tcW w:w="1113" w:type="pct"/>
            <w:vAlign w:val="bottom"/>
          </w:tcPr>
          <w:p w14:paraId="0EDD9CB9" w14:textId="77777777" w:rsidR="008938C3" w:rsidRPr="009D0B81" w:rsidRDefault="008938C3" w:rsidP="008938C3">
            <w:pPr>
              <w:pStyle w:val="TableText"/>
            </w:pPr>
            <w:r w:rsidRPr="009D0B81">
              <w:t>L</w:t>
            </w:r>
          </w:p>
        </w:tc>
        <w:tc>
          <w:tcPr>
            <w:tcW w:w="3887" w:type="pct"/>
            <w:vAlign w:val="bottom"/>
          </w:tcPr>
          <w:p w14:paraId="66D228F1" w14:textId="77777777" w:rsidR="008938C3" w:rsidRPr="009D0B81" w:rsidRDefault="008938C3" w:rsidP="008938C3">
            <w:pPr>
              <w:pStyle w:val="TableText"/>
            </w:pPr>
            <w:r w:rsidRPr="009D0B81">
              <w:t>litre(s)</w:t>
            </w:r>
          </w:p>
        </w:tc>
      </w:tr>
      <w:tr w:rsidR="008938C3" w14:paraId="0D7F6DB8" w14:textId="77777777" w:rsidTr="00493AD9">
        <w:tc>
          <w:tcPr>
            <w:tcW w:w="1113" w:type="pct"/>
          </w:tcPr>
          <w:p w14:paraId="7C43E38C" w14:textId="77777777" w:rsidR="008938C3" w:rsidRPr="009D0B81" w:rsidRDefault="008938C3" w:rsidP="008938C3">
            <w:pPr>
              <w:pStyle w:val="TableText"/>
            </w:pPr>
            <w:r w:rsidRPr="009D0B81">
              <w:t>LC</w:t>
            </w:r>
            <w:r w:rsidRPr="00754F8D">
              <w:rPr>
                <w:vertAlign w:val="subscript"/>
              </w:rPr>
              <w:t>X</w:t>
            </w:r>
          </w:p>
        </w:tc>
        <w:tc>
          <w:tcPr>
            <w:tcW w:w="3887" w:type="pct"/>
            <w:vAlign w:val="bottom"/>
          </w:tcPr>
          <w:p w14:paraId="537D6B04" w14:textId="77777777" w:rsidR="008938C3" w:rsidRPr="009D0B81" w:rsidRDefault="008938C3" w:rsidP="008938C3">
            <w:pPr>
              <w:pStyle w:val="TableText"/>
            </w:pPr>
            <w:r w:rsidRPr="009D0B81">
              <w:t>lethal concentration to X% of the tested population</w:t>
            </w:r>
          </w:p>
        </w:tc>
      </w:tr>
      <w:tr w:rsidR="008938C3" w14:paraId="20E0195B" w14:textId="77777777" w:rsidTr="00493AD9">
        <w:tc>
          <w:tcPr>
            <w:tcW w:w="1113" w:type="pct"/>
          </w:tcPr>
          <w:p w14:paraId="6CA0E995" w14:textId="77777777" w:rsidR="008938C3" w:rsidRPr="009D0B81" w:rsidRDefault="008938C3" w:rsidP="008938C3">
            <w:pPr>
              <w:pStyle w:val="TableText"/>
            </w:pPr>
            <w:r w:rsidRPr="009D0B81">
              <w:lastRenderedPageBreak/>
              <w:t>LD</w:t>
            </w:r>
            <w:r w:rsidRPr="00754F8D">
              <w:rPr>
                <w:vertAlign w:val="subscript"/>
              </w:rPr>
              <w:t>X</w:t>
            </w:r>
          </w:p>
        </w:tc>
        <w:tc>
          <w:tcPr>
            <w:tcW w:w="3887" w:type="pct"/>
            <w:vAlign w:val="bottom"/>
          </w:tcPr>
          <w:p w14:paraId="742DECBE" w14:textId="77777777" w:rsidR="008938C3" w:rsidRPr="009D0B81" w:rsidRDefault="008938C3" w:rsidP="008938C3">
            <w:pPr>
              <w:pStyle w:val="TableText"/>
            </w:pPr>
            <w:r w:rsidRPr="009D0B81">
              <w:t>lethal dose to X% of the tested population</w:t>
            </w:r>
          </w:p>
        </w:tc>
      </w:tr>
      <w:tr w:rsidR="008938C3" w14:paraId="5E537431" w14:textId="77777777" w:rsidTr="00493AD9">
        <w:tc>
          <w:tcPr>
            <w:tcW w:w="1113" w:type="pct"/>
          </w:tcPr>
          <w:p w14:paraId="503973ED" w14:textId="77777777" w:rsidR="008938C3" w:rsidRPr="009D0B81" w:rsidRDefault="008938C3" w:rsidP="008938C3">
            <w:pPr>
              <w:pStyle w:val="TableText"/>
            </w:pPr>
            <w:r w:rsidRPr="009D0B81">
              <w:t>LOC</w:t>
            </w:r>
          </w:p>
        </w:tc>
        <w:tc>
          <w:tcPr>
            <w:tcW w:w="3887" w:type="pct"/>
          </w:tcPr>
          <w:p w14:paraId="472129F5" w14:textId="77777777" w:rsidR="008938C3" w:rsidRPr="009D0B81" w:rsidRDefault="008938C3" w:rsidP="008938C3">
            <w:pPr>
              <w:pStyle w:val="TableText"/>
            </w:pPr>
            <w:r w:rsidRPr="009D0B81">
              <w:t>level of concern</w:t>
            </w:r>
          </w:p>
        </w:tc>
      </w:tr>
      <w:tr w:rsidR="008938C3" w14:paraId="5A58645B" w14:textId="77777777" w:rsidTr="00493AD9">
        <w:tc>
          <w:tcPr>
            <w:tcW w:w="1113" w:type="pct"/>
          </w:tcPr>
          <w:p w14:paraId="429D73FC" w14:textId="77777777" w:rsidR="008938C3" w:rsidRPr="009D0B81" w:rsidRDefault="008938C3" w:rsidP="008938C3">
            <w:pPr>
              <w:pStyle w:val="TableText"/>
            </w:pPr>
            <w:r w:rsidRPr="009D0B81">
              <w:t>LR</w:t>
            </w:r>
            <w:r w:rsidRPr="00754F8D">
              <w:rPr>
                <w:vertAlign w:val="subscript"/>
              </w:rPr>
              <w:t>X</w:t>
            </w:r>
          </w:p>
        </w:tc>
        <w:tc>
          <w:tcPr>
            <w:tcW w:w="3887" w:type="pct"/>
            <w:vAlign w:val="bottom"/>
          </w:tcPr>
          <w:p w14:paraId="2D7771E0" w14:textId="77777777" w:rsidR="008938C3" w:rsidRPr="009D0B81" w:rsidRDefault="008938C3" w:rsidP="008938C3">
            <w:pPr>
              <w:pStyle w:val="TableText"/>
            </w:pPr>
            <w:r w:rsidRPr="009D0B81">
              <w:t>lethal rate to X% of the tested population</w:t>
            </w:r>
          </w:p>
        </w:tc>
      </w:tr>
      <w:tr w:rsidR="008938C3" w14:paraId="772886F0" w14:textId="77777777" w:rsidTr="00493AD9">
        <w:tc>
          <w:tcPr>
            <w:tcW w:w="1113" w:type="pct"/>
          </w:tcPr>
          <w:p w14:paraId="0C0EE9ED" w14:textId="55A69F36" w:rsidR="008938C3" w:rsidRPr="009D0B81" w:rsidRDefault="008938C3" w:rsidP="008938C3">
            <w:pPr>
              <w:pStyle w:val="TableText"/>
            </w:pPr>
            <w:r>
              <w:t>m</w:t>
            </w:r>
          </w:p>
        </w:tc>
        <w:tc>
          <w:tcPr>
            <w:tcW w:w="3887" w:type="pct"/>
          </w:tcPr>
          <w:p w14:paraId="3330EE08" w14:textId="77777777" w:rsidR="008938C3" w:rsidRPr="009D0B81" w:rsidRDefault="008938C3" w:rsidP="008938C3">
            <w:pPr>
              <w:pStyle w:val="TableText"/>
            </w:pPr>
            <w:r w:rsidRPr="009D0B81">
              <w:t>metre(s)</w:t>
            </w:r>
          </w:p>
        </w:tc>
      </w:tr>
      <w:tr w:rsidR="008938C3" w14:paraId="124DC19F" w14:textId="77777777" w:rsidTr="00493AD9">
        <w:tc>
          <w:tcPr>
            <w:tcW w:w="1113" w:type="pct"/>
          </w:tcPr>
          <w:p w14:paraId="7AC49F2E" w14:textId="5279377E" w:rsidR="008938C3" w:rsidRPr="009D0B81" w:rsidRDefault="008938C3" w:rsidP="008938C3">
            <w:pPr>
              <w:pStyle w:val="TableText"/>
            </w:pPr>
            <w:r>
              <w:t>MAF</w:t>
            </w:r>
          </w:p>
        </w:tc>
        <w:tc>
          <w:tcPr>
            <w:tcW w:w="3887" w:type="pct"/>
          </w:tcPr>
          <w:p w14:paraId="641B9C73" w14:textId="12985DE0" w:rsidR="008938C3" w:rsidRPr="009D0B81" w:rsidRDefault="008938C3" w:rsidP="008938C3">
            <w:pPr>
              <w:pStyle w:val="TableText"/>
            </w:pPr>
            <w:r w:rsidRPr="004D0EA0">
              <w:t>multiple application factor</w:t>
            </w:r>
          </w:p>
        </w:tc>
      </w:tr>
      <w:tr w:rsidR="008938C3" w14:paraId="40414C6D" w14:textId="77777777" w:rsidTr="00493AD9">
        <w:tc>
          <w:tcPr>
            <w:tcW w:w="1113" w:type="pct"/>
          </w:tcPr>
          <w:p w14:paraId="68CDA3D0" w14:textId="77777777" w:rsidR="008938C3" w:rsidRPr="009D0B81" w:rsidRDefault="008938C3" w:rsidP="008938C3">
            <w:pPr>
              <w:pStyle w:val="TableText"/>
            </w:pPr>
            <w:r w:rsidRPr="009D0B81">
              <w:t>max</w:t>
            </w:r>
          </w:p>
        </w:tc>
        <w:tc>
          <w:tcPr>
            <w:tcW w:w="3887" w:type="pct"/>
          </w:tcPr>
          <w:p w14:paraId="341261DE" w14:textId="77777777" w:rsidR="008938C3" w:rsidRPr="009D0B81" w:rsidRDefault="008938C3" w:rsidP="008938C3">
            <w:pPr>
              <w:pStyle w:val="TableText"/>
            </w:pPr>
            <w:r w:rsidRPr="009D0B81">
              <w:t>maximum</w:t>
            </w:r>
          </w:p>
        </w:tc>
      </w:tr>
      <w:tr w:rsidR="008938C3" w14:paraId="77591BEE" w14:textId="77777777" w:rsidTr="00493AD9">
        <w:tc>
          <w:tcPr>
            <w:tcW w:w="1113" w:type="pct"/>
          </w:tcPr>
          <w:p w14:paraId="10818E5D" w14:textId="5069B196" w:rsidR="008938C3" w:rsidRPr="009D0B81" w:rsidRDefault="008938C3" w:rsidP="008938C3">
            <w:pPr>
              <w:pStyle w:val="TableText"/>
            </w:pPr>
            <w:r w:rsidRPr="004D0EA0">
              <w:rPr>
                <w:szCs w:val="17"/>
              </w:rPr>
              <w:t>MC</w:t>
            </w:r>
          </w:p>
        </w:tc>
        <w:tc>
          <w:tcPr>
            <w:tcW w:w="3887" w:type="pct"/>
          </w:tcPr>
          <w:p w14:paraId="553F4579" w14:textId="01CE98DE" w:rsidR="008938C3" w:rsidRPr="009D0B81" w:rsidRDefault="008938C3" w:rsidP="008938C3">
            <w:pPr>
              <w:pStyle w:val="TableText"/>
            </w:pPr>
            <w:r w:rsidRPr="004D0EA0">
              <w:t>moisture content</w:t>
            </w:r>
          </w:p>
        </w:tc>
      </w:tr>
      <w:tr w:rsidR="008938C3" w14:paraId="0DFB0412" w14:textId="77777777" w:rsidTr="00493AD9">
        <w:tc>
          <w:tcPr>
            <w:tcW w:w="1113" w:type="pct"/>
          </w:tcPr>
          <w:p w14:paraId="71418C40" w14:textId="6DCB3A29" w:rsidR="008938C3" w:rsidRPr="009D0B81" w:rsidRDefault="008938C3" w:rsidP="008938C3">
            <w:pPr>
              <w:pStyle w:val="TableText"/>
            </w:pPr>
            <w:r w:rsidRPr="004D0EA0">
              <w:t>MDR</w:t>
            </w:r>
          </w:p>
        </w:tc>
        <w:tc>
          <w:tcPr>
            <w:tcW w:w="3887" w:type="pct"/>
          </w:tcPr>
          <w:p w14:paraId="7AAE5B8C" w14:textId="28833BF9" w:rsidR="008938C3" w:rsidRPr="009D0B81" w:rsidRDefault="008938C3" w:rsidP="008938C3">
            <w:pPr>
              <w:pStyle w:val="TableText"/>
            </w:pPr>
            <w:r w:rsidRPr="004D0EA0">
              <w:t>model deviation ratio</w:t>
            </w:r>
          </w:p>
        </w:tc>
      </w:tr>
      <w:tr w:rsidR="008938C3" w14:paraId="5409B449" w14:textId="77777777" w:rsidTr="00493AD9">
        <w:tc>
          <w:tcPr>
            <w:tcW w:w="1113" w:type="pct"/>
            <w:vAlign w:val="bottom"/>
          </w:tcPr>
          <w:p w14:paraId="241DD614" w14:textId="77777777" w:rsidR="008938C3" w:rsidRPr="009D0B81" w:rsidRDefault="008938C3" w:rsidP="008938C3">
            <w:pPr>
              <w:pStyle w:val="TableText"/>
            </w:pPr>
            <w:r w:rsidRPr="009D0B81">
              <w:t>mg</w:t>
            </w:r>
          </w:p>
        </w:tc>
        <w:tc>
          <w:tcPr>
            <w:tcW w:w="3887" w:type="pct"/>
            <w:vAlign w:val="bottom"/>
          </w:tcPr>
          <w:p w14:paraId="27AA86FF" w14:textId="77777777" w:rsidR="008938C3" w:rsidRPr="009D0B81" w:rsidRDefault="008938C3" w:rsidP="008938C3">
            <w:pPr>
              <w:pStyle w:val="TableText"/>
            </w:pPr>
            <w:r w:rsidRPr="009D0B81">
              <w:t>milligram(s)</w:t>
            </w:r>
          </w:p>
        </w:tc>
      </w:tr>
      <w:tr w:rsidR="008938C3" w14:paraId="448C2A49" w14:textId="77777777" w:rsidTr="00493AD9">
        <w:tc>
          <w:tcPr>
            <w:tcW w:w="1113" w:type="pct"/>
          </w:tcPr>
          <w:p w14:paraId="56D642AA" w14:textId="54F7AF42" w:rsidR="008938C3" w:rsidRPr="009D0B81" w:rsidRDefault="008938C3" w:rsidP="008938C3">
            <w:pPr>
              <w:pStyle w:val="TableText"/>
            </w:pPr>
            <w:r>
              <w:t>mg/kg bw/day</w:t>
            </w:r>
          </w:p>
        </w:tc>
        <w:tc>
          <w:tcPr>
            <w:tcW w:w="3887" w:type="pct"/>
          </w:tcPr>
          <w:p w14:paraId="74C855B0" w14:textId="6A38FD9C" w:rsidR="008938C3" w:rsidRPr="009D0B81" w:rsidRDefault="008938C3" w:rsidP="008938C3">
            <w:pPr>
              <w:pStyle w:val="TableText"/>
            </w:pPr>
            <w:r>
              <w:t>milligrams per kilogram of bodyweight per day</w:t>
            </w:r>
          </w:p>
        </w:tc>
      </w:tr>
      <w:tr w:rsidR="008938C3" w14:paraId="0D30A869" w14:textId="77777777" w:rsidTr="00493AD9">
        <w:tc>
          <w:tcPr>
            <w:tcW w:w="1113" w:type="pct"/>
          </w:tcPr>
          <w:p w14:paraId="13563195" w14:textId="77777777" w:rsidR="008938C3" w:rsidRPr="009D0B81" w:rsidRDefault="008938C3" w:rsidP="008938C3">
            <w:pPr>
              <w:pStyle w:val="TableText"/>
            </w:pPr>
            <w:r w:rsidRPr="009D0B81">
              <w:t>mL</w:t>
            </w:r>
          </w:p>
        </w:tc>
        <w:tc>
          <w:tcPr>
            <w:tcW w:w="3887" w:type="pct"/>
          </w:tcPr>
          <w:p w14:paraId="6CB8EB88" w14:textId="77777777" w:rsidR="008938C3" w:rsidRPr="009D0B81" w:rsidRDefault="008938C3" w:rsidP="008938C3">
            <w:pPr>
              <w:pStyle w:val="TableText"/>
            </w:pPr>
            <w:r w:rsidRPr="009D0B81">
              <w:t>millilitre(s)</w:t>
            </w:r>
          </w:p>
        </w:tc>
      </w:tr>
      <w:tr w:rsidR="008938C3" w14:paraId="15E5AD28" w14:textId="77777777" w:rsidTr="00493AD9">
        <w:tc>
          <w:tcPr>
            <w:tcW w:w="1113" w:type="pct"/>
            <w:vAlign w:val="bottom"/>
          </w:tcPr>
          <w:p w14:paraId="1EB97C1E" w14:textId="77777777" w:rsidR="008938C3" w:rsidRPr="009D0B81" w:rsidRDefault="008938C3" w:rsidP="008938C3">
            <w:pPr>
              <w:pStyle w:val="TableText"/>
            </w:pPr>
            <w:r w:rsidRPr="009D0B81">
              <w:t>mm</w:t>
            </w:r>
          </w:p>
        </w:tc>
        <w:tc>
          <w:tcPr>
            <w:tcW w:w="3887" w:type="pct"/>
            <w:vAlign w:val="bottom"/>
          </w:tcPr>
          <w:p w14:paraId="4CDB58AC" w14:textId="77777777" w:rsidR="008938C3" w:rsidRPr="009D0B81" w:rsidRDefault="008938C3" w:rsidP="008938C3">
            <w:pPr>
              <w:pStyle w:val="TableText"/>
            </w:pPr>
            <w:r w:rsidRPr="009D0B81">
              <w:t>millimetre(s)</w:t>
            </w:r>
          </w:p>
        </w:tc>
      </w:tr>
      <w:tr w:rsidR="008938C3" w14:paraId="27F22598" w14:textId="77777777" w:rsidTr="00493AD9">
        <w:tc>
          <w:tcPr>
            <w:tcW w:w="1113" w:type="pct"/>
          </w:tcPr>
          <w:p w14:paraId="273095E0" w14:textId="77777777" w:rsidR="008938C3" w:rsidRPr="009D0B81" w:rsidRDefault="008938C3" w:rsidP="008938C3">
            <w:pPr>
              <w:pStyle w:val="TableText"/>
            </w:pPr>
            <w:r w:rsidRPr="009D0B81">
              <w:t>mol</w:t>
            </w:r>
          </w:p>
        </w:tc>
        <w:tc>
          <w:tcPr>
            <w:tcW w:w="3887" w:type="pct"/>
          </w:tcPr>
          <w:p w14:paraId="0DF26AA6" w14:textId="77777777" w:rsidR="008938C3" w:rsidRPr="009D0B81" w:rsidRDefault="008938C3" w:rsidP="008938C3">
            <w:pPr>
              <w:pStyle w:val="TableText"/>
            </w:pPr>
            <w:r w:rsidRPr="009D0B81">
              <w:t>mole(s)</w:t>
            </w:r>
          </w:p>
        </w:tc>
      </w:tr>
      <w:tr w:rsidR="008938C3" w14:paraId="4AAA034A" w14:textId="77777777" w:rsidTr="00493AD9">
        <w:tc>
          <w:tcPr>
            <w:tcW w:w="1113" w:type="pct"/>
          </w:tcPr>
          <w:p w14:paraId="0F98F00B" w14:textId="77777777" w:rsidR="008938C3" w:rsidRPr="009D0B81" w:rsidRDefault="008938C3" w:rsidP="008938C3">
            <w:pPr>
              <w:pStyle w:val="TableText"/>
            </w:pPr>
            <w:r w:rsidRPr="009D0B81">
              <w:t>mPA</w:t>
            </w:r>
          </w:p>
        </w:tc>
        <w:tc>
          <w:tcPr>
            <w:tcW w:w="3887" w:type="pct"/>
          </w:tcPr>
          <w:p w14:paraId="793D95D5" w14:textId="77777777" w:rsidR="008938C3" w:rsidRPr="009D0B81" w:rsidRDefault="008938C3" w:rsidP="008938C3">
            <w:pPr>
              <w:pStyle w:val="TableText"/>
            </w:pPr>
            <w:r w:rsidRPr="009D0B81">
              <w:t>millipascal(s)</w:t>
            </w:r>
          </w:p>
        </w:tc>
      </w:tr>
      <w:tr w:rsidR="008938C3" w14:paraId="5F155C73" w14:textId="77777777" w:rsidTr="00493AD9">
        <w:tc>
          <w:tcPr>
            <w:tcW w:w="1113" w:type="pct"/>
          </w:tcPr>
          <w:p w14:paraId="32BFD8AE" w14:textId="41510271" w:rsidR="008938C3" w:rsidRDefault="008938C3" w:rsidP="008938C3">
            <w:pPr>
              <w:pStyle w:val="TableText"/>
            </w:pPr>
            <w:r>
              <w:t>NEDI</w:t>
            </w:r>
          </w:p>
        </w:tc>
        <w:tc>
          <w:tcPr>
            <w:tcW w:w="3887" w:type="pct"/>
          </w:tcPr>
          <w:p w14:paraId="04E84E6D" w14:textId="2F03E9DB" w:rsidR="008938C3" w:rsidRPr="001374F5" w:rsidRDefault="008938C3" w:rsidP="008938C3">
            <w:pPr>
              <w:pStyle w:val="TableText"/>
            </w:pPr>
            <w:r w:rsidRPr="001374F5">
              <w:t>National Estimated Daily Intake</w:t>
            </w:r>
          </w:p>
        </w:tc>
      </w:tr>
      <w:tr w:rsidR="008938C3" w14:paraId="05F6DF9C" w14:textId="77777777" w:rsidTr="00493AD9">
        <w:tc>
          <w:tcPr>
            <w:tcW w:w="1113" w:type="pct"/>
          </w:tcPr>
          <w:p w14:paraId="2AFA8EE0" w14:textId="1842F1C1" w:rsidR="008938C3" w:rsidRPr="009D0B81" w:rsidRDefault="008938C3" w:rsidP="008938C3">
            <w:pPr>
              <w:pStyle w:val="TableText"/>
            </w:pPr>
            <w:r>
              <w:t>NESTI</w:t>
            </w:r>
          </w:p>
        </w:tc>
        <w:tc>
          <w:tcPr>
            <w:tcW w:w="3887" w:type="pct"/>
          </w:tcPr>
          <w:p w14:paraId="6947E3B1" w14:textId="56C603E0" w:rsidR="008938C3" w:rsidRPr="009D0B81" w:rsidRDefault="008938C3" w:rsidP="008938C3">
            <w:pPr>
              <w:pStyle w:val="TableText"/>
            </w:pPr>
            <w:r w:rsidRPr="001374F5">
              <w:t>National Estimated Short Term Intake</w:t>
            </w:r>
          </w:p>
        </w:tc>
      </w:tr>
      <w:tr w:rsidR="008938C3" w14:paraId="55727368" w14:textId="77777777" w:rsidTr="00493AD9">
        <w:tc>
          <w:tcPr>
            <w:tcW w:w="1113" w:type="pct"/>
          </w:tcPr>
          <w:p w14:paraId="774D11E9" w14:textId="77777777" w:rsidR="008938C3" w:rsidRPr="009D0B81" w:rsidRDefault="008938C3" w:rsidP="008938C3">
            <w:pPr>
              <w:pStyle w:val="TableText"/>
            </w:pPr>
            <w:r w:rsidRPr="009D0B81">
              <w:t>NOAEL</w:t>
            </w:r>
          </w:p>
        </w:tc>
        <w:tc>
          <w:tcPr>
            <w:tcW w:w="3887" w:type="pct"/>
          </w:tcPr>
          <w:p w14:paraId="62B5044A" w14:textId="77777777" w:rsidR="008938C3" w:rsidRPr="009D0B81" w:rsidRDefault="008938C3" w:rsidP="008938C3">
            <w:pPr>
              <w:pStyle w:val="TableText"/>
            </w:pPr>
            <w:r w:rsidRPr="009D0B81">
              <w:t>No observable adverse effect level</w:t>
            </w:r>
          </w:p>
        </w:tc>
      </w:tr>
      <w:tr w:rsidR="008938C3" w14:paraId="170222F5" w14:textId="77777777" w:rsidTr="00493AD9">
        <w:tc>
          <w:tcPr>
            <w:tcW w:w="1113" w:type="pct"/>
            <w:vAlign w:val="bottom"/>
          </w:tcPr>
          <w:p w14:paraId="22C24588" w14:textId="77777777" w:rsidR="008938C3" w:rsidRPr="009D0B81" w:rsidRDefault="008938C3" w:rsidP="008938C3">
            <w:pPr>
              <w:pStyle w:val="TableText"/>
            </w:pPr>
            <w:r w:rsidRPr="009D0B81">
              <w:t>NOEC</w:t>
            </w:r>
          </w:p>
        </w:tc>
        <w:tc>
          <w:tcPr>
            <w:tcW w:w="3887" w:type="pct"/>
            <w:vAlign w:val="bottom"/>
          </w:tcPr>
          <w:p w14:paraId="11F249B3" w14:textId="77777777" w:rsidR="008938C3" w:rsidRPr="009D0B81" w:rsidRDefault="008938C3" w:rsidP="008938C3">
            <w:pPr>
              <w:pStyle w:val="TableText"/>
            </w:pPr>
            <w:r w:rsidRPr="009D0B81">
              <w:t>no observed effect concentration</w:t>
            </w:r>
          </w:p>
        </w:tc>
      </w:tr>
      <w:tr w:rsidR="008938C3" w14:paraId="71D54C95" w14:textId="77777777" w:rsidTr="00493AD9">
        <w:tc>
          <w:tcPr>
            <w:tcW w:w="1113" w:type="pct"/>
          </w:tcPr>
          <w:p w14:paraId="4803DD0E" w14:textId="77777777" w:rsidR="008938C3" w:rsidRPr="009D0B81" w:rsidRDefault="008938C3" w:rsidP="008938C3">
            <w:pPr>
              <w:pStyle w:val="TableText"/>
            </w:pPr>
            <w:r w:rsidRPr="009D0B81">
              <w:t>NOEL</w:t>
            </w:r>
          </w:p>
        </w:tc>
        <w:tc>
          <w:tcPr>
            <w:tcW w:w="3887" w:type="pct"/>
          </w:tcPr>
          <w:p w14:paraId="574449EF" w14:textId="77777777" w:rsidR="008938C3" w:rsidRPr="009D0B81" w:rsidRDefault="008938C3" w:rsidP="008938C3">
            <w:pPr>
              <w:pStyle w:val="TableText"/>
            </w:pPr>
            <w:r w:rsidRPr="009D0B81">
              <w:t>no observable effect level</w:t>
            </w:r>
          </w:p>
        </w:tc>
      </w:tr>
      <w:tr w:rsidR="008938C3" w14:paraId="56C2E830" w14:textId="77777777" w:rsidTr="00493AD9">
        <w:tc>
          <w:tcPr>
            <w:tcW w:w="1113" w:type="pct"/>
          </w:tcPr>
          <w:p w14:paraId="1EE7EC83" w14:textId="29CD4D8E" w:rsidR="008938C3" w:rsidRPr="009D0B81" w:rsidRDefault="008938C3" w:rsidP="008938C3">
            <w:pPr>
              <w:pStyle w:val="TableText"/>
            </w:pPr>
            <w:r w:rsidRPr="009D0B81">
              <w:t>Nm</w:t>
            </w:r>
          </w:p>
        </w:tc>
        <w:tc>
          <w:tcPr>
            <w:tcW w:w="3887" w:type="pct"/>
          </w:tcPr>
          <w:p w14:paraId="42692526" w14:textId="77777777" w:rsidR="008938C3" w:rsidRPr="009D0B81" w:rsidRDefault="008938C3" w:rsidP="008938C3">
            <w:pPr>
              <w:pStyle w:val="TableText"/>
            </w:pPr>
            <w:r w:rsidRPr="009D0B81">
              <w:t>nanometre(s)</w:t>
            </w:r>
          </w:p>
        </w:tc>
      </w:tr>
      <w:tr w:rsidR="008938C3" w14:paraId="50FA8B78" w14:textId="77777777" w:rsidTr="00493AD9">
        <w:tc>
          <w:tcPr>
            <w:tcW w:w="1113" w:type="pct"/>
          </w:tcPr>
          <w:p w14:paraId="0E525AEC" w14:textId="77777777" w:rsidR="008938C3" w:rsidRPr="009D0B81" w:rsidRDefault="008938C3" w:rsidP="008938C3">
            <w:pPr>
              <w:pStyle w:val="TableText"/>
            </w:pPr>
            <w:r w:rsidRPr="009D0B81">
              <w:t>OC</w:t>
            </w:r>
          </w:p>
        </w:tc>
        <w:tc>
          <w:tcPr>
            <w:tcW w:w="3887" w:type="pct"/>
          </w:tcPr>
          <w:p w14:paraId="0876CF47" w14:textId="77777777" w:rsidR="008938C3" w:rsidRPr="009D0B81" w:rsidRDefault="008938C3" w:rsidP="008938C3">
            <w:pPr>
              <w:pStyle w:val="TableText"/>
            </w:pPr>
            <w:r w:rsidRPr="009D0B81">
              <w:t>organic carbon</w:t>
            </w:r>
          </w:p>
        </w:tc>
      </w:tr>
      <w:tr w:rsidR="008938C3" w14:paraId="33C7DC5D" w14:textId="77777777" w:rsidTr="00493AD9">
        <w:tc>
          <w:tcPr>
            <w:tcW w:w="1113" w:type="pct"/>
          </w:tcPr>
          <w:p w14:paraId="4796850D" w14:textId="1FB26673" w:rsidR="008938C3" w:rsidRPr="009D0B81" w:rsidRDefault="008938C3" w:rsidP="008938C3">
            <w:pPr>
              <w:pStyle w:val="TableText"/>
            </w:pPr>
            <w:r>
              <w:t>OECD</w:t>
            </w:r>
          </w:p>
        </w:tc>
        <w:tc>
          <w:tcPr>
            <w:tcW w:w="3887" w:type="pct"/>
          </w:tcPr>
          <w:p w14:paraId="747B2859" w14:textId="1A5DE720" w:rsidR="008938C3" w:rsidRPr="009D0B81" w:rsidRDefault="008938C3" w:rsidP="008938C3">
            <w:pPr>
              <w:pStyle w:val="TableText"/>
            </w:pPr>
            <w:r w:rsidRPr="000A7311">
              <w:t>Organisation for Economic Co-operation and Development</w:t>
            </w:r>
          </w:p>
        </w:tc>
      </w:tr>
      <w:tr w:rsidR="008938C3" w14:paraId="0EBBDA32" w14:textId="77777777" w:rsidTr="00493AD9">
        <w:tc>
          <w:tcPr>
            <w:tcW w:w="1113" w:type="pct"/>
          </w:tcPr>
          <w:p w14:paraId="36C548AB" w14:textId="77777777" w:rsidR="008938C3" w:rsidRPr="009D0B81" w:rsidRDefault="008938C3" w:rsidP="008938C3">
            <w:pPr>
              <w:pStyle w:val="TableText"/>
            </w:pPr>
            <w:r w:rsidRPr="009D0B81">
              <w:t>Pa</w:t>
            </w:r>
          </w:p>
        </w:tc>
        <w:tc>
          <w:tcPr>
            <w:tcW w:w="3887" w:type="pct"/>
          </w:tcPr>
          <w:p w14:paraId="4981AC4D" w14:textId="77777777" w:rsidR="008938C3" w:rsidRPr="009D0B81" w:rsidRDefault="008938C3" w:rsidP="008938C3">
            <w:pPr>
              <w:pStyle w:val="TableText"/>
            </w:pPr>
            <w:r w:rsidRPr="009D0B81">
              <w:t>pascals</w:t>
            </w:r>
          </w:p>
        </w:tc>
      </w:tr>
      <w:tr w:rsidR="008938C3" w14:paraId="27C79B75" w14:textId="77777777" w:rsidTr="00493AD9">
        <w:tc>
          <w:tcPr>
            <w:tcW w:w="1113" w:type="pct"/>
            <w:vAlign w:val="bottom"/>
          </w:tcPr>
          <w:p w14:paraId="57AE69EF" w14:textId="77777777" w:rsidR="008938C3" w:rsidRPr="009D0B81" w:rsidRDefault="008938C3" w:rsidP="008938C3">
            <w:pPr>
              <w:pStyle w:val="TableText"/>
            </w:pPr>
            <w:r w:rsidRPr="009D0B81">
              <w:t>PBT</w:t>
            </w:r>
          </w:p>
        </w:tc>
        <w:tc>
          <w:tcPr>
            <w:tcW w:w="3887" w:type="pct"/>
            <w:vAlign w:val="bottom"/>
          </w:tcPr>
          <w:p w14:paraId="5922D163" w14:textId="77777777" w:rsidR="008938C3" w:rsidRPr="009D0B81" w:rsidRDefault="008938C3" w:rsidP="008938C3">
            <w:pPr>
              <w:pStyle w:val="TableText"/>
            </w:pPr>
            <w:r w:rsidRPr="009D0B81">
              <w:t xml:space="preserve">persistent – bioaccumulative – toxic </w:t>
            </w:r>
          </w:p>
        </w:tc>
      </w:tr>
      <w:tr w:rsidR="008938C3" w14:paraId="0FDA0D79" w14:textId="77777777" w:rsidTr="000742AA">
        <w:tc>
          <w:tcPr>
            <w:tcW w:w="1113" w:type="pct"/>
          </w:tcPr>
          <w:p w14:paraId="1B7833AD" w14:textId="35FB34C1" w:rsidR="008938C3" w:rsidRPr="009D0B81" w:rsidRDefault="008938C3" w:rsidP="008938C3">
            <w:pPr>
              <w:pStyle w:val="TableText"/>
            </w:pPr>
            <w:r w:rsidRPr="00F61B71">
              <w:t>PD</w:t>
            </w:r>
          </w:p>
        </w:tc>
        <w:tc>
          <w:tcPr>
            <w:tcW w:w="3887" w:type="pct"/>
          </w:tcPr>
          <w:p w14:paraId="6D6326F2" w14:textId="01239EF1" w:rsidR="008938C3" w:rsidRPr="009D0B81" w:rsidRDefault="008938C3" w:rsidP="008938C3">
            <w:pPr>
              <w:pStyle w:val="TableText"/>
            </w:pPr>
            <w:r w:rsidRPr="00F61B71">
              <w:t>proportion of diet</w:t>
            </w:r>
          </w:p>
        </w:tc>
      </w:tr>
      <w:tr w:rsidR="008938C3" w14:paraId="3A0097F9" w14:textId="77777777" w:rsidTr="00493AD9">
        <w:tc>
          <w:tcPr>
            <w:tcW w:w="1113" w:type="pct"/>
            <w:vAlign w:val="bottom"/>
          </w:tcPr>
          <w:p w14:paraId="2FA39ED6" w14:textId="77777777" w:rsidR="008938C3" w:rsidRPr="009D0B81" w:rsidRDefault="008938C3" w:rsidP="008938C3">
            <w:pPr>
              <w:pStyle w:val="TableText"/>
            </w:pPr>
            <w:r w:rsidRPr="009D0B81">
              <w:t>PEC</w:t>
            </w:r>
          </w:p>
        </w:tc>
        <w:tc>
          <w:tcPr>
            <w:tcW w:w="3887" w:type="pct"/>
            <w:vAlign w:val="bottom"/>
          </w:tcPr>
          <w:p w14:paraId="33114E96" w14:textId="77777777" w:rsidR="008938C3" w:rsidRPr="009D0B81" w:rsidRDefault="008938C3" w:rsidP="008938C3">
            <w:pPr>
              <w:pStyle w:val="TableText"/>
            </w:pPr>
            <w:r w:rsidRPr="009D0B81">
              <w:t>predicted environmental concentration</w:t>
            </w:r>
          </w:p>
        </w:tc>
      </w:tr>
      <w:tr w:rsidR="008938C3" w14:paraId="4947EFBD" w14:textId="77777777" w:rsidTr="00493AD9">
        <w:tc>
          <w:tcPr>
            <w:tcW w:w="1113" w:type="pct"/>
            <w:vAlign w:val="bottom"/>
          </w:tcPr>
          <w:p w14:paraId="172D013A" w14:textId="106AF6F1" w:rsidR="008938C3" w:rsidRPr="009D0B81" w:rsidRDefault="008938C3" w:rsidP="008938C3">
            <w:pPr>
              <w:pStyle w:val="TableText"/>
            </w:pPr>
            <w:r>
              <w:t>PHI</w:t>
            </w:r>
          </w:p>
        </w:tc>
        <w:tc>
          <w:tcPr>
            <w:tcW w:w="3887" w:type="pct"/>
            <w:vAlign w:val="bottom"/>
          </w:tcPr>
          <w:p w14:paraId="3494BDF3" w14:textId="75A540B9" w:rsidR="008938C3" w:rsidRPr="009D0B81" w:rsidRDefault="008938C3" w:rsidP="008938C3">
            <w:pPr>
              <w:pStyle w:val="TableText"/>
            </w:pPr>
            <w:r>
              <w:t>preharvest interval</w:t>
            </w:r>
          </w:p>
        </w:tc>
      </w:tr>
      <w:tr w:rsidR="008938C3" w14:paraId="35493595" w14:textId="77777777" w:rsidTr="00493AD9">
        <w:tc>
          <w:tcPr>
            <w:tcW w:w="1113" w:type="pct"/>
            <w:vAlign w:val="bottom"/>
          </w:tcPr>
          <w:p w14:paraId="43D3103C" w14:textId="77777777" w:rsidR="008938C3" w:rsidRPr="009D0B81" w:rsidRDefault="008938C3" w:rsidP="008938C3">
            <w:pPr>
              <w:pStyle w:val="TableText"/>
            </w:pPr>
            <w:r w:rsidRPr="009D0B81">
              <w:lastRenderedPageBreak/>
              <w:t>POP</w:t>
            </w:r>
          </w:p>
        </w:tc>
        <w:tc>
          <w:tcPr>
            <w:tcW w:w="3887" w:type="pct"/>
            <w:vAlign w:val="bottom"/>
          </w:tcPr>
          <w:p w14:paraId="1322B367" w14:textId="77777777" w:rsidR="008938C3" w:rsidRPr="009D0B81" w:rsidRDefault="008938C3" w:rsidP="008938C3">
            <w:pPr>
              <w:pStyle w:val="TableText"/>
            </w:pPr>
            <w:r w:rsidRPr="009D0B81">
              <w:t>persistent organic pollutant</w:t>
            </w:r>
          </w:p>
        </w:tc>
      </w:tr>
      <w:tr w:rsidR="008938C3" w14:paraId="4F95D4B4" w14:textId="77777777" w:rsidTr="00493AD9">
        <w:tc>
          <w:tcPr>
            <w:tcW w:w="1113" w:type="pct"/>
            <w:vAlign w:val="bottom"/>
          </w:tcPr>
          <w:p w14:paraId="549973B0" w14:textId="77777777" w:rsidR="008938C3" w:rsidRPr="009D0B81" w:rsidRDefault="008938C3" w:rsidP="008938C3">
            <w:pPr>
              <w:pStyle w:val="TableText"/>
            </w:pPr>
            <w:r w:rsidRPr="009D0B81">
              <w:t>Pow</w:t>
            </w:r>
          </w:p>
        </w:tc>
        <w:tc>
          <w:tcPr>
            <w:tcW w:w="3887" w:type="pct"/>
            <w:vAlign w:val="bottom"/>
          </w:tcPr>
          <w:p w14:paraId="1DF8099F" w14:textId="77777777" w:rsidR="008938C3" w:rsidRPr="009D0B81" w:rsidRDefault="008938C3" w:rsidP="008938C3">
            <w:pPr>
              <w:pStyle w:val="TableText"/>
            </w:pPr>
            <w:r w:rsidRPr="009D0B81">
              <w:t>octanol-water partition coefficient</w:t>
            </w:r>
          </w:p>
        </w:tc>
      </w:tr>
      <w:tr w:rsidR="008938C3" w14:paraId="285B20CC" w14:textId="77777777" w:rsidTr="000742AA">
        <w:tc>
          <w:tcPr>
            <w:tcW w:w="1113" w:type="pct"/>
          </w:tcPr>
          <w:p w14:paraId="551C22EE" w14:textId="237B7BFB" w:rsidR="008938C3" w:rsidRPr="009D0B81" w:rsidRDefault="008938C3" w:rsidP="008938C3">
            <w:pPr>
              <w:pStyle w:val="TableText"/>
            </w:pPr>
            <w:r>
              <w:rPr>
                <w:szCs w:val="17"/>
              </w:rPr>
              <w:t>PRD</w:t>
            </w:r>
          </w:p>
        </w:tc>
        <w:tc>
          <w:tcPr>
            <w:tcW w:w="3887" w:type="pct"/>
          </w:tcPr>
          <w:p w14:paraId="3374F155" w14:textId="53501803" w:rsidR="008938C3" w:rsidRPr="009D0B81" w:rsidRDefault="008938C3" w:rsidP="008938C3">
            <w:pPr>
              <w:pStyle w:val="TableText"/>
            </w:pPr>
            <w:r>
              <w:t>proposed regulatory decision</w:t>
            </w:r>
          </w:p>
        </w:tc>
      </w:tr>
      <w:tr w:rsidR="008938C3" w14:paraId="12A047B5" w14:textId="77777777" w:rsidTr="00493AD9">
        <w:tc>
          <w:tcPr>
            <w:tcW w:w="1113" w:type="pct"/>
            <w:vAlign w:val="bottom"/>
          </w:tcPr>
          <w:p w14:paraId="420DE338" w14:textId="77777777" w:rsidR="008938C3" w:rsidRPr="009D0B81" w:rsidRDefault="008938C3" w:rsidP="008938C3">
            <w:pPr>
              <w:pStyle w:val="TableText"/>
            </w:pPr>
            <w:r w:rsidRPr="009D0B81">
              <w:t>PT</w:t>
            </w:r>
          </w:p>
        </w:tc>
        <w:tc>
          <w:tcPr>
            <w:tcW w:w="3887" w:type="pct"/>
            <w:vAlign w:val="bottom"/>
          </w:tcPr>
          <w:p w14:paraId="29D2AF6A" w14:textId="77777777" w:rsidR="008938C3" w:rsidRPr="009D0B81" w:rsidRDefault="008938C3" w:rsidP="008938C3">
            <w:pPr>
              <w:pStyle w:val="TableText"/>
            </w:pPr>
            <w:r w:rsidRPr="009D0B81">
              <w:t>proportion of an animal’s daily diet obtained in habitat treated with pesticide</w:t>
            </w:r>
          </w:p>
        </w:tc>
      </w:tr>
      <w:tr w:rsidR="008938C3" w14:paraId="333F5BA8" w14:textId="77777777" w:rsidTr="00493AD9">
        <w:tc>
          <w:tcPr>
            <w:tcW w:w="1113" w:type="pct"/>
            <w:vAlign w:val="bottom"/>
          </w:tcPr>
          <w:p w14:paraId="29EBA832" w14:textId="77777777" w:rsidR="008938C3" w:rsidRPr="009D0B81" w:rsidRDefault="008938C3" w:rsidP="008938C3">
            <w:pPr>
              <w:pStyle w:val="TableText"/>
            </w:pPr>
            <w:r w:rsidRPr="009D0B81">
              <w:t>RAL</w:t>
            </w:r>
          </w:p>
        </w:tc>
        <w:tc>
          <w:tcPr>
            <w:tcW w:w="3887" w:type="pct"/>
            <w:vAlign w:val="bottom"/>
          </w:tcPr>
          <w:p w14:paraId="50A05DE8" w14:textId="77777777" w:rsidR="008938C3" w:rsidRPr="009D0B81" w:rsidRDefault="008938C3" w:rsidP="008938C3">
            <w:pPr>
              <w:pStyle w:val="TableText"/>
            </w:pPr>
            <w:r w:rsidRPr="009D0B81">
              <w:t>regulatory acceptable level</w:t>
            </w:r>
          </w:p>
        </w:tc>
      </w:tr>
      <w:tr w:rsidR="008938C3" w14:paraId="58EB882E" w14:textId="77777777" w:rsidTr="00493AD9">
        <w:tc>
          <w:tcPr>
            <w:tcW w:w="1113" w:type="pct"/>
            <w:vAlign w:val="bottom"/>
          </w:tcPr>
          <w:p w14:paraId="20AC15B9" w14:textId="77777777" w:rsidR="008938C3" w:rsidRPr="009D0B81" w:rsidRDefault="008938C3" w:rsidP="008938C3">
            <w:pPr>
              <w:pStyle w:val="TableText"/>
            </w:pPr>
            <w:r w:rsidRPr="009D0B81">
              <w:t>RQ</w:t>
            </w:r>
          </w:p>
        </w:tc>
        <w:tc>
          <w:tcPr>
            <w:tcW w:w="3887" w:type="pct"/>
            <w:vAlign w:val="bottom"/>
          </w:tcPr>
          <w:p w14:paraId="04CA1DF2" w14:textId="77777777" w:rsidR="008938C3" w:rsidRPr="009D0B81" w:rsidRDefault="008938C3" w:rsidP="008938C3">
            <w:pPr>
              <w:pStyle w:val="TableText"/>
            </w:pPr>
            <w:r w:rsidRPr="009D0B81">
              <w:t>risk quotient</w:t>
            </w:r>
          </w:p>
        </w:tc>
      </w:tr>
      <w:tr w:rsidR="008938C3" w14:paraId="6CE61406" w14:textId="77777777" w:rsidTr="000742AA">
        <w:tc>
          <w:tcPr>
            <w:tcW w:w="1113" w:type="pct"/>
          </w:tcPr>
          <w:p w14:paraId="458FB3AA" w14:textId="54F830EA" w:rsidR="008938C3" w:rsidRPr="009D0B81" w:rsidRDefault="008938C3" w:rsidP="008938C3">
            <w:pPr>
              <w:pStyle w:val="TableText"/>
            </w:pPr>
            <w:r>
              <w:rPr>
                <w:szCs w:val="17"/>
              </w:rPr>
              <w:t>RTR</w:t>
            </w:r>
          </w:p>
        </w:tc>
        <w:tc>
          <w:tcPr>
            <w:tcW w:w="3887" w:type="pct"/>
          </w:tcPr>
          <w:p w14:paraId="34EC6B88" w14:textId="50796197" w:rsidR="008938C3" w:rsidRPr="009D0B81" w:rsidRDefault="008938C3" w:rsidP="008938C3">
            <w:pPr>
              <w:pStyle w:val="TableText"/>
            </w:pPr>
            <w:r>
              <w:t>review technical report</w:t>
            </w:r>
          </w:p>
        </w:tc>
      </w:tr>
      <w:tr w:rsidR="008938C3" w14:paraId="10A8D19E" w14:textId="77777777" w:rsidTr="000742AA">
        <w:tc>
          <w:tcPr>
            <w:tcW w:w="1113" w:type="pct"/>
          </w:tcPr>
          <w:p w14:paraId="5463AE72" w14:textId="5BA1BCDD" w:rsidR="008938C3" w:rsidRPr="009D0B81" w:rsidRDefault="008938C3" w:rsidP="008938C3">
            <w:pPr>
              <w:pStyle w:val="TableText"/>
            </w:pPr>
            <w:r>
              <w:rPr>
                <w:szCs w:val="17"/>
              </w:rPr>
              <w:t>RUD</w:t>
            </w:r>
          </w:p>
        </w:tc>
        <w:tc>
          <w:tcPr>
            <w:tcW w:w="3887" w:type="pct"/>
          </w:tcPr>
          <w:p w14:paraId="0F281B37" w14:textId="66D75069" w:rsidR="008938C3" w:rsidRPr="009D0B81" w:rsidRDefault="008938C3" w:rsidP="008938C3">
            <w:pPr>
              <w:pStyle w:val="TableText"/>
            </w:pPr>
            <w:r>
              <w:t>residue per unit dose</w:t>
            </w:r>
          </w:p>
        </w:tc>
      </w:tr>
      <w:tr w:rsidR="008938C3" w14:paraId="688172A4" w14:textId="77777777" w:rsidTr="00493AD9">
        <w:tc>
          <w:tcPr>
            <w:tcW w:w="1113" w:type="pct"/>
          </w:tcPr>
          <w:p w14:paraId="5ED4408C" w14:textId="77777777" w:rsidR="008938C3" w:rsidRPr="009D0B81" w:rsidRDefault="008938C3" w:rsidP="008938C3">
            <w:pPr>
              <w:pStyle w:val="TableText"/>
            </w:pPr>
            <w:r w:rsidRPr="009D0B81">
              <w:t>SAC-WB</w:t>
            </w:r>
          </w:p>
        </w:tc>
        <w:tc>
          <w:tcPr>
            <w:tcW w:w="3887" w:type="pct"/>
          </w:tcPr>
          <w:p w14:paraId="0FBD3406" w14:textId="77777777" w:rsidR="008938C3" w:rsidRPr="009D0B81" w:rsidRDefault="008938C3" w:rsidP="008938C3">
            <w:pPr>
              <w:pStyle w:val="TableText"/>
            </w:pPr>
            <w:r w:rsidRPr="009D0B81">
              <w:t>strong adsorption capacity – wheat bioassay</w:t>
            </w:r>
          </w:p>
        </w:tc>
      </w:tr>
      <w:tr w:rsidR="008938C3" w14:paraId="1785E214" w14:textId="77777777" w:rsidTr="00493AD9">
        <w:tc>
          <w:tcPr>
            <w:tcW w:w="1113" w:type="pct"/>
          </w:tcPr>
          <w:p w14:paraId="4917DAB7" w14:textId="77777777" w:rsidR="008938C3" w:rsidRPr="009D0B81" w:rsidRDefault="008938C3" w:rsidP="008938C3">
            <w:pPr>
              <w:pStyle w:val="TableText"/>
            </w:pPr>
            <w:r w:rsidRPr="009D0B81">
              <w:t>SDRAM</w:t>
            </w:r>
          </w:p>
        </w:tc>
        <w:tc>
          <w:tcPr>
            <w:tcW w:w="3887" w:type="pct"/>
          </w:tcPr>
          <w:p w14:paraId="332E6FDB" w14:textId="77777777" w:rsidR="008938C3" w:rsidRPr="009D0B81" w:rsidRDefault="008938C3" w:rsidP="008938C3">
            <w:pPr>
              <w:pStyle w:val="TableText"/>
            </w:pPr>
            <w:r w:rsidRPr="009D0B81">
              <w:t>spray drift risk assessment manual</w:t>
            </w:r>
          </w:p>
        </w:tc>
      </w:tr>
      <w:tr w:rsidR="008938C3" w14:paraId="11EE76F3" w14:textId="77777777" w:rsidTr="00493AD9">
        <w:tc>
          <w:tcPr>
            <w:tcW w:w="1113" w:type="pct"/>
          </w:tcPr>
          <w:p w14:paraId="063ED19E" w14:textId="77777777" w:rsidR="008938C3" w:rsidRPr="009D0B81" w:rsidRDefault="008938C3" w:rsidP="008938C3">
            <w:pPr>
              <w:pStyle w:val="TableText"/>
            </w:pPr>
            <w:r w:rsidRPr="009D0B81">
              <w:t>SSD</w:t>
            </w:r>
          </w:p>
        </w:tc>
        <w:tc>
          <w:tcPr>
            <w:tcW w:w="3887" w:type="pct"/>
            <w:vAlign w:val="bottom"/>
          </w:tcPr>
          <w:p w14:paraId="32FC3E4A" w14:textId="77777777" w:rsidR="008938C3" w:rsidRPr="009D0B81" w:rsidRDefault="008938C3" w:rsidP="008938C3">
            <w:pPr>
              <w:pStyle w:val="TableText"/>
            </w:pPr>
            <w:r w:rsidRPr="009D0B81">
              <w:t>species sensitivity distribution</w:t>
            </w:r>
          </w:p>
        </w:tc>
      </w:tr>
      <w:tr w:rsidR="008938C3" w14:paraId="0CF605D3" w14:textId="77777777" w:rsidTr="00493AD9">
        <w:tc>
          <w:tcPr>
            <w:tcW w:w="1113" w:type="pct"/>
          </w:tcPr>
          <w:p w14:paraId="0456087F" w14:textId="77777777" w:rsidR="008938C3" w:rsidRPr="009D0B81" w:rsidRDefault="008938C3" w:rsidP="008938C3">
            <w:pPr>
              <w:pStyle w:val="TableText"/>
            </w:pPr>
            <w:r w:rsidRPr="009D0B81">
              <w:t>SL</w:t>
            </w:r>
          </w:p>
        </w:tc>
        <w:tc>
          <w:tcPr>
            <w:tcW w:w="3887" w:type="pct"/>
          </w:tcPr>
          <w:p w14:paraId="739096CC" w14:textId="77777777" w:rsidR="008938C3" w:rsidRPr="009D0B81" w:rsidRDefault="008938C3" w:rsidP="008938C3">
            <w:pPr>
              <w:pStyle w:val="TableText"/>
            </w:pPr>
            <w:r w:rsidRPr="009D0B81">
              <w:t>soluble concentrate</w:t>
            </w:r>
          </w:p>
        </w:tc>
      </w:tr>
      <w:tr w:rsidR="008938C3" w14:paraId="5610AA06" w14:textId="77777777" w:rsidTr="00493AD9">
        <w:tc>
          <w:tcPr>
            <w:tcW w:w="1113" w:type="pct"/>
          </w:tcPr>
          <w:p w14:paraId="3C15055C" w14:textId="121387BE" w:rsidR="008938C3" w:rsidRPr="009D0B81" w:rsidRDefault="008938C3" w:rsidP="008938C3">
            <w:pPr>
              <w:pStyle w:val="TableText"/>
            </w:pPr>
            <w:r w:rsidRPr="00770DF5">
              <w:rPr>
                <w:szCs w:val="17"/>
              </w:rPr>
              <w:t>SSD</w:t>
            </w:r>
          </w:p>
        </w:tc>
        <w:tc>
          <w:tcPr>
            <w:tcW w:w="3887" w:type="pct"/>
          </w:tcPr>
          <w:p w14:paraId="0D7B8101" w14:textId="124B339B" w:rsidR="008938C3" w:rsidRPr="009D0B81" w:rsidRDefault="008938C3" w:rsidP="008938C3">
            <w:pPr>
              <w:pStyle w:val="TableText"/>
            </w:pPr>
            <w:r w:rsidRPr="00770DF5">
              <w:t>species sensitivity distribution</w:t>
            </w:r>
          </w:p>
        </w:tc>
      </w:tr>
      <w:tr w:rsidR="008938C3" w14:paraId="06DCCC2A" w14:textId="77777777" w:rsidTr="00493AD9">
        <w:tc>
          <w:tcPr>
            <w:tcW w:w="1113" w:type="pct"/>
          </w:tcPr>
          <w:p w14:paraId="27429650" w14:textId="0ADE81A9" w:rsidR="008938C3" w:rsidRPr="009D0B81" w:rsidRDefault="008938C3" w:rsidP="008938C3">
            <w:pPr>
              <w:pStyle w:val="TableText"/>
            </w:pPr>
            <w:r>
              <w:t>STMR</w:t>
            </w:r>
          </w:p>
        </w:tc>
        <w:tc>
          <w:tcPr>
            <w:tcW w:w="3887" w:type="pct"/>
          </w:tcPr>
          <w:p w14:paraId="408D46AA" w14:textId="792BC60E" w:rsidR="008938C3" w:rsidRPr="009D0B81" w:rsidRDefault="008938C3" w:rsidP="008938C3">
            <w:pPr>
              <w:pStyle w:val="TableText"/>
            </w:pPr>
            <w:r>
              <w:t>Supervised Trials Median Residue</w:t>
            </w:r>
          </w:p>
        </w:tc>
      </w:tr>
      <w:tr w:rsidR="008938C3" w14:paraId="26349AAB" w14:textId="77777777" w:rsidTr="00493AD9">
        <w:tc>
          <w:tcPr>
            <w:tcW w:w="1113" w:type="pct"/>
          </w:tcPr>
          <w:p w14:paraId="554A30EA" w14:textId="77777777" w:rsidR="008938C3" w:rsidRPr="009D0B81" w:rsidRDefault="008938C3" w:rsidP="008938C3">
            <w:pPr>
              <w:pStyle w:val="TableText"/>
            </w:pPr>
            <w:r w:rsidRPr="009D0B81">
              <w:t>TOPPS</w:t>
            </w:r>
          </w:p>
        </w:tc>
        <w:tc>
          <w:tcPr>
            <w:tcW w:w="3887" w:type="pct"/>
          </w:tcPr>
          <w:p w14:paraId="1A4362DE" w14:textId="77777777" w:rsidR="008938C3" w:rsidRPr="009D0B81" w:rsidRDefault="008938C3" w:rsidP="008938C3">
            <w:pPr>
              <w:pStyle w:val="TableText"/>
            </w:pPr>
            <w:r w:rsidRPr="009D0B81">
              <w:t>1,2,3,4-tetrahydro-1-oxo-2H-pyrido(1-2-a)-5-pyrazinium salt (R32245, CGA130327)</w:t>
            </w:r>
          </w:p>
        </w:tc>
      </w:tr>
      <w:tr w:rsidR="00914D55" w14:paraId="553D94C8" w14:textId="77777777" w:rsidTr="00493AD9">
        <w:tc>
          <w:tcPr>
            <w:tcW w:w="1113" w:type="pct"/>
          </w:tcPr>
          <w:p w14:paraId="789C09C2" w14:textId="4B95975A" w:rsidR="00914D55" w:rsidRPr="009D0B81" w:rsidRDefault="00914D55" w:rsidP="00914D55">
            <w:pPr>
              <w:pStyle w:val="TableText"/>
            </w:pPr>
            <w:r>
              <w:rPr>
                <w:szCs w:val="17"/>
              </w:rPr>
              <w:t>TWA</w:t>
            </w:r>
          </w:p>
        </w:tc>
        <w:tc>
          <w:tcPr>
            <w:tcW w:w="3887" w:type="pct"/>
          </w:tcPr>
          <w:p w14:paraId="152F5E33" w14:textId="44DC361B" w:rsidR="00914D55" w:rsidRPr="009D0B81" w:rsidRDefault="00914D55" w:rsidP="00914D55">
            <w:pPr>
              <w:pStyle w:val="TableText"/>
            </w:pPr>
            <w:r>
              <w:t>time-weighted average</w:t>
            </w:r>
          </w:p>
        </w:tc>
      </w:tr>
      <w:tr w:rsidR="00914D55" w14:paraId="0FB8CD58" w14:textId="77777777" w:rsidTr="00493AD9">
        <w:tc>
          <w:tcPr>
            <w:tcW w:w="1113" w:type="pct"/>
            <w:vAlign w:val="bottom"/>
          </w:tcPr>
          <w:p w14:paraId="4B1E588E" w14:textId="77777777" w:rsidR="00914D55" w:rsidRPr="009D0B81" w:rsidRDefault="00914D55" w:rsidP="00914D55">
            <w:pPr>
              <w:pStyle w:val="TableText"/>
            </w:pPr>
            <w:r w:rsidRPr="009D0B81">
              <w:t>µg</w:t>
            </w:r>
          </w:p>
        </w:tc>
        <w:tc>
          <w:tcPr>
            <w:tcW w:w="3887" w:type="pct"/>
            <w:vAlign w:val="bottom"/>
          </w:tcPr>
          <w:p w14:paraId="66380F88" w14:textId="77777777" w:rsidR="00914D55" w:rsidRPr="009D0B81" w:rsidRDefault="00914D55" w:rsidP="00914D55">
            <w:pPr>
              <w:pStyle w:val="TableText"/>
            </w:pPr>
            <w:r w:rsidRPr="009D0B81">
              <w:t>micrograms</w:t>
            </w:r>
          </w:p>
        </w:tc>
      </w:tr>
      <w:tr w:rsidR="00914D55" w14:paraId="578CDEFA" w14:textId="77777777" w:rsidTr="00493AD9">
        <w:tc>
          <w:tcPr>
            <w:tcW w:w="1113" w:type="pct"/>
            <w:vAlign w:val="bottom"/>
          </w:tcPr>
          <w:p w14:paraId="3FAA62E3" w14:textId="77777777" w:rsidR="00914D55" w:rsidRPr="009D0B81" w:rsidRDefault="00914D55" w:rsidP="00914D55">
            <w:pPr>
              <w:pStyle w:val="TableText"/>
            </w:pPr>
            <w:r w:rsidRPr="009D0B81">
              <w:t>USEPA</w:t>
            </w:r>
          </w:p>
        </w:tc>
        <w:tc>
          <w:tcPr>
            <w:tcW w:w="3887" w:type="pct"/>
            <w:vAlign w:val="bottom"/>
          </w:tcPr>
          <w:p w14:paraId="06A087F8" w14:textId="77777777" w:rsidR="00914D55" w:rsidRPr="009D0B81" w:rsidRDefault="00914D55" w:rsidP="00914D55">
            <w:pPr>
              <w:pStyle w:val="TableText"/>
            </w:pPr>
            <w:r w:rsidRPr="009D0B81">
              <w:t>United States Environmental Protection Agency</w:t>
            </w:r>
          </w:p>
        </w:tc>
      </w:tr>
      <w:tr w:rsidR="00914D55" w14:paraId="03CDBC80" w14:textId="77777777" w:rsidTr="00493AD9">
        <w:tc>
          <w:tcPr>
            <w:tcW w:w="1113" w:type="pct"/>
            <w:vAlign w:val="bottom"/>
          </w:tcPr>
          <w:p w14:paraId="52530B44" w14:textId="77777777" w:rsidR="00914D55" w:rsidRPr="009D0B81" w:rsidRDefault="00914D55" w:rsidP="00914D55">
            <w:pPr>
              <w:pStyle w:val="TableText"/>
            </w:pPr>
            <w:r w:rsidRPr="009D0B81">
              <w:t>UV</w:t>
            </w:r>
          </w:p>
        </w:tc>
        <w:tc>
          <w:tcPr>
            <w:tcW w:w="3887" w:type="pct"/>
            <w:vAlign w:val="bottom"/>
          </w:tcPr>
          <w:p w14:paraId="56E3FF80" w14:textId="77777777" w:rsidR="00914D55" w:rsidRPr="009D0B81" w:rsidRDefault="00914D55" w:rsidP="00914D55">
            <w:pPr>
              <w:pStyle w:val="TableText"/>
            </w:pPr>
            <w:r w:rsidRPr="009D0B81">
              <w:t>ultraviolet</w:t>
            </w:r>
          </w:p>
        </w:tc>
      </w:tr>
      <w:tr w:rsidR="00914D55" w14:paraId="57064ABB" w14:textId="77777777" w:rsidTr="00493AD9">
        <w:tc>
          <w:tcPr>
            <w:tcW w:w="1113" w:type="pct"/>
            <w:vAlign w:val="bottom"/>
          </w:tcPr>
          <w:p w14:paraId="06C53CAA" w14:textId="77777777" w:rsidR="00914D55" w:rsidRPr="009D0B81" w:rsidRDefault="00914D55" w:rsidP="00914D55">
            <w:pPr>
              <w:pStyle w:val="TableText"/>
            </w:pPr>
            <w:r w:rsidRPr="009D0B81">
              <w:t>VIS</w:t>
            </w:r>
          </w:p>
        </w:tc>
        <w:tc>
          <w:tcPr>
            <w:tcW w:w="3887" w:type="pct"/>
            <w:vAlign w:val="bottom"/>
          </w:tcPr>
          <w:p w14:paraId="57B50825" w14:textId="77777777" w:rsidR="00914D55" w:rsidRPr="009D0B81" w:rsidRDefault="00914D55" w:rsidP="00914D55">
            <w:pPr>
              <w:pStyle w:val="TableText"/>
            </w:pPr>
            <w:r w:rsidRPr="009D0B81">
              <w:t>visible</w:t>
            </w:r>
          </w:p>
        </w:tc>
      </w:tr>
      <w:tr w:rsidR="00914D55" w14:paraId="17E2571D" w14:textId="77777777" w:rsidTr="00493AD9">
        <w:tc>
          <w:tcPr>
            <w:tcW w:w="1113" w:type="pct"/>
            <w:vAlign w:val="bottom"/>
          </w:tcPr>
          <w:p w14:paraId="276DD93A" w14:textId="77777777" w:rsidR="00914D55" w:rsidRPr="009D0B81" w:rsidRDefault="00914D55" w:rsidP="00914D55">
            <w:pPr>
              <w:pStyle w:val="TableText"/>
            </w:pPr>
            <w:r w:rsidRPr="009D0B81">
              <w:t>w/w</w:t>
            </w:r>
          </w:p>
        </w:tc>
        <w:tc>
          <w:tcPr>
            <w:tcW w:w="3887" w:type="pct"/>
            <w:vAlign w:val="bottom"/>
          </w:tcPr>
          <w:p w14:paraId="3C335220" w14:textId="77777777" w:rsidR="00914D55" w:rsidRPr="009D0B81" w:rsidRDefault="00914D55" w:rsidP="00914D55">
            <w:pPr>
              <w:pStyle w:val="TableText"/>
            </w:pPr>
            <w:r w:rsidRPr="009D0B81">
              <w:t>weight per weight</w:t>
            </w:r>
          </w:p>
        </w:tc>
      </w:tr>
      <w:tr w:rsidR="00914D55" w14:paraId="02674800" w14:textId="77777777" w:rsidTr="000742AA">
        <w:tc>
          <w:tcPr>
            <w:tcW w:w="1113" w:type="pct"/>
          </w:tcPr>
          <w:p w14:paraId="262BF279" w14:textId="39700AEF" w:rsidR="00914D55" w:rsidRPr="009D0B81" w:rsidRDefault="00914D55" w:rsidP="00914D55">
            <w:pPr>
              <w:pStyle w:val="TableText"/>
            </w:pPr>
            <w:r w:rsidRPr="00DA1455">
              <w:rPr>
                <w:szCs w:val="17"/>
              </w:rPr>
              <w:t>WOE</w:t>
            </w:r>
          </w:p>
        </w:tc>
        <w:tc>
          <w:tcPr>
            <w:tcW w:w="3887" w:type="pct"/>
          </w:tcPr>
          <w:p w14:paraId="7F01C81F" w14:textId="1A604DA4" w:rsidR="00914D55" w:rsidRPr="009D0B81" w:rsidRDefault="00914D55" w:rsidP="00914D55">
            <w:pPr>
              <w:pStyle w:val="TableText"/>
            </w:pPr>
            <w:r w:rsidRPr="00DA1455">
              <w:t>Weight of evidence</w:t>
            </w:r>
          </w:p>
        </w:tc>
      </w:tr>
    </w:tbl>
    <w:p w14:paraId="6EC98A6C" w14:textId="77777777" w:rsidR="009D0B81" w:rsidRPr="00305A1A" w:rsidRDefault="009D0B81" w:rsidP="00305A1A">
      <w:pPr>
        <w:pStyle w:val="NormalText"/>
        <w:sectPr w:rsidR="009D0B81" w:rsidRPr="00305A1A" w:rsidSect="009A2AA4">
          <w:headerReference w:type="even" r:id="rId52"/>
          <w:pgSz w:w="11906" w:h="16838" w:code="9"/>
          <w:pgMar w:top="2835" w:right="1134" w:bottom="1134" w:left="1134" w:header="1701" w:footer="680" w:gutter="0"/>
          <w:cols w:space="708"/>
          <w:docGrid w:linePitch="360"/>
        </w:sectPr>
      </w:pPr>
    </w:p>
    <w:p w14:paraId="390E555A" w14:textId="77777777" w:rsidR="009D0B81" w:rsidRDefault="009D0B81" w:rsidP="00C97A0F">
      <w:pPr>
        <w:pStyle w:val="Heading1"/>
        <w:numPr>
          <w:ilvl w:val="0"/>
          <w:numId w:val="0"/>
        </w:numPr>
        <w:ind w:left="432" w:hanging="432"/>
      </w:pPr>
      <w:bookmarkStart w:id="534" w:name="_Toc81569148"/>
      <w:bookmarkStart w:id="535" w:name="_Toc233039047"/>
      <w:r>
        <w:lastRenderedPageBreak/>
        <w:t>Glossary</w:t>
      </w:r>
      <w:bookmarkEnd w:id="534"/>
      <w:bookmarkEnd w:id="535"/>
    </w:p>
    <w:tbl>
      <w:tblPr>
        <w:tblW w:w="5000" w:type="pct"/>
        <w:tblInd w:w="1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59"/>
        <w:gridCol w:w="7795"/>
      </w:tblGrid>
      <w:tr w:rsidR="009D0B81" w:rsidRPr="00994FB5" w14:paraId="079AE629" w14:textId="77777777" w:rsidTr="000742AA">
        <w:trPr>
          <w:cantSplit/>
          <w:tblHeader/>
        </w:trPr>
        <w:tc>
          <w:tcPr>
            <w:tcW w:w="2059" w:type="dxa"/>
            <w:shd w:val="clear" w:color="auto" w:fill="5C2946"/>
          </w:tcPr>
          <w:p w14:paraId="75ED416C" w14:textId="77777777" w:rsidR="009D0B81" w:rsidRPr="00994FB5" w:rsidRDefault="009D0B81" w:rsidP="009D0B81">
            <w:pPr>
              <w:pStyle w:val="TableHead"/>
            </w:pPr>
            <w:r>
              <w:t>T</w:t>
            </w:r>
            <w:r w:rsidRPr="00994FB5">
              <w:t>erm</w:t>
            </w:r>
          </w:p>
        </w:tc>
        <w:tc>
          <w:tcPr>
            <w:tcW w:w="7795" w:type="dxa"/>
            <w:shd w:val="clear" w:color="auto" w:fill="5C2946"/>
          </w:tcPr>
          <w:p w14:paraId="29F3C35F" w14:textId="77777777" w:rsidR="009D0B81" w:rsidRPr="00994FB5" w:rsidRDefault="009D0B81" w:rsidP="009D0B81">
            <w:pPr>
              <w:pStyle w:val="TableHead"/>
            </w:pPr>
            <w:r>
              <w:t>Description</w:t>
            </w:r>
          </w:p>
        </w:tc>
      </w:tr>
      <w:tr w:rsidR="009D0B81" w14:paraId="22321AE5" w14:textId="77777777" w:rsidTr="000742AA">
        <w:trPr>
          <w:cantSplit/>
        </w:trPr>
        <w:tc>
          <w:tcPr>
            <w:tcW w:w="2059" w:type="dxa"/>
          </w:tcPr>
          <w:p w14:paraId="5C7C73C8" w14:textId="77777777" w:rsidR="009D0B81" w:rsidRDefault="009D0B81" w:rsidP="009D0B81">
            <w:pPr>
              <w:pStyle w:val="TableText"/>
            </w:pPr>
            <w:r>
              <w:t>active constituent</w:t>
            </w:r>
          </w:p>
        </w:tc>
        <w:tc>
          <w:tcPr>
            <w:tcW w:w="7795" w:type="dxa"/>
          </w:tcPr>
          <w:p w14:paraId="2D72A509" w14:textId="77777777" w:rsidR="009D0B81" w:rsidRPr="00E55F86" w:rsidRDefault="009D0B81" w:rsidP="009D0B81">
            <w:pPr>
              <w:pStyle w:val="TableText"/>
            </w:pPr>
            <w:r>
              <w:t>The substance that is primarily responsible for the effect produced by a chemical product</w:t>
            </w:r>
          </w:p>
        </w:tc>
      </w:tr>
      <w:tr w:rsidR="009D0B81" w14:paraId="363B9C63" w14:textId="77777777" w:rsidTr="000742AA">
        <w:trPr>
          <w:cantSplit/>
        </w:trPr>
        <w:tc>
          <w:tcPr>
            <w:tcW w:w="2059" w:type="dxa"/>
          </w:tcPr>
          <w:p w14:paraId="3A0952EA" w14:textId="77777777" w:rsidR="009D0B81" w:rsidRDefault="009D0B81" w:rsidP="009D0B81">
            <w:pPr>
              <w:pStyle w:val="TableText"/>
            </w:pPr>
            <w:r>
              <w:t>acute exposure</w:t>
            </w:r>
          </w:p>
        </w:tc>
        <w:tc>
          <w:tcPr>
            <w:tcW w:w="7795" w:type="dxa"/>
          </w:tcPr>
          <w:p w14:paraId="12BEA138" w14:textId="77777777" w:rsidR="009D0B81" w:rsidRDefault="009D0B81" w:rsidP="009D0B81">
            <w:pPr>
              <w:pStyle w:val="TableText"/>
            </w:pPr>
            <w:r w:rsidRPr="00E55F86">
              <w:t>Contact between a pesticide and a target occurring over a short time (e.g., less than a day)</w:t>
            </w:r>
          </w:p>
        </w:tc>
      </w:tr>
      <w:tr w:rsidR="009D0B81" w14:paraId="3FCCD82E" w14:textId="77777777" w:rsidTr="000742AA">
        <w:trPr>
          <w:cantSplit/>
        </w:trPr>
        <w:tc>
          <w:tcPr>
            <w:tcW w:w="2059" w:type="dxa"/>
          </w:tcPr>
          <w:p w14:paraId="27EB60E7" w14:textId="77777777" w:rsidR="009D0B81" w:rsidRDefault="009D0B81" w:rsidP="009D0B81">
            <w:pPr>
              <w:pStyle w:val="TableText"/>
            </w:pPr>
            <w:r>
              <w:t>acute toxicity</w:t>
            </w:r>
          </w:p>
        </w:tc>
        <w:tc>
          <w:tcPr>
            <w:tcW w:w="7795" w:type="dxa"/>
          </w:tcPr>
          <w:p w14:paraId="0BF136B8" w14:textId="77777777" w:rsidR="009D0B81" w:rsidRDefault="009D0B81" w:rsidP="009D0B81">
            <w:pPr>
              <w:pStyle w:val="TableText"/>
            </w:pPr>
            <w:r w:rsidRPr="00E55F86">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914D55" w14:paraId="37125BB4" w14:textId="77777777" w:rsidTr="000742AA">
        <w:trPr>
          <w:cantSplit/>
        </w:trPr>
        <w:tc>
          <w:tcPr>
            <w:tcW w:w="2059" w:type="dxa"/>
          </w:tcPr>
          <w:p w14:paraId="5E5B6CA5" w14:textId="49E8DB0F" w:rsidR="00914D55" w:rsidRDefault="00914D55" w:rsidP="00914D55">
            <w:pPr>
              <w:pStyle w:val="TableText"/>
            </w:pPr>
            <w:r>
              <w:t>adsorption constant</w:t>
            </w:r>
          </w:p>
        </w:tc>
        <w:tc>
          <w:tcPr>
            <w:tcW w:w="7795" w:type="dxa"/>
          </w:tcPr>
          <w:p w14:paraId="7463E342" w14:textId="0528A405" w:rsidR="00914D55" w:rsidRPr="00E55F86" w:rsidRDefault="00914D55" w:rsidP="00914D55">
            <w:pPr>
              <w:pStyle w:val="TableText"/>
            </w:pPr>
            <w:r w:rsidRPr="00A92AC5">
              <w:t>A measure of the tendency of a chemical to bind to soils</w:t>
            </w:r>
          </w:p>
        </w:tc>
      </w:tr>
      <w:tr w:rsidR="009D0B81" w14:paraId="18D9005B" w14:textId="77777777" w:rsidTr="000742AA">
        <w:trPr>
          <w:cantSplit/>
        </w:trPr>
        <w:tc>
          <w:tcPr>
            <w:tcW w:w="2059" w:type="dxa"/>
          </w:tcPr>
          <w:p w14:paraId="308E446A" w14:textId="77777777" w:rsidR="009D0B81" w:rsidRDefault="009D0B81" w:rsidP="009D0B81">
            <w:pPr>
              <w:pStyle w:val="TableText"/>
            </w:pPr>
            <w:r>
              <w:t>adverse effect</w:t>
            </w:r>
          </w:p>
        </w:tc>
        <w:tc>
          <w:tcPr>
            <w:tcW w:w="7795" w:type="dxa"/>
          </w:tcPr>
          <w:p w14:paraId="5CE358F8" w14:textId="77777777" w:rsidR="009D0B81" w:rsidRDefault="009D0B81" w:rsidP="009D0B81">
            <w:pPr>
              <w:pStyle w:val="TableText"/>
            </w:pPr>
            <w:r w:rsidRPr="00E55F86">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9D0B81" w14:paraId="73D05B3A" w14:textId="77777777" w:rsidTr="000742AA">
        <w:trPr>
          <w:cantSplit/>
        </w:trPr>
        <w:tc>
          <w:tcPr>
            <w:tcW w:w="2059" w:type="dxa"/>
          </w:tcPr>
          <w:p w14:paraId="57EF69DD" w14:textId="77777777" w:rsidR="009D0B81" w:rsidRDefault="009D0B81" w:rsidP="009D0B81">
            <w:pPr>
              <w:pStyle w:val="TableText"/>
            </w:pPr>
            <w:r>
              <w:t>aged residue</w:t>
            </w:r>
          </w:p>
        </w:tc>
        <w:tc>
          <w:tcPr>
            <w:tcW w:w="7795" w:type="dxa"/>
          </w:tcPr>
          <w:p w14:paraId="16BD3614" w14:textId="77777777" w:rsidR="009D0B81" w:rsidRPr="00E55F86" w:rsidRDefault="009D0B81" w:rsidP="009D0B81">
            <w:pPr>
              <w:pStyle w:val="TableText"/>
            </w:pPr>
            <w:r>
              <w:t>Residues of a pesticide or its degradates in soil that have diffused into intra-particulate regions following application and have become less accessible to mass transfer and bioabsorption processes, although still amenable to solvent extraction</w:t>
            </w:r>
          </w:p>
        </w:tc>
      </w:tr>
      <w:tr w:rsidR="009D0B81" w14:paraId="1AAEDB71" w14:textId="77777777" w:rsidTr="000742AA">
        <w:trPr>
          <w:cantSplit/>
        </w:trPr>
        <w:tc>
          <w:tcPr>
            <w:tcW w:w="2059" w:type="dxa"/>
          </w:tcPr>
          <w:p w14:paraId="1B48C898" w14:textId="77777777" w:rsidR="009D0B81" w:rsidRDefault="009D0B81" w:rsidP="009D0B81">
            <w:pPr>
              <w:pStyle w:val="TableText"/>
            </w:pPr>
            <w:r>
              <w:t>agricultural crop</w:t>
            </w:r>
          </w:p>
        </w:tc>
        <w:tc>
          <w:tcPr>
            <w:tcW w:w="7795" w:type="dxa"/>
          </w:tcPr>
          <w:p w14:paraId="524420E5" w14:textId="77777777" w:rsidR="009D0B81" w:rsidRDefault="009D0B81" w:rsidP="009D0B81">
            <w:pPr>
              <w:pStyle w:val="TableText"/>
            </w:pPr>
            <w:r w:rsidRPr="00E55F86">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9D0B81" w14:paraId="74160F29" w14:textId="77777777" w:rsidTr="000742AA">
        <w:trPr>
          <w:cantSplit/>
        </w:trPr>
        <w:tc>
          <w:tcPr>
            <w:tcW w:w="2059" w:type="dxa"/>
          </w:tcPr>
          <w:p w14:paraId="41254742" w14:textId="77777777" w:rsidR="009D0B81" w:rsidRDefault="009D0B81" w:rsidP="009D0B81">
            <w:pPr>
              <w:pStyle w:val="TableText"/>
            </w:pPr>
            <w:r>
              <w:t>aquatic</w:t>
            </w:r>
          </w:p>
        </w:tc>
        <w:tc>
          <w:tcPr>
            <w:tcW w:w="7795" w:type="dxa"/>
          </w:tcPr>
          <w:p w14:paraId="4E2B7436" w14:textId="77777777" w:rsidR="009D0B81" w:rsidRDefault="009D0B81" w:rsidP="009D0B81">
            <w:pPr>
              <w:pStyle w:val="TableText"/>
            </w:pPr>
            <w:r>
              <w:t>Relating to water or sediment, as distinct from land or air</w:t>
            </w:r>
          </w:p>
        </w:tc>
      </w:tr>
      <w:tr w:rsidR="009D0B81" w14:paraId="71C97D97" w14:textId="77777777" w:rsidTr="000742AA">
        <w:trPr>
          <w:cantSplit/>
        </w:trPr>
        <w:tc>
          <w:tcPr>
            <w:tcW w:w="2059" w:type="dxa"/>
          </w:tcPr>
          <w:p w14:paraId="0D50860B" w14:textId="77777777" w:rsidR="009D0B81" w:rsidRDefault="009D0B81" w:rsidP="009D0B81">
            <w:pPr>
              <w:pStyle w:val="TableText"/>
            </w:pPr>
            <w:r>
              <w:t>assessment factor</w:t>
            </w:r>
          </w:p>
        </w:tc>
        <w:tc>
          <w:tcPr>
            <w:tcW w:w="7795" w:type="dxa"/>
          </w:tcPr>
          <w:p w14:paraId="65330812" w14:textId="77777777" w:rsidR="009D0B81" w:rsidRDefault="009D0B81" w:rsidP="009D0B81">
            <w:pPr>
              <w:pStyle w:val="TableText"/>
            </w:pPr>
            <w:r w:rsidRPr="00E55F86">
              <w:t>Reductive factor by which an observed or estimated endpoint of a pesticide is divided to arrive at a regulatory acceptable level</w:t>
            </w:r>
          </w:p>
        </w:tc>
      </w:tr>
      <w:tr w:rsidR="009D0B81" w14:paraId="7FA8B24D" w14:textId="77777777" w:rsidTr="000742AA">
        <w:trPr>
          <w:cantSplit/>
        </w:trPr>
        <w:tc>
          <w:tcPr>
            <w:tcW w:w="2059" w:type="dxa"/>
          </w:tcPr>
          <w:p w14:paraId="59E40F00" w14:textId="77777777" w:rsidR="009D0B81" w:rsidRDefault="009D0B81" w:rsidP="009D0B81">
            <w:pPr>
              <w:pStyle w:val="TableText"/>
            </w:pPr>
            <w:r>
              <w:t>bioaccumulation</w:t>
            </w:r>
          </w:p>
        </w:tc>
        <w:tc>
          <w:tcPr>
            <w:tcW w:w="7795" w:type="dxa"/>
          </w:tcPr>
          <w:p w14:paraId="1D206AAA" w14:textId="77777777" w:rsidR="009D0B81" w:rsidRPr="00E55F86" w:rsidRDefault="009D0B81" w:rsidP="009D0B81">
            <w:pPr>
              <w:pStyle w:val="TableText"/>
            </w:pPr>
            <w:r w:rsidRPr="00617E21">
              <w:t>Progressive increase in the amount of a substance in an organism or part of an organism that occurs because the rate of intake exceeds the organism’s ability to remove the substance from the body</w:t>
            </w:r>
          </w:p>
        </w:tc>
      </w:tr>
      <w:tr w:rsidR="009D0B81" w14:paraId="630F3FF4" w14:textId="77777777" w:rsidTr="000742AA">
        <w:trPr>
          <w:cantSplit/>
        </w:trPr>
        <w:tc>
          <w:tcPr>
            <w:tcW w:w="2059" w:type="dxa"/>
          </w:tcPr>
          <w:p w14:paraId="05CD3D2C" w14:textId="77777777" w:rsidR="009D0B81" w:rsidRDefault="009D0B81" w:rsidP="009D0B81">
            <w:pPr>
              <w:pStyle w:val="TableText"/>
            </w:pPr>
            <w:r>
              <w:t>bioconcentration</w:t>
            </w:r>
          </w:p>
        </w:tc>
        <w:tc>
          <w:tcPr>
            <w:tcW w:w="7795" w:type="dxa"/>
          </w:tcPr>
          <w:p w14:paraId="2DB06494" w14:textId="77777777" w:rsidR="009D0B81" w:rsidRDefault="009D0B81" w:rsidP="009D0B81">
            <w:pPr>
              <w:pStyle w:val="TableText"/>
            </w:pPr>
            <w:r w:rsidRPr="00E55F86">
              <w:t>Uptake of a pesticide residue from an environmental matrix, usually through partitioning across body surfaces to a concentration in the organism that is usually higher than in the environmental matrix</w:t>
            </w:r>
          </w:p>
        </w:tc>
      </w:tr>
      <w:tr w:rsidR="009D0B81" w14:paraId="48CC82CE" w14:textId="77777777" w:rsidTr="000742AA">
        <w:trPr>
          <w:cantSplit/>
        </w:trPr>
        <w:tc>
          <w:tcPr>
            <w:tcW w:w="2059" w:type="dxa"/>
          </w:tcPr>
          <w:p w14:paraId="5B156AB3" w14:textId="77777777" w:rsidR="009D0B81" w:rsidRDefault="009D0B81" w:rsidP="009D0B81">
            <w:pPr>
              <w:pStyle w:val="TableText"/>
            </w:pPr>
            <w:r>
              <w:t>bioconcentration factor</w:t>
            </w:r>
          </w:p>
        </w:tc>
        <w:tc>
          <w:tcPr>
            <w:tcW w:w="7795" w:type="dxa"/>
          </w:tcPr>
          <w:p w14:paraId="5FAB46EB" w14:textId="77777777" w:rsidR="009D0B81" w:rsidRDefault="009D0B81" w:rsidP="009D0B81">
            <w:pPr>
              <w:pStyle w:val="TableText"/>
            </w:pPr>
            <w:r w:rsidRPr="00E55F86">
              <w:t>Ratio between the concentration of pesticide in an organism or tissue and the concentration in the environmental matrix (usually water) at apparent equilibrium during the uptake phase</w:t>
            </w:r>
          </w:p>
        </w:tc>
      </w:tr>
      <w:tr w:rsidR="009D0B81" w14:paraId="055EF164" w14:textId="77777777" w:rsidTr="000742AA">
        <w:trPr>
          <w:cantSplit/>
        </w:trPr>
        <w:tc>
          <w:tcPr>
            <w:tcW w:w="2059" w:type="dxa"/>
          </w:tcPr>
          <w:p w14:paraId="68C30614" w14:textId="77777777" w:rsidR="009D0B81" w:rsidRDefault="009D0B81" w:rsidP="009D0B81">
            <w:pPr>
              <w:pStyle w:val="TableText"/>
            </w:pPr>
            <w:r>
              <w:t>bound residue</w:t>
            </w:r>
          </w:p>
        </w:tc>
        <w:tc>
          <w:tcPr>
            <w:tcW w:w="7795" w:type="dxa"/>
          </w:tcPr>
          <w:p w14:paraId="1CCD2707" w14:textId="77777777" w:rsidR="009D0B81" w:rsidRPr="00617E21" w:rsidRDefault="009D0B81" w:rsidP="009D0B81">
            <w:pPr>
              <w:pStyle w:val="TableText"/>
            </w:pPr>
            <w:r w:rsidRPr="00A92AC5">
              <w:t>Residue associated with one or more classes of endogenous macromolecules that cannot be disassociated by extraction or digestion without alteration</w:t>
            </w:r>
          </w:p>
        </w:tc>
      </w:tr>
      <w:tr w:rsidR="009D0B81" w14:paraId="22195BEF" w14:textId="77777777" w:rsidTr="000742AA">
        <w:trPr>
          <w:cantSplit/>
        </w:trPr>
        <w:tc>
          <w:tcPr>
            <w:tcW w:w="2059" w:type="dxa"/>
          </w:tcPr>
          <w:p w14:paraId="265F457F" w14:textId="77777777" w:rsidR="009D0B81" w:rsidRDefault="009D0B81" w:rsidP="009D0B81">
            <w:pPr>
              <w:pStyle w:val="TableText"/>
            </w:pPr>
            <w:r>
              <w:t>cation</w:t>
            </w:r>
          </w:p>
        </w:tc>
        <w:tc>
          <w:tcPr>
            <w:tcW w:w="7795" w:type="dxa"/>
          </w:tcPr>
          <w:p w14:paraId="2FF9ED82" w14:textId="77777777" w:rsidR="009D0B81" w:rsidRPr="00E55F86" w:rsidRDefault="009D0B81" w:rsidP="009D0B81">
            <w:pPr>
              <w:pStyle w:val="TableText"/>
            </w:pPr>
            <w:r w:rsidRPr="00617E21">
              <w:t>Monatomic or polyatomic species having one or more elementary charges of the proton</w:t>
            </w:r>
          </w:p>
        </w:tc>
      </w:tr>
      <w:tr w:rsidR="009D0B81" w14:paraId="4488D8DD" w14:textId="77777777" w:rsidTr="000742AA">
        <w:trPr>
          <w:cantSplit/>
        </w:trPr>
        <w:tc>
          <w:tcPr>
            <w:tcW w:w="2059" w:type="dxa"/>
          </w:tcPr>
          <w:p w14:paraId="41E8B325" w14:textId="77777777" w:rsidR="009D0B81" w:rsidRDefault="009D0B81" w:rsidP="009D0B81">
            <w:pPr>
              <w:pStyle w:val="TableText"/>
            </w:pPr>
            <w:r>
              <w:t>catchment</w:t>
            </w:r>
          </w:p>
        </w:tc>
        <w:tc>
          <w:tcPr>
            <w:tcW w:w="7795" w:type="dxa"/>
          </w:tcPr>
          <w:p w14:paraId="172D6BAF" w14:textId="77777777" w:rsidR="009D0B81" w:rsidRDefault="009D0B81" w:rsidP="009D0B81">
            <w:pPr>
              <w:pStyle w:val="TableText"/>
            </w:pPr>
            <w:r w:rsidRPr="00E55F86">
              <w:t>Landform that collects precipitation and retains it in an impoundment or drains it through a single outlet</w:t>
            </w:r>
          </w:p>
        </w:tc>
      </w:tr>
      <w:tr w:rsidR="009D0B81" w14:paraId="0AF3F288" w14:textId="77777777" w:rsidTr="000742AA">
        <w:trPr>
          <w:cantSplit/>
        </w:trPr>
        <w:tc>
          <w:tcPr>
            <w:tcW w:w="2059" w:type="dxa"/>
          </w:tcPr>
          <w:p w14:paraId="50F46A47" w14:textId="77777777" w:rsidR="009D0B81" w:rsidRDefault="009D0B81" w:rsidP="009D0B81">
            <w:pPr>
              <w:pStyle w:val="TableText"/>
            </w:pPr>
            <w:r>
              <w:t>chronic exposure</w:t>
            </w:r>
          </w:p>
        </w:tc>
        <w:tc>
          <w:tcPr>
            <w:tcW w:w="7795" w:type="dxa"/>
          </w:tcPr>
          <w:p w14:paraId="4B9E1762" w14:textId="77777777" w:rsidR="009D0B81" w:rsidRDefault="009D0B81" w:rsidP="009D0B81">
            <w:pPr>
              <w:pStyle w:val="TableText"/>
            </w:pPr>
            <w:r w:rsidRPr="00E55F86">
              <w:t>Continued or intermittent long-term contact between an agent and a target</w:t>
            </w:r>
          </w:p>
        </w:tc>
      </w:tr>
      <w:tr w:rsidR="009D0B81" w14:paraId="1896DFEE" w14:textId="77777777" w:rsidTr="000742AA">
        <w:trPr>
          <w:cantSplit/>
        </w:trPr>
        <w:tc>
          <w:tcPr>
            <w:tcW w:w="2059" w:type="dxa"/>
          </w:tcPr>
          <w:p w14:paraId="4BABFC69" w14:textId="77777777" w:rsidR="009D0B81" w:rsidRDefault="009D0B81" w:rsidP="009D0B81">
            <w:pPr>
              <w:pStyle w:val="TableText"/>
            </w:pPr>
            <w:r>
              <w:t>chronic toxicity</w:t>
            </w:r>
          </w:p>
        </w:tc>
        <w:tc>
          <w:tcPr>
            <w:tcW w:w="7795" w:type="dxa"/>
          </w:tcPr>
          <w:p w14:paraId="1FFF1A0B" w14:textId="77777777" w:rsidR="009D0B81" w:rsidRDefault="009D0B81" w:rsidP="009D0B81">
            <w:pPr>
              <w:pStyle w:val="TableText"/>
            </w:pPr>
            <w:r w:rsidRPr="00E55F86">
              <w:t>Adverse effects following chronic exposure</w:t>
            </w:r>
          </w:p>
        </w:tc>
      </w:tr>
      <w:tr w:rsidR="009D0B81" w14:paraId="05324479" w14:textId="77777777" w:rsidTr="000742AA">
        <w:trPr>
          <w:cantSplit/>
        </w:trPr>
        <w:tc>
          <w:tcPr>
            <w:tcW w:w="2059" w:type="dxa"/>
          </w:tcPr>
          <w:p w14:paraId="6F196F52" w14:textId="77777777" w:rsidR="009D0B81" w:rsidRDefault="009D0B81" w:rsidP="009D0B81">
            <w:pPr>
              <w:pStyle w:val="TableText"/>
            </w:pPr>
            <w:r>
              <w:lastRenderedPageBreak/>
              <w:t>concentration</w:t>
            </w:r>
          </w:p>
        </w:tc>
        <w:tc>
          <w:tcPr>
            <w:tcW w:w="7795" w:type="dxa"/>
          </w:tcPr>
          <w:p w14:paraId="3DD09007" w14:textId="77777777" w:rsidR="009D0B81" w:rsidRDefault="009D0B81" w:rsidP="009D0B81">
            <w:pPr>
              <w:pStyle w:val="TableText"/>
            </w:pPr>
            <w:r w:rsidRPr="00E55F86">
              <w:t>Amount of a material, agent (e.g., pesticide) dissolved or contained in unit quantity in a given medium or system</w:t>
            </w:r>
          </w:p>
        </w:tc>
      </w:tr>
      <w:tr w:rsidR="009D0B81" w14:paraId="0175C1B7" w14:textId="77777777" w:rsidTr="000742AA">
        <w:trPr>
          <w:cantSplit/>
        </w:trPr>
        <w:tc>
          <w:tcPr>
            <w:tcW w:w="2059" w:type="dxa"/>
          </w:tcPr>
          <w:p w14:paraId="747986F5" w14:textId="77777777" w:rsidR="009D0B81" w:rsidRDefault="009D0B81" w:rsidP="009D0B81">
            <w:pPr>
              <w:pStyle w:val="TableText"/>
            </w:pPr>
            <w:r>
              <w:t>dissipation</w:t>
            </w:r>
          </w:p>
        </w:tc>
        <w:tc>
          <w:tcPr>
            <w:tcW w:w="7795" w:type="dxa"/>
          </w:tcPr>
          <w:p w14:paraId="753B5D43" w14:textId="77777777" w:rsidR="009D0B81" w:rsidRPr="00E55F86" w:rsidRDefault="009D0B81" w:rsidP="009D0B81">
            <w:pPr>
              <w:pStyle w:val="TableText"/>
            </w:pPr>
            <w:r>
              <w:t>Loss of pesticide residues from an environmental compartment due to degradation and transfer to another environmental compartment</w:t>
            </w:r>
          </w:p>
        </w:tc>
      </w:tr>
      <w:tr w:rsidR="009D0B81" w14:paraId="27A3DA73" w14:textId="77777777" w:rsidTr="000742AA">
        <w:trPr>
          <w:cantSplit/>
        </w:trPr>
        <w:tc>
          <w:tcPr>
            <w:tcW w:w="2059" w:type="dxa"/>
          </w:tcPr>
          <w:p w14:paraId="1D952C06" w14:textId="77777777" w:rsidR="009D0B81" w:rsidRDefault="009D0B81" w:rsidP="009D0B81">
            <w:pPr>
              <w:pStyle w:val="TableText"/>
            </w:pPr>
            <w:r>
              <w:t>dissociation constant</w:t>
            </w:r>
          </w:p>
        </w:tc>
        <w:tc>
          <w:tcPr>
            <w:tcW w:w="7795" w:type="dxa"/>
          </w:tcPr>
          <w:p w14:paraId="7EC6B1E7" w14:textId="77777777" w:rsidR="009D0B81" w:rsidRPr="00E55F86" w:rsidRDefault="009D0B81" w:rsidP="009D0B81">
            <w:pPr>
              <w:pStyle w:val="TableText"/>
            </w:pPr>
            <w:r>
              <w:t>T</w:t>
            </w:r>
            <w:r w:rsidRPr="00924DD1">
              <w:t>he ratio of concentration of dissociated ions to the concentration of original acid</w:t>
            </w:r>
          </w:p>
        </w:tc>
      </w:tr>
      <w:tr w:rsidR="009D0B81" w14:paraId="7233F4EC" w14:textId="77777777" w:rsidTr="000742AA">
        <w:trPr>
          <w:cantSplit/>
        </w:trPr>
        <w:tc>
          <w:tcPr>
            <w:tcW w:w="2059" w:type="dxa"/>
          </w:tcPr>
          <w:p w14:paraId="540042D2" w14:textId="77777777" w:rsidR="009D0B81" w:rsidRDefault="009D0B81" w:rsidP="009D0B81">
            <w:pPr>
              <w:pStyle w:val="TableText"/>
            </w:pPr>
            <w:r>
              <w:t>dose</w:t>
            </w:r>
          </w:p>
        </w:tc>
        <w:tc>
          <w:tcPr>
            <w:tcW w:w="7795" w:type="dxa"/>
          </w:tcPr>
          <w:p w14:paraId="29105259" w14:textId="77777777" w:rsidR="009D0B81" w:rsidRPr="00E55F86" w:rsidRDefault="009D0B81" w:rsidP="009D0B81">
            <w:pPr>
              <w:pStyle w:val="TableText"/>
            </w:pPr>
            <w:r w:rsidRPr="00E55F86">
              <w:t>Total amount of a pesticide or agent administered to, taken up or absorbed by an organism, system, or (sub-) population</w:t>
            </w:r>
          </w:p>
        </w:tc>
      </w:tr>
      <w:tr w:rsidR="009D0B81" w14:paraId="08099045" w14:textId="77777777" w:rsidTr="000742AA">
        <w:trPr>
          <w:cantSplit/>
        </w:trPr>
        <w:tc>
          <w:tcPr>
            <w:tcW w:w="2059" w:type="dxa"/>
          </w:tcPr>
          <w:p w14:paraId="4E4804B5" w14:textId="77777777" w:rsidR="009D0B81" w:rsidRDefault="009D0B81" w:rsidP="009D0B81">
            <w:pPr>
              <w:pStyle w:val="TableText"/>
            </w:pPr>
            <w:r>
              <w:t>dry weight basis</w:t>
            </w:r>
          </w:p>
        </w:tc>
        <w:tc>
          <w:tcPr>
            <w:tcW w:w="7795" w:type="dxa"/>
          </w:tcPr>
          <w:p w14:paraId="3BE98113" w14:textId="77777777" w:rsidR="009D0B81" w:rsidRPr="00E55F86" w:rsidRDefault="009D0B81" w:rsidP="009D0B81">
            <w:pPr>
              <w:pStyle w:val="TableText"/>
            </w:pPr>
            <w:r>
              <w:t>Pesticide residue concentration reported as if the residue were wholly contained in the dry matter of the sample</w:t>
            </w:r>
          </w:p>
        </w:tc>
      </w:tr>
      <w:tr w:rsidR="009D0B81" w14:paraId="6F59ABBA" w14:textId="77777777" w:rsidTr="000742AA">
        <w:trPr>
          <w:cantSplit/>
        </w:trPr>
        <w:tc>
          <w:tcPr>
            <w:tcW w:w="2059" w:type="dxa"/>
          </w:tcPr>
          <w:p w14:paraId="71F05CCA" w14:textId="77777777" w:rsidR="009D0B81" w:rsidRDefault="009D0B81" w:rsidP="009D0B81">
            <w:pPr>
              <w:pStyle w:val="TableText"/>
            </w:pPr>
            <w:r>
              <w:t>effect assessment</w:t>
            </w:r>
          </w:p>
        </w:tc>
        <w:tc>
          <w:tcPr>
            <w:tcW w:w="7795" w:type="dxa"/>
          </w:tcPr>
          <w:p w14:paraId="2D24944A" w14:textId="77777777" w:rsidR="009D0B81" w:rsidRPr="00E55F86" w:rsidRDefault="009D0B81" w:rsidP="009D0B81">
            <w:pPr>
              <w:pStyle w:val="TableText"/>
            </w:pPr>
            <w:r w:rsidRPr="00E55F86">
              <w:t>Combination of analysis and inference of possible consequences of the exposure to a pesticide based on knowledge of the dose–effect relationship associated with that agent in a specific target organism, system, or (sub-) population</w:t>
            </w:r>
          </w:p>
        </w:tc>
      </w:tr>
      <w:tr w:rsidR="009D0B81" w14:paraId="2CD972A0" w14:textId="77777777" w:rsidTr="000742AA">
        <w:trPr>
          <w:cantSplit/>
        </w:trPr>
        <w:tc>
          <w:tcPr>
            <w:tcW w:w="2059" w:type="dxa"/>
          </w:tcPr>
          <w:p w14:paraId="5E1DFE65" w14:textId="77777777" w:rsidR="009D0B81" w:rsidRDefault="009D0B81" w:rsidP="009D0B81">
            <w:pPr>
              <w:pStyle w:val="TableText"/>
            </w:pPr>
            <w:r>
              <w:t>endpoint</w:t>
            </w:r>
          </w:p>
        </w:tc>
        <w:tc>
          <w:tcPr>
            <w:tcW w:w="7795" w:type="dxa"/>
          </w:tcPr>
          <w:p w14:paraId="3FB56466" w14:textId="77777777" w:rsidR="009D0B81" w:rsidRPr="00E55F86" w:rsidRDefault="009D0B81" w:rsidP="009D0B81">
            <w:pPr>
              <w:pStyle w:val="TableText"/>
            </w:pPr>
            <w:r w:rsidRPr="00E55F86">
              <w:t>Measurable ecological or toxicological characteristic or parameter of the test system that is chosen as the most relevant assessment criterion</w:t>
            </w:r>
          </w:p>
        </w:tc>
      </w:tr>
      <w:tr w:rsidR="009D0B81" w14:paraId="1A109A85" w14:textId="77777777" w:rsidTr="000742AA">
        <w:trPr>
          <w:cantSplit/>
        </w:trPr>
        <w:tc>
          <w:tcPr>
            <w:tcW w:w="2059" w:type="dxa"/>
          </w:tcPr>
          <w:p w14:paraId="2D0F283C" w14:textId="77777777" w:rsidR="009D0B81" w:rsidRDefault="009D0B81" w:rsidP="009D0B81">
            <w:pPr>
              <w:pStyle w:val="TableText"/>
            </w:pPr>
            <w:r>
              <w:t>environmental fate</w:t>
            </w:r>
          </w:p>
        </w:tc>
        <w:tc>
          <w:tcPr>
            <w:tcW w:w="7795" w:type="dxa"/>
          </w:tcPr>
          <w:p w14:paraId="398763E8" w14:textId="77777777" w:rsidR="009D0B81" w:rsidRDefault="009D0B81" w:rsidP="009D0B81">
            <w:pPr>
              <w:pStyle w:val="TableText"/>
            </w:pPr>
            <w:r w:rsidRPr="00A92AC5">
              <w:t>Destiny of a pesticide or chemical after release to the environment involving considerations such as transport through air, soil, or water, bioconcentration, degradation, etc.</w:t>
            </w:r>
          </w:p>
        </w:tc>
      </w:tr>
      <w:tr w:rsidR="009D0B81" w14:paraId="1703EBCF" w14:textId="77777777" w:rsidTr="000742AA">
        <w:trPr>
          <w:cantSplit/>
        </w:trPr>
        <w:tc>
          <w:tcPr>
            <w:tcW w:w="2059" w:type="dxa"/>
          </w:tcPr>
          <w:p w14:paraId="0A048EA0" w14:textId="77777777" w:rsidR="009D0B81" w:rsidRDefault="009D0B81" w:rsidP="009D0B81">
            <w:pPr>
              <w:pStyle w:val="TableText"/>
            </w:pPr>
            <w:r>
              <w:t>environmental risk</w:t>
            </w:r>
          </w:p>
        </w:tc>
        <w:tc>
          <w:tcPr>
            <w:tcW w:w="7795" w:type="dxa"/>
          </w:tcPr>
          <w:p w14:paraId="6BE04D57" w14:textId="77777777" w:rsidR="009D0B81" w:rsidRPr="00E55F86" w:rsidRDefault="009D0B81" w:rsidP="009D0B81">
            <w:pPr>
              <w:pStyle w:val="TableText"/>
            </w:pPr>
            <w:r>
              <w:t>P</w:t>
            </w:r>
            <w:r w:rsidRPr="00E55F86">
              <w:t>robability that an adverse effect on humans an environmental system/receptor will be observed for a given exposure to a pesticide based on the probability of that exposure and the sensitivity of the system/receptor</w:t>
            </w:r>
          </w:p>
        </w:tc>
      </w:tr>
      <w:tr w:rsidR="009D0B81" w14:paraId="7B8BD364" w14:textId="77777777" w:rsidTr="000742AA">
        <w:trPr>
          <w:cantSplit/>
        </w:trPr>
        <w:tc>
          <w:tcPr>
            <w:tcW w:w="2059" w:type="dxa"/>
          </w:tcPr>
          <w:p w14:paraId="0C7A1894" w14:textId="77777777" w:rsidR="009D0B81" w:rsidRDefault="009D0B81" w:rsidP="009D0B81">
            <w:pPr>
              <w:pStyle w:val="TableText"/>
            </w:pPr>
            <w:r>
              <w:t>exposure</w:t>
            </w:r>
          </w:p>
        </w:tc>
        <w:tc>
          <w:tcPr>
            <w:tcW w:w="7795" w:type="dxa"/>
          </w:tcPr>
          <w:p w14:paraId="430D97F8" w14:textId="77777777" w:rsidR="009D0B81" w:rsidRDefault="009D0B81" w:rsidP="009D0B81">
            <w:pPr>
              <w:pStyle w:val="TableText"/>
            </w:pPr>
            <w:r w:rsidRPr="00E55F86">
              <w:t>Concentration or amount of a particular substance that is taken in by an individual, population or ecosystem in a specific frequency over a certain amount of time</w:t>
            </w:r>
          </w:p>
        </w:tc>
      </w:tr>
      <w:tr w:rsidR="009D0B81" w14:paraId="7D280F0A" w14:textId="77777777" w:rsidTr="000742AA">
        <w:trPr>
          <w:cantSplit/>
        </w:trPr>
        <w:tc>
          <w:tcPr>
            <w:tcW w:w="2059" w:type="dxa"/>
          </w:tcPr>
          <w:p w14:paraId="3E399C6A" w14:textId="77777777" w:rsidR="009D0B81" w:rsidRDefault="009D0B81" w:rsidP="009D0B81">
            <w:pPr>
              <w:pStyle w:val="TableText"/>
            </w:pPr>
            <w:r>
              <w:t>exposure assessment</w:t>
            </w:r>
          </w:p>
        </w:tc>
        <w:tc>
          <w:tcPr>
            <w:tcW w:w="7795" w:type="dxa"/>
          </w:tcPr>
          <w:p w14:paraId="4332565D" w14:textId="77777777" w:rsidR="009D0B81" w:rsidRPr="00E55F86" w:rsidRDefault="009D0B81" w:rsidP="009D0B81">
            <w:pPr>
              <w:pStyle w:val="TableText"/>
            </w:pPr>
            <w:r>
              <w:t>Evaluation of the exposure of an organism, system, or (sub-) population to a pesticide or agent (and its derivatives)</w:t>
            </w:r>
          </w:p>
        </w:tc>
      </w:tr>
      <w:tr w:rsidR="009D0B81" w14:paraId="00B4ED89" w14:textId="77777777" w:rsidTr="000742AA">
        <w:trPr>
          <w:cantSplit/>
        </w:trPr>
        <w:tc>
          <w:tcPr>
            <w:tcW w:w="2059" w:type="dxa"/>
          </w:tcPr>
          <w:p w14:paraId="2B8D9BBF" w14:textId="77777777" w:rsidR="009D0B81" w:rsidRDefault="009D0B81" w:rsidP="009D0B81">
            <w:pPr>
              <w:pStyle w:val="TableText"/>
            </w:pPr>
            <w:r>
              <w:t>formulation</w:t>
            </w:r>
          </w:p>
        </w:tc>
        <w:tc>
          <w:tcPr>
            <w:tcW w:w="7795" w:type="dxa"/>
          </w:tcPr>
          <w:p w14:paraId="729CB411" w14:textId="77777777" w:rsidR="009D0B81" w:rsidRDefault="009D0B81" w:rsidP="009D0B81">
            <w:pPr>
              <w:pStyle w:val="TableText"/>
            </w:pPr>
            <w:r>
              <w:t>A combination of both active and inactive constituents to form the end use product</w:t>
            </w:r>
          </w:p>
        </w:tc>
      </w:tr>
      <w:tr w:rsidR="00914D55" w14:paraId="21FA856C" w14:textId="77777777" w:rsidTr="00914D55">
        <w:trPr>
          <w:cantSplit/>
        </w:trPr>
        <w:tc>
          <w:tcPr>
            <w:tcW w:w="2059" w:type="dxa"/>
          </w:tcPr>
          <w:p w14:paraId="40BDCF81" w14:textId="301E8E43" w:rsidR="00914D55" w:rsidRDefault="00914D55" w:rsidP="00914D55">
            <w:pPr>
              <w:pStyle w:val="TableText"/>
            </w:pPr>
            <w:r w:rsidRPr="004D0EA0">
              <w:t>Freundlich isotherm</w:t>
            </w:r>
          </w:p>
        </w:tc>
        <w:tc>
          <w:tcPr>
            <w:tcW w:w="7795" w:type="dxa"/>
          </w:tcPr>
          <w:p w14:paraId="4CCE50B1" w14:textId="1F447BAE" w:rsidR="00914D55" w:rsidRDefault="00914D55" w:rsidP="00914D55">
            <w:pPr>
              <w:pStyle w:val="TableText"/>
            </w:pPr>
            <w:r w:rsidRPr="004D0EA0">
              <w:t>Empirical relationship describing the adsorption of a solute from a liquid or gaseous phase to a solid in which the quantity of material adsorbed per unit mass of adsorbent is expressed as a function of the equilibrium concentration of the sorbate.</w:t>
            </w:r>
          </w:p>
        </w:tc>
      </w:tr>
      <w:tr w:rsidR="00914D55" w14:paraId="74B9B4E6" w14:textId="77777777" w:rsidTr="00914D55">
        <w:trPr>
          <w:cantSplit/>
        </w:trPr>
        <w:tc>
          <w:tcPr>
            <w:tcW w:w="2059" w:type="dxa"/>
          </w:tcPr>
          <w:p w14:paraId="20DDD080" w14:textId="214985CC" w:rsidR="00914D55" w:rsidRDefault="00914D55" w:rsidP="00914D55">
            <w:pPr>
              <w:pStyle w:val="TableText"/>
            </w:pPr>
            <w:r w:rsidRPr="004D0EA0">
              <w:t>good laboratory practice</w:t>
            </w:r>
          </w:p>
        </w:tc>
        <w:tc>
          <w:tcPr>
            <w:tcW w:w="7795" w:type="dxa"/>
          </w:tcPr>
          <w:p w14:paraId="789484DB" w14:textId="1C9EB6CF" w:rsidR="00914D55" w:rsidRDefault="00914D55" w:rsidP="00914D55">
            <w:pPr>
              <w:pStyle w:val="TableText"/>
            </w:pPr>
            <w:r w:rsidRPr="004D0EA0">
              <w:t>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w:t>
            </w:r>
          </w:p>
        </w:tc>
      </w:tr>
      <w:tr w:rsidR="009D0B81" w14:paraId="52674325" w14:textId="77777777" w:rsidTr="000742AA">
        <w:trPr>
          <w:cantSplit/>
        </w:trPr>
        <w:tc>
          <w:tcPr>
            <w:tcW w:w="2059" w:type="dxa"/>
          </w:tcPr>
          <w:p w14:paraId="38094FE6" w14:textId="77777777" w:rsidR="009D0B81" w:rsidRDefault="009D0B81" w:rsidP="009D0B81">
            <w:pPr>
              <w:pStyle w:val="TableText"/>
            </w:pPr>
            <w:r>
              <w:t>half-life</w:t>
            </w:r>
          </w:p>
        </w:tc>
        <w:tc>
          <w:tcPr>
            <w:tcW w:w="7795" w:type="dxa"/>
          </w:tcPr>
          <w:p w14:paraId="584B0E0F" w14:textId="77777777" w:rsidR="009D0B81" w:rsidRPr="00E55F86" w:rsidRDefault="009D0B81" w:rsidP="009D0B81">
            <w:pPr>
              <w:pStyle w:val="TableText"/>
            </w:pPr>
            <w:r>
              <w:t>The time taken for the reactant concentration to fall to one-half its initial value</w:t>
            </w:r>
          </w:p>
        </w:tc>
      </w:tr>
      <w:tr w:rsidR="009D0B81" w14:paraId="6B1FFDC7" w14:textId="77777777" w:rsidTr="000742AA">
        <w:trPr>
          <w:cantSplit/>
        </w:trPr>
        <w:tc>
          <w:tcPr>
            <w:tcW w:w="2059" w:type="dxa"/>
          </w:tcPr>
          <w:p w14:paraId="5E87B948" w14:textId="77777777" w:rsidR="009D0B81" w:rsidRDefault="009D0B81" w:rsidP="009D0B81">
            <w:pPr>
              <w:pStyle w:val="TableText"/>
            </w:pPr>
            <w:r>
              <w:t>hazard</w:t>
            </w:r>
          </w:p>
        </w:tc>
        <w:tc>
          <w:tcPr>
            <w:tcW w:w="7795" w:type="dxa"/>
          </w:tcPr>
          <w:p w14:paraId="17DBED01" w14:textId="77777777" w:rsidR="009D0B81" w:rsidRDefault="009D0B81" w:rsidP="009D0B81">
            <w:pPr>
              <w:pStyle w:val="TableText"/>
            </w:pPr>
            <w:r w:rsidRPr="00670DAB">
              <w:t>Inherent property of a pesticide having the potential to cause adverse effects when an organism, system, or (sub-) population is exposed to that agent or situation</w:t>
            </w:r>
          </w:p>
        </w:tc>
      </w:tr>
      <w:tr w:rsidR="009D0B81" w14:paraId="003FAF68" w14:textId="77777777" w:rsidTr="000742AA">
        <w:trPr>
          <w:cantSplit/>
        </w:trPr>
        <w:tc>
          <w:tcPr>
            <w:tcW w:w="2059" w:type="dxa"/>
          </w:tcPr>
          <w:p w14:paraId="4557A0E5" w14:textId="77777777" w:rsidR="009D0B81" w:rsidRDefault="009D0B81" w:rsidP="009D0B81">
            <w:pPr>
              <w:pStyle w:val="TableText"/>
            </w:pPr>
            <w:r>
              <w:t>Henry’s law constant</w:t>
            </w:r>
          </w:p>
        </w:tc>
        <w:tc>
          <w:tcPr>
            <w:tcW w:w="7795" w:type="dxa"/>
          </w:tcPr>
          <w:p w14:paraId="4DC456B8" w14:textId="77777777" w:rsidR="009D0B81" w:rsidRPr="00E55F86" w:rsidRDefault="009D0B81" w:rsidP="009D0B81">
            <w:pPr>
              <w:pStyle w:val="TableText"/>
            </w:pPr>
            <w:r>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9D0B81" w14:paraId="46C9142E" w14:textId="77777777" w:rsidTr="000742AA">
        <w:trPr>
          <w:cantSplit/>
        </w:trPr>
        <w:tc>
          <w:tcPr>
            <w:tcW w:w="2059" w:type="dxa"/>
          </w:tcPr>
          <w:p w14:paraId="2638E51A" w14:textId="77777777" w:rsidR="009D0B81" w:rsidRDefault="009D0B81" w:rsidP="009D0B81">
            <w:pPr>
              <w:pStyle w:val="TableText"/>
            </w:pPr>
            <w:r>
              <w:lastRenderedPageBreak/>
              <w:t>herbicide</w:t>
            </w:r>
          </w:p>
        </w:tc>
        <w:tc>
          <w:tcPr>
            <w:tcW w:w="7795" w:type="dxa"/>
          </w:tcPr>
          <w:p w14:paraId="6FB9D263" w14:textId="77777777" w:rsidR="009D0B81" w:rsidRDefault="009D0B81" w:rsidP="009D0B81">
            <w:pPr>
              <w:pStyle w:val="TableText"/>
            </w:pPr>
            <w:r w:rsidRPr="00617E21">
              <w:t>Pesticide used for the control of unwanted plants or weeds</w:t>
            </w:r>
          </w:p>
        </w:tc>
      </w:tr>
      <w:tr w:rsidR="009D0B81" w14:paraId="3F41BDE3" w14:textId="77777777" w:rsidTr="000742AA">
        <w:trPr>
          <w:cantSplit/>
        </w:trPr>
        <w:tc>
          <w:tcPr>
            <w:tcW w:w="2059" w:type="dxa"/>
          </w:tcPr>
          <w:p w14:paraId="2B17F810" w14:textId="77777777" w:rsidR="009D0B81" w:rsidRDefault="009D0B81" w:rsidP="009D0B81">
            <w:pPr>
              <w:pStyle w:val="TableText"/>
            </w:pPr>
            <w:r>
              <w:t>hydrolysis</w:t>
            </w:r>
          </w:p>
        </w:tc>
        <w:tc>
          <w:tcPr>
            <w:tcW w:w="7795" w:type="dxa"/>
          </w:tcPr>
          <w:p w14:paraId="51943F00" w14:textId="77777777" w:rsidR="009D0B81" w:rsidRPr="00E55F86" w:rsidRDefault="009D0B81" w:rsidP="009D0B81">
            <w:pPr>
              <w:pStyle w:val="TableText"/>
            </w:pPr>
            <w:r>
              <w:t>Chemical decomposition induced by water</w:t>
            </w:r>
          </w:p>
        </w:tc>
      </w:tr>
      <w:tr w:rsidR="009D0B81" w14:paraId="555F46A3" w14:textId="77777777" w:rsidTr="000742AA">
        <w:trPr>
          <w:cantSplit/>
        </w:trPr>
        <w:tc>
          <w:tcPr>
            <w:tcW w:w="2059" w:type="dxa"/>
          </w:tcPr>
          <w:p w14:paraId="581E93F7" w14:textId="77777777" w:rsidR="009D0B81" w:rsidRDefault="009D0B81" w:rsidP="009D0B81">
            <w:pPr>
              <w:pStyle w:val="TableText"/>
            </w:pPr>
            <w:r>
              <w:t>indicator species</w:t>
            </w:r>
          </w:p>
        </w:tc>
        <w:tc>
          <w:tcPr>
            <w:tcW w:w="7795" w:type="dxa"/>
          </w:tcPr>
          <w:p w14:paraId="281F5727" w14:textId="77777777" w:rsidR="009D0B81" w:rsidRPr="00E55F86" w:rsidRDefault="009D0B81" w:rsidP="009D0B81">
            <w:pPr>
              <w:pStyle w:val="TableText"/>
            </w:pPr>
            <w:r w:rsidRPr="00E55F86">
              <w:t>Species whose presence shows the occurrence of defined environmental conditions</w:t>
            </w:r>
          </w:p>
        </w:tc>
      </w:tr>
      <w:tr w:rsidR="00914D55" w14:paraId="07F48D9F" w14:textId="77777777" w:rsidTr="00914D55">
        <w:trPr>
          <w:cantSplit/>
        </w:trPr>
        <w:tc>
          <w:tcPr>
            <w:tcW w:w="2059" w:type="dxa"/>
          </w:tcPr>
          <w:p w14:paraId="49A87CDD" w14:textId="3CCF07F2" w:rsidR="00914D55" w:rsidRDefault="00914D55" w:rsidP="00914D55">
            <w:pPr>
              <w:pStyle w:val="TableText"/>
            </w:pPr>
            <w:r w:rsidRPr="004D0EA0">
              <w:t>intake</w:t>
            </w:r>
          </w:p>
        </w:tc>
        <w:tc>
          <w:tcPr>
            <w:tcW w:w="7795" w:type="dxa"/>
          </w:tcPr>
          <w:p w14:paraId="5FCAF3B7" w14:textId="6D70AC0C" w:rsidR="00914D55" w:rsidRPr="00E55F86" w:rsidRDefault="00914D55" w:rsidP="00914D55">
            <w:pPr>
              <w:pStyle w:val="TableText"/>
            </w:pPr>
            <w:r w:rsidRPr="004D0EA0">
              <w:t>Process by which a pesticide or agent crosses an outer exposure surface of a target without passing an absorption barrier, i.e., through ingestion or inhalation</w:t>
            </w:r>
          </w:p>
        </w:tc>
      </w:tr>
      <w:tr w:rsidR="009D0B81" w14:paraId="6D82AB67" w14:textId="77777777" w:rsidTr="000742AA">
        <w:trPr>
          <w:cantSplit/>
        </w:trPr>
        <w:tc>
          <w:tcPr>
            <w:tcW w:w="2059" w:type="dxa"/>
          </w:tcPr>
          <w:p w14:paraId="4325C264" w14:textId="77777777" w:rsidR="009D0B81" w:rsidRDefault="009D0B81" w:rsidP="009D0B81">
            <w:pPr>
              <w:pStyle w:val="TableText"/>
            </w:pPr>
            <w:r>
              <w:t>integrated pest management</w:t>
            </w:r>
          </w:p>
        </w:tc>
        <w:tc>
          <w:tcPr>
            <w:tcW w:w="7795" w:type="dxa"/>
          </w:tcPr>
          <w:p w14:paraId="1A9F54BE" w14:textId="77777777" w:rsidR="009D0B81" w:rsidRPr="00E55F86" w:rsidRDefault="009D0B81" w:rsidP="009D0B81">
            <w:pPr>
              <w:pStyle w:val="TableText"/>
            </w:pPr>
            <w:r w:rsidRPr="00E55F86">
              <w:t>Use of pest and environmental information in conjunction with available pest control technologies to prevent unacceptable levels of pest damage by the most economical means and with the least possible hazard to persons, property, and the environment</w:t>
            </w:r>
          </w:p>
        </w:tc>
      </w:tr>
      <w:tr w:rsidR="009D0B81" w14:paraId="2CDF200E" w14:textId="77777777" w:rsidTr="000742AA">
        <w:trPr>
          <w:cantSplit/>
        </w:trPr>
        <w:tc>
          <w:tcPr>
            <w:tcW w:w="2059" w:type="dxa"/>
          </w:tcPr>
          <w:p w14:paraId="48F678F7" w14:textId="77777777" w:rsidR="009D0B81" w:rsidRDefault="009D0B81" w:rsidP="009D0B81">
            <w:pPr>
              <w:pStyle w:val="TableText"/>
            </w:pPr>
            <w:r>
              <w:t>larva</w:t>
            </w:r>
          </w:p>
        </w:tc>
        <w:tc>
          <w:tcPr>
            <w:tcW w:w="7795" w:type="dxa"/>
          </w:tcPr>
          <w:p w14:paraId="328B80F6" w14:textId="77777777" w:rsidR="009D0B81" w:rsidRPr="00E55F86" w:rsidRDefault="009D0B81" w:rsidP="009D0B81">
            <w:pPr>
              <w:pStyle w:val="TableText"/>
            </w:pPr>
            <w:r w:rsidRPr="00E55F86">
              <w:t>Recently hatched insect, fish, or other organism that has different physical characteristics than those seen in the adult, requiring metamorphosis to reach the adult body structure</w:t>
            </w:r>
          </w:p>
        </w:tc>
      </w:tr>
      <w:tr w:rsidR="009D0B81" w14:paraId="1B3CE8FC" w14:textId="77777777" w:rsidTr="000742AA">
        <w:trPr>
          <w:cantSplit/>
        </w:trPr>
        <w:tc>
          <w:tcPr>
            <w:tcW w:w="2059" w:type="dxa"/>
          </w:tcPr>
          <w:p w14:paraId="06DD85E4" w14:textId="77777777" w:rsidR="009D0B81" w:rsidRDefault="009D0B81" w:rsidP="009D0B81">
            <w:pPr>
              <w:pStyle w:val="TableText"/>
            </w:pPr>
            <w:r>
              <w:t>median effective concentration</w:t>
            </w:r>
          </w:p>
        </w:tc>
        <w:tc>
          <w:tcPr>
            <w:tcW w:w="7795" w:type="dxa"/>
          </w:tcPr>
          <w:p w14:paraId="7B663645" w14:textId="77777777" w:rsidR="009D0B81" w:rsidRDefault="009D0B81" w:rsidP="009D0B81">
            <w:pPr>
              <w:pStyle w:val="TableText"/>
            </w:pPr>
            <w:r w:rsidRPr="00617E21">
              <w:t>Statistically derived concentration of a pesticide in an environmental medium expected to produce a certain effect in 50 % of the test organisms in a given population under defined conditions</w:t>
            </w:r>
          </w:p>
        </w:tc>
      </w:tr>
      <w:tr w:rsidR="009D0B81" w14:paraId="333DF696" w14:textId="77777777" w:rsidTr="000742AA">
        <w:trPr>
          <w:cantSplit/>
        </w:trPr>
        <w:tc>
          <w:tcPr>
            <w:tcW w:w="2059" w:type="dxa"/>
          </w:tcPr>
          <w:p w14:paraId="0AC2BF07" w14:textId="77777777" w:rsidR="009D0B81" w:rsidRDefault="009D0B81" w:rsidP="009D0B81">
            <w:pPr>
              <w:pStyle w:val="TableText"/>
            </w:pPr>
            <w:r>
              <w:t>median lethal concentration</w:t>
            </w:r>
          </w:p>
        </w:tc>
        <w:tc>
          <w:tcPr>
            <w:tcW w:w="7795" w:type="dxa"/>
          </w:tcPr>
          <w:p w14:paraId="6C271AD9" w14:textId="77777777" w:rsidR="009D0B81" w:rsidRDefault="009D0B81" w:rsidP="009D0B81">
            <w:pPr>
              <w:pStyle w:val="TableText"/>
            </w:pPr>
            <w:r>
              <w:t>Statistically derived concentration of a substance in an environmental medium expected to kill 50 % of test organisms in a given population under defined conditions</w:t>
            </w:r>
          </w:p>
        </w:tc>
      </w:tr>
      <w:tr w:rsidR="009D0B81" w14:paraId="22499F74" w14:textId="77777777" w:rsidTr="000742AA">
        <w:trPr>
          <w:cantSplit/>
        </w:trPr>
        <w:tc>
          <w:tcPr>
            <w:tcW w:w="2059" w:type="dxa"/>
          </w:tcPr>
          <w:p w14:paraId="6B29A6CA" w14:textId="77777777" w:rsidR="009D0B81" w:rsidRDefault="009D0B81" w:rsidP="009D0B81">
            <w:pPr>
              <w:pStyle w:val="TableText"/>
            </w:pPr>
            <w:r>
              <w:t>metabolite</w:t>
            </w:r>
          </w:p>
        </w:tc>
        <w:tc>
          <w:tcPr>
            <w:tcW w:w="7795" w:type="dxa"/>
          </w:tcPr>
          <w:p w14:paraId="37F08C78" w14:textId="77777777" w:rsidR="009D0B81" w:rsidRDefault="009D0B81" w:rsidP="009D0B81">
            <w:pPr>
              <w:pStyle w:val="TableText"/>
            </w:pPr>
            <w:r>
              <w:t>A</w:t>
            </w:r>
            <w:r w:rsidRPr="00617E21">
              <w:t>ny intermediate or product resulting from metabolism</w:t>
            </w:r>
          </w:p>
        </w:tc>
      </w:tr>
      <w:tr w:rsidR="009D0B81" w14:paraId="6F2E3A2D" w14:textId="77777777" w:rsidTr="000742AA">
        <w:trPr>
          <w:cantSplit/>
        </w:trPr>
        <w:tc>
          <w:tcPr>
            <w:tcW w:w="2059" w:type="dxa"/>
          </w:tcPr>
          <w:p w14:paraId="7D76E008" w14:textId="77777777" w:rsidR="009D0B81" w:rsidRDefault="009D0B81" w:rsidP="009D0B81">
            <w:pPr>
              <w:pStyle w:val="TableText"/>
            </w:pPr>
            <w:r>
              <w:t>mineralisation</w:t>
            </w:r>
          </w:p>
        </w:tc>
        <w:tc>
          <w:tcPr>
            <w:tcW w:w="7795" w:type="dxa"/>
          </w:tcPr>
          <w:p w14:paraId="547D8A44" w14:textId="77777777" w:rsidR="009D0B81" w:rsidRPr="00E55F86" w:rsidRDefault="009D0B81" w:rsidP="009D0B81">
            <w:pPr>
              <w:pStyle w:val="TableText"/>
            </w:pPr>
            <w:r>
              <w:t>Conversion of an element from an organic form to an inorganic form. Mineralisation of pesticides most commonly refers to the microbial degradation to carbon dioxide as a terminal metabolite</w:t>
            </w:r>
          </w:p>
        </w:tc>
      </w:tr>
      <w:tr w:rsidR="009D0B81" w14:paraId="27B2B738" w14:textId="77777777" w:rsidTr="000742AA">
        <w:trPr>
          <w:cantSplit/>
        </w:trPr>
        <w:tc>
          <w:tcPr>
            <w:tcW w:w="2059" w:type="dxa"/>
          </w:tcPr>
          <w:p w14:paraId="5B7ACAA1" w14:textId="77777777" w:rsidR="009D0B81" w:rsidRDefault="009D0B81" w:rsidP="009D0B81">
            <w:pPr>
              <w:pStyle w:val="TableText"/>
            </w:pPr>
            <w:r>
              <w:t>mode of action</w:t>
            </w:r>
          </w:p>
        </w:tc>
        <w:tc>
          <w:tcPr>
            <w:tcW w:w="7795" w:type="dxa"/>
          </w:tcPr>
          <w:p w14:paraId="10BC6D1D" w14:textId="77777777" w:rsidR="009D0B81" w:rsidRPr="00E55F86" w:rsidRDefault="009D0B81" w:rsidP="009D0B81">
            <w:pPr>
              <w:pStyle w:val="TableText"/>
            </w:pPr>
            <w:r>
              <w:t>Biochemical effect that occurs at the lowest dose or concentration or is the earliest among a number of biochemical effects that could, understandably, lead to the death of the pest</w:t>
            </w:r>
          </w:p>
        </w:tc>
      </w:tr>
      <w:tr w:rsidR="009D0B81" w14:paraId="747DEDEE" w14:textId="77777777" w:rsidTr="000742AA">
        <w:trPr>
          <w:cantSplit/>
        </w:trPr>
        <w:tc>
          <w:tcPr>
            <w:tcW w:w="2059" w:type="dxa"/>
          </w:tcPr>
          <w:p w14:paraId="0E2BB657" w14:textId="77777777" w:rsidR="009D0B81" w:rsidRDefault="009D0B81" w:rsidP="009D0B81">
            <w:pPr>
              <w:pStyle w:val="TableText"/>
            </w:pPr>
            <w:r>
              <w:t>no observed effect level</w:t>
            </w:r>
          </w:p>
        </w:tc>
        <w:tc>
          <w:tcPr>
            <w:tcW w:w="7795" w:type="dxa"/>
          </w:tcPr>
          <w:p w14:paraId="3DFED6A9" w14:textId="77777777" w:rsidR="009D0B81" w:rsidRPr="00E55F86" w:rsidRDefault="009D0B81" w:rsidP="009D0B81">
            <w:pPr>
              <w:pStyle w:val="TableText"/>
            </w:pPr>
            <w:r w:rsidRPr="00E55F86">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9D0B81" w14:paraId="259EBAD1" w14:textId="77777777" w:rsidTr="000742AA">
        <w:trPr>
          <w:cantSplit/>
        </w:trPr>
        <w:tc>
          <w:tcPr>
            <w:tcW w:w="2059" w:type="dxa"/>
          </w:tcPr>
          <w:p w14:paraId="1E1DA9D1" w14:textId="77777777" w:rsidR="009D0B81" w:rsidRDefault="009D0B81" w:rsidP="009D0B81">
            <w:pPr>
              <w:pStyle w:val="TableText"/>
            </w:pPr>
            <w:r>
              <w:t>non-selective herbicide</w:t>
            </w:r>
          </w:p>
        </w:tc>
        <w:tc>
          <w:tcPr>
            <w:tcW w:w="7795" w:type="dxa"/>
          </w:tcPr>
          <w:p w14:paraId="73086F32" w14:textId="77777777" w:rsidR="009D0B81" w:rsidRPr="00E55F86" w:rsidRDefault="009D0B81" w:rsidP="009D0B81">
            <w:pPr>
              <w:pStyle w:val="TableText"/>
            </w:pPr>
            <w:r w:rsidRPr="00617E21">
              <w:t>Herbicide that is generally toxic to all plants treated</w:t>
            </w:r>
          </w:p>
        </w:tc>
      </w:tr>
      <w:tr w:rsidR="009D0B81" w14:paraId="1A254930" w14:textId="77777777" w:rsidTr="000742AA">
        <w:trPr>
          <w:cantSplit/>
        </w:trPr>
        <w:tc>
          <w:tcPr>
            <w:tcW w:w="2059" w:type="dxa"/>
          </w:tcPr>
          <w:p w14:paraId="55719BE5" w14:textId="77777777" w:rsidR="009D0B81" w:rsidRDefault="009D0B81" w:rsidP="009D0B81">
            <w:pPr>
              <w:pStyle w:val="TableText"/>
            </w:pPr>
            <w:r>
              <w:t>non-target species</w:t>
            </w:r>
          </w:p>
        </w:tc>
        <w:tc>
          <w:tcPr>
            <w:tcW w:w="7795" w:type="dxa"/>
          </w:tcPr>
          <w:p w14:paraId="02769456" w14:textId="77777777" w:rsidR="009D0B81" w:rsidRPr="00E55F86" w:rsidRDefault="009D0B81" w:rsidP="009D0B81">
            <w:pPr>
              <w:pStyle w:val="TableText"/>
            </w:pPr>
            <w:r w:rsidRPr="00E55F86">
              <w:t>Organisms that are not the intended targets of a particular use of a pesticide</w:t>
            </w:r>
          </w:p>
        </w:tc>
      </w:tr>
      <w:tr w:rsidR="009D0B81" w14:paraId="6D20EA0B" w14:textId="77777777" w:rsidTr="000742AA">
        <w:trPr>
          <w:cantSplit/>
        </w:trPr>
        <w:tc>
          <w:tcPr>
            <w:tcW w:w="2059" w:type="dxa"/>
          </w:tcPr>
          <w:p w14:paraId="237574C8" w14:textId="77777777" w:rsidR="009D0B81" w:rsidRDefault="009D0B81" w:rsidP="009D0B81">
            <w:pPr>
              <w:pStyle w:val="TableText"/>
            </w:pPr>
            <w:r>
              <w:t>p</w:t>
            </w:r>
            <w:r w:rsidRPr="00924DD1">
              <w:t xml:space="preserve">artition </w:t>
            </w:r>
            <w:r>
              <w:t>c</w:t>
            </w:r>
            <w:r w:rsidRPr="00924DD1">
              <w:t>oefficient</w:t>
            </w:r>
          </w:p>
        </w:tc>
        <w:tc>
          <w:tcPr>
            <w:tcW w:w="7795" w:type="dxa"/>
          </w:tcPr>
          <w:p w14:paraId="6C0DEBEE" w14:textId="77777777" w:rsidR="009D0B81" w:rsidRPr="00E55F86" w:rsidRDefault="009D0B81" w:rsidP="009D0B81">
            <w:pPr>
              <w:pStyle w:val="TableText"/>
            </w:pPr>
            <w:r>
              <w:t>log Pow is the logarithm (base-10) of the partition coefficient between n-octanol and water</w:t>
            </w:r>
          </w:p>
        </w:tc>
      </w:tr>
      <w:tr w:rsidR="009D0B81" w14:paraId="34FA501E" w14:textId="77777777" w:rsidTr="000742AA">
        <w:trPr>
          <w:cantSplit/>
        </w:trPr>
        <w:tc>
          <w:tcPr>
            <w:tcW w:w="2059" w:type="dxa"/>
          </w:tcPr>
          <w:p w14:paraId="22BF8715" w14:textId="77777777" w:rsidR="009D0B81" w:rsidRPr="00376A70" w:rsidRDefault="009D0B81" w:rsidP="009D0B81">
            <w:pPr>
              <w:pStyle w:val="TableText"/>
              <w:rPr>
                <w:b/>
                <w:bCs/>
              </w:rPr>
            </w:pPr>
            <w:r>
              <w:t>persistence</w:t>
            </w:r>
          </w:p>
        </w:tc>
        <w:tc>
          <w:tcPr>
            <w:tcW w:w="7795" w:type="dxa"/>
          </w:tcPr>
          <w:p w14:paraId="28ADF770" w14:textId="77777777" w:rsidR="009D0B81" w:rsidRPr="00E55F86" w:rsidRDefault="009D0B81" w:rsidP="009D0B81">
            <w:pPr>
              <w:pStyle w:val="TableText"/>
            </w:pPr>
            <w:r>
              <w:t>Residence time of a chemical species (pesticide and/or metabolites) subjected to degradation or physical removal in a soil, crop, animal, or other defined environmental compartment</w:t>
            </w:r>
          </w:p>
        </w:tc>
      </w:tr>
      <w:tr w:rsidR="009D0B81" w14:paraId="140B72F2" w14:textId="77777777" w:rsidTr="000742AA">
        <w:trPr>
          <w:cantSplit/>
        </w:trPr>
        <w:tc>
          <w:tcPr>
            <w:tcW w:w="2059" w:type="dxa"/>
          </w:tcPr>
          <w:p w14:paraId="01E04CDE" w14:textId="77777777" w:rsidR="009D0B81" w:rsidRDefault="009D0B81" w:rsidP="009D0B81">
            <w:pPr>
              <w:pStyle w:val="TableText"/>
            </w:pPr>
            <w:r>
              <w:t>photolysis</w:t>
            </w:r>
          </w:p>
        </w:tc>
        <w:tc>
          <w:tcPr>
            <w:tcW w:w="7795" w:type="dxa"/>
          </w:tcPr>
          <w:p w14:paraId="14F19C72" w14:textId="77777777" w:rsidR="009D0B81" w:rsidRPr="00E55F86" w:rsidRDefault="009D0B81" w:rsidP="009D0B81">
            <w:pPr>
              <w:pStyle w:val="TableText"/>
            </w:pPr>
            <w:r>
              <w:t>Chemical decomposition induced by light or other radiant energy</w:t>
            </w:r>
          </w:p>
        </w:tc>
      </w:tr>
      <w:tr w:rsidR="009D0B81" w14:paraId="1E557B38" w14:textId="77777777" w:rsidTr="000742AA">
        <w:trPr>
          <w:cantSplit/>
        </w:trPr>
        <w:tc>
          <w:tcPr>
            <w:tcW w:w="2059" w:type="dxa"/>
          </w:tcPr>
          <w:p w14:paraId="16457ADE" w14:textId="77777777" w:rsidR="009D0B81" w:rsidRDefault="009D0B81" w:rsidP="009D0B81">
            <w:pPr>
              <w:pStyle w:val="TableText"/>
            </w:pPr>
            <w:r>
              <w:t>regulatory acceptable level</w:t>
            </w:r>
          </w:p>
        </w:tc>
        <w:tc>
          <w:tcPr>
            <w:tcW w:w="7795" w:type="dxa"/>
          </w:tcPr>
          <w:p w14:paraId="02875F09" w14:textId="77777777" w:rsidR="009D0B81" w:rsidRPr="00E55F86" w:rsidRDefault="009D0B81" w:rsidP="009D0B81">
            <w:pPr>
              <w:pStyle w:val="TableText"/>
            </w:pPr>
            <w:r w:rsidRPr="00E55F86">
              <w:t>Criterion or standard that is considered safe or without appreciable risk</w:t>
            </w:r>
          </w:p>
        </w:tc>
      </w:tr>
      <w:tr w:rsidR="009D0B81" w14:paraId="3057E312" w14:textId="77777777" w:rsidTr="000742AA">
        <w:trPr>
          <w:cantSplit/>
        </w:trPr>
        <w:tc>
          <w:tcPr>
            <w:tcW w:w="2059" w:type="dxa"/>
          </w:tcPr>
          <w:p w14:paraId="5064C77F" w14:textId="77777777" w:rsidR="009D0B81" w:rsidRDefault="009D0B81" w:rsidP="009D0B81">
            <w:pPr>
              <w:pStyle w:val="TableText"/>
            </w:pPr>
            <w:r>
              <w:t>runoff</w:t>
            </w:r>
          </w:p>
        </w:tc>
        <w:tc>
          <w:tcPr>
            <w:tcW w:w="7795" w:type="dxa"/>
          </w:tcPr>
          <w:p w14:paraId="45462DCD" w14:textId="77777777" w:rsidR="009D0B81" w:rsidRPr="00E55F86" w:rsidRDefault="009D0B81" w:rsidP="009D0B81">
            <w:pPr>
              <w:pStyle w:val="TableText"/>
            </w:pPr>
            <w:r w:rsidRPr="00E55F86">
              <w:t>Portion of the wet precipitation on the land that ultimately reaches streams and, eventually, the sea</w:t>
            </w:r>
          </w:p>
        </w:tc>
      </w:tr>
      <w:tr w:rsidR="009D0B81" w14:paraId="3FE0DDDC" w14:textId="77777777" w:rsidTr="000742AA">
        <w:trPr>
          <w:cantSplit/>
        </w:trPr>
        <w:tc>
          <w:tcPr>
            <w:tcW w:w="2059" w:type="dxa"/>
          </w:tcPr>
          <w:p w14:paraId="36AEFBF6" w14:textId="77777777" w:rsidR="009D0B81" w:rsidRDefault="009D0B81" w:rsidP="009D0B81">
            <w:pPr>
              <w:pStyle w:val="TableText"/>
            </w:pPr>
            <w:r>
              <w:lastRenderedPageBreak/>
              <w:t>soil incorporation</w:t>
            </w:r>
          </w:p>
        </w:tc>
        <w:tc>
          <w:tcPr>
            <w:tcW w:w="7795" w:type="dxa"/>
          </w:tcPr>
          <w:p w14:paraId="7204DEB6" w14:textId="77777777" w:rsidR="009D0B81" w:rsidRDefault="009D0B81" w:rsidP="009D0B81">
            <w:pPr>
              <w:pStyle w:val="TableText"/>
            </w:pPr>
            <w:r w:rsidRPr="00617E21">
              <w:t>Application of a pesticide to soil by mixing or injection into the soil body</w:t>
            </w:r>
          </w:p>
        </w:tc>
      </w:tr>
      <w:tr w:rsidR="009D0B81" w14:paraId="4DCC45D9" w14:textId="77777777" w:rsidTr="000742AA">
        <w:trPr>
          <w:cantSplit/>
        </w:trPr>
        <w:tc>
          <w:tcPr>
            <w:tcW w:w="2059" w:type="dxa"/>
          </w:tcPr>
          <w:p w14:paraId="30AC1092" w14:textId="77777777" w:rsidR="009D0B81" w:rsidRDefault="009D0B81" w:rsidP="009D0B81">
            <w:pPr>
              <w:pStyle w:val="TableText"/>
            </w:pPr>
            <w:r>
              <w:t>solubility in water</w:t>
            </w:r>
          </w:p>
        </w:tc>
        <w:tc>
          <w:tcPr>
            <w:tcW w:w="7795" w:type="dxa"/>
          </w:tcPr>
          <w:p w14:paraId="54048E19" w14:textId="77777777" w:rsidR="009D0B81" w:rsidRDefault="009D0B81" w:rsidP="009D0B81">
            <w:pPr>
              <w:pStyle w:val="TableText"/>
            </w:pPr>
            <w:r>
              <w:t>The mass of a given substance (the solute) that can dissolve in a given volume of water</w:t>
            </w:r>
          </w:p>
        </w:tc>
      </w:tr>
      <w:tr w:rsidR="009D0B81" w14:paraId="0D8E6442" w14:textId="77777777" w:rsidTr="000742AA">
        <w:trPr>
          <w:cantSplit/>
        </w:trPr>
        <w:tc>
          <w:tcPr>
            <w:tcW w:w="2059" w:type="dxa"/>
          </w:tcPr>
          <w:p w14:paraId="30A07DD5" w14:textId="77777777" w:rsidR="009D0B81" w:rsidRDefault="009D0B81" w:rsidP="009D0B81">
            <w:pPr>
              <w:pStyle w:val="TableText"/>
            </w:pPr>
            <w:r>
              <w:t>soluble concentrate</w:t>
            </w:r>
          </w:p>
        </w:tc>
        <w:tc>
          <w:tcPr>
            <w:tcW w:w="7795" w:type="dxa"/>
          </w:tcPr>
          <w:p w14:paraId="180832B7" w14:textId="77777777" w:rsidR="009D0B81" w:rsidRDefault="009D0B81" w:rsidP="009D0B81">
            <w:pPr>
              <w:pStyle w:val="TableText"/>
            </w:pPr>
            <w:r>
              <w:t>A liquid homogenous preparation to be applied as a true solution of the active constituent after dilution with water</w:t>
            </w:r>
          </w:p>
        </w:tc>
      </w:tr>
      <w:tr w:rsidR="00914D55" w14:paraId="3A4D0C8F" w14:textId="77777777" w:rsidTr="000742AA">
        <w:trPr>
          <w:cantSplit/>
        </w:trPr>
        <w:tc>
          <w:tcPr>
            <w:tcW w:w="2059" w:type="dxa"/>
          </w:tcPr>
          <w:p w14:paraId="2AA90049" w14:textId="77777777" w:rsidR="00914D55" w:rsidRDefault="00914D55" w:rsidP="00914D55">
            <w:pPr>
              <w:pStyle w:val="TableText"/>
            </w:pPr>
            <w:r>
              <w:t>strong adsorption capacity – wheat bioassay</w:t>
            </w:r>
          </w:p>
        </w:tc>
        <w:tc>
          <w:tcPr>
            <w:tcW w:w="7795" w:type="dxa"/>
          </w:tcPr>
          <w:p w14:paraId="307CAEDC" w14:textId="0412825F" w:rsidR="00914D55" w:rsidRDefault="00914D55" w:rsidP="00914D55">
            <w:pPr>
              <w:pStyle w:val="TableText"/>
            </w:pPr>
            <w:r w:rsidRPr="009D5B2C">
              <w:t>A system of calibration by laboratory bioassay for the capacity of a soil to deactivate paraquat by adsorption. Measured as the soil concentration (mg cation/kg dry soil) at which 50% reduced root growth is observed in wheat seedlings. This is approximately equivalent to the soil concentration which, at equilibrium, results in a soil pore water concentration of 0.01 mg/L.</w:t>
            </w:r>
          </w:p>
        </w:tc>
      </w:tr>
      <w:tr w:rsidR="009D0B81" w14:paraId="048BC764" w14:textId="77777777" w:rsidTr="000742AA">
        <w:trPr>
          <w:cantSplit/>
        </w:trPr>
        <w:tc>
          <w:tcPr>
            <w:tcW w:w="2059" w:type="dxa"/>
          </w:tcPr>
          <w:p w14:paraId="38E78D3C" w14:textId="77777777" w:rsidR="009D0B81" w:rsidRDefault="009D0B81" w:rsidP="009D0B81">
            <w:pPr>
              <w:pStyle w:val="TableText"/>
            </w:pPr>
            <w:r>
              <w:t>terrestrial</w:t>
            </w:r>
          </w:p>
        </w:tc>
        <w:tc>
          <w:tcPr>
            <w:tcW w:w="7795" w:type="dxa"/>
          </w:tcPr>
          <w:p w14:paraId="262214FC" w14:textId="77777777" w:rsidR="009D0B81" w:rsidRPr="00E55F86" w:rsidRDefault="009D0B81" w:rsidP="009D0B81">
            <w:pPr>
              <w:pStyle w:val="TableText"/>
            </w:pPr>
            <w:r>
              <w:t>Relating to land, as distinct from water or air</w:t>
            </w:r>
          </w:p>
        </w:tc>
      </w:tr>
      <w:tr w:rsidR="009D0B81" w14:paraId="2526442D" w14:textId="77777777" w:rsidTr="000742AA">
        <w:trPr>
          <w:cantSplit/>
        </w:trPr>
        <w:tc>
          <w:tcPr>
            <w:tcW w:w="2059" w:type="dxa"/>
          </w:tcPr>
          <w:p w14:paraId="016CF184" w14:textId="77777777" w:rsidR="009D0B81" w:rsidRDefault="009D0B81" w:rsidP="009D0B81">
            <w:pPr>
              <w:pStyle w:val="TableText"/>
            </w:pPr>
            <w:r>
              <w:t>translocation</w:t>
            </w:r>
          </w:p>
        </w:tc>
        <w:tc>
          <w:tcPr>
            <w:tcW w:w="7795" w:type="dxa"/>
          </w:tcPr>
          <w:p w14:paraId="4B7A128B" w14:textId="77777777" w:rsidR="009D0B81" w:rsidRDefault="009D0B81" w:rsidP="009D0B81">
            <w:pPr>
              <w:pStyle w:val="TableText"/>
            </w:pPr>
            <w:r w:rsidRPr="00617E21">
              <w:t>Movement of a substance within the test system or organism</w:t>
            </w:r>
          </w:p>
        </w:tc>
      </w:tr>
      <w:tr w:rsidR="009D0B81" w14:paraId="54004E96" w14:textId="77777777" w:rsidTr="000742AA">
        <w:trPr>
          <w:cantSplit/>
        </w:trPr>
        <w:tc>
          <w:tcPr>
            <w:tcW w:w="2059" w:type="dxa"/>
          </w:tcPr>
          <w:p w14:paraId="481243F2" w14:textId="77777777" w:rsidR="009D0B81" w:rsidRDefault="009D0B81" w:rsidP="009D0B81">
            <w:pPr>
              <w:pStyle w:val="TableText"/>
            </w:pPr>
            <w:r>
              <w:t>vapour pressure</w:t>
            </w:r>
          </w:p>
        </w:tc>
        <w:tc>
          <w:tcPr>
            <w:tcW w:w="7795" w:type="dxa"/>
          </w:tcPr>
          <w:p w14:paraId="7FC56D55" w14:textId="77777777" w:rsidR="009D0B81" w:rsidRDefault="009D0B81" w:rsidP="009D0B81">
            <w:pPr>
              <w:pStyle w:val="TableText"/>
            </w:pPr>
            <w:r>
              <w:t>The pressure at which a liquid is in equilibrium with its vapour at a given temperature. It is a measure of the tendency of a material to vaporise. The higher the vapour pressure the greater the potential</w:t>
            </w:r>
          </w:p>
        </w:tc>
      </w:tr>
      <w:tr w:rsidR="009D0B81" w14:paraId="513567A0" w14:textId="77777777" w:rsidTr="000742AA">
        <w:trPr>
          <w:cantSplit/>
        </w:trPr>
        <w:tc>
          <w:tcPr>
            <w:tcW w:w="2059" w:type="dxa"/>
          </w:tcPr>
          <w:p w14:paraId="2AD3C24F" w14:textId="77777777" w:rsidR="009D0B81" w:rsidRDefault="009D0B81" w:rsidP="009D0B81">
            <w:pPr>
              <w:pStyle w:val="TableText"/>
            </w:pPr>
            <w:r>
              <w:t>volatile</w:t>
            </w:r>
          </w:p>
        </w:tc>
        <w:tc>
          <w:tcPr>
            <w:tcW w:w="7795" w:type="dxa"/>
          </w:tcPr>
          <w:p w14:paraId="18D2272B" w14:textId="77777777" w:rsidR="009D0B81" w:rsidRDefault="009D0B81" w:rsidP="009D0B81">
            <w:pPr>
              <w:pStyle w:val="TableText"/>
            </w:pPr>
            <w:r>
              <w:t>Any substance which evaporates quickly</w:t>
            </w:r>
          </w:p>
        </w:tc>
      </w:tr>
      <w:tr w:rsidR="009D0B81" w14:paraId="4B0BC767" w14:textId="77777777" w:rsidTr="000742AA">
        <w:trPr>
          <w:cantSplit/>
        </w:trPr>
        <w:tc>
          <w:tcPr>
            <w:tcW w:w="2059" w:type="dxa"/>
          </w:tcPr>
          <w:p w14:paraId="08D53826" w14:textId="77777777" w:rsidR="009D0B81" w:rsidRDefault="009D0B81" w:rsidP="009D0B81">
            <w:pPr>
              <w:pStyle w:val="TableText"/>
            </w:pPr>
            <w:r>
              <w:t>watercourse</w:t>
            </w:r>
          </w:p>
        </w:tc>
        <w:tc>
          <w:tcPr>
            <w:tcW w:w="7795" w:type="dxa"/>
          </w:tcPr>
          <w:p w14:paraId="76D7C72B" w14:textId="77777777" w:rsidR="009D0B81" w:rsidRDefault="009D0B81" w:rsidP="009D0B81">
            <w:pPr>
              <w:pStyle w:val="TableText"/>
            </w:pPr>
            <w:r>
              <w:t>A river, creek or other natural watercourse (whether modified or not) in which water is contained or flows (whether permanently or from time to time); and includes:</w:t>
            </w:r>
          </w:p>
          <w:p w14:paraId="4F00B3C2" w14:textId="77777777" w:rsidR="009D0B81" w:rsidRDefault="009D0B81" w:rsidP="009D0B81">
            <w:pPr>
              <w:pStyle w:val="TableText"/>
            </w:pPr>
            <w:r>
              <w:t>a dam or reservoir that collects water flowing in a watercourse</w:t>
            </w:r>
          </w:p>
          <w:p w14:paraId="68FCEC1F" w14:textId="77777777" w:rsidR="009D0B81" w:rsidRDefault="009D0B81" w:rsidP="009D0B81">
            <w:pPr>
              <w:pStyle w:val="TableText"/>
            </w:pPr>
            <w:r>
              <w:t>a lake or ‘wetland’ through which water flows</w:t>
            </w:r>
          </w:p>
          <w:p w14:paraId="49FB4883" w14:textId="77777777" w:rsidR="009D0B81" w:rsidRDefault="009D0B81" w:rsidP="009D0B81">
            <w:pPr>
              <w:pStyle w:val="TableText"/>
            </w:pPr>
            <w:r>
              <w:t>a channel into which the water of a watercourse has been diverted</w:t>
            </w:r>
          </w:p>
          <w:p w14:paraId="4819AEF8" w14:textId="77777777" w:rsidR="009D0B81" w:rsidRDefault="009D0B81" w:rsidP="009D0B81">
            <w:pPr>
              <w:pStyle w:val="TableText"/>
            </w:pPr>
            <w:r>
              <w:t>part of a watercourse</w:t>
            </w:r>
          </w:p>
          <w:p w14:paraId="1C5A30B8" w14:textId="77777777" w:rsidR="009D0B81" w:rsidRDefault="009D0B81" w:rsidP="009D0B81">
            <w:pPr>
              <w:pStyle w:val="TableText"/>
            </w:pPr>
            <w:r>
              <w:t>an estuary through which water flows.</w:t>
            </w:r>
          </w:p>
        </w:tc>
      </w:tr>
      <w:tr w:rsidR="009D0B81" w14:paraId="46213E45" w14:textId="77777777" w:rsidTr="000742AA">
        <w:trPr>
          <w:cantSplit/>
        </w:trPr>
        <w:tc>
          <w:tcPr>
            <w:tcW w:w="2059" w:type="dxa"/>
          </w:tcPr>
          <w:p w14:paraId="1DED9BFA" w14:textId="77777777" w:rsidR="009D0B81" w:rsidRDefault="009D0B81" w:rsidP="009D0B81">
            <w:pPr>
              <w:pStyle w:val="TableText"/>
            </w:pPr>
            <w:r>
              <w:t>wetland</w:t>
            </w:r>
          </w:p>
        </w:tc>
        <w:tc>
          <w:tcPr>
            <w:tcW w:w="7795" w:type="dxa"/>
          </w:tcPr>
          <w:p w14:paraId="3F858C54" w14:textId="77777777" w:rsidR="009D0B81" w:rsidRDefault="009D0B81" w:rsidP="009D0B81">
            <w:pPr>
              <w:pStyle w:val="TableText"/>
            </w:pPr>
            <w:r>
              <w:t>An area of land where water covers the soil—all year or just at certain times of the year. They include:</w:t>
            </w:r>
          </w:p>
          <w:p w14:paraId="01654970" w14:textId="77777777" w:rsidR="009D0B81" w:rsidRDefault="009D0B81" w:rsidP="009D0B81">
            <w:pPr>
              <w:pStyle w:val="TableText"/>
            </w:pPr>
            <w:r>
              <w:t>swamps, marshes</w:t>
            </w:r>
          </w:p>
          <w:p w14:paraId="25BEF5C7" w14:textId="77777777" w:rsidR="009D0B81" w:rsidRDefault="009D0B81" w:rsidP="009D0B81">
            <w:pPr>
              <w:pStyle w:val="TableText"/>
            </w:pPr>
            <w:r>
              <w:t>billabongs, lakes, lagoons</w:t>
            </w:r>
          </w:p>
          <w:p w14:paraId="29E78D97" w14:textId="77777777" w:rsidR="009D0B81" w:rsidRDefault="009D0B81" w:rsidP="009D0B81">
            <w:pPr>
              <w:pStyle w:val="TableText"/>
            </w:pPr>
            <w:r>
              <w:t>saltmarshes, mudflats</w:t>
            </w:r>
          </w:p>
          <w:p w14:paraId="332FA4F9" w14:textId="77777777" w:rsidR="009D0B81" w:rsidRDefault="009D0B81" w:rsidP="009D0B81">
            <w:pPr>
              <w:pStyle w:val="TableText"/>
            </w:pPr>
            <w:r>
              <w:t>mangroves, coral reefs</w:t>
            </w:r>
          </w:p>
          <w:p w14:paraId="45D8AEC0" w14:textId="77777777" w:rsidR="009D0B81" w:rsidRDefault="009D0B81" w:rsidP="009D0B81">
            <w:pPr>
              <w:pStyle w:val="TableText"/>
            </w:pPr>
            <w:r>
              <w:t>bogs, fens, and peatlands.</w:t>
            </w:r>
          </w:p>
          <w:p w14:paraId="24B4C61E" w14:textId="77777777" w:rsidR="009D0B81" w:rsidRDefault="009D0B81" w:rsidP="009D0B81">
            <w:pPr>
              <w:pStyle w:val="TableText"/>
            </w:pPr>
            <w:r>
              <w:t>A ‘wetland’ may be natural or artificial and its water may be static or flowing, fresh, brackish or saline.</w:t>
            </w:r>
            <w:r w:rsidDel="00670DAB">
              <w:t xml:space="preserve"> </w:t>
            </w:r>
          </w:p>
        </w:tc>
      </w:tr>
    </w:tbl>
    <w:p w14:paraId="4DAD259B" w14:textId="04CB55F9" w:rsidR="00644988" w:rsidRPr="009D452E" w:rsidRDefault="00644988" w:rsidP="00AE1794">
      <w:pPr>
        <w:pStyle w:val="NormalText"/>
        <w:sectPr w:rsidR="00644988" w:rsidRPr="009D452E" w:rsidSect="009A2AA4">
          <w:headerReference w:type="even" r:id="rId53"/>
          <w:pgSz w:w="11906" w:h="16838" w:code="9"/>
          <w:pgMar w:top="2835" w:right="1134" w:bottom="1134" w:left="1134" w:header="1701" w:footer="680" w:gutter="0"/>
          <w:cols w:space="708"/>
          <w:docGrid w:linePitch="360"/>
        </w:sectPr>
      </w:pPr>
    </w:p>
    <w:p w14:paraId="7346C9B1" w14:textId="34429A5C" w:rsidR="008247E7" w:rsidRDefault="008960BD" w:rsidP="00C97A0F">
      <w:pPr>
        <w:pStyle w:val="Heading1"/>
        <w:numPr>
          <w:ilvl w:val="0"/>
          <w:numId w:val="0"/>
        </w:numPr>
        <w:ind w:left="432" w:hanging="432"/>
      </w:pPr>
      <w:bookmarkStart w:id="536" w:name="_Toc81569149"/>
      <w:bookmarkStart w:id="537" w:name="_Hlk168410799"/>
      <w:bookmarkStart w:id="538" w:name="_Toc233039048"/>
      <w:bookmarkEnd w:id="467"/>
      <w:bookmarkEnd w:id="468"/>
      <w:r>
        <w:lastRenderedPageBreak/>
        <w:t>References</w:t>
      </w:r>
      <w:bookmarkEnd w:id="536"/>
      <w:bookmarkEnd w:id="538"/>
    </w:p>
    <w:p w14:paraId="4B637614" w14:textId="69F4E6CA" w:rsidR="008247E7" w:rsidRPr="001F391A" w:rsidRDefault="008247E7" w:rsidP="0059513C">
      <w:pPr>
        <w:pStyle w:val="NormalText"/>
      </w:pPr>
      <w:r w:rsidRPr="001F391A">
        <w:t>Allison N, Hamer MJ, 1990. Acute toxicity to first instar Daphnia magna of technical concentrate YF6219. Reference no. RJ0851B</w:t>
      </w:r>
    </w:p>
    <w:p w14:paraId="1EBF5697" w14:textId="62654842" w:rsidR="00A6186D" w:rsidRDefault="00A6186D" w:rsidP="0059513C">
      <w:pPr>
        <w:pStyle w:val="NormalText"/>
      </w:pPr>
      <w:bookmarkStart w:id="539" w:name="_Hlk160790208"/>
      <w:r w:rsidRPr="00A6186D">
        <w:t xml:space="preserve">Anderson D, Richardson CR, Howard CA, Banham P, Hart D </w:t>
      </w:r>
      <w:r>
        <w:t>and</w:t>
      </w:r>
      <w:r w:rsidRPr="00A6186D">
        <w:t xml:space="preserve"> Weight TM</w:t>
      </w:r>
      <w:r>
        <w:t xml:space="preserve">, </w:t>
      </w:r>
      <w:r w:rsidRPr="00A6186D">
        <w:t>1978</w:t>
      </w:r>
      <w:r>
        <w:t>.</w:t>
      </w:r>
      <w:r w:rsidRPr="00A6186D">
        <w:t xml:space="preserve"> Diquat: a cytogenetic study in the rat. Report No. CTL/P/366.</w:t>
      </w:r>
    </w:p>
    <w:p w14:paraId="41B5CC3C" w14:textId="180F51BC" w:rsidR="008247E7" w:rsidRPr="008E68D2" w:rsidRDefault="008247E7" w:rsidP="0059513C">
      <w:pPr>
        <w:pStyle w:val="NormalText"/>
      </w:pPr>
      <w:r w:rsidRPr="00120DD8">
        <w:t>Anderson L</w:t>
      </w:r>
      <w:r>
        <w:t xml:space="preserve">, </w:t>
      </w:r>
      <w:r w:rsidRPr="00120DD8">
        <w:t>1990</w:t>
      </w:r>
      <w:r>
        <w:t>.</w:t>
      </w:r>
      <w:r w:rsidRPr="00120DD8">
        <w:t xml:space="preserve"> Diquat: Residues in lentils from trials carried out in Canada during 1989</w:t>
      </w:r>
      <w:r>
        <w:t>. Report</w:t>
      </w:r>
      <w:r w:rsidRPr="00120DD8">
        <w:t xml:space="preserve"> no. </w:t>
      </w:r>
      <w:r w:rsidRPr="008E68D2">
        <w:t>M5173B.</w:t>
      </w:r>
    </w:p>
    <w:p w14:paraId="7668F402" w14:textId="77777777" w:rsidR="008247E7" w:rsidRPr="008E68D2" w:rsidRDefault="008247E7" w:rsidP="0059513C">
      <w:pPr>
        <w:pStyle w:val="NormalText"/>
      </w:pPr>
      <w:r w:rsidRPr="008E68D2">
        <w:t>Anderson L, 1994(a). The determination of residues of paraquat and diquat in water, milk, oils and other liquids – a second derivative spectrophotometric method with confirmatory method for water residues by high performance liquid chromatography, Standard Operating Procedure no. RAM 254/01.</w:t>
      </w:r>
    </w:p>
    <w:p w14:paraId="3365E53E" w14:textId="77777777" w:rsidR="008247E7" w:rsidRPr="008E68D2" w:rsidRDefault="008247E7" w:rsidP="0059513C">
      <w:pPr>
        <w:pStyle w:val="NormalText"/>
      </w:pPr>
      <w:r w:rsidRPr="008E68D2">
        <w:t>Anderson L, 1994(b). The determination of residues of paraquat and diquat in crops – a second derivative spectrophotometric method, Standard Operating Procedure no. RAM 252/01</w:t>
      </w:r>
    </w:p>
    <w:p w14:paraId="67184061" w14:textId="77777777" w:rsidR="008247E7" w:rsidRPr="00AD3E35" w:rsidRDefault="008247E7" w:rsidP="0059513C">
      <w:pPr>
        <w:pStyle w:val="NormalText"/>
      </w:pPr>
      <w:r w:rsidRPr="00120DD8">
        <w:t>Anderson L</w:t>
      </w:r>
      <w:r>
        <w:t xml:space="preserve">, </w:t>
      </w:r>
      <w:r w:rsidRPr="00120DD8">
        <w:t>1995</w:t>
      </w:r>
      <w:r>
        <w:t>.</w:t>
      </w:r>
      <w:r w:rsidRPr="00120DD8">
        <w:t xml:space="preserve"> Validation of a modification of an analytical method for the determination of paraquat </w:t>
      </w:r>
      <w:r w:rsidRPr="00AD3E35">
        <w:t>and diquat in oil seeds. Report no. 95JH037.</w:t>
      </w:r>
    </w:p>
    <w:p w14:paraId="286AC6AC" w14:textId="77777777" w:rsidR="008247E7" w:rsidRPr="00AD3E35" w:rsidRDefault="008247E7" w:rsidP="0059513C">
      <w:pPr>
        <w:pStyle w:val="NormalText"/>
      </w:pPr>
      <w:r w:rsidRPr="00AD3E35">
        <w:t>Anderson L, 1996(a). The determination of diquat in animal products. A high performance liquid chromatography method with confirmation by second derivative UV spectroscopy, Standard Operating Procedure no. RAM 008/02.</w:t>
      </w:r>
    </w:p>
    <w:p w14:paraId="23546A82" w14:textId="77777777" w:rsidR="008247E7" w:rsidRPr="00AD3E35" w:rsidRDefault="008247E7" w:rsidP="0059513C">
      <w:pPr>
        <w:pStyle w:val="NormalText"/>
      </w:pPr>
      <w:r w:rsidRPr="00AD3E35">
        <w:t>Anderson L, 1996(b). Diquat: Storage stability of the residue in frozen carrot, cabbage, wheat grain and soil (Final report). Report no. TMJ 3575B.</w:t>
      </w:r>
      <w:r w:rsidRPr="00AD3E35">
        <w:tab/>
      </w:r>
    </w:p>
    <w:p w14:paraId="7886D5A4" w14:textId="77777777" w:rsidR="008247E7" w:rsidRPr="00120DD8" w:rsidRDefault="008247E7" w:rsidP="0059513C">
      <w:pPr>
        <w:pStyle w:val="NormalText"/>
      </w:pPr>
      <w:r w:rsidRPr="00120DD8">
        <w:t>Anderson L and Barnaud C</w:t>
      </w:r>
      <w:r>
        <w:t>,</w:t>
      </w:r>
      <w:r w:rsidRPr="00120DD8">
        <w:t xml:space="preserve"> 1995</w:t>
      </w:r>
      <w:r>
        <w:t>.</w:t>
      </w:r>
      <w:r w:rsidRPr="00120DD8">
        <w:t xml:space="preserve"> Diquat: Residue levels in soyabean from trials carried out in France during 1994</w:t>
      </w:r>
      <w:r>
        <w:t>. Report</w:t>
      </w:r>
      <w:r w:rsidRPr="00120DD8">
        <w:t xml:space="preserve"> no. RJ 1934B.</w:t>
      </w:r>
      <w:r w:rsidRPr="00120DD8">
        <w:tab/>
      </w:r>
    </w:p>
    <w:p w14:paraId="67BEDB4D" w14:textId="77777777" w:rsidR="008247E7" w:rsidRPr="00120DD8" w:rsidRDefault="008247E7" w:rsidP="0059513C">
      <w:pPr>
        <w:pStyle w:val="NormalText"/>
      </w:pPr>
      <w:r w:rsidRPr="00120DD8">
        <w:t>Anderson L and Bonfanti F</w:t>
      </w:r>
      <w:r>
        <w:t>,</w:t>
      </w:r>
      <w:r w:rsidRPr="00120DD8">
        <w:t xml:space="preserve"> 1995</w:t>
      </w:r>
      <w:r>
        <w:t>.</w:t>
      </w:r>
      <w:r w:rsidRPr="00120DD8">
        <w:t xml:space="preserve"> Paraquat and Diquat: Residue levels in maize from trials carried out in Italy during 1994</w:t>
      </w:r>
      <w:r>
        <w:t>. Report</w:t>
      </w:r>
      <w:r w:rsidRPr="00120DD8">
        <w:t xml:space="preserve"> no. RJ 1889B.</w:t>
      </w:r>
      <w:r w:rsidRPr="00120DD8">
        <w:tab/>
      </w:r>
    </w:p>
    <w:p w14:paraId="1FF01A60" w14:textId="77777777" w:rsidR="008247E7" w:rsidRPr="00120DD8" w:rsidRDefault="008247E7" w:rsidP="0059513C">
      <w:pPr>
        <w:pStyle w:val="NormalText"/>
      </w:pPr>
      <w:r w:rsidRPr="00120DD8">
        <w:t>Anderson L and Boseley AD</w:t>
      </w:r>
      <w:r>
        <w:t>,</w:t>
      </w:r>
      <w:r w:rsidRPr="00120DD8">
        <w:t xml:space="preserve"> 1995</w:t>
      </w:r>
      <w:r>
        <w:t>.</w:t>
      </w:r>
      <w:r w:rsidRPr="00120DD8">
        <w:t xml:space="preserve"> Paraquat and Diquat: Validation of an HPLC analytical method for the determination of the residues in crops and soil</w:t>
      </w:r>
      <w:r>
        <w:t>. Report</w:t>
      </w:r>
      <w:r w:rsidRPr="00120DD8">
        <w:t xml:space="preserve"> no. RJ 2013B.</w:t>
      </w:r>
      <w:r w:rsidRPr="00120DD8">
        <w:tab/>
      </w:r>
    </w:p>
    <w:p w14:paraId="5930A2F3" w14:textId="77777777" w:rsidR="008247E7" w:rsidRPr="001F391A" w:rsidRDefault="008247E7" w:rsidP="0059513C">
      <w:pPr>
        <w:pStyle w:val="NormalText"/>
      </w:pPr>
      <w:r w:rsidRPr="001F391A">
        <w:t>Anderson L and Boseley AD, 1997. The determination of residues of paraquat and diquat in crops and soil – a high performance liquid chromatography method, Standard Operating Procedure no. RAM 272/02.</w:t>
      </w:r>
    </w:p>
    <w:p w14:paraId="39E82875" w14:textId="77777777" w:rsidR="008247E7" w:rsidRDefault="008247E7" w:rsidP="0059513C">
      <w:pPr>
        <w:pStyle w:val="NormalText"/>
      </w:pPr>
      <w:r w:rsidRPr="001F391A">
        <w:t>Anderson L and Dack F, 1994. D</w:t>
      </w:r>
      <w:r w:rsidRPr="00120DD8">
        <w:t>iquat: Residue levels in barley from trials carried out in the United Kingdom during 1993</w:t>
      </w:r>
      <w:r>
        <w:t>.</w:t>
      </w:r>
      <w:r w:rsidRPr="00120DD8">
        <w:t xml:space="preserve"> Report no. RJ1725B.</w:t>
      </w:r>
    </w:p>
    <w:p w14:paraId="1A64E4BA" w14:textId="77777777" w:rsidR="008247E7" w:rsidRPr="00120DD8" w:rsidRDefault="008247E7" w:rsidP="0059513C">
      <w:pPr>
        <w:pStyle w:val="NormalText"/>
      </w:pPr>
      <w:r w:rsidRPr="00120DD8">
        <w:t>Anderson L and Earl M</w:t>
      </w:r>
      <w:r>
        <w:t>,</w:t>
      </w:r>
      <w:r w:rsidRPr="00120DD8">
        <w:t xml:space="preserve"> 1993</w:t>
      </w:r>
      <w:r>
        <w:t>.</w:t>
      </w:r>
      <w:bookmarkEnd w:id="539"/>
      <w:r w:rsidRPr="00120DD8">
        <w:t xml:space="preserve"> Diquat: Residues in potatoes from a study carried out in the United Kingdom during 1991</w:t>
      </w:r>
      <w:r>
        <w:t>.</w:t>
      </w:r>
      <w:r w:rsidRPr="00120DD8">
        <w:t xml:space="preserve"> Report no. RJ1404B.</w:t>
      </w:r>
    </w:p>
    <w:p w14:paraId="2BA76D57" w14:textId="77777777" w:rsidR="008247E7" w:rsidRPr="00E845D4" w:rsidRDefault="008247E7" w:rsidP="0059513C">
      <w:pPr>
        <w:pStyle w:val="NormalText"/>
      </w:pPr>
      <w:r w:rsidRPr="00E845D4">
        <w:t>Anderson L, Earl M</w:t>
      </w:r>
      <w:r>
        <w:t xml:space="preserve">, </w:t>
      </w:r>
      <w:r w:rsidRPr="00E845D4">
        <w:t>1996</w:t>
      </w:r>
      <w:r>
        <w:t xml:space="preserve">. </w:t>
      </w:r>
      <w:r w:rsidRPr="00E845D4">
        <w:t>Diquat: residues in soil following desiccation of crops with Reglone</w:t>
      </w:r>
      <w:r>
        <w:t xml:space="preserve">. Reference no. </w:t>
      </w:r>
      <w:r w:rsidRPr="00E845D4">
        <w:t>PP901/0522</w:t>
      </w:r>
    </w:p>
    <w:p w14:paraId="511A7E2B" w14:textId="77777777" w:rsidR="008247E7" w:rsidRPr="00CC709A" w:rsidRDefault="008247E7" w:rsidP="0059513C">
      <w:pPr>
        <w:pStyle w:val="NormalText"/>
      </w:pPr>
      <w:bookmarkStart w:id="540" w:name="_Hlk166509025"/>
      <w:r w:rsidRPr="00120DD8">
        <w:lastRenderedPageBreak/>
        <w:t>Anderson L and Elsworth S</w:t>
      </w:r>
      <w:r>
        <w:t xml:space="preserve">, </w:t>
      </w:r>
      <w:r w:rsidRPr="00120DD8">
        <w:t>1994</w:t>
      </w:r>
      <w:r>
        <w:t>.</w:t>
      </w:r>
      <w:r w:rsidRPr="00120DD8">
        <w:t xml:space="preserve"> Diquat: Residue levels in linseed from trials carried out in the United </w:t>
      </w:r>
      <w:r w:rsidRPr="00CC709A">
        <w:t>Kingdom during 1993. Report no. RJ1727B.</w:t>
      </w:r>
      <w:r w:rsidRPr="00CC709A">
        <w:tab/>
      </w:r>
    </w:p>
    <w:p w14:paraId="0067101E" w14:textId="77777777" w:rsidR="008247E7" w:rsidRPr="00CC709A" w:rsidRDefault="008247E7" w:rsidP="0059513C">
      <w:pPr>
        <w:pStyle w:val="NormalText"/>
      </w:pPr>
      <w:bookmarkStart w:id="541" w:name="_Hlk160790636"/>
      <w:r w:rsidRPr="00CC709A">
        <w:t>Anderson L and Lant MS, 1994(a). Diquat: Residue levels in carrots, lettuces and onions from trials carried out in Italy during 1993. Report no. RJ1730B.</w:t>
      </w:r>
    </w:p>
    <w:p w14:paraId="0CE1EFDF" w14:textId="77777777" w:rsidR="008247E7" w:rsidRPr="00CC709A" w:rsidRDefault="008247E7" w:rsidP="0059513C">
      <w:pPr>
        <w:pStyle w:val="NormalText"/>
      </w:pPr>
      <w:r w:rsidRPr="00CC709A">
        <w:t>Anderson L and Lant MS, 1994(b). Paraquat and Diquat: Residue levels in maize from trials carried out in Italy during 1993. Report no. RJ1731B.</w:t>
      </w:r>
      <w:r w:rsidRPr="00CC709A">
        <w:tab/>
      </w:r>
    </w:p>
    <w:bookmarkEnd w:id="541"/>
    <w:p w14:paraId="52BBEE7E" w14:textId="77777777" w:rsidR="008247E7" w:rsidRDefault="008247E7" w:rsidP="0059513C">
      <w:pPr>
        <w:pStyle w:val="NormalText"/>
      </w:pPr>
      <w:r w:rsidRPr="00120DD8">
        <w:t>Anderson L, Lant MS and Compagnon JM</w:t>
      </w:r>
      <w:r>
        <w:t>,</w:t>
      </w:r>
      <w:r w:rsidRPr="00120DD8">
        <w:t xml:space="preserve"> 1994</w:t>
      </w:r>
      <w:r>
        <w:t>(a).</w:t>
      </w:r>
      <w:r w:rsidRPr="00120DD8">
        <w:t xml:space="preserve"> Diquat: Residue levels in grapes from trials carried out in France during 1993</w:t>
      </w:r>
      <w:r>
        <w:t>.</w:t>
      </w:r>
      <w:r w:rsidRPr="00120DD8">
        <w:t xml:space="preserve"> Report no. RJ1681B.</w:t>
      </w:r>
      <w:r w:rsidRPr="00120DD8">
        <w:tab/>
      </w:r>
    </w:p>
    <w:p w14:paraId="0EB92DA3" w14:textId="77777777" w:rsidR="008247E7" w:rsidRDefault="008247E7" w:rsidP="0059513C">
      <w:pPr>
        <w:pStyle w:val="NormalText"/>
      </w:pPr>
      <w:r w:rsidRPr="00120DD8">
        <w:t>Anderson L, Codd M and Elliot G</w:t>
      </w:r>
      <w:r>
        <w:t>,</w:t>
      </w:r>
      <w:r w:rsidRPr="00120DD8">
        <w:t xml:space="preserve"> 1994</w:t>
      </w:r>
      <w:r>
        <w:t>(b).</w:t>
      </w:r>
      <w:r w:rsidRPr="00120DD8">
        <w:t xml:space="preserve"> Diquat: Residue levels in oats from trials carried out in the United Kingdom during 1993</w:t>
      </w:r>
      <w:r>
        <w:t>.</w:t>
      </w:r>
      <w:r w:rsidRPr="00120DD8">
        <w:t xml:space="preserve"> Report no. RJ1726B.</w:t>
      </w:r>
    </w:p>
    <w:p w14:paraId="7118708C" w14:textId="77777777" w:rsidR="008247E7" w:rsidRPr="003D4DD7" w:rsidRDefault="008247E7" w:rsidP="0059513C">
      <w:pPr>
        <w:pStyle w:val="NormalText"/>
      </w:pPr>
      <w:r w:rsidRPr="003D4DD7">
        <w:t>Anderson L, Elsworth SG and Frost MJ, 1995(a). Diquat: Residue levels in barley from trials carried out in the United Kingdom during 1994. Report no. RJ 1865B.</w:t>
      </w:r>
      <w:r w:rsidRPr="003D4DD7">
        <w:tab/>
      </w:r>
    </w:p>
    <w:p w14:paraId="51A29CC0" w14:textId="77777777" w:rsidR="008247E7" w:rsidRPr="003D4DD7" w:rsidRDefault="008247E7" w:rsidP="0059513C">
      <w:pPr>
        <w:pStyle w:val="NormalText"/>
      </w:pPr>
      <w:r w:rsidRPr="003D4DD7">
        <w:t>Anderson L, Lant MS and Bonfanti F, 1995(b). Paraquat and Diquat: Residue levels in rice grain and straw from trials carried out in Italy during 1993. Report no. RJ1728B.</w:t>
      </w:r>
    </w:p>
    <w:p w14:paraId="66644F2F" w14:textId="77777777" w:rsidR="008247E7" w:rsidRPr="00120DD8" w:rsidRDefault="008247E7" w:rsidP="0059513C">
      <w:pPr>
        <w:pStyle w:val="NormalText"/>
      </w:pPr>
      <w:r w:rsidRPr="003D4DD7">
        <w:t>Anderson L, Lant MS and Renard C, 1995(c). Diquat: Residue levels in sunflowers from trials carried out in France during 1993. Report no. RJ 1734B.</w:t>
      </w:r>
    </w:p>
    <w:p w14:paraId="313EAB52" w14:textId="77777777" w:rsidR="008247E7" w:rsidRPr="003D4DD7" w:rsidRDefault="008247E7" w:rsidP="0059513C">
      <w:pPr>
        <w:pStyle w:val="NormalText"/>
      </w:pPr>
      <w:r w:rsidRPr="00120DD8">
        <w:t>Anderson L and Moons B</w:t>
      </w:r>
      <w:r>
        <w:t>,</w:t>
      </w:r>
      <w:r w:rsidRPr="00120DD8">
        <w:t xml:space="preserve"> 1995</w:t>
      </w:r>
      <w:r>
        <w:t>.</w:t>
      </w:r>
      <w:r w:rsidRPr="00120DD8">
        <w:t xml:space="preserve"> Diquat: Residue levels in linola from trials carried out in Canada during </w:t>
      </w:r>
      <w:r w:rsidRPr="003D4DD7">
        <w:t xml:space="preserve">1994. Report no. RJ 1869B. </w:t>
      </w:r>
      <w:r w:rsidRPr="003D4DD7">
        <w:tab/>
      </w:r>
    </w:p>
    <w:p w14:paraId="4C3F3C2F" w14:textId="77777777" w:rsidR="008247E7" w:rsidRPr="003D4DD7" w:rsidRDefault="008247E7" w:rsidP="0059513C">
      <w:pPr>
        <w:pStyle w:val="NormalText"/>
      </w:pPr>
      <w:r w:rsidRPr="003D4DD7">
        <w:t>Anderson L and Renard C, 1995(a). Diquat: Residue levels in linseed from trials carried out in France during 1994. Report no. RJ 1954B.</w:t>
      </w:r>
    </w:p>
    <w:p w14:paraId="30F4B749" w14:textId="77777777" w:rsidR="008247E7" w:rsidRPr="003D4DD7" w:rsidRDefault="008247E7" w:rsidP="0059513C">
      <w:pPr>
        <w:pStyle w:val="NormalText"/>
      </w:pPr>
      <w:r w:rsidRPr="003D4DD7">
        <w:t>Anderson L and Renard C, 1995(b). Diquat: Residue levels in sunflowers from trials carried out in France during 1994. Report no. RJ 1904B.</w:t>
      </w:r>
      <w:r w:rsidRPr="003D4DD7">
        <w:tab/>
      </w:r>
    </w:p>
    <w:p w14:paraId="372827B0" w14:textId="77777777" w:rsidR="008247E7" w:rsidRPr="00DA3521" w:rsidRDefault="008247E7" w:rsidP="0059513C">
      <w:pPr>
        <w:pStyle w:val="NormalText"/>
      </w:pPr>
      <w:bookmarkStart w:id="542" w:name="_Hlk160790665"/>
      <w:r w:rsidRPr="00DA3521">
        <w:t xml:space="preserve">Anon., </w:t>
      </w:r>
      <w:bookmarkEnd w:id="542"/>
      <w:r w:rsidRPr="00DA3521">
        <w:t>no date(a). Residue data sheets for diquat on carrots. 1973 – 1978. Report no. RIC 3462.</w:t>
      </w:r>
      <w:r w:rsidRPr="00DA3521">
        <w:tab/>
      </w:r>
    </w:p>
    <w:p w14:paraId="1A875F4F" w14:textId="77777777" w:rsidR="008247E7" w:rsidRPr="00DA3521" w:rsidRDefault="008247E7" w:rsidP="0059513C">
      <w:pPr>
        <w:pStyle w:val="NormalText"/>
      </w:pPr>
      <w:r w:rsidRPr="00DA3521">
        <w:t>Anon., no date(b). Summary of diquat residues found in alfalfa, barley, oats, onions, peas and sunflowers. Report no. RIC3429.</w:t>
      </w:r>
      <w:r w:rsidRPr="00DA3521">
        <w:tab/>
      </w:r>
    </w:p>
    <w:p w14:paraId="56602168" w14:textId="77777777" w:rsidR="008247E7" w:rsidRPr="00DA3521" w:rsidRDefault="008247E7" w:rsidP="0059513C">
      <w:pPr>
        <w:pStyle w:val="NormalText"/>
      </w:pPr>
      <w:r w:rsidRPr="00DA3521">
        <w:t>Anon., no date(c). Diquat residues following the pre-harvest desiccation of rape and sunflower seed with ‘Reglone’. Report no. RIC3440.</w:t>
      </w:r>
    </w:p>
    <w:p w14:paraId="40EE661A" w14:textId="77777777" w:rsidR="008247E7" w:rsidRPr="00DA3521" w:rsidRDefault="008247E7" w:rsidP="0059513C">
      <w:pPr>
        <w:pStyle w:val="NormalText"/>
      </w:pPr>
      <w:r w:rsidRPr="00DA3521">
        <w:t xml:space="preserve">Anon., no date(d). Evaluation of diquat residues in fodder crops. March 1987. Reproduced from GDR Crop Protection Journal. Report no. RIC3386. </w:t>
      </w:r>
      <w:r w:rsidRPr="00DA3521">
        <w:tab/>
      </w:r>
    </w:p>
    <w:p w14:paraId="14CFCCB0" w14:textId="77777777" w:rsidR="008247E7" w:rsidRPr="00DA3521" w:rsidRDefault="008247E7" w:rsidP="0059513C">
      <w:pPr>
        <w:pStyle w:val="NormalText"/>
      </w:pPr>
      <w:r w:rsidRPr="00DA3521">
        <w:t xml:space="preserve">Anon., no date(e). Residues data sheets: Desiccation by diquat on alsike clover, white clover and trefoil (Empire). Report no. RIC 3448. </w:t>
      </w:r>
    </w:p>
    <w:p w14:paraId="02EC3C3B" w14:textId="77777777" w:rsidR="008247E7" w:rsidRPr="00DA3521" w:rsidRDefault="008247E7" w:rsidP="0059513C">
      <w:pPr>
        <w:pStyle w:val="NormalText"/>
      </w:pPr>
      <w:r w:rsidRPr="00DA3521">
        <w:t>Anon., no date(f). Recherche de Residues se Diquat et de Paraquat dans de la Luzerne</w:t>
      </w:r>
      <w:r w:rsidRPr="00DA3521">
        <w:tab/>
        <w:t>(in French)</w:t>
      </w:r>
    </w:p>
    <w:p w14:paraId="3BCF5111" w14:textId="77777777" w:rsidR="008247E7" w:rsidRPr="00DA3521" w:rsidRDefault="008247E7" w:rsidP="0059513C">
      <w:pPr>
        <w:pStyle w:val="NormalText"/>
      </w:pPr>
      <w:r w:rsidRPr="00DA3521">
        <w:lastRenderedPageBreak/>
        <w:t>Anon., no date(g). Residue data sheets for diquat on sesame. 1978 – 1979. ICI Plant Protection Division. Report No. RIC 3483.</w:t>
      </w:r>
    </w:p>
    <w:p w14:paraId="1B65C469" w14:textId="77777777" w:rsidR="008247E7" w:rsidRPr="004F6DF2" w:rsidRDefault="008247E7" w:rsidP="0059513C">
      <w:pPr>
        <w:pStyle w:val="NormalText"/>
      </w:pPr>
      <w:bookmarkStart w:id="543" w:name="_Hlk167786265"/>
      <w:bookmarkStart w:id="544" w:name="_Hlk167790056"/>
      <w:r w:rsidRPr="004F6DF2">
        <w:t>Anon., 1969.</w:t>
      </w:r>
      <w:bookmarkEnd w:id="543"/>
      <w:r w:rsidRPr="004F6DF2">
        <w:t xml:space="preserve"> A comprehensive study of grain residues in sorghum after desiccation with ‘Gramoxone’ or ‘Reglone’ was made on trials carried out in North Mexico during 1968 and 1969. Report Series AR 2163A.</w:t>
      </w:r>
    </w:p>
    <w:p w14:paraId="2A2CA259" w14:textId="77777777" w:rsidR="008247E7" w:rsidRPr="008030F6" w:rsidRDefault="008247E7" w:rsidP="0059513C">
      <w:pPr>
        <w:pStyle w:val="NormalText"/>
      </w:pPr>
      <w:r w:rsidRPr="008030F6">
        <w:t>Anon., 1970(a). Residues in sorghum grain following desiccation with paraquat and diquat. Report No. RIC3424.</w:t>
      </w:r>
    </w:p>
    <w:p w14:paraId="0D5CFEA3" w14:textId="77777777" w:rsidR="008247E7" w:rsidRPr="008030F6" w:rsidRDefault="008247E7" w:rsidP="0059513C">
      <w:pPr>
        <w:pStyle w:val="NormalText"/>
      </w:pPr>
      <w:r w:rsidRPr="008030F6">
        <w:t>Anon., 1970(b). Summary of diquat residues found in sunflower following desiccation with ‘Reglone’. Report no. RIC3438.</w:t>
      </w:r>
    </w:p>
    <w:p w14:paraId="43A15F93" w14:textId="77777777" w:rsidR="008247E7" w:rsidRPr="00120DD8" w:rsidRDefault="008247E7" w:rsidP="0059513C">
      <w:pPr>
        <w:pStyle w:val="NormalText"/>
      </w:pPr>
      <w:r w:rsidRPr="008030F6">
        <w:t>Anon., 1970(c). Fate of diquat residues in oil seed rape. Report no. RIC3439.</w:t>
      </w:r>
    </w:p>
    <w:p w14:paraId="20DC5243" w14:textId="77777777" w:rsidR="008247E7" w:rsidRPr="00DA1654" w:rsidRDefault="008247E7" w:rsidP="0059513C">
      <w:pPr>
        <w:pStyle w:val="NormalText"/>
      </w:pPr>
      <w:bookmarkStart w:id="545" w:name="_Hlk167789991"/>
      <w:r w:rsidRPr="00120DD8">
        <w:t>Anon.</w:t>
      </w:r>
      <w:r>
        <w:t>,</w:t>
      </w:r>
      <w:r w:rsidRPr="00120DD8">
        <w:t xml:space="preserve"> 1972</w:t>
      </w:r>
      <w:r>
        <w:t>.</w:t>
      </w:r>
      <w:bookmarkEnd w:id="545"/>
      <w:r w:rsidRPr="00120DD8">
        <w:t xml:space="preserve"> Bipyridylium Herbicides. Residues in treated crops. Results of Canadian trials 1970 – 1972</w:t>
      </w:r>
      <w:r>
        <w:t xml:space="preserve">. </w:t>
      </w:r>
      <w:r w:rsidRPr="00DA1654">
        <w:t>Report no. RIC 2491.</w:t>
      </w:r>
      <w:r w:rsidRPr="00DA1654">
        <w:tab/>
      </w:r>
    </w:p>
    <w:p w14:paraId="3F4C8F3C" w14:textId="77777777" w:rsidR="008247E7" w:rsidRPr="00DA1654" w:rsidRDefault="008247E7" w:rsidP="0059513C">
      <w:pPr>
        <w:pStyle w:val="NormalText"/>
      </w:pPr>
      <w:r w:rsidRPr="00DA1654">
        <w:t>Anon., 1973. Residue data sheet for diquat/paraquat mixture on pasture grass. Report no. RIC 3444.</w:t>
      </w:r>
    </w:p>
    <w:p w14:paraId="771FC1CB" w14:textId="77777777" w:rsidR="008247E7" w:rsidRPr="00DA1654" w:rsidRDefault="008247E7" w:rsidP="0059513C">
      <w:pPr>
        <w:pStyle w:val="NormalText"/>
      </w:pPr>
      <w:r w:rsidRPr="00DA1654">
        <w:t xml:space="preserve">Anon., 1979. Residue data sheets for diquat on buckwheat. Report no. </w:t>
      </w:r>
      <w:r w:rsidRPr="00DA1654">
        <w:rPr>
          <w:lang w:val="it-IT"/>
        </w:rPr>
        <w:t>RIC 3461.</w:t>
      </w:r>
    </w:p>
    <w:p w14:paraId="185A7026" w14:textId="77777777" w:rsidR="008247E7" w:rsidRPr="00DA1654" w:rsidRDefault="008247E7" w:rsidP="0059513C">
      <w:pPr>
        <w:pStyle w:val="NormalText"/>
      </w:pPr>
      <w:r w:rsidRPr="00DA1654">
        <w:t>Anon., 1980</w:t>
      </w:r>
      <w:bookmarkEnd w:id="544"/>
      <w:r w:rsidRPr="00DA1654">
        <w:t>(a). Residue Reports for pea, bean, turnip rape and rape: Finland. Report no. RIC3382.</w:t>
      </w:r>
      <w:r w:rsidRPr="00DA1654">
        <w:tab/>
      </w:r>
    </w:p>
    <w:p w14:paraId="608D2EC1" w14:textId="77777777" w:rsidR="008247E7" w:rsidRPr="00DA1654" w:rsidRDefault="008247E7" w:rsidP="0059513C">
      <w:pPr>
        <w:pStyle w:val="NormalText"/>
      </w:pPr>
      <w:r w:rsidRPr="00DA1654">
        <w:t>Anon., 1980(b). Diquat residue data sheets for trials in West Germany – wheat grain and straw. Report no. RIC3428.</w:t>
      </w:r>
    </w:p>
    <w:p w14:paraId="234790DC" w14:textId="77777777" w:rsidR="008247E7" w:rsidRDefault="008247E7" w:rsidP="0059513C">
      <w:pPr>
        <w:pStyle w:val="NormalText"/>
      </w:pPr>
      <w:bookmarkStart w:id="546" w:name="_Hlk160784637"/>
      <w:r w:rsidRPr="00DA1654">
        <w:t>Anon., 1981</w:t>
      </w:r>
      <w:bookmarkEnd w:id="546"/>
      <w:r w:rsidRPr="00DA1654">
        <w:t>. Resi</w:t>
      </w:r>
      <w:r w:rsidRPr="00120DD8">
        <w:t>due Report for strawberry: Finland</w:t>
      </w:r>
      <w:r>
        <w:t>.</w:t>
      </w:r>
      <w:r w:rsidRPr="00120DD8">
        <w:t xml:space="preserve"> Report no. RIC3405.</w:t>
      </w:r>
    </w:p>
    <w:p w14:paraId="0B8D0D3C" w14:textId="77777777" w:rsidR="008247E7" w:rsidRDefault="008247E7" w:rsidP="0059513C">
      <w:pPr>
        <w:pStyle w:val="NormalText"/>
      </w:pPr>
      <w:r w:rsidRPr="00120DD8">
        <w:t>Anon</w:t>
      </w:r>
      <w:r>
        <w:t xml:space="preserve">., </w:t>
      </w:r>
      <w:r w:rsidRPr="00120DD8">
        <w:t>1987</w:t>
      </w:r>
      <w:r>
        <w:t>.</w:t>
      </w:r>
      <w:r w:rsidRPr="00120DD8">
        <w:t xml:space="preserve"> Residue Reports: Finland</w:t>
      </w:r>
      <w:r>
        <w:t>.</w:t>
      </w:r>
      <w:r w:rsidRPr="00120DD8">
        <w:t xml:space="preserve"> Report no. RIC 3323.</w:t>
      </w:r>
    </w:p>
    <w:p w14:paraId="3D416AF3" w14:textId="77777777" w:rsidR="008247E7" w:rsidRPr="00120DD8" w:rsidRDefault="008247E7" w:rsidP="0059513C">
      <w:pPr>
        <w:pStyle w:val="NormalText"/>
      </w:pPr>
      <w:bookmarkStart w:id="547" w:name="_Hlk160792540"/>
      <w:r w:rsidRPr="00120DD8">
        <w:t>Anon.</w:t>
      </w:r>
      <w:r>
        <w:t>,</w:t>
      </w:r>
      <w:r w:rsidRPr="00120DD8">
        <w:t xml:space="preserve"> 1996</w:t>
      </w:r>
      <w:r>
        <w:t>.</w:t>
      </w:r>
      <w:bookmarkEnd w:id="547"/>
      <w:r w:rsidRPr="00120DD8">
        <w:t xml:space="preserve"> Diquat. UK Rapporteur Monograph. Volumes 1 – 4. Report and proposed decision of the United Kingdom made the European Commission under Article 7(1) of Regulation 3600/92. </w:t>
      </w:r>
    </w:p>
    <w:p w14:paraId="11B0AFF1" w14:textId="556E26D1" w:rsidR="008247E7" w:rsidRDefault="008247E7" w:rsidP="0059513C">
      <w:pPr>
        <w:pStyle w:val="NormalText"/>
      </w:pPr>
      <w:r>
        <w:t xml:space="preserve">APVMA (Australian Pesticides and Veterinary Medicines Authority), 2022, </w:t>
      </w:r>
      <w:hyperlink r:id="rId54" w:history="1">
        <w:r w:rsidRPr="00E372B4">
          <w:rPr>
            <w:rStyle w:val="Hyperlink"/>
            <w:i/>
            <w:iCs/>
          </w:rPr>
          <w:t>Agricultural and Veterinary Chemicals Code (Agricultural Active Constituents) Standards 2022</w:t>
        </w:r>
      </w:hyperlink>
      <w:r>
        <w:rPr>
          <w:i/>
          <w:iCs/>
        </w:rPr>
        <w:t>,</w:t>
      </w:r>
      <w:r w:rsidRPr="00F71A08">
        <w:t xml:space="preserve"> https://www.legislation.gov.au/F2022L00137/latest/text</w:t>
      </w:r>
    </w:p>
    <w:bookmarkEnd w:id="540"/>
    <w:p w14:paraId="425A64DA" w14:textId="77777777" w:rsidR="008247E7" w:rsidRPr="00E845D4" w:rsidRDefault="008247E7" w:rsidP="0059513C">
      <w:pPr>
        <w:pStyle w:val="NormalText"/>
      </w:pPr>
      <w:r w:rsidRPr="00E845D4">
        <w:t>Ashwell J</w:t>
      </w:r>
      <w:r>
        <w:t xml:space="preserve">, </w:t>
      </w:r>
      <w:r w:rsidRPr="00E845D4">
        <w:t>1999</w:t>
      </w:r>
      <w:r>
        <w:t xml:space="preserve">. </w:t>
      </w:r>
      <w:r w:rsidRPr="00E845D4">
        <w:t>Diquat: sediment toxicity test with</w:t>
      </w:r>
      <w:r w:rsidRPr="00376A70">
        <w:rPr>
          <w:i/>
          <w:iCs/>
        </w:rPr>
        <w:t xml:space="preserve"> Chironomus riparius</w:t>
      </w:r>
      <w:r>
        <w:t xml:space="preserve">. Reference no. </w:t>
      </w:r>
      <w:r w:rsidRPr="00E845D4">
        <w:t>PP901/0562</w:t>
      </w:r>
    </w:p>
    <w:p w14:paraId="20DBD0CB" w14:textId="77777777" w:rsidR="008247E7" w:rsidRPr="00E845D4" w:rsidRDefault="008247E7" w:rsidP="0059513C">
      <w:pPr>
        <w:pStyle w:val="NormalText"/>
      </w:pPr>
      <w:r w:rsidRPr="00E845D4">
        <w:t>Austin H</w:t>
      </w:r>
      <w:r>
        <w:t xml:space="preserve">M, </w:t>
      </w:r>
      <w:r w:rsidRPr="00E845D4">
        <w:t>1999</w:t>
      </w:r>
      <w:r>
        <w:t>(</w:t>
      </w:r>
      <w:r w:rsidRPr="00E845D4">
        <w:t>a</w:t>
      </w:r>
      <w:r>
        <w:t xml:space="preserve">). </w:t>
      </w:r>
      <w:r w:rsidRPr="00E845D4">
        <w:t>Diquat: a tier 1 laboratory study to determine the LC</w:t>
      </w:r>
      <w:r w:rsidRPr="00376A70">
        <w:rPr>
          <w:vertAlign w:val="subscript"/>
        </w:rPr>
        <w:t>30</w:t>
      </w:r>
      <w:r w:rsidRPr="00E845D4">
        <w:t xml:space="preserve"> and LC</w:t>
      </w:r>
      <w:r w:rsidRPr="00376A70">
        <w:rPr>
          <w:vertAlign w:val="subscript"/>
        </w:rPr>
        <w:t>50</w:t>
      </w:r>
      <w:r w:rsidRPr="00E845D4">
        <w:t xml:space="preserve"> of a 200 g/L SL formulation to the parasitic wasp </w:t>
      </w:r>
      <w:r w:rsidRPr="00376A70">
        <w:rPr>
          <w:i/>
          <w:iCs/>
        </w:rPr>
        <w:t>Aphidius rhopalosiphi</w:t>
      </w:r>
      <w:r>
        <w:t xml:space="preserve">. Reference no. </w:t>
      </w:r>
      <w:r w:rsidRPr="00E845D4">
        <w:t>ER-99-13, PP901/0546</w:t>
      </w:r>
    </w:p>
    <w:p w14:paraId="2BE5CE2B" w14:textId="77777777" w:rsidR="008247E7" w:rsidRDefault="008247E7" w:rsidP="0059513C">
      <w:pPr>
        <w:pStyle w:val="NormalText"/>
      </w:pPr>
      <w:r w:rsidRPr="00E845D4">
        <w:t>Austin H</w:t>
      </w:r>
      <w:r>
        <w:t xml:space="preserve">M, </w:t>
      </w:r>
      <w:r w:rsidRPr="00E845D4">
        <w:t>1999</w:t>
      </w:r>
      <w:r>
        <w:t>(</w:t>
      </w:r>
      <w:r w:rsidRPr="00E845D4">
        <w:t>b</w:t>
      </w:r>
      <w:r>
        <w:t xml:space="preserve">). </w:t>
      </w:r>
      <w:r w:rsidRPr="00E845D4">
        <w:t>Diquat: a tier 2 laboratory study to determine the LC</w:t>
      </w:r>
      <w:r w:rsidRPr="00376A70">
        <w:rPr>
          <w:vertAlign w:val="subscript"/>
        </w:rPr>
        <w:t>50</w:t>
      </w:r>
      <w:r w:rsidRPr="00E845D4">
        <w:t xml:space="preserve"> of a 200 g/L SL formulation to the parasitic wasp </w:t>
      </w:r>
      <w:r w:rsidRPr="00376A70">
        <w:rPr>
          <w:i/>
          <w:iCs/>
        </w:rPr>
        <w:t>Aphidius rhopalosiphi</w:t>
      </w:r>
      <w:r>
        <w:t xml:space="preserve">. Reference no. </w:t>
      </w:r>
      <w:r w:rsidRPr="00E845D4">
        <w:t>ER-99-HMA312, PP901/0550</w:t>
      </w:r>
    </w:p>
    <w:p w14:paraId="2A2319F8" w14:textId="77777777" w:rsidR="008247E7" w:rsidRPr="00E845D4" w:rsidRDefault="008247E7" w:rsidP="0059513C">
      <w:pPr>
        <w:pStyle w:val="NormalText"/>
      </w:pPr>
      <w:r>
        <w:rPr>
          <w:szCs w:val="19"/>
        </w:rPr>
        <w:t>Austin HM, 1999(c). Paraquat: a tier 2 laboratory study to determine the LC</w:t>
      </w:r>
      <w:r>
        <w:rPr>
          <w:sz w:val="12"/>
          <w:szCs w:val="12"/>
        </w:rPr>
        <w:t xml:space="preserve">50 </w:t>
      </w:r>
      <w:r>
        <w:rPr>
          <w:szCs w:val="19"/>
        </w:rPr>
        <w:t xml:space="preserve">of a 100 g/L SL formulation to the predatory mite </w:t>
      </w:r>
      <w:r>
        <w:rPr>
          <w:i/>
          <w:iCs/>
          <w:szCs w:val="19"/>
        </w:rPr>
        <w:t>Typhlodromus pyri</w:t>
      </w:r>
      <w:r>
        <w:rPr>
          <w:szCs w:val="19"/>
        </w:rPr>
        <w:t>. Reference no. ER-99-25</w:t>
      </w:r>
    </w:p>
    <w:p w14:paraId="1FA80A79" w14:textId="77777777" w:rsidR="008247E7" w:rsidRPr="00E845D4" w:rsidRDefault="008247E7" w:rsidP="0059513C">
      <w:pPr>
        <w:pStyle w:val="NormalText"/>
      </w:pPr>
      <w:r w:rsidRPr="00E845D4">
        <w:t>Austin H</w:t>
      </w:r>
      <w:r>
        <w:t>M</w:t>
      </w:r>
      <w:r w:rsidRPr="00E845D4">
        <w:t>, Elcock V</w:t>
      </w:r>
      <w:r>
        <w:t xml:space="preserve">, </w:t>
      </w:r>
      <w:r w:rsidRPr="00E845D4">
        <w:t>1999</w:t>
      </w:r>
      <w:r>
        <w:t>(</w:t>
      </w:r>
      <w:r w:rsidRPr="00E845D4">
        <w:t>a</w:t>
      </w:r>
      <w:r>
        <w:t xml:space="preserve">.) </w:t>
      </w:r>
      <w:r w:rsidRPr="00E845D4">
        <w:t>Diquat: a tier 1 laboratory study to determine the LC</w:t>
      </w:r>
      <w:r w:rsidRPr="00376A70">
        <w:rPr>
          <w:vertAlign w:val="subscript"/>
        </w:rPr>
        <w:t>30</w:t>
      </w:r>
      <w:r w:rsidRPr="00E845D4">
        <w:t xml:space="preserve"> and LC</w:t>
      </w:r>
      <w:r w:rsidRPr="00376A70">
        <w:rPr>
          <w:vertAlign w:val="subscript"/>
        </w:rPr>
        <w:t>50</w:t>
      </w:r>
      <w:r w:rsidRPr="00E845D4">
        <w:t xml:space="preserve"> of a 200 g/L SL formulation to the predatory mite </w:t>
      </w:r>
      <w:r w:rsidRPr="00376A70">
        <w:rPr>
          <w:i/>
          <w:iCs/>
        </w:rPr>
        <w:t>Typhlodromus pyri</w:t>
      </w:r>
      <w:r>
        <w:t xml:space="preserve">. Reference no. </w:t>
      </w:r>
      <w:r w:rsidRPr="00E845D4">
        <w:t>ER-99-11, PP901/0545</w:t>
      </w:r>
    </w:p>
    <w:p w14:paraId="0CA69376" w14:textId="77777777" w:rsidR="008247E7" w:rsidRDefault="008247E7" w:rsidP="0059513C">
      <w:pPr>
        <w:pStyle w:val="NormalText"/>
      </w:pPr>
      <w:r w:rsidRPr="00E845D4">
        <w:lastRenderedPageBreak/>
        <w:t>Austin H</w:t>
      </w:r>
      <w:r>
        <w:t>M</w:t>
      </w:r>
      <w:r w:rsidRPr="00E845D4">
        <w:t>, Elcock V</w:t>
      </w:r>
      <w:r>
        <w:t xml:space="preserve">, </w:t>
      </w:r>
      <w:r w:rsidRPr="00E845D4">
        <w:t>1999</w:t>
      </w:r>
      <w:r>
        <w:t>(</w:t>
      </w:r>
      <w:r w:rsidRPr="00E845D4">
        <w:t>b</w:t>
      </w:r>
      <w:r>
        <w:t xml:space="preserve">). </w:t>
      </w:r>
      <w:r w:rsidRPr="00E845D4">
        <w:t>Diquat: a tier 2 laboratory study to determine the LC</w:t>
      </w:r>
      <w:r w:rsidRPr="00376A70">
        <w:rPr>
          <w:vertAlign w:val="subscript"/>
        </w:rPr>
        <w:t>50</w:t>
      </w:r>
      <w:r w:rsidRPr="00E845D4">
        <w:t xml:space="preserve"> of a 200 g/L SL formulation to the predatory mite </w:t>
      </w:r>
      <w:r w:rsidRPr="00376A70">
        <w:rPr>
          <w:i/>
          <w:iCs/>
        </w:rPr>
        <w:t>Typhlodromus pyri</w:t>
      </w:r>
      <w:r>
        <w:t xml:space="preserve">. Reference no. </w:t>
      </w:r>
      <w:r w:rsidRPr="00E845D4">
        <w:t>ER-99-27, PP901/0548</w:t>
      </w:r>
    </w:p>
    <w:p w14:paraId="6D73BEA0" w14:textId="77777777" w:rsidR="008247E7" w:rsidRPr="00E845D4" w:rsidRDefault="008247E7" w:rsidP="0059513C">
      <w:pPr>
        <w:pStyle w:val="NormalText"/>
      </w:pPr>
      <w:bookmarkStart w:id="548" w:name="_Hlk163818665"/>
      <w:r>
        <w:rPr>
          <w:szCs w:val="19"/>
        </w:rPr>
        <w:t>Austin HM, Elcock V, 1999(c). Paraquat: a tier 1 laboratory study to determine the LC</w:t>
      </w:r>
      <w:r>
        <w:rPr>
          <w:sz w:val="12"/>
          <w:szCs w:val="12"/>
        </w:rPr>
        <w:t xml:space="preserve">50 </w:t>
      </w:r>
      <w:r>
        <w:rPr>
          <w:szCs w:val="19"/>
        </w:rPr>
        <w:t xml:space="preserve">of a 100 g/L SL formulation to the predatory mite </w:t>
      </w:r>
      <w:r>
        <w:rPr>
          <w:i/>
          <w:iCs/>
          <w:szCs w:val="19"/>
        </w:rPr>
        <w:t>Typhlodromus pyri</w:t>
      </w:r>
      <w:r>
        <w:rPr>
          <w:szCs w:val="19"/>
        </w:rPr>
        <w:t>. Reference no. ER-99-12</w:t>
      </w:r>
      <w:bookmarkEnd w:id="548"/>
    </w:p>
    <w:p w14:paraId="0C64F923" w14:textId="77777777" w:rsidR="008247E7" w:rsidRPr="00E845D4" w:rsidRDefault="008247E7" w:rsidP="0059513C">
      <w:pPr>
        <w:pStyle w:val="NormalText"/>
      </w:pPr>
      <w:r w:rsidRPr="00E845D4">
        <w:t>Balluff M</w:t>
      </w:r>
      <w:r>
        <w:t xml:space="preserve">, </w:t>
      </w:r>
      <w:r w:rsidRPr="00E845D4">
        <w:t>2006</w:t>
      </w:r>
      <w:r>
        <w:t xml:space="preserve">. </w:t>
      </w:r>
      <w:r w:rsidRPr="00E845D4">
        <w:t>ZA0901 (diquat): a greenhouse toxicity study to determine the effects of a 900 g ai/L SL formulation (A1412A) on the seedling emergence of four species of plants</w:t>
      </w:r>
      <w:r>
        <w:t xml:space="preserve">. Reference no. </w:t>
      </w:r>
      <w:r w:rsidRPr="00E845D4">
        <w:t>PP901/1970</w:t>
      </w:r>
    </w:p>
    <w:p w14:paraId="18B674AE" w14:textId="77777777" w:rsidR="008247E7" w:rsidRDefault="008247E7" w:rsidP="0059513C">
      <w:pPr>
        <w:pStyle w:val="NormalText"/>
      </w:pPr>
      <w:r w:rsidRPr="00120DD8">
        <w:t>Barrett DWA, Reeve M and Stephens PP</w:t>
      </w:r>
      <w:r>
        <w:t>,</w:t>
      </w:r>
      <w:r w:rsidRPr="00120DD8">
        <w:t xml:space="preserve"> 1974</w:t>
      </w:r>
      <w:r>
        <w:t>.</w:t>
      </w:r>
      <w:r w:rsidRPr="00120DD8">
        <w:t xml:space="preserve"> Residue Data Sheets 1973 – 1974: Diquat residues in wholegrain, bran, chaff, flour and bread</w:t>
      </w:r>
      <w:r>
        <w:t>. Report</w:t>
      </w:r>
      <w:r w:rsidRPr="00120DD8">
        <w:t xml:space="preserve"> no. RIC 3489. </w:t>
      </w:r>
    </w:p>
    <w:p w14:paraId="2AA6FD32" w14:textId="77777777" w:rsidR="008247E7" w:rsidRDefault="008247E7" w:rsidP="0059513C">
      <w:pPr>
        <w:pStyle w:val="NormalText"/>
      </w:pPr>
      <w:r w:rsidRPr="00120DD8">
        <w:t>Batten PL and Calderbank A</w:t>
      </w:r>
      <w:r>
        <w:t>,</w:t>
      </w:r>
      <w:r w:rsidRPr="00120DD8">
        <w:t xml:space="preserve"> 1986</w:t>
      </w:r>
      <w:r>
        <w:t>.</w:t>
      </w:r>
      <w:r w:rsidRPr="00120DD8">
        <w:t xml:space="preserve"> A review of diquat metabolism</w:t>
      </w:r>
      <w:r>
        <w:t>. Report</w:t>
      </w:r>
      <w:r w:rsidRPr="00120DD8">
        <w:t xml:space="preserve"> no. CTL/I/66.</w:t>
      </w:r>
      <w:r w:rsidRPr="00120DD8">
        <w:tab/>
      </w:r>
    </w:p>
    <w:p w14:paraId="634C33AA" w14:textId="76E7892C" w:rsidR="008247E7" w:rsidRPr="00E845D4" w:rsidRDefault="008247E7" w:rsidP="0059513C">
      <w:pPr>
        <w:pStyle w:val="NormalText"/>
      </w:pPr>
      <w:r w:rsidRPr="00E845D4">
        <w:t>Beavers J, Fink R</w:t>
      </w:r>
      <w:r>
        <w:t xml:space="preserve">, </w:t>
      </w:r>
      <w:r w:rsidRPr="00E845D4">
        <w:t>1982</w:t>
      </w:r>
      <w:r>
        <w:t xml:space="preserve">. </w:t>
      </w:r>
      <w:r w:rsidRPr="00E845D4">
        <w:t>Diquat technical (SX1306): one-generation reproduction</w:t>
      </w:r>
      <w:r w:rsidR="004C1210">
        <w:t>–</w:t>
      </w:r>
      <w:r w:rsidRPr="00E845D4">
        <w:t>bobwhite quail</w:t>
      </w:r>
      <w:r>
        <w:t xml:space="preserve">. Reference no. </w:t>
      </w:r>
      <w:r w:rsidRPr="00E845D4">
        <w:t>162-142</w:t>
      </w:r>
    </w:p>
    <w:p w14:paraId="7D66EC0D" w14:textId="77777777" w:rsidR="008247E7" w:rsidRPr="00E845D4" w:rsidRDefault="008247E7" w:rsidP="0059513C">
      <w:pPr>
        <w:pStyle w:val="NormalText"/>
      </w:pPr>
      <w:r w:rsidRPr="00E845D4">
        <w:t>Beech P</w:t>
      </w:r>
      <w:r>
        <w:t xml:space="preserve">, </w:t>
      </w:r>
      <w:r w:rsidRPr="00E845D4">
        <w:t>1997</w:t>
      </w:r>
      <w:r>
        <w:t xml:space="preserve">. </w:t>
      </w:r>
      <w:r w:rsidRPr="00E845D4">
        <w:t xml:space="preserve">An extended laboratory test to determine the effects of the herbicide Reglone (YF7017A), a soluble liquid formulation of diquat (200 g/L), on </w:t>
      </w:r>
      <w:r w:rsidRPr="00376A70">
        <w:rPr>
          <w:i/>
          <w:iCs/>
        </w:rPr>
        <w:t>Aleochara bilineata</w:t>
      </w:r>
      <w:r>
        <w:t xml:space="preserve">. Reference no. </w:t>
      </w:r>
      <w:r w:rsidRPr="00E845D4">
        <w:t>PP901/0554</w:t>
      </w:r>
    </w:p>
    <w:p w14:paraId="707AB31E" w14:textId="5BF414B8" w:rsidR="008247E7" w:rsidRPr="00E845D4" w:rsidRDefault="008247E7" w:rsidP="0059513C">
      <w:pPr>
        <w:pStyle w:val="NormalText"/>
      </w:pPr>
      <w:r w:rsidRPr="00E845D4">
        <w:t>Bellet E</w:t>
      </w:r>
      <w:r>
        <w:t xml:space="preserve">, </w:t>
      </w:r>
      <w:r w:rsidRPr="00E845D4">
        <w:t>1990</w:t>
      </w:r>
      <w:r>
        <w:t>(</w:t>
      </w:r>
      <w:r w:rsidRPr="00E845D4">
        <w:t>a</w:t>
      </w:r>
      <w:r>
        <w:t xml:space="preserve">). </w:t>
      </w:r>
      <w:r w:rsidRPr="00E845D4">
        <w:t>Effect of diquat on aquatic plants</w:t>
      </w:r>
      <w:r w:rsidR="004C1210">
        <w:t>–</w:t>
      </w:r>
      <w:r w:rsidRPr="00E845D4">
        <w:t>a tier 3 study</w:t>
      </w:r>
      <w:r>
        <w:t xml:space="preserve">. Reference no. </w:t>
      </w:r>
      <w:r w:rsidRPr="00E845D4">
        <w:t>DQ 124-2</w:t>
      </w:r>
    </w:p>
    <w:p w14:paraId="2E36849B" w14:textId="711E2ECC" w:rsidR="008247E7" w:rsidRPr="00E845D4" w:rsidRDefault="008247E7" w:rsidP="0059513C">
      <w:pPr>
        <w:pStyle w:val="NormalText"/>
      </w:pPr>
      <w:r w:rsidRPr="00E845D4">
        <w:t>Bellet E</w:t>
      </w:r>
      <w:r>
        <w:t xml:space="preserve">, </w:t>
      </w:r>
      <w:r w:rsidRPr="00E845D4">
        <w:t>1990</w:t>
      </w:r>
      <w:r>
        <w:t>(</w:t>
      </w:r>
      <w:r w:rsidRPr="00E845D4">
        <w:t>b</w:t>
      </w:r>
      <w:r>
        <w:t xml:space="preserve">). </w:t>
      </w:r>
      <w:r w:rsidRPr="00E845D4">
        <w:t>Effect of diquat on terrestrial plants</w:t>
      </w:r>
      <w:r w:rsidR="004C1210">
        <w:t>–</w:t>
      </w:r>
      <w:r w:rsidRPr="00E845D4">
        <w:t>a tier 3 study</w:t>
      </w:r>
      <w:r>
        <w:t xml:space="preserve">. Reference no. </w:t>
      </w:r>
      <w:r w:rsidRPr="00E845D4">
        <w:t>PP901/0581</w:t>
      </w:r>
    </w:p>
    <w:p w14:paraId="7C89E7C6" w14:textId="77777777" w:rsidR="008247E7" w:rsidRPr="00E845D4" w:rsidRDefault="008247E7" w:rsidP="0059513C">
      <w:pPr>
        <w:pStyle w:val="NormalText"/>
      </w:pPr>
      <w:r w:rsidRPr="00E845D4">
        <w:t>Bender EP</w:t>
      </w:r>
      <w:r>
        <w:t xml:space="preserve">, </w:t>
      </w:r>
      <w:r w:rsidRPr="00E845D4">
        <w:t>2006</w:t>
      </w:r>
      <w:r>
        <w:t>(</w:t>
      </w:r>
      <w:r w:rsidRPr="00E845D4">
        <w:t>a</w:t>
      </w:r>
      <w:r>
        <w:t xml:space="preserve">). </w:t>
      </w:r>
      <w:r w:rsidRPr="00E845D4">
        <w:t xml:space="preserve">Diquat technical: acute toxicity to </w:t>
      </w:r>
      <w:r w:rsidRPr="00376A70">
        <w:rPr>
          <w:i/>
          <w:iCs/>
        </w:rPr>
        <w:t>Hyalella azteca</w:t>
      </w:r>
      <w:r w:rsidRPr="00E845D4">
        <w:t xml:space="preserve"> under static conditions</w:t>
      </w:r>
      <w:r>
        <w:t xml:space="preserve">. Reference no. </w:t>
      </w:r>
      <w:r w:rsidRPr="00E845D4">
        <w:t>1666-CRA-510-05</w:t>
      </w:r>
    </w:p>
    <w:p w14:paraId="518DA358" w14:textId="77777777" w:rsidR="008247E7" w:rsidRPr="00E845D4" w:rsidRDefault="008247E7" w:rsidP="0059513C">
      <w:pPr>
        <w:pStyle w:val="NormalText"/>
      </w:pPr>
      <w:r w:rsidRPr="00E845D4">
        <w:t>Bender EP</w:t>
      </w:r>
      <w:r>
        <w:t xml:space="preserve">, </w:t>
      </w:r>
      <w:r w:rsidRPr="00E845D4">
        <w:t>2006</w:t>
      </w:r>
      <w:r>
        <w:t>(</w:t>
      </w:r>
      <w:r w:rsidRPr="00E845D4">
        <w:t>b</w:t>
      </w:r>
      <w:r>
        <w:t xml:space="preserve">). </w:t>
      </w:r>
      <w:r w:rsidRPr="00E845D4">
        <w:t>Reward: acute toxicity with earthworm (</w:t>
      </w:r>
      <w:r w:rsidRPr="00376A70">
        <w:rPr>
          <w:i/>
          <w:iCs/>
        </w:rPr>
        <w:t>Eisenia fetida</w:t>
      </w:r>
      <w:r w:rsidRPr="00E845D4">
        <w:t>)</w:t>
      </w:r>
      <w:r>
        <w:t xml:space="preserve">. Reference no. </w:t>
      </w:r>
      <w:r w:rsidRPr="00E845D4">
        <w:t>1639-EF-502-05, PP901/1967</w:t>
      </w:r>
    </w:p>
    <w:p w14:paraId="41C05018" w14:textId="57A94BC7" w:rsidR="008247E7" w:rsidRPr="00E845D4" w:rsidRDefault="008247E7" w:rsidP="0059513C">
      <w:pPr>
        <w:pStyle w:val="NormalText"/>
      </w:pPr>
      <w:r w:rsidRPr="00E845D4">
        <w:t>Bender EP</w:t>
      </w:r>
      <w:r>
        <w:t xml:space="preserve">, </w:t>
      </w:r>
      <w:r w:rsidRPr="00E845D4">
        <w:t>2006</w:t>
      </w:r>
      <w:r>
        <w:t>(</w:t>
      </w:r>
      <w:r w:rsidRPr="00E845D4">
        <w:t>c</w:t>
      </w:r>
      <w:r>
        <w:t xml:space="preserve">). </w:t>
      </w:r>
      <w:r w:rsidRPr="00E845D4">
        <w:t>A12872A: toxicity test for soil microorganisms</w:t>
      </w:r>
      <w:r w:rsidR="004C1210">
        <w:t>–</w:t>
      </w:r>
      <w:r w:rsidRPr="00E845D4">
        <w:t>carbon and nitrogen cycle</w:t>
      </w:r>
      <w:r>
        <w:t xml:space="preserve">. Reference no. </w:t>
      </w:r>
      <w:r w:rsidRPr="00E845D4">
        <w:t>PP901/1968</w:t>
      </w:r>
    </w:p>
    <w:p w14:paraId="0A43DAEF" w14:textId="4C5E6436" w:rsidR="000B2E54" w:rsidRPr="000B2E54" w:rsidRDefault="000B2E54" w:rsidP="0059513C">
      <w:pPr>
        <w:pStyle w:val="NormalText"/>
      </w:pPr>
      <w:r w:rsidRPr="000B2E54">
        <w:t xml:space="preserve">Benes V </w:t>
      </w:r>
      <w:r>
        <w:t>and</w:t>
      </w:r>
      <w:r w:rsidRPr="000B2E54">
        <w:t xml:space="preserve"> Sram R</w:t>
      </w:r>
      <w:r>
        <w:t>,</w:t>
      </w:r>
      <w:r w:rsidRPr="000B2E54">
        <w:t xml:space="preserve"> 1969</w:t>
      </w:r>
      <w:r>
        <w:t>.</w:t>
      </w:r>
      <w:r w:rsidRPr="000B2E54">
        <w:t xml:space="preserve"> Mutagenic activity of some pesticides in Drosophila melanogaster. Indust Med, 38(12): 50-52.</w:t>
      </w:r>
    </w:p>
    <w:p w14:paraId="09CD7C7E" w14:textId="77777777" w:rsidR="008247E7" w:rsidRDefault="008247E7" w:rsidP="0059513C">
      <w:pPr>
        <w:pStyle w:val="NormalText"/>
      </w:pPr>
      <w:r w:rsidRPr="00120DD8">
        <w:t>Benet F and Massenot F</w:t>
      </w:r>
      <w:r>
        <w:t>,</w:t>
      </w:r>
      <w:r w:rsidRPr="00120DD8">
        <w:t xml:space="preserve"> 1993</w:t>
      </w:r>
      <w:r>
        <w:t>.</w:t>
      </w:r>
      <w:r w:rsidRPr="00120DD8">
        <w:t xml:space="preserve"> Testing for diquat residues in lodged, sprouted wheat grain</w:t>
      </w:r>
      <w:r>
        <w:t>.</w:t>
      </w:r>
      <w:r w:rsidRPr="00120DD8">
        <w:t xml:space="preserve"> Report no. 92-S009.</w:t>
      </w:r>
    </w:p>
    <w:p w14:paraId="2B2DA419" w14:textId="77777777" w:rsidR="008247E7" w:rsidRPr="00120DD8" w:rsidRDefault="008247E7" w:rsidP="0059513C">
      <w:pPr>
        <w:pStyle w:val="NormalText"/>
      </w:pPr>
      <w:r w:rsidRPr="00120DD8">
        <w:t>Black WJM, Calderbank A, Douglas G and McKenna RH</w:t>
      </w:r>
      <w:r>
        <w:t xml:space="preserve">, </w:t>
      </w:r>
      <w:r w:rsidRPr="00120DD8">
        <w:t>1966</w:t>
      </w:r>
      <w:r>
        <w:t>.</w:t>
      </w:r>
      <w:r w:rsidRPr="00120DD8">
        <w:t xml:space="preserve"> Residue in herbage and silage and feeding experiments following the use of diquat as a desiccant</w:t>
      </w:r>
      <w:r>
        <w:t>.</w:t>
      </w:r>
      <w:r w:rsidRPr="00120DD8">
        <w:t xml:space="preserve"> J. Sci. Fd Agric., 17:506-509.</w:t>
      </w:r>
    </w:p>
    <w:p w14:paraId="10FD2103" w14:textId="77777777" w:rsidR="008247E7" w:rsidRPr="00120DD8" w:rsidRDefault="008247E7" w:rsidP="0059513C">
      <w:pPr>
        <w:pStyle w:val="NormalText"/>
      </w:pPr>
      <w:r w:rsidRPr="00120DD8">
        <w:t>Bolton A</w:t>
      </w:r>
      <w:r>
        <w:t>,</w:t>
      </w:r>
      <w:r w:rsidRPr="00120DD8">
        <w:t xml:space="preserve"> 1996</w:t>
      </w:r>
      <w:r>
        <w:t>.</w:t>
      </w:r>
      <w:r w:rsidRPr="00120DD8">
        <w:t xml:space="preserve"> Diquat: Animal tissue validation SOP RAM/008/02</w:t>
      </w:r>
      <w:r>
        <w:t>. Report</w:t>
      </w:r>
      <w:r w:rsidRPr="00120DD8">
        <w:t xml:space="preserve"> no. CEMS-546.</w:t>
      </w:r>
    </w:p>
    <w:p w14:paraId="391F498E" w14:textId="77777777" w:rsidR="008247E7" w:rsidRPr="00E845D4" w:rsidRDefault="008247E7" w:rsidP="0059513C">
      <w:pPr>
        <w:pStyle w:val="NormalText"/>
      </w:pPr>
      <w:r w:rsidRPr="00E845D4">
        <w:t>Bradley MJ</w:t>
      </w:r>
      <w:r>
        <w:t xml:space="preserve">, </w:t>
      </w:r>
      <w:r w:rsidRPr="00E845D4">
        <w:t>2013</w:t>
      </w:r>
      <w:r>
        <w:t>(</w:t>
      </w:r>
      <w:r w:rsidRPr="00E845D4">
        <w:t>a</w:t>
      </w:r>
      <w:r>
        <w:t xml:space="preserve">). </w:t>
      </w:r>
      <w:r w:rsidRPr="00E845D4">
        <w:t>42-day toxicity test exposing freshwater amphipods (</w:t>
      </w:r>
      <w:r w:rsidRPr="00376A70">
        <w:rPr>
          <w:i/>
          <w:iCs/>
        </w:rPr>
        <w:t>Hyalella azteca</w:t>
      </w:r>
      <w:r w:rsidRPr="00E845D4">
        <w:t>) to diquat dibromide applied to sediment under static-renewal conditions</w:t>
      </w:r>
      <w:r>
        <w:t xml:space="preserve">. Reference no. </w:t>
      </w:r>
      <w:r w:rsidRPr="00E845D4">
        <w:t>1781.687</w:t>
      </w:r>
    </w:p>
    <w:p w14:paraId="0055ABF9" w14:textId="77777777" w:rsidR="008247E7" w:rsidRPr="00E845D4" w:rsidRDefault="008247E7" w:rsidP="0059513C">
      <w:pPr>
        <w:pStyle w:val="NormalText"/>
      </w:pPr>
      <w:r w:rsidRPr="00E845D4">
        <w:t>Bradley MJ</w:t>
      </w:r>
      <w:r>
        <w:t xml:space="preserve">, </w:t>
      </w:r>
      <w:r w:rsidRPr="00E845D4">
        <w:t>2013</w:t>
      </w:r>
      <w:r>
        <w:t>(</w:t>
      </w:r>
      <w:r w:rsidRPr="00E845D4">
        <w:t>b</w:t>
      </w:r>
      <w:r>
        <w:t xml:space="preserve">). </w:t>
      </w:r>
      <w:r w:rsidRPr="00E845D4">
        <w:t>Life-cycle toxicity test exposing midges (</w:t>
      </w:r>
      <w:r w:rsidRPr="00376A70">
        <w:rPr>
          <w:i/>
          <w:iCs/>
        </w:rPr>
        <w:t>Chironomus dilutus</w:t>
      </w:r>
      <w:r w:rsidRPr="00E845D4">
        <w:t>) to diquat dibromide applied to sediment under static-renewal conditions</w:t>
      </w:r>
      <w:r>
        <w:t xml:space="preserve">. Reference no. </w:t>
      </w:r>
      <w:r w:rsidRPr="00E845D4">
        <w:t>1781.6869</w:t>
      </w:r>
    </w:p>
    <w:p w14:paraId="76C4FE9E" w14:textId="77777777" w:rsidR="00A17BFF" w:rsidRPr="00E845D4" w:rsidRDefault="00A17BFF" w:rsidP="00A17BFF">
      <w:pPr>
        <w:pStyle w:val="NormalText"/>
      </w:pPr>
      <w:r w:rsidRPr="00E845D4">
        <w:lastRenderedPageBreak/>
        <w:t>Bradley MJ</w:t>
      </w:r>
      <w:r>
        <w:t xml:space="preserve">, </w:t>
      </w:r>
      <w:r w:rsidRPr="00E845D4">
        <w:t>2015</w:t>
      </w:r>
      <w:r>
        <w:t xml:space="preserve">. </w:t>
      </w:r>
      <w:r w:rsidRPr="00E845D4">
        <w:t>10-day toxicity test exposing estuarine amphipods (</w:t>
      </w:r>
      <w:r w:rsidRPr="00376A70">
        <w:rPr>
          <w:i/>
          <w:iCs/>
        </w:rPr>
        <w:t>Leptocheirus plumulosus</w:t>
      </w:r>
      <w:r w:rsidRPr="00E845D4">
        <w:t>) to diquat dibromide applied to sediment under static conditions</w:t>
      </w:r>
      <w:r>
        <w:t xml:space="preserve">. Reference no. </w:t>
      </w:r>
      <w:r w:rsidRPr="00E845D4">
        <w:t>1781.7059</w:t>
      </w:r>
    </w:p>
    <w:p w14:paraId="71B32BB2" w14:textId="626D0335" w:rsidR="008247E7" w:rsidRPr="00120DD8" w:rsidRDefault="008247E7" w:rsidP="0059513C">
      <w:pPr>
        <w:pStyle w:val="NormalText"/>
      </w:pPr>
      <w:r>
        <w:t>B</w:t>
      </w:r>
      <w:r w:rsidRPr="00120DD8">
        <w:t>riggs RE and Davis JA</w:t>
      </w:r>
      <w:r>
        <w:t>,</w:t>
      </w:r>
      <w:r w:rsidRPr="00120DD8">
        <w:t xml:space="preserve"> 1975</w:t>
      </w:r>
      <w:r>
        <w:t>.</w:t>
      </w:r>
      <w:r w:rsidRPr="00120DD8">
        <w:t xml:space="preserve"> Diquat: Excretion and metabolism in a goat</w:t>
      </w:r>
      <w:r>
        <w:t>. Report</w:t>
      </w:r>
      <w:r w:rsidRPr="00120DD8">
        <w:t xml:space="preserve"> no. AR2585A.</w:t>
      </w:r>
    </w:p>
    <w:p w14:paraId="01A04D5F" w14:textId="77777777" w:rsidR="008247E7" w:rsidRDefault="008247E7" w:rsidP="0059513C">
      <w:pPr>
        <w:pStyle w:val="NormalText"/>
      </w:pPr>
      <w:r w:rsidRPr="00C5352A">
        <w:t>Brooke LT, 1993. Acute and chronic toxicity of nonylphenol to ten species of aquatic organisms. Environmental Health Laboratory, Lake Superior Research Institute, University of Wisconsin-Superior. Report no. 68-C1-0034</w:t>
      </w:r>
    </w:p>
    <w:p w14:paraId="4C8B4945" w14:textId="63278734" w:rsidR="0097555A" w:rsidRDefault="0097555A" w:rsidP="0059513C">
      <w:pPr>
        <w:pStyle w:val="NormalText"/>
        <w:rPr>
          <w:szCs w:val="19"/>
        </w:rPr>
      </w:pPr>
      <w:r>
        <w:t>Brorby GP, Griffis LC, Chen YS, Wong ZA and Crisp CE, 1988. The percutaneous absorption of diquat (SX-1750) in male rats. Study No. CEHC 2762.</w:t>
      </w:r>
      <w:r>
        <w:rPr>
          <w:szCs w:val="19"/>
        </w:rPr>
        <w:t xml:space="preserve"> </w:t>
      </w:r>
    </w:p>
    <w:p w14:paraId="1273C054" w14:textId="25C00917" w:rsidR="00045435" w:rsidRPr="00045435" w:rsidRDefault="00045435" w:rsidP="0059513C">
      <w:pPr>
        <w:pStyle w:val="NormalText"/>
      </w:pPr>
      <w:r w:rsidRPr="00045435">
        <w:t xml:space="preserve">Bruce ED, Griffis LC </w:t>
      </w:r>
      <w:r>
        <w:t>and</w:t>
      </w:r>
      <w:r w:rsidRPr="00045435">
        <w:t xml:space="preserve"> Wong ZA</w:t>
      </w:r>
      <w:r>
        <w:t>,</w:t>
      </w:r>
      <w:r w:rsidRPr="00045435">
        <w:t xml:space="preserve"> 1985</w:t>
      </w:r>
      <w:r>
        <w:t>.</w:t>
      </w:r>
      <w:r w:rsidRPr="00045435">
        <w:t xml:space="preserve"> The acute inhalation toxicity of diquat Water Weed Killer (SX-1574) in rats. Report No. CTL/C/2701. </w:t>
      </w:r>
    </w:p>
    <w:p w14:paraId="3178840A" w14:textId="77777777" w:rsidR="00A17BFF" w:rsidRDefault="00A17BFF" w:rsidP="00A17BFF">
      <w:pPr>
        <w:pStyle w:val="APVMAText"/>
        <w:rPr>
          <w:sz w:val="19"/>
          <w:szCs w:val="19"/>
        </w:rPr>
      </w:pPr>
      <w:r w:rsidRPr="005019FD">
        <w:rPr>
          <w:sz w:val="19"/>
          <w:szCs w:val="19"/>
        </w:rPr>
        <w:t>Brühl CA, Guckenmus B, Ebeling M</w:t>
      </w:r>
      <w:r>
        <w:rPr>
          <w:sz w:val="19"/>
          <w:szCs w:val="19"/>
        </w:rPr>
        <w:t>,</w:t>
      </w:r>
      <w:r w:rsidRPr="005019FD">
        <w:rPr>
          <w:sz w:val="19"/>
          <w:szCs w:val="19"/>
        </w:rPr>
        <w:t xml:space="preserve"> Barfknecht R</w:t>
      </w:r>
      <w:r>
        <w:rPr>
          <w:sz w:val="19"/>
          <w:szCs w:val="19"/>
        </w:rPr>
        <w:t>,</w:t>
      </w:r>
      <w:r w:rsidRPr="005019FD">
        <w:rPr>
          <w:sz w:val="19"/>
          <w:szCs w:val="19"/>
        </w:rPr>
        <w:t xml:space="preserve"> 2011. Exposure reduction of seed treatments through dehusking behaviour</w:t>
      </w:r>
      <w:r>
        <w:rPr>
          <w:sz w:val="19"/>
          <w:szCs w:val="19"/>
        </w:rPr>
        <w:t xml:space="preserve"> </w:t>
      </w:r>
      <w:r w:rsidRPr="005019FD">
        <w:rPr>
          <w:sz w:val="19"/>
          <w:szCs w:val="19"/>
        </w:rPr>
        <w:t>of the wood mouse (</w:t>
      </w:r>
      <w:r w:rsidRPr="005019FD">
        <w:rPr>
          <w:i/>
          <w:iCs/>
          <w:sz w:val="19"/>
          <w:szCs w:val="19"/>
        </w:rPr>
        <w:t>Apodemus sylvaticus</w:t>
      </w:r>
      <w:r w:rsidRPr="005019FD">
        <w:rPr>
          <w:sz w:val="19"/>
          <w:szCs w:val="19"/>
        </w:rPr>
        <w:t>). Environmental Science and Pollution Research International, 18, 31-37. DOI: 10.1007/s11356-010-0351-x</w:t>
      </w:r>
    </w:p>
    <w:p w14:paraId="7DC4E131" w14:textId="1C10D36A" w:rsidR="008247E7" w:rsidRDefault="008247E7" w:rsidP="0059513C">
      <w:pPr>
        <w:pStyle w:val="NormalText"/>
        <w:rPr>
          <w:szCs w:val="19"/>
        </w:rPr>
      </w:pPr>
      <w:r>
        <w:rPr>
          <w:szCs w:val="19"/>
        </w:rPr>
        <w:t>Bull JM, Wilkinson W, 1987. Paraquat: acute 5-day contact and oral toxicity to honey bees (</w:t>
      </w:r>
      <w:r>
        <w:rPr>
          <w:i/>
          <w:iCs/>
          <w:szCs w:val="19"/>
        </w:rPr>
        <w:t>Apis mellifera</w:t>
      </w:r>
      <w:r>
        <w:rPr>
          <w:szCs w:val="19"/>
        </w:rPr>
        <w:t>). Reference no. RJ0578B</w:t>
      </w:r>
    </w:p>
    <w:p w14:paraId="05001109" w14:textId="77777777" w:rsidR="008247E7" w:rsidRPr="00120DD8" w:rsidRDefault="008247E7" w:rsidP="0059513C">
      <w:pPr>
        <w:pStyle w:val="NormalText"/>
      </w:pPr>
      <w:bookmarkStart w:id="549" w:name="_Hlk160791999"/>
      <w:bookmarkStart w:id="550" w:name="_Hlk160789856"/>
      <w:r w:rsidRPr="00120DD8">
        <w:t>Bullock DJW</w:t>
      </w:r>
      <w:r>
        <w:t xml:space="preserve">, </w:t>
      </w:r>
      <w:r w:rsidRPr="00120DD8">
        <w:t>1980</w:t>
      </w:r>
      <w:r>
        <w:t>.</w:t>
      </w:r>
      <w:r w:rsidRPr="00120DD8">
        <w:t xml:space="preserve"> Stability of diquat residues during storage of wheat and barley grain at ambient temperature and – 18ºC</w:t>
      </w:r>
      <w:r>
        <w:t>.</w:t>
      </w:r>
      <w:r w:rsidRPr="00120DD8">
        <w:t xml:space="preserve"> Report no. PP901B025.</w:t>
      </w:r>
    </w:p>
    <w:p w14:paraId="70866E90" w14:textId="36E1A1F5" w:rsidR="007955B8" w:rsidRDefault="007955B8" w:rsidP="0059513C">
      <w:pPr>
        <w:pStyle w:val="NormalText"/>
      </w:pPr>
      <w:r w:rsidRPr="007955B8">
        <w:t xml:space="preserve">Bhuyan DK </w:t>
      </w:r>
      <w:r>
        <w:t>and</w:t>
      </w:r>
      <w:r w:rsidRPr="007955B8">
        <w:t xml:space="preserve"> Bhuyan KC</w:t>
      </w:r>
      <w:r>
        <w:t>,</w:t>
      </w:r>
      <w:r w:rsidRPr="007955B8">
        <w:t xml:space="preserve"> 1994</w:t>
      </w:r>
      <w:r>
        <w:t>.</w:t>
      </w:r>
      <w:r w:rsidRPr="007955B8">
        <w:t xml:space="preserve"> Assessment of oxidative stress to eye in animal model for cataract. Methods in Enzymology, 233(9): 630-639.</w:t>
      </w:r>
    </w:p>
    <w:p w14:paraId="6E9A4B6D" w14:textId="750F8C4D" w:rsidR="008247E7" w:rsidRDefault="008247E7" w:rsidP="0059513C">
      <w:pPr>
        <w:pStyle w:val="NormalText"/>
        <w:rPr>
          <w:szCs w:val="19"/>
        </w:rPr>
      </w:pPr>
      <w:r w:rsidRPr="00120DD8">
        <w:t>Calderbank A and Yuan SH</w:t>
      </w:r>
      <w:r>
        <w:t>,</w:t>
      </w:r>
      <w:r w:rsidRPr="00120DD8">
        <w:t xml:space="preserve"> 1963</w:t>
      </w:r>
      <w:r>
        <w:t>.</w:t>
      </w:r>
      <w:r w:rsidRPr="00120DD8">
        <w:t xml:space="preserve"> Bipyridylium Herbicides: Residues of diquat and paraquat in food crops</w:t>
      </w:r>
      <w:r>
        <w:t>.</w:t>
      </w:r>
      <w:r w:rsidRPr="00120DD8">
        <w:t xml:space="preserve"> Report no. PP/E/231.</w:t>
      </w:r>
    </w:p>
    <w:p w14:paraId="304C878A" w14:textId="77777777" w:rsidR="008247E7" w:rsidRPr="00120DD8" w:rsidRDefault="008247E7" w:rsidP="0059513C">
      <w:pPr>
        <w:pStyle w:val="NormalText"/>
      </w:pPr>
      <w:r w:rsidRPr="00120DD8">
        <w:t>Calderbank A and McKenna RH</w:t>
      </w:r>
      <w:r>
        <w:t xml:space="preserve">. </w:t>
      </w:r>
      <w:r w:rsidRPr="00120DD8">
        <w:t>1964</w:t>
      </w:r>
      <w:bookmarkEnd w:id="549"/>
      <w:bookmarkEnd w:id="550"/>
      <w:r>
        <w:t>.</w:t>
      </w:r>
      <w:r w:rsidRPr="00120DD8">
        <w:t xml:space="preserve"> Bipyridylium Herbicides: Residues of diquat and paraquat in food crops from 1963 trials</w:t>
      </w:r>
      <w:r>
        <w:t>.</w:t>
      </w:r>
      <w:r w:rsidRPr="00120DD8">
        <w:t xml:space="preserve"> Report no. PP/E/292.</w:t>
      </w:r>
      <w:r w:rsidRPr="00120DD8">
        <w:tab/>
      </w:r>
    </w:p>
    <w:p w14:paraId="02F88530" w14:textId="77777777" w:rsidR="008247E7" w:rsidRPr="00120DD8" w:rsidRDefault="008247E7" w:rsidP="0059513C">
      <w:pPr>
        <w:pStyle w:val="NormalText"/>
      </w:pPr>
      <w:r>
        <w:t>C</w:t>
      </w:r>
      <w:r w:rsidRPr="00120DD8">
        <w:t>alderbank A and Springett RH</w:t>
      </w:r>
      <w:r>
        <w:t xml:space="preserve">, </w:t>
      </w:r>
      <w:r w:rsidRPr="00120DD8">
        <w:t>1971</w:t>
      </w:r>
      <w:r>
        <w:t xml:space="preserve">. </w:t>
      </w:r>
      <w:r w:rsidRPr="00120DD8">
        <w:t>Diquat residues in cereal grain and processed parts (e.g. flour and malt) following use of ‘Reglone’ as a pre-harvest desiccant</w:t>
      </w:r>
      <w:r>
        <w:t>. Report</w:t>
      </w:r>
      <w:r w:rsidRPr="00120DD8">
        <w:t xml:space="preserve"> no. TMJ 644A.</w:t>
      </w:r>
      <w:r w:rsidRPr="00120DD8">
        <w:tab/>
      </w:r>
    </w:p>
    <w:p w14:paraId="3EB31A14" w14:textId="5A0BB4BD" w:rsidR="000B2E54" w:rsidRPr="000B2E54" w:rsidRDefault="000B2E54" w:rsidP="0059513C">
      <w:pPr>
        <w:pStyle w:val="NormalText"/>
      </w:pPr>
      <w:r w:rsidRPr="000B2E54">
        <w:t>Callander RD, 1986(a). Diquat dibromide (technical) – an evaluation of mutagenic potential using S. typhimurium and E.coli. Report No. CTL/P/1463.</w:t>
      </w:r>
    </w:p>
    <w:p w14:paraId="23BAA96A" w14:textId="0AF3CCB3" w:rsidR="000B2E54" w:rsidRPr="000B2E54" w:rsidRDefault="000B2E54" w:rsidP="0059513C">
      <w:pPr>
        <w:pStyle w:val="NormalText"/>
      </w:pPr>
      <w:r w:rsidRPr="000B2E54">
        <w:t>Callander RD, 1986(b). Diquat dibromide – an evaluation in the Salmonella mutagenicity assay. Report No.</w:t>
      </w:r>
      <w:r>
        <w:t xml:space="preserve"> </w:t>
      </w:r>
      <w:r w:rsidRPr="000B2E54">
        <w:t xml:space="preserve">CTL/P/1413. </w:t>
      </w:r>
    </w:p>
    <w:p w14:paraId="131A43EE" w14:textId="77777777" w:rsidR="008247E7" w:rsidRPr="00C5352A" w:rsidRDefault="008247E7" w:rsidP="0059513C">
      <w:pPr>
        <w:pStyle w:val="NormalText"/>
      </w:pPr>
      <w:r>
        <w:rPr>
          <w:szCs w:val="19"/>
        </w:rPr>
        <w:t>Canning L, White JS, 1992. Paraquat: a glasshouse study to evaluate the effects on vegetative vigour of a 300 g ai/L (2.5 ai/US gal) soluble concentrate formulation on terrestrial non-target plants. Reference no. 92JH088</w:t>
      </w:r>
    </w:p>
    <w:p w14:paraId="71ACAB7F" w14:textId="77777777" w:rsidR="008247E7" w:rsidRDefault="008247E7" w:rsidP="0059513C">
      <w:pPr>
        <w:pStyle w:val="NormalText"/>
      </w:pPr>
      <w:r w:rsidRPr="00120DD8">
        <w:t>Cardinali A, Fratteggiani Bianchi R, Businelli M and Martini A</w:t>
      </w:r>
      <w:r>
        <w:t xml:space="preserve">, </w:t>
      </w:r>
      <w:r w:rsidRPr="00120DD8">
        <w:t>1967</w:t>
      </w:r>
      <w:r>
        <w:t>.</w:t>
      </w:r>
      <w:r w:rsidRPr="00120DD8">
        <w:t xml:space="preserve"> Trial use of the desiccant ‘Reglone’ in hay-making with lucerne</w:t>
      </w:r>
      <w:r>
        <w:t>. Report</w:t>
      </w:r>
      <w:r w:rsidRPr="00120DD8">
        <w:t xml:space="preserve"> no.</w:t>
      </w:r>
      <w:r>
        <w:t xml:space="preserve"> </w:t>
      </w:r>
      <w:r w:rsidRPr="00120DD8">
        <w:t>RIC3781.</w:t>
      </w:r>
      <w:r w:rsidRPr="00120DD8">
        <w:tab/>
      </w:r>
    </w:p>
    <w:p w14:paraId="5E771B28" w14:textId="77777777" w:rsidR="00A17BFF" w:rsidRDefault="00A17BFF" w:rsidP="00A17BFF">
      <w:pPr>
        <w:pStyle w:val="APVMAText"/>
        <w:rPr>
          <w:sz w:val="19"/>
          <w:szCs w:val="19"/>
        </w:rPr>
      </w:pPr>
      <w:r>
        <w:rPr>
          <w:sz w:val="19"/>
          <w:szCs w:val="19"/>
        </w:rPr>
        <w:lastRenderedPageBreak/>
        <w:t xml:space="preserve">Carron PL, Happold DCD, Bubela TM, 1990. Diet of two sympatric Australian subalpine rodents, </w:t>
      </w:r>
      <w:r w:rsidRPr="008218FD">
        <w:rPr>
          <w:i/>
          <w:iCs/>
          <w:sz w:val="19"/>
          <w:szCs w:val="19"/>
        </w:rPr>
        <w:t>Mastacomys fuscus</w:t>
      </w:r>
      <w:r>
        <w:rPr>
          <w:sz w:val="19"/>
          <w:szCs w:val="19"/>
        </w:rPr>
        <w:t xml:space="preserve"> and </w:t>
      </w:r>
      <w:r w:rsidRPr="008218FD">
        <w:rPr>
          <w:i/>
          <w:iCs/>
          <w:sz w:val="19"/>
          <w:szCs w:val="19"/>
        </w:rPr>
        <w:t>Rattus fuscipes</w:t>
      </w:r>
      <w:r>
        <w:rPr>
          <w:sz w:val="19"/>
          <w:szCs w:val="19"/>
        </w:rPr>
        <w:t>. Aust. Wildl. Res. 17: 479-489</w:t>
      </w:r>
    </w:p>
    <w:p w14:paraId="083C1429" w14:textId="77777777" w:rsidR="008247E7" w:rsidRPr="008D7ACD" w:rsidRDefault="008247E7" w:rsidP="0059513C">
      <w:pPr>
        <w:pStyle w:val="NormalText"/>
        <w:rPr>
          <w:szCs w:val="19"/>
        </w:rPr>
      </w:pPr>
      <w:r w:rsidRPr="008D7ACD">
        <w:rPr>
          <w:szCs w:val="19"/>
        </w:rPr>
        <w:t xml:space="preserve">Cavell BD, 1987. Diquat metabolism in wheat: A progress report. Report no. PP901AC02. </w:t>
      </w:r>
      <w:r w:rsidRPr="008D7ACD">
        <w:rPr>
          <w:szCs w:val="19"/>
        </w:rPr>
        <w:tab/>
      </w:r>
    </w:p>
    <w:p w14:paraId="67ADADCC" w14:textId="77777777" w:rsidR="00A17BFF" w:rsidRDefault="00A17BFF" w:rsidP="00A17BFF">
      <w:pPr>
        <w:pStyle w:val="APVMAText"/>
        <w:rPr>
          <w:sz w:val="19"/>
          <w:szCs w:val="19"/>
        </w:rPr>
      </w:pPr>
      <w:r>
        <w:rPr>
          <w:sz w:val="19"/>
          <w:szCs w:val="19"/>
        </w:rPr>
        <w:t xml:space="preserve">Cheal DC, 1987. The diets and dietary preferences of </w:t>
      </w:r>
      <w:r w:rsidRPr="00EF593E">
        <w:rPr>
          <w:i/>
          <w:iCs/>
          <w:sz w:val="19"/>
          <w:szCs w:val="19"/>
        </w:rPr>
        <w:t>Rattus fuscipes</w:t>
      </w:r>
      <w:r>
        <w:rPr>
          <w:sz w:val="19"/>
          <w:szCs w:val="19"/>
        </w:rPr>
        <w:t xml:space="preserve"> and </w:t>
      </w:r>
      <w:r w:rsidRPr="00EF593E">
        <w:rPr>
          <w:i/>
          <w:iCs/>
          <w:sz w:val="19"/>
          <w:szCs w:val="19"/>
        </w:rPr>
        <w:t>Rattus lutreolus</w:t>
      </w:r>
      <w:r>
        <w:rPr>
          <w:sz w:val="19"/>
          <w:szCs w:val="19"/>
        </w:rPr>
        <w:t xml:space="preserve"> at Walkerville in Victoria. Aust Wildl Res 14: 35-44</w:t>
      </w:r>
    </w:p>
    <w:p w14:paraId="03DE2777" w14:textId="77777777" w:rsidR="008247E7" w:rsidRPr="00E845D4" w:rsidRDefault="008247E7" w:rsidP="0059513C">
      <w:pPr>
        <w:pStyle w:val="NormalText"/>
      </w:pPr>
      <w:r w:rsidRPr="00DF21DC">
        <w:rPr>
          <w:szCs w:val="19"/>
        </w:rPr>
        <w:t>Clark DG, Hurst EW</w:t>
      </w:r>
      <w:r>
        <w:rPr>
          <w:szCs w:val="19"/>
        </w:rPr>
        <w:t xml:space="preserve">, </w:t>
      </w:r>
      <w:r w:rsidRPr="00DF21DC">
        <w:rPr>
          <w:szCs w:val="19"/>
        </w:rPr>
        <w:t>1970</w:t>
      </w:r>
      <w:r>
        <w:rPr>
          <w:szCs w:val="19"/>
        </w:rPr>
        <w:t xml:space="preserve">. </w:t>
      </w:r>
      <w:r w:rsidRPr="00DF21DC">
        <w:rPr>
          <w:szCs w:val="19"/>
        </w:rPr>
        <w:t>The toxicity of diquat. Brit J Industr Med 27: 51-55</w:t>
      </w:r>
    </w:p>
    <w:p w14:paraId="7C9CA70A" w14:textId="77777777" w:rsidR="008247E7" w:rsidRDefault="008247E7" w:rsidP="0059513C">
      <w:pPr>
        <w:pStyle w:val="NormalText"/>
      </w:pPr>
      <w:r w:rsidRPr="00E845D4">
        <w:t>Clarke N</w:t>
      </w:r>
      <w:r>
        <w:t xml:space="preserve">, </w:t>
      </w:r>
      <w:r w:rsidRPr="00E845D4">
        <w:t>2009</w:t>
      </w:r>
      <w:r>
        <w:t xml:space="preserve">. </w:t>
      </w:r>
      <w:r w:rsidRPr="00E845D4">
        <w:t>Diquat dibromide: assessment of the inhibitory effect on the respiration of activated sewage sludge</w:t>
      </w:r>
      <w:r>
        <w:t xml:space="preserve">. Reference no. </w:t>
      </w:r>
      <w:r w:rsidRPr="00E845D4">
        <w:t>2364/0475R</w:t>
      </w:r>
    </w:p>
    <w:p w14:paraId="20C12E49" w14:textId="77777777" w:rsidR="008247E7" w:rsidRDefault="008247E7" w:rsidP="0059513C">
      <w:pPr>
        <w:pStyle w:val="NormalText"/>
      </w:pPr>
      <w:r w:rsidRPr="00E845D4">
        <w:t>Claude MB, Kendall T, Gallagher S</w:t>
      </w:r>
      <w:r>
        <w:t xml:space="preserve">, </w:t>
      </w:r>
      <w:r w:rsidRPr="00E845D4">
        <w:t>2013</w:t>
      </w:r>
      <w:r>
        <w:t xml:space="preserve">. </w:t>
      </w:r>
      <w:r w:rsidRPr="00E845D4">
        <w:t>Diquat dibromide: a flow-through life-cycle toxicity test with the saltwater mysid (</w:t>
      </w:r>
      <w:r w:rsidRPr="00376A70">
        <w:rPr>
          <w:i/>
          <w:iCs/>
        </w:rPr>
        <w:t>Americamysis bahia</w:t>
      </w:r>
      <w:r w:rsidRPr="00E845D4">
        <w:t>)</w:t>
      </w:r>
      <w:r>
        <w:t xml:space="preserve">. Reference no. </w:t>
      </w:r>
      <w:r w:rsidRPr="00E845D4">
        <w:t>528A-240A</w:t>
      </w:r>
    </w:p>
    <w:p w14:paraId="2E195F8B" w14:textId="77777777" w:rsidR="008247E7" w:rsidRPr="00DA1654" w:rsidRDefault="008247E7" w:rsidP="0059513C">
      <w:pPr>
        <w:pStyle w:val="NormalText"/>
        <w:rPr>
          <w:szCs w:val="19"/>
        </w:rPr>
      </w:pPr>
      <w:r w:rsidRPr="00DA1654">
        <w:rPr>
          <w:szCs w:val="19"/>
        </w:rPr>
        <w:t>Claude MB, Martin KH, Gallagher SP, 2014(a). Paraquat dichloride: a 96-hour flow-through acute toxicity test with the sheepshead minnow (</w:t>
      </w:r>
      <w:r w:rsidRPr="00DA1654">
        <w:rPr>
          <w:i/>
          <w:iCs/>
          <w:szCs w:val="19"/>
        </w:rPr>
        <w:t>Cyprinodon variegatus</w:t>
      </w:r>
      <w:r w:rsidRPr="00DA1654">
        <w:rPr>
          <w:szCs w:val="19"/>
        </w:rPr>
        <w:t>). Reference no. 528A-264</w:t>
      </w:r>
    </w:p>
    <w:p w14:paraId="1E7313BE" w14:textId="77777777" w:rsidR="008247E7" w:rsidRPr="00DA1654" w:rsidRDefault="008247E7" w:rsidP="0059513C">
      <w:pPr>
        <w:pStyle w:val="NormalText"/>
        <w:rPr>
          <w:szCs w:val="19"/>
        </w:rPr>
      </w:pPr>
      <w:r w:rsidRPr="00DA1654">
        <w:rPr>
          <w:szCs w:val="19"/>
        </w:rPr>
        <w:t>Claude MB, Martin KH, Gallagher SP, 2014(b). Paraquat dichloride: a 96-hour flow-through acute toxicity test with the fathead minnow (</w:t>
      </w:r>
      <w:r w:rsidRPr="00DA1654">
        <w:rPr>
          <w:i/>
          <w:iCs/>
          <w:szCs w:val="19"/>
        </w:rPr>
        <w:t>Pimephales promelas</w:t>
      </w:r>
      <w:r w:rsidRPr="00DA1654">
        <w:rPr>
          <w:szCs w:val="19"/>
        </w:rPr>
        <w:t>). Reference no. 528A-258</w:t>
      </w:r>
    </w:p>
    <w:p w14:paraId="3FC91500" w14:textId="77777777" w:rsidR="008247E7" w:rsidRPr="00DA1654" w:rsidRDefault="008247E7" w:rsidP="0059513C">
      <w:pPr>
        <w:pStyle w:val="NormalText"/>
        <w:rPr>
          <w:szCs w:val="19"/>
        </w:rPr>
      </w:pPr>
      <w:r w:rsidRPr="00DA1654">
        <w:rPr>
          <w:szCs w:val="19"/>
        </w:rPr>
        <w:t>Claude MB, Martin KH, Gallagher SP, 2014(c). Paraquat dichloride: a 96-hour flow-through acute toxicity test with the saltwater mysid (</w:t>
      </w:r>
      <w:r w:rsidRPr="00DA1654">
        <w:rPr>
          <w:i/>
          <w:iCs/>
          <w:szCs w:val="19"/>
        </w:rPr>
        <w:t>Americamysis bahia</w:t>
      </w:r>
      <w:r w:rsidRPr="00DA1654">
        <w:rPr>
          <w:szCs w:val="19"/>
        </w:rPr>
        <w:t>). Reference no. 528A-257</w:t>
      </w:r>
    </w:p>
    <w:p w14:paraId="20376496" w14:textId="77777777" w:rsidR="008247E7" w:rsidRPr="00E845D4" w:rsidRDefault="008247E7" w:rsidP="0059513C">
      <w:pPr>
        <w:pStyle w:val="NormalText"/>
      </w:pPr>
      <w:r w:rsidRPr="00DA1654">
        <w:rPr>
          <w:szCs w:val="19"/>
        </w:rPr>
        <w:t>Claude MB, Martin KH, Gallagher SP, 2014(d). Paraquat dichloride: a 96-hour shell deposition test with the eastern oyster (</w:t>
      </w:r>
      <w:r w:rsidRPr="00DA1654">
        <w:rPr>
          <w:i/>
          <w:iCs/>
          <w:szCs w:val="19"/>
        </w:rPr>
        <w:t>Crassostrea virginica</w:t>
      </w:r>
      <w:r w:rsidRPr="00DA1654">
        <w:rPr>
          <w:szCs w:val="19"/>
        </w:rPr>
        <w:t>). Reference no. 528A-259</w:t>
      </w:r>
    </w:p>
    <w:p w14:paraId="081AA231" w14:textId="160BD604" w:rsidR="008247E7" w:rsidRPr="00E845D4" w:rsidRDefault="008247E7" w:rsidP="0059513C">
      <w:pPr>
        <w:pStyle w:val="NormalText"/>
      </w:pPr>
      <w:r w:rsidRPr="00E845D4">
        <w:t>Cole JFH, Laws I, Stevens JEB, Riley D, Wilkinson W</w:t>
      </w:r>
      <w:r>
        <w:t xml:space="preserve">, </w:t>
      </w:r>
      <w:r w:rsidRPr="00E845D4">
        <w:t>1991</w:t>
      </w:r>
      <w:r>
        <w:t xml:space="preserve">. </w:t>
      </w:r>
      <w:r w:rsidRPr="00E845D4">
        <w:t>Diquat: long-term high-rate trial Frensham UK</w:t>
      </w:r>
      <w:r w:rsidR="004C1210">
        <w:t>–</w:t>
      </w:r>
      <w:r w:rsidRPr="00E845D4">
        <w:t>crop and soil data for the period 8-14 years after treatment</w:t>
      </w:r>
      <w:r>
        <w:t xml:space="preserve">. Reference no. </w:t>
      </w:r>
      <w:r w:rsidRPr="00E845D4">
        <w:t>RJ0481B</w:t>
      </w:r>
    </w:p>
    <w:p w14:paraId="2EFCDCFE" w14:textId="2BBB3C45" w:rsidR="00C52A22" w:rsidRDefault="00C52A22" w:rsidP="0059513C">
      <w:pPr>
        <w:pStyle w:val="NormalText"/>
      </w:pPr>
      <w:r w:rsidRPr="00C52A22">
        <w:t>Colley J, Edmondson J, Heywood R, Street AE, Prentice DE, Gallagher P, Gibson WA &amp; Cherry C</w:t>
      </w:r>
      <w:r>
        <w:t>,</w:t>
      </w:r>
      <w:r w:rsidRPr="00C52A22">
        <w:t xml:space="preserve"> 1981</w:t>
      </w:r>
      <w:r>
        <w:t>.</w:t>
      </w:r>
      <w:r w:rsidRPr="00C52A22">
        <w:t xml:space="preserve"> Diquat Dibromide: Preliminary assessment of toxicity to rats by dietary administration for 4 weeks. Study No: CTL/C/1065. </w:t>
      </w:r>
    </w:p>
    <w:p w14:paraId="14CAD57F" w14:textId="39896747" w:rsidR="00C52A22" w:rsidRDefault="00C52A22" w:rsidP="0059513C">
      <w:pPr>
        <w:pStyle w:val="NormalText"/>
      </w:pPr>
      <w:r>
        <w:t>Colley J, Warren S, Heywood R, Street AE, Almond RH &amp; Gopinath C (1985) Diquat Dibromide: Evaluation of potential carcinogenicity and chronic toxicity by prolonged dietary administration to rats. Study No: PR0415</w:t>
      </w:r>
    </w:p>
    <w:p w14:paraId="00CCE129" w14:textId="54DCA042" w:rsidR="008247E7" w:rsidRPr="00DA1654" w:rsidRDefault="008247E7" w:rsidP="0059513C">
      <w:pPr>
        <w:pStyle w:val="NormalText"/>
      </w:pPr>
      <w:r w:rsidRPr="00120DD8">
        <w:t>Coombe NB</w:t>
      </w:r>
      <w:r>
        <w:t>,</w:t>
      </w:r>
      <w:r w:rsidRPr="00120DD8">
        <w:t xml:space="preserve"> </w:t>
      </w:r>
      <w:r>
        <w:t>1</w:t>
      </w:r>
      <w:r w:rsidRPr="00120DD8">
        <w:t>994</w:t>
      </w:r>
      <w:r>
        <w:t>.</w:t>
      </w:r>
      <w:r w:rsidRPr="00120DD8">
        <w:t xml:space="preserve"> Validation of Zeneca Agrochemicals SOP residue analytical methods for the analysis of </w:t>
      </w:r>
      <w:r w:rsidRPr="00DA1654">
        <w:t>diquat and paraquat residues in crops, soil and water containing both compounds. Report no. CEMS-322.</w:t>
      </w:r>
    </w:p>
    <w:p w14:paraId="4EE68D94" w14:textId="77777777" w:rsidR="008247E7" w:rsidRPr="00DA1654" w:rsidRDefault="008247E7" w:rsidP="0059513C">
      <w:pPr>
        <w:pStyle w:val="NormalText"/>
      </w:pPr>
      <w:r w:rsidRPr="00DA1654">
        <w:t>Coombe NB, 1995(a). Storage stability of paraquat and diquat residues in frozen coffee beans and bananas. Report no. CEMS-300.</w:t>
      </w:r>
      <w:r w:rsidRPr="00DA1654">
        <w:tab/>
      </w:r>
    </w:p>
    <w:p w14:paraId="7DD23CA2" w14:textId="77777777" w:rsidR="008247E7" w:rsidRPr="00DA1654" w:rsidRDefault="008247E7" w:rsidP="0059513C">
      <w:pPr>
        <w:pStyle w:val="NormalText"/>
      </w:pPr>
      <w:r w:rsidRPr="00DA1654">
        <w:t>Coombe NB, 1995(b). Diquat residue analysis in bananas – spectral data. Report no. CEMR-198/199 (supplementary)</w:t>
      </w:r>
    </w:p>
    <w:p w14:paraId="056CFE4D" w14:textId="77777777" w:rsidR="008247E7" w:rsidRPr="00E845D4" w:rsidRDefault="008247E7" w:rsidP="0059513C">
      <w:pPr>
        <w:pStyle w:val="NormalText"/>
      </w:pPr>
      <w:r w:rsidRPr="00E845D4">
        <w:t>Cranor W, Daly D</w:t>
      </w:r>
      <w:r>
        <w:t xml:space="preserve">, </w:t>
      </w:r>
      <w:r w:rsidRPr="00E845D4">
        <w:t>1988</w:t>
      </w:r>
      <w:r>
        <w:t xml:space="preserve">. </w:t>
      </w:r>
      <w:r w:rsidRPr="00E845D4">
        <w:t>Aerobic aquatic metabolism of diquat</w:t>
      </w:r>
      <w:r>
        <w:t xml:space="preserve">. Reference no. </w:t>
      </w:r>
      <w:r w:rsidRPr="00E845D4">
        <w:t>MEF-0073</w:t>
      </w:r>
    </w:p>
    <w:p w14:paraId="416495BB" w14:textId="77777777" w:rsidR="008247E7" w:rsidRPr="00120DD8" w:rsidRDefault="008247E7" w:rsidP="0059513C">
      <w:pPr>
        <w:pStyle w:val="NormalText"/>
      </w:pPr>
      <w:r w:rsidRPr="00120DD8">
        <w:lastRenderedPageBreak/>
        <w:t>Culoto B</w:t>
      </w:r>
      <w:r>
        <w:t>,</w:t>
      </w:r>
      <w:r w:rsidRPr="00120DD8">
        <w:t xml:space="preserve"> 1977</w:t>
      </w:r>
      <w:r>
        <w:t>.</w:t>
      </w:r>
      <w:r w:rsidRPr="00120DD8">
        <w:t xml:space="preserve"> Diquat residue analysis on cereals</w:t>
      </w:r>
      <w:r>
        <w:t>.</w:t>
      </w:r>
      <w:r w:rsidRPr="00120DD8">
        <w:t xml:space="preserve"> Report no. RIC3427.</w:t>
      </w:r>
      <w:r w:rsidRPr="00120DD8">
        <w:tab/>
      </w:r>
    </w:p>
    <w:p w14:paraId="793A3431" w14:textId="1E88A2FF" w:rsidR="00F02475" w:rsidRDefault="008247E7" w:rsidP="0059513C">
      <w:pPr>
        <w:pStyle w:val="NormalText"/>
      </w:pPr>
      <w:r w:rsidRPr="00120DD8">
        <w:t>Culoto B and de Mallmann RJ</w:t>
      </w:r>
      <w:r>
        <w:t>,</w:t>
      </w:r>
      <w:r w:rsidRPr="00120DD8">
        <w:t xml:space="preserve"> 1982</w:t>
      </w:r>
      <w:r>
        <w:t>.</w:t>
      </w:r>
      <w:r w:rsidRPr="00120DD8">
        <w:t xml:space="preserve"> Diquat (Reglone 2). Peas for splitting or protein peas</w:t>
      </w:r>
      <w:r>
        <w:t>.</w:t>
      </w:r>
      <w:r w:rsidRPr="00120DD8">
        <w:t xml:space="preserve"> Report no. RIC3385.</w:t>
      </w:r>
    </w:p>
    <w:p w14:paraId="062FE724" w14:textId="264B2BE6" w:rsidR="0011740A" w:rsidRDefault="0011740A" w:rsidP="0011740A">
      <w:pPr>
        <w:pStyle w:val="NormalText"/>
      </w:pPr>
      <w:r>
        <w:t>Culoto B, 1985(a). Recherche de residus dans des haricots grains dessiques au diquat (testing for residues in diquat-desiccated shelled beans)</w:t>
      </w:r>
      <w:r>
        <w:tab/>
      </w:r>
    </w:p>
    <w:p w14:paraId="47706887" w14:textId="2EF567B0" w:rsidR="0011740A" w:rsidRDefault="0011740A" w:rsidP="0011740A">
      <w:pPr>
        <w:pStyle w:val="NormalText"/>
      </w:pPr>
      <w:r>
        <w:t>Culoto B, 1985(b). Recherche de residus de diquat dans des graines de soja (testing for diquat residues in soyabean seed)</w:t>
      </w:r>
      <w:r>
        <w:tab/>
      </w:r>
    </w:p>
    <w:p w14:paraId="06F049A3" w14:textId="5CE501CB" w:rsidR="00FF6E0E" w:rsidRPr="007E3FA9" w:rsidRDefault="00FF6E0E" w:rsidP="00FF6E0E">
      <w:pPr>
        <w:pStyle w:val="APVMAText"/>
        <w:rPr>
          <w:rFonts w:ascii="Arial" w:eastAsiaTheme="minorHAnsi" w:hAnsi="Arial"/>
          <w:kern w:val="20"/>
          <w:sz w:val="19"/>
        </w:rPr>
      </w:pPr>
      <w:bookmarkStart w:id="551" w:name="_Hlk215135890"/>
      <w:r w:rsidRPr="007E3FA9">
        <w:rPr>
          <w:rFonts w:ascii="Arial" w:eastAsiaTheme="minorHAnsi" w:hAnsi="Arial"/>
          <w:kern w:val="20"/>
          <w:sz w:val="19"/>
        </w:rPr>
        <w:t xml:space="preserve">Dalgarno S, 2021. shinyssdtools: A web application for fitting Species Sensitivity Distributions (SSDs). Journal of Open Source Software, 6(57), 2848, </w:t>
      </w:r>
      <w:hyperlink r:id="rId55" w:history="1">
        <w:r w:rsidRPr="007E3FA9">
          <w:rPr>
            <w:rFonts w:ascii="Arial" w:eastAsiaTheme="minorHAnsi" w:hAnsi="Arial"/>
            <w:kern w:val="20"/>
          </w:rPr>
          <w:t>https://doi.org/10.21105/joss.02848</w:t>
        </w:r>
      </w:hyperlink>
      <w:r w:rsidR="007E3FA9">
        <w:rPr>
          <w:rFonts w:ascii="Arial" w:eastAsiaTheme="minorHAnsi" w:hAnsi="Arial"/>
          <w:kern w:val="20"/>
          <w:sz w:val="19"/>
        </w:rPr>
        <w:t xml:space="preserve"> </w:t>
      </w:r>
    </w:p>
    <w:bookmarkEnd w:id="551"/>
    <w:p w14:paraId="4FB5967D" w14:textId="59665FA7" w:rsidR="008247E7" w:rsidRDefault="008247E7" w:rsidP="0059513C">
      <w:pPr>
        <w:pStyle w:val="NormalText"/>
      </w:pPr>
      <w:r w:rsidRPr="00120DD8">
        <w:t>Daniel JW</w:t>
      </w:r>
      <w:r>
        <w:t xml:space="preserve">, </w:t>
      </w:r>
      <w:r w:rsidRPr="00120DD8">
        <w:t>1962</w:t>
      </w:r>
      <w:r>
        <w:t>.</w:t>
      </w:r>
      <w:r w:rsidRPr="00120DD8">
        <w:t xml:space="preserve"> The excretion of the herbicide diquat dibromide in the milk of dairy-cattle</w:t>
      </w:r>
      <w:r>
        <w:t>. Report</w:t>
      </w:r>
      <w:r w:rsidRPr="00120DD8">
        <w:t xml:space="preserve"> no. IHR/150.</w:t>
      </w:r>
    </w:p>
    <w:p w14:paraId="3D97418E" w14:textId="37C657E9" w:rsidR="00F02475" w:rsidRDefault="00F02475" w:rsidP="0059513C">
      <w:pPr>
        <w:pStyle w:val="NormalText"/>
      </w:pPr>
      <w:r w:rsidRPr="00F02475">
        <w:t xml:space="preserve">Daniel JW </w:t>
      </w:r>
      <w:r>
        <w:t>and</w:t>
      </w:r>
      <w:r w:rsidRPr="00F02475">
        <w:t xml:space="preserve"> Gage JC</w:t>
      </w:r>
      <w:r>
        <w:t xml:space="preserve">, </w:t>
      </w:r>
      <w:r w:rsidRPr="00F02475">
        <w:t>1966</w:t>
      </w:r>
      <w:r>
        <w:t>.</w:t>
      </w:r>
      <w:r w:rsidRPr="00F02475">
        <w:t xml:space="preserve"> Absorption and excretion of diquat and paraquat in rats. Br J Indust Med</w:t>
      </w:r>
      <w:r>
        <w:t xml:space="preserve"> </w:t>
      </w:r>
      <w:r w:rsidRPr="00F02475">
        <w:t>23:133</w:t>
      </w:r>
      <w:r>
        <w:t>-</w:t>
      </w:r>
      <w:r w:rsidRPr="00F02475">
        <w:t>136</w:t>
      </w:r>
    </w:p>
    <w:p w14:paraId="045B1653" w14:textId="395CF106" w:rsidR="008247E7" w:rsidRPr="00E845D4" w:rsidRDefault="008247E7" w:rsidP="0059513C">
      <w:pPr>
        <w:pStyle w:val="NormalText"/>
      </w:pPr>
      <w:r w:rsidRPr="00E845D4">
        <w:t>Dean GM</w:t>
      </w:r>
      <w:r>
        <w:t xml:space="preserve">, </w:t>
      </w:r>
      <w:r w:rsidRPr="00E845D4">
        <w:t>2000</w:t>
      </w:r>
      <w:r>
        <w:t xml:space="preserve">. </w:t>
      </w:r>
      <w:r w:rsidRPr="00E845D4">
        <w:t>Diquat: determination of the rate of photolytic degradation in natural water under laboratory conditions</w:t>
      </w:r>
      <w:r>
        <w:t xml:space="preserve">. Reference no. </w:t>
      </w:r>
      <w:r w:rsidRPr="00E845D4">
        <w:t>ZCA/054</w:t>
      </w:r>
    </w:p>
    <w:p w14:paraId="35742A9F" w14:textId="77777777" w:rsidR="008247E7" w:rsidRPr="00E845D4" w:rsidRDefault="008247E7" w:rsidP="0059513C">
      <w:pPr>
        <w:pStyle w:val="NormalText"/>
      </w:pPr>
      <w:r w:rsidRPr="00E845D4">
        <w:t>Devine H</w:t>
      </w:r>
      <w:r>
        <w:t xml:space="preserve">, </w:t>
      </w:r>
      <w:r w:rsidRPr="00E845D4">
        <w:t>2004</w:t>
      </w:r>
      <w:r>
        <w:t xml:space="preserve">. </w:t>
      </w:r>
      <w:r w:rsidRPr="00E845D4">
        <w:t>Diquat: soil residue survey in the Netherlands</w:t>
      </w:r>
      <w:r>
        <w:t xml:space="preserve">. Reference no. </w:t>
      </w:r>
      <w:r w:rsidRPr="00E845D4">
        <w:t>PP901/1604</w:t>
      </w:r>
    </w:p>
    <w:p w14:paraId="4493DFA4" w14:textId="77777777" w:rsidR="008247E7" w:rsidRPr="005E40AA" w:rsidRDefault="008247E7" w:rsidP="0059513C">
      <w:pPr>
        <w:pStyle w:val="NormalText"/>
      </w:pPr>
      <w:r w:rsidRPr="005E40AA">
        <w:t>Dick JP, Taylor PS and Bonfanti F, 1995(a). Diquat: Residue levels in grapes from trials carried out in Italy during 1993. Report no. RJ1800B.</w:t>
      </w:r>
    </w:p>
    <w:p w14:paraId="77F77429" w14:textId="77777777" w:rsidR="008247E7" w:rsidRPr="005E40AA" w:rsidRDefault="008247E7" w:rsidP="0059513C">
      <w:pPr>
        <w:pStyle w:val="NormalText"/>
      </w:pPr>
      <w:bookmarkStart w:id="552" w:name="_Hlk160787146"/>
      <w:r w:rsidRPr="005E40AA">
        <w:t>Dick JP, Taylor PS and Bonfanti F, 1995(b).</w:t>
      </w:r>
      <w:bookmarkEnd w:id="552"/>
      <w:r w:rsidRPr="005E40AA">
        <w:t xml:space="preserve"> Paraquat and Diquat: Residue levels in olive fruit and oil from trials carried out in Italy during 1993. Report no. RJ 1810B.</w:t>
      </w:r>
    </w:p>
    <w:p w14:paraId="6B304413" w14:textId="77777777" w:rsidR="008247E7" w:rsidRPr="005E40AA" w:rsidRDefault="008247E7" w:rsidP="0059513C">
      <w:pPr>
        <w:pStyle w:val="NormalText"/>
      </w:pPr>
      <w:r w:rsidRPr="005E40AA">
        <w:t>Dick JP, Talyor PS and Moons B, 1995(c). Diquat: Residue levels in field peas from trials carried out in Canada during 1993. Report no. RJ 1896B.</w:t>
      </w:r>
      <w:r w:rsidRPr="005E40AA">
        <w:tab/>
      </w:r>
    </w:p>
    <w:p w14:paraId="35B07E6B" w14:textId="77777777" w:rsidR="008247E7" w:rsidRPr="005E40AA" w:rsidRDefault="008247E7" w:rsidP="0059513C">
      <w:pPr>
        <w:pStyle w:val="NormalText"/>
      </w:pPr>
      <w:r w:rsidRPr="005E40AA">
        <w:t>Dick JP, Talyor PS and Moons B, 1995(d). Diquat: Residue levels in lentils from trials carried out in Canada during 1993. Report no. RJ 1895B.</w:t>
      </w:r>
      <w:r w:rsidRPr="005E40AA">
        <w:tab/>
      </w:r>
    </w:p>
    <w:p w14:paraId="4EEEAFE7" w14:textId="77777777" w:rsidR="008247E7" w:rsidRPr="005E40AA" w:rsidRDefault="008247E7" w:rsidP="0059513C">
      <w:pPr>
        <w:pStyle w:val="NormalText"/>
      </w:pPr>
      <w:r w:rsidRPr="005E40AA">
        <w:t>Dick JP, Talyor PS and Moons B, 1995(e). Diquat: Residue levels in alfalfa from trials carried out in Canada during 1993. Report no. RJ 1897B.</w:t>
      </w:r>
    </w:p>
    <w:p w14:paraId="35DF1360" w14:textId="77777777" w:rsidR="008247E7" w:rsidRPr="00120DD8" w:rsidRDefault="008247E7" w:rsidP="0059513C">
      <w:pPr>
        <w:pStyle w:val="NormalText"/>
      </w:pPr>
      <w:r w:rsidRPr="005E40AA">
        <w:t>Dick JP, Talyor PS and Moons B, 1995(f) Diquat: Residue levels in flax and linola from trials carried out in Canada during 1993. Report no. RJ 1844B.</w:t>
      </w:r>
      <w:r w:rsidRPr="00120DD8">
        <w:tab/>
      </w:r>
    </w:p>
    <w:p w14:paraId="49F71747" w14:textId="77777777" w:rsidR="008247E7" w:rsidRPr="00E845D4" w:rsidRDefault="008247E7" w:rsidP="0059513C">
      <w:pPr>
        <w:pStyle w:val="NormalText"/>
      </w:pPr>
      <w:r w:rsidRPr="00E845D4">
        <w:t>Dionne E</w:t>
      </w:r>
      <w:r>
        <w:t xml:space="preserve">, </w:t>
      </w:r>
      <w:r w:rsidRPr="00E845D4">
        <w:t>1987</w:t>
      </w:r>
      <w:r>
        <w:t xml:space="preserve">. </w:t>
      </w:r>
      <w:r w:rsidRPr="00E845D4">
        <w:t>Acute toxicity of diquat concentrate to eastern oysters (</w:t>
      </w:r>
      <w:r w:rsidRPr="00376A70">
        <w:rPr>
          <w:i/>
          <w:iCs/>
        </w:rPr>
        <w:t>Crassostrea virginica</w:t>
      </w:r>
      <w:r w:rsidRPr="00E845D4">
        <w:t>)</w:t>
      </w:r>
      <w:r>
        <w:t xml:space="preserve">. Reference no. </w:t>
      </w:r>
      <w:r w:rsidRPr="00E845D4">
        <w:t>PP901/0565</w:t>
      </w:r>
    </w:p>
    <w:p w14:paraId="2744CA9F" w14:textId="77777777" w:rsidR="008247E7" w:rsidRPr="00E845D4" w:rsidRDefault="008247E7" w:rsidP="0059513C">
      <w:pPr>
        <w:pStyle w:val="NormalText"/>
      </w:pPr>
      <w:r w:rsidRPr="00E845D4">
        <w:t>Dixon K</w:t>
      </w:r>
      <w:r>
        <w:t xml:space="preserve">, </w:t>
      </w:r>
      <w:r w:rsidRPr="00E845D4">
        <w:t>2012</w:t>
      </w:r>
      <w:r>
        <w:t>(</w:t>
      </w:r>
      <w:r w:rsidRPr="00E845D4">
        <w:t>a</w:t>
      </w:r>
      <w:r>
        <w:t xml:space="preserve">). </w:t>
      </w:r>
      <w:r w:rsidRPr="00376A70">
        <w:rPr>
          <w:vertAlign w:val="superscript"/>
        </w:rPr>
        <w:t>14</w:t>
      </w:r>
      <w:r w:rsidRPr="00E845D4">
        <w:t>C-diquat: rate and route of degradation under aerobic laboratory conditions in four soils at 20°C</w:t>
      </w:r>
      <w:r>
        <w:t xml:space="preserve">. Reference no. </w:t>
      </w:r>
      <w:r w:rsidRPr="00E845D4">
        <w:t>8217420</w:t>
      </w:r>
    </w:p>
    <w:p w14:paraId="151E08B6" w14:textId="77777777" w:rsidR="008247E7" w:rsidRPr="00E845D4" w:rsidRDefault="008247E7" w:rsidP="0059513C">
      <w:pPr>
        <w:pStyle w:val="NormalText"/>
      </w:pPr>
      <w:r w:rsidRPr="00E845D4">
        <w:lastRenderedPageBreak/>
        <w:t>Dixon K</w:t>
      </w:r>
      <w:r>
        <w:t xml:space="preserve">, </w:t>
      </w:r>
      <w:r w:rsidRPr="00E845D4">
        <w:t>2012</w:t>
      </w:r>
      <w:r>
        <w:t>(</w:t>
      </w:r>
      <w:r w:rsidRPr="00E845D4">
        <w:t>b</w:t>
      </w:r>
      <w:r>
        <w:t xml:space="preserve">). </w:t>
      </w:r>
      <w:r w:rsidRPr="00376A70">
        <w:rPr>
          <w:vertAlign w:val="superscript"/>
        </w:rPr>
        <w:t>14</w:t>
      </w:r>
      <w:r w:rsidRPr="00E845D4">
        <w:t>C-diquat: rate and route of degradation under anaerobic laboratory conditions at 20°C</w:t>
      </w:r>
      <w:r>
        <w:t xml:space="preserve">. Reference no. </w:t>
      </w:r>
      <w:r w:rsidRPr="00E845D4">
        <w:t>8217422</w:t>
      </w:r>
    </w:p>
    <w:p w14:paraId="3C40E484" w14:textId="77777777" w:rsidR="008247E7" w:rsidRPr="00E845D4" w:rsidRDefault="008247E7" w:rsidP="0059513C">
      <w:pPr>
        <w:pStyle w:val="NormalText"/>
      </w:pPr>
      <w:r w:rsidRPr="00E845D4">
        <w:t>Dixon K</w:t>
      </w:r>
      <w:r>
        <w:t xml:space="preserve"> and</w:t>
      </w:r>
      <w:r w:rsidRPr="00E845D4">
        <w:t xml:space="preserve"> Alderman D</w:t>
      </w:r>
      <w:r>
        <w:t xml:space="preserve">, </w:t>
      </w:r>
      <w:r w:rsidRPr="00E845D4">
        <w:t>2012</w:t>
      </w:r>
      <w:r>
        <w:t xml:space="preserve">. </w:t>
      </w:r>
      <w:r w:rsidRPr="00376A70">
        <w:rPr>
          <w:vertAlign w:val="superscript"/>
        </w:rPr>
        <w:t>14</w:t>
      </w:r>
      <w:r w:rsidRPr="00E845D4">
        <w:t>C-diquat: hydrolytic stability</w:t>
      </w:r>
      <w:r>
        <w:t xml:space="preserve">. Reference no. </w:t>
      </w:r>
      <w:r w:rsidRPr="00E845D4">
        <w:t>8217421</w:t>
      </w:r>
    </w:p>
    <w:p w14:paraId="208B70D9" w14:textId="77777777" w:rsidR="008247E7" w:rsidRPr="00E845D4" w:rsidRDefault="008247E7" w:rsidP="0059513C">
      <w:pPr>
        <w:pStyle w:val="NormalText"/>
      </w:pPr>
      <w:r w:rsidRPr="00E845D4">
        <w:t>Dixon K</w:t>
      </w:r>
      <w:r>
        <w:t xml:space="preserve"> and</w:t>
      </w:r>
      <w:r w:rsidRPr="00E845D4">
        <w:t xml:space="preserve"> Dove R</w:t>
      </w:r>
      <w:r>
        <w:t xml:space="preserve">, </w:t>
      </w:r>
      <w:r w:rsidRPr="00E845D4">
        <w:t>2012</w:t>
      </w:r>
      <w:r>
        <w:t xml:space="preserve">. </w:t>
      </w:r>
      <w:r w:rsidRPr="00E845D4">
        <w:t xml:space="preserve">Rate of degradation of </w:t>
      </w:r>
      <w:r w:rsidRPr="00376A70">
        <w:rPr>
          <w:vertAlign w:val="superscript"/>
        </w:rPr>
        <w:t>14</w:t>
      </w:r>
      <w:r w:rsidRPr="00E845D4">
        <w:t>C-R32245, a soil metabolite, under aerobic laboratory conditions in four soils at 20°C</w:t>
      </w:r>
      <w:r>
        <w:t xml:space="preserve">. Reference no. </w:t>
      </w:r>
      <w:r w:rsidRPr="00E845D4">
        <w:t>8246977</w:t>
      </w:r>
    </w:p>
    <w:p w14:paraId="207506F5" w14:textId="77777777" w:rsidR="008247E7" w:rsidRPr="00E845D4"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a</w:t>
      </w:r>
      <w:r>
        <w:t xml:space="preserve">). </w:t>
      </w:r>
      <w:r w:rsidRPr="00376A70">
        <w:rPr>
          <w:vertAlign w:val="superscript"/>
        </w:rPr>
        <w:t>14</w:t>
      </w:r>
      <w:r w:rsidRPr="00E845D4">
        <w:t>C-diquat: soil surface photolysis in moist and dry layers</w:t>
      </w:r>
      <w:r>
        <w:t xml:space="preserve">. Reference no. </w:t>
      </w:r>
      <w:r w:rsidRPr="00E845D4">
        <w:t>8217423</w:t>
      </w:r>
    </w:p>
    <w:p w14:paraId="44989B7A" w14:textId="77777777" w:rsidR="008247E7" w:rsidRPr="00E845D4"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b</w:t>
      </w:r>
      <w:r>
        <w:t xml:space="preserve">). </w:t>
      </w:r>
      <w:r w:rsidRPr="00376A70">
        <w:rPr>
          <w:vertAlign w:val="superscript"/>
        </w:rPr>
        <w:t>14</w:t>
      </w:r>
      <w:r w:rsidRPr="00E845D4">
        <w:t>C-diquat: adsorption and desorption properties in four soils</w:t>
      </w:r>
      <w:r>
        <w:t xml:space="preserve">. Reference no. </w:t>
      </w:r>
      <w:r w:rsidRPr="00E845D4">
        <w:t>8218050</w:t>
      </w:r>
    </w:p>
    <w:p w14:paraId="2D91732F" w14:textId="77777777" w:rsidR="008247E7"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c</w:t>
      </w:r>
      <w:r>
        <w:t xml:space="preserve">). </w:t>
      </w:r>
      <w:r w:rsidRPr="00376A70">
        <w:rPr>
          <w:vertAlign w:val="superscript"/>
        </w:rPr>
        <w:t>14</w:t>
      </w:r>
      <w:r w:rsidRPr="00E845D4">
        <w:t>C-R32245: adsorption and desorption properties in five soils</w:t>
      </w:r>
      <w:r>
        <w:t xml:space="preserve">. Reference no. </w:t>
      </w:r>
      <w:r w:rsidRPr="00E845D4">
        <w:t>8246978</w:t>
      </w:r>
    </w:p>
    <w:p w14:paraId="3FFCA013" w14:textId="77777777" w:rsidR="008247E7" w:rsidRDefault="008247E7" w:rsidP="0059513C">
      <w:pPr>
        <w:pStyle w:val="NormalText"/>
      </w:pPr>
      <w:r w:rsidRPr="00120DD8">
        <w:t>Dodsworth C</w:t>
      </w:r>
      <w:r>
        <w:t xml:space="preserve">, </w:t>
      </w:r>
      <w:r w:rsidRPr="00120DD8">
        <w:t>1990 Residue levels of diquat in lentils</w:t>
      </w:r>
      <w:r>
        <w:t>. Report</w:t>
      </w:r>
      <w:r w:rsidRPr="00120DD8">
        <w:t xml:space="preserve"> no. CRR114.</w:t>
      </w:r>
    </w:p>
    <w:p w14:paraId="5995D61D" w14:textId="77777777" w:rsidR="008247E7" w:rsidRPr="00E845D4" w:rsidRDefault="008247E7" w:rsidP="0059513C">
      <w:pPr>
        <w:pStyle w:val="NormalText"/>
      </w:pPr>
      <w:r>
        <w:rPr>
          <w:szCs w:val="19"/>
        </w:rPr>
        <w:t>Drew EA, Davies PI, 1980. Paraquat and diquat: long-term high-rate trial Frensham UK. 4. effect on soil micro-organisms and their activities. Reference no. RJ0016B</w:t>
      </w:r>
    </w:p>
    <w:p w14:paraId="6443EEE0" w14:textId="77777777" w:rsidR="008247E7" w:rsidRDefault="008247E7" w:rsidP="0059513C">
      <w:pPr>
        <w:pStyle w:val="NormalText"/>
      </w:pPr>
      <w:r w:rsidRPr="00E845D4">
        <w:t>Ducrot V, Pery A, Lagadic L</w:t>
      </w:r>
      <w:r>
        <w:t xml:space="preserve">, </w:t>
      </w:r>
      <w:r w:rsidRPr="00E845D4">
        <w:t>2010</w:t>
      </w:r>
      <w:r>
        <w:t xml:space="preserve">. </w:t>
      </w:r>
      <w:r w:rsidRPr="00E845D4">
        <w:t xml:space="preserve">Modelling effects of diquat under realistic exposure patterns in genetically differentiated populations of the gastropod </w:t>
      </w:r>
      <w:r w:rsidRPr="00376A70">
        <w:rPr>
          <w:i/>
          <w:iCs/>
        </w:rPr>
        <w:t>Lymnaea stagnalis</w:t>
      </w:r>
      <w:r w:rsidRPr="00E845D4">
        <w:t>. Phil Trans R Soc B 365: 3485-3494</w:t>
      </w:r>
    </w:p>
    <w:p w14:paraId="1D2FE723" w14:textId="77777777" w:rsidR="008247E7" w:rsidRPr="00E845D4" w:rsidRDefault="008247E7" w:rsidP="0059513C">
      <w:pPr>
        <w:pStyle w:val="NormalText"/>
      </w:pPr>
      <w:r>
        <w:rPr>
          <w:szCs w:val="19"/>
        </w:rPr>
        <w:t>Duerden L, 1994. Paraquat dichloride technical concentrate: acute oral toxicity to the rat. Reference no. CTL/P/4424</w:t>
      </w:r>
    </w:p>
    <w:p w14:paraId="00A01FA1" w14:textId="1E27015F" w:rsidR="00A65D81" w:rsidRDefault="00A65D81" w:rsidP="0059513C">
      <w:pPr>
        <w:pStyle w:val="NormalText"/>
      </w:pPr>
      <w:r>
        <w:t xml:space="preserve">Duncan RA, Cushman JR and Wong ZA, 1985(a). S-1431 revised final report. The acute oral toxicity of diquat water weed killer (SX-1085). Report No. 9109776. </w:t>
      </w:r>
    </w:p>
    <w:p w14:paraId="0017623C" w14:textId="059899BE" w:rsidR="00A65D81" w:rsidRDefault="00A65D81" w:rsidP="0059513C">
      <w:pPr>
        <w:pStyle w:val="NormalText"/>
      </w:pPr>
      <w:r>
        <w:t xml:space="preserve">Duncan RA, Cushman JR and Wong ZA, 1985(b). S-1623 revised final report. The acute dermal toxicity of diquat water weed killer (SX-1165) in adult male and female rabbits. Report No. 9109777. </w:t>
      </w:r>
    </w:p>
    <w:p w14:paraId="00E6EB3F" w14:textId="77777777" w:rsidR="00A17BFF" w:rsidRDefault="00A17BFF" w:rsidP="00A17BFF">
      <w:pPr>
        <w:pStyle w:val="APVMAText"/>
        <w:rPr>
          <w:sz w:val="19"/>
          <w:szCs w:val="19"/>
        </w:rPr>
      </w:pPr>
      <w:r>
        <w:rPr>
          <w:sz w:val="19"/>
          <w:szCs w:val="19"/>
        </w:rPr>
        <w:t>Dyer BC, 2007.</w:t>
      </w:r>
      <w:r w:rsidRPr="0005431B">
        <w:t xml:space="preserve"> </w:t>
      </w:r>
      <w:r>
        <w:t xml:space="preserve">Thesis: </w:t>
      </w:r>
      <w:r>
        <w:rPr>
          <w:sz w:val="19"/>
          <w:szCs w:val="19"/>
        </w:rPr>
        <w:t>The biology of grassland melomys (</w:t>
      </w:r>
      <w:r w:rsidRPr="0005431B">
        <w:rPr>
          <w:i/>
          <w:iCs/>
          <w:sz w:val="19"/>
          <w:szCs w:val="19"/>
        </w:rPr>
        <w:t>Melomys burtoni</w:t>
      </w:r>
      <w:r>
        <w:rPr>
          <w:sz w:val="19"/>
          <w:szCs w:val="19"/>
        </w:rPr>
        <w:t>) (Rodentia: Muridae) in far north Queensland sugarcane crops. Queensland University of Technology.</w:t>
      </w:r>
    </w:p>
    <w:p w14:paraId="51C2E26F" w14:textId="49660D7B" w:rsidR="008247E7" w:rsidRPr="00E845D4" w:rsidRDefault="008247E7" w:rsidP="0059513C">
      <w:pPr>
        <w:pStyle w:val="NormalText"/>
      </w:pPr>
      <w:r w:rsidRPr="00E845D4">
        <w:t>Dyson JS, Chapman PF</w:t>
      </w:r>
      <w:r>
        <w:t xml:space="preserve">, </w:t>
      </w:r>
      <w:r w:rsidR="00A17BFF">
        <w:t>1991</w:t>
      </w:r>
      <w:r>
        <w:t xml:space="preserve">. </w:t>
      </w:r>
      <w:r w:rsidRPr="00E845D4">
        <w:t>Diquat: long-term high-rate trial Frensham UK (1971-1991)</w:t>
      </w:r>
      <w:r w:rsidR="004C1210">
        <w:t>–</w:t>
      </w:r>
      <w:r w:rsidRPr="00E845D4">
        <w:t>fate of soil residues</w:t>
      </w:r>
      <w:r>
        <w:t xml:space="preserve">. Reference no. </w:t>
      </w:r>
      <w:r w:rsidRPr="00E845D4">
        <w:t>TMJ3431B</w:t>
      </w:r>
    </w:p>
    <w:p w14:paraId="3C75A96C" w14:textId="219306BB" w:rsidR="008247E7" w:rsidRPr="00E845D4" w:rsidRDefault="008247E7" w:rsidP="0059513C">
      <w:pPr>
        <w:pStyle w:val="NormalText"/>
      </w:pPr>
      <w:r w:rsidRPr="00E845D4">
        <w:t>Dyson JS, Kirsch O, Stevens JEB</w:t>
      </w:r>
      <w:r>
        <w:t xml:space="preserve">. </w:t>
      </w:r>
      <w:r w:rsidRPr="00E845D4">
        <w:t>1995</w:t>
      </w:r>
      <w:r>
        <w:t>(</w:t>
      </w:r>
      <w:r w:rsidRPr="00E845D4">
        <w:t>a</w:t>
      </w:r>
      <w:r>
        <w:t xml:space="preserve">). </w:t>
      </w:r>
      <w:r w:rsidRPr="00E845D4">
        <w:t>Diquat: long-term soil trial at Goldboro USA (1979-1991)</w:t>
      </w:r>
      <w:r w:rsidR="004C1210">
        <w:t>–</w:t>
      </w:r>
      <w:r w:rsidRPr="00E845D4">
        <w:t>trial description and crop measurements</w:t>
      </w:r>
      <w:r>
        <w:t xml:space="preserve">. Reference no. </w:t>
      </w:r>
      <w:r w:rsidRPr="00E845D4">
        <w:t>TMJ3330B</w:t>
      </w:r>
    </w:p>
    <w:p w14:paraId="08F159B2" w14:textId="684F57E4" w:rsidR="008247E7" w:rsidRPr="00E845D4" w:rsidRDefault="008247E7" w:rsidP="0059513C">
      <w:pPr>
        <w:pStyle w:val="NormalText"/>
      </w:pPr>
      <w:r w:rsidRPr="00E845D4">
        <w:t>Dyson JS, Chapman PF, Farmer K</w:t>
      </w:r>
      <w:r>
        <w:t xml:space="preserve">, </w:t>
      </w:r>
      <w:r w:rsidRPr="00E845D4">
        <w:t>1995</w:t>
      </w:r>
      <w:r>
        <w:t>(</w:t>
      </w:r>
      <w:r w:rsidRPr="00E845D4">
        <w:t>b</w:t>
      </w:r>
      <w:r>
        <w:t xml:space="preserve">). </w:t>
      </w:r>
      <w:r w:rsidRPr="00E845D4">
        <w:t>Diquat: long-term soil trial at Goldboro USA (1979-1991)</w:t>
      </w:r>
      <w:r w:rsidR="004C1210">
        <w:t>–</w:t>
      </w:r>
      <w:r w:rsidRPr="00E845D4">
        <w:t>fate of soil residues</w:t>
      </w:r>
      <w:r>
        <w:t xml:space="preserve">. Reference no. </w:t>
      </w:r>
      <w:r w:rsidRPr="00E845D4">
        <w:t>TMJ3331B</w:t>
      </w:r>
    </w:p>
    <w:p w14:paraId="2E0AC3C1" w14:textId="77777777" w:rsidR="008247E7" w:rsidRPr="00286719" w:rsidRDefault="008247E7" w:rsidP="0059513C">
      <w:pPr>
        <w:pStyle w:val="NormalText"/>
      </w:pPr>
      <w:bookmarkStart w:id="553" w:name="_Hlk160790190"/>
      <w:bookmarkStart w:id="554" w:name="_Hlk160790172"/>
      <w:r w:rsidRPr="00286719">
        <w:t xml:space="preserve">Earl M, 1991(a). Diquat: Residues in peas from trials carried out in the United Kingdom during 1990. Report no. M5373B. </w:t>
      </w:r>
    </w:p>
    <w:p w14:paraId="6E047E87" w14:textId="4EC68882" w:rsidR="008247E7" w:rsidRPr="00286719" w:rsidRDefault="008247E7" w:rsidP="0059513C">
      <w:pPr>
        <w:pStyle w:val="NormalText"/>
      </w:pPr>
      <w:r w:rsidRPr="00286719">
        <w:lastRenderedPageBreak/>
        <w:t>Earl M, 1991</w:t>
      </w:r>
      <w:bookmarkEnd w:id="553"/>
      <w:r w:rsidRPr="00286719">
        <w:t xml:space="preserve">(b). Diquat: Residues in potatoes from trials carried out in The Netherlands during 1990. Report no. </w:t>
      </w:r>
      <w:r w:rsidR="003B316D">
        <w:t>M5328B</w:t>
      </w:r>
      <w:r w:rsidRPr="00286719">
        <w:t xml:space="preserve">. </w:t>
      </w:r>
      <w:r w:rsidRPr="00286719">
        <w:tab/>
      </w:r>
    </w:p>
    <w:p w14:paraId="3D7702D2" w14:textId="77777777" w:rsidR="008247E7" w:rsidRPr="00286719" w:rsidRDefault="008247E7" w:rsidP="0059513C">
      <w:pPr>
        <w:pStyle w:val="NormalText"/>
      </w:pPr>
      <w:r w:rsidRPr="00286719">
        <w:t>Earl M, 199</w:t>
      </w:r>
      <w:bookmarkEnd w:id="554"/>
      <w:r w:rsidRPr="00286719">
        <w:t xml:space="preserve">1(c). Diquat: Residues in potatoes from trials carried out in the United Kingdom during 1990. Report no. M5348B. </w:t>
      </w:r>
      <w:r w:rsidRPr="00286719">
        <w:tab/>
      </w:r>
    </w:p>
    <w:p w14:paraId="19B3FCD8" w14:textId="77777777" w:rsidR="008247E7" w:rsidRPr="00286719" w:rsidRDefault="008247E7" w:rsidP="0059513C">
      <w:pPr>
        <w:pStyle w:val="NormalText"/>
      </w:pPr>
      <w:r w:rsidRPr="00286719">
        <w:t>Earl M, 1992(a). Diquat: Method validation data – determination of residues in animal tissues, Technical Letter ME/JAP/DLTL2.</w:t>
      </w:r>
    </w:p>
    <w:p w14:paraId="28F7BA0B" w14:textId="77777777" w:rsidR="008247E7" w:rsidRPr="00286719" w:rsidRDefault="008247E7" w:rsidP="0059513C">
      <w:pPr>
        <w:pStyle w:val="NormalText"/>
      </w:pPr>
      <w:r w:rsidRPr="00286719">
        <w:t>Earl M, 1992(b). Diquat: Method validation data – determination of residues in milk, Technical letter ME/JAP/DLTL1.</w:t>
      </w:r>
      <w:r w:rsidRPr="00286719">
        <w:tab/>
      </w:r>
    </w:p>
    <w:p w14:paraId="42A90E17" w14:textId="77777777" w:rsidR="008247E7" w:rsidRPr="00286719" w:rsidRDefault="008247E7" w:rsidP="0059513C">
      <w:pPr>
        <w:pStyle w:val="NormalText"/>
      </w:pPr>
      <w:bookmarkStart w:id="555" w:name="_Hlk160790220"/>
      <w:r w:rsidRPr="00286719">
        <w:t>Earl M, 1993(a). The determination of residues of diquat in animal tissues – a spectrophotometric method, Standard Operating Procedure no. RAM 008/01.</w:t>
      </w:r>
    </w:p>
    <w:p w14:paraId="6A8E56E1" w14:textId="77777777" w:rsidR="008247E7" w:rsidRPr="00120DD8" w:rsidRDefault="008247E7" w:rsidP="0059513C">
      <w:pPr>
        <w:pStyle w:val="NormalText"/>
      </w:pPr>
      <w:r w:rsidRPr="00286719">
        <w:t>Earl M, 1993(b). Diquat: Residue levels in bananas from trials carried out in Ecuador during 1992/93. Report no. RJ1487B.</w:t>
      </w:r>
      <w:r w:rsidRPr="00120DD8">
        <w:tab/>
      </w:r>
    </w:p>
    <w:p w14:paraId="71A7DD5D" w14:textId="77777777" w:rsidR="008247E7" w:rsidRPr="00286719" w:rsidRDefault="008247E7" w:rsidP="0059513C">
      <w:pPr>
        <w:pStyle w:val="NormalText"/>
      </w:pPr>
      <w:r w:rsidRPr="00120DD8">
        <w:t>Earl M</w:t>
      </w:r>
      <w:r>
        <w:t>,</w:t>
      </w:r>
      <w:r w:rsidRPr="00120DD8">
        <w:t xml:space="preserve"> 1994</w:t>
      </w:r>
      <w:r>
        <w:t>.</w:t>
      </w:r>
      <w:r w:rsidRPr="00120DD8">
        <w:t xml:space="preserve"> Diquat: Residue levels in bananas from trials carried out in Costa Rica and Guatemala during </w:t>
      </w:r>
      <w:r w:rsidRPr="00286719">
        <w:t>1992. report no. RJ1534B.</w:t>
      </w:r>
    </w:p>
    <w:p w14:paraId="4FE41AA4" w14:textId="77777777" w:rsidR="008247E7" w:rsidRPr="00103953" w:rsidRDefault="008247E7" w:rsidP="0059513C">
      <w:pPr>
        <w:pStyle w:val="NormalText"/>
      </w:pPr>
      <w:bookmarkStart w:id="556" w:name="_Hlk160789917"/>
      <w:r w:rsidRPr="00286719">
        <w:t>Earl M and Anderson L, 1989</w:t>
      </w:r>
      <w:bookmarkEnd w:id="556"/>
      <w:r w:rsidRPr="00286719">
        <w:t>(a). Diquat: Residues in potatoes from trials carried out in Sweden during 1988. Report no. M4871B.</w:t>
      </w:r>
    </w:p>
    <w:p w14:paraId="7CDEE81B" w14:textId="77777777" w:rsidR="008247E7" w:rsidRPr="00286719" w:rsidRDefault="008247E7" w:rsidP="0059513C">
      <w:pPr>
        <w:pStyle w:val="NormalText"/>
      </w:pPr>
      <w:r w:rsidRPr="00286719">
        <w:t>Earl M and Anderson L, 1989(b). Diquat: Residues in flax from trials carried out in Denmark during 1988. Report no. M4911B.</w:t>
      </w:r>
    </w:p>
    <w:p w14:paraId="0E7B4E8B" w14:textId="77777777" w:rsidR="008247E7" w:rsidRPr="00120DD8" w:rsidRDefault="008247E7" w:rsidP="0059513C">
      <w:pPr>
        <w:pStyle w:val="NormalText"/>
      </w:pPr>
      <w:r w:rsidRPr="00120DD8">
        <w:t>Earl M and Boseley AD</w:t>
      </w:r>
      <w:r>
        <w:t>,</w:t>
      </w:r>
      <w:r w:rsidRPr="00120DD8">
        <w:t xml:space="preserve"> 1989</w:t>
      </w:r>
      <w:r>
        <w:t>.</w:t>
      </w:r>
      <w:r w:rsidRPr="00120DD8">
        <w:t xml:space="preserve"> Diquat: Method validation data for residue methods (PPRAM’s) 5A and 6A</w:t>
      </w:r>
      <w:r>
        <w:t>. Report</w:t>
      </w:r>
      <w:r w:rsidRPr="00120DD8">
        <w:t xml:space="preserve"> no. M4895B.</w:t>
      </w:r>
    </w:p>
    <w:p w14:paraId="2B80F25B" w14:textId="77777777" w:rsidR="008247E7" w:rsidRPr="00120DD8" w:rsidRDefault="008247E7" w:rsidP="0059513C">
      <w:pPr>
        <w:pStyle w:val="NormalText"/>
      </w:pPr>
      <w:r w:rsidRPr="00120DD8">
        <w:t>Earl M and Muir GT</w:t>
      </w:r>
      <w:r>
        <w:t>,</w:t>
      </w:r>
      <w:r w:rsidRPr="00120DD8">
        <w:t xml:space="preserve"> 1988</w:t>
      </w:r>
      <w:r>
        <w:t>.</w:t>
      </w:r>
      <w:r w:rsidRPr="00120DD8">
        <w:t xml:space="preserve"> Diquat/Metoxuron: Storage stability of residue in frozen potatoes</w:t>
      </w:r>
      <w:r>
        <w:t>. Report</w:t>
      </w:r>
      <w:r w:rsidRPr="00120DD8">
        <w:t xml:space="preserve"> no. M4825B.</w:t>
      </w:r>
    </w:p>
    <w:p w14:paraId="0CDE47F5" w14:textId="77777777" w:rsidR="008247E7" w:rsidRDefault="008247E7" w:rsidP="0059513C">
      <w:pPr>
        <w:pStyle w:val="NormalText"/>
      </w:pPr>
      <w:r w:rsidRPr="00120DD8">
        <w:t>Earl M, Anderson L and Bouwman JJ</w:t>
      </w:r>
      <w:r>
        <w:t>,</w:t>
      </w:r>
      <w:r w:rsidRPr="00120DD8">
        <w:t xml:space="preserve"> 1993</w:t>
      </w:r>
      <w:bookmarkEnd w:id="555"/>
      <w:r>
        <w:t>.</w:t>
      </w:r>
      <w:r w:rsidRPr="00120DD8">
        <w:t xml:space="preserve"> Diquat: Residue levels in potatoes from trials carried out in The Netherlands during 1992. Report no. RJ1423B.</w:t>
      </w:r>
      <w:r w:rsidRPr="00120DD8">
        <w:tab/>
      </w:r>
    </w:p>
    <w:p w14:paraId="467B2CA3" w14:textId="77777777" w:rsidR="008247E7" w:rsidRPr="00120DD8" w:rsidRDefault="008247E7" w:rsidP="0059513C">
      <w:pPr>
        <w:pStyle w:val="NormalText"/>
      </w:pPr>
      <w:r w:rsidRPr="00120DD8">
        <w:t>Earl M and Hall G</w:t>
      </w:r>
      <w:r>
        <w:t>,</w:t>
      </w:r>
      <w:r w:rsidRPr="00120DD8">
        <w:t xml:space="preserve"> 1994</w:t>
      </w:r>
      <w:r>
        <w:t>.</w:t>
      </w:r>
      <w:r w:rsidRPr="00120DD8">
        <w:t xml:space="preserve"> Diquat: Residue levels in peas from trials carried out in the United Kingdom during 1992</w:t>
      </w:r>
      <w:r>
        <w:t>.</w:t>
      </w:r>
      <w:r w:rsidRPr="00120DD8">
        <w:t xml:space="preserve"> Report no. RJ1502B.</w:t>
      </w:r>
    </w:p>
    <w:p w14:paraId="7E6C509D" w14:textId="44D1D997" w:rsidR="008247E7" w:rsidRPr="00C5352A" w:rsidRDefault="008247E7" w:rsidP="0059513C">
      <w:pPr>
        <w:pStyle w:val="NormalText"/>
      </w:pPr>
      <w:r w:rsidRPr="00C5352A">
        <w:t xml:space="preserve">ECHA (European Chemicals Agency), 2014. Background document to the opinion on the annex XV dossier proposing restrictions on nonylphenol and nonylphenol ethoxylates. </w:t>
      </w:r>
      <w:hyperlink r:id="rId56" w:history="1">
        <w:r w:rsidRPr="00C5352A">
          <w:rPr>
            <w:rStyle w:val="Hyperlink"/>
            <w:szCs w:val="19"/>
          </w:rPr>
          <w:t>https://www.cirs-group.com/files/attach/uploads/soft/150528/backgrounddocument.pdf</w:t>
        </w:r>
      </w:hyperlink>
      <w:r w:rsidRPr="00C5352A">
        <w:t xml:space="preserve"> </w:t>
      </w:r>
    </w:p>
    <w:p w14:paraId="1C5D8A5A" w14:textId="77777777" w:rsidR="008247E7" w:rsidRDefault="008247E7" w:rsidP="0059513C">
      <w:pPr>
        <w:pStyle w:val="NormalText"/>
      </w:pPr>
      <w:bookmarkStart w:id="557" w:name="_Hlk160791092"/>
      <w:r w:rsidRPr="00120DD8">
        <w:t>Edwards MJ</w:t>
      </w:r>
      <w:r>
        <w:t xml:space="preserve">, </w:t>
      </w:r>
      <w:r w:rsidRPr="00120DD8">
        <w:t>1977</w:t>
      </w:r>
      <w:r>
        <w:t>.</w:t>
      </w:r>
      <w:r w:rsidRPr="00120DD8">
        <w:t xml:space="preserve"> </w:t>
      </w:r>
      <w:bookmarkEnd w:id="557"/>
      <w:r w:rsidRPr="00120DD8">
        <w:t>Residues in fruit and vegetable crops following pre- and post-emergence treatment with Diquat for weed control (period 1961-1976)</w:t>
      </w:r>
      <w:r>
        <w:t>.</w:t>
      </w:r>
      <w:r w:rsidRPr="00120DD8">
        <w:t xml:space="preserve"> Report no. TMJ1500A.</w:t>
      </w:r>
    </w:p>
    <w:p w14:paraId="4B916727" w14:textId="5D66BA98" w:rsidR="008247E7" w:rsidRDefault="008247E7" w:rsidP="0059513C">
      <w:pPr>
        <w:pStyle w:val="NormalText"/>
      </w:pPr>
      <w:r w:rsidRPr="00E845D4">
        <w:t>Edwards P</w:t>
      </w:r>
      <w:r>
        <w:t xml:space="preserve">, </w:t>
      </w:r>
      <w:r w:rsidRPr="00E845D4">
        <w:t>1980</w:t>
      </w:r>
      <w:r>
        <w:t xml:space="preserve">. </w:t>
      </w:r>
      <w:r w:rsidRPr="00E845D4">
        <w:t>Diquat: long-term high-rate trial Frensham UK</w:t>
      </w:r>
      <w:r w:rsidR="004C1210">
        <w:t>–</w:t>
      </w:r>
      <w:r w:rsidRPr="00E845D4">
        <w:t>effect on earthworms</w:t>
      </w:r>
      <w:r>
        <w:t xml:space="preserve">. Reference no. </w:t>
      </w:r>
      <w:r w:rsidRPr="00E845D4">
        <w:t>RJ0015B</w:t>
      </w:r>
    </w:p>
    <w:p w14:paraId="242F0F72" w14:textId="77777777" w:rsidR="008247E7" w:rsidRPr="00120DD8" w:rsidRDefault="008247E7" w:rsidP="0059513C">
      <w:pPr>
        <w:pStyle w:val="NormalText"/>
      </w:pPr>
      <w:r w:rsidRPr="00120DD8">
        <w:lastRenderedPageBreak/>
        <w:t>Edward MJ, Hayward GJ, Ward RJ and Iswaran TJ</w:t>
      </w:r>
      <w:r>
        <w:t>,</w:t>
      </w:r>
      <w:r w:rsidRPr="00120DD8">
        <w:t xml:space="preserve"> 1976</w:t>
      </w:r>
      <w:r>
        <w:t>.</w:t>
      </w:r>
      <w:r w:rsidRPr="00120DD8">
        <w:t xml:space="preserve"> Diquat: Residue and toxicology trial with cows fed treated grass</w:t>
      </w:r>
      <w:r>
        <w:t>. Report</w:t>
      </w:r>
      <w:r w:rsidRPr="00120DD8">
        <w:t xml:space="preserve"> no. AR 2653A.</w:t>
      </w:r>
    </w:p>
    <w:p w14:paraId="3C705ECF" w14:textId="77777777" w:rsidR="008247E7" w:rsidRPr="00120DD8" w:rsidRDefault="008247E7" w:rsidP="0059513C">
      <w:pPr>
        <w:pStyle w:val="NormalText"/>
      </w:pPr>
      <w:r w:rsidRPr="00120DD8">
        <w:t>Edwards MJ and Smith DC</w:t>
      </w:r>
      <w:r>
        <w:t>,</w:t>
      </w:r>
      <w:r w:rsidRPr="00120DD8">
        <w:t xml:space="preserve"> 1975</w:t>
      </w:r>
      <w:r>
        <w:t>.</w:t>
      </w:r>
      <w:r w:rsidRPr="00120DD8">
        <w:t xml:space="preserve"> Diquat: Residue transfer and hatchability study in laying hens</w:t>
      </w:r>
      <w:r>
        <w:t xml:space="preserve">. </w:t>
      </w:r>
    </w:p>
    <w:p w14:paraId="3DF1EF3C" w14:textId="77777777" w:rsidR="008247E7" w:rsidRPr="00E845D4" w:rsidRDefault="008247E7" w:rsidP="0059513C">
      <w:pPr>
        <w:pStyle w:val="NormalText"/>
      </w:pPr>
      <w:r>
        <w:rPr>
          <w:szCs w:val="19"/>
        </w:rPr>
        <w:t xml:space="preserve">Edwards PJ, Coulson JM, 1993. Paraquat: toxicity to the earthworm </w:t>
      </w:r>
      <w:r>
        <w:rPr>
          <w:i/>
          <w:iCs/>
          <w:szCs w:val="19"/>
        </w:rPr>
        <w:t xml:space="preserve">Eisenia foetida </w:t>
      </w:r>
      <w:r>
        <w:rPr>
          <w:szCs w:val="19"/>
        </w:rPr>
        <w:t>of a 200 g/L SL formulation. Reference no. TMJ3067B</w:t>
      </w:r>
    </w:p>
    <w:p w14:paraId="0573A7F1" w14:textId="77777777" w:rsidR="008247E7" w:rsidRPr="00E845D4" w:rsidRDefault="008247E7" w:rsidP="0059513C">
      <w:pPr>
        <w:pStyle w:val="NormalText"/>
      </w:pPr>
      <w:r w:rsidRPr="00E845D4">
        <w:t>Edwards PJ, Earl M, Anderson L, McIndoe E</w:t>
      </w:r>
      <w:r>
        <w:t xml:space="preserve">, </w:t>
      </w:r>
      <w:r w:rsidRPr="00E845D4">
        <w:t>1991</w:t>
      </w:r>
      <w:r>
        <w:t xml:space="preserve">. </w:t>
      </w:r>
      <w:r w:rsidRPr="00E845D4">
        <w:t>Effect on plant cover and estimation of dietary exposure of birds following aerial desiccation of lentils</w:t>
      </w:r>
      <w:r>
        <w:t xml:space="preserve">. Reference no. </w:t>
      </w:r>
      <w:r w:rsidRPr="00E845D4">
        <w:t>RJ1011B</w:t>
      </w:r>
    </w:p>
    <w:p w14:paraId="40FE858B" w14:textId="77777777" w:rsidR="008247E7" w:rsidRPr="00C5352A" w:rsidRDefault="008247E7" w:rsidP="0059513C">
      <w:pPr>
        <w:pStyle w:val="NormalText"/>
      </w:pPr>
      <w:bookmarkStart w:id="558" w:name="_Hlk157606667"/>
      <w:r w:rsidRPr="00C5352A">
        <w:t xml:space="preserve">EFSA (European Food Safety Authority), 2009. Guidance document on risk assessment for birds &amp; mammals on request from EFSA. EFSA Journal 7(12): 1438, doi: 10.2903/j.efsa.2009.1438 </w:t>
      </w:r>
    </w:p>
    <w:p w14:paraId="13A30623" w14:textId="77777777" w:rsidR="00CB4944" w:rsidRDefault="00CB4944" w:rsidP="00CB4944">
      <w:pPr>
        <w:pStyle w:val="APVMAText"/>
        <w:rPr>
          <w:sz w:val="19"/>
          <w:szCs w:val="19"/>
        </w:rPr>
      </w:pPr>
      <w:r w:rsidRPr="00AC1739">
        <w:rPr>
          <w:sz w:val="19"/>
          <w:szCs w:val="19"/>
        </w:rPr>
        <w:t>EFSA</w:t>
      </w:r>
      <w:r>
        <w:rPr>
          <w:sz w:val="19"/>
          <w:szCs w:val="19"/>
        </w:rPr>
        <w:t xml:space="preserve"> </w:t>
      </w:r>
      <w:r w:rsidRPr="006212B1">
        <w:rPr>
          <w:sz w:val="19"/>
          <w:szCs w:val="19"/>
        </w:rPr>
        <w:t>(European Food Safety Authority)</w:t>
      </w:r>
      <w:r w:rsidRPr="00AC1739">
        <w:rPr>
          <w:sz w:val="19"/>
          <w:szCs w:val="19"/>
        </w:rPr>
        <w:t>, 2015. Diquat RAR volume 3 annex B9</w:t>
      </w:r>
    </w:p>
    <w:p w14:paraId="2D6C8499" w14:textId="77777777" w:rsidR="00CB4944" w:rsidRDefault="00CB4944" w:rsidP="00CB4944">
      <w:pPr>
        <w:pStyle w:val="APVMAText"/>
        <w:rPr>
          <w:sz w:val="19"/>
          <w:szCs w:val="19"/>
        </w:rPr>
      </w:pPr>
      <w:r w:rsidRPr="000C6AA4">
        <w:rPr>
          <w:sz w:val="19"/>
          <w:szCs w:val="19"/>
        </w:rPr>
        <w:t>EFSA (European Food Safety Authority), 2013</w:t>
      </w:r>
      <w:r>
        <w:rPr>
          <w:sz w:val="19"/>
          <w:szCs w:val="19"/>
        </w:rPr>
        <w:t>a</w:t>
      </w:r>
      <w:r w:rsidRPr="000C6AA4">
        <w:rPr>
          <w:sz w:val="19"/>
          <w:szCs w:val="19"/>
        </w:rPr>
        <w:t>. Guidance on tiered risk assessment for plant protection products for aquatic organisms in edge-of-field surface waters. EFSA Journal 11(7):3290, 268 pp. doi:10.2903/j.efsa.2013.3290</w:t>
      </w:r>
    </w:p>
    <w:p w14:paraId="6B5D4E95" w14:textId="2DD68133" w:rsidR="00CB4944" w:rsidRDefault="00CB4944" w:rsidP="00CB4944">
      <w:pPr>
        <w:pStyle w:val="NormalText"/>
        <w:rPr>
          <w:szCs w:val="19"/>
        </w:rPr>
      </w:pPr>
      <w:r w:rsidRPr="00BF2696">
        <w:rPr>
          <w:szCs w:val="19"/>
        </w:rPr>
        <w:t>EFSA (European Food Safety Authority), 2013</w:t>
      </w:r>
      <w:r>
        <w:rPr>
          <w:szCs w:val="19"/>
        </w:rPr>
        <w:t>b</w:t>
      </w:r>
      <w:r w:rsidRPr="00BF2696">
        <w:rPr>
          <w:szCs w:val="19"/>
        </w:rPr>
        <w:t>. Guidance on the risk assessment of plant protection products on bees (</w:t>
      </w:r>
      <w:r w:rsidRPr="00EC14F0">
        <w:rPr>
          <w:i/>
          <w:iCs/>
          <w:szCs w:val="19"/>
        </w:rPr>
        <w:t>Apis mellifera</w:t>
      </w:r>
      <w:r w:rsidRPr="00BF2696">
        <w:rPr>
          <w:szCs w:val="19"/>
        </w:rPr>
        <w:t xml:space="preserve">, </w:t>
      </w:r>
      <w:r w:rsidRPr="00EC14F0">
        <w:rPr>
          <w:i/>
          <w:iCs/>
          <w:szCs w:val="19"/>
        </w:rPr>
        <w:t>Bombus</w:t>
      </w:r>
      <w:r w:rsidRPr="00BF2696">
        <w:rPr>
          <w:szCs w:val="19"/>
        </w:rPr>
        <w:t xml:space="preserve"> spp. and solitary bees). EFSA Journal 11(7): 3295. doi:10.2903/j.efsa.2013.3295</w:t>
      </w:r>
    </w:p>
    <w:p w14:paraId="7F55F9C9" w14:textId="36A36E47" w:rsidR="008247E7" w:rsidRDefault="008247E7" w:rsidP="00CB4944">
      <w:pPr>
        <w:pStyle w:val="NormalText"/>
      </w:pPr>
      <w:r w:rsidRPr="006531C6">
        <w:t xml:space="preserve">EFSA (European Food Safety Authority), 2020. </w:t>
      </w:r>
      <w:r>
        <w:t>S</w:t>
      </w:r>
      <w:r w:rsidRPr="006531C6">
        <w:t xml:space="preserve">cientific report of EFSA on the ‘repair action’ of the FOCUS surface water scenarios. EFSA Journal 18(6):6119, 301 pp. </w:t>
      </w:r>
      <w:hyperlink r:id="rId57" w:history="1">
        <w:r w:rsidRPr="00817AE6">
          <w:t>doi.org/10.2903/j.efsa.2020.6119</w:t>
        </w:r>
      </w:hyperlink>
      <w:bookmarkEnd w:id="558"/>
    </w:p>
    <w:p w14:paraId="01F962A7" w14:textId="6143B8A2" w:rsidR="00CB4944" w:rsidRDefault="00CB4944" w:rsidP="0059513C">
      <w:pPr>
        <w:pStyle w:val="NormalText"/>
        <w:rPr>
          <w:szCs w:val="19"/>
        </w:rPr>
      </w:pPr>
      <w:r w:rsidRPr="00520CE0">
        <w:rPr>
          <w:szCs w:val="19"/>
        </w:rPr>
        <w:t>EFSA (European Food Safety Authority), 2023.</w:t>
      </w:r>
      <w:r>
        <w:rPr>
          <w:szCs w:val="19"/>
        </w:rPr>
        <w:t xml:space="preserve"> </w:t>
      </w:r>
      <w:r w:rsidRPr="00520CE0">
        <w:rPr>
          <w:szCs w:val="19"/>
        </w:rPr>
        <w:t>Guidance on the risk assessment for Birds and Mammals. EFSA Journal 2023;21(2):7790, 300 pp.</w:t>
      </w:r>
    </w:p>
    <w:p w14:paraId="205CA17D" w14:textId="3FD8F9F1" w:rsidR="008247E7" w:rsidRDefault="008247E7" w:rsidP="0059513C">
      <w:pPr>
        <w:pStyle w:val="NormalText"/>
        <w:rPr>
          <w:szCs w:val="19"/>
        </w:rPr>
      </w:pPr>
      <w:r>
        <w:rPr>
          <w:szCs w:val="19"/>
        </w:rPr>
        <w:t xml:space="preserve">FAO (Food and Agriculture Organisation of the United Nations), 2008. </w:t>
      </w:r>
      <w:r w:rsidRPr="001B2A4A">
        <w:rPr>
          <w:szCs w:val="19"/>
        </w:rPr>
        <w:t xml:space="preserve">FAO </w:t>
      </w:r>
      <w:r>
        <w:rPr>
          <w:szCs w:val="19"/>
        </w:rPr>
        <w:t>S</w:t>
      </w:r>
      <w:r w:rsidRPr="001B2A4A">
        <w:rPr>
          <w:szCs w:val="19"/>
        </w:rPr>
        <w:t>pecifications and evaluations</w:t>
      </w:r>
      <w:r>
        <w:rPr>
          <w:szCs w:val="19"/>
        </w:rPr>
        <w:t xml:space="preserve"> </w:t>
      </w:r>
      <w:r w:rsidRPr="001B2A4A">
        <w:rPr>
          <w:szCs w:val="19"/>
        </w:rPr>
        <w:t>for agricultural pesticides</w:t>
      </w:r>
      <w:r>
        <w:rPr>
          <w:szCs w:val="19"/>
        </w:rPr>
        <w:t xml:space="preserve"> – D</w:t>
      </w:r>
      <w:r w:rsidRPr="001B2A4A">
        <w:rPr>
          <w:szCs w:val="19"/>
        </w:rPr>
        <w:t>iquat dibromide</w:t>
      </w:r>
      <w:r>
        <w:rPr>
          <w:szCs w:val="19"/>
        </w:rPr>
        <w:t xml:space="preserve">, </w:t>
      </w:r>
      <w:r w:rsidRPr="00177835">
        <w:rPr>
          <w:szCs w:val="19"/>
        </w:rPr>
        <w:t>https://openknowledge.fao.org/server/api/core/bitstreams/3acb5d0f-cd50-4daf-a5fd-33619288cfc9/content</w:t>
      </w:r>
    </w:p>
    <w:p w14:paraId="1CABE97E" w14:textId="77777777" w:rsidR="008247E7" w:rsidRPr="00C5352A" w:rsidRDefault="008247E7" w:rsidP="0059513C">
      <w:pPr>
        <w:pStyle w:val="NormalText"/>
      </w:pPr>
      <w:r>
        <w:rPr>
          <w:szCs w:val="19"/>
        </w:rPr>
        <w:t>Farnworth M, Foster J, Lock E, 1993. The toxicity of paraquat to rabbits following oral administration. Reference No. XB2434, XB2567, XB2607, XB2610</w:t>
      </w:r>
    </w:p>
    <w:p w14:paraId="5FFE65DD" w14:textId="003D0081" w:rsidR="000960D4" w:rsidRPr="000960D4" w:rsidRDefault="000960D4" w:rsidP="0059513C">
      <w:pPr>
        <w:pStyle w:val="NormalText"/>
      </w:pPr>
      <w:r w:rsidRPr="000960D4">
        <w:t xml:space="preserve">Feldmann RJ </w:t>
      </w:r>
      <w:r>
        <w:t>and</w:t>
      </w:r>
      <w:r w:rsidRPr="000960D4">
        <w:t xml:space="preserve"> Maibach HI</w:t>
      </w:r>
      <w:r>
        <w:t xml:space="preserve">, </w:t>
      </w:r>
      <w:r w:rsidRPr="000960D4">
        <w:t>1974</w:t>
      </w:r>
      <w:r>
        <w:t>.</w:t>
      </w:r>
      <w:r w:rsidRPr="000960D4">
        <w:t xml:space="preserve"> Percutaneous penetration of some pesticides and herbicides in man. Toxicol Appl Pharmacol 28: 126</w:t>
      </w:r>
      <w:r w:rsidRPr="000960D4">
        <w:noBreakHyphen/>
        <w:t>132</w:t>
      </w:r>
    </w:p>
    <w:p w14:paraId="41E6091D" w14:textId="77777777" w:rsidR="009148DB" w:rsidRPr="00D63217" w:rsidRDefault="009148DB" w:rsidP="009148DB">
      <w:pPr>
        <w:pStyle w:val="NormalText"/>
      </w:pPr>
      <w:r w:rsidRPr="000742AA">
        <w:t>Fink R, Beavers JB, Grimes JB, Joiner G, Faulcon J, Cadby V, Anthony M, Brown R, 1979. Paraquat dichloride technical salt (SX-1142): acute oral LD</w:t>
      </w:r>
      <w:r w:rsidRPr="000742AA">
        <w:rPr>
          <w:vertAlign w:val="subscript"/>
        </w:rPr>
        <w:t>50</w:t>
      </w:r>
      <w:r w:rsidRPr="000742AA">
        <w:t xml:space="preserve"> bobwhite quail. Reference no. 162-121</w:t>
      </w:r>
    </w:p>
    <w:p w14:paraId="0A293947" w14:textId="379AED30" w:rsidR="008247E7" w:rsidRDefault="008247E7" w:rsidP="0059513C">
      <w:pPr>
        <w:pStyle w:val="NormalText"/>
      </w:pPr>
      <w:r w:rsidRPr="00E845D4">
        <w:t>Fink R, Beavers J, Joiner G</w:t>
      </w:r>
      <w:r>
        <w:t xml:space="preserve">, </w:t>
      </w:r>
      <w:r w:rsidRPr="00E845D4">
        <w:t>1982</w:t>
      </w:r>
      <w:r>
        <w:t xml:space="preserve">. </w:t>
      </w:r>
      <w:r w:rsidRPr="00E845D4">
        <w:t>Diquat technical (SX1260): acute oral LD</w:t>
      </w:r>
      <w:r w:rsidRPr="00376A70">
        <w:rPr>
          <w:vertAlign w:val="subscript"/>
        </w:rPr>
        <w:t>50</w:t>
      </w:r>
      <w:r w:rsidR="004C1210">
        <w:t>–</w:t>
      </w:r>
      <w:r w:rsidRPr="00E845D4">
        <w:t>mallard duck</w:t>
      </w:r>
      <w:r>
        <w:t xml:space="preserve">. Reference no. </w:t>
      </w:r>
      <w:r w:rsidRPr="00E845D4">
        <w:t>4143</w:t>
      </w:r>
    </w:p>
    <w:p w14:paraId="6A871C9A" w14:textId="77777777" w:rsidR="008247E7" w:rsidRPr="00E845D4" w:rsidRDefault="008247E7" w:rsidP="0059513C">
      <w:pPr>
        <w:pStyle w:val="NormalText"/>
      </w:pPr>
      <w:r>
        <w:rPr>
          <w:szCs w:val="19"/>
        </w:rPr>
        <w:t>Fletcher K, 1967. Toxicity tests on Gramoxone (LTS) for registration in the USSR. Report No. IHR/213</w:t>
      </w:r>
    </w:p>
    <w:p w14:paraId="156643D7" w14:textId="3EF2A648" w:rsidR="00C52A22" w:rsidRDefault="00C52A22" w:rsidP="0059513C">
      <w:pPr>
        <w:pStyle w:val="NormalText"/>
      </w:pPr>
      <w:r w:rsidRPr="00C52A22">
        <w:t>Fletcher K, Griffiths D &amp; Kinch DA</w:t>
      </w:r>
      <w:r>
        <w:t xml:space="preserve">, </w:t>
      </w:r>
      <w:r w:rsidRPr="00C52A22">
        <w:t>1972</w:t>
      </w:r>
      <w:r>
        <w:t>.</w:t>
      </w:r>
      <w:r w:rsidRPr="00C52A22">
        <w:t xml:space="preserve"> Diquat dibromide: Three-generation reproduction study in rats. Report No. HO/IH/R/331A. </w:t>
      </w:r>
    </w:p>
    <w:p w14:paraId="5C61288B" w14:textId="7DA74746" w:rsidR="008247E7" w:rsidRPr="00120DD8" w:rsidRDefault="008247E7" w:rsidP="0059513C">
      <w:pPr>
        <w:pStyle w:val="NormalText"/>
      </w:pPr>
      <w:r w:rsidRPr="00120DD8">
        <w:lastRenderedPageBreak/>
        <w:t>Fletcher D</w:t>
      </w:r>
      <w:r>
        <w:t>,</w:t>
      </w:r>
      <w:r w:rsidRPr="00120DD8">
        <w:t xml:space="preserve"> 1977</w:t>
      </w:r>
      <w:r>
        <w:t>.</w:t>
      </w:r>
      <w:r w:rsidRPr="00120DD8">
        <w:t xml:space="preserve"> Toxicity, reproduction and residue study with diquat dibromide monohydrate in white leghorn chickens</w:t>
      </w:r>
      <w:r>
        <w:t>. Report</w:t>
      </w:r>
      <w:r w:rsidRPr="00120DD8">
        <w:t xml:space="preserve"> no. IBT 8580-09546.</w:t>
      </w:r>
    </w:p>
    <w:p w14:paraId="165D4C38" w14:textId="77777777" w:rsidR="008247E7" w:rsidRPr="00120DD8" w:rsidRDefault="008247E7" w:rsidP="0059513C">
      <w:pPr>
        <w:pStyle w:val="NormalText"/>
      </w:pPr>
      <w:bookmarkStart w:id="559" w:name="_Hlk160717904"/>
      <w:r w:rsidRPr="00120DD8">
        <w:t>French DA and Leahey JP</w:t>
      </w:r>
      <w:r>
        <w:t>,</w:t>
      </w:r>
      <w:r w:rsidRPr="00120DD8">
        <w:t xml:space="preserve"> 1988</w:t>
      </w:r>
      <w:bookmarkEnd w:id="559"/>
      <w:r>
        <w:t>.</w:t>
      </w:r>
      <w:r w:rsidRPr="00120DD8">
        <w:t xml:space="preserve"> Diquat: Quantification and characterization of radioactive residues in hen tissues and eggs</w:t>
      </w:r>
      <w:r>
        <w:t>.</w:t>
      </w:r>
      <w:r w:rsidRPr="00120DD8">
        <w:t xml:space="preserve"> Report no. RJ0622B.</w:t>
      </w:r>
    </w:p>
    <w:p w14:paraId="1441AD27" w14:textId="77777777" w:rsidR="008247E7" w:rsidRPr="00E845D4" w:rsidRDefault="008247E7" w:rsidP="0059513C">
      <w:pPr>
        <w:pStyle w:val="NormalText"/>
      </w:pPr>
      <w:r w:rsidRPr="00E845D4">
        <w:t>Ford G, Cole R, Graham C</w:t>
      </w:r>
      <w:r>
        <w:t xml:space="preserve">, </w:t>
      </w:r>
      <w:r w:rsidRPr="00E845D4">
        <w:t>2012</w:t>
      </w:r>
      <w:r>
        <w:t xml:space="preserve">. </w:t>
      </w:r>
      <w:r w:rsidRPr="00E845D4">
        <w:t>Diquat: aerobic and anaerobic routes and rate of degradation in two aquatic water/ sediment systems</w:t>
      </w:r>
      <w:r>
        <w:t xml:space="preserve">. Reference no. </w:t>
      </w:r>
      <w:r w:rsidRPr="00E845D4">
        <w:t xml:space="preserve">SGA/57 </w:t>
      </w:r>
    </w:p>
    <w:p w14:paraId="369C7C79" w14:textId="77777777" w:rsidR="008247E7" w:rsidRPr="00E845D4" w:rsidRDefault="008247E7" w:rsidP="0059513C">
      <w:pPr>
        <w:pStyle w:val="NormalText"/>
      </w:pPr>
      <w:r w:rsidRPr="00E845D4">
        <w:t>Friedrich S</w:t>
      </w:r>
      <w:r>
        <w:t xml:space="preserve">, </w:t>
      </w:r>
      <w:r w:rsidRPr="00E845D4">
        <w:t>2007</w:t>
      </w:r>
      <w:r>
        <w:t>(</w:t>
      </w:r>
      <w:r w:rsidRPr="00E845D4">
        <w:t>a</w:t>
      </w:r>
      <w:r>
        <w:t xml:space="preserve">). </w:t>
      </w:r>
      <w:r w:rsidRPr="00E845D4">
        <w:t xml:space="preserve">Diquat SL (A1412A): sublethal toxicity to the earthworm </w:t>
      </w:r>
      <w:r w:rsidRPr="00376A70">
        <w:rPr>
          <w:i/>
          <w:iCs/>
        </w:rPr>
        <w:t>Eisenia fetida</w:t>
      </w:r>
      <w:r>
        <w:t xml:space="preserve">. Reference no. </w:t>
      </w:r>
      <w:r w:rsidRPr="00E845D4">
        <w:t>PP901/2098</w:t>
      </w:r>
    </w:p>
    <w:p w14:paraId="2C5FF67D" w14:textId="77777777" w:rsidR="008247E7" w:rsidRPr="00E845D4" w:rsidRDefault="008247E7" w:rsidP="0059513C">
      <w:pPr>
        <w:pStyle w:val="NormalText"/>
      </w:pPr>
      <w:r w:rsidRPr="00E845D4">
        <w:t>Friedrich S</w:t>
      </w:r>
      <w:r>
        <w:t xml:space="preserve">, </w:t>
      </w:r>
      <w:r w:rsidRPr="00E845D4">
        <w:t>2007</w:t>
      </w:r>
      <w:r>
        <w:t>(</w:t>
      </w:r>
      <w:r w:rsidRPr="00E845D4">
        <w:t>b</w:t>
      </w:r>
      <w:r>
        <w:t xml:space="preserve">). </w:t>
      </w:r>
      <w:r w:rsidRPr="00E845D4">
        <w:t xml:space="preserve">Diquat SL (A1412A): effects on the reproduction of the collembolans </w:t>
      </w:r>
      <w:r w:rsidRPr="00376A70">
        <w:rPr>
          <w:i/>
          <w:iCs/>
        </w:rPr>
        <w:t>Folsomia candida</w:t>
      </w:r>
      <w:r>
        <w:t xml:space="preserve">. Reference no. </w:t>
      </w:r>
      <w:r w:rsidRPr="00E845D4">
        <w:t>07 10 48 031 S T001454-07, PP901/2094</w:t>
      </w:r>
    </w:p>
    <w:p w14:paraId="787FECA7" w14:textId="77777777" w:rsidR="008247E7" w:rsidRPr="00E845D4" w:rsidRDefault="008247E7" w:rsidP="0059513C">
      <w:pPr>
        <w:pStyle w:val="NormalText"/>
      </w:pPr>
      <w:r w:rsidRPr="00E845D4">
        <w:t>Friedrich S</w:t>
      </w:r>
      <w:r>
        <w:t xml:space="preserve">, </w:t>
      </w:r>
      <w:r w:rsidRPr="00E845D4">
        <w:t>2011</w:t>
      </w:r>
      <w:r>
        <w:t>(</w:t>
      </w:r>
      <w:r w:rsidRPr="00E845D4">
        <w:t>a</w:t>
      </w:r>
      <w:r>
        <w:t xml:space="preserve">). </w:t>
      </w:r>
      <w:r w:rsidRPr="00E845D4">
        <w:t xml:space="preserve">CGA130327: sublethal toxicity to the earthworm </w:t>
      </w:r>
      <w:r w:rsidRPr="00376A70">
        <w:rPr>
          <w:i/>
          <w:iCs/>
        </w:rPr>
        <w:t>Eisenia fetida</w:t>
      </w:r>
      <w:r w:rsidRPr="00E845D4">
        <w:t xml:space="preserve"> in artificial soil</w:t>
      </w:r>
      <w:r>
        <w:t xml:space="preserve">. Reference no. </w:t>
      </w:r>
      <w:r w:rsidRPr="00E845D4">
        <w:t>CGA130327-10001</w:t>
      </w:r>
    </w:p>
    <w:p w14:paraId="5EA6BB4D" w14:textId="77777777" w:rsidR="008247E7" w:rsidRPr="00E845D4" w:rsidRDefault="008247E7" w:rsidP="0059513C">
      <w:pPr>
        <w:pStyle w:val="NormalText"/>
      </w:pPr>
      <w:r w:rsidRPr="00E845D4">
        <w:t>Friedrich S</w:t>
      </w:r>
      <w:r>
        <w:t xml:space="preserve">, </w:t>
      </w:r>
      <w:r w:rsidRPr="00E845D4">
        <w:t>2011</w:t>
      </w:r>
      <w:r>
        <w:t>(</w:t>
      </w:r>
      <w:r w:rsidRPr="00E845D4">
        <w:t>b</w:t>
      </w:r>
      <w:r>
        <w:t xml:space="preserve">). </w:t>
      </w:r>
      <w:r w:rsidRPr="00E845D4">
        <w:t xml:space="preserve">CGA130327: effects on the reproduction of the collembolans </w:t>
      </w:r>
      <w:r w:rsidRPr="00376A70">
        <w:rPr>
          <w:i/>
          <w:iCs/>
        </w:rPr>
        <w:t>Folsomia candida</w:t>
      </w:r>
      <w:r>
        <w:t xml:space="preserve">. Reference no. </w:t>
      </w:r>
      <w:r w:rsidRPr="00E845D4">
        <w:t>CGA130327-10000</w:t>
      </w:r>
    </w:p>
    <w:p w14:paraId="3D6C63E5" w14:textId="77777777" w:rsidR="008247E7" w:rsidRPr="00286719" w:rsidRDefault="008247E7" w:rsidP="0059513C">
      <w:pPr>
        <w:pStyle w:val="NormalText"/>
      </w:pPr>
      <w:r w:rsidRPr="00286719">
        <w:t>Fujie GH, 1987(a). Validation of residue analytical method RM-5C for diquat in crops. Report no. R-10RM5CMV.</w:t>
      </w:r>
      <w:r w:rsidRPr="00286719">
        <w:tab/>
      </w:r>
    </w:p>
    <w:p w14:paraId="024129C1" w14:textId="77777777" w:rsidR="008247E7" w:rsidRPr="00443569" w:rsidRDefault="008247E7" w:rsidP="0059513C">
      <w:pPr>
        <w:pStyle w:val="NormalText"/>
      </w:pPr>
      <w:r w:rsidRPr="00286719">
        <w:t xml:space="preserve">Fujie GH, 1987(b). Validation of residue analytical method RM-5B-1 for diquat in animal tissues. Report no. </w:t>
      </w:r>
      <w:r w:rsidRPr="00443569">
        <w:t>R-10RM5B1MV.</w:t>
      </w:r>
    </w:p>
    <w:p w14:paraId="18EB7143" w14:textId="77777777" w:rsidR="008247E7" w:rsidRPr="00443569" w:rsidRDefault="008247E7" w:rsidP="0059513C">
      <w:pPr>
        <w:pStyle w:val="NormalText"/>
      </w:pPr>
      <w:r w:rsidRPr="00443569">
        <w:t xml:space="preserve">Fujie GH, 1988(a). Stability of diquat cation in crop matrices stored at -20ºC. Report no. R010/STABILITY. </w:t>
      </w:r>
    </w:p>
    <w:p w14:paraId="1B64C7E6" w14:textId="77777777" w:rsidR="008247E7" w:rsidRPr="00443569" w:rsidRDefault="008247E7" w:rsidP="0059513C">
      <w:pPr>
        <w:pStyle w:val="NormalText"/>
      </w:pPr>
      <w:r w:rsidRPr="00443569">
        <w:t>Fujie GH, 1988(b). Magnitude of diquat cation residues in soybeans. Report no. R010/SOYBEAN.</w:t>
      </w:r>
    </w:p>
    <w:p w14:paraId="045581A6" w14:textId="77777777" w:rsidR="008247E7" w:rsidRPr="00443569" w:rsidRDefault="008247E7" w:rsidP="0059513C">
      <w:pPr>
        <w:pStyle w:val="NormalText"/>
      </w:pPr>
      <w:r w:rsidRPr="00443569">
        <w:t>Fujie GH, 1988(c). Effect of processing on diquat cation residues in grain sorghum. Report no. R010/SORGPROC.</w:t>
      </w:r>
      <w:r w:rsidRPr="00443569">
        <w:tab/>
      </w:r>
    </w:p>
    <w:p w14:paraId="5F5B6E88" w14:textId="77777777" w:rsidR="008247E7" w:rsidRPr="00443569" w:rsidRDefault="008247E7" w:rsidP="0059513C">
      <w:pPr>
        <w:pStyle w:val="NormalText"/>
      </w:pPr>
      <w:r w:rsidRPr="00443569">
        <w:t>Fujie GH, 1988(d). Aquatic field dissipation studies with diquat herbicide. Reference no. R10/1642AQDISS</w:t>
      </w:r>
    </w:p>
    <w:p w14:paraId="51AC3E35" w14:textId="77777777" w:rsidR="008247E7" w:rsidRPr="00443569" w:rsidRDefault="008247E7" w:rsidP="0059513C">
      <w:pPr>
        <w:pStyle w:val="NormalText"/>
      </w:pPr>
      <w:r w:rsidRPr="00443569">
        <w:t>Fujie GH, 1989(a). Diquat accumulation study on irrigated crops in California. Report no. 1653/87/7054.</w:t>
      </w:r>
    </w:p>
    <w:p w14:paraId="57DB592F" w14:textId="77777777" w:rsidR="008247E7" w:rsidRPr="00443569" w:rsidRDefault="008247E7" w:rsidP="0059513C">
      <w:pPr>
        <w:pStyle w:val="NormalText"/>
      </w:pPr>
      <w:r w:rsidRPr="00443569">
        <w:t>Fujie GH, 1989(b). Diquat accumulation study on irrigated crops in Florida. Report no. 1653/87/7050.</w:t>
      </w:r>
      <w:r w:rsidRPr="00443569">
        <w:tab/>
      </w:r>
    </w:p>
    <w:p w14:paraId="14F9496D" w14:textId="77777777" w:rsidR="008247E7" w:rsidRPr="00E845D4" w:rsidRDefault="008247E7" w:rsidP="0059513C">
      <w:pPr>
        <w:pStyle w:val="NormalText"/>
      </w:pPr>
      <w:r w:rsidRPr="00E845D4">
        <w:t>Fujie GH</w:t>
      </w:r>
      <w:r>
        <w:t xml:space="preserve">, </w:t>
      </w:r>
      <w:r w:rsidRPr="00E845D4">
        <w:t>1991</w:t>
      </w:r>
      <w:r>
        <w:t xml:space="preserve">. </w:t>
      </w:r>
      <w:r w:rsidRPr="00E845D4">
        <w:t>Diquat cation: soil dissipation study on potatoes in Idaho</w:t>
      </w:r>
      <w:r>
        <w:t xml:space="preserve">. Reference no. </w:t>
      </w:r>
      <w:r w:rsidRPr="00E845D4">
        <w:t>R010/7060SOILF</w:t>
      </w:r>
    </w:p>
    <w:p w14:paraId="6CC0DE0B" w14:textId="418BB190" w:rsidR="00A17BFF" w:rsidRDefault="00A17BFF" w:rsidP="00A17BFF">
      <w:pPr>
        <w:pStyle w:val="APVMAText"/>
        <w:rPr>
          <w:sz w:val="19"/>
          <w:szCs w:val="19"/>
        </w:rPr>
      </w:pPr>
      <w:r>
        <w:rPr>
          <w:sz w:val="19"/>
          <w:szCs w:val="19"/>
        </w:rPr>
        <w:t xml:space="preserve">Fuller S, Dryer B, 2008. </w:t>
      </w:r>
      <w:r w:rsidRPr="001C1A0D">
        <w:rPr>
          <w:sz w:val="19"/>
          <w:szCs w:val="19"/>
        </w:rPr>
        <w:t>An integrated pest management strategy for climbing rat in the far-north Queensland</w:t>
      </w:r>
      <w:r>
        <w:rPr>
          <w:sz w:val="19"/>
          <w:szCs w:val="19"/>
        </w:rPr>
        <w:t xml:space="preserve"> </w:t>
      </w:r>
      <w:r w:rsidRPr="001C1A0D">
        <w:rPr>
          <w:sz w:val="19"/>
          <w:szCs w:val="19"/>
        </w:rPr>
        <w:t>sugarcane production system : SRDC final report QUT003. BSES Limited Publication</w:t>
      </w:r>
      <w:r>
        <w:rPr>
          <w:sz w:val="19"/>
          <w:szCs w:val="19"/>
        </w:rPr>
        <w:t xml:space="preserve">. </w:t>
      </w:r>
      <w:hyperlink r:id="rId58" w:history="1">
        <w:r w:rsidRPr="00287DE8">
          <w:rPr>
            <w:rStyle w:val="Hyperlink"/>
            <w:sz w:val="19"/>
            <w:szCs w:val="19"/>
          </w:rPr>
          <w:t>https://elibrary.sugarresearch.com.au/home</w:t>
        </w:r>
      </w:hyperlink>
    </w:p>
    <w:p w14:paraId="3A829CE9" w14:textId="77777777" w:rsidR="008247E7" w:rsidRPr="00E845D4" w:rsidRDefault="008247E7" w:rsidP="0059513C">
      <w:pPr>
        <w:pStyle w:val="NormalText"/>
      </w:pPr>
      <w:r w:rsidRPr="00E845D4">
        <w:t>Gough HJ, Collins I, Jackson D</w:t>
      </w:r>
      <w:r>
        <w:t xml:space="preserve">, </w:t>
      </w:r>
      <w:r w:rsidRPr="00E845D4">
        <w:t>1987</w:t>
      </w:r>
      <w:r>
        <w:t xml:space="preserve">. </w:t>
      </w:r>
      <w:r w:rsidRPr="00E845D4">
        <w:t>Diquat: acute 5-day contact and oral toxicity to honey bees (</w:t>
      </w:r>
      <w:r w:rsidRPr="00376A70">
        <w:rPr>
          <w:i/>
          <w:iCs/>
        </w:rPr>
        <w:t>Apis mellifera</w:t>
      </w:r>
      <w:r w:rsidRPr="00E845D4">
        <w:t>)</w:t>
      </w:r>
      <w:r>
        <w:t xml:space="preserve">. Reference no. </w:t>
      </w:r>
      <w:r w:rsidRPr="00E845D4">
        <w:t>RJ055B</w:t>
      </w:r>
    </w:p>
    <w:p w14:paraId="3FCA66F8" w14:textId="77777777" w:rsidR="008247E7" w:rsidRDefault="008247E7" w:rsidP="0059513C">
      <w:pPr>
        <w:pStyle w:val="NormalText"/>
      </w:pPr>
      <w:r w:rsidRPr="00E845D4">
        <w:lastRenderedPageBreak/>
        <w:t>Gough HJ, McMullin LC, Canning L, Jackson D, White JS</w:t>
      </w:r>
      <w:r>
        <w:t xml:space="preserve">, </w:t>
      </w:r>
      <w:r w:rsidRPr="00E845D4">
        <w:t>1991</w:t>
      </w:r>
      <w:r>
        <w:t xml:space="preserve">. </w:t>
      </w:r>
      <w:r w:rsidRPr="00E845D4">
        <w:t xml:space="preserve">Diquat: laboratory toxicity to the carabid beetle </w:t>
      </w:r>
      <w:r w:rsidRPr="00376A70">
        <w:rPr>
          <w:i/>
          <w:iCs/>
        </w:rPr>
        <w:t>Pterostichus melanarius</w:t>
      </w:r>
      <w:r w:rsidRPr="00E845D4">
        <w:t xml:space="preserve">, a lycosid spider </w:t>
      </w:r>
      <w:r w:rsidRPr="00376A70">
        <w:rPr>
          <w:i/>
          <w:iCs/>
        </w:rPr>
        <w:t>Pardosa</w:t>
      </w:r>
      <w:r w:rsidRPr="00E845D4">
        <w:t xml:space="preserve"> spp and larvae of the green lacewing </w:t>
      </w:r>
      <w:r w:rsidRPr="00376A70">
        <w:rPr>
          <w:i/>
          <w:iCs/>
        </w:rPr>
        <w:t>Chrysoperla carnea</w:t>
      </w:r>
      <w:r w:rsidRPr="00E845D4">
        <w:t xml:space="preserve"> of residues of a 200 g/L aqueous formulation</w:t>
      </w:r>
      <w:r>
        <w:t xml:space="preserve">. Reference no. </w:t>
      </w:r>
      <w:r w:rsidRPr="00E845D4">
        <w:t>RJ0922E</w:t>
      </w:r>
    </w:p>
    <w:p w14:paraId="344FE508" w14:textId="6F30CD0D" w:rsidR="005E214C" w:rsidRDefault="005E214C" w:rsidP="0059513C">
      <w:pPr>
        <w:pStyle w:val="NormalText"/>
        <w:rPr>
          <w:szCs w:val="19"/>
        </w:rPr>
      </w:pPr>
      <w:r w:rsidRPr="005E214C">
        <w:rPr>
          <w:szCs w:val="19"/>
        </w:rPr>
        <w:t xml:space="preserve">Griffiths D, Ponsford DC &amp; Weston-Hurst E (1966) A study of reproduction in rats treated with diquat dichloride monohydrate in the diet. Report No. IHR/188. 1.1966 </w:t>
      </w:r>
    </w:p>
    <w:p w14:paraId="0467E21F" w14:textId="77777777" w:rsidR="008247E7" w:rsidRPr="00E845D4" w:rsidRDefault="008247E7" w:rsidP="0059513C">
      <w:pPr>
        <w:pStyle w:val="NormalText"/>
      </w:pPr>
      <w:r w:rsidRPr="00E845D4">
        <w:t>Hamer M, Farrelly E, Hill I</w:t>
      </w:r>
      <w:r>
        <w:t xml:space="preserve">, </w:t>
      </w:r>
      <w:r w:rsidRPr="00E845D4">
        <w:t>1987</w:t>
      </w:r>
      <w:r>
        <w:t xml:space="preserve">. </w:t>
      </w:r>
      <w:r w:rsidRPr="00E845D4">
        <w:t>Diquat: investigation of accumulation in bluegill sunfish in a flow-through system</w:t>
      </w:r>
      <w:r>
        <w:t xml:space="preserve">. Reference no. </w:t>
      </w:r>
      <w:r w:rsidRPr="00E845D4">
        <w:t>RJ0608B</w:t>
      </w:r>
    </w:p>
    <w:p w14:paraId="205A8446" w14:textId="77777777" w:rsidR="008247E7" w:rsidRPr="00120DD8" w:rsidRDefault="008247E7" w:rsidP="0059513C">
      <w:pPr>
        <w:pStyle w:val="NormalText"/>
      </w:pPr>
      <w:r w:rsidRPr="00D9554C">
        <w:t>Haller B and Winner S, 2013. Determination of Residues of Diquat in Poppy Seed Following One Application of Reglone Applied at Four Different Timings Before Harvest. Study Number SYN12447</w:t>
      </w:r>
    </w:p>
    <w:p w14:paraId="7AF6E088" w14:textId="6F039DAE" w:rsidR="005F703E" w:rsidRDefault="005F703E" w:rsidP="0059513C">
      <w:pPr>
        <w:pStyle w:val="NormalText"/>
      </w:pPr>
      <w:r w:rsidRPr="005F703E">
        <w:t xml:space="preserve">Harling RJ, Buist DP </w:t>
      </w:r>
      <w:r>
        <w:t>and</w:t>
      </w:r>
      <w:r w:rsidRPr="005F703E">
        <w:t xml:space="preserve"> Gopinath C</w:t>
      </w:r>
      <w:r>
        <w:t>,</w:t>
      </w:r>
      <w:r w:rsidRPr="005F703E">
        <w:t xml:space="preserve"> 1997</w:t>
      </w:r>
      <w:r>
        <w:t>.</w:t>
      </w:r>
      <w:r w:rsidRPr="005F703E">
        <w:t xml:space="preserve"> Diquat Dibromide: Evaluation of potential carcinogenicity and chronic toxicity by prolonged dietary administration to rats. Addendum Reports 1 [13 week data] &amp; 2 [2 year data]. Report No. ICI 406/83763.</w:t>
      </w:r>
    </w:p>
    <w:p w14:paraId="4B913012" w14:textId="5E72F391" w:rsidR="008247E7" w:rsidRDefault="008247E7" w:rsidP="0059513C">
      <w:pPr>
        <w:pStyle w:val="NormalText"/>
      </w:pPr>
      <w:r w:rsidRPr="00E845D4">
        <w:t>Hayes SE</w:t>
      </w:r>
      <w:r>
        <w:t xml:space="preserve">, </w:t>
      </w:r>
      <w:r w:rsidRPr="00E845D4">
        <w:t>2001</w:t>
      </w:r>
      <w:r>
        <w:t xml:space="preserve">. </w:t>
      </w:r>
      <w:r w:rsidRPr="00E845D4">
        <w:t>Diquat dibromide: calculation of half-life by reaction with atmospheric hydroxyl radicals</w:t>
      </w:r>
      <w:r>
        <w:t xml:space="preserve">. Reference no. </w:t>
      </w:r>
      <w:r w:rsidRPr="00E845D4">
        <w:t>52147/01</w:t>
      </w:r>
    </w:p>
    <w:p w14:paraId="1BEDF6B0" w14:textId="77777777" w:rsidR="008247E7" w:rsidRDefault="008247E7" w:rsidP="0059513C">
      <w:pPr>
        <w:pStyle w:val="NormalText"/>
      </w:pPr>
      <w:r>
        <w:t>Heath J and Leahey JP, 1989. Diquat: Degradation on wheat. Report no. RJ0731B.</w:t>
      </w:r>
    </w:p>
    <w:p w14:paraId="131D70BE" w14:textId="77777777" w:rsidR="008247E7" w:rsidRDefault="008247E7" w:rsidP="0059513C">
      <w:pPr>
        <w:pStyle w:val="NormalText"/>
      </w:pPr>
      <w:r>
        <w:t>Heath J, 1992. Diquat: Irradiation in aqueous solutions of glucose. Report no. RJ1199B.</w:t>
      </w:r>
    </w:p>
    <w:p w14:paraId="6B7AE257" w14:textId="77777777" w:rsidR="008247E7" w:rsidRPr="00120DD8" w:rsidRDefault="008247E7" w:rsidP="0059513C">
      <w:pPr>
        <w:pStyle w:val="NormalText"/>
      </w:pPr>
      <w:bookmarkStart w:id="560" w:name="_Hlk160717816"/>
      <w:r w:rsidRPr="00120DD8">
        <w:t>Hemingway RJ, Leahey JP, Davis JA and Burgess JG</w:t>
      </w:r>
      <w:r>
        <w:t>,</w:t>
      </w:r>
      <w:r w:rsidRPr="00120DD8">
        <w:t xml:space="preserve"> 1974</w:t>
      </w:r>
      <w:bookmarkEnd w:id="560"/>
      <w:r>
        <w:t>.</w:t>
      </w:r>
      <w:r w:rsidRPr="00120DD8">
        <w:t xml:space="preserve"> Diquat: Metabolism of diquat and its photoproducts in a cow</w:t>
      </w:r>
      <w:r>
        <w:t>.</w:t>
      </w:r>
      <w:r w:rsidRPr="00120DD8">
        <w:t xml:space="preserve"> Report no. AR2530B.</w:t>
      </w:r>
      <w:r w:rsidRPr="00120DD8">
        <w:tab/>
      </w:r>
    </w:p>
    <w:p w14:paraId="644A2215" w14:textId="36CA73B5" w:rsidR="008247E7" w:rsidRPr="00120DD8" w:rsidRDefault="008247E7" w:rsidP="0059513C">
      <w:pPr>
        <w:pStyle w:val="NormalText"/>
      </w:pPr>
      <w:bookmarkStart w:id="561" w:name="_Hlk160717721"/>
      <w:r w:rsidRPr="00120DD8">
        <w:t>Hemingway RJ, Leahey JP, Davis JA and Griggs RE</w:t>
      </w:r>
      <w:r>
        <w:t>,</w:t>
      </w:r>
      <w:r w:rsidRPr="00120DD8">
        <w:t xml:space="preserve"> 1973</w:t>
      </w:r>
      <w:bookmarkEnd w:id="561"/>
      <w:r>
        <w:t>.</w:t>
      </w:r>
      <w:r w:rsidRPr="00120DD8">
        <w:t xml:space="preserve"> Diquat: Metabolism of diquat and its photoproducts in goats</w:t>
      </w:r>
      <w:r>
        <w:t>.</w:t>
      </w:r>
      <w:r w:rsidRPr="00120DD8">
        <w:t xml:space="preserve"> Report no. AR2448B.</w:t>
      </w:r>
    </w:p>
    <w:p w14:paraId="0B0A70D9" w14:textId="77777777" w:rsidR="008247E7" w:rsidRPr="00E845D4" w:rsidRDefault="008247E7" w:rsidP="0059513C">
      <w:pPr>
        <w:pStyle w:val="NormalText"/>
      </w:pPr>
      <w:r>
        <w:rPr>
          <w:szCs w:val="19"/>
        </w:rPr>
        <w:t>Heylings JR, Farnworth MJ, 1992. Paraquat: acute oral toxicity and absorption in the mouse. Report no. CTL/R/1119</w:t>
      </w:r>
    </w:p>
    <w:p w14:paraId="783A29D5" w14:textId="77777777" w:rsidR="00A17BFF" w:rsidRDefault="00A17BFF" w:rsidP="00A17BFF">
      <w:pPr>
        <w:pStyle w:val="APVMAText"/>
        <w:rPr>
          <w:sz w:val="19"/>
          <w:szCs w:val="19"/>
        </w:rPr>
      </w:pPr>
      <w:r w:rsidRPr="002F5963">
        <w:rPr>
          <w:sz w:val="19"/>
          <w:szCs w:val="19"/>
        </w:rPr>
        <w:t>Hill EF, Heath RG, Spann JW, Williams JD, 1975. Lethal dietary toxicities of environmental pollutants to birds. Special Scientific Report - Wildlife no. 191, United States Fish and Wildlife Service. Washington DC. Unites States</w:t>
      </w:r>
    </w:p>
    <w:p w14:paraId="2A97F9EB" w14:textId="77777777" w:rsidR="008247E7" w:rsidRDefault="008247E7" w:rsidP="0059513C">
      <w:pPr>
        <w:pStyle w:val="NormalText"/>
      </w:pPr>
      <w:r w:rsidRPr="00E845D4">
        <w:t>Hoberg J</w:t>
      </w:r>
      <w:r>
        <w:t xml:space="preserve">, </w:t>
      </w:r>
      <w:r w:rsidRPr="00E845D4">
        <w:t>1987</w:t>
      </w:r>
      <w:r>
        <w:t xml:space="preserve">. </w:t>
      </w:r>
      <w:r w:rsidRPr="00E845D4">
        <w:t>Acute toxicity of diquat concentrate to mysid shrimp (</w:t>
      </w:r>
      <w:r w:rsidRPr="00376A70">
        <w:rPr>
          <w:i/>
          <w:iCs/>
        </w:rPr>
        <w:t>Mysidopsis bahia</w:t>
      </w:r>
      <w:r w:rsidRPr="00E845D4">
        <w:t>)</w:t>
      </w:r>
      <w:r>
        <w:t xml:space="preserve">. Reference no. </w:t>
      </w:r>
      <w:r w:rsidRPr="00E845D4">
        <w:t>981.0287.6111.510</w:t>
      </w:r>
    </w:p>
    <w:p w14:paraId="47BFB65C" w14:textId="77777777" w:rsidR="00870347" w:rsidRDefault="00870347" w:rsidP="0059513C">
      <w:pPr>
        <w:pStyle w:val="NormalText"/>
      </w:pPr>
      <w:r w:rsidRPr="00387EE5">
        <w:t>Hodge, MCE 198</w:t>
      </w:r>
      <w:r>
        <w:t>8(</w:t>
      </w:r>
      <w:r w:rsidRPr="00387EE5">
        <w:t>b</w:t>
      </w:r>
      <w:r>
        <w:t>).</w:t>
      </w:r>
      <w:r w:rsidRPr="00387EE5">
        <w:t xml:space="preserve"> </w:t>
      </w:r>
      <w:r w:rsidRPr="00870347">
        <w:t>Diquat: 90 Day Feeding Study in Rats. Report No. CTL/P/1832</w:t>
      </w:r>
    </w:p>
    <w:p w14:paraId="23CABA68" w14:textId="12B443AD" w:rsidR="00870347" w:rsidRDefault="00387EE5" w:rsidP="0059513C">
      <w:pPr>
        <w:pStyle w:val="NormalText"/>
      </w:pPr>
      <w:r w:rsidRPr="00387EE5">
        <w:t>Hodge, MCE 1989</w:t>
      </w:r>
      <w:r>
        <w:t>(</w:t>
      </w:r>
      <w:r w:rsidRPr="00387EE5">
        <w:t>a</w:t>
      </w:r>
      <w:r>
        <w:t>)</w:t>
      </w:r>
      <w:r w:rsidR="00870347">
        <w:t>.</w:t>
      </w:r>
      <w:r w:rsidRPr="00387EE5">
        <w:t xml:space="preserve"> Diquat: 90 Day Feeding Study in Rats. Report No: CTL/P/1832</w:t>
      </w:r>
      <w:r w:rsidR="00870347" w:rsidRPr="00870347">
        <w:t xml:space="preserve"> (amended).</w:t>
      </w:r>
    </w:p>
    <w:p w14:paraId="235B71FB" w14:textId="42F6A3A8" w:rsidR="008247E7" w:rsidRPr="00E845D4" w:rsidRDefault="008247E7" w:rsidP="0059513C">
      <w:pPr>
        <w:pStyle w:val="NormalText"/>
      </w:pPr>
      <w:r w:rsidRPr="00E845D4">
        <w:t>Hodge M</w:t>
      </w:r>
      <w:r w:rsidR="004537A0">
        <w:t>CE</w:t>
      </w:r>
      <w:r>
        <w:t xml:space="preserve">, </w:t>
      </w:r>
      <w:r w:rsidRPr="00E845D4">
        <w:t>1990</w:t>
      </w:r>
      <w:r>
        <w:t xml:space="preserve">. </w:t>
      </w:r>
      <w:r w:rsidRPr="00E845D4">
        <w:t>Diquat: multigeneration study in the rat</w:t>
      </w:r>
      <w:r>
        <w:t xml:space="preserve">. Reference no. </w:t>
      </w:r>
      <w:r w:rsidRPr="00E845D4">
        <w:t>CTL/P/24</w:t>
      </w:r>
      <w:r w:rsidR="00797241">
        <w:t>6</w:t>
      </w:r>
      <w:r w:rsidRPr="00E845D4">
        <w:t>2: RRO393</w:t>
      </w:r>
    </w:p>
    <w:p w14:paraId="6252908F" w14:textId="2E0D8316" w:rsidR="003A5B27" w:rsidRDefault="003A5B27" w:rsidP="0059513C">
      <w:pPr>
        <w:pStyle w:val="NormalText"/>
      </w:pPr>
      <w:r>
        <w:t xml:space="preserve">Hodge MCE, 1992(a). Diquat: Two year feeding study in mice. Study No. PM0749. Report No. CTL/P/3409. </w:t>
      </w:r>
    </w:p>
    <w:p w14:paraId="3998015C" w14:textId="32CA20D9" w:rsidR="003A5B27" w:rsidRDefault="003A5B27" w:rsidP="0059513C">
      <w:pPr>
        <w:pStyle w:val="NormalText"/>
      </w:pPr>
      <w:r>
        <w:t xml:space="preserve">Hodge MCE, 1992(b). First supplement to Diquat: Two year feeding study in mice. Report No. CTL/P/3409. </w:t>
      </w:r>
    </w:p>
    <w:p w14:paraId="06307A36" w14:textId="20C4D123" w:rsidR="008247E7" w:rsidRPr="00120DD8" w:rsidRDefault="008247E7" w:rsidP="0059513C">
      <w:pPr>
        <w:pStyle w:val="NormalText"/>
      </w:pPr>
      <w:r w:rsidRPr="00120DD8">
        <w:lastRenderedPageBreak/>
        <w:t>Hogbin J and Thorndycraft MD</w:t>
      </w:r>
      <w:r>
        <w:t>,</w:t>
      </w:r>
      <w:r w:rsidRPr="00120DD8">
        <w:t xml:space="preserve"> 1992</w:t>
      </w:r>
      <w:r>
        <w:t>.</w:t>
      </w:r>
      <w:r w:rsidRPr="00120DD8">
        <w:t xml:space="preserve"> The determination of paraquat and diquat in plant washings by UV spectrophotometry using multi-component software (MCS)</w:t>
      </w:r>
      <w:r>
        <w:t>. Report</w:t>
      </w:r>
      <w:r w:rsidRPr="00120DD8">
        <w:t xml:space="preserve"> no. PAM 977.</w:t>
      </w:r>
    </w:p>
    <w:p w14:paraId="7F69AD2B" w14:textId="6767F189" w:rsidR="003A5B27" w:rsidRDefault="003A5B27" w:rsidP="0059513C">
      <w:pPr>
        <w:pStyle w:val="NormalText"/>
      </w:pPr>
      <w:r w:rsidRPr="003A5B27">
        <w:t>Hopkins MN</w:t>
      </w:r>
      <w:r>
        <w:t>,</w:t>
      </w:r>
      <w:r w:rsidRPr="003A5B27">
        <w:t xml:space="preserve"> 1990</w:t>
      </w:r>
      <w:r>
        <w:t>.</w:t>
      </w:r>
      <w:r w:rsidRPr="003A5B27">
        <w:t xml:space="preserve"> Diquat: 1 year feeding study in dogs. Report No. CTL/P/2596.</w:t>
      </w:r>
    </w:p>
    <w:p w14:paraId="21AB2892" w14:textId="7CDD63DC" w:rsidR="004537A0" w:rsidRDefault="004537A0" w:rsidP="0059513C">
      <w:pPr>
        <w:pStyle w:val="NormalText"/>
      </w:pPr>
      <w:r w:rsidRPr="004537A0">
        <w:t>Horner JM, 1992</w:t>
      </w:r>
      <w:r w:rsidR="0070417A">
        <w:t>(a).</w:t>
      </w:r>
      <w:r w:rsidRPr="004537A0">
        <w:t xml:space="preserve"> Diquat: Subchronic neurotoxicity study in rats. Report No. CTL/P/3751. </w:t>
      </w:r>
    </w:p>
    <w:p w14:paraId="374376B9" w14:textId="322E765E" w:rsidR="0070417A" w:rsidRPr="004537A0" w:rsidRDefault="0070417A" w:rsidP="0059513C">
      <w:pPr>
        <w:pStyle w:val="NormalText"/>
      </w:pPr>
      <w:r w:rsidRPr="0070417A">
        <w:t>Horner JM</w:t>
      </w:r>
      <w:r>
        <w:t xml:space="preserve">, </w:t>
      </w:r>
      <w:r w:rsidRPr="0070417A">
        <w:t>1992</w:t>
      </w:r>
      <w:r>
        <w:t>(b</w:t>
      </w:r>
      <w:r w:rsidRPr="0070417A">
        <w:t>)</w:t>
      </w:r>
      <w:r>
        <w:t>.</w:t>
      </w:r>
      <w:r w:rsidRPr="0070417A">
        <w:t xml:space="preserve"> Diquat: Acute neurotoxicity study in rats. Report No. CTL/P/3789.</w:t>
      </w:r>
    </w:p>
    <w:p w14:paraId="0CCD1CCC" w14:textId="40971767" w:rsidR="008247E7" w:rsidRDefault="008247E7" w:rsidP="0059513C">
      <w:pPr>
        <w:pStyle w:val="NormalText"/>
      </w:pPr>
      <w:r w:rsidRPr="00E845D4">
        <w:t>Hubbard PM</w:t>
      </w:r>
      <w:r>
        <w:t xml:space="preserve">, </w:t>
      </w:r>
      <w:r w:rsidRPr="00E845D4">
        <w:t>2013</w:t>
      </w:r>
      <w:r>
        <w:t xml:space="preserve">. </w:t>
      </w:r>
      <w:r w:rsidRPr="00E845D4">
        <w:t>Diquat dibromide: an acute oral toxicity study with the zebra finch using a sequential testing procedure</w:t>
      </w:r>
      <w:r>
        <w:t xml:space="preserve">. Reference no. </w:t>
      </w:r>
      <w:r w:rsidRPr="00E845D4">
        <w:t>528-366</w:t>
      </w:r>
    </w:p>
    <w:p w14:paraId="33D673E9" w14:textId="77777777" w:rsidR="008247E7" w:rsidRPr="00E845D4" w:rsidRDefault="008247E7" w:rsidP="0059513C">
      <w:pPr>
        <w:pStyle w:val="NormalText"/>
      </w:pPr>
      <w:r w:rsidRPr="0070417A">
        <w:t>Hubbard P, Martin K, Beaver</w:t>
      </w:r>
      <w:r>
        <w:rPr>
          <w:szCs w:val="19"/>
        </w:rPr>
        <w:t>s J, 2014. Paraquat dichloride: an acute oral toxicity study with zebra finch using a sequential testing procedure. Reference no. RJ2649B</w:t>
      </w:r>
    </w:p>
    <w:p w14:paraId="45297528" w14:textId="77777777" w:rsidR="008247E7" w:rsidRDefault="008247E7" w:rsidP="0059513C">
      <w:pPr>
        <w:pStyle w:val="NormalText"/>
      </w:pPr>
      <w:r w:rsidRPr="00E845D4">
        <w:t>Husband R</w:t>
      </w:r>
      <w:r>
        <w:t xml:space="preserve">, </w:t>
      </w:r>
      <w:r w:rsidRPr="00E845D4">
        <w:t>2001</w:t>
      </w:r>
      <w:r>
        <w:t xml:space="preserve">. </w:t>
      </w:r>
      <w:r w:rsidRPr="00E845D4">
        <w:t>Physical and chemical properties of pure material</w:t>
      </w:r>
      <w:r>
        <w:t>. APVMA d</w:t>
      </w:r>
      <w:r w:rsidRPr="00E845D4">
        <w:t>ata no. 220849</w:t>
      </w:r>
    </w:p>
    <w:p w14:paraId="62804C42" w14:textId="77777777" w:rsidR="008247E7" w:rsidRDefault="008247E7" w:rsidP="0059513C">
      <w:pPr>
        <w:pStyle w:val="NormalText"/>
      </w:pPr>
      <w:bookmarkStart w:id="562" w:name="_Hlk160717879"/>
      <w:r w:rsidRPr="00120DD8">
        <w:t>Hughes HE and Leahey JP</w:t>
      </w:r>
      <w:r>
        <w:t>,</w:t>
      </w:r>
      <w:r w:rsidRPr="00120DD8">
        <w:t xml:space="preserve"> 1975</w:t>
      </w:r>
      <w:bookmarkEnd w:id="562"/>
      <w:r>
        <w:t>.</w:t>
      </w:r>
      <w:r w:rsidRPr="00120DD8">
        <w:t xml:space="preserve"> Diquat: Residues resulting in the eggs and tissues of hens dosed with 14C-diquat desiccated barley grain</w:t>
      </w:r>
      <w:r>
        <w:t>.</w:t>
      </w:r>
      <w:r w:rsidRPr="00120DD8">
        <w:t xml:space="preserve"> Report no. AR2581B.</w:t>
      </w:r>
      <w:r w:rsidRPr="00120DD8">
        <w:tab/>
      </w:r>
    </w:p>
    <w:p w14:paraId="6EFA59D0" w14:textId="77777777" w:rsidR="008247E7" w:rsidRPr="00E845D4" w:rsidRDefault="008247E7" w:rsidP="0059513C">
      <w:pPr>
        <w:pStyle w:val="NormalText"/>
      </w:pPr>
      <w:r>
        <w:rPr>
          <w:szCs w:val="19"/>
        </w:rPr>
        <w:t xml:space="preserve">Jackson D, McMullin LC, Canning L, White JS, 1991. Gramoxone 100: investigation of the toxicity of the formulation (containing paraquat dichloride) to the carabid beetle </w:t>
      </w:r>
      <w:r w:rsidRPr="00F62519">
        <w:rPr>
          <w:i/>
          <w:iCs/>
          <w:szCs w:val="19"/>
        </w:rPr>
        <w:t>P. melanarius</w:t>
      </w:r>
      <w:r>
        <w:rPr>
          <w:szCs w:val="19"/>
        </w:rPr>
        <w:t xml:space="preserve"> and a lycosid spider. Reference no. RJ0928B</w:t>
      </w:r>
    </w:p>
    <w:p w14:paraId="1554789A" w14:textId="77777777" w:rsidR="008247E7" w:rsidRDefault="008247E7" w:rsidP="0059513C">
      <w:pPr>
        <w:pStyle w:val="NormalText"/>
      </w:pPr>
      <w:r w:rsidRPr="00120DD8">
        <w:t>James W</w:t>
      </w:r>
      <w:r>
        <w:t>,</w:t>
      </w:r>
      <w:r w:rsidRPr="00120DD8">
        <w:t xml:space="preserve"> 1996</w:t>
      </w:r>
      <w:r>
        <w:t>.</w:t>
      </w:r>
      <w:r w:rsidRPr="00120DD8">
        <w:t xml:space="preserve"> Paraquat and Diquat: Validation of a method for the determination of residues in crops and soi</w:t>
      </w:r>
      <w:r>
        <w:t>. Report</w:t>
      </w:r>
      <w:r w:rsidRPr="00120DD8">
        <w:t xml:space="preserve"> no. ZEN 0396.</w:t>
      </w:r>
      <w:r w:rsidRPr="00120DD8">
        <w:tab/>
      </w:r>
    </w:p>
    <w:p w14:paraId="64A35F1F" w14:textId="6DEF411B" w:rsidR="008247E7" w:rsidRPr="004D7DAA" w:rsidRDefault="008247E7" w:rsidP="0059513C">
      <w:pPr>
        <w:pStyle w:val="NormalText"/>
        <w:rPr>
          <w:szCs w:val="19"/>
        </w:rPr>
      </w:pPr>
      <w:r w:rsidRPr="004D7DAA">
        <w:rPr>
          <w:szCs w:val="19"/>
        </w:rPr>
        <w:t>JMPR, 1994. Pesticide residues in food 1994</w:t>
      </w:r>
      <w:r w:rsidR="004C1210">
        <w:rPr>
          <w:szCs w:val="19"/>
        </w:rPr>
        <w:t>–</w:t>
      </w:r>
      <w:r w:rsidRPr="004D7DAA">
        <w:rPr>
          <w:szCs w:val="19"/>
        </w:rPr>
        <w:t>Evaluations 1994</w:t>
      </w:r>
      <w:r w:rsidR="004C1210">
        <w:rPr>
          <w:szCs w:val="19"/>
        </w:rPr>
        <w:t>–</w:t>
      </w:r>
      <w:r w:rsidRPr="004D7DAA">
        <w:rPr>
          <w:szCs w:val="19"/>
        </w:rPr>
        <w:t>part I</w:t>
      </w:r>
      <w:r w:rsidR="004C1210">
        <w:rPr>
          <w:szCs w:val="19"/>
        </w:rPr>
        <w:t>–</w:t>
      </w:r>
      <w:r w:rsidRPr="004D7DAA">
        <w:rPr>
          <w:szCs w:val="19"/>
        </w:rPr>
        <w:t>Residues. https://openknowledge.fao.org/items/946ff35a-b75c-40bb-b35a-64091d8c61f2</w:t>
      </w:r>
    </w:p>
    <w:p w14:paraId="6A85046C" w14:textId="37527AB9" w:rsidR="008247E7" w:rsidRPr="004D7DAA" w:rsidRDefault="008247E7" w:rsidP="0059513C">
      <w:pPr>
        <w:pStyle w:val="NormalText"/>
        <w:rPr>
          <w:szCs w:val="19"/>
        </w:rPr>
      </w:pPr>
      <w:r w:rsidRPr="004D7DAA">
        <w:rPr>
          <w:szCs w:val="19"/>
        </w:rPr>
        <w:t>JMPR, 2013. Pesticide residues in food 2013 Evaluations Part I</w:t>
      </w:r>
      <w:r w:rsidR="004C1210">
        <w:rPr>
          <w:szCs w:val="19"/>
        </w:rPr>
        <w:t>–</w:t>
      </w:r>
      <w:r w:rsidRPr="004D7DAA">
        <w:rPr>
          <w:szCs w:val="19"/>
        </w:rPr>
        <w:t xml:space="preserve">Residues. Diquat 031. </w:t>
      </w:r>
      <w:hyperlink r:id="rId59" w:history="1">
        <w:r w:rsidRPr="004D7DAA">
          <w:rPr>
            <w:szCs w:val="19"/>
          </w:rPr>
          <w:t>https://openknowledge.fao.org/items/b2615b6c-b712-49b0-a5ec-b732d150a0a6</w:t>
        </w:r>
      </w:hyperlink>
      <w:r w:rsidRPr="004D7DAA">
        <w:rPr>
          <w:szCs w:val="19"/>
        </w:rPr>
        <w:t xml:space="preserve"> </w:t>
      </w:r>
    </w:p>
    <w:p w14:paraId="0C078D1D" w14:textId="5935463C" w:rsidR="008247E7" w:rsidRPr="004D7DAA" w:rsidRDefault="008247E7" w:rsidP="0059513C">
      <w:pPr>
        <w:pStyle w:val="NormalText"/>
        <w:rPr>
          <w:szCs w:val="19"/>
        </w:rPr>
      </w:pPr>
      <w:r w:rsidRPr="004D7DAA">
        <w:rPr>
          <w:szCs w:val="19"/>
        </w:rPr>
        <w:t xml:space="preserve">JMPR, 2018. Pesticide residues in food 2018. Diquat 031. </w:t>
      </w:r>
      <w:hyperlink r:id="rId60" w:history="1">
        <w:r w:rsidRPr="004D7DAA">
          <w:rPr>
            <w:szCs w:val="19"/>
          </w:rPr>
          <w:t>https://www.fao.org/fileadmin/user_upload/IPM_Pesticide/JMPR/Evaluations/2018/Diquat__031_.pdf</w:t>
        </w:r>
      </w:hyperlink>
      <w:r w:rsidRPr="004D7DAA">
        <w:rPr>
          <w:szCs w:val="19"/>
        </w:rPr>
        <w:t xml:space="preserve"> </w:t>
      </w:r>
    </w:p>
    <w:p w14:paraId="5A39DE09" w14:textId="1D219400" w:rsidR="000960D4" w:rsidRPr="000960D4" w:rsidRDefault="000960D4" w:rsidP="0059513C">
      <w:pPr>
        <w:pStyle w:val="NormalText"/>
      </w:pPr>
      <w:r w:rsidRPr="000960D4">
        <w:t xml:space="preserve">Jones GM </w:t>
      </w:r>
      <w:r>
        <w:t>and</w:t>
      </w:r>
      <w:r w:rsidRPr="000960D4">
        <w:t xml:space="preserve"> Vale JA</w:t>
      </w:r>
      <w:r>
        <w:t>,</w:t>
      </w:r>
      <w:r w:rsidRPr="000960D4">
        <w:t xml:space="preserve"> 2000</w:t>
      </w:r>
      <w:r>
        <w:t>.</w:t>
      </w:r>
      <w:r w:rsidRPr="000960D4">
        <w:t xml:space="preserve"> Mechanisms of toxicity, clinical features and management of diquat poisoning: a review. Clin Toxicol 38(2): 123-128</w:t>
      </w:r>
    </w:p>
    <w:p w14:paraId="24ADF687" w14:textId="7C1756FF" w:rsidR="00F02475" w:rsidRPr="00E845D4" w:rsidRDefault="00F02475" w:rsidP="0059513C">
      <w:pPr>
        <w:pStyle w:val="NormalText"/>
      </w:pPr>
      <w:r>
        <w:rPr>
          <w:szCs w:val="19"/>
        </w:rPr>
        <w:t>Johns</w:t>
      </w:r>
      <w:r w:rsidR="00A17BFF">
        <w:rPr>
          <w:szCs w:val="19"/>
        </w:rPr>
        <w:t>t</w:t>
      </w:r>
      <w:r>
        <w:rPr>
          <w:szCs w:val="19"/>
        </w:rPr>
        <w:t>on A, 1998. Paraquat: acute oral LD</w:t>
      </w:r>
      <w:r>
        <w:rPr>
          <w:sz w:val="12"/>
          <w:szCs w:val="12"/>
        </w:rPr>
        <w:t xml:space="preserve">50 </w:t>
      </w:r>
      <w:r>
        <w:rPr>
          <w:szCs w:val="19"/>
        </w:rPr>
        <w:t>to the mallard duck. Reference no. ISN399/963860</w:t>
      </w:r>
    </w:p>
    <w:p w14:paraId="18A58428" w14:textId="2DC558D1" w:rsidR="00F02475" w:rsidRDefault="00F02475" w:rsidP="0059513C">
      <w:pPr>
        <w:pStyle w:val="NormalText"/>
      </w:pPr>
      <w:r w:rsidRPr="00F02475">
        <w:t xml:space="preserve">Johnston AM, Jones C, McCallum J </w:t>
      </w:r>
      <w:r>
        <w:t>and</w:t>
      </w:r>
      <w:r w:rsidRPr="00F02475">
        <w:t xml:space="preserve"> Scott G</w:t>
      </w:r>
      <w:r>
        <w:t xml:space="preserve">, </w:t>
      </w:r>
      <w:r w:rsidRPr="00F02475">
        <w:t>1991</w:t>
      </w:r>
      <w:r>
        <w:t>.</w:t>
      </w:r>
      <w:r w:rsidRPr="00F02475">
        <w:t xml:space="preserve"> Disposition of 14C –diquat in the rat. Study No. IRI 143030. </w:t>
      </w:r>
    </w:p>
    <w:p w14:paraId="18BD37E7" w14:textId="27D7B0C7" w:rsidR="008247E7" w:rsidRPr="00E845D4" w:rsidRDefault="008247E7" w:rsidP="0059513C">
      <w:pPr>
        <w:pStyle w:val="NormalText"/>
      </w:pPr>
      <w:r w:rsidRPr="00E845D4">
        <w:t>Johnston J</w:t>
      </w:r>
      <w:r>
        <w:t xml:space="preserve">, </w:t>
      </w:r>
      <w:r w:rsidRPr="00E845D4">
        <w:t>1988</w:t>
      </w:r>
      <w:r>
        <w:t>(</w:t>
      </w:r>
      <w:r w:rsidRPr="00E845D4">
        <w:t>a</w:t>
      </w:r>
      <w:r>
        <w:t xml:space="preserve">). </w:t>
      </w:r>
      <w:r w:rsidRPr="00E845D4">
        <w:t>Aerobic soil metabolism of diquat</w:t>
      </w:r>
      <w:r>
        <w:t xml:space="preserve">. Reference no. </w:t>
      </w:r>
      <w:r w:rsidRPr="00E845D4">
        <w:t>MEF-0071</w:t>
      </w:r>
    </w:p>
    <w:p w14:paraId="2E164C65" w14:textId="77777777" w:rsidR="008247E7" w:rsidRDefault="008247E7" w:rsidP="0059513C">
      <w:pPr>
        <w:pStyle w:val="NormalText"/>
      </w:pPr>
      <w:r w:rsidRPr="00E845D4">
        <w:t>Johnston J</w:t>
      </w:r>
      <w:r>
        <w:t xml:space="preserve">, </w:t>
      </w:r>
      <w:r w:rsidRPr="00E845D4">
        <w:t>1988</w:t>
      </w:r>
      <w:r>
        <w:t>(</w:t>
      </w:r>
      <w:r w:rsidRPr="00E845D4">
        <w:t>b</w:t>
      </w:r>
      <w:r>
        <w:t xml:space="preserve">). </w:t>
      </w:r>
      <w:r w:rsidRPr="00E845D4">
        <w:t>Anaerobic aquatic metabolism of diquat</w:t>
      </w:r>
      <w:r>
        <w:t xml:space="preserve">. Reference no. </w:t>
      </w:r>
      <w:r w:rsidRPr="00E845D4">
        <w:t>MEF-0072</w:t>
      </w:r>
    </w:p>
    <w:p w14:paraId="6EA7CE1D" w14:textId="0000D88C" w:rsidR="00F02475" w:rsidRDefault="00F02475" w:rsidP="0059513C">
      <w:pPr>
        <w:pStyle w:val="NormalText"/>
      </w:pPr>
      <w:r w:rsidRPr="00F02475">
        <w:lastRenderedPageBreak/>
        <w:t xml:space="preserve">Johnston AM, Jones C, McCallum J, Mutch PJ </w:t>
      </w:r>
      <w:r w:rsidR="00381036">
        <w:t>and</w:t>
      </w:r>
      <w:r w:rsidRPr="00F02475">
        <w:t xml:space="preserve"> Scott G</w:t>
      </w:r>
      <w:r w:rsidR="00381036">
        <w:t xml:space="preserve">, </w:t>
      </w:r>
      <w:r w:rsidRPr="00F02475">
        <w:t>1994a</w:t>
      </w:r>
      <w:r w:rsidR="00381036">
        <w:t>.</w:t>
      </w:r>
      <w:r w:rsidRPr="00F02475">
        <w:t xml:space="preserve"> The elimination of 14C –diquat in the rat following single oral administration (high dose level). Study No. IRI 150048. </w:t>
      </w:r>
    </w:p>
    <w:p w14:paraId="7723DF72" w14:textId="53D0B7CC" w:rsidR="00F02475" w:rsidRDefault="00F02475" w:rsidP="0059513C">
      <w:pPr>
        <w:pStyle w:val="NormalText"/>
      </w:pPr>
      <w:r w:rsidRPr="00F02475">
        <w:t xml:space="preserve">Johnston AM, Mutch PJ </w:t>
      </w:r>
      <w:r w:rsidR="00381036">
        <w:t>and</w:t>
      </w:r>
      <w:r w:rsidRPr="00F02475">
        <w:t xml:space="preserve"> Scott G</w:t>
      </w:r>
      <w:r w:rsidR="00381036">
        <w:t>,</w:t>
      </w:r>
      <w:r w:rsidRPr="00F02475">
        <w:t xml:space="preserve"> 1994b</w:t>
      </w:r>
      <w:r w:rsidR="00381036">
        <w:t>.</w:t>
      </w:r>
      <w:r w:rsidRPr="00F02475">
        <w:t xml:space="preserve"> The elimination of 14C –diquat in the rat following single oral administration (low dose level). Study No. IRI 143046.</w:t>
      </w:r>
    </w:p>
    <w:p w14:paraId="2BB71AC9" w14:textId="369B193C" w:rsidR="005E214C" w:rsidRPr="00E845D4" w:rsidRDefault="005E214C" w:rsidP="0059513C">
      <w:pPr>
        <w:pStyle w:val="NormalText"/>
      </w:pPr>
      <w:r w:rsidRPr="005E214C">
        <w:t xml:space="preserve">Jones GM </w:t>
      </w:r>
      <w:r>
        <w:t>and</w:t>
      </w:r>
      <w:r w:rsidRPr="005E214C">
        <w:t xml:space="preserve"> Vale JA</w:t>
      </w:r>
      <w:r>
        <w:t>,</w:t>
      </w:r>
      <w:r w:rsidRPr="005E214C">
        <w:t xml:space="preserve"> 2000</w:t>
      </w:r>
      <w:r>
        <w:t>.</w:t>
      </w:r>
      <w:r w:rsidRPr="005E214C">
        <w:t xml:space="preserve"> Mechanisms of toxicity, clinical features and management of diquat poisoning: a review. Clin Toxicol 38(2): 123-128</w:t>
      </w:r>
    </w:p>
    <w:p w14:paraId="7418192C" w14:textId="77777777" w:rsidR="008247E7" w:rsidRDefault="008247E7" w:rsidP="0059513C">
      <w:pPr>
        <w:pStyle w:val="NormalText"/>
      </w:pPr>
      <w:r w:rsidRPr="00E845D4">
        <w:t>Jutsum L</w:t>
      </w:r>
      <w:r>
        <w:t xml:space="preserve">, </w:t>
      </w:r>
      <w:r w:rsidRPr="00E845D4">
        <w:t>2011</w:t>
      </w:r>
      <w:r>
        <w:t xml:space="preserve">. </w:t>
      </w:r>
      <w:r w:rsidRPr="00E845D4">
        <w:t>Diquat: evaluation of the rate of dissipation of diquat on field populations of soil surface invertebrates</w:t>
      </w:r>
      <w:r>
        <w:t xml:space="preserve">. Reference no. </w:t>
      </w:r>
      <w:r w:rsidRPr="00E845D4">
        <w:t>CEMR-4777-REG</w:t>
      </w:r>
    </w:p>
    <w:p w14:paraId="5B8AA192" w14:textId="77777777" w:rsidR="008247E7" w:rsidRPr="003111D9" w:rsidRDefault="008247E7" w:rsidP="0059513C">
      <w:pPr>
        <w:pStyle w:val="NormalText"/>
      </w:pPr>
      <w:r w:rsidRPr="003111D9">
        <w:t>Kennedy SH, 1984(a). Paraquat/diquat: residues on vegetables from trials carried out during 1983 in West Germany. Reference no. M3720B</w:t>
      </w:r>
    </w:p>
    <w:p w14:paraId="70655027" w14:textId="77777777" w:rsidR="008247E7" w:rsidRPr="003111D9" w:rsidRDefault="008247E7" w:rsidP="0059513C">
      <w:pPr>
        <w:pStyle w:val="NormalText"/>
      </w:pPr>
      <w:r w:rsidRPr="003111D9">
        <w:t>Kennedy SH, 1984(b). Diquat: Residues in wheat grain following desiccation of the harvestable crop during 1983 United Kingdom trials. Report no. M-3683B.</w:t>
      </w:r>
      <w:r w:rsidRPr="003111D9">
        <w:tab/>
      </w:r>
    </w:p>
    <w:p w14:paraId="79C0DA81" w14:textId="77777777" w:rsidR="008247E7" w:rsidRPr="003111D9" w:rsidRDefault="008247E7" w:rsidP="0059513C">
      <w:pPr>
        <w:pStyle w:val="NormalText"/>
      </w:pPr>
      <w:bookmarkStart w:id="563" w:name="_Hlk167789906"/>
      <w:bookmarkStart w:id="564" w:name="_Hlk167790202"/>
      <w:r w:rsidRPr="003111D9">
        <w:t xml:space="preserve">Kennedy SH, 1984(c). </w:t>
      </w:r>
      <w:bookmarkEnd w:id="563"/>
      <w:r w:rsidRPr="003111D9">
        <w:t>Diquat: Residues on oilseed rape from trials carried out during 1984 in the United Kingdom. Report no. M3888B.</w:t>
      </w:r>
    </w:p>
    <w:p w14:paraId="768B8E41" w14:textId="77777777" w:rsidR="008247E7" w:rsidRPr="003111D9" w:rsidRDefault="008247E7" w:rsidP="0059513C">
      <w:pPr>
        <w:pStyle w:val="NormalText"/>
      </w:pPr>
      <w:r w:rsidRPr="003111D9">
        <w:t>Kennedy SH, 1985(a). Diquat: Residues in fodder peas from trials carried out during 1984 and 1985 in West Germany. Report no. M4137B.</w:t>
      </w:r>
    </w:p>
    <w:p w14:paraId="62DD5C81" w14:textId="77777777" w:rsidR="008247E7" w:rsidRPr="003111D9" w:rsidRDefault="008247E7" w:rsidP="0059513C">
      <w:pPr>
        <w:pStyle w:val="NormalText"/>
      </w:pPr>
      <w:r w:rsidRPr="003111D9">
        <w:t>Kennedy SH, 1985</w:t>
      </w:r>
      <w:bookmarkEnd w:id="564"/>
      <w:r w:rsidRPr="003111D9">
        <w:t>(b). Diquat: Residues in papaver from trials carried out during 1983 in Denmark. Report no. M3904B.</w:t>
      </w:r>
    </w:p>
    <w:p w14:paraId="6132BBAB" w14:textId="77777777" w:rsidR="008247E7" w:rsidRPr="00422350" w:rsidRDefault="008247E7" w:rsidP="0059513C">
      <w:pPr>
        <w:pStyle w:val="NormalText"/>
      </w:pPr>
      <w:r w:rsidRPr="00422350">
        <w:t>Kennedy SH, 1986(a). Plant Protection Division Residue Analytical Method no. 8. The determination of residues of diquat in animal tissues – a spectrophotometric method. Report no. PPRAM 008.</w:t>
      </w:r>
    </w:p>
    <w:p w14:paraId="72568428" w14:textId="77777777" w:rsidR="008247E7" w:rsidRPr="00422350" w:rsidRDefault="008247E7" w:rsidP="0059513C">
      <w:pPr>
        <w:pStyle w:val="NormalText"/>
      </w:pPr>
      <w:r w:rsidRPr="00422350">
        <w:t>Kennedy SH, 1986(b). Diquat: Residues in fodder beans from trials carried out during 1984 and 1985 in West Germany. Report no. M417OB.</w:t>
      </w:r>
    </w:p>
    <w:p w14:paraId="7C18E817" w14:textId="77777777" w:rsidR="008247E7" w:rsidRPr="00422350" w:rsidRDefault="008247E7" w:rsidP="0059513C">
      <w:pPr>
        <w:pStyle w:val="NormalText"/>
      </w:pPr>
      <w:r w:rsidRPr="00422350">
        <w:t>Kennedy SH, 1986(c). Diquat: Residues in soyabeans from a trial carried out during 1985 in Brazil. Report no. M4231B.</w:t>
      </w:r>
    </w:p>
    <w:p w14:paraId="628CBA68" w14:textId="77777777" w:rsidR="008247E7" w:rsidRPr="00422350" w:rsidRDefault="008247E7" w:rsidP="0059513C">
      <w:pPr>
        <w:pStyle w:val="NormalText"/>
      </w:pPr>
      <w:r w:rsidRPr="00422350">
        <w:t>Kennedy SH, 1986(d). Diquat: Residues in maize from a trial carried out during 1985 in Spain. Report no. M4194B.</w:t>
      </w:r>
      <w:r w:rsidRPr="00422350">
        <w:tab/>
      </w:r>
    </w:p>
    <w:p w14:paraId="4BD811F4" w14:textId="77777777" w:rsidR="008247E7" w:rsidRPr="00387EE5" w:rsidRDefault="008247E7" w:rsidP="0059513C">
      <w:pPr>
        <w:pStyle w:val="NormalText"/>
      </w:pPr>
      <w:r w:rsidRPr="00387EE5">
        <w:t>Kennedy SH, 1986(e). Diquat: Residues in rice from a trial carried out during 1985 in Brazil. Report No. M4223B.</w:t>
      </w:r>
    </w:p>
    <w:p w14:paraId="3B35A63E" w14:textId="77777777" w:rsidR="008247E7" w:rsidRPr="00BA70E2" w:rsidRDefault="008247E7" w:rsidP="0059513C">
      <w:pPr>
        <w:pStyle w:val="NormalText"/>
      </w:pPr>
      <w:bookmarkStart w:id="565" w:name="_Hlk160787135"/>
      <w:bookmarkStart w:id="566" w:name="_Hlk160789904"/>
      <w:r w:rsidRPr="00BA70E2">
        <w:t>Kennedy SH, 1987</w:t>
      </w:r>
      <w:bookmarkEnd w:id="565"/>
      <w:r w:rsidRPr="00BA70E2">
        <w:t>(a). Paraquat/Diquat: Residues in olives from trials carried out pain during 1987 in Spain. Report no. M4580B.</w:t>
      </w:r>
    </w:p>
    <w:p w14:paraId="143761E2" w14:textId="77777777" w:rsidR="008247E7" w:rsidRPr="00BA70E2" w:rsidRDefault="008247E7" w:rsidP="0059513C">
      <w:pPr>
        <w:pStyle w:val="NormalText"/>
      </w:pPr>
      <w:r w:rsidRPr="00BA70E2">
        <w:t xml:space="preserve">Kennedy SH, 1987(b). </w:t>
      </w:r>
      <w:bookmarkEnd w:id="566"/>
      <w:r w:rsidRPr="00BA70E2">
        <w:t>Diquat: Residues in potatoes from trials carried out during 1986 in West Germany. Report no. M4577B.</w:t>
      </w:r>
      <w:r w:rsidRPr="00BA70E2">
        <w:tab/>
      </w:r>
    </w:p>
    <w:p w14:paraId="2BB2C7E9" w14:textId="77777777" w:rsidR="008247E7" w:rsidRPr="00BA70E2" w:rsidRDefault="008247E7" w:rsidP="0059513C">
      <w:pPr>
        <w:pStyle w:val="NormalText"/>
      </w:pPr>
      <w:bookmarkStart w:id="567" w:name="_Hlk167789917"/>
      <w:r w:rsidRPr="00BA70E2">
        <w:lastRenderedPageBreak/>
        <w:t>Kennedy SH, 1988(a). Diquat: Residues in grapes from trials carried out in West Germany during 1987. Report no. M4659B.</w:t>
      </w:r>
    </w:p>
    <w:p w14:paraId="04AC00F4" w14:textId="77777777" w:rsidR="008247E7" w:rsidRPr="00BA70E2" w:rsidRDefault="008247E7" w:rsidP="0059513C">
      <w:pPr>
        <w:pStyle w:val="NormalText"/>
      </w:pPr>
      <w:r w:rsidRPr="00BA70E2">
        <w:t>Kennedy SH, 1988</w:t>
      </w:r>
      <w:bookmarkEnd w:id="567"/>
      <w:r w:rsidRPr="00BA70E2">
        <w:t>(b). Diquat: Residues on oil seed rape from trials carried out in West Germany during 1987. Report no. M4658B.</w:t>
      </w:r>
    </w:p>
    <w:p w14:paraId="55AD32CF" w14:textId="77777777" w:rsidR="008247E7" w:rsidRDefault="008247E7" w:rsidP="0059513C">
      <w:pPr>
        <w:pStyle w:val="NormalText"/>
        <w:rPr>
          <w:szCs w:val="19"/>
        </w:rPr>
      </w:pPr>
      <w:r>
        <w:rPr>
          <w:szCs w:val="19"/>
        </w:rPr>
        <w:t>Kimbrough RD, Gaines TB, 1970. Toxicity of paraquat to rats and its effect on rat lungs. Toxicol Appl Pharmacol, 17: 679-690</w:t>
      </w:r>
    </w:p>
    <w:p w14:paraId="70830271" w14:textId="77777777" w:rsidR="008247E7" w:rsidRPr="00120DD8" w:rsidRDefault="008247E7" w:rsidP="0059513C">
      <w:pPr>
        <w:pStyle w:val="NormalText"/>
      </w:pPr>
      <w:r w:rsidRPr="00120DD8">
        <w:t>Lai JC, Slagowski JL and Leary JB</w:t>
      </w:r>
      <w:r>
        <w:t xml:space="preserve">, </w:t>
      </w:r>
      <w:r w:rsidRPr="00120DD8">
        <w:t>1977</w:t>
      </w:r>
      <w:r>
        <w:t>.</w:t>
      </w:r>
      <w:r w:rsidRPr="00120DD8">
        <w:t xml:space="preserve"> Diquat – Chicken feeding study</w:t>
      </w:r>
      <w:r>
        <w:t>. Report</w:t>
      </w:r>
      <w:r w:rsidRPr="00120DD8">
        <w:t xml:space="preserve"> no. RIC 1718.</w:t>
      </w:r>
    </w:p>
    <w:p w14:paraId="6D01A1AF" w14:textId="77777777" w:rsidR="008247E7" w:rsidRPr="00E845D4" w:rsidRDefault="008247E7" w:rsidP="0059513C">
      <w:pPr>
        <w:pStyle w:val="NormalText"/>
      </w:pPr>
      <w:r>
        <w:rPr>
          <w:szCs w:val="19"/>
        </w:rPr>
        <w:t>Lane MCG, Vaughan P, 1997. PARAQUAT: Strong adsorption capacity – wheat bioassay of earthworm testing soil. Reference no. RJ2283B</w:t>
      </w:r>
    </w:p>
    <w:p w14:paraId="72A4A17E" w14:textId="77777777" w:rsidR="008247E7" w:rsidRPr="00E845D4" w:rsidRDefault="008247E7" w:rsidP="0059513C">
      <w:pPr>
        <w:pStyle w:val="NormalText"/>
      </w:pPr>
      <w:r w:rsidRPr="00E845D4">
        <w:t>Langridge G</w:t>
      </w:r>
      <w:r>
        <w:t xml:space="preserve">, </w:t>
      </w:r>
      <w:r w:rsidRPr="00E845D4">
        <w:t>2011</w:t>
      </w:r>
      <w:r>
        <w:t>(</w:t>
      </w:r>
      <w:r w:rsidRPr="00E845D4">
        <w:t>a</w:t>
      </w:r>
      <w:r>
        <w:t xml:space="preserve">). </w:t>
      </w:r>
      <w:r w:rsidRPr="00E845D4">
        <w:t>Diquat: residue study on oilseed rape in northern France and Austria in 2009</w:t>
      </w:r>
      <w:r>
        <w:t xml:space="preserve">. Reference no. </w:t>
      </w:r>
      <w:r w:rsidRPr="00E845D4">
        <w:t>CEMR-4413</w:t>
      </w:r>
    </w:p>
    <w:p w14:paraId="30D466C5" w14:textId="77777777" w:rsidR="008247E7" w:rsidRPr="00E845D4" w:rsidRDefault="008247E7" w:rsidP="0059513C">
      <w:pPr>
        <w:pStyle w:val="NormalText"/>
      </w:pPr>
      <w:r w:rsidRPr="00E845D4">
        <w:t>Langridge G</w:t>
      </w:r>
      <w:r>
        <w:t xml:space="preserve">, </w:t>
      </w:r>
      <w:r w:rsidRPr="00E845D4">
        <w:t>2011</w:t>
      </w:r>
      <w:r>
        <w:t>(</w:t>
      </w:r>
      <w:r w:rsidRPr="00E845D4">
        <w:t>b</w:t>
      </w:r>
      <w:r>
        <w:t xml:space="preserve">). </w:t>
      </w:r>
      <w:r w:rsidRPr="00E845D4">
        <w:t>Diquat: residue study on oilseed rape in southern France, Spain and Italy in 2009</w:t>
      </w:r>
      <w:r>
        <w:t xml:space="preserve">. Reference no. </w:t>
      </w:r>
      <w:r w:rsidRPr="00E845D4">
        <w:t>CEMR-4414</w:t>
      </w:r>
    </w:p>
    <w:p w14:paraId="2C45462F" w14:textId="3CDCEDAE" w:rsidR="00CF0D16" w:rsidRDefault="00CF0D16" w:rsidP="0059513C">
      <w:pPr>
        <w:pStyle w:val="NormalText"/>
      </w:pPr>
      <w:bookmarkStart w:id="568" w:name="_Hlk160717314"/>
      <w:r w:rsidRPr="00CF0D16">
        <w:t>Langridge G</w:t>
      </w:r>
      <w:r>
        <w:t>,</w:t>
      </w:r>
      <w:r w:rsidRPr="00CF0D16">
        <w:tab/>
        <w:t>2013</w:t>
      </w:r>
      <w:r>
        <w:t xml:space="preserve">. </w:t>
      </w:r>
      <w:r w:rsidRPr="00CF0D16">
        <w:t>Diquat Dibromide – Frozen Storage Stability of Diquat Cation in Spinach, Wheat Grain, Oilseed Rape Seed, Lentil, Orange, Potato and Wheat Straw, Study number CEMR-4964</w:t>
      </w:r>
    </w:p>
    <w:p w14:paraId="489F2B51" w14:textId="3D915EA8" w:rsidR="006125C7" w:rsidRDefault="006125C7" w:rsidP="0059513C">
      <w:pPr>
        <w:pStyle w:val="NormalText"/>
      </w:pPr>
      <w:r w:rsidRPr="006125C7">
        <w:t>Laws I, Massey JA and Earl M, 1987. Diquat: Residue of parent compound and its photodegradation product TOPPS in rice from trials carried out in Japan during 1986. Report No. M4449B.</w:t>
      </w:r>
    </w:p>
    <w:p w14:paraId="5F77611E" w14:textId="24400F7E" w:rsidR="008247E7" w:rsidRDefault="008247E7" w:rsidP="0059513C">
      <w:pPr>
        <w:pStyle w:val="NormalText"/>
      </w:pPr>
      <w:r w:rsidRPr="00120DD8">
        <w:t>Leahey JP</w:t>
      </w:r>
      <w:r>
        <w:t>,</w:t>
      </w:r>
      <w:r w:rsidRPr="00120DD8">
        <w:t xml:space="preserve"> 1974</w:t>
      </w:r>
      <w:r>
        <w:t>.</w:t>
      </w:r>
      <w:r w:rsidRPr="00120DD8">
        <w:t xml:space="preserve"> Diquat: Residues in the tissues of rats and a goat dosed with diquat and its photoproducts</w:t>
      </w:r>
      <w:r>
        <w:t>.</w:t>
      </w:r>
      <w:r w:rsidRPr="00120DD8">
        <w:t xml:space="preserve"> Report no. AR2503A.</w:t>
      </w:r>
    </w:p>
    <w:p w14:paraId="01D595AB" w14:textId="77777777" w:rsidR="008247E7" w:rsidRPr="000D2C95" w:rsidRDefault="008247E7" w:rsidP="0059513C">
      <w:pPr>
        <w:pStyle w:val="NormalText"/>
      </w:pPr>
      <w:r w:rsidRPr="000D2C95">
        <w:t>Leahey JP and Allard J, 1971.</w:t>
      </w:r>
      <w:bookmarkEnd w:id="568"/>
      <w:r w:rsidRPr="000D2C95">
        <w:t xml:space="preserve"> Bipyridylium Herbicides: Residues in rapeseed and oil following desiccation with diquat. Report no. TMJ674A.</w:t>
      </w:r>
      <w:r w:rsidRPr="000D2C95">
        <w:tab/>
      </w:r>
    </w:p>
    <w:p w14:paraId="79DB6575" w14:textId="77777777" w:rsidR="008247E7" w:rsidRDefault="008247E7" w:rsidP="0059513C">
      <w:pPr>
        <w:pStyle w:val="NormalText"/>
      </w:pPr>
      <w:bookmarkStart w:id="569" w:name="_Hlk160717780"/>
      <w:r w:rsidRPr="00120DD8">
        <w:t>Leahey JP, Gatehouse DM, Carpenter PK and Benwell M</w:t>
      </w:r>
      <w:r>
        <w:t xml:space="preserve">, </w:t>
      </w:r>
      <w:r w:rsidRPr="00120DD8">
        <w:t>1976</w:t>
      </w:r>
      <w:bookmarkEnd w:id="569"/>
      <w:r>
        <w:t>.</w:t>
      </w:r>
      <w:r w:rsidRPr="00120DD8">
        <w:t xml:space="preserve"> Diquat: Metabolism and residues in a cow</w:t>
      </w:r>
      <w:r>
        <w:t>.</w:t>
      </w:r>
      <w:r w:rsidRPr="00120DD8">
        <w:t xml:space="preserve"> Report no. AR2698A.</w:t>
      </w:r>
    </w:p>
    <w:p w14:paraId="70D03D61" w14:textId="77777777" w:rsidR="008247E7" w:rsidRDefault="008247E7" w:rsidP="0059513C">
      <w:pPr>
        <w:pStyle w:val="NormalText"/>
      </w:pPr>
      <w:r w:rsidRPr="000D2C95">
        <w:t>Leahey JP, Griggs RE and Allard GB, 1973. Diquat: Residues of diquat and its photoproducts on barley and oats after desiccation with 14C-diquat. Report no. AR2478B.</w:t>
      </w:r>
    </w:p>
    <w:p w14:paraId="7FCF972A" w14:textId="77777777" w:rsidR="008247E7" w:rsidRDefault="008247E7" w:rsidP="0059513C">
      <w:pPr>
        <w:pStyle w:val="NormalText"/>
      </w:pPr>
      <w:bookmarkStart w:id="570" w:name="_Hlk160717848"/>
      <w:r w:rsidRPr="000D2C95">
        <w:t>Leahey JP and Hemingway RJ, 1973</w:t>
      </w:r>
      <w:bookmarkEnd w:id="570"/>
      <w:r w:rsidRPr="000D2C95">
        <w:t>. Diquat: A study of the metabolism and residues in hens and their eggs. Report no. AR2438B.</w:t>
      </w:r>
    </w:p>
    <w:p w14:paraId="59E719DF" w14:textId="304C5AF6" w:rsidR="008247E7" w:rsidRDefault="008247E7" w:rsidP="0059513C">
      <w:pPr>
        <w:pStyle w:val="NormalText"/>
      </w:pPr>
      <w:bookmarkStart w:id="571" w:name="_Hlk160717690"/>
      <w:r w:rsidRPr="00120DD8">
        <w:t>Leahey JP and Hemingway RJ, 1974</w:t>
      </w:r>
      <w:r>
        <w:t>.</w:t>
      </w:r>
      <w:r w:rsidRPr="00120DD8">
        <w:t xml:space="preserve"> The metabolism of diquat in hens and residues in eggs and tissues, in </w:t>
      </w:r>
      <w:r w:rsidRPr="00120DD8">
        <w:rPr>
          <w:i/>
          <w:iCs/>
        </w:rPr>
        <w:t>Pesticides; lectures held at the IUPAC Third International Congress of Pesticide Chemistry</w:t>
      </w:r>
      <w:r w:rsidRPr="00120DD8">
        <w:t>.</w:t>
      </w:r>
    </w:p>
    <w:bookmarkEnd w:id="571"/>
    <w:p w14:paraId="11D86458" w14:textId="77777777" w:rsidR="008247E7" w:rsidRPr="00120DD8" w:rsidRDefault="008247E7" w:rsidP="0059513C">
      <w:pPr>
        <w:pStyle w:val="NormalText"/>
      </w:pPr>
      <w:r w:rsidRPr="00120DD8">
        <w:t>Leahey J</w:t>
      </w:r>
      <w:r>
        <w:t xml:space="preserve">, </w:t>
      </w:r>
      <w:r w:rsidRPr="00120DD8">
        <w:t>1975</w:t>
      </w:r>
      <w:r>
        <w:t>.</w:t>
      </w:r>
      <w:r w:rsidRPr="00120DD8">
        <w:t xml:space="preserve"> The evaluation of the hazards of pesticide residues in crops used for animal feedstuff, illustrated by recent studies on the fate of the bipyridyl herbicides in animals</w:t>
      </w:r>
      <w:r>
        <w:t>. Report</w:t>
      </w:r>
      <w:r w:rsidRPr="00120DD8">
        <w:t xml:space="preserve"> no. RIC 3755.</w:t>
      </w:r>
    </w:p>
    <w:p w14:paraId="18C80BA7" w14:textId="6FF0BFCE" w:rsidR="001477C1" w:rsidRDefault="001477C1" w:rsidP="0059513C">
      <w:pPr>
        <w:pStyle w:val="NormalText"/>
      </w:pPr>
      <w:r>
        <w:lastRenderedPageBreak/>
        <w:t xml:space="preserve">Levy JE, Wong ZA &amp; MacGregor JA (1979) The skin irritation potential of Diquat Water Weed Killer. Report No. 9109778. </w:t>
      </w:r>
    </w:p>
    <w:p w14:paraId="358E3FC3" w14:textId="39AC0EFE" w:rsidR="008247E7" w:rsidRDefault="008247E7" w:rsidP="0059513C">
      <w:pPr>
        <w:pStyle w:val="NormalText"/>
      </w:pPr>
      <w:r w:rsidRPr="00120DD8">
        <w:t>Lee SGK</w:t>
      </w:r>
      <w:r>
        <w:t xml:space="preserve">, </w:t>
      </w:r>
      <w:r w:rsidRPr="00120DD8">
        <w:t>1989</w:t>
      </w:r>
      <w:r>
        <w:t>.</w:t>
      </w:r>
      <w:r w:rsidRPr="00120DD8">
        <w:t xml:space="preserve"> Diquat confined accumulation study on rotational crops</w:t>
      </w:r>
      <w:r>
        <w:t>.</w:t>
      </w:r>
      <w:r w:rsidRPr="00120DD8">
        <w:t xml:space="preserve"> Report no. MEF-0026.</w:t>
      </w:r>
    </w:p>
    <w:p w14:paraId="2D30F3BB" w14:textId="77777777" w:rsidR="008247E7" w:rsidRDefault="008247E7" w:rsidP="0059513C">
      <w:pPr>
        <w:pStyle w:val="NormalText"/>
      </w:pPr>
      <w:r w:rsidRPr="00120DD8">
        <w:t>Lembinski F Ponikiewska T Trzebny W and Krzywinska F</w:t>
      </w:r>
      <w:r>
        <w:t>,</w:t>
      </w:r>
      <w:r w:rsidRPr="00120DD8">
        <w:t xml:space="preserve"> 1972</w:t>
      </w:r>
      <w:r>
        <w:t>.</w:t>
      </w:r>
      <w:r w:rsidRPr="00120DD8">
        <w:t xml:space="preserve"> Ground seed of sunflower desiccated with ‘Reglone’ as fodder for ruminants</w:t>
      </w:r>
      <w:r>
        <w:t>. Report</w:t>
      </w:r>
      <w:r w:rsidRPr="00120DD8">
        <w:t xml:space="preserve"> no. RIC 3778.</w:t>
      </w:r>
    </w:p>
    <w:p w14:paraId="4A03293F" w14:textId="77777777" w:rsidR="008247E7" w:rsidRPr="00E845D4" w:rsidRDefault="008247E7" w:rsidP="0059513C">
      <w:pPr>
        <w:pStyle w:val="NormalText"/>
      </w:pPr>
      <w:r w:rsidRPr="00E845D4">
        <w:t>Liedtke A</w:t>
      </w:r>
      <w:r>
        <w:t xml:space="preserve">, </w:t>
      </w:r>
      <w:r w:rsidRPr="00E845D4">
        <w:t>2011</w:t>
      </w:r>
      <w:r>
        <w:t>(</w:t>
      </w:r>
      <w:r w:rsidRPr="00E845D4">
        <w:t>a</w:t>
      </w:r>
      <w:r>
        <w:t xml:space="preserve">). </w:t>
      </w:r>
      <w:r w:rsidRPr="00E845D4">
        <w:t xml:space="preserve">CGA130327: acute toxicity to </w:t>
      </w:r>
      <w:r w:rsidRPr="00376A70">
        <w:rPr>
          <w:i/>
          <w:iCs/>
        </w:rPr>
        <w:t>Daphnia magna</w:t>
      </w:r>
      <w:r w:rsidRPr="00E845D4">
        <w:t xml:space="preserve"> in a 48-hour immobilization test</w:t>
      </w:r>
      <w:r>
        <w:t xml:space="preserve">. Reference no. </w:t>
      </w:r>
      <w:r w:rsidRPr="00E845D4">
        <w:t>CGA130327-10003</w:t>
      </w:r>
    </w:p>
    <w:p w14:paraId="76522755" w14:textId="77777777" w:rsidR="008247E7" w:rsidRPr="00E845D4" w:rsidRDefault="008247E7" w:rsidP="0059513C">
      <w:pPr>
        <w:pStyle w:val="NormalText"/>
      </w:pPr>
      <w:r w:rsidRPr="00E845D4">
        <w:t>Liedtke A</w:t>
      </w:r>
      <w:r>
        <w:t xml:space="preserve">, </w:t>
      </w:r>
      <w:r w:rsidRPr="00E845D4">
        <w:t>2011</w:t>
      </w:r>
      <w:r>
        <w:t>(</w:t>
      </w:r>
      <w:r w:rsidRPr="00E845D4">
        <w:t>b</w:t>
      </w:r>
      <w:r>
        <w:t xml:space="preserve">). </w:t>
      </w:r>
      <w:r w:rsidRPr="00E845D4">
        <w:t xml:space="preserve">CGA130327: toxicity to </w:t>
      </w:r>
      <w:r w:rsidRPr="00376A70">
        <w:rPr>
          <w:i/>
          <w:iCs/>
        </w:rPr>
        <w:t>Pseudokirchneriella subcapitata</w:t>
      </w:r>
      <w:r w:rsidRPr="00E845D4">
        <w:t xml:space="preserve"> in a 96-hour algal growth inhibition test</w:t>
      </w:r>
      <w:r>
        <w:t xml:space="preserve">. Reference no. </w:t>
      </w:r>
      <w:r w:rsidRPr="00E845D4">
        <w:t>CGA130327-10005</w:t>
      </w:r>
    </w:p>
    <w:p w14:paraId="48BBD2BA" w14:textId="77777777" w:rsidR="008247E7" w:rsidRPr="00E845D4" w:rsidRDefault="008247E7" w:rsidP="0059513C">
      <w:pPr>
        <w:pStyle w:val="NormalText"/>
      </w:pPr>
      <w:r w:rsidRPr="00E845D4">
        <w:t>Liedtke A</w:t>
      </w:r>
      <w:r>
        <w:t xml:space="preserve">, </w:t>
      </w:r>
      <w:r w:rsidRPr="00E845D4">
        <w:t>2011</w:t>
      </w:r>
      <w:r>
        <w:t>(</w:t>
      </w:r>
      <w:r w:rsidRPr="00E845D4">
        <w:t>c</w:t>
      </w:r>
      <w:r>
        <w:t xml:space="preserve">). </w:t>
      </w:r>
      <w:r w:rsidRPr="00E845D4">
        <w:t xml:space="preserve">CGA130327: toxicity to the higher plant </w:t>
      </w:r>
      <w:r w:rsidRPr="00376A70">
        <w:rPr>
          <w:i/>
          <w:iCs/>
        </w:rPr>
        <w:t>Lemna gibba</w:t>
      </w:r>
      <w:r w:rsidRPr="00E845D4">
        <w:t xml:space="preserve"> in a 7-day growth inhibition test</w:t>
      </w:r>
      <w:r>
        <w:t xml:space="preserve">. Reference no. </w:t>
      </w:r>
      <w:r w:rsidRPr="00E845D4">
        <w:t>CGA130327-10006</w:t>
      </w:r>
    </w:p>
    <w:p w14:paraId="296C78EB" w14:textId="4D74225D" w:rsidR="00A17BFF" w:rsidRPr="007E3FA9" w:rsidRDefault="00A17BFF" w:rsidP="00A17BFF">
      <w:pPr>
        <w:pStyle w:val="APVMAText"/>
        <w:rPr>
          <w:rFonts w:ascii="Arial" w:hAnsi="Arial"/>
          <w:sz w:val="19"/>
          <w:szCs w:val="19"/>
        </w:rPr>
      </w:pPr>
      <w:bookmarkStart w:id="572" w:name="_Hlk201131990"/>
      <w:r w:rsidRPr="007E3FA9">
        <w:rPr>
          <w:rFonts w:ascii="Arial" w:hAnsi="Arial"/>
          <w:sz w:val="19"/>
          <w:szCs w:val="19"/>
        </w:rPr>
        <w:t>Linder G, Richmond ME, 1990.</w:t>
      </w:r>
      <w:r w:rsidRPr="007E3FA9">
        <w:rPr>
          <w:rFonts w:ascii="Arial" w:hAnsi="Arial"/>
        </w:rPr>
        <w:t xml:space="preserve"> </w:t>
      </w:r>
      <w:r w:rsidRPr="007E3FA9">
        <w:rPr>
          <w:rFonts w:ascii="Arial" w:hAnsi="Arial"/>
          <w:sz w:val="19"/>
          <w:szCs w:val="19"/>
        </w:rPr>
        <w:t xml:space="preserve">Feed aversion in small mammals as a potential source of hazard reduction for environmental chemicals: Agrichemical case studies. Environmental Toxicology and Chemistry, 9(1), 95–105. </w:t>
      </w:r>
      <w:hyperlink r:id="rId61" w:history="1">
        <w:r w:rsidRPr="007E3FA9">
          <w:rPr>
            <w:rStyle w:val="Hyperlink"/>
            <w:rFonts w:ascii="Arial" w:hAnsi="Arial"/>
            <w:sz w:val="19"/>
            <w:szCs w:val="19"/>
          </w:rPr>
          <w:t>https://doi.org/10.1002/etc.5620090112</w:t>
        </w:r>
      </w:hyperlink>
    </w:p>
    <w:bookmarkEnd w:id="572"/>
    <w:p w14:paraId="6890044E" w14:textId="77777777" w:rsidR="008247E7" w:rsidRPr="00C5352A" w:rsidRDefault="008247E7" w:rsidP="0059513C">
      <w:pPr>
        <w:pStyle w:val="NormalText"/>
      </w:pPr>
      <w:r w:rsidRPr="00C5352A">
        <w:t>Lussier SM, Champlin D, LiVolsi J, Poucher S, Pruell RJ, 2000. Acute toxicity of para-nonylphenol to saltwater animals. Environ Toxicol Chem 19(3): 617-621</w:t>
      </w:r>
    </w:p>
    <w:p w14:paraId="78022343" w14:textId="77777777" w:rsidR="008247E7" w:rsidRPr="00E845D4" w:rsidRDefault="008247E7" w:rsidP="0059513C">
      <w:pPr>
        <w:pStyle w:val="NormalText"/>
      </w:pPr>
      <w:r w:rsidRPr="00E845D4">
        <w:t>Mack P</w:t>
      </w:r>
      <w:r>
        <w:t xml:space="preserve">, </w:t>
      </w:r>
      <w:r w:rsidRPr="00E845D4">
        <w:t>2010</w:t>
      </w:r>
      <w:r>
        <w:t xml:space="preserve">. </w:t>
      </w:r>
      <w:r w:rsidRPr="00E845D4">
        <w:t>Diquat SL 200 g/L (A1412A): effects on the decomposition of organic matter in the field</w:t>
      </w:r>
      <w:r>
        <w:t xml:space="preserve">. Reference no. </w:t>
      </w:r>
      <w:r w:rsidRPr="00E845D4">
        <w:t>A1412A-10255</w:t>
      </w:r>
    </w:p>
    <w:p w14:paraId="050FB602" w14:textId="77777777" w:rsidR="008247E7" w:rsidRPr="00E845D4" w:rsidRDefault="008247E7" w:rsidP="0059513C">
      <w:pPr>
        <w:pStyle w:val="NormalText"/>
      </w:pPr>
      <w:r w:rsidRPr="00E845D4">
        <w:t>Magor SE, Shillabeer N</w:t>
      </w:r>
      <w:r>
        <w:t xml:space="preserve">, </w:t>
      </w:r>
      <w:r w:rsidRPr="00E845D4">
        <w:t>2001</w:t>
      </w:r>
      <w:r>
        <w:t xml:space="preserve">. </w:t>
      </w:r>
      <w:r w:rsidRPr="00E845D4">
        <w:t>Diquat dibromide: toxicity to duckweed (</w:t>
      </w:r>
      <w:r w:rsidRPr="00376A70">
        <w:rPr>
          <w:i/>
          <w:iCs/>
        </w:rPr>
        <w:t>Lemna gibba</w:t>
      </w:r>
      <w:r w:rsidRPr="00E845D4">
        <w:t>)</w:t>
      </w:r>
      <w:r>
        <w:t xml:space="preserve">. Reference no. </w:t>
      </w:r>
      <w:r w:rsidRPr="00E845D4">
        <w:t>PP901/0571</w:t>
      </w:r>
    </w:p>
    <w:p w14:paraId="46C61729" w14:textId="77777777" w:rsidR="008247E7" w:rsidRPr="008C1C90" w:rsidRDefault="008247E7" w:rsidP="0059513C">
      <w:pPr>
        <w:pStyle w:val="NormalText"/>
      </w:pPr>
      <w:r w:rsidRPr="00E845D4">
        <w:t>Martin JA</w:t>
      </w:r>
      <w:r>
        <w:t xml:space="preserve">, </w:t>
      </w:r>
      <w:r w:rsidRPr="00E845D4">
        <w:t>2013</w:t>
      </w:r>
      <w:r>
        <w:t xml:space="preserve">. </w:t>
      </w:r>
      <w:r w:rsidRPr="00E845D4">
        <w:t xml:space="preserve">Diquat dibromide: evaluation of the phytotoxicity to non-target terrestrial plants vegetative </w:t>
      </w:r>
      <w:r w:rsidRPr="008C1C90">
        <w:t>vigor test. Reference no. PP901-10893, 1781.6872</w:t>
      </w:r>
    </w:p>
    <w:p w14:paraId="38734EB8" w14:textId="672C36B3" w:rsidR="008247E7" w:rsidRPr="008C1C90" w:rsidRDefault="008247E7" w:rsidP="0059513C">
      <w:pPr>
        <w:pStyle w:val="NormalText"/>
      </w:pPr>
      <w:r w:rsidRPr="008C1C90">
        <w:rPr>
          <w:szCs w:val="19"/>
        </w:rPr>
        <w:t>Martin JA, 2014. Paraquat dichloride (A7813Q): vegetative vigor test. Reference no. 1781.6947</w:t>
      </w:r>
    </w:p>
    <w:p w14:paraId="3A9FC5FB" w14:textId="77777777" w:rsidR="008247E7" w:rsidRPr="008C1C90" w:rsidRDefault="008247E7" w:rsidP="0059513C">
      <w:pPr>
        <w:pStyle w:val="NormalText"/>
      </w:pPr>
      <w:r w:rsidRPr="008C1C90">
        <w:t>Massenot F and Culoto B, 1985. Testing for diquat residues in soybean seed. Report no. R2-FP.</w:t>
      </w:r>
      <w:r w:rsidRPr="008C1C90">
        <w:tab/>
      </w:r>
    </w:p>
    <w:p w14:paraId="1E7AFF8F" w14:textId="77777777" w:rsidR="008247E7" w:rsidRPr="008C1C90" w:rsidRDefault="008247E7" w:rsidP="0059513C">
      <w:pPr>
        <w:pStyle w:val="NormalText"/>
      </w:pPr>
      <w:bookmarkStart w:id="573" w:name="_Hlk160787124"/>
      <w:r w:rsidRPr="008C1C90">
        <w:t xml:space="preserve">Massey JA, 1987(a). </w:t>
      </w:r>
      <w:bookmarkEnd w:id="573"/>
      <w:r w:rsidRPr="008C1C90">
        <w:t>Paraquat/Diquat: Residues in olives from trials carried out in Spain during 1986. Report no. M4531B.</w:t>
      </w:r>
    </w:p>
    <w:p w14:paraId="6FAACE76" w14:textId="77777777" w:rsidR="008247E7" w:rsidRPr="008C1C90" w:rsidRDefault="008247E7" w:rsidP="0059513C">
      <w:pPr>
        <w:pStyle w:val="NormalText"/>
      </w:pPr>
      <w:r w:rsidRPr="008C1C90">
        <w:t>Massey J, 1987(b). Paraquat/Diquat: Residues in onions from trials carried out in West Germany during 1984. Report no. M4415B.</w:t>
      </w:r>
    </w:p>
    <w:p w14:paraId="06BF89F2" w14:textId="77777777" w:rsidR="008247E7" w:rsidRPr="008C1C90" w:rsidRDefault="008247E7" w:rsidP="0059513C">
      <w:pPr>
        <w:pStyle w:val="NormalText"/>
      </w:pPr>
      <w:r w:rsidRPr="008C1C90">
        <w:t>Massey J, 1987(c). Paraquat/diquat: residues in lettuce from trials carried out in West Germany during 1984. Reference no. M4416B</w:t>
      </w:r>
    </w:p>
    <w:p w14:paraId="7D1BACCD" w14:textId="20BA89B4" w:rsidR="008247E7" w:rsidRPr="008C1C90" w:rsidRDefault="008247E7" w:rsidP="0059513C">
      <w:pPr>
        <w:pStyle w:val="NormalText"/>
      </w:pPr>
      <w:r w:rsidRPr="008C1C90">
        <w:t>Massey JA, 1987(d). Diquat: Residues in peas from trials carried out in Denmark during 1986. Report no. M4459B.</w:t>
      </w:r>
    </w:p>
    <w:p w14:paraId="29C134E7" w14:textId="77777777" w:rsidR="008247E7" w:rsidRPr="008C1C90" w:rsidRDefault="008247E7" w:rsidP="0059513C">
      <w:pPr>
        <w:pStyle w:val="NormalText"/>
      </w:pPr>
      <w:r w:rsidRPr="008C1C90">
        <w:lastRenderedPageBreak/>
        <w:t>Massey J, 1987(e). Paraquat/Diquat: Residues in carrots from trials carried out in West Germany during 1987. Report no. M4417B.</w:t>
      </w:r>
    </w:p>
    <w:p w14:paraId="74174247" w14:textId="77777777" w:rsidR="008247E7" w:rsidRPr="008C1C90" w:rsidRDefault="008247E7" w:rsidP="0059513C">
      <w:pPr>
        <w:pStyle w:val="NormalText"/>
      </w:pPr>
      <w:bookmarkStart w:id="574" w:name="_Hlk167790229"/>
      <w:r w:rsidRPr="008C1C90">
        <w:t>Massey JA, 1987</w:t>
      </w:r>
      <w:bookmarkEnd w:id="574"/>
      <w:r w:rsidRPr="008C1C90">
        <w:t>(f). Diquat: Residues in poppy seed from trials carried out in Denmark during 1984. Report no. M4437B.</w:t>
      </w:r>
    </w:p>
    <w:p w14:paraId="5B833176" w14:textId="3393E49A" w:rsidR="00A65D81" w:rsidRDefault="00A65D81" w:rsidP="0059513C">
      <w:pPr>
        <w:pStyle w:val="NormalText"/>
      </w:pPr>
      <w:bookmarkStart w:id="575" w:name="_Hlk160790584"/>
      <w:r>
        <w:t xml:space="preserve">McCall JC and Robinson P, 1990(a). Diquat dibromide: acute oral toxicity to the rat. Report No. CTL/P/2999. </w:t>
      </w:r>
    </w:p>
    <w:p w14:paraId="6865BCA1" w14:textId="2CF71410" w:rsidR="00A65D81" w:rsidRDefault="00A65D81" w:rsidP="0059513C">
      <w:pPr>
        <w:pStyle w:val="NormalText"/>
      </w:pPr>
      <w:r>
        <w:t>McCall JC and Robinson P, 1990(b). Diquat dibromide: acute dermal toxicity to the rat. Report No. CTL/P/2982.</w:t>
      </w:r>
    </w:p>
    <w:p w14:paraId="42311783" w14:textId="486B0704" w:rsidR="000B2E54" w:rsidRDefault="000B2E54" w:rsidP="0059513C">
      <w:pPr>
        <w:pStyle w:val="NormalText"/>
      </w:pPr>
      <w:r w:rsidRPr="000B2E54">
        <w:t>McGregor DB</w:t>
      </w:r>
      <w:r>
        <w:t>,</w:t>
      </w:r>
      <w:r w:rsidRPr="000B2E54">
        <w:t xml:space="preserve"> </w:t>
      </w:r>
      <w:r>
        <w:t>1</w:t>
      </w:r>
      <w:r w:rsidRPr="000B2E54">
        <w:t>974</w:t>
      </w:r>
      <w:r>
        <w:t>.</w:t>
      </w:r>
      <w:r w:rsidRPr="000B2E54">
        <w:t xml:space="preserve"> Dominant lethal study in mice of diquat. Report No. 148.</w:t>
      </w:r>
    </w:p>
    <w:p w14:paraId="3B569F1F" w14:textId="330782C9" w:rsidR="008247E7" w:rsidRDefault="008247E7" w:rsidP="0059513C">
      <w:pPr>
        <w:pStyle w:val="NormalText"/>
      </w:pPr>
      <w:r w:rsidRPr="00120DD8">
        <w:t>McKenna RH</w:t>
      </w:r>
      <w:r>
        <w:t>,</w:t>
      </w:r>
      <w:r w:rsidRPr="00120DD8">
        <w:t xml:space="preserve"> 1966</w:t>
      </w:r>
      <w:r>
        <w:t xml:space="preserve">. </w:t>
      </w:r>
      <w:r w:rsidRPr="00120DD8">
        <w:t>B</w:t>
      </w:r>
      <w:bookmarkEnd w:id="575"/>
      <w:r w:rsidRPr="00120DD8">
        <w:t>ipyridilium Herbicides: Residues of diquat in food crops from 1964 and 1965 field trials</w:t>
      </w:r>
      <w:r>
        <w:t>.</w:t>
      </w:r>
      <w:r w:rsidRPr="00120DD8">
        <w:t xml:space="preserve"> Report no. A126,493A.</w:t>
      </w:r>
    </w:p>
    <w:p w14:paraId="05232F86" w14:textId="77777777" w:rsidR="008247E7" w:rsidRPr="00E845D4" w:rsidRDefault="008247E7" w:rsidP="0059513C">
      <w:pPr>
        <w:pStyle w:val="NormalText"/>
      </w:pPr>
      <w:r w:rsidRPr="00E845D4">
        <w:t>Minderhout T</w:t>
      </w:r>
      <w:r>
        <w:t xml:space="preserve">, </w:t>
      </w:r>
      <w:r w:rsidRPr="00E845D4">
        <w:t>2012</w:t>
      </w:r>
      <w:r>
        <w:t xml:space="preserve">. </w:t>
      </w:r>
      <w:r w:rsidRPr="00E845D4">
        <w:t>Diquat dibromide: an early life-stage toxicity test with the sheepshead minnow (</w:t>
      </w:r>
      <w:r w:rsidRPr="00376A70">
        <w:rPr>
          <w:i/>
          <w:iCs/>
        </w:rPr>
        <w:t>Cyprinodon variegatus</w:t>
      </w:r>
      <w:r w:rsidRPr="00E845D4">
        <w:t>)</w:t>
      </w:r>
      <w:r>
        <w:t xml:space="preserve">. Reference no. </w:t>
      </w:r>
      <w:r w:rsidRPr="00E845D4">
        <w:t>528A-232</w:t>
      </w:r>
    </w:p>
    <w:p w14:paraId="31E2D131" w14:textId="77777777" w:rsidR="008247E7" w:rsidRPr="00E845D4" w:rsidRDefault="008247E7" w:rsidP="0059513C">
      <w:pPr>
        <w:pStyle w:val="NormalText"/>
      </w:pPr>
      <w:r w:rsidRPr="00E845D4">
        <w:t>Moffatt F</w:t>
      </w:r>
      <w:r>
        <w:t xml:space="preserve">, </w:t>
      </w:r>
      <w:r w:rsidRPr="00E845D4">
        <w:t>1993</w:t>
      </w:r>
      <w:r>
        <w:t xml:space="preserve">. </w:t>
      </w:r>
      <w:r w:rsidRPr="00E845D4">
        <w:t>Diquat: environmental half-life and quantum yield for direct phototransformation in aqueous solution</w:t>
      </w:r>
      <w:r>
        <w:t xml:space="preserve">. Reference no. </w:t>
      </w:r>
      <w:r w:rsidRPr="00E845D4">
        <w:t>RJ1545B</w:t>
      </w:r>
    </w:p>
    <w:p w14:paraId="087B2332" w14:textId="0DCF5CEA" w:rsidR="00AC4296" w:rsidRDefault="00AC4296" w:rsidP="0059513C">
      <w:pPr>
        <w:pStyle w:val="NormalText"/>
      </w:pPr>
      <w:r w:rsidRPr="00AC4296">
        <w:t>Mohammad M, Itoh K</w:t>
      </w:r>
      <w:r>
        <w:t xml:space="preserve"> and </w:t>
      </w:r>
      <w:r w:rsidRPr="00AC4296">
        <w:t>Suyama K</w:t>
      </w:r>
      <w:r>
        <w:t xml:space="preserve">, </w:t>
      </w:r>
      <w:r w:rsidRPr="00AC4296">
        <w:t>2010</w:t>
      </w:r>
      <w:r>
        <w:t>.</w:t>
      </w:r>
      <w:r w:rsidRPr="00AC4296">
        <w:t xml:space="preserve"> Effects of herbicides on Lemna gibba and recovery from damage after prolonged exposure. Arch Environ Contam Toxicol 58: 605-612</w:t>
      </w:r>
    </w:p>
    <w:p w14:paraId="65801067" w14:textId="7018F4FB" w:rsidR="008247E7" w:rsidRPr="00E845D4" w:rsidRDefault="008247E7" w:rsidP="0059513C">
      <w:pPr>
        <w:pStyle w:val="NormalText"/>
      </w:pPr>
      <w:r w:rsidRPr="00E845D4">
        <w:t>Mônego JG</w:t>
      </w:r>
      <w:r>
        <w:t xml:space="preserve">, </w:t>
      </w:r>
      <w:r w:rsidRPr="00E845D4">
        <w:t>2005</w:t>
      </w:r>
      <w:r>
        <w:t xml:space="preserve">. </w:t>
      </w:r>
      <w:r w:rsidRPr="00E845D4">
        <w:t xml:space="preserve">Adsorption/ desorption of </w:t>
      </w:r>
      <w:r w:rsidRPr="00376A70">
        <w:rPr>
          <w:vertAlign w:val="superscript"/>
        </w:rPr>
        <w:t>14</w:t>
      </w:r>
      <w:r w:rsidRPr="00E845D4">
        <w:t>C-diquat in Brazilian soils and sediments</w:t>
      </w:r>
      <w:r>
        <w:t xml:space="preserve">. Reference no. </w:t>
      </w:r>
      <w:r w:rsidRPr="00E845D4">
        <w:t>1469-AD-179-04</w:t>
      </w:r>
    </w:p>
    <w:p w14:paraId="7D0223D2" w14:textId="77777777" w:rsidR="008247E7" w:rsidRPr="00E845D4" w:rsidRDefault="008247E7" w:rsidP="0059513C">
      <w:pPr>
        <w:pStyle w:val="NormalText"/>
      </w:pPr>
      <w:r w:rsidRPr="00E845D4">
        <w:t>Mônego JG</w:t>
      </w:r>
      <w:r>
        <w:t xml:space="preserve">, </w:t>
      </w:r>
      <w:r w:rsidRPr="00E845D4">
        <w:t>2006</w:t>
      </w:r>
      <w:r>
        <w:t>(</w:t>
      </w:r>
      <w:r w:rsidRPr="00E845D4">
        <w:t>a</w:t>
      </w:r>
      <w:r>
        <w:t xml:space="preserve">). </w:t>
      </w:r>
      <w:r w:rsidRPr="00E845D4">
        <w:t xml:space="preserve">Rate of degradation of </w:t>
      </w:r>
      <w:r w:rsidRPr="00376A70">
        <w:rPr>
          <w:vertAlign w:val="superscript"/>
        </w:rPr>
        <w:t>14</w:t>
      </w:r>
      <w:r w:rsidRPr="00E845D4">
        <w:t>C-diquat in Brazilian soils</w:t>
      </w:r>
      <w:r>
        <w:t xml:space="preserve">. Reference no. </w:t>
      </w:r>
      <w:r w:rsidRPr="00E845D4">
        <w:t>1469-BS-181-04</w:t>
      </w:r>
    </w:p>
    <w:p w14:paraId="5625186A" w14:textId="77777777" w:rsidR="008247E7" w:rsidRDefault="008247E7" w:rsidP="0059513C">
      <w:pPr>
        <w:pStyle w:val="NormalText"/>
      </w:pPr>
      <w:r w:rsidRPr="00E845D4">
        <w:t>Mônego JG</w:t>
      </w:r>
      <w:r>
        <w:t xml:space="preserve">, </w:t>
      </w:r>
      <w:r w:rsidRPr="00E845D4">
        <w:t>2006</w:t>
      </w:r>
      <w:r>
        <w:t>(</w:t>
      </w:r>
      <w:r w:rsidRPr="00E845D4">
        <w:t>b</w:t>
      </w:r>
      <w:r>
        <w:t xml:space="preserve">). </w:t>
      </w:r>
      <w:r w:rsidRPr="00E845D4">
        <w:t xml:space="preserve">Aerobic transformation of </w:t>
      </w:r>
      <w:r w:rsidRPr="00376A70">
        <w:rPr>
          <w:vertAlign w:val="superscript"/>
        </w:rPr>
        <w:t>14</w:t>
      </w:r>
      <w:r w:rsidRPr="00E845D4">
        <w:t>C-diquat in aquatic sediments systems</w:t>
      </w:r>
      <w:r>
        <w:t xml:space="preserve">. Reference no. </w:t>
      </w:r>
      <w:r w:rsidRPr="00E845D4">
        <w:t>1469-BSED-071-06</w:t>
      </w:r>
    </w:p>
    <w:p w14:paraId="68266E5A" w14:textId="77777777" w:rsidR="008247E7" w:rsidRDefault="008247E7" w:rsidP="0059513C">
      <w:pPr>
        <w:pStyle w:val="NormalText"/>
      </w:pPr>
      <w:r>
        <w:rPr>
          <w:szCs w:val="19"/>
        </w:rPr>
        <w:t>Murray RE, Gibson JE, 1972. A comparative study of paraquat intoxication in rats, guinea pigs and monkeys. Exp Mol Pathol, 17: 317-325</w:t>
      </w:r>
    </w:p>
    <w:p w14:paraId="2564565A" w14:textId="77777777" w:rsidR="008247E7" w:rsidRPr="00E845D4" w:rsidRDefault="008247E7" w:rsidP="0059513C">
      <w:pPr>
        <w:pStyle w:val="NormalText"/>
      </w:pPr>
      <w:r w:rsidRPr="00E845D4">
        <w:t>Nagai T</w:t>
      </w:r>
      <w:r>
        <w:t xml:space="preserve">, </w:t>
      </w:r>
      <w:r w:rsidRPr="00E845D4">
        <w:t>2019</w:t>
      </w:r>
      <w:r>
        <w:t xml:space="preserve">. </w:t>
      </w:r>
      <w:r w:rsidRPr="00E845D4">
        <w:t>Sensitivity differences among seven algal species to 12 herbicides with various modes of action. J Pestic Sci 44:225-232</w:t>
      </w:r>
      <w:r w:rsidRPr="00E845D4">
        <w:tab/>
      </w:r>
    </w:p>
    <w:p w14:paraId="15518481" w14:textId="7C4A5DF7" w:rsidR="008247E7" w:rsidRDefault="008247E7" w:rsidP="0059513C">
      <w:pPr>
        <w:pStyle w:val="NormalText"/>
      </w:pPr>
      <w:r w:rsidRPr="00E845D4">
        <w:t>Nicholson R</w:t>
      </w:r>
      <w:r>
        <w:t xml:space="preserve">, </w:t>
      </w:r>
      <w:r w:rsidRPr="00E845D4">
        <w:t>1987</w:t>
      </w:r>
      <w:r>
        <w:t xml:space="preserve">. </w:t>
      </w:r>
      <w:r w:rsidRPr="00E845D4">
        <w:t>Acute toxicity of diquat concentrate to sheepshead minnow (</w:t>
      </w:r>
      <w:r w:rsidRPr="00376A70">
        <w:rPr>
          <w:i/>
          <w:iCs/>
        </w:rPr>
        <w:t>Cyprinodon variegatus</w:t>
      </w:r>
      <w:r w:rsidRPr="00E845D4">
        <w:t>)</w:t>
      </w:r>
      <w:r>
        <w:t xml:space="preserve">. Reference no. </w:t>
      </w:r>
      <w:r w:rsidRPr="00E845D4">
        <w:t>981.0287.6110.500</w:t>
      </w:r>
    </w:p>
    <w:p w14:paraId="7354F91D" w14:textId="77777777" w:rsidR="008247E7" w:rsidRDefault="008247E7" w:rsidP="0059513C">
      <w:pPr>
        <w:pStyle w:val="NormalText"/>
        <w:rPr>
          <w:szCs w:val="19"/>
        </w:rPr>
      </w:pPr>
      <w:r>
        <w:rPr>
          <w:szCs w:val="19"/>
        </w:rPr>
        <w:t xml:space="preserve">Noack M, 2007. Paraquat technical: acute immobilisation test (static 48h) to </w:t>
      </w:r>
      <w:r>
        <w:rPr>
          <w:i/>
          <w:iCs/>
          <w:szCs w:val="19"/>
        </w:rPr>
        <w:t>Daphnia magna</w:t>
      </w:r>
      <w:r>
        <w:rPr>
          <w:szCs w:val="19"/>
        </w:rPr>
        <w:t>. Reference no. DAI112272</w:t>
      </w:r>
    </w:p>
    <w:p w14:paraId="1DE5CCD7" w14:textId="77777777" w:rsidR="008247E7" w:rsidRPr="00E845D4" w:rsidRDefault="008247E7" w:rsidP="0059513C">
      <w:pPr>
        <w:pStyle w:val="NormalText"/>
      </w:pPr>
      <w:r>
        <w:rPr>
          <w:szCs w:val="19"/>
        </w:rPr>
        <w:t xml:space="preserve">Noakes J, 2003. </w:t>
      </w:r>
      <w:r w:rsidRPr="00A162DC">
        <w:rPr>
          <w:szCs w:val="19"/>
        </w:rPr>
        <w:t>90 day dietary cataracts study in rats. Report No. CTL/P/6189</w:t>
      </w:r>
    </w:p>
    <w:p w14:paraId="6F40FCD9" w14:textId="77777777" w:rsidR="009148DB" w:rsidRPr="007E3FA9" w:rsidRDefault="009148DB" w:rsidP="009148DB">
      <w:pPr>
        <w:pStyle w:val="APVMAText"/>
        <w:rPr>
          <w:rFonts w:ascii="Arial" w:hAnsi="Arial"/>
          <w:sz w:val="19"/>
          <w:szCs w:val="19"/>
        </w:rPr>
      </w:pPr>
      <w:r w:rsidRPr="007E3FA9">
        <w:rPr>
          <w:rFonts w:ascii="Arial" w:hAnsi="Arial"/>
          <w:sz w:val="19"/>
          <w:szCs w:val="19"/>
        </w:rPr>
        <w:lastRenderedPageBreak/>
        <w:t>Northern Zone, 2020. Pesticide risk assessment for birds and mammals. Selection of relevant species and development of standard scenarios for higher tier risk assessment in the Northern Zone in accordance with Regulation EC 1107/2009, version 2.1.</w:t>
      </w:r>
    </w:p>
    <w:p w14:paraId="13F01EF6" w14:textId="77777777" w:rsidR="008247E7" w:rsidRPr="00E845D4" w:rsidRDefault="008247E7" w:rsidP="0059513C">
      <w:pPr>
        <w:pStyle w:val="NormalText"/>
      </w:pPr>
      <w:r w:rsidRPr="00E845D4">
        <w:t>Oliver R, Webb J</w:t>
      </w:r>
      <w:r>
        <w:t xml:space="preserve">, </w:t>
      </w:r>
      <w:r w:rsidRPr="00E845D4">
        <w:t>2005</w:t>
      </w:r>
      <w:r>
        <w:t xml:space="preserve">. </w:t>
      </w:r>
      <w:r w:rsidRPr="00E845D4">
        <w:t>Diquat: sterilised natural water photolysis under laboratory conditions</w:t>
      </w:r>
      <w:r>
        <w:t xml:space="preserve">. Reference no. </w:t>
      </w:r>
      <w:r w:rsidRPr="00E845D4">
        <w:t>RJ3568B</w:t>
      </w:r>
    </w:p>
    <w:p w14:paraId="7DE08873" w14:textId="77777777" w:rsidR="008247E7" w:rsidRPr="00E845D4" w:rsidRDefault="008247E7" w:rsidP="0059513C">
      <w:pPr>
        <w:pStyle w:val="NormalText"/>
      </w:pPr>
      <w:r w:rsidRPr="00E845D4">
        <w:t>Pack D</w:t>
      </w:r>
      <w:r>
        <w:t xml:space="preserve">, </w:t>
      </w:r>
      <w:r w:rsidRPr="00E845D4">
        <w:t>1987</w:t>
      </w:r>
      <w:r>
        <w:t xml:space="preserve">. </w:t>
      </w:r>
      <w:r w:rsidRPr="00E845D4">
        <w:t>Freundlich soil adsorption coefficients of diquat</w:t>
      </w:r>
      <w:r>
        <w:t xml:space="preserve">. Reference no. </w:t>
      </w:r>
      <w:r w:rsidRPr="00E845D4">
        <w:t>MEF-0069/8716930</w:t>
      </w:r>
    </w:p>
    <w:p w14:paraId="00279D12" w14:textId="69A31DF1" w:rsidR="000B2E54" w:rsidRDefault="000B2E54" w:rsidP="0059513C">
      <w:pPr>
        <w:pStyle w:val="NormalText"/>
      </w:pPr>
      <w:r w:rsidRPr="000B2E54">
        <w:t xml:space="preserve">Pasi A, Embree JW, Eisenlord GH </w:t>
      </w:r>
      <w:r>
        <w:t>and</w:t>
      </w:r>
      <w:r w:rsidRPr="000B2E54">
        <w:t xml:space="preserve"> Hine CH</w:t>
      </w:r>
      <w:r>
        <w:t>,</w:t>
      </w:r>
      <w:r w:rsidRPr="000B2E54">
        <w:t xml:space="preserve"> 1974</w:t>
      </w:r>
      <w:r>
        <w:t>.</w:t>
      </w:r>
      <w:r w:rsidRPr="000B2E54">
        <w:t xml:space="preserve"> Assessment of the mutagenic properties of diquat and paraquat in the murine dominant lethal test. Mut Res, 26: 171-175</w:t>
      </w:r>
    </w:p>
    <w:p w14:paraId="29DF8FC0" w14:textId="063025D2" w:rsidR="008247E7" w:rsidRPr="00E845D4" w:rsidRDefault="008247E7" w:rsidP="0059513C">
      <w:pPr>
        <w:pStyle w:val="NormalText"/>
      </w:pPr>
      <w:r w:rsidRPr="00E845D4">
        <w:t>Patterson D</w:t>
      </w:r>
      <w:r>
        <w:t xml:space="preserve">, </w:t>
      </w:r>
      <w:r w:rsidRPr="00E845D4">
        <w:t>2012</w:t>
      </w:r>
      <w:r>
        <w:t xml:space="preserve">. </w:t>
      </w:r>
      <w:r w:rsidRPr="00E845D4">
        <w:t>Diquat: calculation of kinetic endpoints for the soil photodegradation product TOPPS from laboratory study data according to FOCUS kinetics guidelines</w:t>
      </w:r>
      <w:r>
        <w:t xml:space="preserve">. Reference no. </w:t>
      </w:r>
      <w:r w:rsidRPr="00E845D4">
        <w:t>RAJ0920B</w:t>
      </w:r>
    </w:p>
    <w:p w14:paraId="009A88DA" w14:textId="77777777" w:rsidR="008247E7" w:rsidRPr="00E845D4" w:rsidRDefault="008247E7" w:rsidP="0059513C">
      <w:pPr>
        <w:pStyle w:val="NormalText"/>
      </w:pPr>
      <w:r w:rsidRPr="00E845D4">
        <w:t>Paul E, Simonin H, Symula J</w:t>
      </w:r>
      <w:r>
        <w:t xml:space="preserve">, </w:t>
      </w:r>
      <w:r w:rsidRPr="00E845D4">
        <w:t>1994</w:t>
      </w:r>
      <w:r>
        <w:t xml:space="preserve">. </w:t>
      </w:r>
      <w:r w:rsidRPr="00E845D4">
        <w:t>The toxicity of diquat, endothall and fluridone to the early life stages of fish. J Freshw Ecol 9(3): 229-239</w:t>
      </w:r>
      <w:r w:rsidRPr="00E845D4">
        <w:tab/>
      </w:r>
    </w:p>
    <w:p w14:paraId="4380CD57" w14:textId="77777777" w:rsidR="008247E7" w:rsidRDefault="008247E7" w:rsidP="0059513C">
      <w:pPr>
        <w:pStyle w:val="NormalText"/>
      </w:pPr>
      <w:r w:rsidRPr="00E845D4">
        <w:t>Peterek S</w:t>
      </w:r>
      <w:r>
        <w:t xml:space="preserve">, </w:t>
      </w:r>
      <w:r w:rsidRPr="00E845D4">
        <w:t>2009</w:t>
      </w:r>
      <w:r>
        <w:t xml:space="preserve">. </w:t>
      </w:r>
      <w:r w:rsidRPr="00E845D4">
        <w:t>Diquat SL (A1412A): a tier II aged residue seedling emergence study on sunflower and maize</w:t>
      </w:r>
      <w:r>
        <w:t xml:space="preserve">. Reference no. </w:t>
      </w:r>
      <w:r w:rsidRPr="00E845D4">
        <w:t>A1412A-10239</w:t>
      </w:r>
    </w:p>
    <w:p w14:paraId="3F525AA6" w14:textId="77777777" w:rsidR="008247E7" w:rsidRPr="00E845D4" w:rsidRDefault="008247E7" w:rsidP="0059513C">
      <w:pPr>
        <w:pStyle w:val="NormalText"/>
      </w:pPr>
      <w:r>
        <w:rPr>
          <w:szCs w:val="19"/>
        </w:rPr>
        <w:t xml:space="preserve">Petto R, 1993. Effects of Gramoxone 100 on </w:t>
      </w:r>
      <w:r>
        <w:rPr>
          <w:i/>
          <w:iCs/>
          <w:szCs w:val="19"/>
        </w:rPr>
        <w:t xml:space="preserve">Aleochara bilineata </w:t>
      </w:r>
      <w:r>
        <w:rPr>
          <w:szCs w:val="19"/>
        </w:rPr>
        <w:t>Gyll (Coleoptera, Staphylinidae) in the laboratory. Reference no. RCC405000</w:t>
      </w:r>
    </w:p>
    <w:p w14:paraId="2EA36385" w14:textId="6BC3F13B" w:rsidR="00797241" w:rsidRDefault="00797241" w:rsidP="0059513C">
      <w:pPr>
        <w:pStyle w:val="NormalText"/>
      </w:pPr>
      <w:r w:rsidRPr="00797241">
        <w:t>Pooles</w:t>
      </w:r>
      <w:r>
        <w:t xml:space="preserve">, 2005. </w:t>
      </w:r>
      <w:r w:rsidRPr="00797241">
        <w:t>Acute Oral Toxicity in the Rat - Up and Down Procedure</w:t>
      </w:r>
      <w:r>
        <w:t>. Report Number</w:t>
      </w:r>
      <w:r w:rsidRPr="00797241">
        <w:t xml:space="preserve"> 006/658</w:t>
      </w:r>
    </w:p>
    <w:p w14:paraId="556C61A7" w14:textId="3AE2ECCE" w:rsidR="008247E7" w:rsidRPr="00E845D4" w:rsidRDefault="008247E7" w:rsidP="0059513C">
      <w:pPr>
        <w:pStyle w:val="NormalText"/>
      </w:pPr>
      <w:r w:rsidRPr="00E845D4">
        <w:t>Porch J, Krueger H</w:t>
      </w:r>
      <w:r>
        <w:t xml:space="preserve">, </w:t>
      </w:r>
      <w:r w:rsidRPr="00E845D4">
        <w:t>1999</w:t>
      </w:r>
      <w:r>
        <w:t xml:space="preserve">. </w:t>
      </w:r>
      <w:r w:rsidRPr="00E845D4">
        <w:t>Diquat: a toxicity test to determine the effects of the test substance on vegetative vigor of two species of plants</w:t>
      </w:r>
      <w:r>
        <w:t xml:space="preserve">. Reference no. </w:t>
      </w:r>
      <w:r w:rsidRPr="00E845D4">
        <w:t>PP901/0580</w:t>
      </w:r>
    </w:p>
    <w:p w14:paraId="437FAF91" w14:textId="78E3E3DC" w:rsidR="001477C1" w:rsidRDefault="001477C1" w:rsidP="0059513C">
      <w:pPr>
        <w:pStyle w:val="NormalText"/>
      </w:pPr>
      <w:r w:rsidRPr="001477C1">
        <w:t xml:space="preserve">Rattray N </w:t>
      </w:r>
      <w:r>
        <w:t>and</w:t>
      </w:r>
      <w:r w:rsidRPr="001477C1">
        <w:t xml:space="preserve"> Robinson P</w:t>
      </w:r>
      <w:r>
        <w:t>,</w:t>
      </w:r>
      <w:r w:rsidRPr="001477C1">
        <w:t xml:space="preserve"> 1990</w:t>
      </w:r>
      <w:r>
        <w:t>.</w:t>
      </w:r>
      <w:r w:rsidRPr="001477C1">
        <w:t xml:space="preserve"> Diquat: Skin sensitisation to the guinea pig. Study Nos. GG4758 (main study) &amp; GG4763 (positive control study). Report No. CTL/P/2773. </w:t>
      </w:r>
    </w:p>
    <w:p w14:paraId="39EB2B38" w14:textId="72FF3420" w:rsidR="008247E7" w:rsidRDefault="008247E7" w:rsidP="0059513C">
      <w:pPr>
        <w:pStyle w:val="NormalText"/>
      </w:pPr>
      <w:r w:rsidRPr="00120DD8">
        <w:t>Reeve M.</w:t>
      </w:r>
      <w:r>
        <w:t>,</w:t>
      </w:r>
      <w:r w:rsidRPr="00120DD8">
        <w:t xml:space="preserve"> n.d. Summary of diquat residues found in water, rice, maize, clover and lucerne. Report no. RIC 3430.</w:t>
      </w:r>
    </w:p>
    <w:p w14:paraId="0DE5DE3C" w14:textId="77777777" w:rsidR="008247E7" w:rsidRPr="00120DD8" w:rsidRDefault="008247E7" w:rsidP="0059513C">
      <w:pPr>
        <w:pStyle w:val="NormalText"/>
      </w:pPr>
      <w:r w:rsidRPr="00120DD8">
        <w:t>Reichert N</w:t>
      </w:r>
      <w:r>
        <w:t>,</w:t>
      </w:r>
      <w:r w:rsidRPr="00120DD8">
        <w:t xml:space="preserve"> 1996</w:t>
      </w:r>
      <w:r>
        <w:t>.</w:t>
      </w:r>
      <w:r w:rsidRPr="00120DD8">
        <w:t xml:space="preserve"> Determination of diquat and paraquat in potato, pea seed, bean seed and soil. Validation of the methods SOP RAM 252/01 and SOP RAM 253/01</w:t>
      </w:r>
      <w:r>
        <w:t>. Report</w:t>
      </w:r>
      <w:r w:rsidRPr="00120DD8">
        <w:t xml:space="preserve"> no. IF-94/21111-00.</w:t>
      </w:r>
    </w:p>
    <w:p w14:paraId="419E433F" w14:textId="77777777" w:rsidR="005E214C" w:rsidRDefault="005E214C" w:rsidP="0059513C">
      <w:pPr>
        <w:pStyle w:val="NormalText"/>
      </w:pPr>
      <w:r>
        <w:t>Reigart JR &amp; Roberts JR (1999) Recognition and management of pesticide poisonings. 5th ed. ES EPA Office of Pesticide Programs, Washington, DC USA. http://www.epa.gov/pesticides/safety/healthcare</w:t>
      </w:r>
      <w:r w:rsidRPr="00E845D4">
        <w:t xml:space="preserve"> </w:t>
      </w:r>
    </w:p>
    <w:p w14:paraId="31495774" w14:textId="784578EC" w:rsidR="008D6001" w:rsidRDefault="008D6001" w:rsidP="0059513C">
      <w:pPr>
        <w:pStyle w:val="NormalText"/>
      </w:pPr>
      <w:r w:rsidRPr="008D6001">
        <w:t xml:space="preserve">Richardson CR, Howard CA </w:t>
      </w:r>
      <w:r>
        <w:t>and</w:t>
      </w:r>
      <w:r w:rsidRPr="008D6001">
        <w:t xml:space="preserve"> Wildgoose J</w:t>
      </w:r>
      <w:r>
        <w:t>,</w:t>
      </w:r>
      <w:r w:rsidRPr="008D6001">
        <w:t xml:space="preserve"> 1986</w:t>
      </w:r>
      <w:r>
        <w:t>.</w:t>
      </w:r>
      <w:r w:rsidRPr="008D6001">
        <w:t xml:space="preserve"> Diquat dibromide (technical): A cytogenetic study in human lymphocytes in vitro. Report No. CTL/P/1561.</w:t>
      </w:r>
    </w:p>
    <w:p w14:paraId="468B63EF" w14:textId="5C3D288C" w:rsidR="008247E7" w:rsidRPr="00E845D4" w:rsidRDefault="008247E7" w:rsidP="0059513C">
      <w:pPr>
        <w:pStyle w:val="NormalText"/>
      </w:pPr>
      <w:r w:rsidRPr="00E845D4">
        <w:t>Rittenhouse JR</w:t>
      </w:r>
      <w:r>
        <w:t xml:space="preserve">, </w:t>
      </w:r>
      <w:r w:rsidRPr="00E845D4">
        <w:t>1979</w:t>
      </w:r>
      <w:r>
        <w:t xml:space="preserve">. </w:t>
      </w:r>
      <w:r w:rsidRPr="00E845D4">
        <w:t>The acute oral toxicity of Diquat Water Weed Killer (SX1085)</w:t>
      </w:r>
      <w:r>
        <w:t xml:space="preserve">. Reference no. </w:t>
      </w:r>
      <w:r w:rsidRPr="00E845D4">
        <w:t>1396/37:67</w:t>
      </w:r>
    </w:p>
    <w:p w14:paraId="6C85B43E" w14:textId="4C84363B" w:rsidR="008247E7" w:rsidRPr="001477C1" w:rsidRDefault="008247E7" w:rsidP="0059513C">
      <w:pPr>
        <w:pStyle w:val="NormalText"/>
      </w:pPr>
      <w:r w:rsidRPr="001477C1">
        <w:t>Roberts N, Fairley C, 1980. The acute oral toxicity (LD50) of diquat to the partridge. Reference no. 311WL/8054</w:t>
      </w:r>
    </w:p>
    <w:p w14:paraId="27970D42" w14:textId="0FCCACF2" w:rsidR="001477C1" w:rsidRDefault="001477C1" w:rsidP="0059513C">
      <w:pPr>
        <w:pStyle w:val="NormalText"/>
      </w:pPr>
      <w:r>
        <w:t>Robinson P (1998a) Diquat dibromide technical concentrate: Skin irritation to the rabbit. Report No. CTL/P/5208.</w:t>
      </w:r>
    </w:p>
    <w:p w14:paraId="5AABCE32" w14:textId="6AE70438" w:rsidR="001477C1" w:rsidRDefault="001477C1" w:rsidP="0059513C">
      <w:pPr>
        <w:pStyle w:val="NormalText"/>
      </w:pPr>
      <w:r>
        <w:lastRenderedPageBreak/>
        <w:t>Robinson P (1998b) Diquat dibromide technical concentrate: Eye irritation to the rabbit. Report No. CTL/P/5209.</w:t>
      </w:r>
    </w:p>
    <w:p w14:paraId="6060A85B" w14:textId="489DD516" w:rsidR="008247E7" w:rsidRPr="008C1C90" w:rsidRDefault="008247E7" w:rsidP="0059513C">
      <w:pPr>
        <w:pStyle w:val="NormalText"/>
      </w:pPr>
      <w:bookmarkStart w:id="576" w:name="_Hlk160790296"/>
      <w:r w:rsidRPr="008C1C90">
        <w:t>Roper EM, 1995(a). Diquat: Magnitude of the residues of diquat on dry peas from trials conducted in the USA during 1994 (WRC-95-071) (WINO 13352). Report no. RR 95-046B.</w:t>
      </w:r>
      <w:r w:rsidRPr="008C1C90">
        <w:tab/>
      </w:r>
    </w:p>
    <w:p w14:paraId="77279262" w14:textId="77777777" w:rsidR="008247E7" w:rsidRPr="008C1C90" w:rsidRDefault="008247E7" w:rsidP="0059513C">
      <w:pPr>
        <w:pStyle w:val="NormalText"/>
      </w:pPr>
      <w:r w:rsidRPr="008C1C90">
        <w:t>Roper EM, 1995(b). Diquat: Magnitude of the residues of diquat in dry beans from trials conducted in the USA during 1994 (WRC-95-058) (WINO 13354). Report no. RR 95-033B.</w:t>
      </w:r>
      <w:r w:rsidRPr="008C1C90">
        <w:tab/>
      </w:r>
    </w:p>
    <w:p w14:paraId="4427A5F3" w14:textId="77777777" w:rsidR="008247E7" w:rsidRPr="00244A65" w:rsidRDefault="008247E7" w:rsidP="0059513C">
      <w:pPr>
        <w:pStyle w:val="NormalText"/>
      </w:pPr>
      <w:r w:rsidRPr="00244A65">
        <w:t>Roper EM, 1995(c). Diquat: Magnitude of the residues of diquat on potatoes from trials conducted in the USA during 1994 (WRC-95-053). Report no. RR 95-029B.</w:t>
      </w:r>
    </w:p>
    <w:p w14:paraId="401627EE" w14:textId="77777777" w:rsidR="008247E7" w:rsidRPr="008C1C90" w:rsidRDefault="008247E7" w:rsidP="0059513C">
      <w:pPr>
        <w:pStyle w:val="NormalText"/>
      </w:pPr>
      <w:r w:rsidRPr="008C1C90">
        <w:t>Roper EM, 1995(</w:t>
      </w:r>
      <w:r>
        <w:t>d</w:t>
      </w:r>
      <w:r w:rsidRPr="008C1C90">
        <w:t>). Diquat: Magnitude of the residues on lentils from trials conducted in the USA during 1994 (WRC-95-063) (WINO 13353). Report no. RR95-038B.</w:t>
      </w:r>
    </w:p>
    <w:bookmarkEnd w:id="576"/>
    <w:p w14:paraId="16BE07EB" w14:textId="77777777" w:rsidR="00C15F8E" w:rsidRDefault="008247E7" w:rsidP="0059513C">
      <w:pPr>
        <w:pStyle w:val="NormalText"/>
      </w:pPr>
      <w:r w:rsidRPr="00120DD8">
        <w:t>Roper EM</w:t>
      </w:r>
      <w:r>
        <w:t>,</w:t>
      </w:r>
      <w:r w:rsidRPr="00120DD8">
        <w:t xml:space="preserve"> 1996</w:t>
      </w:r>
      <w:r>
        <w:t>.</w:t>
      </w:r>
      <w:r w:rsidRPr="00120DD8">
        <w:t xml:space="preserve"> Supplemental information/response on diquat lentils, dry peas, and dry beans (MRIDS 43822001, 43822002, 43822003) (WRC-96-119)</w:t>
      </w:r>
      <w:r>
        <w:t>. Report</w:t>
      </w:r>
      <w:r w:rsidRPr="00120DD8">
        <w:t xml:space="preserve"> no. RR 96-079B.</w:t>
      </w:r>
    </w:p>
    <w:p w14:paraId="3EFF18F5" w14:textId="7DC27D56" w:rsidR="008A2E6D" w:rsidRDefault="00C15F8E" w:rsidP="0059513C">
      <w:pPr>
        <w:pStyle w:val="NormalText"/>
      </w:pPr>
      <w:r w:rsidRPr="00C15F8E">
        <w:t xml:space="preserve">Rudez J, Sepcic K </w:t>
      </w:r>
      <w:r>
        <w:t>and</w:t>
      </w:r>
      <w:r w:rsidRPr="00C15F8E">
        <w:t xml:space="preserve"> Sepcic J</w:t>
      </w:r>
      <w:r w:rsidR="002E69C2">
        <w:t>,</w:t>
      </w:r>
      <w:r w:rsidRPr="00C15F8E">
        <w:t xml:space="preserve"> 1999</w:t>
      </w:r>
      <w:r w:rsidR="002E69C2">
        <w:t>.</w:t>
      </w:r>
      <w:r w:rsidRPr="00C15F8E">
        <w:t xml:space="preserve"> Vaginally applied diquat intoxication. Clin Toxicol 37 (7): 877-879</w:t>
      </w:r>
      <w:r w:rsidR="008247E7" w:rsidRPr="00120DD8">
        <w:tab/>
      </w:r>
    </w:p>
    <w:p w14:paraId="73749AAB" w14:textId="1A836D26" w:rsidR="008247E7" w:rsidRPr="00E845D4" w:rsidRDefault="008247E7" w:rsidP="0059513C">
      <w:pPr>
        <w:pStyle w:val="NormalText"/>
      </w:pPr>
      <w:r>
        <w:rPr>
          <w:szCs w:val="19"/>
        </w:rPr>
        <w:t xml:space="preserve">Scheerbaum D, 2007b, Paraquat technical: alga growth inhibition test with </w:t>
      </w:r>
      <w:r>
        <w:rPr>
          <w:i/>
          <w:iCs/>
          <w:szCs w:val="19"/>
        </w:rPr>
        <w:t>Pseudokirchneriella subcapitata</w:t>
      </w:r>
      <w:r>
        <w:rPr>
          <w:szCs w:val="19"/>
        </w:rPr>
        <w:t>, 96h. Reference no. SPO112271</w:t>
      </w:r>
    </w:p>
    <w:p w14:paraId="5B5E917F" w14:textId="77777777" w:rsidR="008247E7" w:rsidRPr="00E845D4" w:rsidRDefault="008247E7" w:rsidP="0059513C">
      <w:pPr>
        <w:pStyle w:val="NormalText"/>
      </w:pPr>
      <w:r w:rsidRPr="00E845D4">
        <w:t>Schulz L</w:t>
      </w:r>
      <w:r>
        <w:t xml:space="preserve">, </w:t>
      </w:r>
      <w:r w:rsidRPr="00E845D4">
        <w:t>2007</w:t>
      </w:r>
      <w:r>
        <w:t>(</w:t>
      </w:r>
      <w:r w:rsidRPr="00E845D4">
        <w:t>a</w:t>
      </w:r>
      <w:r>
        <w:t xml:space="preserve">). </w:t>
      </w:r>
      <w:r w:rsidRPr="00E845D4">
        <w:t xml:space="preserve">Diquat SL (A1412A): effects on the reproduction of the predatory mite </w:t>
      </w:r>
      <w:r w:rsidRPr="00376A70">
        <w:rPr>
          <w:i/>
          <w:iCs/>
        </w:rPr>
        <w:t>Hypoaspis aculeifer</w:t>
      </w:r>
      <w:r>
        <w:t xml:space="preserve">. Reference no. </w:t>
      </w:r>
      <w:r w:rsidRPr="00E845D4">
        <w:t>PP901/2093</w:t>
      </w:r>
    </w:p>
    <w:p w14:paraId="5600AD3F" w14:textId="77777777" w:rsidR="008247E7" w:rsidRPr="00E845D4" w:rsidRDefault="008247E7" w:rsidP="0059513C">
      <w:pPr>
        <w:pStyle w:val="NormalText"/>
      </w:pPr>
      <w:r w:rsidRPr="00E845D4">
        <w:t>Schulz L</w:t>
      </w:r>
      <w:r>
        <w:t xml:space="preserve">, </w:t>
      </w:r>
      <w:r w:rsidRPr="00E845D4">
        <w:t>2007</w:t>
      </w:r>
      <w:r>
        <w:t>(</w:t>
      </w:r>
      <w:r w:rsidRPr="00E845D4">
        <w:t>b</w:t>
      </w:r>
      <w:r>
        <w:t xml:space="preserve">). </w:t>
      </w:r>
      <w:r w:rsidRPr="00E845D4">
        <w:t xml:space="preserve">Diquat SL (A1412A): effects on the activity of soil microflora (nitrogen transformation test) </w:t>
      </w:r>
      <w:r>
        <w:t xml:space="preserve">. Reference no. </w:t>
      </w:r>
      <w:r w:rsidRPr="00E845D4">
        <w:t>1639-BCN-500-05, PP901/1968</w:t>
      </w:r>
    </w:p>
    <w:p w14:paraId="73032A3E" w14:textId="77777777" w:rsidR="008247E7" w:rsidRPr="00E845D4" w:rsidRDefault="008247E7" w:rsidP="0059513C">
      <w:pPr>
        <w:pStyle w:val="NormalText"/>
      </w:pPr>
      <w:r w:rsidRPr="00E845D4">
        <w:t>Schulz L</w:t>
      </w:r>
      <w:r>
        <w:t xml:space="preserve">, </w:t>
      </w:r>
      <w:r w:rsidRPr="00E845D4">
        <w:t>2011</w:t>
      </w:r>
      <w:r>
        <w:t>(</w:t>
      </w:r>
      <w:r w:rsidRPr="00E845D4">
        <w:t>a</w:t>
      </w:r>
      <w:r>
        <w:t xml:space="preserve">). </w:t>
      </w:r>
      <w:r w:rsidRPr="00E845D4">
        <w:t xml:space="preserve">CGA130327: effects on the reproduction of the predatory mite </w:t>
      </w:r>
      <w:r w:rsidRPr="00376A70">
        <w:rPr>
          <w:i/>
          <w:iCs/>
        </w:rPr>
        <w:t>Hypoaspis aculeifer</w:t>
      </w:r>
      <w:r>
        <w:t xml:space="preserve">. Reference no. </w:t>
      </w:r>
      <w:r w:rsidRPr="00E845D4">
        <w:t>CGA130327-10004</w:t>
      </w:r>
    </w:p>
    <w:p w14:paraId="5B787CFD" w14:textId="79CA403A" w:rsidR="008247E7" w:rsidRPr="00E845D4" w:rsidRDefault="008247E7" w:rsidP="0059513C">
      <w:pPr>
        <w:pStyle w:val="NormalText"/>
      </w:pPr>
      <w:r w:rsidRPr="00E845D4">
        <w:t>Schulz L</w:t>
      </w:r>
      <w:r>
        <w:t xml:space="preserve">, </w:t>
      </w:r>
      <w:r w:rsidRPr="00E845D4">
        <w:t>2011</w:t>
      </w:r>
      <w:r>
        <w:t>(</w:t>
      </w:r>
      <w:r w:rsidRPr="00E845D4">
        <w:t>b</w:t>
      </w:r>
      <w:r>
        <w:t xml:space="preserve">). </w:t>
      </w:r>
      <w:r w:rsidRPr="00E845D4">
        <w:t>CGA130327: effects on the activity of soil microflora (nitrogen and carbon transformation tests)</w:t>
      </w:r>
      <w:r>
        <w:t xml:space="preserve">. Reference no. </w:t>
      </w:r>
      <w:r w:rsidRPr="00E845D4">
        <w:t>CGA130327-10002</w:t>
      </w:r>
      <w:r w:rsidR="00CD2218">
        <w:t>.</w:t>
      </w:r>
    </w:p>
    <w:p w14:paraId="1DDD8DB7" w14:textId="762EBB09" w:rsidR="00CD2218" w:rsidRDefault="00CD2218" w:rsidP="0059513C">
      <w:pPr>
        <w:pStyle w:val="NormalText"/>
      </w:pPr>
      <w:r w:rsidRPr="00CD2218">
        <w:t xml:space="preserve">Scott RC </w:t>
      </w:r>
      <w:r>
        <w:t>and</w:t>
      </w:r>
      <w:r w:rsidRPr="00CD2218">
        <w:t xml:space="preserve"> Corrigan MA</w:t>
      </w:r>
      <w:r>
        <w:t xml:space="preserve">, </w:t>
      </w:r>
      <w:r w:rsidRPr="00CD2218">
        <w:t>1989</w:t>
      </w:r>
      <w:r>
        <w:t>.</w:t>
      </w:r>
      <w:r w:rsidRPr="00CD2218">
        <w:t xml:space="preserve"> The in vitro percutaneous absorption of diquat: a species comparison. Toxicology in vitro 4(2): 137-141</w:t>
      </w:r>
      <w:r>
        <w:t>.</w:t>
      </w:r>
      <w:r w:rsidRPr="00CD2218">
        <w:t xml:space="preserve"> </w:t>
      </w:r>
    </w:p>
    <w:p w14:paraId="121C1517" w14:textId="20775AA7" w:rsidR="00615548" w:rsidRDefault="00615548" w:rsidP="0059513C">
      <w:pPr>
        <w:pStyle w:val="NormalText"/>
      </w:pPr>
      <w:r>
        <w:t>Scott RC, Walker M and Mawdsley SJ, 1991a. Diquat: In vitro absorption from technical concentrate (‘Reglone 40’) and spray strength solution through human skin. Report No. CTL/P/970.</w:t>
      </w:r>
    </w:p>
    <w:p w14:paraId="215A0BAA" w14:textId="76C54DF0" w:rsidR="00615548" w:rsidRDefault="00615548" w:rsidP="0059513C">
      <w:pPr>
        <w:pStyle w:val="NormalText"/>
      </w:pPr>
      <w:r>
        <w:t>Scott RC, Walker M and Mawdsley SJ, 1991b. First revision to diquat: In vitro absorption from technical concentrate (‘Reglone 40’) and spray strength solution through human skin. Report No. CTL/P/970.</w:t>
      </w:r>
    </w:p>
    <w:p w14:paraId="4F131784" w14:textId="167928A5" w:rsidR="00A6186D" w:rsidRDefault="00A6186D" w:rsidP="0059513C">
      <w:pPr>
        <w:pStyle w:val="NormalText"/>
      </w:pPr>
      <w:r w:rsidRPr="00A6186D">
        <w:t xml:space="preserve">Sheldon T, Richardson CR &amp; Shaw J (1986) Diquat dibromide (technical): An evaluation in the mouse micronucleus test. Report No. CTL/P/1532. </w:t>
      </w:r>
    </w:p>
    <w:p w14:paraId="385FE87A" w14:textId="031EC909" w:rsidR="008247E7" w:rsidRDefault="008247E7" w:rsidP="0059513C">
      <w:pPr>
        <w:pStyle w:val="NormalText"/>
      </w:pPr>
      <w:r w:rsidRPr="00E845D4">
        <w:t>Shilling D</w:t>
      </w:r>
      <w:r>
        <w:t xml:space="preserve">, </w:t>
      </w:r>
      <w:r w:rsidRPr="00E845D4">
        <w:t>1987</w:t>
      </w:r>
      <w:r>
        <w:t xml:space="preserve">. </w:t>
      </w:r>
      <w:r w:rsidRPr="00E845D4">
        <w:t>The influence of pre-emergence applied diquat in the germination and emergence of selected plant species</w:t>
      </w:r>
      <w:r>
        <w:t xml:space="preserve">. Reference no. </w:t>
      </w:r>
      <w:r w:rsidRPr="00E845D4">
        <w:t>8704721A</w:t>
      </w:r>
    </w:p>
    <w:p w14:paraId="52665FBE" w14:textId="77777777" w:rsidR="008247E7" w:rsidRDefault="008247E7" w:rsidP="0059513C">
      <w:pPr>
        <w:pStyle w:val="NormalText"/>
      </w:pPr>
      <w:bookmarkStart w:id="577" w:name="_Hlk163818391"/>
      <w:r w:rsidRPr="00120DD8">
        <w:lastRenderedPageBreak/>
        <w:t>Simon P</w:t>
      </w:r>
      <w:r>
        <w:t xml:space="preserve">, </w:t>
      </w:r>
      <w:r w:rsidRPr="00120DD8">
        <w:t>1978</w:t>
      </w:r>
      <w:r>
        <w:t>.</w:t>
      </w:r>
      <w:r w:rsidRPr="00120DD8">
        <w:t xml:space="preserve"> Residue reports for Reglone (diquat) in hops from the Rs 7858 trials on BBA form II-08-03</w:t>
      </w:r>
      <w:r>
        <w:t>. Report</w:t>
      </w:r>
      <w:r w:rsidRPr="00120DD8">
        <w:t xml:space="preserve"> no. RIC3450. </w:t>
      </w:r>
    </w:p>
    <w:p w14:paraId="3C73EA8B" w14:textId="77777777" w:rsidR="008247E7" w:rsidRDefault="008247E7" w:rsidP="0059513C">
      <w:pPr>
        <w:pStyle w:val="NormalText"/>
      </w:pPr>
      <w:r w:rsidRPr="00120DD8">
        <w:t>Sipos E</w:t>
      </w:r>
      <w:r>
        <w:t xml:space="preserve">, </w:t>
      </w:r>
      <w:r w:rsidRPr="00120DD8">
        <w:t>1973</w:t>
      </w:r>
      <w:r>
        <w:t>.</w:t>
      </w:r>
      <w:r w:rsidRPr="00120DD8">
        <w:t xml:space="preserve"> Analysis of pesticide residues in cows after their sub-acute feeding with ‘Reglone’ treated rape and sunflower cake, Plant Protection Station of Vas County, Tanakajd, Hungary.</w:t>
      </w:r>
    </w:p>
    <w:p w14:paraId="45F9AD43" w14:textId="77777777" w:rsidR="008247E7" w:rsidRPr="00120DD8" w:rsidRDefault="008247E7" w:rsidP="0059513C">
      <w:pPr>
        <w:pStyle w:val="NormalText"/>
      </w:pPr>
      <w:r w:rsidRPr="00120DD8">
        <w:t>Skidmore MW, Leahey JP and Grout SJ</w:t>
      </w:r>
      <w:r>
        <w:t>,</w:t>
      </w:r>
      <w:r w:rsidRPr="00120DD8">
        <w:t xml:space="preserve"> 1993</w:t>
      </w:r>
      <w:r>
        <w:t>.</w:t>
      </w:r>
      <w:r w:rsidRPr="00120DD8">
        <w:t xml:space="preserve"> Diquat: Assessment of radioactive residues in treated chaff for a bioavailability study</w:t>
      </w:r>
      <w:r>
        <w:t>. Report</w:t>
      </w:r>
      <w:r w:rsidRPr="00120DD8">
        <w:t xml:space="preserve"> no. RJ1524B.</w:t>
      </w:r>
    </w:p>
    <w:p w14:paraId="1678CA38" w14:textId="77777777" w:rsidR="008247E7" w:rsidRDefault="008247E7" w:rsidP="0059513C">
      <w:pPr>
        <w:pStyle w:val="NormalText"/>
        <w:rPr>
          <w:szCs w:val="19"/>
        </w:rPr>
      </w:pPr>
      <w:r w:rsidRPr="000D2C95">
        <w:rPr>
          <w:szCs w:val="19"/>
        </w:rPr>
        <w:t xml:space="preserve">Slade P, 1966. Bipyridylium Herbicides: The degradation of diquat after its application to plants. File no. A126, 360. </w:t>
      </w:r>
      <w:r w:rsidRPr="000D2C95">
        <w:rPr>
          <w:szCs w:val="19"/>
        </w:rPr>
        <w:tab/>
      </w:r>
    </w:p>
    <w:p w14:paraId="32F288E2" w14:textId="77777777" w:rsidR="008247E7" w:rsidRPr="000D2C95" w:rsidRDefault="008247E7" w:rsidP="0059513C">
      <w:pPr>
        <w:pStyle w:val="NormalText"/>
        <w:rPr>
          <w:szCs w:val="19"/>
        </w:rPr>
      </w:pPr>
      <w:r w:rsidRPr="000D2C95">
        <w:rPr>
          <w:szCs w:val="19"/>
        </w:rPr>
        <w:t xml:space="preserve">Smith AE, 1967. Residues in potato tubers following haulm desiccation with 14C-diquat. Bulletin of Environmental Contamination &amp; Toxicology, 2(3):169–177. </w:t>
      </w:r>
      <w:r w:rsidRPr="000D2C95">
        <w:rPr>
          <w:szCs w:val="19"/>
        </w:rPr>
        <w:tab/>
      </w:r>
    </w:p>
    <w:p w14:paraId="1D7A04F8" w14:textId="77777777" w:rsidR="008247E7" w:rsidRDefault="008247E7" w:rsidP="0059513C">
      <w:pPr>
        <w:pStyle w:val="NormalText"/>
        <w:rPr>
          <w:szCs w:val="19"/>
        </w:rPr>
      </w:pPr>
      <w:r>
        <w:rPr>
          <w:szCs w:val="19"/>
        </w:rPr>
        <w:t xml:space="preserve">Smyth DV, Tapp JF, Sankey SA, Stanley RD, 1990(a). Paraquat: determination of toxicity to the green alga </w:t>
      </w:r>
      <w:r>
        <w:rPr>
          <w:i/>
          <w:iCs/>
          <w:szCs w:val="19"/>
        </w:rPr>
        <w:t>Selenastrum capricornutum</w:t>
      </w:r>
      <w:r>
        <w:rPr>
          <w:szCs w:val="19"/>
        </w:rPr>
        <w:t>. Reference no. BL3748/B</w:t>
      </w:r>
    </w:p>
    <w:p w14:paraId="6D1D60C7" w14:textId="77777777" w:rsidR="008247E7" w:rsidRDefault="008247E7" w:rsidP="0059513C">
      <w:pPr>
        <w:pStyle w:val="NormalText"/>
        <w:rPr>
          <w:szCs w:val="19"/>
        </w:rPr>
      </w:pPr>
      <w:r>
        <w:rPr>
          <w:szCs w:val="19"/>
        </w:rPr>
        <w:t xml:space="preserve">Smyth DV, Tapp JF, Sankey SA, Stanley RD, 1990(b). Paraquat: determination of toxicity of a 10% formulation (Gramoxone 100) to the green alga </w:t>
      </w:r>
      <w:r>
        <w:rPr>
          <w:i/>
          <w:iCs/>
          <w:szCs w:val="19"/>
        </w:rPr>
        <w:t>Selenastrum capricornutum</w:t>
      </w:r>
      <w:r>
        <w:rPr>
          <w:szCs w:val="19"/>
        </w:rPr>
        <w:t>. Reference no. BL3896/B</w:t>
      </w:r>
    </w:p>
    <w:p w14:paraId="1B16A576" w14:textId="77777777" w:rsidR="008247E7" w:rsidRDefault="008247E7" w:rsidP="0059513C">
      <w:pPr>
        <w:pStyle w:val="NormalText"/>
        <w:rPr>
          <w:szCs w:val="19"/>
        </w:rPr>
      </w:pPr>
      <w:r>
        <w:rPr>
          <w:szCs w:val="19"/>
        </w:rPr>
        <w:t xml:space="preserve">Smyth DV, Sankey SA, Cornish SK, 1992(a). Paraquat dichloride: toxicity to the freshwater diatom </w:t>
      </w:r>
      <w:r>
        <w:rPr>
          <w:i/>
          <w:iCs/>
          <w:szCs w:val="19"/>
        </w:rPr>
        <w:t>Navicula pellicolosa</w:t>
      </w:r>
      <w:r>
        <w:rPr>
          <w:szCs w:val="19"/>
        </w:rPr>
        <w:t>. Reference no. BN4464/B</w:t>
      </w:r>
    </w:p>
    <w:p w14:paraId="4ED65A63" w14:textId="77777777" w:rsidR="008247E7" w:rsidRDefault="008247E7" w:rsidP="0059513C">
      <w:pPr>
        <w:pStyle w:val="NormalText"/>
        <w:rPr>
          <w:szCs w:val="19"/>
        </w:rPr>
      </w:pPr>
      <w:r>
        <w:rPr>
          <w:szCs w:val="19"/>
        </w:rPr>
        <w:t xml:space="preserve">Smyth DV, Sankey SA, Penwell AJ, 1992(b). Paraquat dichloride: toxicity to the green alga </w:t>
      </w:r>
      <w:r>
        <w:rPr>
          <w:i/>
          <w:iCs/>
          <w:szCs w:val="19"/>
        </w:rPr>
        <w:t>Selenastrum capricornutum</w:t>
      </w:r>
      <w:r>
        <w:rPr>
          <w:szCs w:val="19"/>
        </w:rPr>
        <w:t>. Reference no. BL4578/B</w:t>
      </w:r>
    </w:p>
    <w:p w14:paraId="10565C7D" w14:textId="77777777" w:rsidR="008247E7" w:rsidRDefault="008247E7" w:rsidP="0059513C">
      <w:pPr>
        <w:pStyle w:val="NormalText"/>
      </w:pPr>
      <w:r>
        <w:rPr>
          <w:szCs w:val="19"/>
        </w:rPr>
        <w:t xml:space="preserve">Smyth DV, Sankey SA, Cornish SK, 1992(c). Paraquat dichloride: toxicity to the blue-green alga </w:t>
      </w:r>
      <w:r>
        <w:rPr>
          <w:i/>
          <w:iCs/>
          <w:szCs w:val="19"/>
        </w:rPr>
        <w:t>Anabaena flos-aquae</w:t>
      </w:r>
      <w:r>
        <w:rPr>
          <w:szCs w:val="19"/>
        </w:rPr>
        <w:t>. Reference no. BL4579/B</w:t>
      </w:r>
    </w:p>
    <w:p w14:paraId="5C26D6B0" w14:textId="77777777" w:rsidR="008247E7" w:rsidRDefault="008247E7" w:rsidP="0059513C">
      <w:pPr>
        <w:pStyle w:val="NormalText"/>
        <w:rPr>
          <w:szCs w:val="19"/>
        </w:rPr>
      </w:pPr>
      <w:r>
        <w:rPr>
          <w:szCs w:val="19"/>
        </w:rPr>
        <w:t xml:space="preserve">Smyth DV, Sankey SA, Penwell AJ, 1992(d). Paraquat dichloride: toxicity to the marine alga </w:t>
      </w:r>
      <w:r>
        <w:rPr>
          <w:i/>
          <w:iCs/>
          <w:szCs w:val="19"/>
        </w:rPr>
        <w:t>Skelenonema costatum</w:t>
      </w:r>
      <w:r>
        <w:rPr>
          <w:szCs w:val="19"/>
        </w:rPr>
        <w:t>. Reference no. BL4580/B</w:t>
      </w:r>
    </w:p>
    <w:p w14:paraId="59070F61" w14:textId="77777777" w:rsidR="008247E7" w:rsidRPr="00E845D4" w:rsidRDefault="008247E7" w:rsidP="0059513C">
      <w:pPr>
        <w:pStyle w:val="NormalText"/>
      </w:pPr>
      <w:r>
        <w:rPr>
          <w:szCs w:val="19"/>
        </w:rPr>
        <w:t xml:space="preserve">Smyth DV, Sankey SA, Cornish SK, Penwell AJ, 1992(e). Paraquat dichloride: toxicity to the duckweed </w:t>
      </w:r>
      <w:r>
        <w:rPr>
          <w:i/>
          <w:iCs/>
          <w:szCs w:val="19"/>
        </w:rPr>
        <w:t>Lemna gibba</w:t>
      </w:r>
      <w:r>
        <w:rPr>
          <w:szCs w:val="19"/>
        </w:rPr>
        <w:t>. Reference no. BL4493/B</w:t>
      </w:r>
      <w:bookmarkEnd w:id="577"/>
    </w:p>
    <w:p w14:paraId="7EE5D639" w14:textId="77777777" w:rsidR="008247E7" w:rsidRPr="00E845D4" w:rsidRDefault="008247E7" w:rsidP="0059513C">
      <w:pPr>
        <w:pStyle w:val="NormalText"/>
      </w:pPr>
      <w:r w:rsidRPr="00E845D4">
        <w:t>Smyth DV, Kent SJ, Shillabeer N</w:t>
      </w:r>
      <w:r>
        <w:t xml:space="preserve">, </w:t>
      </w:r>
      <w:r w:rsidRPr="00E845D4">
        <w:t>1998</w:t>
      </w:r>
      <w:r>
        <w:t>(</w:t>
      </w:r>
      <w:r w:rsidRPr="00E845D4">
        <w:t>a</w:t>
      </w:r>
      <w:r>
        <w:t xml:space="preserve">). </w:t>
      </w:r>
      <w:r w:rsidRPr="00E845D4">
        <w:t xml:space="preserve">Diquat: toxicity to the freshwater diatom </w:t>
      </w:r>
      <w:r w:rsidRPr="00376A70">
        <w:rPr>
          <w:i/>
          <w:iCs/>
        </w:rPr>
        <w:t>Navicula pelliculosa</w:t>
      </w:r>
      <w:r>
        <w:t xml:space="preserve">. Reference no. </w:t>
      </w:r>
      <w:r w:rsidRPr="00E845D4">
        <w:t>PP901/0579, BL6150/B</w:t>
      </w:r>
    </w:p>
    <w:p w14:paraId="52584EAE" w14:textId="77777777" w:rsidR="008247E7" w:rsidRPr="00E845D4" w:rsidRDefault="008247E7" w:rsidP="0059513C">
      <w:pPr>
        <w:pStyle w:val="NormalText"/>
      </w:pPr>
      <w:r w:rsidRPr="00E845D4">
        <w:t>Smyth DV, Kent SJ, Shillabeer N</w:t>
      </w:r>
      <w:r>
        <w:t xml:space="preserve">, </w:t>
      </w:r>
      <w:r w:rsidRPr="00E845D4">
        <w:t>1998</w:t>
      </w:r>
      <w:r>
        <w:t>(</w:t>
      </w:r>
      <w:r w:rsidRPr="00E845D4">
        <w:t>b</w:t>
      </w:r>
      <w:r>
        <w:t xml:space="preserve">). </w:t>
      </w:r>
      <w:r w:rsidRPr="00E845D4">
        <w:t xml:space="preserve">Diquat: toxicity to the blue-green alga </w:t>
      </w:r>
      <w:r w:rsidRPr="00376A70">
        <w:rPr>
          <w:i/>
          <w:iCs/>
        </w:rPr>
        <w:t>Anabaena flos-aquae</w:t>
      </w:r>
      <w:r>
        <w:t xml:space="preserve">. Reference no. </w:t>
      </w:r>
      <w:r w:rsidRPr="00E845D4">
        <w:t>BL6148/B, PP901/0578</w:t>
      </w:r>
    </w:p>
    <w:p w14:paraId="20CF3A5C" w14:textId="77777777" w:rsidR="008247E7" w:rsidRDefault="008247E7" w:rsidP="0059513C">
      <w:pPr>
        <w:pStyle w:val="NormalText"/>
      </w:pPr>
      <w:r w:rsidRPr="00E845D4">
        <w:t>Smyth DV, Kent SJ, Shillabeer N</w:t>
      </w:r>
      <w:r>
        <w:t xml:space="preserve">, </w:t>
      </w:r>
      <w:r w:rsidRPr="00E845D4">
        <w:t>1998</w:t>
      </w:r>
      <w:r>
        <w:t xml:space="preserve">(c). </w:t>
      </w:r>
      <w:r w:rsidRPr="00E845D4">
        <w:t xml:space="preserve">Diquat: toxicity to the marine alga </w:t>
      </w:r>
      <w:r w:rsidRPr="00376A70">
        <w:rPr>
          <w:i/>
          <w:iCs/>
        </w:rPr>
        <w:t>Skeletonema costatum</w:t>
      </w:r>
      <w:r>
        <w:t xml:space="preserve">. Reference no. </w:t>
      </w:r>
      <w:r w:rsidRPr="00E845D4">
        <w:t>BL6149/B, PP901/0577</w:t>
      </w:r>
    </w:p>
    <w:p w14:paraId="48FEAA65" w14:textId="77777777" w:rsidR="008247E7" w:rsidRPr="00E845D4" w:rsidRDefault="008247E7" w:rsidP="0059513C">
      <w:pPr>
        <w:pStyle w:val="NormalText"/>
      </w:pPr>
      <w:r w:rsidRPr="00E845D4">
        <w:t>Surprenant D</w:t>
      </w:r>
      <w:r>
        <w:t xml:space="preserve">, </w:t>
      </w:r>
      <w:r w:rsidRPr="00E845D4">
        <w:t>1987</w:t>
      </w:r>
      <w:r>
        <w:t>(</w:t>
      </w:r>
      <w:r w:rsidRPr="00E845D4">
        <w:t>a</w:t>
      </w:r>
      <w:r>
        <w:t xml:space="preserve">). </w:t>
      </w:r>
      <w:r w:rsidRPr="00E845D4">
        <w:t>The toxicity of diquat concentrate to fathead minnow (</w:t>
      </w:r>
      <w:r w:rsidRPr="00376A70">
        <w:rPr>
          <w:i/>
          <w:iCs/>
        </w:rPr>
        <w:t>Pimephales promelas</w:t>
      </w:r>
      <w:r w:rsidRPr="00E845D4">
        <w:t>) embryos and larvae</w:t>
      </w:r>
      <w:r>
        <w:t xml:space="preserve">. Reference no. </w:t>
      </w:r>
      <w:r w:rsidRPr="00E845D4">
        <w:t>S-2912</w:t>
      </w:r>
    </w:p>
    <w:p w14:paraId="6CDBCFC3" w14:textId="77777777" w:rsidR="008247E7" w:rsidRDefault="008247E7" w:rsidP="0059513C">
      <w:pPr>
        <w:pStyle w:val="NormalText"/>
      </w:pPr>
      <w:r w:rsidRPr="00E845D4">
        <w:lastRenderedPageBreak/>
        <w:t>Surprenant D</w:t>
      </w:r>
      <w:r>
        <w:t xml:space="preserve">, </w:t>
      </w:r>
      <w:r w:rsidRPr="00E845D4">
        <w:t>1987</w:t>
      </w:r>
      <w:r>
        <w:t>(</w:t>
      </w:r>
      <w:r w:rsidRPr="00E845D4">
        <w:t>b</w:t>
      </w:r>
      <w:r>
        <w:t xml:space="preserve">). </w:t>
      </w:r>
      <w:r w:rsidRPr="00E845D4">
        <w:t xml:space="preserve">The chronic toxicity of diquat concentrate to </w:t>
      </w:r>
      <w:r w:rsidRPr="00376A70">
        <w:rPr>
          <w:i/>
          <w:iCs/>
        </w:rPr>
        <w:t>Daphnia magna</w:t>
      </w:r>
      <w:r w:rsidRPr="00E845D4">
        <w:t xml:space="preserve"> under flow-through conditions</w:t>
      </w:r>
      <w:r>
        <w:t xml:space="preserve">. Reference no. </w:t>
      </w:r>
      <w:r w:rsidRPr="00E845D4">
        <w:t>87-8-2473</w:t>
      </w:r>
    </w:p>
    <w:p w14:paraId="47BE5B55" w14:textId="77777777" w:rsidR="008247E7" w:rsidRPr="00120DD8" w:rsidRDefault="008247E7" w:rsidP="0059513C">
      <w:pPr>
        <w:pStyle w:val="NormalText"/>
      </w:pPr>
      <w:bookmarkStart w:id="578" w:name="_Hlk160783900"/>
      <w:r w:rsidRPr="00120DD8">
        <w:t>Stevens MA, Walker GH and Walley JK</w:t>
      </w:r>
      <w:r>
        <w:t>,</w:t>
      </w:r>
      <w:r w:rsidRPr="00120DD8">
        <w:t xml:space="preserve"> 1964</w:t>
      </w:r>
      <w:r>
        <w:t>.</w:t>
      </w:r>
      <w:r w:rsidRPr="00120DD8">
        <w:t xml:space="preserve"> The excretion of 14C-diquat by the cow</w:t>
      </w:r>
      <w:r>
        <w:t>. Report</w:t>
      </w:r>
      <w:r w:rsidRPr="00120DD8">
        <w:t xml:space="preserve"> no. IHR/163.</w:t>
      </w:r>
      <w:r w:rsidRPr="00120DD8">
        <w:tab/>
      </w:r>
    </w:p>
    <w:p w14:paraId="6CC2B081" w14:textId="77777777" w:rsidR="008247E7" w:rsidRDefault="008247E7" w:rsidP="0059513C">
      <w:pPr>
        <w:pStyle w:val="NormalText"/>
      </w:pPr>
      <w:r w:rsidRPr="00120DD8">
        <w:t>Stevens MA and Walley JK</w:t>
      </w:r>
      <w:r>
        <w:t>,</w:t>
      </w:r>
      <w:r w:rsidRPr="00120DD8">
        <w:t xml:space="preserve"> 1965</w:t>
      </w:r>
      <w:r>
        <w:t>.</w:t>
      </w:r>
      <w:r w:rsidRPr="00120DD8">
        <w:t xml:space="preserve"> Metabolism of 14C-diquat and 14C-paraquat in cattle</w:t>
      </w:r>
      <w:r>
        <w:t>. Report</w:t>
      </w:r>
      <w:r w:rsidRPr="00120DD8">
        <w:t xml:space="preserve"> no. IHR/177.</w:t>
      </w:r>
    </w:p>
    <w:p w14:paraId="03FA42E6" w14:textId="77777777" w:rsidR="008247E7" w:rsidRPr="00244A65" w:rsidRDefault="008247E7" w:rsidP="0059513C">
      <w:pPr>
        <w:pStyle w:val="NormalText"/>
      </w:pPr>
      <w:r w:rsidRPr="00244A65">
        <w:t xml:space="preserve">Swaine H, 1981(a). </w:t>
      </w:r>
      <w:bookmarkEnd w:id="578"/>
      <w:r w:rsidRPr="00244A65">
        <w:t>Diquat residues in peaches following Reglox 30L Herbicide use in orchards. Report no. PP901B028.</w:t>
      </w:r>
    </w:p>
    <w:p w14:paraId="32E512C0" w14:textId="77777777" w:rsidR="008247E7" w:rsidRPr="00120DD8" w:rsidRDefault="008247E7" w:rsidP="0059513C">
      <w:pPr>
        <w:pStyle w:val="NormalText"/>
      </w:pPr>
      <w:bookmarkStart w:id="579" w:name="_Hlk167789891"/>
      <w:r w:rsidRPr="00244A65">
        <w:t>Swaine H, 1981(b).</w:t>
      </w:r>
      <w:bookmarkEnd w:id="579"/>
      <w:r w:rsidRPr="00244A65">
        <w:t xml:space="preserve"> Diquat residues on oilseed ra</w:t>
      </w:r>
      <w:r w:rsidRPr="00120DD8">
        <w:t>pe from 1980 trials in U.K. Report no. PP901B030.</w:t>
      </w:r>
      <w:r w:rsidRPr="00120DD8">
        <w:tab/>
      </w:r>
    </w:p>
    <w:p w14:paraId="190D1523" w14:textId="77777777" w:rsidR="008247E7" w:rsidRPr="00244A65" w:rsidRDefault="008247E7" w:rsidP="0059513C">
      <w:pPr>
        <w:pStyle w:val="NormalText"/>
      </w:pPr>
      <w:bookmarkStart w:id="580" w:name="_Hlk160789889"/>
      <w:r w:rsidRPr="00244A65">
        <w:t>Swaine H. 1982</w:t>
      </w:r>
      <w:bookmarkEnd w:id="580"/>
      <w:r w:rsidRPr="00244A65">
        <w:t>(a). Diquat residues in potato tubers following pre-harvest desiccation with Reglone 40 in a 1982 trial. Report no. PP901B034.</w:t>
      </w:r>
      <w:r w:rsidRPr="00244A65">
        <w:tab/>
      </w:r>
    </w:p>
    <w:p w14:paraId="25F09AD6" w14:textId="77777777" w:rsidR="008247E7" w:rsidRPr="00244A65" w:rsidRDefault="008247E7" w:rsidP="0059513C">
      <w:pPr>
        <w:pStyle w:val="NormalText"/>
      </w:pPr>
      <w:r w:rsidRPr="00244A65">
        <w:t>Swaine H, 1982(b). Diquat residues on soya desiccated using Reglone during 1980 trials in Bulgaria. Report no. PP901B033.</w:t>
      </w:r>
      <w:r w:rsidRPr="00244A65">
        <w:tab/>
      </w:r>
    </w:p>
    <w:p w14:paraId="1A70C349" w14:textId="77777777" w:rsidR="008247E7" w:rsidRPr="00244A65" w:rsidRDefault="008247E7" w:rsidP="0059513C">
      <w:pPr>
        <w:pStyle w:val="NormalText"/>
      </w:pPr>
      <w:r w:rsidRPr="00244A65">
        <w:t>Swaine H, 1982(c). Diquat residues on wheat straw following post-harvest desiccation with Reglone 40 in a 1981 UK trial. Report no. PP901B031.</w:t>
      </w:r>
      <w:r w:rsidRPr="00244A65">
        <w:tab/>
      </w:r>
    </w:p>
    <w:p w14:paraId="73007C31" w14:textId="4EA0A1C7" w:rsidR="008247E7" w:rsidRPr="00244A65" w:rsidRDefault="008247E7" w:rsidP="0059513C">
      <w:pPr>
        <w:pStyle w:val="NormalText"/>
      </w:pPr>
      <w:r w:rsidRPr="00244A65">
        <w:t>Swaine H, 1982(d). Diquat residues on barley from 1980 UK trials. Report no. PP901B032.</w:t>
      </w:r>
    </w:p>
    <w:p w14:paraId="74A9583D" w14:textId="77777777" w:rsidR="008247E7" w:rsidRPr="00120DD8" w:rsidRDefault="008247E7" w:rsidP="0059513C">
      <w:pPr>
        <w:pStyle w:val="NormalText"/>
      </w:pPr>
      <w:r w:rsidRPr="00244A65">
        <w:t>Swaine H, 1982(e). Diquat residues on cereal grain treated with ‘Reglone 40’ during 1982 trials in the United Kingdom. Report no. PP901B035.</w:t>
      </w:r>
      <w:r w:rsidRPr="00120DD8">
        <w:tab/>
      </w:r>
    </w:p>
    <w:p w14:paraId="1FAB007E" w14:textId="77777777" w:rsidR="008247E7" w:rsidRPr="00244A65" w:rsidRDefault="008247E7" w:rsidP="0059513C">
      <w:pPr>
        <w:pStyle w:val="NormalText"/>
      </w:pPr>
      <w:r w:rsidRPr="00244A65">
        <w:t>Swaine H and Hayward GJ, 1982. Diquat: Summary of residue levels on forage crops following pre-harvest desiccation with Reglone. Report no. PP901BU10.</w:t>
      </w:r>
      <w:r w:rsidRPr="00244A65">
        <w:tab/>
      </w:r>
    </w:p>
    <w:p w14:paraId="7E3E9DA3" w14:textId="77777777" w:rsidR="008247E7" w:rsidRPr="00244A65" w:rsidRDefault="008247E7" w:rsidP="0059513C">
      <w:pPr>
        <w:pStyle w:val="NormalText"/>
      </w:pPr>
      <w:r w:rsidRPr="00244A65">
        <w:t>Swaine H, 1983(a). Diquat residue data on peas from a trial carried out during 1982 in Denmark. Report no. PP901BO36.</w:t>
      </w:r>
      <w:r w:rsidRPr="00244A65">
        <w:tab/>
      </w:r>
    </w:p>
    <w:p w14:paraId="43327B70" w14:textId="77777777" w:rsidR="008247E7" w:rsidRDefault="008247E7" w:rsidP="0059513C">
      <w:pPr>
        <w:pStyle w:val="NormalText"/>
      </w:pPr>
      <w:r w:rsidRPr="00244A65">
        <w:t>Swaine H, 1983(b). Diquat residues on barley grain treated with ‘Reglone 40’ during 1982 trials in the United Kingdom. Report no. PP901B037.</w:t>
      </w:r>
    </w:p>
    <w:p w14:paraId="492C1553" w14:textId="62DE627D" w:rsidR="00A65D81" w:rsidRPr="00A65D81" w:rsidRDefault="00A65D81" w:rsidP="0059513C">
      <w:pPr>
        <w:pStyle w:val="NormalText"/>
        <w:rPr>
          <w:szCs w:val="19"/>
        </w:rPr>
      </w:pPr>
      <w:r w:rsidRPr="00A65D81">
        <w:rPr>
          <w:szCs w:val="19"/>
        </w:rPr>
        <w:t>Swan AAB</w:t>
      </w:r>
      <w:r>
        <w:rPr>
          <w:szCs w:val="19"/>
        </w:rPr>
        <w:t>, 1</w:t>
      </w:r>
      <w:r w:rsidRPr="00A65D81">
        <w:rPr>
          <w:szCs w:val="19"/>
        </w:rPr>
        <w:t>960</w:t>
      </w:r>
      <w:r>
        <w:rPr>
          <w:szCs w:val="19"/>
        </w:rPr>
        <w:t>.</w:t>
      </w:r>
      <w:r w:rsidRPr="00A65D81">
        <w:rPr>
          <w:szCs w:val="19"/>
        </w:rPr>
        <w:t xml:space="preserve"> Toxicological report: N,N’Ethylene 2,2’-dipyridilium dibromide, K.8483 (diquat). Report No. Supplement to TR/35. </w:t>
      </w:r>
    </w:p>
    <w:p w14:paraId="1513773A" w14:textId="0BC92293" w:rsidR="00A65D81" w:rsidRDefault="00A65D81" w:rsidP="0059513C">
      <w:pPr>
        <w:pStyle w:val="NormalText"/>
        <w:rPr>
          <w:szCs w:val="19"/>
        </w:rPr>
      </w:pPr>
      <w:r w:rsidRPr="00A65D81">
        <w:rPr>
          <w:szCs w:val="19"/>
        </w:rPr>
        <w:t>Swan AAB</w:t>
      </w:r>
      <w:r>
        <w:rPr>
          <w:szCs w:val="19"/>
        </w:rPr>
        <w:t>,</w:t>
      </w:r>
      <w:r w:rsidRPr="00A65D81">
        <w:rPr>
          <w:szCs w:val="19"/>
        </w:rPr>
        <w:t xml:space="preserve"> 1962</w:t>
      </w:r>
      <w:r>
        <w:rPr>
          <w:szCs w:val="19"/>
        </w:rPr>
        <w:t>.</w:t>
      </w:r>
      <w:r w:rsidRPr="00A65D81">
        <w:rPr>
          <w:szCs w:val="19"/>
        </w:rPr>
        <w:t xml:space="preserve"> Interim toxicological report: R.17191 1,1-Ethylene 2,2-dipyridilium dichloride. Report No. TR/375.</w:t>
      </w:r>
    </w:p>
    <w:p w14:paraId="02B65008" w14:textId="75854776" w:rsidR="008247E7" w:rsidRPr="00E845D4" w:rsidRDefault="008247E7" w:rsidP="0059513C">
      <w:pPr>
        <w:pStyle w:val="NormalText"/>
      </w:pPr>
      <w:r>
        <w:rPr>
          <w:szCs w:val="19"/>
        </w:rPr>
        <w:t xml:space="preserve">Tagun R, Boxall ABA, 2018. The response of </w:t>
      </w:r>
      <w:r>
        <w:rPr>
          <w:i/>
          <w:iCs/>
          <w:szCs w:val="19"/>
        </w:rPr>
        <w:t xml:space="preserve">Lemna minor </w:t>
      </w:r>
      <w:r>
        <w:rPr>
          <w:szCs w:val="19"/>
        </w:rPr>
        <w:t>to mixtures of pesticides that are commonly used in Thailand. Bull Environ Contam Toxicol 100(4): 516-523</w:t>
      </w:r>
    </w:p>
    <w:p w14:paraId="2728FC4E" w14:textId="77777777" w:rsidR="008247E7" w:rsidRPr="00E845D4" w:rsidRDefault="008247E7" w:rsidP="0059513C">
      <w:pPr>
        <w:pStyle w:val="NormalText"/>
      </w:pPr>
      <w:r w:rsidRPr="00E845D4">
        <w:t>Temple D, Martin K, Beavers J</w:t>
      </w:r>
      <w:r>
        <w:t xml:space="preserve">, </w:t>
      </w:r>
      <w:r w:rsidRPr="00E845D4">
        <w:t>2004</w:t>
      </w:r>
      <w:r>
        <w:t>(</w:t>
      </w:r>
      <w:r w:rsidRPr="00E845D4">
        <w:t>a</w:t>
      </w:r>
      <w:r>
        <w:t xml:space="preserve">). </w:t>
      </w:r>
      <w:r w:rsidRPr="00E845D4">
        <w:t>Diquat: an egg production study with the mallard</w:t>
      </w:r>
      <w:r>
        <w:t xml:space="preserve">. Reference no. </w:t>
      </w:r>
      <w:r w:rsidRPr="00E845D4">
        <w:t>528-158</w:t>
      </w:r>
    </w:p>
    <w:p w14:paraId="6A63F50F" w14:textId="77777777" w:rsidR="008247E7" w:rsidRPr="00E845D4" w:rsidRDefault="008247E7" w:rsidP="0059513C">
      <w:pPr>
        <w:pStyle w:val="NormalText"/>
      </w:pPr>
      <w:r w:rsidRPr="00E845D4">
        <w:t>Temple D, Martin K, Beavers J</w:t>
      </w:r>
      <w:r>
        <w:t xml:space="preserve">, </w:t>
      </w:r>
      <w:r w:rsidRPr="00E845D4">
        <w:t>2004</w:t>
      </w:r>
      <w:r>
        <w:t>(</w:t>
      </w:r>
      <w:r w:rsidRPr="00E845D4">
        <w:t>b</w:t>
      </w:r>
      <w:r>
        <w:t xml:space="preserve">). </w:t>
      </w:r>
      <w:r w:rsidRPr="00E845D4">
        <w:t>Diquat: an egg production study with the mallard (6 weeks exposure during egglaying)</w:t>
      </w:r>
      <w:r>
        <w:t xml:space="preserve">. Reference no. </w:t>
      </w:r>
      <w:r w:rsidRPr="00E845D4">
        <w:t>528-174</w:t>
      </w:r>
    </w:p>
    <w:p w14:paraId="17BD1E30" w14:textId="77777777" w:rsidR="008247E7" w:rsidRPr="00E845D4" w:rsidRDefault="008247E7" w:rsidP="0059513C">
      <w:pPr>
        <w:pStyle w:val="NormalText"/>
      </w:pPr>
      <w:bookmarkStart w:id="581" w:name="_Hlk160723878"/>
      <w:r w:rsidRPr="00E845D4">
        <w:lastRenderedPageBreak/>
        <w:t>Temple D, Martin K, Beavers J</w:t>
      </w:r>
      <w:r>
        <w:t xml:space="preserve">, </w:t>
      </w:r>
      <w:r w:rsidRPr="00E845D4">
        <w:t>2009</w:t>
      </w:r>
      <w:r>
        <w:t xml:space="preserve">. </w:t>
      </w:r>
      <w:r w:rsidRPr="00E845D4">
        <w:t>Diquat: a reproduction study with the mallard to evaluate reversibility in effects following withdrawal of dietary exposure</w:t>
      </w:r>
      <w:r>
        <w:t xml:space="preserve">. Reference no. </w:t>
      </w:r>
      <w:r w:rsidRPr="00E845D4">
        <w:t>528-273</w:t>
      </w:r>
    </w:p>
    <w:p w14:paraId="4D3BD3D4" w14:textId="77777777" w:rsidR="008247E7" w:rsidRPr="00692DF9" w:rsidRDefault="008247E7" w:rsidP="0059513C">
      <w:pPr>
        <w:pStyle w:val="NormalText"/>
      </w:pPr>
      <w:r w:rsidRPr="00692DF9">
        <w:t>Thomas D, 1995.</w:t>
      </w:r>
      <w:bookmarkEnd w:id="581"/>
      <w:r w:rsidRPr="00692DF9">
        <w:t xml:space="preserve"> The determination of paraquat and diquat in biological fluids by reversed phase HPLC with UV detection. Standard Operating Procedure No. CT05-287. </w:t>
      </w:r>
    </w:p>
    <w:p w14:paraId="0B3A554B" w14:textId="77777777" w:rsidR="008247E7" w:rsidRPr="00120DD8" w:rsidRDefault="008247E7" w:rsidP="0059513C">
      <w:pPr>
        <w:pStyle w:val="NormalText"/>
      </w:pPr>
      <w:bookmarkStart w:id="582" w:name="_Hlk160723716"/>
      <w:r w:rsidRPr="00120DD8">
        <w:t>Thomas D and Woollen BH</w:t>
      </w:r>
      <w:r>
        <w:t xml:space="preserve">, </w:t>
      </w:r>
      <w:r w:rsidRPr="00120DD8">
        <w:t>1994</w:t>
      </w:r>
      <w:bookmarkEnd w:id="582"/>
      <w:r>
        <w:t>.</w:t>
      </w:r>
      <w:r w:rsidRPr="00120DD8">
        <w:t xml:space="preserve"> Rapid methods for the semi-quantitative determination of paraquat and diquat in urine</w:t>
      </w:r>
      <w:r>
        <w:t>. Report</w:t>
      </w:r>
      <w:r w:rsidRPr="00120DD8">
        <w:t xml:space="preserve"> No. CTL/R/1191.</w:t>
      </w:r>
    </w:p>
    <w:p w14:paraId="118900BF" w14:textId="5B6016D5" w:rsidR="001477C1" w:rsidRPr="001477C1" w:rsidRDefault="001477C1" w:rsidP="0059513C">
      <w:pPr>
        <w:pStyle w:val="NormalText"/>
      </w:pPr>
      <w:r w:rsidRPr="001477C1">
        <w:t xml:space="preserve">Thompson JD, Cushman JR </w:t>
      </w:r>
      <w:r>
        <w:t>and</w:t>
      </w:r>
      <w:r w:rsidRPr="001477C1">
        <w:t xml:space="preserve"> Wong ZA</w:t>
      </w:r>
      <w:r>
        <w:t>,</w:t>
      </w:r>
      <w:r w:rsidRPr="001477C1">
        <w:t xml:space="preserve"> 1985</w:t>
      </w:r>
      <w:r>
        <w:t>.</w:t>
      </w:r>
      <w:r w:rsidRPr="001477C1">
        <w:t xml:space="preserve"> Modified Buehler Test for the skin sensitization potential of Diquat Herbicide Concentrate (SX-1569). Study No. SOCAL 2356.</w:t>
      </w:r>
    </w:p>
    <w:p w14:paraId="6644CD5A" w14:textId="2217DDAE" w:rsidR="008D6001" w:rsidRDefault="008D6001" w:rsidP="0059513C">
      <w:pPr>
        <w:pStyle w:val="NormalText"/>
      </w:pPr>
      <w:r w:rsidRPr="008D6001">
        <w:t>Trueman RW</w:t>
      </w:r>
      <w:r>
        <w:t>,</w:t>
      </w:r>
      <w:r w:rsidRPr="008D6001">
        <w:t xml:space="preserve"> 1987</w:t>
      </w:r>
      <w:r>
        <w:t>.</w:t>
      </w:r>
      <w:r w:rsidRPr="008D6001">
        <w:t xml:space="preserve"> Diquat dibromide (technical): assessment for the induction of unscheduled DNA synthesis in rat hepatocytes in vivo. Report No. CTL/P/1814.</w:t>
      </w:r>
    </w:p>
    <w:p w14:paraId="3F72F5AF" w14:textId="77777777" w:rsidR="00FF6DE5" w:rsidRDefault="008247E7" w:rsidP="0059513C">
      <w:pPr>
        <w:pStyle w:val="NormalText"/>
      </w:pPr>
      <w:r w:rsidRPr="001477C1">
        <w:t>Udy B, 2011. Determination of residues of diquat in poppy seed following one (1) application of Reglone</w:t>
      </w:r>
      <w:r w:rsidR="00FF6DE5" w:rsidRPr="00FF6DE5">
        <w:t xml:space="preserve"> </w:t>
      </w:r>
    </w:p>
    <w:p w14:paraId="57E6D997" w14:textId="1F95588E" w:rsidR="008247E7" w:rsidRPr="001477C1" w:rsidRDefault="00FF6DE5" w:rsidP="0059513C">
      <w:pPr>
        <w:pStyle w:val="NormalText"/>
      </w:pPr>
      <w:r w:rsidRPr="00FF6DE5">
        <w:t>US EPA, 2021. Occupational Pesticide Handler Unit Exposure Surrogate Reference Table.</w:t>
      </w:r>
    </w:p>
    <w:p w14:paraId="07046BE8" w14:textId="03ACB1D4" w:rsidR="000960D4" w:rsidRPr="000960D4" w:rsidRDefault="000960D4" w:rsidP="0059513C">
      <w:pPr>
        <w:pStyle w:val="NormalText"/>
      </w:pPr>
      <w:r w:rsidRPr="000960D4">
        <w:t xml:space="preserve">Vanholder R, Colardyn F, De Reuck J, Praet M, Lameire N </w:t>
      </w:r>
      <w:r>
        <w:t>and</w:t>
      </w:r>
      <w:r w:rsidRPr="000960D4">
        <w:t xml:space="preserve"> Ringoir S</w:t>
      </w:r>
      <w:r>
        <w:t>,</w:t>
      </w:r>
      <w:r w:rsidRPr="000960D4">
        <w:t xml:space="preserve"> 1981</w:t>
      </w:r>
      <w:r>
        <w:t>.</w:t>
      </w:r>
      <w:r w:rsidRPr="000960D4">
        <w:t xml:space="preserve"> Diquat intoxication: Report of two cases and review of the literature. Amer J Med 70: 1267-1271</w:t>
      </w:r>
    </w:p>
    <w:p w14:paraId="4E364A4D" w14:textId="77777777" w:rsidR="008247E7" w:rsidRPr="00E845D4" w:rsidRDefault="008247E7" w:rsidP="0059513C">
      <w:pPr>
        <w:pStyle w:val="NormalText"/>
      </w:pPr>
      <w:r w:rsidRPr="00E845D4">
        <w:t xml:space="preserve">Volz </w:t>
      </w:r>
      <w:r>
        <w:t xml:space="preserve">E, </w:t>
      </w:r>
      <w:r w:rsidRPr="00E845D4">
        <w:t>2004</w:t>
      </w:r>
      <w:r>
        <w:t xml:space="preserve">. </w:t>
      </w:r>
      <w:r w:rsidRPr="00E845D4">
        <w:t xml:space="preserve">Diquat dibromide: acute toxicity to </w:t>
      </w:r>
      <w:r w:rsidRPr="000742AA">
        <w:rPr>
          <w:i/>
          <w:iCs/>
        </w:rPr>
        <w:t>Daphnia magna</w:t>
      </w:r>
      <w:r w:rsidRPr="00E845D4">
        <w:t xml:space="preserve"> in a 48-hour immobilization test</w:t>
      </w:r>
      <w:r>
        <w:t xml:space="preserve">. Reference no. </w:t>
      </w:r>
      <w:r w:rsidRPr="00E845D4">
        <w:t>857211</w:t>
      </w:r>
    </w:p>
    <w:p w14:paraId="13CD3AA6" w14:textId="77777777" w:rsidR="008247E7" w:rsidRPr="00120DD8" w:rsidRDefault="008247E7" w:rsidP="0059513C">
      <w:pPr>
        <w:pStyle w:val="NormalText"/>
      </w:pPr>
      <w:r w:rsidRPr="00120DD8">
        <w:t>Walton AL</w:t>
      </w:r>
      <w:r>
        <w:t>,</w:t>
      </w:r>
      <w:r w:rsidRPr="00120DD8">
        <w:t xml:space="preserve"> </w:t>
      </w:r>
      <w:r>
        <w:t>1</w:t>
      </w:r>
      <w:r w:rsidRPr="00120DD8">
        <w:t>984</w:t>
      </w:r>
      <w:r>
        <w:t>.</w:t>
      </w:r>
      <w:r w:rsidRPr="00120DD8">
        <w:t xml:space="preserve"> Diquat: Excretion, metabolism and tissue retention</w:t>
      </w:r>
      <w:r>
        <w:t>. Report</w:t>
      </w:r>
      <w:r w:rsidRPr="00120DD8">
        <w:t xml:space="preserve"> no. RIC4004. </w:t>
      </w:r>
    </w:p>
    <w:p w14:paraId="434FC181" w14:textId="77777777" w:rsidR="008247E7" w:rsidRPr="00120DD8" w:rsidRDefault="008247E7" w:rsidP="0059513C">
      <w:pPr>
        <w:pStyle w:val="NormalText"/>
      </w:pPr>
      <w:r w:rsidRPr="00120DD8">
        <w:t>Ward RJ</w:t>
      </w:r>
      <w:r>
        <w:t xml:space="preserve">, </w:t>
      </w:r>
      <w:r w:rsidRPr="00120DD8">
        <w:t>1978</w:t>
      </w:r>
      <w:r>
        <w:t>.</w:t>
      </w:r>
      <w:r w:rsidRPr="00120DD8">
        <w:t xml:space="preserve"> Diquat Residue Summary: Residues in cereal crops following pre-harvest desiccation with Reglone (1963-1973</w:t>
      </w:r>
      <w:r>
        <w:t>).</w:t>
      </w:r>
      <w:r w:rsidRPr="00120DD8">
        <w:t xml:space="preserve"> Report no. TMJ994A.</w:t>
      </w:r>
      <w:r w:rsidRPr="00120DD8">
        <w:tab/>
      </w:r>
    </w:p>
    <w:p w14:paraId="1121EA1E" w14:textId="77777777" w:rsidR="009148DB" w:rsidRPr="007E3FA9" w:rsidRDefault="009148DB" w:rsidP="009148DB">
      <w:pPr>
        <w:pStyle w:val="APVMAText"/>
        <w:rPr>
          <w:rFonts w:ascii="Arial" w:hAnsi="Arial"/>
          <w:sz w:val="19"/>
          <w:szCs w:val="19"/>
        </w:rPr>
      </w:pPr>
      <w:r w:rsidRPr="007E3FA9">
        <w:rPr>
          <w:rFonts w:ascii="Arial" w:hAnsi="Arial"/>
          <w:sz w:val="19"/>
          <w:szCs w:val="19"/>
        </w:rPr>
        <w:t>Watts CHS, 1977. The foods eaten by some Australian rodents (Muridae). Aust Wildl Res 4: 151-157</w:t>
      </w:r>
    </w:p>
    <w:p w14:paraId="5D1F4D2D" w14:textId="77777777" w:rsidR="009148DB" w:rsidRPr="007E3FA9" w:rsidRDefault="009148DB" w:rsidP="009148DB">
      <w:pPr>
        <w:pStyle w:val="APVMAText"/>
        <w:rPr>
          <w:rFonts w:ascii="Arial" w:hAnsi="Arial"/>
          <w:sz w:val="19"/>
          <w:szCs w:val="19"/>
        </w:rPr>
      </w:pPr>
      <w:r w:rsidRPr="007E3FA9">
        <w:rPr>
          <w:rFonts w:ascii="Arial" w:hAnsi="Arial"/>
          <w:sz w:val="19"/>
          <w:szCs w:val="19"/>
        </w:rPr>
        <w:t xml:space="preserve">Watts CHS, Braithwaite RW, 1978. The diet of </w:t>
      </w:r>
      <w:r w:rsidRPr="007E3FA9">
        <w:rPr>
          <w:rFonts w:ascii="Arial" w:hAnsi="Arial"/>
          <w:i/>
          <w:iCs/>
          <w:sz w:val="19"/>
          <w:szCs w:val="19"/>
        </w:rPr>
        <w:t>Rattus lutreolus</w:t>
      </w:r>
      <w:r w:rsidRPr="007E3FA9">
        <w:rPr>
          <w:rFonts w:ascii="Arial" w:hAnsi="Arial"/>
          <w:sz w:val="19"/>
          <w:szCs w:val="19"/>
        </w:rPr>
        <w:t xml:space="preserve"> and five other rodents in Southern Victoria. Aust Wildl Res 5: 47-57</w:t>
      </w:r>
    </w:p>
    <w:p w14:paraId="65BF4B7A" w14:textId="77777777" w:rsidR="008247E7" w:rsidRPr="00120DD8" w:rsidRDefault="008247E7" w:rsidP="0059513C">
      <w:pPr>
        <w:pStyle w:val="NormalText"/>
      </w:pPr>
      <w:r w:rsidRPr="00120DD8">
        <w:t>Weber H</w:t>
      </w:r>
      <w:r>
        <w:t>,</w:t>
      </w:r>
      <w:r w:rsidRPr="00120DD8">
        <w:t xml:space="preserve"> 1995</w:t>
      </w:r>
      <w:r>
        <w:t>.</w:t>
      </w:r>
      <w:r w:rsidRPr="00120DD8">
        <w:t xml:space="preserve"> Validation of the Zeneca Agro methods RAM 252 and RAM 253 for the determination of the residues of paraquat and diquat in crops and soils</w:t>
      </w:r>
      <w:r>
        <w:t>. Report</w:t>
      </w:r>
      <w:r w:rsidRPr="00120DD8">
        <w:t xml:space="preserve"> no. ZEN-9507V. </w:t>
      </w:r>
      <w:r w:rsidRPr="00120DD8">
        <w:tab/>
      </w:r>
    </w:p>
    <w:p w14:paraId="18A74823" w14:textId="200972DA" w:rsidR="00797241" w:rsidRDefault="00797241" w:rsidP="0059513C">
      <w:pPr>
        <w:pStyle w:val="NormalText"/>
      </w:pPr>
      <w:r w:rsidRPr="00797241">
        <w:t>White GA</w:t>
      </w:r>
      <w:r>
        <w:t xml:space="preserve">, 2010. </w:t>
      </w:r>
      <w:r w:rsidRPr="00797241">
        <w:t>Diquat Dimbromide Determination of pH and stability in water at three different pH levels</w:t>
      </w:r>
      <w:r w:rsidRPr="00797241">
        <w:tab/>
      </w:r>
    </w:p>
    <w:p w14:paraId="5EAB4E2C" w14:textId="688D8800" w:rsidR="0043262D" w:rsidRDefault="0043262D" w:rsidP="0059513C">
      <w:pPr>
        <w:pStyle w:val="NormalText"/>
      </w:pPr>
      <w:r>
        <w:t>Wickramaratne GA, 1989(a). Diquat: Teratogenicity study in the rat. Study No. RR0399. Report No. CTL/P/2331.</w:t>
      </w:r>
    </w:p>
    <w:p w14:paraId="548B4CBF" w14:textId="746DC45B" w:rsidR="0043262D" w:rsidRDefault="0043262D" w:rsidP="0059513C">
      <w:pPr>
        <w:pStyle w:val="NormalText"/>
      </w:pPr>
      <w:r>
        <w:t xml:space="preserve">Wickramaratne GA, 1989(b). First supplement to Diquat: Teratogenicity study in the rat. Report No. CTL/P/2331. </w:t>
      </w:r>
    </w:p>
    <w:p w14:paraId="798A182E" w14:textId="30AF6A3C" w:rsidR="008D6001" w:rsidRDefault="008D6001" w:rsidP="0059513C">
      <w:pPr>
        <w:pStyle w:val="NormalText"/>
      </w:pPr>
      <w:r w:rsidRPr="008D6001">
        <w:t xml:space="preserve">Wildgoose J, Braithwaite I, Howard CA </w:t>
      </w:r>
      <w:r>
        <w:t>and</w:t>
      </w:r>
      <w:r w:rsidRPr="008D6001">
        <w:t xml:space="preserve"> Richardson CR</w:t>
      </w:r>
      <w:r>
        <w:t>,</w:t>
      </w:r>
      <w:r w:rsidRPr="008D6001">
        <w:t xml:space="preserve"> 1986</w:t>
      </w:r>
      <w:r>
        <w:t xml:space="preserve">. </w:t>
      </w:r>
      <w:r w:rsidRPr="008D6001">
        <w:t xml:space="preserve">Diquat dibromide: a cytogenic study in human lymphocytes in vitro. Report No. CTL/P/1469. </w:t>
      </w:r>
    </w:p>
    <w:p w14:paraId="76BF6A73" w14:textId="645DB232" w:rsidR="008247E7" w:rsidRDefault="008247E7" w:rsidP="0059513C">
      <w:pPr>
        <w:pStyle w:val="NormalText"/>
      </w:pPr>
      <w:r w:rsidRPr="00120DD8">
        <w:t>Williams I</w:t>
      </w:r>
      <w:r>
        <w:t>,</w:t>
      </w:r>
      <w:r w:rsidRPr="00120DD8">
        <w:t xml:space="preserve"> 1989</w:t>
      </w:r>
      <w:r>
        <w:t>.</w:t>
      </w:r>
      <w:r w:rsidRPr="00120DD8">
        <w:t xml:space="preserve"> Residue data sheets for diquat/paraquat mixture applied to peanuts</w:t>
      </w:r>
      <w:r>
        <w:t>. Report</w:t>
      </w:r>
      <w:r w:rsidRPr="00120DD8">
        <w:t xml:space="preserve"> no. RIC 4509.</w:t>
      </w:r>
    </w:p>
    <w:p w14:paraId="77D13E71" w14:textId="7923B68B" w:rsidR="00F02475" w:rsidRDefault="00F02475" w:rsidP="0059513C">
      <w:pPr>
        <w:pStyle w:val="NormalText"/>
      </w:pPr>
      <w:r w:rsidRPr="00F02475">
        <w:lastRenderedPageBreak/>
        <w:t xml:space="preserve">Williams SGP, Cameron BD </w:t>
      </w:r>
      <w:r>
        <w:t>and</w:t>
      </w:r>
      <w:r w:rsidRPr="00F02475">
        <w:t xml:space="preserve"> McGuire GM</w:t>
      </w:r>
      <w:r>
        <w:t xml:space="preserve">, </w:t>
      </w:r>
      <w:r w:rsidRPr="00F02475">
        <w:t>1991</w:t>
      </w:r>
      <w:r>
        <w:t>.</w:t>
      </w:r>
      <w:r w:rsidRPr="00F02475">
        <w:t xml:space="preserve"> Identification of the major radioactive components in urine and faeces from rats following single oral administration of 14C -diquat. Study No. IRI 351050. </w:t>
      </w:r>
    </w:p>
    <w:p w14:paraId="2863A388" w14:textId="1A9D40BF" w:rsidR="008247E7" w:rsidRPr="007E3FA9" w:rsidRDefault="008247E7" w:rsidP="0059513C">
      <w:pPr>
        <w:pStyle w:val="NormalText"/>
      </w:pPr>
      <w:r w:rsidRPr="007E3FA9">
        <w:t>Wilkinson W, Edwards P, 1993. Diquat: long-term ecological trial at Jealotts Hill UK (1964-1990)</w:t>
      </w:r>
      <w:r w:rsidR="004C1210" w:rsidRPr="007E3FA9">
        <w:t>–</w:t>
      </w:r>
      <w:r w:rsidRPr="007E3FA9">
        <w:t>effect on and residues in earthworms (Lumbricidae). Reference no. TMJ3061B</w:t>
      </w:r>
    </w:p>
    <w:p w14:paraId="44CD6B3C" w14:textId="5A06F6E6" w:rsidR="009148DB" w:rsidRPr="007E3FA9" w:rsidRDefault="009148DB" w:rsidP="009148DB">
      <w:pPr>
        <w:pStyle w:val="APVMAText"/>
        <w:rPr>
          <w:rFonts w:ascii="Arial" w:hAnsi="Arial"/>
          <w:sz w:val="19"/>
          <w:szCs w:val="19"/>
        </w:rPr>
      </w:pPr>
      <w:r w:rsidRPr="007E3FA9">
        <w:rPr>
          <w:rFonts w:ascii="Arial" w:hAnsi="Arial"/>
          <w:sz w:val="19"/>
          <w:szCs w:val="19"/>
        </w:rPr>
        <w:t>Wilson J, Whisson D, 1993. The management of rodents in North Queensland canefields. BSES Limited Publication.</w:t>
      </w:r>
      <w:r w:rsidRPr="007E3FA9">
        <w:rPr>
          <w:rFonts w:ascii="Arial" w:hAnsi="Arial"/>
        </w:rPr>
        <w:t xml:space="preserve"> </w:t>
      </w:r>
      <w:hyperlink r:id="rId62" w:history="1">
        <w:r w:rsidRPr="007E3FA9">
          <w:rPr>
            <w:rStyle w:val="Hyperlink"/>
            <w:rFonts w:ascii="Arial" w:hAnsi="Arial"/>
            <w:sz w:val="19"/>
            <w:szCs w:val="19"/>
          </w:rPr>
          <w:t>https://elibrary.sugarresearch.com.au/home</w:t>
        </w:r>
      </w:hyperlink>
    </w:p>
    <w:p w14:paraId="118565A9" w14:textId="77777777" w:rsidR="008247E7" w:rsidRDefault="008247E7" w:rsidP="0059513C">
      <w:pPr>
        <w:pStyle w:val="NormalText"/>
      </w:pPr>
      <w:r w:rsidRPr="00E845D4">
        <w:t>Wollerton C</w:t>
      </w:r>
      <w:r>
        <w:t xml:space="preserve">, </w:t>
      </w:r>
      <w:r w:rsidRPr="00E845D4">
        <w:t>1987</w:t>
      </w:r>
      <w:r>
        <w:t xml:space="preserve">. </w:t>
      </w:r>
      <w:r w:rsidRPr="00E845D4">
        <w:t>Physico-chemical data file (pure diquat dibromide)</w:t>
      </w:r>
      <w:r>
        <w:t xml:space="preserve">. Reference no. </w:t>
      </w:r>
      <w:r w:rsidRPr="00E845D4">
        <w:t>PP901/0024</w:t>
      </w:r>
      <w:bookmarkEnd w:id="537"/>
    </w:p>
    <w:sectPr w:rsidR="008247E7">
      <w:headerReference w:type="even" r:id="rId6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DADE" w14:textId="77777777" w:rsidR="002D7DBF" w:rsidRDefault="002D7DBF">
      <w:r>
        <w:separator/>
      </w:r>
    </w:p>
    <w:p w14:paraId="324D18BE" w14:textId="77777777" w:rsidR="002D7DBF" w:rsidRDefault="002D7DBF"/>
    <w:p w14:paraId="52BAFD4D" w14:textId="77777777" w:rsidR="002D7DBF" w:rsidRDefault="002D7DBF"/>
  </w:endnote>
  <w:endnote w:type="continuationSeparator" w:id="0">
    <w:p w14:paraId="57889B5E" w14:textId="77777777" w:rsidR="002D7DBF" w:rsidRDefault="002D7DBF">
      <w:r>
        <w:continuationSeparator/>
      </w:r>
    </w:p>
    <w:p w14:paraId="2EBD535F" w14:textId="77777777" w:rsidR="002D7DBF" w:rsidRDefault="002D7DBF"/>
    <w:p w14:paraId="30341E68" w14:textId="77777777" w:rsidR="002D7DBF" w:rsidRDefault="002D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29F0" w14:textId="77777777" w:rsidR="00D23D6A" w:rsidRPr="009A03E9" w:rsidRDefault="00D23D6A" w:rsidP="009A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A996" w14:textId="77777777" w:rsidR="002D7DBF" w:rsidRDefault="002D7DBF">
      <w:r>
        <w:separator/>
      </w:r>
    </w:p>
  </w:footnote>
  <w:footnote w:type="continuationSeparator" w:id="0">
    <w:p w14:paraId="68DB825E" w14:textId="77777777" w:rsidR="002D7DBF" w:rsidRDefault="002D7DBF">
      <w:pPr>
        <w:spacing w:line="180" w:lineRule="exact"/>
      </w:pPr>
      <w:r>
        <w:continuationSeparator/>
      </w:r>
    </w:p>
    <w:p w14:paraId="48254A82" w14:textId="77777777" w:rsidR="002D7DBF" w:rsidRDefault="002D7DBF"/>
    <w:p w14:paraId="59A82874" w14:textId="77777777" w:rsidR="002D7DBF" w:rsidRDefault="002D7DBF"/>
  </w:footnote>
  <w:footnote w:type="continuationNotice" w:id="1">
    <w:p w14:paraId="569BAD8B" w14:textId="77777777" w:rsidR="002D7DBF" w:rsidRDefault="002D7DBF"/>
    <w:p w14:paraId="2D5D7F65" w14:textId="77777777" w:rsidR="002D7DBF" w:rsidRDefault="002D7DBF"/>
    <w:p w14:paraId="76ED0D9F" w14:textId="77777777" w:rsidR="002D7DBF" w:rsidRDefault="002D7DBF"/>
  </w:footnote>
  <w:footnote w:id="2">
    <w:p w14:paraId="63789137" w14:textId="1C66A14B" w:rsidR="00850F16" w:rsidRDefault="00850F16">
      <w:pPr>
        <w:pStyle w:val="FootnoteText"/>
      </w:pPr>
      <w:r>
        <w:rPr>
          <w:rStyle w:val="FootnoteReference"/>
        </w:rPr>
        <w:footnoteRef/>
      </w:r>
      <w:r>
        <w:t xml:space="preserve"> Note that </w:t>
      </w:r>
      <w:r w:rsidR="00F0168D">
        <w:t>3</w:t>
      </w:r>
      <w:r>
        <w:t xml:space="preserve"> products registered after 28 February 2024 are not formally within scope of the registration and will be dealt with through separate regulatory ac</w:t>
      </w:r>
      <w:r w:rsidR="00234777">
        <w:t>t</w:t>
      </w:r>
      <w:r>
        <w:t>ions</w:t>
      </w:r>
      <w:r w:rsidR="00264DDF">
        <w:t>.</w:t>
      </w:r>
    </w:p>
  </w:footnote>
  <w:footnote w:id="3">
    <w:p w14:paraId="5AE255F6" w14:textId="5DDBC3C4" w:rsidR="00D37E62" w:rsidRDefault="00D37E62" w:rsidP="00D37E62">
      <w:pPr>
        <w:pStyle w:val="FootnoteText"/>
      </w:pPr>
      <w:r>
        <w:rPr>
          <w:rStyle w:val="FootnoteReference"/>
        </w:rPr>
        <w:footnoteRef/>
      </w:r>
      <w:r>
        <w:t xml:space="preserve"> </w:t>
      </w:r>
      <w:bookmarkStart w:id="14" w:name="_Hlk166493391"/>
      <w:r>
        <w:t xml:space="preserve">Mode of Action tables maintained by Croplife are available </w:t>
      </w:r>
      <w:r w:rsidR="00264DDF">
        <w:t xml:space="preserve">on the </w:t>
      </w:r>
      <w:hyperlink r:id="rId1" w:history="1">
        <w:r w:rsidR="00264DDF" w:rsidRPr="00264DDF">
          <w:rPr>
            <w:rStyle w:val="Hyperlink"/>
          </w:rPr>
          <w:t>CropLife website</w:t>
        </w:r>
      </w:hyperlink>
      <w:r>
        <w:t xml:space="preserve"> (accessed </w:t>
      </w:r>
      <w:r w:rsidR="000C6816">
        <w:t>May 2024</w:t>
      </w:r>
      <w:r>
        <w:t>)</w:t>
      </w:r>
      <w:r w:rsidR="00264DDF">
        <w:t>.</w:t>
      </w:r>
      <w:bookmarkEnd w:id="14"/>
    </w:p>
  </w:footnote>
  <w:footnote w:id="4">
    <w:p w14:paraId="4C6763EC" w14:textId="41826767" w:rsidR="005457B8" w:rsidRDefault="005457B8">
      <w:pPr>
        <w:pStyle w:val="FootnoteText"/>
      </w:pPr>
      <w:r>
        <w:rPr>
          <w:rStyle w:val="FootnoteReference"/>
        </w:rPr>
        <w:footnoteRef/>
      </w:r>
      <w:r>
        <w:t xml:space="preserve"> Note that 1 active constituent approved after 28 February 2024 </w:t>
      </w:r>
      <w:r w:rsidR="00973438">
        <w:t>is</w:t>
      </w:r>
      <w:r>
        <w:t xml:space="preserve"> not formally within scope of the registration and will be dealt with through separate regulatory actions</w:t>
      </w:r>
      <w:r w:rsidR="00973438">
        <w:t xml:space="preserve"> if required.</w:t>
      </w:r>
    </w:p>
  </w:footnote>
  <w:footnote w:id="5">
    <w:p w14:paraId="66041819" w14:textId="3D43889F" w:rsidR="00D636A5" w:rsidRDefault="00D636A5" w:rsidP="00661945">
      <w:pPr>
        <w:pStyle w:val="FootnoteText"/>
      </w:pPr>
      <w:r>
        <w:rPr>
          <w:rStyle w:val="FootnoteReference"/>
        </w:rPr>
        <w:footnoteRef/>
      </w:r>
      <w:r>
        <w:t xml:space="preserve"> </w:t>
      </w:r>
      <w:r w:rsidRPr="00D63217">
        <w:t>As a NOAEL from an animal study was used to estimate risks, an acceptable MOE ≥ 100 was considered acceptable. This value is based on a 10-fold uncertainty factor (UF) for intra-species and 10-fold UF for inter-species differences.</w:t>
      </w:r>
    </w:p>
  </w:footnote>
  <w:footnote w:id="6">
    <w:p w14:paraId="34BEEC61" w14:textId="64875CC7" w:rsidR="00447FFA" w:rsidRDefault="00447FFA">
      <w:pPr>
        <w:pStyle w:val="FootnoteText"/>
      </w:pPr>
      <w:r>
        <w:rPr>
          <w:rStyle w:val="FootnoteReference"/>
        </w:rPr>
        <w:footnoteRef/>
      </w:r>
      <w:r>
        <w:t xml:space="preserve"> Note that although mixer/loader exposure is acceptable with open mixing/loading with the specified PPE for certain uses of diquat products, closed mixing/loading is proposed for all uses to minimise the likelihood of decanting into unacceptable containers</w:t>
      </w:r>
      <w:r w:rsidR="00C22F6A">
        <w:t>,</w:t>
      </w:r>
      <w:r>
        <w:t xml:space="preserve"> which may lead to consequential accidental exposure.</w:t>
      </w:r>
    </w:p>
  </w:footnote>
  <w:footnote w:id="7">
    <w:p w14:paraId="58EFAB58" w14:textId="7248AF30" w:rsidR="00833FA0" w:rsidRDefault="00833FA0" w:rsidP="00833FA0">
      <w:pPr>
        <w:pStyle w:val="FootnoteText"/>
      </w:pPr>
      <w:r>
        <w:rPr>
          <w:rStyle w:val="FootnoteReference"/>
        </w:rPr>
        <w:footnoteRef/>
      </w:r>
      <w:r>
        <w:t xml:space="preserve"> APVMA </w:t>
      </w:r>
      <w:hyperlink r:id="rId2" w:history="1">
        <w:r w:rsidRPr="00186B5F">
          <w:rPr>
            <w:rStyle w:val="Hyperlink"/>
          </w:rPr>
          <w:t>crop group guidance</w:t>
        </w:r>
      </w:hyperlink>
      <w:r w:rsidR="00186B5F">
        <w:t>, available on APVMA website.</w:t>
      </w:r>
    </w:p>
  </w:footnote>
  <w:footnote w:id="8">
    <w:p w14:paraId="28D17370" w14:textId="0090E4BA" w:rsidR="00F945C3" w:rsidRDefault="00F945C3" w:rsidP="00F945C3">
      <w:pPr>
        <w:pStyle w:val="FootnoteText"/>
      </w:pPr>
      <w:r>
        <w:rPr>
          <w:rStyle w:val="FootnoteReference"/>
        </w:rPr>
        <w:footnoteRef/>
      </w:r>
      <w:r>
        <w:t xml:space="preserve"> </w:t>
      </w:r>
      <w:hyperlink r:id="rId3" w:history="1">
        <w:r w:rsidRPr="00B21B57">
          <w:rPr>
            <w:rStyle w:val="Hyperlink"/>
          </w:rPr>
          <w:t>Crop group 009, Bulb vegetables</w:t>
        </w:r>
      </w:hyperlink>
      <w:r w:rsidR="00B21B57">
        <w:t>, available on the APVMA website.</w:t>
      </w:r>
    </w:p>
  </w:footnote>
  <w:footnote w:id="9">
    <w:p w14:paraId="06465F57" w14:textId="7EB051F5" w:rsidR="00F945C3" w:rsidRDefault="00F945C3" w:rsidP="00F945C3">
      <w:pPr>
        <w:pStyle w:val="FootnoteText"/>
      </w:pPr>
      <w:r>
        <w:rPr>
          <w:rStyle w:val="FootnoteReference"/>
        </w:rPr>
        <w:footnoteRef/>
      </w:r>
      <w:r>
        <w:t xml:space="preserve"> </w:t>
      </w:r>
      <w:hyperlink r:id="rId4" w:history="1">
        <w:r w:rsidRPr="003955FB">
          <w:rPr>
            <w:rStyle w:val="Hyperlink"/>
          </w:rPr>
          <w:t>Crop group 010: Brassica (cole or cabbage) vegetables, Head cabbages, Flowerhead cabbages</w:t>
        </w:r>
      </w:hyperlink>
      <w:r w:rsidR="003955FB">
        <w:t>, available on the APVMA website.</w:t>
      </w:r>
    </w:p>
  </w:footnote>
  <w:footnote w:id="10">
    <w:p w14:paraId="54C4434D" w14:textId="3AFD1ED2" w:rsidR="00F945C3" w:rsidRDefault="00F945C3" w:rsidP="00F945C3">
      <w:pPr>
        <w:pStyle w:val="FootnoteText"/>
        <w:suppressAutoHyphens w:val="0"/>
        <w:spacing w:before="0" w:after="120" w:line="240" w:lineRule="auto"/>
        <w:ind w:left="432" w:hanging="432"/>
      </w:pPr>
      <w:r>
        <w:rPr>
          <w:rStyle w:val="FootnoteReference"/>
        </w:rPr>
        <w:footnoteRef/>
      </w:r>
      <w:r>
        <w:t xml:space="preserve"> </w:t>
      </w:r>
      <w:hyperlink r:id="rId5" w:history="1">
        <w:r w:rsidRPr="00F2438F">
          <w:rPr>
            <w:rStyle w:val="Hyperlink"/>
          </w:rPr>
          <w:t>Crop group 13: Leafy vegetables (including Brassica leafy vegetables)</w:t>
        </w:r>
      </w:hyperlink>
      <w:r w:rsidR="00F2438F">
        <w:t>, available on the APVMA website.</w:t>
      </w:r>
    </w:p>
  </w:footnote>
  <w:footnote w:id="11">
    <w:p w14:paraId="0856D1BE" w14:textId="37D8B04D" w:rsidR="00F945C3" w:rsidRDefault="00F945C3" w:rsidP="00F945C3">
      <w:pPr>
        <w:pStyle w:val="FootnoteText"/>
      </w:pPr>
      <w:r>
        <w:rPr>
          <w:rStyle w:val="FootnoteReference"/>
        </w:rPr>
        <w:footnoteRef/>
      </w:r>
      <w:r>
        <w:t xml:space="preserve"> </w:t>
      </w:r>
      <w:hyperlink r:id="rId6" w:history="1">
        <w:r w:rsidRPr="00F2438F">
          <w:rPr>
            <w:rStyle w:val="Hyperlink"/>
          </w:rPr>
          <w:t>Crop group 016: Root and tuber vegetables</w:t>
        </w:r>
      </w:hyperlink>
      <w:r w:rsidR="00F2438F">
        <w:t>, available on the APVMA website.</w:t>
      </w:r>
    </w:p>
  </w:footnote>
  <w:footnote w:id="12">
    <w:p w14:paraId="14D20463" w14:textId="77777777" w:rsidR="00F50341" w:rsidRDefault="00F50341" w:rsidP="00F50341">
      <w:pPr>
        <w:pStyle w:val="FootnoteText"/>
      </w:pPr>
      <w:r>
        <w:rPr>
          <w:rStyle w:val="FootnoteReference"/>
        </w:rPr>
        <w:footnoteRef/>
      </w:r>
      <w:r>
        <w:t xml:space="preserve"> </w:t>
      </w:r>
      <w:hyperlink r:id="rId7" w:history="1">
        <w:r w:rsidRPr="00F2438F">
          <w:rPr>
            <w:rStyle w:val="Hyperlink"/>
          </w:rPr>
          <w:t>Crop group 017: Stalk and stem vegetables</w:t>
        </w:r>
      </w:hyperlink>
      <w:r>
        <w:t>, available on the APVMA website.</w:t>
      </w:r>
    </w:p>
  </w:footnote>
  <w:footnote w:id="13">
    <w:p w14:paraId="2B335CBB" w14:textId="6A0EC3FA" w:rsidR="00F945C3" w:rsidRDefault="00F945C3" w:rsidP="00F945C3">
      <w:pPr>
        <w:pStyle w:val="FootnoteText"/>
      </w:pPr>
      <w:r>
        <w:rPr>
          <w:rStyle w:val="FootnoteReference"/>
        </w:rPr>
        <w:footnoteRef/>
      </w:r>
      <w:r>
        <w:t xml:space="preserve"> </w:t>
      </w:r>
      <w:hyperlink r:id="rId8" w:history="1">
        <w:r w:rsidRPr="00202033">
          <w:rPr>
            <w:rStyle w:val="Hyperlink"/>
          </w:rPr>
          <w:t>Crop group 020: Cereal grains</w:t>
        </w:r>
      </w:hyperlink>
      <w:r w:rsidR="00202033">
        <w:t>, available on the APVMA website.</w:t>
      </w:r>
    </w:p>
  </w:footnote>
  <w:footnote w:id="14">
    <w:p w14:paraId="3C14E8E3" w14:textId="7486D2D8" w:rsidR="00002AB8" w:rsidRDefault="00002AB8" w:rsidP="00002AB8">
      <w:pPr>
        <w:pStyle w:val="FootnoteText"/>
      </w:pPr>
      <w:r>
        <w:rPr>
          <w:rStyle w:val="FootnoteReference"/>
        </w:rPr>
        <w:footnoteRef/>
      </w:r>
      <w:r>
        <w:t xml:space="preserve"> </w:t>
      </w:r>
      <w:r w:rsidR="006E1EA1">
        <w:t xml:space="preserve">See </w:t>
      </w:r>
      <w:hyperlink r:id="rId9" w:history="1">
        <w:r w:rsidR="006E1EA1" w:rsidRPr="006E1EA1">
          <w:rPr>
            <w:rStyle w:val="Hyperlink"/>
          </w:rPr>
          <w:t>crop groups</w:t>
        </w:r>
      </w:hyperlink>
      <w:r w:rsidR="006E1EA1">
        <w:t>, available on the APVMA website.</w:t>
      </w:r>
    </w:p>
  </w:footnote>
  <w:footnote w:id="15">
    <w:p w14:paraId="390A6AF6" w14:textId="07B599CD" w:rsidR="00137A1A" w:rsidRDefault="00137A1A" w:rsidP="00137A1A">
      <w:pPr>
        <w:pStyle w:val="FootnoteText"/>
      </w:pPr>
      <w:r>
        <w:rPr>
          <w:rStyle w:val="FootnoteReference"/>
        </w:rPr>
        <w:footnoteRef/>
      </w:r>
      <w:r>
        <w:t xml:space="preserve"> </w:t>
      </w:r>
      <w:r w:rsidR="00287F33">
        <w:t xml:space="preserve">See </w:t>
      </w:r>
      <w:hyperlink r:id="rId10" w:history="1">
        <w:r w:rsidR="00287F33" w:rsidRPr="00287F33">
          <w:rPr>
            <w:rStyle w:val="Hyperlink"/>
          </w:rPr>
          <w:t>crop groups</w:t>
        </w:r>
      </w:hyperlink>
      <w:r w:rsidR="00287F33">
        <w:t>, available on the APVMA website.</w:t>
      </w:r>
    </w:p>
  </w:footnote>
  <w:footnote w:id="16">
    <w:p w14:paraId="4F7A8D2E" w14:textId="66C173D9" w:rsidR="009565D1" w:rsidRDefault="009565D1" w:rsidP="00287F33">
      <w:pPr>
        <w:pStyle w:val="FootnoteText"/>
      </w:pPr>
      <w:r>
        <w:rPr>
          <w:rStyle w:val="FootnoteReference"/>
        </w:rPr>
        <w:footnoteRef/>
      </w:r>
      <w:r>
        <w:t xml:space="preserve"> </w:t>
      </w:r>
      <w:r w:rsidR="00287F33">
        <w:t xml:space="preserve">See </w:t>
      </w:r>
      <w:hyperlink r:id="rId11" w:history="1">
        <w:r w:rsidR="00287F33" w:rsidRPr="00287F33">
          <w:rPr>
            <w:rStyle w:val="Hyperlink"/>
          </w:rPr>
          <w:t>crop groups</w:t>
        </w:r>
      </w:hyperlink>
      <w:r w:rsidR="00287F33">
        <w:t>, available on the APVMA website.</w:t>
      </w:r>
    </w:p>
  </w:footnote>
  <w:footnote w:id="17">
    <w:p w14:paraId="208ECC41" w14:textId="71969033" w:rsidR="00D2528E" w:rsidRDefault="00D2528E" w:rsidP="00D2528E">
      <w:pPr>
        <w:pStyle w:val="FootnoteText"/>
      </w:pPr>
      <w:r>
        <w:rPr>
          <w:rStyle w:val="FootnoteReference"/>
        </w:rPr>
        <w:footnoteRef/>
      </w:r>
      <w:r>
        <w:t xml:space="preserve"> Food and Agriculture Organi</w:t>
      </w:r>
      <w:r w:rsidR="001465E1">
        <w:t>z</w:t>
      </w:r>
      <w:r>
        <w:t xml:space="preserve">ation of the United Nations (FAO), 2023. </w:t>
      </w:r>
      <w:hyperlink r:id="rId12" w:history="1">
        <w:r w:rsidRPr="00FD3FA5">
          <w:rPr>
            <w:rStyle w:val="Hyperlink"/>
            <w:i/>
          </w:rPr>
          <w:t>Codex Alimentarius, International Food Standards</w:t>
        </w:r>
        <w:r w:rsidRPr="00FD3FA5">
          <w:rPr>
            <w:rStyle w:val="Hyperlink"/>
          </w:rPr>
          <w:t>,</w:t>
        </w:r>
      </w:hyperlink>
      <w:r>
        <w:t xml:space="preserve"> FAO website, accessed December 2023.</w:t>
      </w:r>
    </w:p>
  </w:footnote>
  <w:footnote w:id="18">
    <w:p w14:paraId="213EAC7C" w14:textId="77777777" w:rsidR="00D2528E" w:rsidRDefault="00D2528E" w:rsidP="00D2528E">
      <w:pPr>
        <w:pStyle w:val="FootnoteText"/>
      </w:pPr>
      <w:r>
        <w:rPr>
          <w:rStyle w:val="FootnoteReference"/>
        </w:rPr>
        <w:footnoteRef/>
      </w:r>
      <w:r>
        <w:t xml:space="preserve"> European Commission (EC), </w:t>
      </w:r>
      <w:hyperlink r:id="rId13" w:history="1">
        <w:r w:rsidRPr="00C10312">
          <w:rPr>
            <w:rStyle w:val="Hyperlink"/>
            <w:i/>
          </w:rPr>
          <w:t>EU Pesticides Database</w:t>
        </w:r>
      </w:hyperlink>
      <w:r w:rsidRPr="007167F6">
        <w:t>,</w:t>
      </w:r>
      <w:r>
        <w:t xml:space="preserve"> EC website, accessed December 2023.</w:t>
      </w:r>
    </w:p>
  </w:footnote>
  <w:footnote w:id="19">
    <w:p w14:paraId="7C6BE6D6" w14:textId="77777777" w:rsidR="00D2528E" w:rsidRDefault="00D2528E" w:rsidP="00D2528E">
      <w:pPr>
        <w:pStyle w:val="FootnoteText"/>
      </w:pPr>
      <w:r>
        <w:rPr>
          <w:rStyle w:val="FootnoteReference"/>
        </w:rPr>
        <w:footnoteRef/>
      </w:r>
      <w:r>
        <w:t xml:space="preserve"> Japanese Food Chemistry Research Foundation (JFCRPF), 2023. </w:t>
      </w:r>
      <w:hyperlink r:id="rId14" w:history="1">
        <w:r w:rsidRPr="00FD3FA5">
          <w:rPr>
            <w:rStyle w:val="Hyperlink"/>
            <w:i/>
          </w:rPr>
          <w:t>Table of MRLs for Agricultural Chemicals,</w:t>
        </w:r>
      </w:hyperlink>
      <w:r>
        <w:rPr>
          <w:i/>
        </w:rPr>
        <w:t xml:space="preserve"> </w:t>
      </w:r>
      <w:r>
        <w:t>JFCRPF website, accessed December 2023.</w:t>
      </w:r>
    </w:p>
  </w:footnote>
  <w:footnote w:id="20">
    <w:p w14:paraId="52839F1F" w14:textId="77777777" w:rsidR="00D2528E" w:rsidRDefault="00D2528E" w:rsidP="00D2528E">
      <w:pPr>
        <w:pStyle w:val="FootnoteText"/>
      </w:pPr>
      <w:r>
        <w:rPr>
          <w:rStyle w:val="FootnoteReference"/>
        </w:rPr>
        <w:footnoteRef/>
      </w:r>
      <w:r>
        <w:t xml:space="preserve"> Ministry of Food and Drug Safety Korea, 2023. </w:t>
      </w:r>
      <w:hyperlink r:id="rId15" w:history="1">
        <w:r w:rsidRPr="00E534D3">
          <w:rPr>
            <w:rStyle w:val="Hyperlink"/>
            <w:i/>
            <w:iCs/>
          </w:rPr>
          <w:t>MRLs in Pesticides</w:t>
        </w:r>
      </w:hyperlink>
      <w:r>
        <w:t>, accessed December 2023.</w:t>
      </w:r>
    </w:p>
  </w:footnote>
  <w:footnote w:id="21">
    <w:p w14:paraId="1E7C3A03" w14:textId="77777777" w:rsidR="00D2528E" w:rsidRDefault="00D2528E" w:rsidP="00D2528E">
      <w:pPr>
        <w:pStyle w:val="FootnoteText"/>
      </w:pPr>
      <w:r>
        <w:rPr>
          <w:rStyle w:val="FootnoteReference"/>
        </w:rPr>
        <w:footnoteRef/>
      </w:r>
      <w:r>
        <w:t xml:space="preserve"> Laws &amp; Regulations Database of the Republic of China (Taiwan),2023. </w:t>
      </w:r>
      <w:hyperlink r:id="rId16" w:history="1">
        <w:r w:rsidRPr="00E534D3">
          <w:rPr>
            <w:rStyle w:val="Hyperlink"/>
            <w:i/>
            <w:iCs/>
          </w:rPr>
          <w:t>Standards for Pesticide Residue Limits in Foods</w:t>
        </w:r>
      </w:hyperlink>
      <w:r>
        <w:t>, accessed December 2023.</w:t>
      </w:r>
    </w:p>
  </w:footnote>
  <w:footnote w:id="22">
    <w:p w14:paraId="1ECA3F16" w14:textId="77777777" w:rsidR="00D2528E" w:rsidRDefault="00D2528E" w:rsidP="00D2528E">
      <w:pPr>
        <w:pStyle w:val="FootnoteText"/>
      </w:pPr>
      <w:r>
        <w:rPr>
          <w:rStyle w:val="FootnoteReference"/>
        </w:rPr>
        <w:footnoteRef/>
      </w:r>
      <w:r>
        <w:t xml:space="preserve"> Electronic Code of Federal Regulations (</w:t>
      </w:r>
      <w:r w:rsidRPr="00FD3FA5">
        <w:t>eCFR</w:t>
      </w:r>
      <w:r>
        <w:t>), 2023.</w:t>
      </w:r>
      <w:r w:rsidRPr="00FD3FA5">
        <w:rPr>
          <w:i/>
        </w:rPr>
        <w:t xml:space="preserve"> </w:t>
      </w:r>
      <w:hyperlink r:id="rId17" w:history="1">
        <w:r w:rsidRPr="00FD3FA5">
          <w:rPr>
            <w:rStyle w:val="Hyperlink"/>
            <w:i/>
          </w:rPr>
          <w:t>USA Electronic Code of Federal Regulations,</w:t>
        </w:r>
      </w:hyperlink>
      <w:r>
        <w:rPr>
          <w:i/>
        </w:rPr>
        <w:t xml:space="preserve"> </w:t>
      </w:r>
      <w:r w:rsidRPr="00FD3FA5">
        <w:t>eCFR</w:t>
      </w:r>
      <w:r>
        <w:t xml:space="preserve"> website, accessed December 2023.</w:t>
      </w:r>
    </w:p>
  </w:footnote>
  <w:footnote w:id="23">
    <w:p w14:paraId="099FCB66" w14:textId="15563D20" w:rsidR="00D2528E" w:rsidRPr="00ED3F39" w:rsidRDefault="00D2528E" w:rsidP="00D2528E">
      <w:pPr>
        <w:pStyle w:val="FootnoteText"/>
      </w:pPr>
      <w:r>
        <w:rPr>
          <w:rStyle w:val="FootnoteReference"/>
        </w:rPr>
        <w:footnoteRef/>
      </w:r>
      <w:r>
        <w:t xml:space="preserve"> </w:t>
      </w:r>
      <w:r w:rsidR="0004551E">
        <w:t xml:space="preserve">Japanese Food Chemistry Research Foundation (JFCRPF), 2023. </w:t>
      </w:r>
      <w:hyperlink r:id="rId18" w:history="1">
        <w:r w:rsidR="0004551E" w:rsidRPr="00FD3FA5">
          <w:rPr>
            <w:rStyle w:val="Hyperlink"/>
            <w:i/>
          </w:rPr>
          <w:t>Table of MRLs for Agricultural Chemicals,</w:t>
        </w:r>
      </w:hyperlink>
      <w:r w:rsidR="0004551E">
        <w:rPr>
          <w:i/>
        </w:rPr>
        <w:t xml:space="preserve"> </w:t>
      </w:r>
      <w:r w:rsidR="0004551E">
        <w:t>JFCRPF website, accessed December 2023.</w:t>
      </w:r>
    </w:p>
  </w:footnote>
  <w:footnote w:id="24">
    <w:p w14:paraId="4B0631A5" w14:textId="047AF5A8" w:rsidR="000536D7" w:rsidRPr="000742AA" w:rsidRDefault="000536D7">
      <w:pPr>
        <w:pStyle w:val="FootnoteText"/>
        <w:rPr>
          <w:lang w:val="en-GB"/>
        </w:rPr>
      </w:pPr>
      <w:r>
        <w:rPr>
          <w:rStyle w:val="FootnoteReference"/>
        </w:rPr>
        <w:footnoteRef/>
      </w:r>
      <w:r>
        <w:t xml:space="preserve"> </w:t>
      </w:r>
      <w:r>
        <w:rPr>
          <w:lang w:val="en-GB"/>
        </w:rPr>
        <w:t>For products containing only diquat categorisation is based on the broad use type.</w:t>
      </w:r>
    </w:p>
  </w:footnote>
  <w:footnote w:id="25">
    <w:p w14:paraId="6FFBC33E" w14:textId="77777777" w:rsidR="00CB4944" w:rsidRDefault="00CB4944" w:rsidP="00CB4944">
      <w:pPr>
        <w:pStyle w:val="FootnoteText"/>
      </w:pPr>
      <w:r>
        <w:rPr>
          <w:rStyle w:val="FootnoteReference"/>
        </w:rPr>
        <w:footnoteRef/>
      </w:r>
      <w:r>
        <w:t xml:space="preserve"> </w:t>
      </w:r>
      <w:r w:rsidRPr="007C6A31">
        <w:t>Assessment factor 3 for primary producers</w:t>
      </w:r>
      <w:r>
        <w:t xml:space="preserve"> is</w:t>
      </w:r>
      <w:r w:rsidRPr="007C6A31">
        <w:t xml:space="preserve"> based on EFSA (2013a)</w:t>
      </w:r>
    </w:p>
  </w:footnote>
  <w:footnote w:id="26">
    <w:p w14:paraId="3D3F19E8" w14:textId="77777777" w:rsidR="00CB4944" w:rsidRDefault="00CB4944" w:rsidP="00CB4944">
      <w:pPr>
        <w:pStyle w:val="FootnoteText"/>
      </w:pPr>
      <w:r>
        <w:rPr>
          <w:rStyle w:val="FootnoteReference"/>
        </w:rPr>
        <w:footnoteRef/>
      </w:r>
      <w:r>
        <w:t xml:space="preserve"> Based on </w:t>
      </w:r>
      <w:r w:rsidRPr="003A092D">
        <w:t>4-day LC</w:t>
      </w:r>
      <w:r w:rsidRPr="003A092D">
        <w:rPr>
          <w:vertAlign w:val="subscript"/>
        </w:rPr>
        <w:t>50</w:t>
      </w:r>
      <w:r w:rsidRPr="003A092D">
        <w:t xml:space="preserve"> 84 µg ac/L</w:t>
      </w:r>
      <w:r>
        <w:t xml:space="preserve"> (</w:t>
      </w:r>
      <w:r w:rsidRPr="003A092D">
        <w:rPr>
          <w:i/>
          <w:iCs/>
        </w:rPr>
        <w:t>Hyallela azteca</w:t>
      </w:r>
      <w:r>
        <w:t>) and assessment factor of 10</w:t>
      </w:r>
    </w:p>
  </w:footnote>
  <w:footnote w:id="27">
    <w:p w14:paraId="1CBE97D2" w14:textId="6F3CB16C" w:rsidR="00FF6E0E" w:rsidRPr="000742AA" w:rsidRDefault="00FF6E0E">
      <w:pPr>
        <w:pStyle w:val="FootnoteText"/>
        <w:rPr>
          <w:lang w:val="en-GB"/>
        </w:rPr>
      </w:pPr>
      <w:r>
        <w:rPr>
          <w:rStyle w:val="FootnoteReference"/>
        </w:rPr>
        <w:footnoteRef/>
      </w:r>
      <w:r>
        <w:t xml:space="preserve"> </w:t>
      </w:r>
      <w:r>
        <w:rPr>
          <w:lang w:val="en-GB"/>
        </w:rPr>
        <w:t>Calculated using Shinyssdtools (Version 0.4.0) (</w:t>
      </w:r>
      <w:r w:rsidRPr="00521F3A">
        <w:t>Dalgarno</w:t>
      </w:r>
      <w:r>
        <w:t xml:space="preserve"> 2021; </w:t>
      </w:r>
      <w:hyperlink r:id="rId19" w:history="1">
        <w:r w:rsidRPr="00B51DC0">
          <w:rPr>
            <w:rStyle w:val="Hyperlink"/>
          </w:rPr>
          <w:t>https://bcgov-env.shinyapps.io/ssdtools/</w:t>
        </w:r>
      </w:hyperlink>
      <w:r>
        <w:t>)</w:t>
      </w:r>
    </w:p>
  </w:footnote>
  <w:footnote w:id="28">
    <w:p w14:paraId="5D54D533" w14:textId="77777777" w:rsidR="00FF6E0E" w:rsidRPr="00303DF5" w:rsidRDefault="00FF6E0E" w:rsidP="00FF6E0E">
      <w:pPr>
        <w:pStyle w:val="FootnoteText"/>
        <w:rPr>
          <w:lang w:val="en-GB"/>
        </w:rPr>
      </w:pPr>
      <w:r>
        <w:rPr>
          <w:rStyle w:val="FootnoteReference"/>
        </w:rPr>
        <w:footnoteRef/>
      </w:r>
      <w:r>
        <w:t xml:space="preserve"> </w:t>
      </w:r>
      <w:r>
        <w:rPr>
          <w:lang w:val="en-GB"/>
        </w:rPr>
        <w:t>Calculated using Shinyssdtools (Version 0.4.0) (</w:t>
      </w:r>
      <w:r w:rsidRPr="00521F3A">
        <w:t>Dalgarno</w:t>
      </w:r>
      <w:r>
        <w:t xml:space="preserve"> 2021; </w:t>
      </w:r>
      <w:hyperlink r:id="rId20" w:history="1">
        <w:r w:rsidRPr="00B51DC0">
          <w:rPr>
            <w:rStyle w:val="Hyperlink"/>
          </w:rPr>
          <w:t>https://bcgov-env.shinyapps.io/ssdtools/</w:t>
        </w:r>
      </w:hyperlink>
      <w:r>
        <w:t>)</w:t>
      </w:r>
    </w:p>
  </w:footnote>
  <w:footnote w:id="29">
    <w:p w14:paraId="12C38C59" w14:textId="7DF8518B" w:rsidR="00496172" w:rsidRPr="000742AA" w:rsidRDefault="00496172">
      <w:pPr>
        <w:pStyle w:val="FootnoteText"/>
        <w:rPr>
          <w:lang w:val="en-GB"/>
        </w:rPr>
      </w:pPr>
      <w:r>
        <w:rPr>
          <w:rStyle w:val="FootnoteReference"/>
        </w:rPr>
        <w:footnoteRef/>
      </w:r>
      <w:r>
        <w:t xml:space="preserve"> </w:t>
      </w:r>
      <w:r>
        <w:rPr>
          <w:lang w:val="en-GB"/>
        </w:rPr>
        <w:t>Values in parentheses are the rates adjusted for the fraction of the field treated (FFT)</w:t>
      </w:r>
    </w:p>
  </w:footnote>
  <w:footnote w:id="30">
    <w:p w14:paraId="1A77DBF6" w14:textId="04DB2178" w:rsidR="00496172" w:rsidRPr="000742AA" w:rsidRDefault="00496172">
      <w:pPr>
        <w:pStyle w:val="FootnoteText"/>
        <w:rPr>
          <w:lang w:val="en-GB"/>
        </w:rPr>
      </w:pPr>
      <w:r>
        <w:rPr>
          <w:rStyle w:val="FootnoteReference"/>
        </w:rPr>
        <w:footnoteRef/>
      </w:r>
      <w:r>
        <w:t xml:space="preserve"> </w:t>
      </w:r>
      <w:r>
        <w:rPr>
          <w:lang w:val="en-GB"/>
        </w:rPr>
        <w:t xml:space="preserve">The maximum supported rate represents the application rate per application, for the stated number of applications and </w:t>
      </w:r>
      <w:r w:rsidRPr="00C05DDB">
        <w:rPr>
          <w:lang w:val="en-GB"/>
        </w:rPr>
        <w:t xml:space="preserve">interval (e.g. for 2 applications and a </w:t>
      </w:r>
      <w:r w:rsidR="000536D7" w:rsidRPr="00C05DDB">
        <w:rPr>
          <w:lang w:val="en-GB"/>
        </w:rPr>
        <w:t>7-day</w:t>
      </w:r>
      <w:r w:rsidRPr="00C05DDB">
        <w:rPr>
          <w:lang w:val="en-GB"/>
        </w:rPr>
        <w:t xml:space="preserve"> interval a maximum rate of 1</w:t>
      </w:r>
      <w:r w:rsidR="00C05DDB" w:rsidRPr="000742AA">
        <w:rPr>
          <w:lang w:val="en-GB"/>
        </w:rPr>
        <w:t>89</w:t>
      </w:r>
      <w:r w:rsidRPr="00C05DDB">
        <w:rPr>
          <w:lang w:val="en-GB"/>
        </w:rPr>
        <w:t xml:space="preserve"> g ac/ha would be per application, for this number of applications and interval</w:t>
      </w:r>
      <w:r>
        <w:rPr>
          <w:lang w:val="en-GB"/>
        </w:rPr>
        <w:t>)</w:t>
      </w:r>
    </w:p>
  </w:footnote>
  <w:footnote w:id="31">
    <w:p w14:paraId="611A869B" w14:textId="40A5B3DE" w:rsidR="003E0157" w:rsidRDefault="003E0157" w:rsidP="003E0157">
      <w:pPr>
        <w:pStyle w:val="FootnoteText"/>
        <w:ind w:left="0" w:firstLine="0"/>
      </w:pPr>
      <w:r>
        <w:rPr>
          <w:rStyle w:val="FootnoteReference"/>
        </w:rPr>
        <w:footnoteRef/>
      </w:r>
      <w:r>
        <w:t>Although directed and inter-row spraying is acceptable up to 300 g ac/ha when a 40% fraction of the field is sprayed for diquat, the instructions for use in orchards include an obligatory tank mix with paraquat at rates which pose an unacceptable risk for mammals.</w:t>
      </w:r>
    </w:p>
  </w:footnote>
  <w:footnote w:id="32">
    <w:p w14:paraId="0F30D5DD" w14:textId="5DD8A964" w:rsidR="003E0157" w:rsidRDefault="003E0157">
      <w:pPr>
        <w:pStyle w:val="FootnoteText"/>
      </w:pPr>
      <w:r>
        <w:rPr>
          <w:rStyle w:val="FootnoteReference"/>
        </w:rPr>
        <w:footnoteRef/>
      </w:r>
      <w:r>
        <w:t xml:space="preserve"> </w:t>
      </w:r>
      <w:r w:rsidRPr="003E0157">
        <w:t xml:space="preserve">Although directed and inter-row spraying is acceptable up to 300 g ac/ha when a 40% fraction of the field is sprayed for diquat, the instructions for </w:t>
      </w:r>
      <w:r>
        <w:t>vineyards</w:t>
      </w:r>
      <w:r w:rsidRPr="003E0157">
        <w:t xml:space="preserve"> include an obligatory tank mix with paraquat at rates which pose an unacceptable risk for mammals.</w:t>
      </w:r>
    </w:p>
  </w:footnote>
  <w:footnote w:id="33">
    <w:p w14:paraId="53436C84" w14:textId="77777777" w:rsidR="00AC69FF" w:rsidRPr="009A6550" w:rsidRDefault="00AC69FF" w:rsidP="00AC69FF">
      <w:pPr>
        <w:pStyle w:val="FootnoteText"/>
        <w:rPr>
          <w:lang w:val="en-GB"/>
        </w:rPr>
      </w:pPr>
      <w:r>
        <w:rPr>
          <w:rStyle w:val="FootnoteReference"/>
        </w:rPr>
        <w:footnoteRef/>
      </w:r>
      <w:r>
        <w:t xml:space="preserve"> </w:t>
      </w:r>
      <w:r w:rsidRPr="009A6550">
        <w:t xml:space="preserve">See Appendix B, Attachments 1 and 2 of </w:t>
      </w:r>
      <w:hyperlink r:id="rId21" w:history="1">
        <w:r w:rsidRPr="00F97A71">
          <w:rPr>
            <w:rStyle w:val="Hyperlink"/>
          </w:rPr>
          <w:t>https://apvma.gov.au/node/46416</w:t>
        </w:r>
      </w:hyperlink>
    </w:p>
  </w:footnote>
  <w:footnote w:id="34">
    <w:p w14:paraId="5CA6F70B" w14:textId="77777777" w:rsidR="00AC69FF" w:rsidRPr="0090017B" w:rsidRDefault="00AC69FF" w:rsidP="00AC69FF">
      <w:pPr>
        <w:pStyle w:val="FootnoteText"/>
        <w:rPr>
          <w:lang w:val="en-GB"/>
        </w:rPr>
      </w:pPr>
      <w:r>
        <w:rPr>
          <w:rStyle w:val="FootnoteReference"/>
        </w:rPr>
        <w:footnoteRef/>
      </w:r>
      <w:r>
        <w:t xml:space="preserve"> Cumulative </w:t>
      </w:r>
      <w:r>
        <w:rPr>
          <w:lang w:val="en-GB"/>
        </w:rPr>
        <w:t>peak concentrations in soil are calculated using the same approach as the HSE PEC soil calculator (</w:t>
      </w:r>
      <w:hyperlink r:id="rId22" w:history="1">
        <w:r w:rsidRPr="00602C36">
          <w:rPr>
            <w:rStyle w:val="Hyperlink"/>
            <w:lang w:val="en-GB"/>
          </w:rPr>
          <w:t>https://www.hse.gov.uk/pesticides/data-requirements-handbook/fate/environmental-fate-models.htm</w:t>
        </w:r>
      </w:hyperlink>
      <w:r>
        <w:rPr>
          <w:lang w:val="en-GB"/>
        </w:rPr>
        <w:t>).</w:t>
      </w:r>
    </w:p>
  </w:footnote>
  <w:footnote w:id="35">
    <w:p w14:paraId="0C603AD7" w14:textId="77777777" w:rsidR="00AC69FF" w:rsidRPr="00827383" w:rsidRDefault="00AC69FF" w:rsidP="00AC69FF">
      <w:pPr>
        <w:pStyle w:val="FootnoteText"/>
        <w:rPr>
          <w:lang w:val="en-GB"/>
        </w:rPr>
      </w:pPr>
      <w:r>
        <w:rPr>
          <w:rStyle w:val="FootnoteReference"/>
        </w:rPr>
        <w:footnoteRef/>
      </w:r>
      <w:r>
        <w:t xml:space="preserve"> </w:t>
      </w:r>
      <w:r>
        <w:rPr>
          <w:lang w:val="en-GB"/>
        </w:rPr>
        <w:t>i.e. peak concentration of 7.1 mg ac/kg ds after 7 years (DT</w:t>
      </w:r>
      <w:r w:rsidRPr="00827383">
        <w:rPr>
          <w:vertAlign w:val="subscript"/>
          <w:lang w:val="en-GB"/>
        </w:rPr>
        <w:t>50</w:t>
      </w:r>
      <w:r>
        <w:rPr>
          <w:lang w:val="en-GB"/>
        </w:rPr>
        <w:t xml:space="preserve"> 41 years) equivalent to the SAC-WB value for the modelled soil, and a peak concentration of 4.6 mg ac/kg ds after 13 years (DT</w:t>
      </w:r>
      <w:r w:rsidRPr="00827383">
        <w:rPr>
          <w:vertAlign w:val="subscript"/>
          <w:lang w:val="en-GB"/>
        </w:rPr>
        <w:t>50</w:t>
      </w:r>
      <w:r>
        <w:rPr>
          <w:lang w:val="en-GB"/>
        </w:rPr>
        <w:t xml:space="preserve"> 1000 d) for residues in solution. Therefore, the peak total concentration after 20 years is 11.7 mg ac/kg ds (7.1 + 4.6) – this simplistic approach does not account for any losses from the fraction representing the SAC-WB concentration after the initial 7 years of accumulation.</w:t>
      </w:r>
    </w:p>
  </w:footnote>
  <w:footnote w:id="36">
    <w:p w14:paraId="62BDF56A" w14:textId="77777777" w:rsidR="00AC69FF" w:rsidRPr="00526F98" w:rsidRDefault="00AC69FF" w:rsidP="00AC69FF">
      <w:pPr>
        <w:pStyle w:val="FootnoteText"/>
        <w:rPr>
          <w:lang w:val="en-GB"/>
        </w:rPr>
      </w:pPr>
      <w:r>
        <w:rPr>
          <w:rStyle w:val="FootnoteReference"/>
        </w:rPr>
        <w:footnoteRef/>
      </w:r>
      <w:r>
        <w:t xml:space="preserve"> </w:t>
      </w:r>
      <w:r>
        <w:rPr>
          <w:lang w:val="en-GB"/>
        </w:rPr>
        <w:t>In Bradley (2013a) the mean measured pore water concentrations were &lt;0.0061, 0.014, 0.041, 0.039, and 0.070 mg ac/L for bulk sediment mean measured treatment concentrations of 3.0, 6.4, 11, 23 and 47 mg ac/kg ds, respectively. The mean pore water concentrations (0.041 and 0.039 mg ac/L) at the NOEC and the next highest treatment (11 and 23 mg ac/kg ds, respectively) are essentially the same – significant effects on reproduction were observed at 23 mg ac/kg ds. This can be attributed to higher initial (day 0) but lower long-term (day 14 and 28) pore water concentrations in the NOEC treatment compared to the next highest treatment group. Given the uncertainty regarding the porewater exposure and to ensure a protective assessment, the porewater concentration for the next lowest treatment group has been considered in the risk assessment (porewater NOEC 0.014 mg ac/L).</w:t>
      </w:r>
    </w:p>
  </w:footnote>
  <w:footnote w:id="37">
    <w:p w14:paraId="27339A46" w14:textId="77777777" w:rsidR="00CF504F" w:rsidRDefault="00CF504F" w:rsidP="00CF504F">
      <w:pPr>
        <w:pStyle w:val="FootnoteText"/>
      </w:pPr>
      <w:r>
        <w:rPr>
          <w:rStyle w:val="FootnoteReference"/>
        </w:rPr>
        <w:footnoteRef/>
      </w:r>
      <w:r>
        <w:t xml:space="preserve"> See Table 10 in Diquat Review Technical Report for PPE and work rate restrictions. Closed mixing/loading required</w:t>
      </w:r>
    </w:p>
  </w:footnote>
  <w:footnote w:id="38">
    <w:p w14:paraId="01B248F9" w14:textId="77777777" w:rsidR="00CF504F" w:rsidRDefault="00CF504F" w:rsidP="00CF504F">
      <w:pPr>
        <w:pStyle w:val="FootnoteText"/>
      </w:pPr>
      <w:r>
        <w:rPr>
          <w:rStyle w:val="FootnoteReference"/>
        </w:rPr>
        <w:footnoteRef/>
      </w:r>
      <w:r>
        <w:t xml:space="preserve"> Note only lower rates of range supported</w:t>
      </w:r>
    </w:p>
  </w:footnote>
  <w:footnote w:id="39">
    <w:p w14:paraId="0EECCDA1" w14:textId="2C53B601" w:rsidR="00296F32" w:rsidRDefault="00296F32" w:rsidP="00296F32">
      <w:pPr>
        <w:pStyle w:val="FootnoteText"/>
        <w:spacing w:before="0" w:line="240" w:lineRule="auto"/>
      </w:pPr>
      <w:r>
        <w:rPr>
          <w:rStyle w:val="FootnoteReference"/>
        </w:rPr>
        <w:footnoteRef/>
      </w:r>
      <w:r>
        <w:t xml:space="preserve"> All toxicity values are reported in terms of the active constituent</w:t>
      </w:r>
      <w:r w:rsidR="00CB656D">
        <w:t>,</w:t>
      </w:r>
      <w:r>
        <w:t xml:space="preserve"> which is defined as the diquat cation</w:t>
      </w:r>
    </w:p>
  </w:footnote>
  <w:footnote w:id="40">
    <w:p w14:paraId="54CEEDD5" w14:textId="77777777" w:rsidR="002B1A69" w:rsidRPr="008B67B9" w:rsidRDefault="002B1A69" w:rsidP="002B1A69">
      <w:pPr>
        <w:pStyle w:val="FootnoteText"/>
        <w:rPr>
          <w:lang w:val="en-GB"/>
        </w:rPr>
      </w:pPr>
      <w:r>
        <w:rPr>
          <w:rStyle w:val="FootnoteReference"/>
        </w:rPr>
        <w:footnoteRef/>
      </w:r>
      <w:r>
        <w:t xml:space="preserve"> Seasonal exposure rates </w:t>
      </w:r>
      <w:r>
        <w:rPr>
          <w:lang w:val="en-GB"/>
        </w:rPr>
        <w:t>assume a maximum of 40% of the area is treated for spot spraying uses, and are adjusted accordingly</w:t>
      </w:r>
    </w:p>
  </w:footnote>
  <w:footnote w:id="41">
    <w:p w14:paraId="2186F047" w14:textId="77777777" w:rsidR="002B1A69" w:rsidRPr="001C6E09" w:rsidRDefault="002B1A69" w:rsidP="002B1A69">
      <w:pPr>
        <w:pStyle w:val="FootnoteText"/>
        <w:rPr>
          <w:lang w:val="en-GB"/>
        </w:rPr>
      </w:pPr>
      <w:r>
        <w:rPr>
          <w:rStyle w:val="FootnoteReference"/>
        </w:rPr>
        <w:footnoteRef/>
      </w:r>
      <w:r>
        <w:t xml:space="preserve"> </w:t>
      </w:r>
      <w:r>
        <w:rPr>
          <w:lang w:val="en-GB"/>
        </w:rPr>
        <w:t>For sugarcane situations the maize crop group has been used, as a specific crop group for sugarcane is not defined in EFSA (2009). For both over the top and inter-row sprays the generic focal species present at BBCH 10-19 have been modelled. Whilst the inter-row spray may occur from the 3-4 leaf stage up to the formation of the true stem the application method means the interception assumed at later growth stages is not appropriate. So, for the purposes of a Tier 1 risk assessment the earlier growth stage without interception has been used to establish feeding guilds potentially at risk.</w:t>
      </w:r>
    </w:p>
  </w:footnote>
  <w:footnote w:id="42">
    <w:p w14:paraId="50BC9CD9" w14:textId="77777777" w:rsidR="002B1A69" w:rsidRPr="000D76AD" w:rsidRDefault="002B1A69" w:rsidP="002B1A69">
      <w:pPr>
        <w:pStyle w:val="FootnoteText"/>
        <w:rPr>
          <w:lang w:val="en-GB"/>
        </w:rPr>
      </w:pPr>
      <w:r>
        <w:rPr>
          <w:rStyle w:val="FootnoteReference"/>
        </w:rPr>
        <w:footnoteRef/>
      </w:r>
      <w:r>
        <w:t xml:space="preserve"> </w:t>
      </w:r>
      <w:bookmarkStart w:id="504" w:name="_Hlk216177498"/>
      <w:r>
        <w:t>T</w:t>
      </w:r>
      <w:r>
        <w:rPr>
          <w:lang w:val="en-GB"/>
        </w:rPr>
        <w:t>he use situations market gardens, row crops and vegetables are imprecisely defined such that it is not clear whether an FFT refinement would be appropriate, and if it were what a suitably conservative value would be. Additional information would be required to justify an appropriate FFT factor</w:t>
      </w:r>
      <w:bookmarkEnd w:id="504"/>
      <w:r>
        <w:rPr>
          <w:lang w:val="en-GB"/>
        </w:rPr>
        <w:t>.</w:t>
      </w:r>
    </w:p>
  </w:footnote>
  <w:footnote w:id="43">
    <w:p w14:paraId="6EDA0E7D" w14:textId="77777777" w:rsidR="002B1A69" w:rsidRPr="004929C5" w:rsidRDefault="002B1A69" w:rsidP="002B1A69">
      <w:pPr>
        <w:pStyle w:val="FootnoteText"/>
        <w:rPr>
          <w:lang w:val="en-GB"/>
        </w:rPr>
      </w:pPr>
      <w:r>
        <w:rPr>
          <w:rStyle w:val="FootnoteReference"/>
        </w:rPr>
        <w:footnoteRef/>
      </w:r>
      <w:r>
        <w:t xml:space="preserve"> </w:t>
      </w:r>
      <w:bookmarkStart w:id="505" w:name="_Hlk198734928"/>
      <w:r>
        <w:rPr>
          <w:lang w:val="en-GB"/>
        </w:rPr>
        <w:t>Where grazing occurs immediately before application for lucerne, the risk assessment considers up to BBCH 19 to account for the limited crop cover</w:t>
      </w:r>
      <w:bookmarkEnd w:id="505"/>
    </w:p>
  </w:footnote>
  <w:footnote w:id="44">
    <w:p w14:paraId="3E6AD390" w14:textId="77777777" w:rsidR="002B1A69" w:rsidRPr="006E2167" w:rsidRDefault="002B1A69" w:rsidP="002B1A69">
      <w:pPr>
        <w:pStyle w:val="FootnoteText"/>
        <w:spacing w:before="0" w:line="240" w:lineRule="auto"/>
        <w:rPr>
          <w:lang w:val="en-GB"/>
        </w:rPr>
      </w:pPr>
      <w:r>
        <w:rPr>
          <w:rStyle w:val="FootnoteReference"/>
        </w:rPr>
        <w:footnoteRef/>
      </w:r>
      <w:r>
        <w:t xml:space="preserve"> </w:t>
      </w:r>
      <w:r>
        <w:rPr>
          <w:lang w:val="en-GB"/>
        </w:rPr>
        <w:t>Assuming a maximum of 40% of an orchard is treated, each application is equivalent to 130 g ac/ha across the entire orchard</w:t>
      </w:r>
    </w:p>
  </w:footnote>
  <w:footnote w:id="45">
    <w:p w14:paraId="05F16EDA" w14:textId="77777777" w:rsidR="000110FD" w:rsidRPr="00114EB4" w:rsidRDefault="000110FD" w:rsidP="000110FD">
      <w:pPr>
        <w:pStyle w:val="FootnoteText"/>
        <w:rPr>
          <w:lang w:val="en-GB"/>
        </w:rPr>
      </w:pPr>
      <w:r>
        <w:rPr>
          <w:rStyle w:val="FootnoteReference"/>
        </w:rPr>
        <w:footnoteRef/>
      </w:r>
      <w:r>
        <w:t xml:space="preserve"> </w:t>
      </w:r>
      <w:hyperlink r:id="rId23" w:history="1">
        <w:r w:rsidRPr="00691916">
          <w:rPr>
            <w:rStyle w:val="Hyperlink"/>
          </w:rPr>
          <w:t>https://www.apvma.gov.au/registrations-and-permits/data-guidelines/risk-assessment-manuals/environment/appendix-a</w:t>
        </w:r>
      </w:hyperlink>
    </w:p>
  </w:footnote>
  <w:footnote w:id="46">
    <w:p w14:paraId="654885A1" w14:textId="604A549E" w:rsidR="000110FD" w:rsidRPr="00F616F7" w:rsidRDefault="000110FD" w:rsidP="000110FD">
      <w:pPr>
        <w:pStyle w:val="FootnoteText"/>
        <w:rPr>
          <w:lang w:val="en-GB"/>
        </w:rPr>
      </w:pPr>
      <w:r>
        <w:rPr>
          <w:rStyle w:val="FootnoteReference"/>
        </w:rPr>
        <w:footnoteRef/>
      </w:r>
      <w:r>
        <w:t xml:space="preserve"> </w:t>
      </w:r>
      <w:r>
        <w:rPr>
          <w:lang w:val="en-GB"/>
        </w:rPr>
        <w:t>For the over-the-top spray use an updated interception factor (0.25, based on maize as reported in EFSA 2020) could be considered, as the risk assessment assumes the diet constitutes non-crop foliage. For simplicity and given the weight-of-evidence argument (see the following text) this has not been included in the quantitative risk assessment at this time.</w:t>
      </w:r>
    </w:p>
  </w:footnote>
  <w:footnote w:id="47">
    <w:p w14:paraId="2A3B676D" w14:textId="77777777" w:rsidR="000110FD" w:rsidRPr="00A774C5" w:rsidRDefault="000110FD" w:rsidP="000110FD">
      <w:pPr>
        <w:pStyle w:val="FootnoteText"/>
        <w:rPr>
          <w:lang w:val="en-GB"/>
        </w:rPr>
      </w:pPr>
      <w:r>
        <w:rPr>
          <w:rStyle w:val="FootnoteReference"/>
        </w:rPr>
        <w:footnoteRef/>
      </w:r>
      <w:r>
        <w:t xml:space="preserve"> </w:t>
      </w:r>
      <w:r>
        <w:rPr>
          <w:lang w:val="en-GB"/>
        </w:rPr>
        <w:t>Implying stable local populations despite current management practices.</w:t>
      </w:r>
    </w:p>
  </w:footnote>
  <w:footnote w:id="48">
    <w:p w14:paraId="43FB96B1" w14:textId="77777777" w:rsidR="000110FD" w:rsidRPr="00B45BF2" w:rsidRDefault="000110FD" w:rsidP="000110FD">
      <w:pPr>
        <w:pStyle w:val="FootnoteText"/>
        <w:rPr>
          <w:lang w:val="en-GB"/>
        </w:rPr>
      </w:pPr>
      <w:r>
        <w:rPr>
          <w:rStyle w:val="FootnoteReference"/>
        </w:rPr>
        <w:footnoteRef/>
      </w:r>
      <w:r>
        <w:t xml:space="preserve"> </w:t>
      </w:r>
      <w:r w:rsidRPr="000739B8">
        <w:rPr>
          <w:i/>
          <w:iCs/>
          <w:lang w:val="en-GB"/>
        </w:rPr>
        <w:t>Rattus rattus</w:t>
      </w:r>
      <w:r>
        <w:rPr>
          <w:lang w:val="en-GB"/>
        </w:rPr>
        <w:t xml:space="preserve"> and </w:t>
      </w:r>
      <w:r w:rsidRPr="000739B8">
        <w:rPr>
          <w:i/>
          <w:iCs/>
          <w:lang w:val="en-GB"/>
        </w:rPr>
        <w:t xml:space="preserve">Mus </w:t>
      </w:r>
      <w:r>
        <w:rPr>
          <w:i/>
          <w:iCs/>
          <w:lang w:val="en-GB"/>
        </w:rPr>
        <w:t>musculus</w:t>
      </w:r>
      <w:r>
        <w:rPr>
          <w:lang w:val="en-GB"/>
        </w:rPr>
        <w:t xml:space="preserve"> were also captured.</w:t>
      </w:r>
    </w:p>
  </w:footnote>
  <w:footnote w:id="49">
    <w:p w14:paraId="25D0D2D4" w14:textId="77777777" w:rsidR="000110FD" w:rsidRPr="003408D7" w:rsidRDefault="000110FD" w:rsidP="000110FD">
      <w:pPr>
        <w:pStyle w:val="FootnoteText"/>
        <w:rPr>
          <w:lang w:val="en-GB"/>
        </w:rPr>
      </w:pPr>
      <w:r>
        <w:rPr>
          <w:rStyle w:val="FootnoteReference"/>
        </w:rPr>
        <w:footnoteRef/>
      </w:r>
      <w:r>
        <w:t xml:space="preserve"> </w:t>
      </w:r>
      <w:r>
        <w:rPr>
          <w:lang w:val="en-GB"/>
        </w:rPr>
        <w:t xml:space="preserve">Conservative option used given the limitations of the available data, as opposed to non-grass weeds typically assumed for omnivorous mammals. </w:t>
      </w:r>
    </w:p>
  </w:footnote>
  <w:footnote w:id="50">
    <w:p w14:paraId="5734D047" w14:textId="77777777" w:rsidR="000110FD" w:rsidRPr="00EA33D9" w:rsidRDefault="000110FD" w:rsidP="000110FD">
      <w:pPr>
        <w:pStyle w:val="FootnoteText"/>
        <w:rPr>
          <w:lang w:val="en-GB"/>
        </w:rPr>
      </w:pPr>
      <w:r>
        <w:rPr>
          <w:rStyle w:val="FootnoteReference"/>
        </w:rPr>
        <w:footnoteRef/>
      </w:r>
      <w:r>
        <w:t xml:space="preserve"> </w:t>
      </w:r>
      <w:r w:rsidRPr="004679A7">
        <w:rPr>
          <w:i/>
          <w:iCs/>
        </w:rPr>
        <w:t>Neophema chrysostoma, Coturnix ypsilophora, Platycerus eximius, Cacatua roseicapilla, Platycercus caledonicus, Pezoporus wallicus, Neophema chrysogaster, Turnix varia, Cinclosoma punctatum, Coturnix pectoralis, Cacatua galerita, Lathamus discolor, Calyptorhynchus funereus, Melopsittacus undulatus, Lophortyx californicus, Nymphicus hollandicus, Carduelis carduelis, Carduelis chloris, Cacatua sanguinea, Cacatua tenuirostris, Columba livia, Streptopelia chinensis</w:t>
      </w:r>
    </w:p>
  </w:footnote>
  <w:footnote w:id="51">
    <w:p w14:paraId="202715A7" w14:textId="77777777" w:rsidR="000110FD" w:rsidRPr="00765FD7" w:rsidRDefault="000110FD" w:rsidP="000110FD">
      <w:pPr>
        <w:pStyle w:val="FootnoteText"/>
        <w:rPr>
          <w:lang w:val="en-GB"/>
        </w:rPr>
      </w:pPr>
      <w:r>
        <w:rPr>
          <w:rStyle w:val="FootnoteReference"/>
        </w:rPr>
        <w:footnoteRef/>
      </w:r>
      <w:r>
        <w:t xml:space="preserve"> </w:t>
      </w:r>
      <w:r w:rsidRPr="004679A7">
        <w:rPr>
          <w:i/>
          <w:iCs/>
        </w:rPr>
        <w:t>Neophema chrysostoma, Coturnix ypsilophora, Platycerus eximius, Cacatua roseicapilla, Platycercus caledonicus, Pezoporus wallicus, Neophema chrysogaster, Turnix varia, Cinclosoma punctatum, Coturnix pectoralis, Cacatua galerita, Lathamus discolor, Calyptorhynchus funereus</w:t>
      </w:r>
    </w:p>
  </w:footnote>
  <w:footnote w:id="52">
    <w:p w14:paraId="167663B0" w14:textId="77777777" w:rsidR="000110FD" w:rsidRPr="00675185" w:rsidRDefault="000110FD" w:rsidP="000110FD">
      <w:pPr>
        <w:pStyle w:val="FootnoteText"/>
        <w:rPr>
          <w:lang w:val="en-GB"/>
        </w:rPr>
      </w:pPr>
      <w:r>
        <w:rPr>
          <w:rStyle w:val="FootnoteReference"/>
        </w:rPr>
        <w:footnoteRef/>
      </w:r>
      <w:r>
        <w:t xml:space="preserve"> </w:t>
      </w:r>
      <w:r>
        <w:rPr>
          <w:lang w:val="en-GB"/>
        </w:rPr>
        <w:t>This is based on a body weight of 45 g, daily energy expenditure 88 KJ/d (for non-passerine birds), 100% weed seed in the diet, assimilation efficiency 76% (based on columbiformes in the absence of data for psittaciformes), food energy 21.7 kJ/g dw, moisture content 9.9% and a 90</w:t>
      </w:r>
      <w:r w:rsidRPr="00675185">
        <w:rPr>
          <w:vertAlign w:val="superscript"/>
          <w:lang w:val="en-GB"/>
        </w:rPr>
        <w:t>th</w:t>
      </w:r>
      <w:r>
        <w:rPr>
          <w:lang w:val="en-GB"/>
        </w:rPr>
        <w:t xml:space="preserve"> percentile RUD of 87 mg/kg</w:t>
      </w:r>
    </w:p>
  </w:footnote>
  <w:footnote w:id="53">
    <w:p w14:paraId="56DB1D5E" w14:textId="77777777" w:rsidR="000110FD" w:rsidRPr="00913673" w:rsidRDefault="000110FD" w:rsidP="000110FD">
      <w:pPr>
        <w:pStyle w:val="FootnoteText"/>
        <w:rPr>
          <w:lang w:val="en-GB"/>
        </w:rPr>
      </w:pPr>
      <w:r>
        <w:rPr>
          <w:rStyle w:val="FootnoteReference"/>
        </w:rPr>
        <w:footnoteRef/>
      </w:r>
      <w:r>
        <w:t xml:space="preserve"> </w:t>
      </w:r>
      <w:r>
        <w:rPr>
          <w:lang w:val="en-GB"/>
        </w:rPr>
        <w:t>Exposure would be expected primarily when opening the seed capsule. Diquat is not expected to translocate from the seed capsule exterior to the seeds.</w:t>
      </w:r>
    </w:p>
  </w:footnote>
  <w:footnote w:id="54">
    <w:p w14:paraId="2F029576" w14:textId="77777777" w:rsidR="000110FD" w:rsidRPr="00D57027" w:rsidRDefault="000110FD" w:rsidP="000110FD">
      <w:pPr>
        <w:pStyle w:val="FootnoteText"/>
        <w:rPr>
          <w:lang w:val="en-GB"/>
        </w:rPr>
      </w:pPr>
      <w:r>
        <w:rPr>
          <w:rStyle w:val="FootnoteReference"/>
        </w:rPr>
        <w:footnoteRef/>
      </w:r>
      <w:r>
        <w:t xml:space="preserve"> </w:t>
      </w:r>
      <w:r>
        <w:rPr>
          <w:lang w:val="en-GB"/>
        </w:rPr>
        <w:t>Native to mainland Australia only</w:t>
      </w:r>
    </w:p>
  </w:footnote>
  <w:footnote w:id="55">
    <w:p w14:paraId="039C6134" w14:textId="77777777" w:rsidR="000110FD" w:rsidRPr="00602713" w:rsidRDefault="000110FD" w:rsidP="000110FD">
      <w:pPr>
        <w:pStyle w:val="FootnoteText"/>
        <w:rPr>
          <w:lang w:val="en-GB"/>
        </w:rPr>
      </w:pPr>
      <w:r>
        <w:rPr>
          <w:rStyle w:val="FootnoteReference"/>
        </w:rPr>
        <w:footnoteRef/>
      </w:r>
      <w:r>
        <w:t xml:space="preserve"> </w:t>
      </w:r>
      <w:r w:rsidRPr="00602713">
        <w:t>Values in parentheses are the maximum rates adjusted for the fraction of the field treated (FFT)</w:t>
      </w:r>
    </w:p>
  </w:footnote>
  <w:footnote w:id="56">
    <w:p w14:paraId="2149C9D4" w14:textId="2B193E48" w:rsidR="000110FD" w:rsidRPr="00602713" w:rsidRDefault="000110FD" w:rsidP="000110FD">
      <w:pPr>
        <w:pStyle w:val="FootnoteText"/>
        <w:rPr>
          <w:lang w:val="en-GB"/>
        </w:rPr>
      </w:pPr>
      <w:r>
        <w:rPr>
          <w:rStyle w:val="FootnoteReference"/>
        </w:rPr>
        <w:footnoteRef/>
      </w:r>
      <w:r>
        <w:t xml:space="preserve"> </w:t>
      </w:r>
      <w:r w:rsidRPr="00602713">
        <w:t>For all use rates, an acceptable risk will have been concluded for use rates less than or equal to the maximum acceptable rate. The overall conclusion (Yes/No) only relates to whether all uses can be considered to have passed the risk assessment. The overall conclusion accounts for any fraction of the field treated (FFT) refinements as detailed in</w:t>
      </w:r>
      <w:r>
        <w:t xml:space="preserve"> </w:t>
      </w:r>
      <w:r w:rsidR="00ED4F77">
        <w:fldChar w:fldCharType="begin" w:fldLock="1"/>
      </w:r>
      <w:r w:rsidR="00ED4F77">
        <w:instrText xml:space="preserve"> REF _Ref170461176 \h </w:instrText>
      </w:r>
      <w:r w:rsidR="00ED4F77">
        <w:fldChar w:fldCharType="separate"/>
      </w:r>
      <w:r w:rsidR="003A30D0">
        <w:t xml:space="preserve">Table </w:t>
      </w:r>
      <w:r w:rsidR="003A30D0">
        <w:rPr>
          <w:noProof/>
        </w:rPr>
        <w:t>75</w:t>
      </w:r>
      <w:r w:rsidR="00ED4F77">
        <w:fldChar w:fldCharType="end"/>
      </w:r>
      <w:r w:rsidRPr="00602713">
        <w:t>.</w:t>
      </w:r>
    </w:p>
  </w:footnote>
  <w:footnote w:id="57">
    <w:p w14:paraId="26D09DDD" w14:textId="77777777" w:rsidR="000110FD" w:rsidRPr="00476AD9" w:rsidRDefault="000110FD" w:rsidP="000110FD">
      <w:pPr>
        <w:pStyle w:val="FootnoteText"/>
        <w:rPr>
          <w:lang w:val="en-GB"/>
        </w:rPr>
      </w:pPr>
      <w:r>
        <w:rPr>
          <w:rStyle w:val="FootnoteReference"/>
        </w:rPr>
        <w:footnoteRef/>
      </w:r>
      <w:r>
        <w:t xml:space="preserve"> WOE argument applies to </w:t>
      </w:r>
      <w:r>
        <w:rPr>
          <w:lang w:val="en-GB"/>
        </w:rPr>
        <w:t>Tasmania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1CB7853C"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467453">
      <w:t xml:space="preserve">Diquat </w:t>
    </w:r>
    <w:r w:rsidR="00A563F4" w:rsidRPr="00A563F4">
      <w:t>Final Review Technical Report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5ECF" w14:textId="50DC0E87" w:rsidR="009A03E9" w:rsidRDefault="009A03E9" w:rsidP="009A03E9">
    <w:pPr>
      <w:pStyle w:val="OddHeader"/>
      <w:tabs>
        <w:tab w:val="clear" w:pos="9072"/>
        <w:tab w:val="right" w:pos="2694"/>
      </w:tabs>
      <w:jc w:val="right"/>
    </w:pPr>
    <w:r w:rsidRPr="009A03E9">
      <w:t>Residues and trade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9727" w14:textId="7BC8369B" w:rsidR="004C1210" w:rsidRDefault="004C1210" w:rsidP="00D84B7F">
    <w:pPr>
      <w:pStyle w:val="OddHeader"/>
    </w:pPr>
    <w:r>
      <w:tab/>
      <w:t>Environmental safety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7B01" w14:textId="79CE14D5" w:rsidR="004C1210" w:rsidRDefault="004C1210" w:rsidP="00D84B7F">
    <w:pPr>
      <w:pStyle w:val="OddHeader"/>
    </w:pPr>
    <w:r>
      <w:tab/>
      <w:t>Spray drift</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AFE2" w14:textId="2BF17DC5" w:rsidR="004C1210" w:rsidRDefault="004C1210" w:rsidP="00D84B7F">
    <w:pPr>
      <w:pStyle w:val="OddHeader"/>
    </w:pPr>
    <w:r>
      <w:tab/>
      <w:t>Storage and disposal</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9107" w14:textId="6289C370" w:rsidR="004C1210" w:rsidRDefault="004C1210" w:rsidP="004C1210">
    <w:pPr>
      <w:pStyle w:val="OddHeader"/>
    </w:pPr>
    <w:r>
      <w:tab/>
      <w:t>Appendix</w:t>
    </w:r>
    <w:r w:rsidR="00A97745">
      <w:t xml:space="preserve"> A</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5362" w14:textId="4B827274" w:rsidR="00A97745" w:rsidRDefault="00A97745" w:rsidP="004C1210">
    <w:pPr>
      <w:pStyle w:val="OddHeader"/>
    </w:pPr>
    <w:r>
      <w:tab/>
      <w:t>Appendix B</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0F7" w14:textId="2E66C5D6" w:rsidR="00A97745" w:rsidRDefault="00A97745" w:rsidP="004C1210">
    <w:pPr>
      <w:pStyle w:val="OddHeader"/>
    </w:pPr>
    <w:r>
      <w:tab/>
      <w:t>Appendix C</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1DDE" w14:textId="034AAA1E" w:rsidR="00A97745" w:rsidRDefault="00A97745" w:rsidP="004C1210">
    <w:pPr>
      <w:pStyle w:val="OddHeader"/>
    </w:pPr>
    <w:r>
      <w:tab/>
      <w:t>Appendix D</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C2B" w14:textId="0B09545C" w:rsidR="004C1210" w:rsidRDefault="004C1210" w:rsidP="004C1210">
    <w:pPr>
      <w:pStyle w:val="OddHeader"/>
    </w:pPr>
    <w:r>
      <w:tab/>
      <w:t>Acronyms and abbreviations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5282" w14:textId="079FFEA7" w:rsidR="004C1210" w:rsidRDefault="004C1210" w:rsidP="004C1210">
    <w:pPr>
      <w:pStyle w:val="OddHeader"/>
    </w:pPr>
    <w:r>
      <w:tab/>
      <w:t>Glossary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152</w:t>
    </w:r>
    <w:r w:rsidRPr="00D67788">
      <w:rPr>
        <w:rStyle w:val="PageNumber"/>
        <w:rFonts w:cs="Times New Roman"/>
        <w:b w:val="0"/>
        <w:bCs w:val="0"/>
        <w:caps/>
        <w:color w:val="53284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2FD8" w14:textId="45ED7D60" w:rsidR="004C1210" w:rsidRDefault="004C1210" w:rsidP="004C1210">
    <w:pPr>
      <w:pStyle w:val="OddHeader"/>
    </w:pPr>
    <w:r>
      <w:tab/>
      <w:t>References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152</w:t>
    </w:r>
    <w:r w:rsidRPr="00D67788">
      <w:rPr>
        <w:rStyle w:val="PageNumber"/>
        <w:rFonts w:cs="Times New Roman"/>
        <w:b w:val="0"/>
        <w:bCs w:val="0"/>
        <w:caps/>
        <w:color w:val="53284F"/>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C345" w14:textId="390F4C6E" w:rsidR="00D84B7F" w:rsidRDefault="00D84B7F" w:rsidP="00D84B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 xml:space="preserve">Diquat </w:t>
    </w:r>
    <w:r w:rsidR="00A563F4" w:rsidRPr="00A563F4">
      <w:t>Final Review Technical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03A2" w14:textId="4787D2AA" w:rsidR="009A03E9" w:rsidRDefault="009A03E9" w:rsidP="009A03E9">
    <w:pPr>
      <w:pStyle w:val="OddHeader"/>
    </w:pPr>
    <w:r>
      <w:tab/>
    </w:r>
    <w:r w:rsidRPr="009A03E9">
      <w:t>Executive Summary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18C1" w14:textId="5DC8AF02" w:rsidR="009A03E9" w:rsidRDefault="009A03E9" w:rsidP="009A03E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t xml:space="preserve">Diquat </w:t>
    </w:r>
    <w:r w:rsidR="00A563F4" w:rsidRPr="00A563F4">
      <w:t>Final Review Technical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B88F" w14:textId="77777777" w:rsidR="00D84B7F" w:rsidRDefault="00D84B7F" w:rsidP="00D84B7F">
    <w:pPr>
      <w:pStyle w:val="OddHeader"/>
    </w:pPr>
    <w:r>
      <w:tab/>
      <w:t>Introduction</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5FCA" w14:textId="51CB8DE1" w:rsidR="00D84B7F" w:rsidRDefault="00D84B7F" w:rsidP="00D84B7F">
    <w:pPr>
      <w:pStyle w:val="OddHeader"/>
    </w:pPr>
    <w:r>
      <w:tab/>
      <w:t>Chemistry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0AD9" w14:textId="3CF796B5" w:rsidR="00D84B7F" w:rsidRDefault="00D84B7F" w:rsidP="00D84B7F">
    <w:pPr>
      <w:pStyle w:val="OddHeader"/>
    </w:pPr>
    <w:r>
      <w:tab/>
      <w:t>Toxicology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ED61" w14:textId="548F665C" w:rsidR="00D84B7F" w:rsidRDefault="009A03E9" w:rsidP="009A03E9">
    <w:pPr>
      <w:pStyle w:val="OddHeader"/>
      <w:tabs>
        <w:tab w:val="clear" w:pos="9072"/>
        <w:tab w:val="right" w:pos="2977"/>
      </w:tabs>
      <w:jc w:val="right"/>
    </w:pPr>
    <w:r w:rsidRPr="009A03E9">
      <w:t>Worker health and safety</w:t>
    </w:r>
    <w:r w:rsidR="00D84B7F">
      <w:tab/>
    </w:r>
    <w:r w:rsidR="00D84B7F" w:rsidRPr="00D67788">
      <w:rPr>
        <w:rStyle w:val="PageNumber"/>
        <w:rFonts w:cs="Times New Roman"/>
        <w:b w:val="0"/>
        <w:bCs w:val="0"/>
        <w:caps/>
        <w:color w:val="53284F"/>
        <w:szCs w:val="24"/>
      </w:rPr>
      <w:fldChar w:fldCharType="begin"/>
    </w:r>
    <w:r w:rsidR="00D84B7F" w:rsidRPr="00D67788">
      <w:rPr>
        <w:rStyle w:val="PageNumber"/>
        <w:rFonts w:cs="Times New Roman"/>
        <w:bCs w:val="0"/>
        <w:color w:val="53284F"/>
        <w:szCs w:val="24"/>
      </w:rPr>
      <w:instrText xml:space="preserve"> PAGE </w:instrText>
    </w:r>
    <w:r w:rsidR="00D84B7F" w:rsidRPr="00D67788">
      <w:rPr>
        <w:rStyle w:val="PageNumber"/>
        <w:rFonts w:cs="Times New Roman"/>
        <w:b w:val="0"/>
        <w:bCs w:val="0"/>
        <w:caps/>
        <w:color w:val="53284F"/>
        <w:szCs w:val="24"/>
      </w:rPr>
      <w:fldChar w:fldCharType="separate"/>
    </w:r>
    <w:r w:rsidR="00D84B7F">
      <w:rPr>
        <w:rStyle w:val="PageNumber"/>
        <w:rFonts w:cs="Times New Roman"/>
        <w:b w:val="0"/>
        <w:bCs w:val="0"/>
        <w:caps/>
        <w:color w:val="53284F"/>
        <w:szCs w:val="24"/>
      </w:rPr>
      <w:t>3</w:t>
    </w:r>
    <w:r w:rsidR="00D84B7F" w:rsidRPr="00D67788">
      <w:rPr>
        <w:rStyle w:val="PageNumber"/>
        <w:rFonts w:cs="Times New Roman"/>
        <w:b w:val="0"/>
        <w:bCs w:val="0"/>
        <w:caps/>
        <w:color w:val="53284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4DA"/>
    <w:multiLevelType w:val="hybridMultilevel"/>
    <w:tmpl w:val="484C1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AA769C"/>
    <w:multiLevelType w:val="hybridMultilevel"/>
    <w:tmpl w:val="370C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4"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8567BB7"/>
    <w:multiLevelType w:val="hybridMultilevel"/>
    <w:tmpl w:val="D6F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9FE78FA"/>
    <w:multiLevelType w:val="hybridMultilevel"/>
    <w:tmpl w:val="55122E7E"/>
    <w:lvl w:ilvl="0" w:tplc="944EF8A0">
      <w:start w:val="1"/>
      <w:numFmt w:val="decimal"/>
      <w:pStyle w:val="GazetteList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7BE530C"/>
    <w:multiLevelType w:val="hybridMultilevel"/>
    <w:tmpl w:val="6F466F8C"/>
    <w:lvl w:ilvl="0" w:tplc="486E2C38">
      <w:start w:val="1"/>
      <w:numFmt w:val="lowerLetter"/>
      <w:pStyle w:val="appendixsub-heading-2"/>
      <w:lvlText w:val="%1)"/>
      <w:lvlJc w:val="left"/>
      <w:pPr>
        <w:tabs>
          <w:tab w:val="num" w:pos="1176"/>
        </w:tabs>
        <w:ind w:left="1176" w:hanging="360"/>
      </w:pPr>
    </w:lvl>
    <w:lvl w:ilvl="1" w:tplc="D6588CE4" w:tentative="1">
      <w:start w:val="1"/>
      <w:numFmt w:val="lowerLetter"/>
      <w:lvlText w:val="%2."/>
      <w:lvlJc w:val="left"/>
      <w:pPr>
        <w:tabs>
          <w:tab w:val="num" w:pos="1894"/>
        </w:tabs>
        <w:ind w:left="1894" w:hanging="360"/>
      </w:pPr>
    </w:lvl>
    <w:lvl w:ilvl="2" w:tplc="82186DBA" w:tentative="1">
      <w:start w:val="1"/>
      <w:numFmt w:val="lowerRoman"/>
      <w:lvlText w:val="%3."/>
      <w:lvlJc w:val="right"/>
      <w:pPr>
        <w:tabs>
          <w:tab w:val="num" w:pos="2614"/>
        </w:tabs>
        <w:ind w:left="2614" w:hanging="180"/>
      </w:pPr>
    </w:lvl>
    <w:lvl w:ilvl="3" w:tplc="16BA225E" w:tentative="1">
      <w:start w:val="1"/>
      <w:numFmt w:val="decimal"/>
      <w:lvlText w:val="%4."/>
      <w:lvlJc w:val="left"/>
      <w:pPr>
        <w:tabs>
          <w:tab w:val="num" w:pos="3334"/>
        </w:tabs>
        <w:ind w:left="3334" w:hanging="360"/>
      </w:pPr>
    </w:lvl>
    <w:lvl w:ilvl="4" w:tplc="DFD46554" w:tentative="1">
      <w:start w:val="1"/>
      <w:numFmt w:val="lowerLetter"/>
      <w:lvlText w:val="%5."/>
      <w:lvlJc w:val="left"/>
      <w:pPr>
        <w:tabs>
          <w:tab w:val="num" w:pos="4054"/>
        </w:tabs>
        <w:ind w:left="4054" w:hanging="360"/>
      </w:pPr>
    </w:lvl>
    <w:lvl w:ilvl="5" w:tplc="A0903D14" w:tentative="1">
      <w:start w:val="1"/>
      <w:numFmt w:val="lowerRoman"/>
      <w:lvlText w:val="%6."/>
      <w:lvlJc w:val="right"/>
      <w:pPr>
        <w:tabs>
          <w:tab w:val="num" w:pos="4774"/>
        </w:tabs>
        <w:ind w:left="4774" w:hanging="180"/>
      </w:pPr>
    </w:lvl>
    <w:lvl w:ilvl="6" w:tplc="A1945198" w:tentative="1">
      <w:start w:val="1"/>
      <w:numFmt w:val="decimal"/>
      <w:lvlText w:val="%7."/>
      <w:lvlJc w:val="left"/>
      <w:pPr>
        <w:tabs>
          <w:tab w:val="num" w:pos="5494"/>
        </w:tabs>
        <w:ind w:left="5494" w:hanging="360"/>
      </w:pPr>
    </w:lvl>
    <w:lvl w:ilvl="7" w:tplc="978678FA" w:tentative="1">
      <w:start w:val="1"/>
      <w:numFmt w:val="lowerLetter"/>
      <w:lvlText w:val="%8."/>
      <w:lvlJc w:val="left"/>
      <w:pPr>
        <w:tabs>
          <w:tab w:val="num" w:pos="6214"/>
        </w:tabs>
        <w:ind w:left="6214" w:hanging="360"/>
      </w:pPr>
    </w:lvl>
    <w:lvl w:ilvl="8" w:tplc="9BCA2370" w:tentative="1">
      <w:start w:val="1"/>
      <w:numFmt w:val="lowerRoman"/>
      <w:lvlText w:val="%9."/>
      <w:lvlJc w:val="right"/>
      <w:pPr>
        <w:tabs>
          <w:tab w:val="num" w:pos="6934"/>
        </w:tabs>
        <w:ind w:left="6934" w:hanging="180"/>
      </w:pPr>
    </w:lvl>
  </w:abstractNum>
  <w:abstractNum w:abstractNumId="22" w15:restartNumberingAfterBreak="0">
    <w:nsid w:val="27F52404"/>
    <w:multiLevelType w:val="hybridMultilevel"/>
    <w:tmpl w:val="CCE2B1BE"/>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991AF7"/>
    <w:multiLevelType w:val="multilevel"/>
    <w:tmpl w:val="BA000072"/>
    <w:lvl w:ilvl="0">
      <w:start w:val="1"/>
      <w:numFmt w:val="decimal"/>
      <w:lvlText w:val="%1"/>
      <w:lvlJc w:val="left"/>
      <w:pPr>
        <w:tabs>
          <w:tab w:val="num" w:pos="1032"/>
        </w:tabs>
        <w:ind w:left="1032" w:hanging="432"/>
      </w:pPr>
      <w:rPr>
        <w:rFonts w:hint="default"/>
      </w:rPr>
    </w:lvl>
    <w:lvl w:ilvl="1">
      <w:start w:val="1"/>
      <w:numFmt w:val="decimal"/>
      <w:lvlText w:val="%1.%2"/>
      <w:lvlJc w:val="left"/>
      <w:pPr>
        <w:tabs>
          <w:tab w:val="num" w:pos="6814"/>
        </w:tabs>
        <w:ind w:left="6814"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umberedHeading7"/>
      <w:lvlText w:val="%1.%2.%3.%4"/>
      <w:lvlJc w:val="left"/>
      <w:pPr>
        <w:tabs>
          <w:tab w:val="num" w:pos="864"/>
        </w:tabs>
        <w:ind w:left="864" w:hanging="864"/>
      </w:pPr>
      <w:rPr>
        <w:rFonts w:hint="default"/>
      </w:rPr>
    </w:lvl>
    <w:lvl w:ilvl="4">
      <w:start w:val="1"/>
      <w:numFmt w:val="decimal"/>
      <w:pStyle w:val="NumberedHeading8"/>
      <w:lvlText w:val="%1.%2.%3.%4.%5"/>
      <w:lvlJc w:val="left"/>
      <w:pPr>
        <w:tabs>
          <w:tab w:val="num" w:pos="1008"/>
        </w:tabs>
        <w:ind w:left="1008" w:hanging="1008"/>
      </w:pPr>
      <w:rPr>
        <w:rFonts w:hint="default"/>
      </w:rPr>
    </w:lvl>
    <w:lvl w:ilvl="5">
      <w:start w:val="1"/>
      <w:numFmt w:val="decimal"/>
      <w:pStyle w:val="NumberedHeading9"/>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2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150147"/>
    <w:multiLevelType w:val="hybridMultilevel"/>
    <w:tmpl w:val="3FB44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031C96"/>
    <w:multiLevelType w:val="hybridMultilevel"/>
    <w:tmpl w:val="AF34E9F6"/>
    <w:lvl w:ilvl="0" w:tplc="B0E012BA">
      <w:start w:val="1"/>
      <w:numFmt w:val="upperRoman"/>
      <w:pStyle w:val="Appendix"/>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B"/>
    <w:multiLevelType w:val="hybridMultilevel"/>
    <w:tmpl w:val="2EB4F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4" w15:restartNumberingAfterBreak="0">
    <w:nsid w:val="5C1A2484"/>
    <w:multiLevelType w:val="multilevel"/>
    <w:tmpl w:val="D40EC932"/>
    <w:lvl w:ilvl="0">
      <w:start w:val="1"/>
      <w:numFmt w:val="decimal"/>
      <w:pStyle w:val="Tabletitle"/>
      <w:lvlText w:val="Table %1:"/>
      <w:lvlJc w:val="left"/>
      <w:pPr>
        <w:tabs>
          <w:tab w:val="num" w:pos="1134"/>
        </w:tabs>
        <w:ind w:left="1134" w:hanging="1134"/>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7" w15:restartNumberingAfterBreak="0">
    <w:nsid w:val="6CF949E3"/>
    <w:multiLevelType w:val="hybridMultilevel"/>
    <w:tmpl w:val="9042AF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D7B5972"/>
    <w:multiLevelType w:val="hybridMultilevel"/>
    <w:tmpl w:val="B71AF67E"/>
    <w:lvl w:ilvl="0" w:tplc="8E0022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AF144A"/>
    <w:multiLevelType w:val="hybridMultilevel"/>
    <w:tmpl w:val="34609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62674A"/>
    <w:multiLevelType w:val="multilevel"/>
    <w:tmpl w:val="75EC7AB0"/>
    <w:lvl w:ilvl="0">
      <w:start w:val="1"/>
      <w:numFmt w:val="decimal"/>
      <w:pStyle w:val="AHN4"/>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4"/>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70331678">
    <w:abstractNumId w:val="25"/>
  </w:num>
  <w:num w:numId="2" w16cid:durableId="335302058">
    <w:abstractNumId w:val="14"/>
  </w:num>
  <w:num w:numId="3" w16cid:durableId="741297798">
    <w:abstractNumId w:val="25"/>
  </w:num>
  <w:num w:numId="4" w16cid:durableId="491216777">
    <w:abstractNumId w:val="26"/>
  </w:num>
  <w:num w:numId="5" w16cid:durableId="1143350196">
    <w:abstractNumId w:val="11"/>
  </w:num>
  <w:num w:numId="6" w16cid:durableId="507911398">
    <w:abstractNumId w:val="18"/>
  </w:num>
  <w:num w:numId="7" w16cid:durableId="195391456">
    <w:abstractNumId w:val="28"/>
  </w:num>
  <w:num w:numId="8" w16cid:durableId="394165628">
    <w:abstractNumId w:val="13"/>
  </w:num>
  <w:num w:numId="9" w16cid:durableId="1820418060">
    <w:abstractNumId w:val="16"/>
  </w:num>
  <w:num w:numId="10" w16cid:durableId="1741712467">
    <w:abstractNumId w:val="19"/>
    <w:lvlOverride w:ilvl="0">
      <w:startOverride w:val="1"/>
    </w:lvlOverride>
  </w:num>
  <w:num w:numId="11" w16cid:durableId="1357463648">
    <w:abstractNumId w:val="37"/>
  </w:num>
  <w:num w:numId="12" w16cid:durableId="717898615">
    <w:abstractNumId w:val="39"/>
  </w:num>
  <w:num w:numId="13" w16cid:durableId="1223248495">
    <w:abstractNumId w:val="29"/>
  </w:num>
  <w:num w:numId="14" w16cid:durableId="860585435">
    <w:abstractNumId w:val="32"/>
  </w:num>
  <w:num w:numId="15" w16cid:durableId="1677993948">
    <w:abstractNumId w:val="40"/>
  </w:num>
  <w:num w:numId="16" w16cid:durableId="451822193">
    <w:abstractNumId w:val="24"/>
  </w:num>
  <w:num w:numId="17" w16cid:durableId="688679417">
    <w:abstractNumId w:val="34"/>
  </w:num>
  <w:num w:numId="18" w16cid:durableId="1265766699">
    <w:abstractNumId w:val="21"/>
  </w:num>
  <w:num w:numId="19" w16cid:durableId="1066732072">
    <w:abstractNumId w:val="30"/>
  </w:num>
  <w:num w:numId="20" w16cid:durableId="1320034597">
    <w:abstractNumId w:val="38"/>
  </w:num>
  <w:num w:numId="21" w16cid:durableId="2141799927">
    <w:abstractNumId w:val="31"/>
  </w:num>
  <w:num w:numId="22" w16cid:durableId="1776054780">
    <w:abstractNumId w:val="22"/>
  </w:num>
  <w:num w:numId="23" w16cid:durableId="169874366">
    <w:abstractNumId w:val="17"/>
  </w:num>
  <w:num w:numId="24" w16cid:durableId="1092895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602108">
    <w:abstractNumId w:val="12"/>
  </w:num>
  <w:num w:numId="26" w16cid:durableId="1403287990">
    <w:abstractNumId w:val="10"/>
  </w:num>
  <w:num w:numId="27" w16cid:durableId="595360487">
    <w:abstractNumId w:val="33"/>
  </w:num>
  <w:num w:numId="28" w16cid:durableId="168184807">
    <w:abstractNumId w:val="27"/>
  </w:num>
  <w:num w:numId="29" w16cid:durableId="1458797406">
    <w:abstractNumId w:val="23"/>
  </w:num>
  <w:num w:numId="30" w16cid:durableId="209610050">
    <w:abstractNumId w:val="36"/>
  </w:num>
  <w:num w:numId="31" w16cid:durableId="6300715">
    <w:abstractNumId w:val="15"/>
  </w:num>
  <w:num w:numId="32" w16cid:durableId="1042751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7133774">
    <w:abstractNumId w:val="9"/>
  </w:num>
  <w:num w:numId="34" w16cid:durableId="389156344">
    <w:abstractNumId w:val="7"/>
  </w:num>
  <w:num w:numId="35" w16cid:durableId="1847551268">
    <w:abstractNumId w:val="6"/>
  </w:num>
  <w:num w:numId="36" w16cid:durableId="88477859">
    <w:abstractNumId w:val="5"/>
  </w:num>
  <w:num w:numId="37" w16cid:durableId="1513258771">
    <w:abstractNumId w:val="4"/>
  </w:num>
  <w:num w:numId="38" w16cid:durableId="881287777">
    <w:abstractNumId w:val="8"/>
  </w:num>
  <w:num w:numId="39" w16cid:durableId="1913268409">
    <w:abstractNumId w:val="3"/>
  </w:num>
  <w:num w:numId="40" w16cid:durableId="1870416234">
    <w:abstractNumId w:val="2"/>
  </w:num>
  <w:num w:numId="41" w16cid:durableId="981926333">
    <w:abstractNumId w:val="1"/>
  </w:num>
  <w:num w:numId="42" w16cid:durableId="2079667576">
    <w:abstractNumId w:val="0"/>
  </w:num>
  <w:num w:numId="43" w16cid:durableId="1259558567">
    <w:abstractNumId w:val="20"/>
    <w:lvlOverride w:ilvl="0">
      <w:startOverride w:val="1"/>
    </w:lvlOverride>
    <w:lvlOverride w:ilvl="1"/>
    <w:lvlOverride w:ilvl="2"/>
    <w:lvlOverride w:ilvl="3"/>
    <w:lvlOverride w:ilvl="4"/>
    <w:lvlOverride w:ilvl="5"/>
    <w:lvlOverride w:ilvl="6"/>
    <w:lvlOverride w:ilvl="7"/>
    <w:lvlOverride w:ilvl="8"/>
  </w:num>
  <w:num w:numId="44" w16cid:durableId="1220097315">
    <w:abstractNumId w:val="20"/>
  </w:num>
  <w:num w:numId="45" w16cid:durableId="646785712">
    <w:abstractNumId w:val="35"/>
  </w:num>
  <w:num w:numId="46" w16cid:durableId="132489435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45E1"/>
    <w:rsid w:val="00000515"/>
    <w:rsid w:val="00000D7A"/>
    <w:rsid w:val="000023DB"/>
    <w:rsid w:val="00002469"/>
    <w:rsid w:val="00002AB8"/>
    <w:rsid w:val="000038C8"/>
    <w:rsid w:val="00004F9C"/>
    <w:rsid w:val="000065DB"/>
    <w:rsid w:val="000077F3"/>
    <w:rsid w:val="00007B11"/>
    <w:rsid w:val="000110FD"/>
    <w:rsid w:val="00013730"/>
    <w:rsid w:val="00013D43"/>
    <w:rsid w:val="000140FD"/>
    <w:rsid w:val="00014D65"/>
    <w:rsid w:val="00015F03"/>
    <w:rsid w:val="00016039"/>
    <w:rsid w:val="00017276"/>
    <w:rsid w:val="000179FF"/>
    <w:rsid w:val="00021420"/>
    <w:rsid w:val="00025051"/>
    <w:rsid w:val="00025B80"/>
    <w:rsid w:val="0003063F"/>
    <w:rsid w:val="00031B91"/>
    <w:rsid w:val="00034D77"/>
    <w:rsid w:val="00035302"/>
    <w:rsid w:val="00037C8E"/>
    <w:rsid w:val="000417AF"/>
    <w:rsid w:val="00041894"/>
    <w:rsid w:val="00045435"/>
    <w:rsid w:val="0004551E"/>
    <w:rsid w:val="00045AFF"/>
    <w:rsid w:val="00046286"/>
    <w:rsid w:val="000462E3"/>
    <w:rsid w:val="0004663B"/>
    <w:rsid w:val="00047F46"/>
    <w:rsid w:val="00051339"/>
    <w:rsid w:val="0005297C"/>
    <w:rsid w:val="000536D7"/>
    <w:rsid w:val="00053FC3"/>
    <w:rsid w:val="00054058"/>
    <w:rsid w:val="00060E3B"/>
    <w:rsid w:val="0006168F"/>
    <w:rsid w:val="00062CCE"/>
    <w:rsid w:val="000633FC"/>
    <w:rsid w:val="00064EE1"/>
    <w:rsid w:val="00067828"/>
    <w:rsid w:val="00067C1D"/>
    <w:rsid w:val="00067F71"/>
    <w:rsid w:val="00070ACC"/>
    <w:rsid w:val="00070B2C"/>
    <w:rsid w:val="00072488"/>
    <w:rsid w:val="000742AA"/>
    <w:rsid w:val="000765C1"/>
    <w:rsid w:val="00076A5A"/>
    <w:rsid w:val="00077CED"/>
    <w:rsid w:val="000813F5"/>
    <w:rsid w:val="000827CB"/>
    <w:rsid w:val="00082FB4"/>
    <w:rsid w:val="0008350E"/>
    <w:rsid w:val="0008433F"/>
    <w:rsid w:val="00084A9C"/>
    <w:rsid w:val="00086C13"/>
    <w:rsid w:val="000879F2"/>
    <w:rsid w:val="00090FA5"/>
    <w:rsid w:val="00091E19"/>
    <w:rsid w:val="000943AE"/>
    <w:rsid w:val="00094940"/>
    <w:rsid w:val="00095944"/>
    <w:rsid w:val="00095DFD"/>
    <w:rsid w:val="000960D4"/>
    <w:rsid w:val="00096163"/>
    <w:rsid w:val="00096184"/>
    <w:rsid w:val="00097F1D"/>
    <w:rsid w:val="000A12C7"/>
    <w:rsid w:val="000A230B"/>
    <w:rsid w:val="000A4915"/>
    <w:rsid w:val="000A5235"/>
    <w:rsid w:val="000A53EB"/>
    <w:rsid w:val="000A549F"/>
    <w:rsid w:val="000A6643"/>
    <w:rsid w:val="000A7311"/>
    <w:rsid w:val="000A7EF6"/>
    <w:rsid w:val="000B2E54"/>
    <w:rsid w:val="000B45CC"/>
    <w:rsid w:val="000B59FA"/>
    <w:rsid w:val="000B793A"/>
    <w:rsid w:val="000B7D94"/>
    <w:rsid w:val="000C2A30"/>
    <w:rsid w:val="000C2C1B"/>
    <w:rsid w:val="000C6816"/>
    <w:rsid w:val="000C70BE"/>
    <w:rsid w:val="000C7388"/>
    <w:rsid w:val="000D045A"/>
    <w:rsid w:val="000D1FA3"/>
    <w:rsid w:val="000D2C95"/>
    <w:rsid w:val="000D3353"/>
    <w:rsid w:val="000D48ED"/>
    <w:rsid w:val="000D49ED"/>
    <w:rsid w:val="000D568A"/>
    <w:rsid w:val="000D647D"/>
    <w:rsid w:val="000D7018"/>
    <w:rsid w:val="000D7193"/>
    <w:rsid w:val="000D7E6F"/>
    <w:rsid w:val="000E0A80"/>
    <w:rsid w:val="000E2377"/>
    <w:rsid w:val="000E2722"/>
    <w:rsid w:val="000E2E45"/>
    <w:rsid w:val="000E372E"/>
    <w:rsid w:val="000E397F"/>
    <w:rsid w:val="000E55E7"/>
    <w:rsid w:val="000E5F6C"/>
    <w:rsid w:val="000E68CC"/>
    <w:rsid w:val="000E760A"/>
    <w:rsid w:val="000E77BF"/>
    <w:rsid w:val="000F0031"/>
    <w:rsid w:val="000F1B5E"/>
    <w:rsid w:val="000F35B2"/>
    <w:rsid w:val="000F3998"/>
    <w:rsid w:val="000F48E3"/>
    <w:rsid w:val="00100DF7"/>
    <w:rsid w:val="00101A2E"/>
    <w:rsid w:val="001040B2"/>
    <w:rsid w:val="0010582A"/>
    <w:rsid w:val="0010643F"/>
    <w:rsid w:val="00107013"/>
    <w:rsid w:val="00110279"/>
    <w:rsid w:val="001140CA"/>
    <w:rsid w:val="0011452A"/>
    <w:rsid w:val="00114674"/>
    <w:rsid w:val="001148AE"/>
    <w:rsid w:val="001157BA"/>
    <w:rsid w:val="00115810"/>
    <w:rsid w:val="0011740A"/>
    <w:rsid w:val="00120A3E"/>
    <w:rsid w:val="00120E00"/>
    <w:rsid w:val="00120FCD"/>
    <w:rsid w:val="001211F7"/>
    <w:rsid w:val="0012271A"/>
    <w:rsid w:val="0012318E"/>
    <w:rsid w:val="00123D64"/>
    <w:rsid w:val="00127683"/>
    <w:rsid w:val="0013049F"/>
    <w:rsid w:val="00132A6D"/>
    <w:rsid w:val="00134770"/>
    <w:rsid w:val="001374F5"/>
    <w:rsid w:val="00137A1A"/>
    <w:rsid w:val="00140A91"/>
    <w:rsid w:val="00140D73"/>
    <w:rsid w:val="0014151B"/>
    <w:rsid w:val="001425A4"/>
    <w:rsid w:val="00145841"/>
    <w:rsid w:val="001465E1"/>
    <w:rsid w:val="00146F51"/>
    <w:rsid w:val="001477C1"/>
    <w:rsid w:val="001518DD"/>
    <w:rsid w:val="001531A7"/>
    <w:rsid w:val="001534D8"/>
    <w:rsid w:val="00155036"/>
    <w:rsid w:val="001553FF"/>
    <w:rsid w:val="00155BE5"/>
    <w:rsid w:val="0015608C"/>
    <w:rsid w:val="0015710A"/>
    <w:rsid w:val="00161F55"/>
    <w:rsid w:val="00163D32"/>
    <w:rsid w:val="0016448A"/>
    <w:rsid w:val="0016566A"/>
    <w:rsid w:val="001666F0"/>
    <w:rsid w:val="00166FFC"/>
    <w:rsid w:val="00167BB3"/>
    <w:rsid w:val="001706CE"/>
    <w:rsid w:val="00170A40"/>
    <w:rsid w:val="00170B8D"/>
    <w:rsid w:val="00173660"/>
    <w:rsid w:val="00173C04"/>
    <w:rsid w:val="00174074"/>
    <w:rsid w:val="00174E15"/>
    <w:rsid w:val="00177835"/>
    <w:rsid w:val="0018384A"/>
    <w:rsid w:val="00184190"/>
    <w:rsid w:val="001860B5"/>
    <w:rsid w:val="00186B5F"/>
    <w:rsid w:val="001903AE"/>
    <w:rsid w:val="00191D1D"/>
    <w:rsid w:val="001925C1"/>
    <w:rsid w:val="00193533"/>
    <w:rsid w:val="0019532C"/>
    <w:rsid w:val="001A00B1"/>
    <w:rsid w:val="001A05A2"/>
    <w:rsid w:val="001A33A0"/>
    <w:rsid w:val="001A39DF"/>
    <w:rsid w:val="001A5A48"/>
    <w:rsid w:val="001A6022"/>
    <w:rsid w:val="001A679F"/>
    <w:rsid w:val="001B2636"/>
    <w:rsid w:val="001B2A4A"/>
    <w:rsid w:val="001B2D62"/>
    <w:rsid w:val="001B335C"/>
    <w:rsid w:val="001B4CBC"/>
    <w:rsid w:val="001B7EF5"/>
    <w:rsid w:val="001C0537"/>
    <w:rsid w:val="001C08A6"/>
    <w:rsid w:val="001C1AEE"/>
    <w:rsid w:val="001C1DCA"/>
    <w:rsid w:val="001C31CD"/>
    <w:rsid w:val="001C507B"/>
    <w:rsid w:val="001C5CCB"/>
    <w:rsid w:val="001C6607"/>
    <w:rsid w:val="001C732B"/>
    <w:rsid w:val="001D1C1A"/>
    <w:rsid w:val="001D1CAE"/>
    <w:rsid w:val="001D282A"/>
    <w:rsid w:val="001D3257"/>
    <w:rsid w:val="001D3278"/>
    <w:rsid w:val="001D375C"/>
    <w:rsid w:val="001D6729"/>
    <w:rsid w:val="001D6BEE"/>
    <w:rsid w:val="001D6FAC"/>
    <w:rsid w:val="001D79CE"/>
    <w:rsid w:val="001E1B56"/>
    <w:rsid w:val="001E2F3F"/>
    <w:rsid w:val="001E389E"/>
    <w:rsid w:val="001E434D"/>
    <w:rsid w:val="001E5086"/>
    <w:rsid w:val="001E66B1"/>
    <w:rsid w:val="001F1D86"/>
    <w:rsid w:val="001F2FFD"/>
    <w:rsid w:val="001F391A"/>
    <w:rsid w:val="001F6089"/>
    <w:rsid w:val="00202033"/>
    <w:rsid w:val="002026D4"/>
    <w:rsid w:val="00202E0F"/>
    <w:rsid w:val="00206604"/>
    <w:rsid w:val="00207FEB"/>
    <w:rsid w:val="002116A4"/>
    <w:rsid w:val="00211967"/>
    <w:rsid w:val="00211997"/>
    <w:rsid w:val="00212F19"/>
    <w:rsid w:val="0021531C"/>
    <w:rsid w:val="00217162"/>
    <w:rsid w:val="002225CC"/>
    <w:rsid w:val="00222BC3"/>
    <w:rsid w:val="00222E0B"/>
    <w:rsid w:val="0022367F"/>
    <w:rsid w:val="00224CC2"/>
    <w:rsid w:val="00224D22"/>
    <w:rsid w:val="00225811"/>
    <w:rsid w:val="00232980"/>
    <w:rsid w:val="00233B5C"/>
    <w:rsid w:val="002345BB"/>
    <w:rsid w:val="00234777"/>
    <w:rsid w:val="00234CC4"/>
    <w:rsid w:val="0023502E"/>
    <w:rsid w:val="002368EE"/>
    <w:rsid w:val="00237F04"/>
    <w:rsid w:val="00240E9A"/>
    <w:rsid w:val="00244376"/>
    <w:rsid w:val="00245444"/>
    <w:rsid w:val="00247DE6"/>
    <w:rsid w:val="00251F07"/>
    <w:rsid w:val="00252261"/>
    <w:rsid w:val="0025336D"/>
    <w:rsid w:val="0025418F"/>
    <w:rsid w:val="00254728"/>
    <w:rsid w:val="0025501C"/>
    <w:rsid w:val="00255682"/>
    <w:rsid w:val="00257F8D"/>
    <w:rsid w:val="00261F1C"/>
    <w:rsid w:val="0026372E"/>
    <w:rsid w:val="00263DCB"/>
    <w:rsid w:val="0026493F"/>
    <w:rsid w:val="00264DDF"/>
    <w:rsid w:val="0026666F"/>
    <w:rsid w:val="0026679D"/>
    <w:rsid w:val="00266D70"/>
    <w:rsid w:val="00272DCD"/>
    <w:rsid w:val="0027314F"/>
    <w:rsid w:val="00274AD8"/>
    <w:rsid w:val="00274B73"/>
    <w:rsid w:val="002757AF"/>
    <w:rsid w:val="00275E9C"/>
    <w:rsid w:val="00275EDF"/>
    <w:rsid w:val="00276610"/>
    <w:rsid w:val="00280720"/>
    <w:rsid w:val="00282A32"/>
    <w:rsid w:val="00283186"/>
    <w:rsid w:val="00283582"/>
    <w:rsid w:val="002844F9"/>
    <w:rsid w:val="00285E27"/>
    <w:rsid w:val="00287F33"/>
    <w:rsid w:val="002916B8"/>
    <w:rsid w:val="00291F78"/>
    <w:rsid w:val="00292887"/>
    <w:rsid w:val="002946C5"/>
    <w:rsid w:val="00294CD3"/>
    <w:rsid w:val="00294F49"/>
    <w:rsid w:val="00296F32"/>
    <w:rsid w:val="002A2332"/>
    <w:rsid w:val="002A2842"/>
    <w:rsid w:val="002A3239"/>
    <w:rsid w:val="002A394F"/>
    <w:rsid w:val="002A5926"/>
    <w:rsid w:val="002A69DD"/>
    <w:rsid w:val="002A7A06"/>
    <w:rsid w:val="002B07E9"/>
    <w:rsid w:val="002B1568"/>
    <w:rsid w:val="002B174D"/>
    <w:rsid w:val="002B1A69"/>
    <w:rsid w:val="002B1F97"/>
    <w:rsid w:val="002B280E"/>
    <w:rsid w:val="002B2BB3"/>
    <w:rsid w:val="002B5703"/>
    <w:rsid w:val="002B576D"/>
    <w:rsid w:val="002B6758"/>
    <w:rsid w:val="002B6D1A"/>
    <w:rsid w:val="002B71D6"/>
    <w:rsid w:val="002C0328"/>
    <w:rsid w:val="002C1082"/>
    <w:rsid w:val="002C4FD2"/>
    <w:rsid w:val="002C5C14"/>
    <w:rsid w:val="002C7B8E"/>
    <w:rsid w:val="002D20CE"/>
    <w:rsid w:val="002D318A"/>
    <w:rsid w:val="002D398D"/>
    <w:rsid w:val="002D71CE"/>
    <w:rsid w:val="002D7223"/>
    <w:rsid w:val="002D7779"/>
    <w:rsid w:val="002D7DBF"/>
    <w:rsid w:val="002E1ACD"/>
    <w:rsid w:val="002E20AC"/>
    <w:rsid w:val="002E2944"/>
    <w:rsid w:val="002E2C30"/>
    <w:rsid w:val="002E3039"/>
    <w:rsid w:val="002E63B3"/>
    <w:rsid w:val="002E66D5"/>
    <w:rsid w:val="002E69C2"/>
    <w:rsid w:val="002F0935"/>
    <w:rsid w:val="002F1FAB"/>
    <w:rsid w:val="002F3CB6"/>
    <w:rsid w:val="002F4591"/>
    <w:rsid w:val="002F490B"/>
    <w:rsid w:val="002F4E7D"/>
    <w:rsid w:val="002F588B"/>
    <w:rsid w:val="002F5CDC"/>
    <w:rsid w:val="002F625F"/>
    <w:rsid w:val="0030255E"/>
    <w:rsid w:val="00304C8E"/>
    <w:rsid w:val="00305087"/>
    <w:rsid w:val="00305A1A"/>
    <w:rsid w:val="003062B4"/>
    <w:rsid w:val="00306EBA"/>
    <w:rsid w:val="0030755C"/>
    <w:rsid w:val="00310C90"/>
    <w:rsid w:val="00310D09"/>
    <w:rsid w:val="003120C3"/>
    <w:rsid w:val="00313304"/>
    <w:rsid w:val="003143AC"/>
    <w:rsid w:val="0031487D"/>
    <w:rsid w:val="00314CB0"/>
    <w:rsid w:val="00317566"/>
    <w:rsid w:val="003208D8"/>
    <w:rsid w:val="00322B38"/>
    <w:rsid w:val="00326176"/>
    <w:rsid w:val="00327FC1"/>
    <w:rsid w:val="00330073"/>
    <w:rsid w:val="003301AB"/>
    <w:rsid w:val="00331E60"/>
    <w:rsid w:val="00332005"/>
    <w:rsid w:val="0033298E"/>
    <w:rsid w:val="00332991"/>
    <w:rsid w:val="00334C02"/>
    <w:rsid w:val="00334D2D"/>
    <w:rsid w:val="0034316B"/>
    <w:rsid w:val="00343B23"/>
    <w:rsid w:val="00344A55"/>
    <w:rsid w:val="00344F46"/>
    <w:rsid w:val="00346134"/>
    <w:rsid w:val="00346B2F"/>
    <w:rsid w:val="00347883"/>
    <w:rsid w:val="003506C5"/>
    <w:rsid w:val="003507F7"/>
    <w:rsid w:val="00350894"/>
    <w:rsid w:val="00350B9F"/>
    <w:rsid w:val="0035150F"/>
    <w:rsid w:val="00352D2E"/>
    <w:rsid w:val="00353455"/>
    <w:rsid w:val="003557CC"/>
    <w:rsid w:val="00355D83"/>
    <w:rsid w:val="00360A09"/>
    <w:rsid w:val="00370E81"/>
    <w:rsid w:val="00371C5D"/>
    <w:rsid w:val="00373D17"/>
    <w:rsid w:val="00375926"/>
    <w:rsid w:val="00375BCD"/>
    <w:rsid w:val="0037769C"/>
    <w:rsid w:val="00377FE8"/>
    <w:rsid w:val="00380B1B"/>
    <w:rsid w:val="00381036"/>
    <w:rsid w:val="0038104D"/>
    <w:rsid w:val="00381544"/>
    <w:rsid w:val="00382425"/>
    <w:rsid w:val="00384433"/>
    <w:rsid w:val="00385BBE"/>
    <w:rsid w:val="0038663C"/>
    <w:rsid w:val="003870CA"/>
    <w:rsid w:val="00387EE5"/>
    <w:rsid w:val="00390AA3"/>
    <w:rsid w:val="003916E7"/>
    <w:rsid w:val="00391CDC"/>
    <w:rsid w:val="003924C2"/>
    <w:rsid w:val="00393E2F"/>
    <w:rsid w:val="0039419B"/>
    <w:rsid w:val="003955FB"/>
    <w:rsid w:val="0039593C"/>
    <w:rsid w:val="00395AED"/>
    <w:rsid w:val="00395D7D"/>
    <w:rsid w:val="00397CA1"/>
    <w:rsid w:val="003A30D0"/>
    <w:rsid w:val="003A558F"/>
    <w:rsid w:val="003A5B27"/>
    <w:rsid w:val="003B0D6B"/>
    <w:rsid w:val="003B1C63"/>
    <w:rsid w:val="003B316D"/>
    <w:rsid w:val="003B79D2"/>
    <w:rsid w:val="003C05C6"/>
    <w:rsid w:val="003C0891"/>
    <w:rsid w:val="003C14B7"/>
    <w:rsid w:val="003C1FC8"/>
    <w:rsid w:val="003C297B"/>
    <w:rsid w:val="003C4181"/>
    <w:rsid w:val="003C5A92"/>
    <w:rsid w:val="003C5AD8"/>
    <w:rsid w:val="003C6114"/>
    <w:rsid w:val="003C6BF1"/>
    <w:rsid w:val="003C7322"/>
    <w:rsid w:val="003D088B"/>
    <w:rsid w:val="003D0E11"/>
    <w:rsid w:val="003D4534"/>
    <w:rsid w:val="003D51C1"/>
    <w:rsid w:val="003D5C03"/>
    <w:rsid w:val="003E0157"/>
    <w:rsid w:val="003E0ADD"/>
    <w:rsid w:val="003E2C38"/>
    <w:rsid w:val="003E3207"/>
    <w:rsid w:val="003E328E"/>
    <w:rsid w:val="003E3F53"/>
    <w:rsid w:val="003E5234"/>
    <w:rsid w:val="003F1F79"/>
    <w:rsid w:val="003F23AB"/>
    <w:rsid w:val="003F537D"/>
    <w:rsid w:val="003F53C5"/>
    <w:rsid w:val="003F639C"/>
    <w:rsid w:val="00400261"/>
    <w:rsid w:val="004070E1"/>
    <w:rsid w:val="00407F13"/>
    <w:rsid w:val="00410188"/>
    <w:rsid w:val="0041228F"/>
    <w:rsid w:val="00412703"/>
    <w:rsid w:val="00412A70"/>
    <w:rsid w:val="0041383B"/>
    <w:rsid w:val="0041559F"/>
    <w:rsid w:val="00417063"/>
    <w:rsid w:val="00417EB7"/>
    <w:rsid w:val="004203FB"/>
    <w:rsid w:val="00421640"/>
    <w:rsid w:val="004231E7"/>
    <w:rsid w:val="00423536"/>
    <w:rsid w:val="00424E27"/>
    <w:rsid w:val="00425681"/>
    <w:rsid w:val="00430E81"/>
    <w:rsid w:val="0043262D"/>
    <w:rsid w:val="00433888"/>
    <w:rsid w:val="004338AA"/>
    <w:rsid w:val="00437A80"/>
    <w:rsid w:val="00437C18"/>
    <w:rsid w:val="00443CC8"/>
    <w:rsid w:val="00444045"/>
    <w:rsid w:val="0044479F"/>
    <w:rsid w:val="00444FF1"/>
    <w:rsid w:val="00446FEA"/>
    <w:rsid w:val="00447FFA"/>
    <w:rsid w:val="00451028"/>
    <w:rsid w:val="0045212C"/>
    <w:rsid w:val="00452764"/>
    <w:rsid w:val="004537A0"/>
    <w:rsid w:val="00453930"/>
    <w:rsid w:val="00454599"/>
    <w:rsid w:val="0045515D"/>
    <w:rsid w:val="004616C8"/>
    <w:rsid w:val="00461D26"/>
    <w:rsid w:val="00464A59"/>
    <w:rsid w:val="00464B16"/>
    <w:rsid w:val="00464E33"/>
    <w:rsid w:val="00466416"/>
    <w:rsid w:val="00467453"/>
    <w:rsid w:val="00470304"/>
    <w:rsid w:val="00471378"/>
    <w:rsid w:val="00473575"/>
    <w:rsid w:val="0047571D"/>
    <w:rsid w:val="00475A69"/>
    <w:rsid w:val="00475F6D"/>
    <w:rsid w:val="004769E2"/>
    <w:rsid w:val="004774E2"/>
    <w:rsid w:val="00482C18"/>
    <w:rsid w:val="00483545"/>
    <w:rsid w:val="0048484D"/>
    <w:rsid w:val="00484AB7"/>
    <w:rsid w:val="00484CAD"/>
    <w:rsid w:val="004857D8"/>
    <w:rsid w:val="004865BB"/>
    <w:rsid w:val="00490D67"/>
    <w:rsid w:val="00491573"/>
    <w:rsid w:val="00491ABA"/>
    <w:rsid w:val="00493AD9"/>
    <w:rsid w:val="0049603E"/>
    <w:rsid w:val="00496172"/>
    <w:rsid w:val="004A1688"/>
    <w:rsid w:val="004A338F"/>
    <w:rsid w:val="004A43AF"/>
    <w:rsid w:val="004A4435"/>
    <w:rsid w:val="004A5F81"/>
    <w:rsid w:val="004A6403"/>
    <w:rsid w:val="004B0AD7"/>
    <w:rsid w:val="004B39D4"/>
    <w:rsid w:val="004B6B79"/>
    <w:rsid w:val="004B79F5"/>
    <w:rsid w:val="004B7D47"/>
    <w:rsid w:val="004C11EF"/>
    <w:rsid w:val="004C1210"/>
    <w:rsid w:val="004C12D1"/>
    <w:rsid w:val="004C1FCD"/>
    <w:rsid w:val="004C25AF"/>
    <w:rsid w:val="004C2BF0"/>
    <w:rsid w:val="004C32BF"/>
    <w:rsid w:val="004C3535"/>
    <w:rsid w:val="004C3D89"/>
    <w:rsid w:val="004C4442"/>
    <w:rsid w:val="004C495B"/>
    <w:rsid w:val="004C54B5"/>
    <w:rsid w:val="004C5820"/>
    <w:rsid w:val="004C6B6D"/>
    <w:rsid w:val="004D01A1"/>
    <w:rsid w:val="004D2C4F"/>
    <w:rsid w:val="004D3A0E"/>
    <w:rsid w:val="004D5EC8"/>
    <w:rsid w:val="004D5F6B"/>
    <w:rsid w:val="004D7DAA"/>
    <w:rsid w:val="004E0379"/>
    <w:rsid w:val="004E21DB"/>
    <w:rsid w:val="004E22AA"/>
    <w:rsid w:val="004E377B"/>
    <w:rsid w:val="004E605B"/>
    <w:rsid w:val="004F064F"/>
    <w:rsid w:val="004F075B"/>
    <w:rsid w:val="004F204A"/>
    <w:rsid w:val="004F545A"/>
    <w:rsid w:val="004F7DCE"/>
    <w:rsid w:val="005004B0"/>
    <w:rsid w:val="00500E98"/>
    <w:rsid w:val="00500FAC"/>
    <w:rsid w:val="00502F10"/>
    <w:rsid w:val="005064D5"/>
    <w:rsid w:val="00506DE2"/>
    <w:rsid w:val="00513EDF"/>
    <w:rsid w:val="00514EF5"/>
    <w:rsid w:val="00515F30"/>
    <w:rsid w:val="00516C19"/>
    <w:rsid w:val="00516C5D"/>
    <w:rsid w:val="00516D36"/>
    <w:rsid w:val="00520963"/>
    <w:rsid w:val="00522C9A"/>
    <w:rsid w:val="00522E27"/>
    <w:rsid w:val="00525349"/>
    <w:rsid w:val="005270E3"/>
    <w:rsid w:val="0053211A"/>
    <w:rsid w:val="0053667C"/>
    <w:rsid w:val="00537511"/>
    <w:rsid w:val="00537C0B"/>
    <w:rsid w:val="005418C6"/>
    <w:rsid w:val="005436A5"/>
    <w:rsid w:val="005457B8"/>
    <w:rsid w:val="00547F35"/>
    <w:rsid w:val="005514C9"/>
    <w:rsid w:val="005527B9"/>
    <w:rsid w:val="005548E6"/>
    <w:rsid w:val="005548EB"/>
    <w:rsid w:val="00555577"/>
    <w:rsid w:val="00556804"/>
    <w:rsid w:val="00557050"/>
    <w:rsid w:val="005575C0"/>
    <w:rsid w:val="00557AB1"/>
    <w:rsid w:val="00560E83"/>
    <w:rsid w:val="00561585"/>
    <w:rsid w:val="00561A87"/>
    <w:rsid w:val="005622DC"/>
    <w:rsid w:val="00563297"/>
    <w:rsid w:val="0056374C"/>
    <w:rsid w:val="00565F5E"/>
    <w:rsid w:val="00566590"/>
    <w:rsid w:val="00566EC6"/>
    <w:rsid w:val="00571923"/>
    <w:rsid w:val="00572131"/>
    <w:rsid w:val="00572A0C"/>
    <w:rsid w:val="00572D44"/>
    <w:rsid w:val="00574571"/>
    <w:rsid w:val="0058187D"/>
    <w:rsid w:val="0058343F"/>
    <w:rsid w:val="005859E5"/>
    <w:rsid w:val="005926CC"/>
    <w:rsid w:val="00592DEC"/>
    <w:rsid w:val="00594AEE"/>
    <w:rsid w:val="0059513C"/>
    <w:rsid w:val="00596762"/>
    <w:rsid w:val="005974EC"/>
    <w:rsid w:val="005A202C"/>
    <w:rsid w:val="005A2D27"/>
    <w:rsid w:val="005A361E"/>
    <w:rsid w:val="005A3D43"/>
    <w:rsid w:val="005A411F"/>
    <w:rsid w:val="005A445B"/>
    <w:rsid w:val="005A44C3"/>
    <w:rsid w:val="005A5492"/>
    <w:rsid w:val="005A7099"/>
    <w:rsid w:val="005A7D5A"/>
    <w:rsid w:val="005A7EA4"/>
    <w:rsid w:val="005B0815"/>
    <w:rsid w:val="005B1586"/>
    <w:rsid w:val="005B2450"/>
    <w:rsid w:val="005B7DDF"/>
    <w:rsid w:val="005C10CD"/>
    <w:rsid w:val="005C3E85"/>
    <w:rsid w:val="005C704A"/>
    <w:rsid w:val="005C7101"/>
    <w:rsid w:val="005D1A47"/>
    <w:rsid w:val="005D2DBE"/>
    <w:rsid w:val="005D3B2B"/>
    <w:rsid w:val="005D47C8"/>
    <w:rsid w:val="005D563C"/>
    <w:rsid w:val="005D5E56"/>
    <w:rsid w:val="005D65C0"/>
    <w:rsid w:val="005D6DA0"/>
    <w:rsid w:val="005D72F3"/>
    <w:rsid w:val="005E214C"/>
    <w:rsid w:val="005E27C8"/>
    <w:rsid w:val="005E5A0D"/>
    <w:rsid w:val="005F04FD"/>
    <w:rsid w:val="005F448F"/>
    <w:rsid w:val="005F44E5"/>
    <w:rsid w:val="005F54F2"/>
    <w:rsid w:val="005F6DD5"/>
    <w:rsid w:val="005F6FFB"/>
    <w:rsid w:val="005F703E"/>
    <w:rsid w:val="005F7D54"/>
    <w:rsid w:val="00600B76"/>
    <w:rsid w:val="00602535"/>
    <w:rsid w:val="0060520D"/>
    <w:rsid w:val="006110AE"/>
    <w:rsid w:val="00611E3D"/>
    <w:rsid w:val="006120C5"/>
    <w:rsid w:val="00612356"/>
    <w:rsid w:val="006125C7"/>
    <w:rsid w:val="00612638"/>
    <w:rsid w:val="00613942"/>
    <w:rsid w:val="00615548"/>
    <w:rsid w:val="00616236"/>
    <w:rsid w:val="006209C4"/>
    <w:rsid w:val="00620BE6"/>
    <w:rsid w:val="0062181D"/>
    <w:rsid w:val="00621D3B"/>
    <w:rsid w:val="00622543"/>
    <w:rsid w:val="00622CF7"/>
    <w:rsid w:val="00623952"/>
    <w:rsid w:val="0062466B"/>
    <w:rsid w:val="0062653F"/>
    <w:rsid w:val="0062698D"/>
    <w:rsid w:val="00626AB9"/>
    <w:rsid w:val="006301BE"/>
    <w:rsid w:val="00630EA5"/>
    <w:rsid w:val="00634BFC"/>
    <w:rsid w:val="006356C4"/>
    <w:rsid w:val="00641263"/>
    <w:rsid w:val="00642C81"/>
    <w:rsid w:val="00643052"/>
    <w:rsid w:val="00643534"/>
    <w:rsid w:val="006436C4"/>
    <w:rsid w:val="00643B90"/>
    <w:rsid w:val="00644988"/>
    <w:rsid w:val="00644FE9"/>
    <w:rsid w:val="0064579C"/>
    <w:rsid w:val="00645BB2"/>
    <w:rsid w:val="00650447"/>
    <w:rsid w:val="006509C2"/>
    <w:rsid w:val="00657A28"/>
    <w:rsid w:val="00661253"/>
    <w:rsid w:val="00661945"/>
    <w:rsid w:val="0066589F"/>
    <w:rsid w:val="00667EDC"/>
    <w:rsid w:val="0067072B"/>
    <w:rsid w:val="00670D4A"/>
    <w:rsid w:val="006725AC"/>
    <w:rsid w:val="00673862"/>
    <w:rsid w:val="00680BCF"/>
    <w:rsid w:val="00680ED5"/>
    <w:rsid w:val="00681072"/>
    <w:rsid w:val="006838A0"/>
    <w:rsid w:val="0068427A"/>
    <w:rsid w:val="006866E0"/>
    <w:rsid w:val="00686ADB"/>
    <w:rsid w:val="006902E2"/>
    <w:rsid w:val="006916B0"/>
    <w:rsid w:val="0069268C"/>
    <w:rsid w:val="00693408"/>
    <w:rsid w:val="00693E53"/>
    <w:rsid w:val="0069437F"/>
    <w:rsid w:val="00695343"/>
    <w:rsid w:val="00697C9D"/>
    <w:rsid w:val="006A2D5E"/>
    <w:rsid w:val="006A3320"/>
    <w:rsid w:val="006A4C17"/>
    <w:rsid w:val="006A5E1C"/>
    <w:rsid w:val="006B1024"/>
    <w:rsid w:val="006B2238"/>
    <w:rsid w:val="006B2BF5"/>
    <w:rsid w:val="006B381A"/>
    <w:rsid w:val="006B3A8F"/>
    <w:rsid w:val="006B5E72"/>
    <w:rsid w:val="006B6575"/>
    <w:rsid w:val="006B7AA6"/>
    <w:rsid w:val="006C08BC"/>
    <w:rsid w:val="006C09AD"/>
    <w:rsid w:val="006C0DF6"/>
    <w:rsid w:val="006C28A0"/>
    <w:rsid w:val="006C4FF7"/>
    <w:rsid w:val="006C6229"/>
    <w:rsid w:val="006C7118"/>
    <w:rsid w:val="006D28E0"/>
    <w:rsid w:val="006D3A66"/>
    <w:rsid w:val="006D4F9E"/>
    <w:rsid w:val="006D5C46"/>
    <w:rsid w:val="006D74C0"/>
    <w:rsid w:val="006D7B72"/>
    <w:rsid w:val="006E1EA1"/>
    <w:rsid w:val="006E2753"/>
    <w:rsid w:val="006E2E9C"/>
    <w:rsid w:val="006E2FB8"/>
    <w:rsid w:val="006E33F7"/>
    <w:rsid w:val="006E3C0C"/>
    <w:rsid w:val="006E3CC0"/>
    <w:rsid w:val="006E3DE4"/>
    <w:rsid w:val="006E7C95"/>
    <w:rsid w:val="006F002F"/>
    <w:rsid w:val="006F5E61"/>
    <w:rsid w:val="006F7C2C"/>
    <w:rsid w:val="00700C27"/>
    <w:rsid w:val="007013C2"/>
    <w:rsid w:val="00702B7D"/>
    <w:rsid w:val="00702C81"/>
    <w:rsid w:val="0070417A"/>
    <w:rsid w:val="00706B17"/>
    <w:rsid w:val="00707490"/>
    <w:rsid w:val="00707C20"/>
    <w:rsid w:val="0071017E"/>
    <w:rsid w:val="00710E22"/>
    <w:rsid w:val="00710FD1"/>
    <w:rsid w:val="007135BD"/>
    <w:rsid w:val="00713B98"/>
    <w:rsid w:val="00716DE2"/>
    <w:rsid w:val="0071739D"/>
    <w:rsid w:val="0071786E"/>
    <w:rsid w:val="00717B31"/>
    <w:rsid w:val="00717E0D"/>
    <w:rsid w:val="007214B7"/>
    <w:rsid w:val="007238E2"/>
    <w:rsid w:val="007275CF"/>
    <w:rsid w:val="00727842"/>
    <w:rsid w:val="007313F3"/>
    <w:rsid w:val="00732A8E"/>
    <w:rsid w:val="00732BDE"/>
    <w:rsid w:val="00734103"/>
    <w:rsid w:val="00735B4F"/>
    <w:rsid w:val="00735C60"/>
    <w:rsid w:val="00736FFD"/>
    <w:rsid w:val="00737BBF"/>
    <w:rsid w:val="00740EBF"/>
    <w:rsid w:val="0074156A"/>
    <w:rsid w:val="007442F3"/>
    <w:rsid w:val="00745704"/>
    <w:rsid w:val="007462AA"/>
    <w:rsid w:val="00747657"/>
    <w:rsid w:val="00747877"/>
    <w:rsid w:val="007508E6"/>
    <w:rsid w:val="00752964"/>
    <w:rsid w:val="0075413D"/>
    <w:rsid w:val="0075446E"/>
    <w:rsid w:val="00754F8D"/>
    <w:rsid w:val="0075538B"/>
    <w:rsid w:val="007565E0"/>
    <w:rsid w:val="00757392"/>
    <w:rsid w:val="0075788F"/>
    <w:rsid w:val="00761DB6"/>
    <w:rsid w:val="0076271C"/>
    <w:rsid w:val="00763C54"/>
    <w:rsid w:val="00763CB7"/>
    <w:rsid w:val="00764E9C"/>
    <w:rsid w:val="00766543"/>
    <w:rsid w:val="00766CC0"/>
    <w:rsid w:val="007702A5"/>
    <w:rsid w:val="00770B96"/>
    <w:rsid w:val="00770F3D"/>
    <w:rsid w:val="007711D2"/>
    <w:rsid w:val="007742E1"/>
    <w:rsid w:val="00774790"/>
    <w:rsid w:val="00774D45"/>
    <w:rsid w:val="00776261"/>
    <w:rsid w:val="007816A2"/>
    <w:rsid w:val="007834E0"/>
    <w:rsid w:val="00783CE3"/>
    <w:rsid w:val="007870A0"/>
    <w:rsid w:val="00787D75"/>
    <w:rsid w:val="00792B4F"/>
    <w:rsid w:val="007937D4"/>
    <w:rsid w:val="00794B71"/>
    <w:rsid w:val="007955B8"/>
    <w:rsid w:val="00797241"/>
    <w:rsid w:val="0079754F"/>
    <w:rsid w:val="0079772A"/>
    <w:rsid w:val="007A1516"/>
    <w:rsid w:val="007A1942"/>
    <w:rsid w:val="007A27EB"/>
    <w:rsid w:val="007A2D71"/>
    <w:rsid w:val="007A5457"/>
    <w:rsid w:val="007A56DD"/>
    <w:rsid w:val="007A6794"/>
    <w:rsid w:val="007A6C85"/>
    <w:rsid w:val="007A6DAB"/>
    <w:rsid w:val="007A7B84"/>
    <w:rsid w:val="007B0EC4"/>
    <w:rsid w:val="007B103B"/>
    <w:rsid w:val="007B330F"/>
    <w:rsid w:val="007B362F"/>
    <w:rsid w:val="007B4A37"/>
    <w:rsid w:val="007B4E8B"/>
    <w:rsid w:val="007B5F6B"/>
    <w:rsid w:val="007B6B97"/>
    <w:rsid w:val="007C14B6"/>
    <w:rsid w:val="007C1CDC"/>
    <w:rsid w:val="007C374A"/>
    <w:rsid w:val="007C50E7"/>
    <w:rsid w:val="007D17F5"/>
    <w:rsid w:val="007D2FA8"/>
    <w:rsid w:val="007D6A40"/>
    <w:rsid w:val="007D6D1E"/>
    <w:rsid w:val="007E09B6"/>
    <w:rsid w:val="007E13F3"/>
    <w:rsid w:val="007E295C"/>
    <w:rsid w:val="007E393D"/>
    <w:rsid w:val="007E3A07"/>
    <w:rsid w:val="007E3FA9"/>
    <w:rsid w:val="007E4200"/>
    <w:rsid w:val="007E420B"/>
    <w:rsid w:val="007E4923"/>
    <w:rsid w:val="007F0146"/>
    <w:rsid w:val="007F07F9"/>
    <w:rsid w:val="007F181F"/>
    <w:rsid w:val="007F2919"/>
    <w:rsid w:val="007F5112"/>
    <w:rsid w:val="007F5412"/>
    <w:rsid w:val="007F65E0"/>
    <w:rsid w:val="007F66BA"/>
    <w:rsid w:val="007F78D8"/>
    <w:rsid w:val="00802A2E"/>
    <w:rsid w:val="008128DF"/>
    <w:rsid w:val="00814292"/>
    <w:rsid w:val="0081455D"/>
    <w:rsid w:val="008247E7"/>
    <w:rsid w:val="008268A7"/>
    <w:rsid w:val="0082778D"/>
    <w:rsid w:val="00832D38"/>
    <w:rsid w:val="008330FF"/>
    <w:rsid w:val="0083348D"/>
    <w:rsid w:val="00833FA0"/>
    <w:rsid w:val="00835EC6"/>
    <w:rsid w:val="0083629D"/>
    <w:rsid w:val="008362F6"/>
    <w:rsid w:val="008366A3"/>
    <w:rsid w:val="008366B7"/>
    <w:rsid w:val="008405FA"/>
    <w:rsid w:val="00840727"/>
    <w:rsid w:val="00841E88"/>
    <w:rsid w:val="00843434"/>
    <w:rsid w:val="00843596"/>
    <w:rsid w:val="0084455C"/>
    <w:rsid w:val="00844A7E"/>
    <w:rsid w:val="008464CF"/>
    <w:rsid w:val="00847050"/>
    <w:rsid w:val="00850F16"/>
    <w:rsid w:val="0085176B"/>
    <w:rsid w:val="00851976"/>
    <w:rsid w:val="008523CD"/>
    <w:rsid w:val="00852831"/>
    <w:rsid w:val="0085429A"/>
    <w:rsid w:val="008542FF"/>
    <w:rsid w:val="008545E1"/>
    <w:rsid w:val="00854F1C"/>
    <w:rsid w:val="00855791"/>
    <w:rsid w:val="008605A6"/>
    <w:rsid w:val="00860B66"/>
    <w:rsid w:val="00860EF0"/>
    <w:rsid w:val="00862E63"/>
    <w:rsid w:val="0086537B"/>
    <w:rsid w:val="0086720F"/>
    <w:rsid w:val="00867AE9"/>
    <w:rsid w:val="00870347"/>
    <w:rsid w:val="00870AF9"/>
    <w:rsid w:val="008719DD"/>
    <w:rsid w:val="00873C77"/>
    <w:rsid w:val="00874E6A"/>
    <w:rsid w:val="00875101"/>
    <w:rsid w:val="0087735C"/>
    <w:rsid w:val="00881013"/>
    <w:rsid w:val="0088266D"/>
    <w:rsid w:val="00883648"/>
    <w:rsid w:val="008836DE"/>
    <w:rsid w:val="008839C2"/>
    <w:rsid w:val="0088449A"/>
    <w:rsid w:val="00884504"/>
    <w:rsid w:val="00887C58"/>
    <w:rsid w:val="008920C3"/>
    <w:rsid w:val="00892292"/>
    <w:rsid w:val="00892B40"/>
    <w:rsid w:val="008938C3"/>
    <w:rsid w:val="008960BD"/>
    <w:rsid w:val="00897E74"/>
    <w:rsid w:val="008A0EFE"/>
    <w:rsid w:val="008A0FF8"/>
    <w:rsid w:val="008A185A"/>
    <w:rsid w:val="008A22D1"/>
    <w:rsid w:val="008A270D"/>
    <w:rsid w:val="008A2E6D"/>
    <w:rsid w:val="008A44AB"/>
    <w:rsid w:val="008A4F07"/>
    <w:rsid w:val="008B03FF"/>
    <w:rsid w:val="008B13DE"/>
    <w:rsid w:val="008B4A41"/>
    <w:rsid w:val="008B550C"/>
    <w:rsid w:val="008B7287"/>
    <w:rsid w:val="008C0318"/>
    <w:rsid w:val="008C19F6"/>
    <w:rsid w:val="008C34C1"/>
    <w:rsid w:val="008C37A4"/>
    <w:rsid w:val="008C3967"/>
    <w:rsid w:val="008C5333"/>
    <w:rsid w:val="008C566B"/>
    <w:rsid w:val="008C579E"/>
    <w:rsid w:val="008C5AB2"/>
    <w:rsid w:val="008C5C0D"/>
    <w:rsid w:val="008C5D5B"/>
    <w:rsid w:val="008C6B9D"/>
    <w:rsid w:val="008C763C"/>
    <w:rsid w:val="008D0A5A"/>
    <w:rsid w:val="008D1D52"/>
    <w:rsid w:val="008D273C"/>
    <w:rsid w:val="008D4106"/>
    <w:rsid w:val="008D6001"/>
    <w:rsid w:val="008D65BA"/>
    <w:rsid w:val="008D6E1A"/>
    <w:rsid w:val="008D7375"/>
    <w:rsid w:val="008D7ACD"/>
    <w:rsid w:val="008E01A2"/>
    <w:rsid w:val="008E0269"/>
    <w:rsid w:val="008E0796"/>
    <w:rsid w:val="008E0FCB"/>
    <w:rsid w:val="008E2515"/>
    <w:rsid w:val="008E292A"/>
    <w:rsid w:val="008E378B"/>
    <w:rsid w:val="008E4ED4"/>
    <w:rsid w:val="008E7896"/>
    <w:rsid w:val="008F14C4"/>
    <w:rsid w:val="008F2605"/>
    <w:rsid w:val="008F433B"/>
    <w:rsid w:val="008F718E"/>
    <w:rsid w:val="008F7939"/>
    <w:rsid w:val="0090231F"/>
    <w:rsid w:val="009049CE"/>
    <w:rsid w:val="00911586"/>
    <w:rsid w:val="009115C1"/>
    <w:rsid w:val="009136C8"/>
    <w:rsid w:val="009148DB"/>
    <w:rsid w:val="00914D55"/>
    <w:rsid w:val="009164E9"/>
    <w:rsid w:val="009205E5"/>
    <w:rsid w:val="00920C89"/>
    <w:rsid w:val="009211DA"/>
    <w:rsid w:val="00921676"/>
    <w:rsid w:val="00921C5D"/>
    <w:rsid w:val="00921FD5"/>
    <w:rsid w:val="009240BD"/>
    <w:rsid w:val="00924C5F"/>
    <w:rsid w:val="00926587"/>
    <w:rsid w:val="009274A3"/>
    <w:rsid w:val="0093070F"/>
    <w:rsid w:val="00930726"/>
    <w:rsid w:val="00934054"/>
    <w:rsid w:val="0093419F"/>
    <w:rsid w:val="00935A75"/>
    <w:rsid w:val="009362D0"/>
    <w:rsid w:val="009369DB"/>
    <w:rsid w:val="009370C5"/>
    <w:rsid w:val="00941684"/>
    <w:rsid w:val="009417DE"/>
    <w:rsid w:val="00942055"/>
    <w:rsid w:val="00942985"/>
    <w:rsid w:val="00943557"/>
    <w:rsid w:val="00943D40"/>
    <w:rsid w:val="00947036"/>
    <w:rsid w:val="00950A05"/>
    <w:rsid w:val="009513DB"/>
    <w:rsid w:val="00953C9A"/>
    <w:rsid w:val="009545CE"/>
    <w:rsid w:val="0095647E"/>
    <w:rsid w:val="009565D1"/>
    <w:rsid w:val="00956BCC"/>
    <w:rsid w:val="00956F7A"/>
    <w:rsid w:val="00957EB4"/>
    <w:rsid w:val="00962D07"/>
    <w:rsid w:val="00964F0F"/>
    <w:rsid w:val="00972135"/>
    <w:rsid w:val="00972247"/>
    <w:rsid w:val="00972DB7"/>
    <w:rsid w:val="00973438"/>
    <w:rsid w:val="00974712"/>
    <w:rsid w:val="00974EB1"/>
    <w:rsid w:val="0097555A"/>
    <w:rsid w:val="009763A0"/>
    <w:rsid w:val="0097774F"/>
    <w:rsid w:val="009779C8"/>
    <w:rsid w:val="0098332E"/>
    <w:rsid w:val="00984ABA"/>
    <w:rsid w:val="00986507"/>
    <w:rsid w:val="00993941"/>
    <w:rsid w:val="009955B8"/>
    <w:rsid w:val="009968D9"/>
    <w:rsid w:val="00997A90"/>
    <w:rsid w:val="009A03E9"/>
    <w:rsid w:val="009A0E88"/>
    <w:rsid w:val="009A1E91"/>
    <w:rsid w:val="009A2495"/>
    <w:rsid w:val="009A2810"/>
    <w:rsid w:val="009A28DA"/>
    <w:rsid w:val="009A2AA4"/>
    <w:rsid w:val="009A4448"/>
    <w:rsid w:val="009A462A"/>
    <w:rsid w:val="009A6D14"/>
    <w:rsid w:val="009A705E"/>
    <w:rsid w:val="009A74C5"/>
    <w:rsid w:val="009A7614"/>
    <w:rsid w:val="009A7D39"/>
    <w:rsid w:val="009B119A"/>
    <w:rsid w:val="009B1DF7"/>
    <w:rsid w:val="009B2075"/>
    <w:rsid w:val="009B251F"/>
    <w:rsid w:val="009B30B8"/>
    <w:rsid w:val="009B4975"/>
    <w:rsid w:val="009B5D50"/>
    <w:rsid w:val="009B6ACE"/>
    <w:rsid w:val="009B6E4B"/>
    <w:rsid w:val="009B71BE"/>
    <w:rsid w:val="009B7586"/>
    <w:rsid w:val="009C09C1"/>
    <w:rsid w:val="009C1242"/>
    <w:rsid w:val="009C1DDC"/>
    <w:rsid w:val="009C2CC8"/>
    <w:rsid w:val="009C316A"/>
    <w:rsid w:val="009C709A"/>
    <w:rsid w:val="009D0B81"/>
    <w:rsid w:val="009D0E59"/>
    <w:rsid w:val="009D2D0A"/>
    <w:rsid w:val="009D452E"/>
    <w:rsid w:val="009D7704"/>
    <w:rsid w:val="009D7B57"/>
    <w:rsid w:val="009E0BC4"/>
    <w:rsid w:val="009E1A3E"/>
    <w:rsid w:val="009E1C3B"/>
    <w:rsid w:val="009E2AD6"/>
    <w:rsid w:val="009E3126"/>
    <w:rsid w:val="009E546C"/>
    <w:rsid w:val="009F16FF"/>
    <w:rsid w:val="009F756D"/>
    <w:rsid w:val="009F7C98"/>
    <w:rsid w:val="00A003B3"/>
    <w:rsid w:val="00A01D2E"/>
    <w:rsid w:val="00A03225"/>
    <w:rsid w:val="00A050E8"/>
    <w:rsid w:val="00A062EB"/>
    <w:rsid w:val="00A112F4"/>
    <w:rsid w:val="00A113BB"/>
    <w:rsid w:val="00A11E50"/>
    <w:rsid w:val="00A12804"/>
    <w:rsid w:val="00A130D2"/>
    <w:rsid w:val="00A14B41"/>
    <w:rsid w:val="00A162DC"/>
    <w:rsid w:val="00A171F8"/>
    <w:rsid w:val="00A17BFF"/>
    <w:rsid w:val="00A17E54"/>
    <w:rsid w:val="00A23729"/>
    <w:rsid w:val="00A23B05"/>
    <w:rsid w:val="00A2431D"/>
    <w:rsid w:val="00A2448D"/>
    <w:rsid w:val="00A271E7"/>
    <w:rsid w:val="00A27D25"/>
    <w:rsid w:val="00A308AC"/>
    <w:rsid w:val="00A33C2E"/>
    <w:rsid w:val="00A35765"/>
    <w:rsid w:val="00A37943"/>
    <w:rsid w:val="00A40F8E"/>
    <w:rsid w:val="00A44663"/>
    <w:rsid w:val="00A45F18"/>
    <w:rsid w:val="00A4639F"/>
    <w:rsid w:val="00A46DAE"/>
    <w:rsid w:val="00A51588"/>
    <w:rsid w:val="00A518EB"/>
    <w:rsid w:val="00A5292D"/>
    <w:rsid w:val="00A53340"/>
    <w:rsid w:val="00A5621E"/>
    <w:rsid w:val="00A563F4"/>
    <w:rsid w:val="00A573E8"/>
    <w:rsid w:val="00A57BA3"/>
    <w:rsid w:val="00A6127F"/>
    <w:rsid w:val="00A6186D"/>
    <w:rsid w:val="00A6283D"/>
    <w:rsid w:val="00A62CB6"/>
    <w:rsid w:val="00A63FC8"/>
    <w:rsid w:val="00A65D81"/>
    <w:rsid w:val="00A660A1"/>
    <w:rsid w:val="00A66116"/>
    <w:rsid w:val="00A67846"/>
    <w:rsid w:val="00A72821"/>
    <w:rsid w:val="00A74678"/>
    <w:rsid w:val="00A75F38"/>
    <w:rsid w:val="00A762BB"/>
    <w:rsid w:val="00A775C0"/>
    <w:rsid w:val="00A77CE7"/>
    <w:rsid w:val="00A80E27"/>
    <w:rsid w:val="00A82125"/>
    <w:rsid w:val="00A82BCF"/>
    <w:rsid w:val="00A83796"/>
    <w:rsid w:val="00A84E0C"/>
    <w:rsid w:val="00A86EDA"/>
    <w:rsid w:val="00A87101"/>
    <w:rsid w:val="00A911DC"/>
    <w:rsid w:val="00A923F6"/>
    <w:rsid w:val="00A932B7"/>
    <w:rsid w:val="00A94767"/>
    <w:rsid w:val="00A96880"/>
    <w:rsid w:val="00A97745"/>
    <w:rsid w:val="00AA059A"/>
    <w:rsid w:val="00AA37E5"/>
    <w:rsid w:val="00AA43D1"/>
    <w:rsid w:val="00AA6B31"/>
    <w:rsid w:val="00AB17DB"/>
    <w:rsid w:val="00AB22E5"/>
    <w:rsid w:val="00AB432E"/>
    <w:rsid w:val="00AB5B7D"/>
    <w:rsid w:val="00AB5C3A"/>
    <w:rsid w:val="00AB659C"/>
    <w:rsid w:val="00AB6881"/>
    <w:rsid w:val="00AB73A4"/>
    <w:rsid w:val="00AB74F1"/>
    <w:rsid w:val="00AB7F9A"/>
    <w:rsid w:val="00AC0C9D"/>
    <w:rsid w:val="00AC1BAB"/>
    <w:rsid w:val="00AC1BB4"/>
    <w:rsid w:val="00AC4296"/>
    <w:rsid w:val="00AC48C8"/>
    <w:rsid w:val="00AC4A48"/>
    <w:rsid w:val="00AC676E"/>
    <w:rsid w:val="00AC69FF"/>
    <w:rsid w:val="00AC6CAF"/>
    <w:rsid w:val="00AC762F"/>
    <w:rsid w:val="00AC77DF"/>
    <w:rsid w:val="00AD1966"/>
    <w:rsid w:val="00AD3017"/>
    <w:rsid w:val="00AD397F"/>
    <w:rsid w:val="00AD5461"/>
    <w:rsid w:val="00AD58BC"/>
    <w:rsid w:val="00AD5D0A"/>
    <w:rsid w:val="00AD6886"/>
    <w:rsid w:val="00AE0115"/>
    <w:rsid w:val="00AE1265"/>
    <w:rsid w:val="00AE1794"/>
    <w:rsid w:val="00AE5F31"/>
    <w:rsid w:val="00AF17D0"/>
    <w:rsid w:val="00AF2259"/>
    <w:rsid w:val="00AF232A"/>
    <w:rsid w:val="00AF234F"/>
    <w:rsid w:val="00AF538C"/>
    <w:rsid w:val="00AF5435"/>
    <w:rsid w:val="00AF5481"/>
    <w:rsid w:val="00AF6AC3"/>
    <w:rsid w:val="00AF6D46"/>
    <w:rsid w:val="00AF7BF3"/>
    <w:rsid w:val="00B00727"/>
    <w:rsid w:val="00B05454"/>
    <w:rsid w:val="00B064A0"/>
    <w:rsid w:val="00B13070"/>
    <w:rsid w:val="00B13449"/>
    <w:rsid w:val="00B15647"/>
    <w:rsid w:val="00B15958"/>
    <w:rsid w:val="00B21B57"/>
    <w:rsid w:val="00B228E0"/>
    <w:rsid w:val="00B22A33"/>
    <w:rsid w:val="00B2333C"/>
    <w:rsid w:val="00B2389B"/>
    <w:rsid w:val="00B23D4E"/>
    <w:rsid w:val="00B24DC1"/>
    <w:rsid w:val="00B2508A"/>
    <w:rsid w:val="00B25F65"/>
    <w:rsid w:val="00B27675"/>
    <w:rsid w:val="00B30948"/>
    <w:rsid w:val="00B3411D"/>
    <w:rsid w:val="00B36690"/>
    <w:rsid w:val="00B36EE0"/>
    <w:rsid w:val="00B40D50"/>
    <w:rsid w:val="00B41031"/>
    <w:rsid w:val="00B4499F"/>
    <w:rsid w:val="00B45532"/>
    <w:rsid w:val="00B4581E"/>
    <w:rsid w:val="00B46E26"/>
    <w:rsid w:val="00B479F0"/>
    <w:rsid w:val="00B50074"/>
    <w:rsid w:val="00B51109"/>
    <w:rsid w:val="00B51DAD"/>
    <w:rsid w:val="00B54B09"/>
    <w:rsid w:val="00B56707"/>
    <w:rsid w:val="00B644A6"/>
    <w:rsid w:val="00B66D28"/>
    <w:rsid w:val="00B66E01"/>
    <w:rsid w:val="00B671F6"/>
    <w:rsid w:val="00B67B43"/>
    <w:rsid w:val="00B70CCF"/>
    <w:rsid w:val="00B70D5C"/>
    <w:rsid w:val="00B72044"/>
    <w:rsid w:val="00B74FF8"/>
    <w:rsid w:val="00B7518B"/>
    <w:rsid w:val="00B80994"/>
    <w:rsid w:val="00B82A7F"/>
    <w:rsid w:val="00B82BE7"/>
    <w:rsid w:val="00B845F6"/>
    <w:rsid w:val="00B8539D"/>
    <w:rsid w:val="00B85E2E"/>
    <w:rsid w:val="00B8692F"/>
    <w:rsid w:val="00B87373"/>
    <w:rsid w:val="00B91C1E"/>
    <w:rsid w:val="00B926D4"/>
    <w:rsid w:val="00B93968"/>
    <w:rsid w:val="00BA565F"/>
    <w:rsid w:val="00BA79FD"/>
    <w:rsid w:val="00BA7D8E"/>
    <w:rsid w:val="00BB2F9E"/>
    <w:rsid w:val="00BC0227"/>
    <w:rsid w:val="00BC2A72"/>
    <w:rsid w:val="00BC3E24"/>
    <w:rsid w:val="00BC5423"/>
    <w:rsid w:val="00BD021C"/>
    <w:rsid w:val="00BD0E68"/>
    <w:rsid w:val="00BD2289"/>
    <w:rsid w:val="00BD323C"/>
    <w:rsid w:val="00BD3C3C"/>
    <w:rsid w:val="00BD3C6E"/>
    <w:rsid w:val="00BD45A6"/>
    <w:rsid w:val="00BD55DB"/>
    <w:rsid w:val="00BD65F2"/>
    <w:rsid w:val="00BD6649"/>
    <w:rsid w:val="00BD70E8"/>
    <w:rsid w:val="00BE1025"/>
    <w:rsid w:val="00BE3293"/>
    <w:rsid w:val="00BE3F0A"/>
    <w:rsid w:val="00BE474E"/>
    <w:rsid w:val="00BE5711"/>
    <w:rsid w:val="00BE60E5"/>
    <w:rsid w:val="00BE7DE4"/>
    <w:rsid w:val="00BF1DE6"/>
    <w:rsid w:val="00BF42FA"/>
    <w:rsid w:val="00BF43AA"/>
    <w:rsid w:val="00BF56FE"/>
    <w:rsid w:val="00BF6587"/>
    <w:rsid w:val="00BF7276"/>
    <w:rsid w:val="00BF7966"/>
    <w:rsid w:val="00BF7EC0"/>
    <w:rsid w:val="00BF7F95"/>
    <w:rsid w:val="00C00FCF"/>
    <w:rsid w:val="00C018C5"/>
    <w:rsid w:val="00C01A6A"/>
    <w:rsid w:val="00C0284F"/>
    <w:rsid w:val="00C036EF"/>
    <w:rsid w:val="00C05DDB"/>
    <w:rsid w:val="00C1186A"/>
    <w:rsid w:val="00C1509F"/>
    <w:rsid w:val="00C15CC6"/>
    <w:rsid w:val="00C15E28"/>
    <w:rsid w:val="00C15F8E"/>
    <w:rsid w:val="00C164F7"/>
    <w:rsid w:val="00C169CD"/>
    <w:rsid w:val="00C17BA9"/>
    <w:rsid w:val="00C17BD0"/>
    <w:rsid w:val="00C17EF4"/>
    <w:rsid w:val="00C20C68"/>
    <w:rsid w:val="00C2240B"/>
    <w:rsid w:val="00C22EBF"/>
    <w:rsid w:val="00C22F6A"/>
    <w:rsid w:val="00C25652"/>
    <w:rsid w:val="00C2587C"/>
    <w:rsid w:val="00C26856"/>
    <w:rsid w:val="00C271A0"/>
    <w:rsid w:val="00C279BC"/>
    <w:rsid w:val="00C33621"/>
    <w:rsid w:val="00C35E03"/>
    <w:rsid w:val="00C36537"/>
    <w:rsid w:val="00C426DA"/>
    <w:rsid w:val="00C43A9B"/>
    <w:rsid w:val="00C43D8A"/>
    <w:rsid w:val="00C44056"/>
    <w:rsid w:val="00C4563A"/>
    <w:rsid w:val="00C4764E"/>
    <w:rsid w:val="00C50049"/>
    <w:rsid w:val="00C501FF"/>
    <w:rsid w:val="00C52A22"/>
    <w:rsid w:val="00C5384A"/>
    <w:rsid w:val="00C53C96"/>
    <w:rsid w:val="00C54232"/>
    <w:rsid w:val="00C55BF6"/>
    <w:rsid w:val="00C5697A"/>
    <w:rsid w:val="00C571EB"/>
    <w:rsid w:val="00C572A3"/>
    <w:rsid w:val="00C63F36"/>
    <w:rsid w:val="00C646B2"/>
    <w:rsid w:val="00C661BC"/>
    <w:rsid w:val="00C71C39"/>
    <w:rsid w:val="00C73D24"/>
    <w:rsid w:val="00C73EA1"/>
    <w:rsid w:val="00C74E18"/>
    <w:rsid w:val="00C77456"/>
    <w:rsid w:val="00C779A1"/>
    <w:rsid w:val="00C832BE"/>
    <w:rsid w:val="00C832EB"/>
    <w:rsid w:val="00C86142"/>
    <w:rsid w:val="00C91ECE"/>
    <w:rsid w:val="00C95323"/>
    <w:rsid w:val="00C9656F"/>
    <w:rsid w:val="00C97541"/>
    <w:rsid w:val="00C97786"/>
    <w:rsid w:val="00C97A0F"/>
    <w:rsid w:val="00CA17DC"/>
    <w:rsid w:val="00CA3357"/>
    <w:rsid w:val="00CA44DB"/>
    <w:rsid w:val="00CA511C"/>
    <w:rsid w:val="00CB0358"/>
    <w:rsid w:val="00CB0ECA"/>
    <w:rsid w:val="00CB2C77"/>
    <w:rsid w:val="00CB4443"/>
    <w:rsid w:val="00CB4944"/>
    <w:rsid w:val="00CB4AD3"/>
    <w:rsid w:val="00CB4D67"/>
    <w:rsid w:val="00CB656D"/>
    <w:rsid w:val="00CC2929"/>
    <w:rsid w:val="00CC6663"/>
    <w:rsid w:val="00CC6A6F"/>
    <w:rsid w:val="00CC74B9"/>
    <w:rsid w:val="00CD196F"/>
    <w:rsid w:val="00CD2218"/>
    <w:rsid w:val="00CD2A0F"/>
    <w:rsid w:val="00CD576A"/>
    <w:rsid w:val="00CD6650"/>
    <w:rsid w:val="00CE0816"/>
    <w:rsid w:val="00CE0A34"/>
    <w:rsid w:val="00CE3BBF"/>
    <w:rsid w:val="00CE456A"/>
    <w:rsid w:val="00CE5969"/>
    <w:rsid w:val="00CE63AC"/>
    <w:rsid w:val="00CE7F45"/>
    <w:rsid w:val="00CF0504"/>
    <w:rsid w:val="00CF0D16"/>
    <w:rsid w:val="00CF0E43"/>
    <w:rsid w:val="00CF504F"/>
    <w:rsid w:val="00CF5C7A"/>
    <w:rsid w:val="00CF77D1"/>
    <w:rsid w:val="00D013B9"/>
    <w:rsid w:val="00D0284B"/>
    <w:rsid w:val="00D050D4"/>
    <w:rsid w:val="00D06254"/>
    <w:rsid w:val="00D067B3"/>
    <w:rsid w:val="00D0691A"/>
    <w:rsid w:val="00D10F59"/>
    <w:rsid w:val="00D14B22"/>
    <w:rsid w:val="00D15739"/>
    <w:rsid w:val="00D1722D"/>
    <w:rsid w:val="00D174CE"/>
    <w:rsid w:val="00D225C7"/>
    <w:rsid w:val="00D230F7"/>
    <w:rsid w:val="00D239AA"/>
    <w:rsid w:val="00D23D6A"/>
    <w:rsid w:val="00D2443A"/>
    <w:rsid w:val="00D251AB"/>
    <w:rsid w:val="00D2528E"/>
    <w:rsid w:val="00D321CC"/>
    <w:rsid w:val="00D32A72"/>
    <w:rsid w:val="00D33E6C"/>
    <w:rsid w:val="00D3519B"/>
    <w:rsid w:val="00D37506"/>
    <w:rsid w:val="00D37E62"/>
    <w:rsid w:val="00D41079"/>
    <w:rsid w:val="00D4143D"/>
    <w:rsid w:val="00D4172B"/>
    <w:rsid w:val="00D44C6E"/>
    <w:rsid w:val="00D468D7"/>
    <w:rsid w:val="00D46E11"/>
    <w:rsid w:val="00D471B2"/>
    <w:rsid w:val="00D505AD"/>
    <w:rsid w:val="00D505B4"/>
    <w:rsid w:val="00D52E0D"/>
    <w:rsid w:val="00D52FFA"/>
    <w:rsid w:val="00D552BA"/>
    <w:rsid w:val="00D556F8"/>
    <w:rsid w:val="00D57149"/>
    <w:rsid w:val="00D5719F"/>
    <w:rsid w:val="00D60300"/>
    <w:rsid w:val="00D605AA"/>
    <w:rsid w:val="00D636A5"/>
    <w:rsid w:val="00D646FD"/>
    <w:rsid w:val="00D67788"/>
    <w:rsid w:val="00D67F58"/>
    <w:rsid w:val="00D713C5"/>
    <w:rsid w:val="00D722D0"/>
    <w:rsid w:val="00D72C7E"/>
    <w:rsid w:val="00D734C5"/>
    <w:rsid w:val="00D7704B"/>
    <w:rsid w:val="00D77C1B"/>
    <w:rsid w:val="00D8384B"/>
    <w:rsid w:val="00D84B7F"/>
    <w:rsid w:val="00D85121"/>
    <w:rsid w:val="00D85821"/>
    <w:rsid w:val="00D85ADB"/>
    <w:rsid w:val="00D86C44"/>
    <w:rsid w:val="00D874AA"/>
    <w:rsid w:val="00D900F7"/>
    <w:rsid w:val="00D909CC"/>
    <w:rsid w:val="00D928B3"/>
    <w:rsid w:val="00D9318E"/>
    <w:rsid w:val="00D942C8"/>
    <w:rsid w:val="00D95B6A"/>
    <w:rsid w:val="00D95DDA"/>
    <w:rsid w:val="00D96803"/>
    <w:rsid w:val="00DA1696"/>
    <w:rsid w:val="00DA27B7"/>
    <w:rsid w:val="00DA3D2E"/>
    <w:rsid w:val="00DA470D"/>
    <w:rsid w:val="00DA5855"/>
    <w:rsid w:val="00DB07C1"/>
    <w:rsid w:val="00DB1743"/>
    <w:rsid w:val="00DB3BF5"/>
    <w:rsid w:val="00DB3E7A"/>
    <w:rsid w:val="00DB5287"/>
    <w:rsid w:val="00DB5BBA"/>
    <w:rsid w:val="00DB60CA"/>
    <w:rsid w:val="00DB64C0"/>
    <w:rsid w:val="00DC0406"/>
    <w:rsid w:val="00DC0AD7"/>
    <w:rsid w:val="00DC37E1"/>
    <w:rsid w:val="00DC4A35"/>
    <w:rsid w:val="00DC57D0"/>
    <w:rsid w:val="00DD08E2"/>
    <w:rsid w:val="00DD4DC5"/>
    <w:rsid w:val="00DD52ED"/>
    <w:rsid w:val="00DE0EA0"/>
    <w:rsid w:val="00DE1C4C"/>
    <w:rsid w:val="00DE2E8B"/>
    <w:rsid w:val="00DE37CD"/>
    <w:rsid w:val="00DE39A5"/>
    <w:rsid w:val="00DE3D1B"/>
    <w:rsid w:val="00DE4AD4"/>
    <w:rsid w:val="00DE4C7A"/>
    <w:rsid w:val="00DE6B8D"/>
    <w:rsid w:val="00DF0B04"/>
    <w:rsid w:val="00DF1819"/>
    <w:rsid w:val="00DF5EF8"/>
    <w:rsid w:val="00DF613B"/>
    <w:rsid w:val="00E024FB"/>
    <w:rsid w:val="00E03C04"/>
    <w:rsid w:val="00E05B6E"/>
    <w:rsid w:val="00E05BCC"/>
    <w:rsid w:val="00E0756B"/>
    <w:rsid w:val="00E07A4D"/>
    <w:rsid w:val="00E105CF"/>
    <w:rsid w:val="00E1087A"/>
    <w:rsid w:val="00E115A4"/>
    <w:rsid w:val="00E14231"/>
    <w:rsid w:val="00E147FB"/>
    <w:rsid w:val="00E16D4F"/>
    <w:rsid w:val="00E177F3"/>
    <w:rsid w:val="00E226C5"/>
    <w:rsid w:val="00E25251"/>
    <w:rsid w:val="00E25997"/>
    <w:rsid w:val="00E25D40"/>
    <w:rsid w:val="00E26AE5"/>
    <w:rsid w:val="00E27044"/>
    <w:rsid w:val="00E30533"/>
    <w:rsid w:val="00E318E3"/>
    <w:rsid w:val="00E333B3"/>
    <w:rsid w:val="00E33D53"/>
    <w:rsid w:val="00E34F5C"/>
    <w:rsid w:val="00E35DE7"/>
    <w:rsid w:val="00E40AC8"/>
    <w:rsid w:val="00E4136F"/>
    <w:rsid w:val="00E41FED"/>
    <w:rsid w:val="00E42C22"/>
    <w:rsid w:val="00E43460"/>
    <w:rsid w:val="00E440AC"/>
    <w:rsid w:val="00E45161"/>
    <w:rsid w:val="00E45E5E"/>
    <w:rsid w:val="00E5059D"/>
    <w:rsid w:val="00E5110D"/>
    <w:rsid w:val="00E52923"/>
    <w:rsid w:val="00E5310C"/>
    <w:rsid w:val="00E53712"/>
    <w:rsid w:val="00E54445"/>
    <w:rsid w:val="00E54E02"/>
    <w:rsid w:val="00E55478"/>
    <w:rsid w:val="00E601B1"/>
    <w:rsid w:val="00E61669"/>
    <w:rsid w:val="00E61E9B"/>
    <w:rsid w:val="00E61ED6"/>
    <w:rsid w:val="00E6673A"/>
    <w:rsid w:val="00E66FB9"/>
    <w:rsid w:val="00E70840"/>
    <w:rsid w:val="00E72036"/>
    <w:rsid w:val="00E72226"/>
    <w:rsid w:val="00E747BB"/>
    <w:rsid w:val="00E75B17"/>
    <w:rsid w:val="00E77356"/>
    <w:rsid w:val="00E774B5"/>
    <w:rsid w:val="00E77F48"/>
    <w:rsid w:val="00E80A1E"/>
    <w:rsid w:val="00E82C58"/>
    <w:rsid w:val="00E87B29"/>
    <w:rsid w:val="00E91462"/>
    <w:rsid w:val="00E91A7B"/>
    <w:rsid w:val="00E92230"/>
    <w:rsid w:val="00E94EF0"/>
    <w:rsid w:val="00E95273"/>
    <w:rsid w:val="00E95915"/>
    <w:rsid w:val="00E965E2"/>
    <w:rsid w:val="00E97048"/>
    <w:rsid w:val="00E9739B"/>
    <w:rsid w:val="00E97570"/>
    <w:rsid w:val="00EA1021"/>
    <w:rsid w:val="00EA4D4D"/>
    <w:rsid w:val="00EA511C"/>
    <w:rsid w:val="00EB2FC5"/>
    <w:rsid w:val="00EB3550"/>
    <w:rsid w:val="00EB3CB0"/>
    <w:rsid w:val="00EC2645"/>
    <w:rsid w:val="00EC3B9C"/>
    <w:rsid w:val="00EC3CEF"/>
    <w:rsid w:val="00EC610A"/>
    <w:rsid w:val="00ED1987"/>
    <w:rsid w:val="00ED2073"/>
    <w:rsid w:val="00ED4F77"/>
    <w:rsid w:val="00ED525B"/>
    <w:rsid w:val="00ED574F"/>
    <w:rsid w:val="00ED69E5"/>
    <w:rsid w:val="00ED7078"/>
    <w:rsid w:val="00ED772D"/>
    <w:rsid w:val="00EE0130"/>
    <w:rsid w:val="00EE0CA1"/>
    <w:rsid w:val="00EE297E"/>
    <w:rsid w:val="00EE4F93"/>
    <w:rsid w:val="00EE5B09"/>
    <w:rsid w:val="00EE6876"/>
    <w:rsid w:val="00EE74D6"/>
    <w:rsid w:val="00EE7C29"/>
    <w:rsid w:val="00EF240E"/>
    <w:rsid w:val="00EF2D79"/>
    <w:rsid w:val="00EF5D36"/>
    <w:rsid w:val="00EF625B"/>
    <w:rsid w:val="00EF62BD"/>
    <w:rsid w:val="00EF67BD"/>
    <w:rsid w:val="00F0098B"/>
    <w:rsid w:val="00F01221"/>
    <w:rsid w:val="00F0168D"/>
    <w:rsid w:val="00F02475"/>
    <w:rsid w:val="00F0383D"/>
    <w:rsid w:val="00F0418C"/>
    <w:rsid w:val="00F05A0F"/>
    <w:rsid w:val="00F06581"/>
    <w:rsid w:val="00F06B29"/>
    <w:rsid w:val="00F06F8B"/>
    <w:rsid w:val="00F07D51"/>
    <w:rsid w:val="00F10756"/>
    <w:rsid w:val="00F13BC8"/>
    <w:rsid w:val="00F15E18"/>
    <w:rsid w:val="00F200C6"/>
    <w:rsid w:val="00F20DD8"/>
    <w:rsid w:val="00F21B78"/>
    <w:rsid w:val="00F21E24"/>
    <w:rsid w:val="00F2255F"/>
    <w:rsid w:val="00F23068"/>
    <w:rsid w:val="00F2438F"/>
    <w:rsid w:val="00F262F0"/>
    <w:rsid w:val="00F30857"/>
    <w:rsid w:val="00F30BDA"/>
    <w:rsid w:val="00F324CC"/>
    <w:rsid w:val="00F358F4"/>
    <w:rsid w:val="00F365D6"/>
    <w:rsid w:val="00F36B7C"/>
    <w:rsid w:val="00F42C28"/>
    <w:rsid w:val="00F4590C"/>
    <w:rsid w:val="00F45920"/>
    <w:rsid w:val="00F50341"/>
    <w:rsid w:val="00F51AA7"/>
    <w:rsid w:val="00F51D5D"/>
    <w:rsid w:val="00F53A8A"/>
    <w:rsid w:val="00F53CCB"/>
    <w:rsid w:val="00F54744"/>
    <w:rsid w:val="00F5690A"/>
    <w:rsid w:val="00F56C76"/>
    <w:rsid w:val="00F57CC0"/>
    <w:rsid w:val="00F60B1F"/>
    <w:rsid w:val="00F60BD7"/>
    <w:rsid w:val="00F61884"/>
    <w:rsid w:val="00F62F09"/>
    <w:rsid w:val="00F636AA"/>
    <w:rsid w:val="00F639E3"/>
    <w:rsid w:val="00F652C1"/>
    <w:rsid w:val="00F653E5"/>
    <w:rsid w:val="00F6733A"/>
    <w:rsid w:val="00F71435"/>
    <w:rsid w:val="00F722F0"/>
    <w:rsid w:val="00F72795"/>
    <w:rsid w:val="00F737E6"/>
    <w:rsid w:val="00F7571D"/>
    <w:rsid w:val="00F82F09"/>
    <w:rsid w:val="00F84430"/>
    <w:rsid w:val="00F86E95"/>
    <w:rsid w:val="00F8787F"/>
    <w:rsid w:val="00F90992"/>
    <w:rsid w:val="00F916A0"/>
    <w:rsid w:val="00F92A4A"/>
    <w:rsid w:val="00F93209"/>
    <w:rsid w:val="00F940CE"/>
    <w:rsid w:val="00F945C3"/>
    <w:rsid w:val="00F95BB7"/>
    <w:rsid w:val="00F964EE"/>
    <w:rsid w:val="00F97DCC"/>
    <w:rsid w:val="00FA0A23"/>
    <w:rsid w:val="00FA11E7"/>
    <w:rsid w:val="00FA21D9"/>
    <w:rsid w:val="00FB0015"/>
    <w:rsid w:val="00FB02F4"/>
    <w:rsid w:val="00FB06BD"/>
    <w:rsid w:val="00FB27A4"/>
    <w:rsid w:val="00FB3E94"/>
    <w:rsid w:val="00FB54DF"/>
    <w:rsid w:val="00FC09D2"/>
    <w:rsid w:val="00FC18A4"/>
    <w:rsid w:val="00FC198C"/>
    <w:rsid w:val="00FC32BE"/>
    <w:rsid w:val="00FC44A7"/>
    <w:rsid w:val="00FD081B"/>
    <w:rsid w:val="00FD0C62"/>
    <w:rsid w:val="00FD129D"/>
    <w:rsid w:val="00FD15E2"/>
    <w:rsid w:val="00FD263A"/>
    <w:rsid w:val="00FD344F"/>
    <w:rsid w:val="00FD4455"/>
    <w:rsid w:val="00FD64A5"/>
    <w:rsid w:val="00FE10FC"/>
    <w:rsid w:val="00FE3E55"/>
    <w:rsid w:val="00FE40D5"/>
    <w:rsid w:val="00FE4450"/>
    <w:rsid w:val="00FE4543"/>
    <w:rsid w:val="00FE54CA"/>
    <w:rsid w:val="00FE6F06"/>
    <w:rsid w:val="00FE76AD"/>
    <w:rsid w:val="00FF6A96"/>
    <w:rsid w:val="00FF6DE5"/>
    <w:rsid w:val="00FF6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docId w15:val="{A161097A-9154-4954-9287-FA5468DC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3"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 w:unhideWhenUsed="1" w:qFormat="1"/>
    <w:lsdException w:name="annotation text" w:semiHidden="1" w:uiPriority="4" w:unhideWhenUsed="1"/>
    <w:lsdException w:name="header" w:semiHidden="1" w:uiPriority="4" w:unhideWhenUsed="1"/>
    <w:lsdException w:name="footer" w:semiHidden="1" w:uiPriority="4"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qFormat/>
    <w:rsid w:val="003B79D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APVMA_H1,H1"/>
    <w:basedOn w:val="NormalText"/>
    <w:next w:val="NormalText"/>
    <w:link w:val="Heading1Char"/>
    <w:qFormat/>
    <w:rsid w:val="00054058"/>
    <w:pPr>
      <w:keepNext/>
      <w:keepLines/>
      <w:pageBreakBefore/>
      <w:numPr>
        <w:numId w:val="23"/>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qFormat/>
    <w:rsid w:val="00054058"/>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3"/>
    <w:qFormat/>
    <w:rsid w:val="00DE4AD4"/>
    <w:pPr>
      <w:numPr>
        <w:ilvl w:val="2"/>
      </w:numPr>
      <w:tabs>
        <w:tab w:val="num" w:pos="907"/>
      </w:tabs>
      <w:spacing w:before="320" w:line="280" w:lineRule="exact"/>
      <w:ind w:left="1021" w:hanging="1021"/>
      <w:outlineLvl w:val="2"/>
    </w:pPr>
    <w:rPr>
      <w:sz w:val="24"/>
      <w:szCs w:val="26"/>
    </w:rPr>
  </w:style>
  <w:style w:type="paragraph" w:styleId="Heading4">
    <w:name w:val="heading 4"/>
    <w:aliases w:val="APVMA_H4,H4,bro Titre 4,h4"/>
    <w:basedOn w:val="Heading3"/>
    <w:next w:val="NormalText"/>
    <w:link w:val="Heading4Char"/>
    <w:uiPriority w:val="4"/>
    <w:rsid w:val="00452764"/>
    <w:pPr>
      <w:numPr>
        <w:ilvl w:val="3"/>
      </w:numPr>
      <w:tabs>
        <w:tab w:val="num" w:pos="907"/>
      </w:tabs>
      <w:spacing w:before="280" w:line="260" w:lineRule="exact"/>
      <w:ind w:left="1021" w:hanging="1021"/>
      <w:outlineLvl w:val="3"/>
    </w:pPr>
    <w:rPr>
      <w:sz w:val="22"/>
      <w:szCs w:val="28"/>
    </w:rPr>
  </w:style>
  <w:style w:type="paragraph" w:styleId="Heading5">
    <w:name w:val="heading 5"/>
    <w:aliases w:val="APVMA_H5,H5,bro Titre 5"/>
    <w:basedOn w:val="Heading4"/>
    <w:next w:val="NormalText"/>
    <w:link w:val="Heading5Char"/>
    <w:uiPriority w:val="4"/>
    <w:rsid w:val="00054058"/>
    <w:pPr>
      <w:numPr>
        <w:ilvl w:val="4"/>
      </w:numPr>
      <w:tabs>
        <w:tab w:val="num" w:pos="907"/>
      </w:tabs>
      <w:spacing w:before="260"/>
      <w:outlineLvl w:val="4"/>
    </w:pPr>
    <w:rPr>
      <w:sz w:val="21"/>
      <w:szCs w:val="26"/>
    </w:rPr>
  </w:style>
  <w:style w:type="paragraph" w:styleId="Heading6">
    <w:name w:val="heading 6"/>
    <w:basedOn w:val="Normal"/>
    <w:next w:val="Normal"/>
    <w:link w:val="Heading6Char"/>
    <w:uiPriority w:val="4"/>
    <w:rsid w:val="00054058"/>
    <w:pPr>
      <w:numPr>
        <w:ilvl w:val="5"/>
        <w:numId w:val="23"/>
      </w:numPr>
      <w:spacing w:before="240" w:after="60"/>
      <w:outlineLvl w:val="5"/>
    </w:pPr>
    <w:rPr>
      <w:rFonts w:ascii="Times New Roman" w:hAnsi="Times New Roman"/>
      <w:b/>
      <w:bCs/>
    </w:rPr>
  </w:style>
  <w:style w:type="paragraph" w:styleId="Heading7">
    <w:name w:val="heading 7"/>
    <w:basedOn w:val="Normal"/>
    <w:next w:val="Normal"/>
    <w:link w:val="Heading7Char"/>
    <w:uiPriority w:val="4"/>
    <w:rsid w:val="00054058"/>
    <w:pPr>
      <w:numPr>
        <w:ilvl w:val="6"/>
        <w:numId w:val="23"/>
      </w:numPr>
      <w:spacing w:before="240" w:after="60"/>
      <w:outlineLvl w:val="6"/>
    </w:pPr>
    <w:rPr>
      <w:rFonts w:ascii="Times New Roman" w:hAnsi="Times New Roman"/>
    </w:rPr>
  </w:style>
  <w:style w:type="paragraph" w:styleId="Heading8">
    <w:name w:val="heading 8"/>
    <w:basedOn w:val="Normal"/>
    <w:next w:val="Normal"/>
    <w:link w:val="Heading8Char"/>
    <w:uiPriority w:val="4"/>
    <w:rsid w:val="00054058"/>
    <w:pPr>
      <w:numPr>
        <w:ilvl w:val="7"/>
        <w:numId w:val="23"/>
      </w:numPr>
      <w:spacing w:before="240" w:after="60"/>
      <w:outlineLvl w:val="7"/>
    </w:pPr>
    <w:rPr>
      <w:rFonts w:ascii="Times New Roman" w:hAnsi="Times New Roman"/>
      <w:i/>
      <w:iCs/>
    </w:rPr>
  </w:style>
  <w:style w:type="paragraph" w:styleId="Heading9">
    <w:name w:val="heading 9"/>
    <w:basedOn w:val="Normal"/>
    <w:next w:val="Normal"/>
    <w:link w:val="Heading9Char"/>
    <w:uiPriority w:val="4"/>
    <w:rsid w:val="00054058"/>
    <w:pPr>
      <w:numPr>
        <w:ilvl w:val="8"/>
        <w:numId w:val="23"/>
      </w:numPr>
      <w:spacing w:before="240" w:after="60"/>
      <w:outlineLvl w:val="8"/>
    </w:pPr>
    <w:rPr>
      <w:rFonts w:cs="Arial"/>
    </w:rPr>
  </w:style>
  <w:style w:type="character" w:default="1" w:styleId="DefaultParagraphFont">
    <w:name w:val="Default Paragraph Font"/>
    <w:uiPriority w:val="1"/>
    <w:semiHidden/>
    <w:unhideWhenUsed/>
    <w:rsid w:val="003B79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79D2"/>
  </w:style>
  <w:style w:type="paragraph" w:customStyle="1" w:styleId="NormalText">
    <w:name w:val="Normal Text"/>
    <w:basedOn w:val="Normal"/>
    <w:link w:val="NormalTextChar"/>
    <w:qFormat/>
    <w:rsid w:val="00305087"/>
    <w:pPr>
      <w:suppressAutoHyphens/>
      <w:spacing w:before="240" w:after="240" w:line="280" w:lineRule="exact"/>
    </w:pPr>
    <w:rPr>
      <w:rFonts w:ascii="Arial" w:hAnsi="Arial" w:cs="Arial"/>
      <w:kern w:val="20"/>
      <w:sz w:val="19"/>
      <w:u w:color="000000"/>
    </w:rPr>
  </w:style>
  <w:style w:type="paragraph" w:styleId="CommentText">
    <w:name w:val="annotation text"/>
    <w:link w:val="CommentTextChar"/>
    <w:uiPriority w:val="4"/>
    <w:rsid w:val="00054058"/>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054058"/>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uiPriority w:val="4"/>
    <w:rsid w:val="00054058"/>
    <w:pPr>
      <w:spacing w:after="0" w:line="180" w:lineRule="exact"/>
      <w:ind w:left="227" w:hanging="227"/>
    </w:pPr>
    <w:rPr>
      <w:spacing w:val="6"/>
      <w:sz w:val="16"/>
      <w:szCs w:val="20"/>
    </w:rPr>
  </w:style>
  <w:style w:type="character" w:styleId="Emphasis">
    <w:name w:val="Emphasis"/>
    <w:uiPriority w:val="4"/>
    <w:rsid w:val="00054058"/>
    <w:rPr>
      <w:i/>
      <w:iCs/>
    </w:rPr>
  </w:style>
  <w:style w:type="paragraph" w:styleId="TOC2">
    <w:name w:val="toc 2"/>
    <w:aliases w:val="ToC - Level 2,APVMA_TOC 2"/>
    <w:basedOn w:val="Normal"/>
    <w:uiPriority w:val="39"/>
    <w:rsid w:val="00FB3E94"/>
    <w:pPr>
      <w:tabs>
        <w:tab w:val="right" w:pos="9639"/>
      </w:tabs>
      <w:spacing w:before="60" w:line="280" w:lineRule="exact"/>
      <w:ind w:left="454" w:hanging="454"/>
    </w:pPr>
    <w:rPr>
      <w:rFonts w:ascii="Arial" w:hAnsi="Arial"/>
      <w:b/>
      <w:noProof/>
      <w:color w:val="000000"/>
      <w:sz w:val="18"/>
    </w:rPr>
  </w:style>
  <w:style w:type="paragraph" w:styleId="TOC3">
    <w:name w:val="toc 3"/>
    <w:aliases w:val="ToC - Level 3,APVMA_TOC 3"/>
    <w:basedOn w:val="Normal"/>
    <w:uiPriority w:val="39"/>
    <w:rsid w:val="00FB3E94"/>
    <w:pPr>
      <w:tabs>
        <w:tab w:val="right" w:pos="9639"/>
      </w:tabs>
      <w:spacing w:before="40" w:line="240" w:lineRule="exact"/>
      <w:ind w:left="454"/>
    </w:pPr>
    <w:rPr>
      <w:rFonts w:ascii="Arial" w:hAnsi="Arial"/>
      <w:noProof/>
      <w:sz w:val="18"/>
    </w:rPr>
  </w:style>
  <w:style w:type="paragraph" w:styleId="TOC4">
    <w:name w:val="toc 4"/>
    <w:basedOn w:val="Normal"/>
    <w:next w:val="Normal"/>
    <w:autoRedefine/>
    <w:uiPriority w:val="39"/>
    <w:rsid w:val="00054058"/>
    <w:pPr>
      <w:ind w:left="600"/>
    </w:pPr>
  </w:style>
  <w:style w:type="paragraph" w:styleId="TOC5">
    <w:name w:val="toc 5"/>
    <w:basedOn w:val="Normal"/>
    <w:next w:val="Normal"/>
    <w:autoRedefine/>
    <w:uiPriority w:val="39"/>
    <w:rsid w:val="00054058"/>
    <w:pPr>
      <w:ind w:left="800"/>
    </w:pPr>
  </w:style>
  <w:style w:type="paragraph" w:styleId="TOC6">
    <w:name w:val="toc 6"/>
    <w:basedOn w:val="Normal"/>
    <w:next w:val="Normal"/>
    <w:autoRedefine/>
    <w:uiPriority w:val="39"/>
    <w:rsid w:val="00054058"/>
    <w:pPr>
      <w:ind w:left="1200"/>
    </w:pPr>
  </w:style>
  <w:style w:type="paragraph" w:styleId="TOC7">
    <w:name w:val="toc 7"/>
    <w:basedOn w:val="Normal"/>
    <w:next w:val="Normal"/>
    <w:autoRedefine/>
    <w:uiPriority w:val="39"/>
    <w:rsid w:val="00054058"/>
    <w:pPr>
      <w:ind w:left="1440"/>
    </w:pPr>
  </w:style>
  <w:style w:type="paragraph" w:styleId="TOC8">
    <w:name w:val="toc 8"/>
    <w:basedOn w:val="Normal"/>
    <w:next w:val="Normal"/>
    <w:autoRedefine/>
    <w:uiPriority w:val="39"/>
    <w:rsid w:val="00054058"/>
    <w:pPr>
      <w:ind w:left="1680"/>
    </w:pPr>
  </w:style>
  <w:style w:type="paragraph" w:styleId="TOC9">
    <w:name w:val="toc 9"/>
    <w:basedOn w:val="Normal"/>
    <w:next w:val="Normal"/>
    <w:autoRedefine/>
    <w:uiPriority w:val="39"/>
    <w:rsid w:val="00054058"/>
    <w:pPr>
      <w:ind w:left="1920"/>
    </w:pPr>
  </w:style>
  <w:style w:type="character" w:styleId="Hyperlink">
    <w:name w:val="Hyperlink"/>
    <w:uiPriority w:val="99"/>
    <w:rsid w:val="00054058"/>
    <w:rPr>
      <w:color w:val="0000FF"/>
      <w:u w:val="single"/>
    </w:rPr>
  </w:style>
  <w:style w:type="paragraph" w:customStyle="1" w:styleId="TableBullet">
    <w:name w:val="TableBullet"/>
    <w:basedOn w:val="TableText"/>
    <w:uiPriority w:val="4"/>
    <w:rsid w:val="00054058"/>
    <w:pPr>
      <w:numPr>
        <w:numId w:val="7"/>
      </w:numPr>
      <w:spacing w:after="60"/>
    </w:pPr>
  </w:style>
  <w:style w:type="paragraph" w:customStyle="1" w:styleId="TableText">
    <w:name w:val="TableText"/>
    <w:basedOn w:val="NormalText"/>
    <w:uiPriority w:val="4"/>
    <w:qFormat/>
    <w:rsid w:val="00054058"/>
    <w:pPr>
      <w:spacing w:before="120" w:after="120" w:line="210" w:lineRule="exact"/>
    </w:pPr>
    <w:rPr>
      <w:spacing w:val="6"/>
      <w:sz w:val="17"/>
    </w:rPr>
  </w:style>
  <w:style w:type="paragraph" w:customStyle="1" w:styleId="TableHead">
    <w:name w:val="TableHead"/>
    <w:basedOn w:val="TableText"/>
    <w:uiPriority w:val="4"/>
    <w:qFormat/>
    <w:rsid w:val="00054058"/>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rsid w:val="00054058"/>
    <w:pPr>
      <w:numPr>
        <w:numId w:val="6"/>
      </w:numPr>
      <w:spacing w:before="120" w:after="120"/>
    </w:pPr>
  </w:style>
  <w:style w:type="paragraph" w:styleId="Header">
    <w:name w:val="header"/>
    <w:basedOn w:val="Normal"/>
    <w:link w:val="HeaderChar"/>
    <w:uiPriority w:val="4"/>
    <w:rsid w:val="00054058"/>
    <w:pPr>
      <w:tabs>
        <w:tab w:val="center" w:pos="4153"/>
        <w:tab w:val="right" w:pos="8306"/>
      </w:tabs>
    </w:pPr>
  </w:style>
  <w:style w:type="character" w:styleId="Strong">
    <w:name w:val="Strong"/>
    <w:uiPriority w:val="4"/>
    <w:rsid w:val="00054058"/>
    <w:rPr>
      <w:b/>
      <w:bCs/>
    </w:rPr>
  </w:style>
  <w:style w:type="paragraph" w:styleId="Footer">
    <w:name w:val="footer"/>
    <w:basedOn w:val="Normal"/>
    <w:link w:val="FooterChar"/>
    <w:uiPriority w:val="4"/>
    <w:rsid w:val="00054058"/>
    <w:pPr>
      <w:tabs>
        <w:tab w:val="center" w:pos="4153"/>
        <w:tab w:val="right" w:pos="8306"/>
      </w:tabs>
    </w:pPr>
  </w:style>
  <w:style w:type="character" w:styleId="PageNumber">
    <w:name w:val="page number"/>
    <w:aliases w:val="APVMA Page Number"/>
    <w:uiPriority w:val="4"/>
    <w:rsid w:val="00054058"/>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054058"/>
    <w:pPr>
      <w:spacing w:before="0" w:after="0" w:line="280" w:lineRule="atLeast"/>
    </w:pPr>
    <w:rPr>
      <w:spacing w:val="6"/>
      <w:sz w:val="16"/>
    </w:rPr>
  </w:style>
  <w:style w:type="character" w:styleId="CommentReference">
    <w:name w:val="annotation reference"/>
    <w:uiPriority w:val="4"/>
    <w:rsid w:val="00054058"/>
    <w:rPr>
      <w:sz w:val="16"/>
      <w:szCs w:val="16"/>
    </w:rPr>
  </w:style>
  <w:style w:type="paragraph" w:customStyle="1" w:styleId="EvenHeader">
    <w:name w:val="Even_Header"/>
    <w:basedOn w:val="OddHeader"/>
    <w:uiPriority w:val="4"/>
    <w:rsid w:val="00054058"/>
    <w:pPr>
      <w:tabs>
        <w:tab w:val="clear" w:pos="9072"/>
        <w:tab w:val="left" w:pos="567"/>
      </w:tabs>
      <w:ind w:left="567" w:hanging="567"/>
    </w:pPr>
  </w:style>
  <w:style w:type="paragraph" w:customStyle="1" w:styleId="Bullet1">
    <w:name w:val="Bullet1"/>
    <w:basedOn w:val="NormalText"/>
    <w:link w:val="Bullet1Char"/>
    <w:uiPriority w:val="4"/>
    <w:qFormat/>
    <w:rsid w:val="00054058"/>
    <w:pPr>
      <w:numPr>
        <w:numId w:val="3"/>
      </w:numPr>
      <w:spacing w:before="120" w:after="120"/>
    </w:pPr>
  </w:style>
  <w:style w:type="paragraph" w:customStyle="1" w:styleId="TableHeadRight">
    <w:name w:val="TableHead_Right"/>
    <w:basedOn w:val="TableHead"/>
    <w:uiPriority w:val="4"/>
    <w:rsid w:val="00054058"/>
    <w:pPr>
      <w:jc w:val="right"/>
    </w:pPr>
  </w:style>
  <w:style w:type="paragraph" w:customStyle="1" w:styleId="Bullet2">
    <w:name w:val="Bullet2"/>
    <w:basedOn w:val="Bullet1"/>
    <w:link w:val="Bullet2Char"/>
    <w:uiPriority w:val="4"/>
    <w:qFormat/>
    <w:rsid w:val="00054058"/>
    <w:pPr>
      <w:numPr>
        <w:numId w:val="2"/>
      </w:numPr>
      <w:spacing w:before="60"/>
    </w:pPr>
  </w:style>
  <w:style w:type="character" w:styleId="FootnoteReference">
    <w:name w:val="footnote reference"/>
    <w:uiPriority w:val="4"/>
    <w:rsid w:val="00054058"/>
    <w:rPr>
      <w:vertAlign w:val="superscript"/>
    </w:rPr>
  </w:style>
  <w:style w:type="paragraph" w:customStyle="1" w:styleId="Quotes">
    <w:name w:val="Quotes"/>
    <w:basedOn w:val="NormalText"/>
    <w:uiPriority w:val="4"/>
    <w:rsid w:val="00054058"/>
    <w:pPr>
      <w:ind w:left="567" w:right="567"/>
    </w:pPr>
    <w:rPr>
      <w:rFonts w:ascii="Franklin Gothic Medium" w:hAnsi="Franklin Gothic Medium"/>
      <w:sz w:val="20"/>
    </w:rPr>
  </w:style>
  <w:style w:type="paragraph" w:customStyle="1" w:styleId="TableTextRight">
    <w:name w:val="TableText_Right"/>
    <w:basedOn w:val="TableText"/>
    <w:uiPriority w:val="4"/>
    <w:rsid w:val="00054058"/>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rsid w:val="00054058"/>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rsid w:val="00054058"/>
    <w:pPr>
      <w:pageBreakBefore w:val="0"/>
      <w:outlineLvl w:val="9"/>
    </w:pPr>
    <w:rPr>
      <w:bCs/>
      <w:szCs w:val="20"/>
    </w:rPr>
  </w:style>
  <w:style w:type="paragraph" w:customStyle="1" w:styleId="TableSubHead">
    <w:name w:val="Table_SubHead"/>
    <w:basedOn w:val="TableHead"/>
    <w:uiPriority w:val="4"/>
    <w:rsid w:val="00054058"/>
    <w:rPr>
      <w:color w:val="5C2946"/>
    </w:rPr>
  </w:style>
  <w:style w:type="paragraph" w:styleId="TableofFigures">
    <w:name w:val="table of figures"/>
    <w:aliases w:val="APVMA_ToF"/>
    <w:basedOn w:val="TOC3"/>
    <w:uiPriority w:val="99"/>
    <w:rsid w:val="00054058"/>
    <w:pPr>
      <w:ind w:left="851" w:hanging="851"/>
    </w:pPr>
  </w:style>
  <w:style w:type="paragraph" w:customStyle="1" w:styleId="OddHeader">
    <w:name w:val="Odd_Header"/>
    <w:basedOn w:val="NormalText"/>
    <w:uiPriority w:val="4"/>
    <w:rsid w:val="00054058"/>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054058"/>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054058"/>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rsid w:val="00054058"/>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rsid w:val="00054058"/>
    <w:pPr>
      <w:spacing w:before="960"/>
    </w:pPr>
    <w:rPr>
      <w:color w:val="666666"/>
    </w:rPr>
  </w:style>
  <w:style w:type="paragraph" w:customStyle="1" w:styleId="APVMAAddress">
    <w:name w:val="APVMA_Address"/>
    <w:basedOn w:val="NormalText"/>
    <w:uiPriority w:val="4"/>
    <w:rsid w:val="00054058"/>
    <w:pPr>
      <w:tabs>
        <w:tab w:val="left" w:pos="1361"/>
      </w:tabs>
      <w:spacing w:before="0" w:after="60"/>
      <w:ind w:left="567"/>
    </w:pPr>
    <w:rPr>
      <w:bCs/>
    </w:rPr>
  </w:style>
  <w:style w:type="paragraph" w:customStyle="1" w:styleId="APVMATextIndented">
    <w:name w:val="APVMA_Text_Indented"/>
    <w:basedOn w:val="NormalText"/>
    <w:uiPriority w:val="4"/>
    <w:rsid w:val="00054058"/>
    <w:pPr>
      <w:ind w:left="340"/>
    </w:pPr>
  </w:style>
  <w:style w:type="paragraph" w:customStyle="1" w:styleId="APVMAImprintText">
    <w:name w:val="APVMA_Imprint_Text"/>
    <w:basedOn w:val="Normal"/>
    <w:rsid w:val="00054058"/>
    <w:pPr>
      <w:spacing w:before="120" w:after="120" w:line="240" w:lineRule="exact"/>
    </w:pPr>
    <w:rPr>
      <w:spacing w:val="6"/>
    </w:rPr>
  </w:style>
  <w:style w:type="paragraph" w:customStyle="1" w:styleId="AppendixH1">
    <w:name w:val="Appendix_H1"/>
    <w:basedOn w:val="PreliminariesH1"/>
    <w:next w:val="NormalText"/>
    <w:uiPriority w:val="4"/>
    <w:rsid w:val="00054058"/>
    <w:pPr>
      <w:tabs>
        <w:tab w:val="left" w:pos="2058"/>
      </w:tabs>
      <w:ind w:left="2044" w:hanging="2044"/>
    </w:pPr>
  </w:style>
  <w:style w:type="character" w:styleId="FollowedHyperlink">
    <w:name w:val="FollowedHyperlink"/>
    <w:uiPriority w:val="4"/>
    <w:semiHidden/>
    <w:rsid w:val="00054058"/>
    <w:rPr>
      <w:color w:val="800080"/>
      <w:u w:val="single"/>
    </w:rPr>
  </w:style>
  <w:style w:type="paragraph" w:customStyle="1" w:styleId="PreliminariesH1">
    <w:name w:val="Preliminaries_H1"/>
    <w:basedOn w:val="Heading1"/>
    <w:next w:val="NormalText"/>
    <w:uiPriority w:val="4"/>
    <w:rsid w:val="00FB3E94"/>
    <w:pPr>
      <w:numPr>
        <w:numId w:val="0"/>
      </w:numPr>
    </w:pPr>
    <w:rPr>
      <w:bCs/>
      <w:szCs w:val="30"/>
    </w:rPr>
  </w:style>
  <w:style w:type="paragraph" w:customStyle="1" w:styleId="PreliminariesH2">
    <w:name w:val="Preliminaries_H2"/>
    <w:basedOn w:val="Heading2"/>
    <w:next w:val="NormalText"/>
    <w:uiPriority w:val="4"/>
    <w:rsid w:val="00054058"/>
    <w:pPr>
      <w:numPr>
        <w:ilvl w:val="0"/>
        <w:numId w:val="0"/>
      </w:numPr>
    </w:pPr>
  </w:style>
  <w:style w:type="paragraph" w:customStyle="1" w:styleId="PreliminariesH3">
    <w:name w:val="Preliminaries_H3"/>
    <w:basedOn w:val="Heading3"/>
    <w:uiPriority w:val="4"/>
    <w:rsid w:val="00054058"/>
  </w:style>
  <w:style w:type="paragraph" w:customStyle="1" w:styleId="GlossaryRefH1">
    <w:name w:val="Glossary/Ref_H1"/>
    <w:basedOn w:val="PreliminariesH1"/>
    <w:uiPriority w:val="4"/>
    <w:rsid w:val="00054058"/>
    <w:pPr>
      <w:spacing w:after="240"/>
    </w:pPr>
  </w:style>
  <w:style w:type="paragraph" w:customStyle="1" w:styleId="APVMAImage">
    <w:name w:val="APVMA_Image"/>
    <w:basedOn w:val="Normal"/>
    <w:uiPriority w:val="4"/>
    <w:rsid w:val="00054058"/>
    <w:pPr>
      <w:spacing w:before="240" w:after="240"/>
    </w:pPr>
  </w:style>
  <w:style w:type="paragraph" w:customStyle="1" w:styleId="ListAlpha">
    <w:name w:val="List_Alpha"/>
    <w:basedOn w:val="NormalText"/>
    <w:uiPriority w:val="4"/>
    <w:qFormat/>
    <w:rsid w:val="00054058"/>
    <w:pPr>
      <w:numPr>
        <w:numId w:val="5"/>
      </w:numPr>
      <w:spacing w:before="120" w:after="120"/>
    </w:pPr>
  </w:style>
  <w:style w:type="paragraph" w:customStyle="1" w:styleId="AppendixH2">
    <w:name w:val="Appendix_H2"/>
    <w:basedOn w:val="PreliminariesH2"/>
    <w:next w:val="NormalText"/>
    <w:uiPriority w:val="4"/>
    <w:rsid w:val="00054058"/>
    <w:rPr>
      <w:bCs/>
    </w:rPr>
  </w:style>
  <w:style w:type="paragraph" w:customStyle="1" w:styleId="AppendixH3">
    <w:name w:val="Appendix_H3"/>
    <w:basedOn w:val="PreliminariesH3"/>
    <w:next w:val="NormalText"/>
    <w:uiPriority w:val="4"/>
    <w:rsid w:val="00054058"/>
  </w:style>
  <w:style w:type="paragraph" w:customStyle="1" w:styleId="APVMABullet3">
    <w:name w:val="APVMA_Bullet3"/>
    <w:basedOn w:val="Bullet2"/>
    <w:uiPriority w:val="4"/>
    <w:rsid w:val="00054058"/>
    <w:pPr>
      <w:numPr>
        <w:numId w:val="4"/>
      </w:numPr>
      <w:spacing w:before="120"/>
      <w:ind w:left="1020" w:hanging="340"/>
    </w:pPr>
  </w:style>
  <w:style w:type="paragraph" w:customStyle="1" w:styleId="APVMASectionTitle">
    <w:name w:val="APVMA_Section_Title"/>
    <w:basedOn w:val="Normal"/>
    <w:uiPriority w:val="4"/>
    <w:rsid w:val="00054058"/>
    <w:pPr>
      <w:spacing w:before="840"/>
      <w:jc w:val="right"/>
    </w:pPr>
    <w:rPr>
      <w:rFonts w:ascii="Trebuchet MS" w:hAnsi="Trebuchet MS"/>
      <w:caps/>
      <w:color w:val="53284F"/>
      <w:sz w:val="48"/>
    </w:rPr>
  </w:style>
  <w:style w:type="paragraph" w:customStyle="1" w:styleId="APVMACoverDate">
    <w:name w:val="APVMA_Cover_Date"/>
    <w:basedOn w:val="Normal"/>
    <w:uiPriority w:val="4"/>
    <w:rsid w:val="00054058"/>
    <w:rPr>
      <w:rFonts w:ascii="Orator Std" w:hAnsi="Orator Std"/>
      <w:caps/>
      <w:color w:val="F8F8F8"/>
    </w:rPr>
  </w:style>
  <w:style w:type="paragraph" w:styleId="BalloonText">
    <w:name w:val="Balloon Text"/>
    <w:basedOn w:val="Normal"/>
    <w:link w:val="BalloonTextChar"/>
    <w:uiPriority w:val="99"/>
    <w:semiHidden/>
    <w:unhideWhenUsed/>
    <w:rsid w:val="00054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058"/>
    <w:rPr>
      <w:rFonts w:ascii="Segoe UI" w:hAnsi="Segoe UI" w:cs="Segoe UI"/>
      <w:color w:val="1A1B1A" w:themeColor="text1" w:themeShade="80"/>
      <w:sz w:val="18"/>
      <w:szCs w:val="18"/>
      <w:lang w:eastAsia="en-US"/>
    </w:rPr>
  </w:style>
  <w:style w:type="character" w:styleId="PlaceholderText">
    <w:name w:val="Placeholder Text"/>
    <w:basedOn w:val="DefaultParagraphFont"/>
    <w:uiPriority w:val="99"/>
    <w:semiHidden/>
    <w:rsid w:val="00054058"/>
    <w:rPr>
      <w:color w:val="808080"/>
    </w:rPr>
  </w:style>
  <w:style w:type="character" w:customStyle="1" w:styleId="Superscript">
    <w:name w:val="Superscript"/>
    <w:basedOn w:val="DefaultParagraphFont"/>
    <w:uiPriority w:val="1"/>
    <w:qFormat/>
    <w:rsid w:val="00054058"/>
    <w:rPr>
      <w:vertAlign w:val="superscript"/>
    </w:rPr>
  </w:style>
  <w:style w:type="character" w:customStyle="1" w:styleId="APVMASubscript">
    <w:name w:val="APVMA_Subscript"/>
    <w:basedOn w:val="DefaultParagraphFont"/>
    <w:uiPriority w:val="1"/>
    <w:rsid w:val="00054058"/>
    <w:rPr>
      <w:vertAlign w:val="subscript"/>
    </w:rPr>
  </w:style>
  <w:style w:type="character" w:customStyle="1" w:styleId="CommentTextChar">
    <w:name w:val="Comment Text Char"/>
    <w:basedOn w:val="DefaultParagraphFont"/>
    <w:link w:val="CommentText"/>
    <w:uiPriority w:val="4"/>
    <w:rsid w:val="00054058"/>
    <w:rPr>
      <w:rFonts w:ascii="Arial" w:hAnsi="Arial"/>
      <w:lang w:eastAsia="en-US"/>
    </w:rPr>
  </w:style>
  <w:style w:type="paragraph" w:customStyle="1" w:styleId="TOCH1">
    <w:name w:val="TOC H1"/>
    <w:basedOn w:val="TOAHeading"/>
    <w:uiPriority w:val="4"/>
    <w:rsid w:val="00054058"/>
    <w:pPr>
      <w:spacing w:after="240"/>
    </w:pPr>
  </w:style>
  <w:style w:type="paragraph" w:customStyle="1" w:styleId="Coverdate">
    <w:name w:val="Cover date"/>
    <w:basedOn w:val="CoverSubtitle"/>
    <w:uiPriority w:val="4"/>
    <w:rsid w:val="00054058"/>
    <w:pPr>
      <w:jc w:val="center"/>
    </w:pPr>
    <w:rPr>
      <w:sz w:val="28"/>
    </w:rPr>
  </w:style>
  <w:style w:type="paragraph" w:customStyle="1" w:styleId="Boxcaption">
    <w:name w:val="Box caption"/>
    <w:basedOn w:val="Caption"/>
    <w:uiPriority w:val="4"/>
    <w:rsid w:val="00054058"/>
  </w:style>
  <w:style w:type="paragraph" w:customStyle="1" w:styleId="Boxtext">
    <w:name w:val="Box text"/>
    <w:basedOn w:val="TableText"/>
    <w:uiPriority w:val="4"/>
    <w:rsid w:val="00054058"/>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054058"/>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054058"/>
    <w:rPr>
      <w:rFonts w:ascii="Arial" w:hAnsi="Arial"/>
      <w:b/>
      <w:bCs/>
      <w:color w:val="1A1B1A" w:themeColor="text1" w:themeShade="80"/>
      <w:lang w:eastAsia="en-US"/>
    </w:rPr>
  </w:style>
  <w:style w:type="paragraph" w:styleId="Revision">
    <w:name w:val="Revision"/>
    <w:hidden/>
    <w:uiPriority w:val="99"/>
    <w:semiHidden/>
    <w:rsid w:val="00054058"/>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054058"/>
    <w:pPr>
      <w:spacing w:before="1440"/>
      <w:jc w:val="center"/>
    </w:pPr>
    <w:rPr>
      <w:i/>
      <w:noProof/>
      <w:sz w:val="28"/>
      <w:szCs w:val="28"/>
    </w:rPr>
  </w:style>
  <w:style w:type="character" w:customStyle="1" w:styleId="NormalTextChar">
    <w:name w:val="Normal Text Char"/>
    <w:basedOn w:val="DefaultParagraphFont"/>
    <w:link w:val="NormalText"/>
    <w:rsid w:val="00305087"/>
    <w:rPr>
      <w:rFonts w:ascii="Arial" w:eastAsiaTheme="minorHAnsi" w:hAnsi="Arial" w:cs="Arial"/>
      <w:kern w:val="20"/>
      <w:sz w:val="19"/>
      <w:szCs w:val="22"/>
      <w:u w:color="000000"/>
      <w:lang w:eastAsia="en-US"/>
    </w:rPr>
  </w:style>
  <w:style w:type="character" w:customStyle="1" w:styleId="Bullet1Char">
    <w:name w:val="Bullet1 Char"/>
    <w:basedOn w:val="NormalTextChar"/>
    <w:link w:val="Bullet1"/>
    <w:uiPriority w:val="4"/>
    <w:rsid w:val="00054058"/>
    <w:rPr>
      <w:rFonts w:ascii="Arial" w:eastAsiaTheme="minorHAnsi"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054058"/>
    <w:rPr>
      <w:rFonts w:ascii="Arial" w:eastAsiaTheme="minorHAnsi"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054058"/>
    <w:rPr>
      <w:rFonts w:ascii="Arial" w:eastAsiaTheme="minorHAnsi"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054058"/>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054058"/>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054058"/>
    <w:rPr>
      <w:rFonts w:ascii="Franklin Gothic Medium" w:hAnsi="Franklin Gothic Medium"/>
      <w:color w:val="5C2946"/>
      <w:szCs w:val="24"/>
      <w:lang w:eastAsia="en-US"/>
    </w:rPr>
  </w:style>
  <w:style w:type="table" w:styleId="TableGrid">
    <w:name w:val="Table Grid"/>
    <w:aliases w:val="DAR007,Signature Table,MyTable,Tabellenraster1"/>
    <w:basedOn w:val="TableNormal"/>
    <w:uiPriority w:val="39"/>
    <w:rsid w:val="00D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PVMA_Footnote Char,DAR001 Char,Tabellenanmerkung Char,EFSA op_Footnote Char,FEEDAP Op_Footnote Char"/>
    <w:basedOn w:val="DefaultParagraphFont"/>
    <w:link w:val="FootnoteText"/>
    <w:uiPriority w:val="4"/>
    <w:rsid w:val="00D37E62"/>
    <w:rPr>
      <w:rFonts w:ascii="Arial" w:hAnsi="Arial" w:cs="Arial"/>
      <w:color w:val="1A1B1A" w:themeColor="text1" w:themeShade="80"/>
      <w:spacing w:val="6"/>
      <w:kern w:val="20"/>
      <w:sz w:val="16"/>
      <w:u w:color="000000"/>
      <w:lang w:eastAsia="en-US"/>
    </w:rPr>
  </w:style>
  <w:style w:type="paragraph" w:customStyle="1" w:styleId="APVMATableText">
    <w:name w:val="APVMA_TableText"/>
    <w:basedOn w:val="NormalText"/>
    <w:link w:val="APVMATableTextChar"/>
    <w:uiPriority w:val="4"/>
    <w:qFormat/>
    <w:rsid w:val="0082778D"/>
    <w:pPr>
      <w:spacing w:before="120" w:after="120" w:line="210" w:lineRule="exact"/>
    </w:pPr>
    <w:rPr>
      <w:spacing w:val="6"/>
      <w:sz w:val="17"/>
    </w:rPr>
  </w:style>
  <w:style w:type="paragraph" w:customStyle="1" w:styleId="APVMATableHead">
    <w:name w:val="APVMA_TableHead"/>
    <w:basedOn w:val="APVMATableText"/>
    <w:uiPriority w:val="4"/>
    <w:qFormat/>
    <w:rsid w:val="0082778D"/>
    <w:pPr>
      <w:keepNext/>
      <w:keepLines/>
      <w:spacing w:before="60" w:after="60" w:line="240" w:lineRule="exact"/>
    </w:pPr>
    <w:rPr>
      <w:rFonts w:ascii="Franklin Gothic Medium" w:hAnsi="Franklin Gothic Medium"/>
      <w:bCs/>
      <w:color w:val="F8F8F8"/>
      <w:sz w:val="18"/>
    </w:rPr>
  </w:style>
  <w:style w:type="character" w:customStyle="1" w:styleId="APVMATableTextChar">
    <w:name w:val="APVMA_TableText Char"/>
    <w:link w:val="APVMATableText"/>
    <w:uiPriority w:val="4"/>
    <w:rsid w:val="0082778D"/>
    <w:rPr>
      <w:rFonts w:ascii="Arial" w:hAnsi="Arial" w:cs="Arial"/>
      <w:spacing w:val="6"/>
      <w:kern w:val="20"/>
      <w:sz w:val="17"/>
      <w:szCs w:val="24"/>
      <w:u w:color="000000"/>
      <w:lang w:eastAsia="en-US"/>
    </w:rPr>
  </w:style>
  <w:style w:type="paragraph" w:customStyle="1" w:styleId="APVMAText">
    <w:name w:val="APVMA_Text"/>
    <w:basedOn w:val="Normal"/>
    <w:link w:val="APVMATextChar"/>
    <w:qFormat/>
    <w:rsid w:val="00DB3E7A"/>
    <w:pPr>
      <w:suppressAutoHyphens/>
      <w:spacing w:before="240" w:after="240" w:line="280" w:lineRule="exact"/>
    </w:pPr>
    <w:rPr>
      <w:rFonts w:eastAsiaTheme="minorEastAsia" w:cs="Arial"/>
      <w:sz w:val="20"/>
      <w:u w:color="000000"/>
    </w:rPr>
  </w:style>
  <w:style w:type="character" w:customStyle="1" w:styleId="APVMATextChar">
    <w:name w:val="APVMA_Text Char"/>
    <w:basedOn w:val="DefaultParagraphFont"/>
    <w:link w:val="APVMAText"/>
    <w:locked/>
    <w:rsid w:val="00DB3E7A"/>
    <w:rPr>
      <w:rFonts w:ascii="Arial" w:eastAsiaTheme="minorEastAsia" w:hAnsi="Arial" w:cs="Arial"/>
      <w:szCs w:val="24"/>
      <w:u w:color="000000"/>
      <w:lang w:eastAsia="en-US"/>
    </w:rPr>
  </w:style>
  <w:style w:type="paragraph" w:styleId="BodyText">
    <w:name w:val="Body Text"/>
    <w:aliases w:val="style5,bt"/>
    <w:basedOn w:val="Normal"/>
    <w:link w:val="BodyTextChar"/>
    <w:unhideWhenUsed/>
    <w:qFormat/>
    <w:rsid w:val="004F075B"/>
    <w:pPr>
      <w:spacing w:after="120"/>
    </w:pPr>
    <w:rPr>
      <w:sz w:val="20"/>
    </w:rPr>
  </w:style>
  <w:style w:type="character" w:customStyle="1" w:styleId="BodyTextChar">
    <w:name w:val="Body Text Char"/>
    <w:aliases w:val="style5 Char,bt Char"/>
    <w:basedOn w:val="DefaultParagraphFont"/>
    <w:link w:val="BodyText"/>
    <w:rsid w:val="004F075B"/>
    <w:rPr>
      <w:rFonts w:ascii="Arial" w:hAnsi="Arial"/>
      <w:szCs w:val="24"/>
      <w:lang w:eastAsia="en-US"/>
    </w:rPr>
  </w:style>
  <w:style w:type="paragraph" w:customStyle="1" w:styleId="TableNumberLevel1">
    <w:name w:val="Table: Number Level 1"/>
    <w:aliases w:val="Table N1"/>
    <w:basedOn w:val="Normal"/>
    <w:uiPriority w:val="12"/>
    <w:qFormat/>
    <w:rsid w:val="004F075B"/>
    <w:pPr>
      <w:numPr>
        <w:numId w:val="8"/>
      </w:numPr>
      <w:tabs>
        <w:tab w:val="clear" w:pos="567"/>
        <w:tab w:val="num" w:pos="851"/>
      </w:tabs>
      <w:spacing w:before="60" w:after="60"/>
    </w:pPr>
    <w:rPr>
      <w:rFonts w:cs="Arial"/>
      <w:sz w:val="20"/>
      <w:lang w:eastAsia="en-AU"/>
    </w:rPr>
  </w:style>
  <w:style w:type="paragraph" w:customStyle="1" w:styleId="TableNumberLevel2">
    <w:name w:val="Table: Number Level 2"/>
    <w:basedOn w:val="Normal"/>
    <w:uiPriority w:val="12"/>
    <w:rsid w:val="004F075B"/>
    <w:pPr>
      <w:numPr>
        <w:ilvl w:val="1"/>
        <w:numId w:val="8"/>
      </w:numPr>
      <w:tabs>
        <w:tab w:val="clear" w:pos="567"/>
        <w:tab w:val="num" w:pos="851"/>
        <w:tab w:val="num" w:pos="1440"/>
      </w:tabs>
      <w:spacing w:before="60" w:after="60"/>
    </w:pPr>
    <w:rPr>
      <w:rFonts w:cs="Arial"/>
      <w:sz w:val="20"/>
      <w:lang w:eastAsia="en-AU"/>
    </w:rPr>
  </w:style>
  <w:style w:type="paragraph" w:customStyle="1" w:styleId="TableNumberLevel3">
    <w:name w:val="Table: Number Level 3"/>
    <w:basedOn w:val="Normal"/>
    <w:uiPriority w:val="12"/>
    <w:rsid w:val="004F075B"/>
    <w:pPr>
      <w:numPr>
        <w:ilvl w:val="2"/>
        <w:numId w:val="8"/>
      </w:numPr>
      <w:tabs>
        <w:tab w:val="clear" w:pos="567"/>
        <w:tab w:val="num" w:pos="1418"/>
        <w:tab w:val="num" w:pos="2160"/>
      </w:tabs>
      <w:spacing w:before="60" w:after="60"/>
    </w:pPr>
    <w:rPr>
      <w:rFonts w:cs="Arial"/>
      <w:sz w:val="20"/>
      <w:lang w:eastAsia="en-AU"/>
    </w:rPr>
  </w:style>
  <w:style w:type="paragraph" w:customStyle="1" w:styleId="TableNumberLevel4">
    <w:name w:val="Table: Number Level 4"/>
    <w:basedOn w:val="Normal"/>
    <w:uiPriority w:val="12"/>
    <w:rsid w:val="004F075B"/>
    <w:pPr>
      <w:numPr>
        <w:ilvl w:val="3"/>
        <w:numId w:val="8"/>
      </w:numPr>
      <w:tabs>
        <w:tab w:val="clear" w:pos="850"/>
        <w:tab w:val="num" w:pos="1418"/>
        <w:tab w:val="num" w:pos="2880"/>
      </w:tabs>
      <w:spacing w:after="60"/>
    </w:pPr>
    <w:rPr>
      <w:rFonts w:cs="Arial"/>
      <w:sz w:val="20"/>
      <w:lang w:eastAsia="en-AU"/>
    </w:rPr>
  </w:style>
  <w:style w:type="paragraph" w:customStyle="1" w:styleId="TableNumberLevel5">
    <w:name w:val="Table: Number Level 5"/>
    <w:basedOn w:val="Normal"/>
    <w:uiPriority w:val="12"/>
    <w:semiHidden/>
    <w:rsid w:val="004F075B"/>
    <w:pPr>
      <w:numPr>
        <w:ilvl w:val="4"/>
        <w:numId w:val="8"/>
      </w:numPr>
      <w:tabs>
        <w:tab w:val="clear" w:pos="1134"/>
        <w:tab w:val="num" w:pos="1418"/>
        <w:tab w:val="num" w:pos="3600"/>
      </w:tabs>
      <w:spacing w:after="60"/>
    </w:pPr>
    <w:rPr>
      <w:rFonts w:cs="Arial"/>
      <w:sz w:val="20"/>
      <w:lang w:eastAsia="en-AU"/>
    </w:rPr>
  </w:style>
  <w:style w:type="paragraph" w:customStyle="1" w:styleId="TableNumberLevel6">
    <w:name w:val="Table: Number Level 6"/>
    <w:basedOn w:val="Normal"/>
    <w:uiPriority w:val="12"/>
    <w:semiHidden/>
    <w:rsid w:val="004F075B"/>
    <w:pPr>
      <w:numPr>
        <w:ilvl w:val="5"/>
        <w:numId w:val="8"/>
      </w:numPr>
      <w:tabs>
        <w:tab w:val="clear" w:pos="1417"/>
        <w:tab w:val="num" w:pos="4320"/>
      </w:tabs>
      <w:spacing w:after="60"/>
    </w:pPr>
    <w:rPr>
      <w:rFonts w:cs="Arial"/>
      <w:sz w:val="20"/>
      <w:lang w:eastAsia="en-AU"/>
    </w:rPr>
  </w:style>
  <w:style w:type="paragraph" w:customStyle="1" w:styleId="TableNumberLevel7">
    <w:name w:val="Table: Number Level 7"/>
    <w:basedOn w:val="Normal"/>
    <w:uiPriority w:val="12"/>
    <w:semiHidden/>
    <w:rsid w:val="004F075B"/>
    <w:pPr>
      <w:numPr>
        <w:ilvl w:val="6"/>
        <w:numId w:val="8"/>
      </w:numPr>
      <w:tabs>
        <w:tab w:val="clear" w:pos="1701"/>
        <w:tab w:val="num" w:pos="1296"/>
        <w:tab w:val="num" w:pos="5040"/>
      </w:tabs>
      <w:spacing w:after="60"/>
    </w:pPr>
    <w:rPr>
      <w:rFonts w:cs="Arial"/>
      <w:sz w:val="20"/>
      <w:lang w:eastAsia="en-AU"/>
    </w:rPr>
  </w:style>
  <w:style w:type="paragraph" w:customStyle="1" w:styleId="TableNumberLevel8">
    <w:name w:val="Table: Number Level 8"/>
    <w:basedOn w:val="Normal"/>
    <w:uiPriority w:val="12"/>
    <w:semiHidden/>
    <w:rsid w:val="004F075B"/>
    <w:pPr>
      <w:numPr>
        <w:ilvl w:val="7"/>
        <w:numId w:val="8"/>
      </w:numPr>
      <w:tabs>
        <w:tab w:val="clear" w:pos="1984"/>
        <w:tab w:val="num" w:pos="1440"/>
        <w:tab w:val="num" w:pos="5760"/>
      </w:tabs>
      <w:spacing w:after="60"/>
    </w:pPr>
    <w:rPr>
      <w:rFonts w:cs="Arial"/>
      <w:sz w:val="20"/>
      <w:lang w:eastAsia="en-AU"/>
    </w:rPr>
  </w:style>
  <w:style w:type="paragraph" w:customStyle="1" w:styleId="TableNumberLevel9">
    <w:name w:val="Table: Number Level 9"/>
    <w:basedOn w:val="Normal"/>
    <w:uiPriority w:val="12"/>
    <w:semiHidden/>
    <w:rsid w:val="004F075B"/>
    <w:pPr>
      <w:numPr>
        <w:ilvl w:val="8"/>
        <w:numId w:val="8"/>
      </w:numPr>
      <w:tabs>
        <w:tab w:val="clear" w:pos="2268"/>
        <w:tab w:val="num" w:pos="1584"/>
        <w:tab w:val="num" w:pos="6480"/>
      </w:tabs>
      <w:spacing w:after="60"/>
    </w:pPr>
    <w:rPr>
      <w:rFonts w:cs="Arial"/>
      <w:sz w:val="20"/>
      <w:lang w:eastAsia="en-AU"/>
    </w:rPr>
  </w:style>
  <w:style w:type="character" w:styleId="UnresolvedMention">
    <w:name w:val="Unresolved Mention"/>
    <w:basedOn w:val="DefaultParagraphFont"/>
    <w:uiPriority w:val="99"/>
    <w:semiHidden/>
    <w:unhideWhenUsed/>
    <w:rsid w:val="009240BD"/>
    <w:rPr>
      <w:color w:val="605E5C"/>
      <w:shd w:val="clear" w:color="auto" w:fill="E1DFDD"/>
    </w:rPr>
  </w:style>
  <w:style w:type="paragraph" w:customStyle="1" w:styleId="Default">
    <w:name w:val="Default"/>
    <w:link w:val="DefaultChar"/>
    <w:rsid w:val="00C271A0"/>
    <w:pPr>
      <w:autoSpaceDE w:val="0"/>
      <w:autoSpaceDN w:val="0"/>
      <w:adjustRightInd w:val="0"/>
    </w:pPr>
    <w:rPr>
      <w:color w:val="000000"/>
      <w:sz w:val="24"/>
      <w:szCs w:val="24"/>
    </w:rPr>
  </w:style>
  <w:style w:type="character" w:customStyle="1" w:styleId="DefaultChar">
    <w:name w:val="Default Char"/>
    <w:link w:val="Default"/>
    <w:rsid w:val="00C271A0"/>
    <w:rPr>
      <w:color w:val="000000"/>
      <w:sz w:val="24"/>
      <w:szCs w:val="24"/>
    </w:rPr>
  </w:style>
  <w:style w:type="paragraph" w:customStyle="1" w:styleId="APVMAOddHeader">
    <w:name w:val="APVMA_Odd_Header"/>
    <w:basedOn w:val="NormalText"/>
    <w:uiPriority w:val="4"/>
    <w:rsid w:val="00296F32"/>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AppendixH1">
    <w:name w:val="APVMA_Appendix_H1"/>
    <w:basedOn w:val="Normal"/>
    <w:next w:val="NormalText"/>
    <w:uiPriority w:val="4"/>
    <w:rsid w:val="00AE1794"/>
    <w:pPr>
      <w:keepNext/>
      <w:keepLines/>
      <w:pageBreakBefore/>
      <w:tabs>
        <w:tab w:val="left" w:pos="2058"/>
      </w:tabs>
      <w:suppressAutoHyphens/>
      <w:spacing w:after="80" w:line="360" w:lineRule="exact"/>
      <w:ind w:left="2044" w:hanging="2044"/>
      <w:outlineLvl w:val="0"/>
    </w:pPr>
    <w:rPr>
      <w:rFonts w:ascii="Franklin Gothic Medium" w:hAnsi="Franklin Gothic Medium" w:cs="Arial"/>
      <w:bCs/>
      <w:caps/>
      <w:color w:val="5C2946"/>
      <w:kern w:val="20"/>
      <w:sz w:val="32"/>
      <w:szCs w:val="30"/>
      <w:u w:color="000000"/>
    </w:rPr>
  </w:style>
  <w:style w:type="paragraph" w:customStyle="1" w:styleId="APVMACoverTitle">
    <w:name w:val="APVMA_Cover_Title"/>
    <w:basedOn w:val="Normal"/>
    <w:uiPriority w:val="4"/>
    <w:qFormat/>
    <w:rsid w:val="00AE1794"/>
    <w:pPr>
      <w:spacing w:line="440" w:lineRule="exact"/>
      <w:jc w:val="right"/>
    </w:pPr>
    <w:rPr>
      <w:rFonts w:ascii="Franklin Gothic Demi" w:hAnsi="Franklin Gothic Demi" w:cs="Arial"/>
      <w:bCs/>
      <w:color w:val="353735"/>
      <w:kern w:val="28"/>
      <w:sz w:val="36"/>
      <w:szCs w:val="32"/>
    </w:rPr>
  </w:style>
  <w:style w:type="paragraph" w:customStyle="1" w:styleId="APVMAEvenHeader">
    <w:name w:val="APVMA_Even_Header"/>
    <w:basedOn w:val="APVMAOddHeader"/>
    <w:uiPriority w:val="4"/>
    <w:rsid w:val="00644988"/>
    <w:pPr>
      <w:tabs>
        <w:tab w:val="clear" w:pos="9072"/>
        <w:tab w:val="left" w:pos="567"/>
      </w:tabs>
      <w:ind w:left="567" w:hanging="567"/>
    </w:pPr>
  </w:style>
  <w:style w:type="paragraph" w:customStyle="1" w:styleId="APVMAGlossaryRefH1">
    <w:name w:val="APVMA_Glossary/Ref_H1"/>
    <w:basedOn w:val="Normal"/>
    <w:uiPriority w:val="4"/>
    <w:rsid w:val="009D0B81"/>
    <w:pPr>
      <w:keepNext/>
      <w:keepLines/>
      <w:pageBreakBefore/>
      <w:suppressAutoHyphens/>
      <w:spacing w:after="80" w:line="360" w:lineRule="exact"/>
      <w:outlineLvl w:val="0"/>
    </w:pPr>
    <w:rPr>
      <w:rFonts w:ascii="Franklin Gothic Medium" w:hAnsi="Franklin Gothic Medium" w:cs="Arial"/>
      <w:bCs/>
      <w:caps/>
      <w:color w:val="5C2946"/>
      <w:kern w:val="20"/>
      <w:sz w:val="32"/>
      <w:szCs w:val="30"/>
      <w:u w:color="000000"/>
    </w:rPr>
  </w:style>
  <w:style w:type="character" w:customStyle="1" w:styleId="FooterChar">
    <w:name w:val="Footer Char"/>
    <w:basedOn w:val="DefaultParagraphFont"/>
    <w:link w:val="Footer"/>
    <w:uiPriority w:val="4"/>
    <w:rsid w:val="002026D4"/>
    <w:rPr>
      <w:rFonts w:ascii="Arial" w:hAnsi="Arial"/>
      <w:color w:val="1A1B1A" w:themeColor="text1" w:themeShade="80"/>
      <w:sz w:val="16"/>
      <w:szCs w:val="24"/>
      <w:lang w:eastAsia="en-US"/>
    </w:rPr>
  </w:style>
  <w:style w:type="paragraph" w:customStyle="1" w:styleId="BODYTEXT0">
    <w:name w:val="BODYTEXT"/>
    <w:rsid w:val="002026D4"/>
    <w:rPr>
      <w:sz w:val="24"/>
      <w:lang w:eastAsia="en-US"/>
    </w:rPr>
  </w:style>
  <w:style w:type="paragraph" w:customStyle="1" w:styleId="MRLTableText">
    <w:name w:val="MRL Table Text"/>
    <w:basedOn w:val="Normal"/>
    <w:rsid w:val="006F7C2C"/>
    <w:pPr>
      <w:spacing w:before="60" w:after="60" w:line="280" w:lineRule="exact"/>
    </w:pPr>
    <w:rPr>
      <w:rFonts w:ascii="Times New Roman" w:hAnsi="Times New Roman"/>
    </w:rPr>
  </w:style>
  <w:style w:type="paragraph" w:customStyle="1" w:styleId="MRLCompound">
    <w:name w:val="MRL Compound"/>
    <w:basedOn w:val="MRLTableText"/>
    <w:rsid w:val="006F7C2C"/>
    <w:pPr>
      <w:tabs>
        <w:tab w:val="left" w:pos="972"/>
      </w:tabs>
      <w:ind w:left="432"/>
    </w:pPr>
  </w:style>
  <w:style w:type="character" w:customStyle="1" w:styleId="HeaderChar">
    <w:name w:val="Header Char"/>
    <w:basedOn w:val="DefaultParagraphFont"/>
    <w:link w:val="Header"/>
    <w:uiPriority w:val="4"/>
    <w:rsid w:val="007A1942"/>
    <w:rPr>
      <w:rFonts w:ascii="Arial" w:hAnsi="Arial"/>
      <w:color w:val="1A1B1A" w:themeColor="text1" w:themeShade="80"/>
      <w:sz w:val="16"/>
      <w:szCs w:val="24"/>
      <w:lang w:eastAsia="en-US"/>
    </w:rPr>
  </w:style>
  <w:style w:type="paragraph" w:styleId="ListParagraph">
    <w:name w:val="List Paragraph"/>
    <w:basedOn w:val="Normal"/>
    <w:uiPriority w:val="34"/>
    <w:qFormat/>
    <w:rsid w:val="007A1942"/>
    <w:pPr>
      <w:spacing w:after="120"/>
      <w:ind w:left="720"/>
      <w:contextualSpacing/>
    </w:pPr>
    <w:rPr>
      <w:rFonts w:ascii="Times New Roman" w:hAnsi="Times New Roman"/>
    </w:rPr>
  </w:style>
  <w:style w:type="character" w:customStyle="1" w:styleId="Heading4Char">
    <w:name w:val="Heading 4 Char"/>
    <w:aliases w:val="APVMA_H4 Char,H4 Char,bro Titre 4 Char,h4 Char"/>
    <w:basedOn w:val="DefaultParagraphFont"/>
    <w:link w:val="Heading4"/>
    <w:uiPriority w:val="4"/>
    <w:rsid w:val="00452764"/>
    <w:rPr>
      <w:rFonts w:ascii="Franklin Gothic Medium" w:eastAsiaTheme="minorHAnsi" w:hAnsi="Franklin Gothic Medium" w:cs="Arial"/>
      <w:color w:val="5C2946"/>
      <w:sz w:val="22"/>
      <w:szCs w:val="28"/>
      <w:u w:color="000000"/>
      <w:lang w:eastAsia="en-US"/>
    </w:rPr>
  </w:style>
  <w:style w:type="paragraph" w:customStyle="1" w:styleId="paragraphsub">
    <w:name w:val="paragraphsub"/>
    <w:basedOn w:val="Normal"/>
    <w:rsid w:val="00252261"/>
    <w:pPr>
      <w:spacing w:beforeAutospacing="1" w:afterAutospacing="1"/>
    </w:pPr>
    <w:rPr>
      <w:rFonts w:ascii="Times New Roman" w:hAnsi="Times New Roman"/>
      <w:lang w:eastAsia="en-AU"/>
    </w:rPr>
  </w:style>
  <w:style w:type="paragraph" w:customStyle="1" w:styleId="GazetteListNumbered">
    <w:name w:val="Gazette List Numbered"/>
    <w:basedOn w:val="Normal"/>
    <w:qFormat/>
    <w:rsid w:val="00E82C58"/>
    <w:pPr>
      <w:numPr>
        <w:numId w:val="10"/>
      </w:numPr>
      <w:pBdr>
        <w:top w:val="nil"/>
        <w:left w:val="nil"/>
        <w:bottom w:val="nil"/>
        <w:right w:val="nil"/>
        <w:between w:val="nil"/>
        <w:bar w:val="nil"/>
      </w:pBdr>
      <w:tabs>
        <w:tab w:val="left" w:pos="720"/>
      </w:tabs>
      <w:spacing w:before="120" w:after="120" w:line="280" w:lineRule="exact"/>
    </w:pPr>
    <w:rPr>
      <w:rFonts w:eastAsia="Arial Unicode MS" w:hAnsi="Arial Unicode MS" w:cs="Arial Unicode MS"/>
      <w:color w:val="000000"/>
      <w:sz w:val="18"/>
      <w:szCs w:val="18"/>
      <w:u w:color="000000"/>
      <w:bdr w:val="nil"/>
      <w:lang w:val="en-GB" w:eastAsia="en-AU"/>
    </w:rPr>
  </w:style>
  <w:style w:type="character" w:customStyle="1" w:styleId="Heading3Char">
    <w:name w:val="Heading 3 Char"/>
    <w:aliases w:val="APVMA_H3 Char,H3 Char,bro Titre 3 Char,h3 Char"/>
    <w:basedOn w:val="DefaultParagraphFont"/>
    <w:link w:val="Heading3"/>
    <w:uiPriority w:val="3"/>
    <w:rsid w:val="00DE4AD4"/>
    <w:rPr>
      <w:rFonts w:ascii="Franklin Gothic Medium" w:eastAsiaTheme="minorHAnsi" w:hAnsi="Franklin Gothic Medium" w:cs="Arial"/>
      <w:color w:val="5C2946"/>
      <w:sz w:val="24"/>
      <w:szCs w:val="26"/>
      <w:u w:color="000000"/>
      <w:lang w:eastAsia="en-US"/>
    </w:rPr>
  </w:style>
  <w:style w:type="character" w:customStyle="1" w:styleId="Heading2Char">
    <w:name w:val="Heading 2 Char"/>
    <w:aliases w:val="APVMA_H2 Char,H2 Char,bro Titre 2 Char,h2 Char,heading2 Char"/>
    <w:basedOn w:val="DefaultParagraphFont"/>
    <w:link w:val="Heading2"/>
    <w:rsid w:val="008A0EFE"/>
    <w:rPr>
      <w:rFonts w:ascii="Franklin Gothic Medium" w:hAnsi="Franklin Gothic Medium" w:cs="Arial"/>
      <w:color w:val="5C2946"/>
      <w:sz w:val="28"/>
      <w:szCs w:val="28"/>
      <w:u w:color="000000"/>
      <w:lang w:eastAsia="en-US"/>
    </w:rPr>
  </w:style>
  <w:style w:type="paragraph" w:styleId="NormalWeb">
    <w:name w:val="Normal (Web)"/>
    <w:basedOn w:val="Normal"/>
    <w:uiPriority w:val="99"/>
    <w:unhideWhenUsed/>
    <w:rsid w:val="00867AE9"/>
    <w:pPr>
      <w:spacing w:beforeAutospacing="1" w:afterAutospacing="1"/>
    </w:pPr>
    <w:rPr>
      <w:rFonts w:ascii="Times New Roman" w:hAnsi="Times New Roman"/>
      <w:lang w:eastAsia="en-AU"/>
    </w:rPr>
  </w:style>
  <w:style w:type="character" w:customStyle="1" w:styleId="Heading1Char">
    <w:name w:val="Heading 1 Char"/>
    <w:aliases w:val="APVMA_H1 Char,H1 Char"/>
    <w:basedOn w:val="DefaultParagraphFont"/>
    <w:link w:val="Heading1"/>
    <w:rsid w:val="008247E7"/>
    <w:rPr>
      <w:rFonts w:ascii="Franklin Gothic Medium" w:hAnsi="Franklin Gothic Medium" w:cs="Arial"/>
      <w:color w:val="5C2946"/>
      <w:kern w:val="20"/>
      <w:sz w:val="32"/>
      <w:szCs w:val="32"/>
      <w:u w:color="000000"/>
      <w:lang w:eastAsia="en-US"/>
    </w:rPr>
  </w:style>
  <w:style w:type="character" w:customStyle="1" w:styleId="Heading5Char">
    <w:name w:val="Heading 5 Char"/>
    <w:aliases w:val="APVMA_H5 Char,H5 Char,bro Titre 5 Char"/>
    <w:basedOn w:val="DefaultParagraphFont"/>
    <w:link w:val="Heading5"/>
    <w:uiPriority w:val="4"/>
    <w:rsid w:val="008247E7"/>
    <w:rPr>
      <w:rFonts w:ascii="Franklin Gothic Medium" w:hAnsi="Franklin Gothic Medium" w:cs="Arial"/>
      <w:color w:val="5C2946"/>
      <w:sz w:val="21"/>
      <w:szCs w:val="26"/>
      <w:u w:color="000000"/>
      <w:lang w:eastAsia="en-US"/>
    </w:rPr>
  </w:style>
  <w:style w:type="character" w:customStyle="1" w:styleId="Heading6Char">
    <w:name w:val="Heading 6 Char"/>
    <w:basedOn w:val="DefaultParagraphFont"/>
    <w:link w:val="Heading6"/>
    <w:uiPriority w:val="4"/>
    <w:rsid w:val="008247E7"/>
    <w:rPr>
      <w:b/>
      <w:bCs/>
      <w:color w:val="1A1B1A" w:themeColor="text1" w:themeShade="80"/>
      <w:sz w:val="22"/>
      <w:szCs w:val="22"/>
      <w:lang w:eastAsia="en-US"/>
    </w:rPr>
  </w:style>
  <w:style w:type="character" w:customStyle="1" w:styleId="Heading7Char">
    <w:name w:val="Heading 7 Char"/>
    <w:basedOn w:val="DefaultParagraphFont"/>
    <w:link w:val="Heading7"/>
    <w:uiPriority w:val="4"/>
    <w:rsid w:val="008247E7"/>
    <w:rPr>
      <w:color w:val="1A1B1A" w:themeColor="text1" w:themeShade="80"/>
      <w:sz w:val="24"/>
      <w:szCs w:val="24"/>
      <w:lang w:eastAsia="en-US"/>
    </w:rPr>
  </w:style>
  <w:style w:type="character" w:customStyle="1" w:styleId="Heading8Char">
    <w:name w:val="Heading 8 Char"/>
    <w:basedOn w:val="DefaultParagraphFont"/>
    <w:link w:val="Heading8"/>
    <w:uiPriority w:val="4"/>
    <w:rsid w:val="008247E7"/>
    <w:rPr>
      <w:i/>
      <w:iCs/>
      <w:color w:val="1A1B1A" w:themeColor="text1" w:themeShade="80"/>
      <w:sz w:val="24"/>
      <w:szCs w:val="24"/>
      <w:lang w:eastAsia="en-US"/>
    </w:rPr>
  </w:style>
  <w:style w:type="character" w:customStyle="1" w:styleId="Heading9Char">
    <w:name w:val="Heading 9 Char"/>
    <w:basedOn w:val="DefaultParagraphFont"/>
    <w:link w:val="Heading9"/>
    <w:uiPriority w:val="4"/>
    <w:rsid w:val="008247E7"/>
    <w:rPr>
      <w:rFonts w:ascii="Arial" w:hAnsi="Arial" w:cs="Arial"/>
      <w:color w:val="1A1B1A" w:themeColor="text1" w:themeShade="80"/>
      <w:sz w:val="22"/>
      <w:szCs w:val="22"/>
      <w:lang w:eastAsia="en-US"/>
    </w:rPr>
  </w:style>
  <w:style w:type="paragraph" w:customStyle="1" w:styleId="GazetteNormalText">
    <w:name w:val="Gazette Normal Text"/>
    <w:basedOn w:val="Normal"/>
    <w:link w:val="GazetteNormalTextChar"/>
    <w:qFormat/>
    <w:rsid w:val="00BF7966"/>
    <w:pPr>
      <w:pBdr>
        <w:top w:val="nil"/>
        <w:left w:val="nil"/>
        <w:bottom w:val="nil"/>
        <w:right w:val="nil"/>
        <w:between w:val="nil"/>
        <w:bar w:val="nil"/>
      </w:pBdr>
      <w:spacing w:before="240" w:after="240" w:line="280" w:lineRule="exact"/>
    </w:pPr>
    <w:rPr>
      <w:rFonts w:eastAsia="Arial Unicode MS" w:hAnsi="Arial Unicode MS" w:cs="Arial Unicode MS"/>
      <w:color w:val="000000"/>
      <w:sz w:val="18"/>
      <w:szCs w:val="18"/>
      <w:u w:color="000000"/>
      <w:bdr w:val="nil"/>
      <w:lang w:val="en-GB" w:eastAsia="en-AU"/>
    </w:rPr>
  </w:style>
  <w:style w:type="character" w:customStyle="1" w:styleId="GazetteNormalTextChar">
    <w:name w:val="Gazette Normal Text Char"/>
    <w:basedOn w:val="DefaultParagraphFont"/>
    <w:link w:val="GazetteNormalText"/>
    <w:rsid w:val="00BF7966"/>
    <w:rPr>
      <w:rFonts w:ascii="Arial" w:eastAsia="Arial Unicode MS" w:hAnsi="Arial Unicode MS" w:cs="Arial Unicode MS"/>
      <w:color w:val="000000"/>
      <w:sz w:val="18"/>
      <w:szCs w:val="18"/>
      <w:u w:color="000000"/>
      <w:bdr w:val="nil"/>
      <w:lang w:val="en-GB"/>
    </w:rPr>
  </w:style>
  <w:style w:type="paragraph" w:customStyle="1" w:styleId="APVMAPreliminariesH2">
    <w:name w:val="APVMA_Preliminaries_H2"/>
    <w:basedOn w:val="Heading2"/>
    <w:next w:val="NormalText"/>
    <w:uiPriority w:val="4"/>
    <w:rsid w:val="00C00FCF"/>
    <w:pPr>
      <w:numPr>
        <w:ilvl w:val="0"/>
      </w:numPr>
      <w:tabs>
        <w:tab w:val="num" w:pos="907"/>
      </w:tabs>
    </w:pPr>
  </w:style>
  <w:style w:type="paragraph" w:customStyle="1" w:styleId="APVMAPreliminariesH3">
    <w:name w:val="APVMA_Preliminaries_H3"/>
    <w:basedOn w:val="Heading3"/>
    <w:uiPriority w:val="4"/>
    <w:rsid w:val="00C00FCF"/>
    <w:pPr>
      <w:numPr>
        <w:ilvl w:val="0"/>
      </w:numPr>
      <w:tabs>
        <w:tab w:val="num" w:pos="0"/>
        <w:tab w:val="num" w:pos="907"/>
      </w:tabs>
    </w:pPr>
  </w:style>
  <w:style w:type="paragraph" w:customStyle="1" w:styleId="APVMATableBullet">
    <w:name w:val="APVMA_TableBullet"/>
    <w:basedOn w:val="APVMATableText"/>
    <w:uiPriority w:val="4"/>
    <w:rsid w:val="00C00FCF"/>
    <w:pPr>
      <w:tabs>
        <w:tab w:val="num" w:pos="227"/>
      </w:tabs>
      <w:spacing w:after="60"/>
      <w:ind w:left="227" w:hanging="227"/>
    </w:pPr>
    <w:rPr>
      <w:rFonts w:asciiTheme="minorHAnsi" w:hAnsiTheme="minorHAnsi"/>
    </w:rPr>
  </w:style>
  <w:style w:type="paragraph" w:customStyle="1" w:styleId="APVMAListNumbered">
    <w:name w:val="APVMA_List_Numbered"/>
    <w:basedOn w:val="NormalText"/>
    <w:uiPriority w:val="4"/>
    <w:qFormat/>
    <w:rsid w:val="00C00FCF"/>
    <w:pPr>
      <w:tabs>
        <w:tab w:val="num" w:pos="340"/>
      </w:tabs>
      <w:spacing w:before="120" w:after="120"/>
      <w:ind w:left="340" w:hanging="340"/>
    </w:pPr>
    <w:rPr>
      <w:rFonts w:asciiTheme="minorHAnsi" w:hAnsiTheme="minorHAnsi"/>
    </w:rPr>
  </w:style>
  <w:style w:type="paragraph" w:customStyle="1" w:styleId="APVMASourceTableNote">
    <w:name w:val="APVMA_Source/TableNote"/>
    <w:basedOn w:val="NormalText"/>
    <w:uiPriority w:val="4"/>
    <w:rsid w:val="00C00FCF"/>
    <w:pPr>
      <w:spacing w:before="0" w:after="0" w:line="280" w:lineRule="atLeast"/>
    </w:pPr>
    <w:rPr>
      <w:rFonts w:asciiTheme="minorHAnsi" w:hAnsiTheme="minorHAnsi"/>
      <w:i/>
      <w:spacing w:val="6"/>
      <w:sz w:val="16"/>
    </w:rPr>
  </w:style>
  <w:style w:type="paragraph" w:customStyle="1" w:styleId="APVMATableHeadRight">
    <w:name w:val="APVMA_TableHead_Right"/>
    <w:basedOn w:val="APVMATableHead"/>
    <w:uiPriority w:val="4"/>
    <w:rsid w:val="00C00FCF"/>
    <w:pPr>
      <w:jc w:val="right"/>
    </w:pPr>
  </w:style>
  <w:style w:type="paragraph" w:customStyle="1" w:styleId="APVMAQuote">
    <w:name w:val="APVMA_Quote"/>
    <w:basedOn w:val="NormalText"/>
    <w:uiPriority w:val="4"/>
    <w:rsid w:val="00C00FCF"/>
    <w:pPr>
      <w:ind w:left="567" w:right="567"/>
    </w:pPr>
    <w:rPr>
      <w:rFonts w:asciiTheme="minorHAnsi" w:hAnsiTheme="minorHAnsi"/>
    </w:rPr>
  </w:style>
  <w:style w:type="paragraph" w:customStyle="1" w:styleId="APVMATableTextRight">
    <w:name w:val="APVMA_TableText_Right"/>
    <w:basedOn w:val="APVMATableText"/>
    <w:uiPriority w:val="4"/>
    <w:rsid w:val="00C00FCF"/>
    <w:pPr>
      <w:jc w:val="right"/>
    </w:pPr>
    <w:rPr>
      <w:rFonts w:asciiTheme="minorHAnsi" w:hAnsiTheme="minorHAnsi"/>
    </w:rPr>
  </w:style>
  <w:style w:type="paragraph" w:customStyle="1" w:styleId="APVMATableSubHead">
    <w:name w:val="APVMA_Table_SubHead"/>
    <w:basedOn w:val="APVMATableHead"/>
    <w:uiPriority w:val="4"/>
    <w:rsid w:val="00C00FCF"/>
    <w:rPr>
      <w:color w:val="5C2946"/>
    </w:rPr>
  </w:style>
  <w:style w:type="paragraph" w:customStyle="1" w:styleId="APVMACoverSubtitle">
    <w:name w:val="APVMA_Cover_Subtitle"/>
    <w:basedOn w:val="Normal"/>
    <w:uiPriority w:val="4"/>
    <w:qFormat/>
    <w:rsid w:val="00C00FCF"/>
    <w:pPr>
      <w:spacing w:before="120" w:line="340" w:lineRule="exact"/>
      <w:jc w:val="right"/>
    </w:pPr>
    <w:rPr>
      <w:rFonts w:ascii="Franklin Gothic Book" w:hAnsi="Franklin Gothic Book"/>
      <w:color w:val="353735" w:themeColor="text1"/>
      <w:sz w:val="28"/>
    </w:rPr>
  </w:style>
  <w:style w:type="paragraph" w:customStyle="1" w:styleId="APVMAPreliminariesH1">
    <w:name w:val="APVMA_Preliminaries_H1"/>
    <w:basedOn w:val="Heading1"/>
    <w:next w:val="NormalText"/>
    <w:uiPriority w:val="4"/>
    <w:rsid w:val="00C00FCF"/>
    <w:rPr>
      <w:bCs/>
      <w:caps/>
      <w:szCs w:val="30"/>
    </w:rPr>
  </w:style>
  <w:style w:type="paragraph" w:customStyle="1" w:styleId="APVMAListAlpha">
    <w:name w:val="APVMA_List_Alpha"/>
    <w:basedOn w:val="NormalText"/>
    <w:uiPriority w:val="4"/>
    <w:qFormat/>
    <w:rsid w:val="00C00FCF"/>
    <w:pPr>
      <w:tabs>
        <w:tab w:val="num" w:pos="340"/>
      </w:tabs>
      <w:spacing w:before="120" w:after="120"/>
      <w:ind w:left="340" w:hanging="340"/>
    </w:pPr>
    <w:rPr>
      <w:rFonts w:asciiTheme="minorHAnsi" w:hAnsiTheme="minorHAnsi"/>
    </w:rPr>
  </w:style>
  <w:style w:type="paragraph" w:customStyle="1" w:styleId="APVMAAppendixH2">
    <w:name w:val="APVMA_Appendix_H2"/>
    <w:basedOn w:val="APVMAPreliminariesH2"/>
    <w:next w:val="NormalText"/>
    <w:uiPriority w:val="4"/>
    <w:rsid w:val="00C00FCF"/>
    <w:rPr>
      <w:bCs/>
    </w:rPr>
  </w:style>
  <w:style w:type="paragraph" w:customStyle="1" w:styleId="APVMAAppendixH3">
    <w:name w:val="APVMA_Appendix_H3"/>
    <w:basedOn w:val="APVMAPreliminariesH3"/>
    <w:next w:val="NormalText"/>
    <w:uiPriority w:val="4"/>
    <w:rsid w:val="00C00FCF"/>
  </w:style>
  <w:style w:type="character" w:customStyle="1" w:styleId="APVMASuperscript">
    <w:name w:val="APVMA_Superscript"/>
    <w:basedOn w:val="DefaultParagraphFont"/>
    <w:uiPriority w:val="1"/>
    <w:qFormat/>
    <w:rsid w:val="00C00FCF"/>
    <w:rPr>
      <w:vertAlign w:val="superscript"/>
    </w:rPr>
  </w:style>
  <w:style w:type="table" w:styleId="GridTable4">
    <w:name w:val="Grid Table 4"/>
    <w:basedOn w:val="TableNormal"/>
    <w:uiPriority w:val="49"/>
    <w:rsid w:val="00C00FCF"/>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insideV w:val="single" w:sz="4" w:space="0" w:color="848884" w:themeColor="text1" w:themeTint="99"/>
      </w:tblBorders>
    </w:tblPr>
    <w:tblStylePr w:type="firstRow">
      <w:rPr>
        <w:b/>
        <w:bCs/>
        <w:color w:val="EAAB00" w:themeColor="background1"/>
      </w:rPr>
      <w:tblPr/>
      <w:tcPr>
        <w:tcBorders>
          <w:top w:val="single" w:sz="4" w:space="0" w:color="353735" w:themeColor="text1"/>
          <w:left w:val="single" w:sz="4" w:space="0" w:color="353735" w:themeColor="text1"/>
          <w:bottom w:val="single" w:sz="4" w:space="0" w:color="353735" w:themeColor="text1"/>
          <w:right w:val="single" w:sz="4" w:space="0" w:color="353735" w:themeColor="text1"/>
          <w:insideH w:val="nil"/>
          <w:insideV w:val="nil"/>
        </w:tcBorders>
        <w:shd w:val="clear" w:color="auto" w:fill="353735" w:themeFill="text1"/>
      </w:tcPr>
    </w:tblStylePr>
    <w:tblStylePr w:type="lastRow">
      <w:rPr>
        <w:b/>
        <w:bCs/>
      </w:rPr>
      <w:tblPr/>
      <w:tcPr>
        <w:tcBorders>
          <w:top w:val="double" w:sz="4" w:space="0" w:color="353735" w:themeColor="text1"/>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styleId="GridTable1Light-Accent5">
    <w:name w:val="Grid Table 1 Light Accent 5"/>
    <w:basedOn w:val="TableNormal"/>
    <w:uiPriority w:val="46"/>
    <w:rsid w:val="00C00FCF"/>
    <w:tblPr>
      <w:tblStyleRowBandSize w:val="1"/>
      <w:tblStyleColBandSize w:val="1"/>
      <w:tblBorders>
        <w:top w:val="single" w:sz="4" w:space="0" w:color="CC96C7" w:themeColor="accent5" w:themeTint="66"/>
        <w:left w:val="single" w:sz="4" w:space="0" w:color="CC96C7" w:themeColor="accent5" w:themeTint="66"/>
        <w:bottom w:val="single" w:sz="4" w:space="0" w:color="CC96C7" w:themeColor="accent5" w:themeTint="66"/>
        <w:right w:val="single" w:sz="4" w:space="0" w:color="CC96C7" w:themeColor="accent5" w:themeTint="66"/>
        <w:insideH w:val="single" w:sz="4" w:space="0" w:color="CC96C7" w:themeColor="accent5" w:themeTint="66"/>
        <w:insideV w:val="single" w:sz="4" w:space="0" w:color="CC96C7" w:themeColor="accent5" w:themeTint="66"/>
      </w:tblBorders>
    </w:tblPr>
    <w:tblStylePr w:type="firstRow">
      <w:rPr>
        <w:b/>
        <w:bCs/>
      </w:rPr>
      <w:tblPr/>
      <w:tcPr>
        <w:tcBorders>
          <w:bottom w:val="single" w:sz="12" w:space="0" w:color="B362AB" w:themeColor="accent5" w:themeTint="99"/>
        </w:tcBorders>
      </w:tcPr>
    </w:tblStylePr>
    <w:tblStylePr w:type="lastRow">
      <w:rPr>
        <w:b/>
        <w:bCs/>
      </w:rPr>
      <w:tblPr/>
      <w:tcPr>
        <w:tcBorders>
          <w:top w:val="double" w:sz="2" w:space="0" w:color="B362AB" w:themeColor="accent5" w:themeTint="99"/>
        </w:tcBorders>
      </w:tcPr>
    </w:tblStylePr>
    <w:tblStylePr w:type="firstCol">
      <w:rPr>
        <w:b/>
        <w:bCs/>
      </w:rPr>
    </w:tblStylePr>
    <w:tblStylePr w:type="lastCol">
      <w:rPr>
        <w:b/>
        <w:bCs/>
      </w:rPr>
    </w:tblStylePr>
  </w:style>
  <w:style w:type="paragraph" w:styleId="BodyText2">
    <w:name w:val="Body Text 2"/>
    <w:basedOn w:val="Normal"/>
    <w:link w:val="BodyText2Char"/>
    <w:semiHidden/>
    <w:rsid w:val="00C00FCF"/>
    <w:rPr>
      <w:rFonts w:ascii="Times New Roman" w:hAnsi="Times New Roman"/>
      <w:sz w:val="18"/>
      <w:szCs w:val="20"/>
      <w:lang w:val="en-GB"/>
    </w:rPr>
  </w:style>
  <w:style w:type="character" w:customStyle="1" w:styleId="BodyText2Char">
    <w:name w:val="Body Text 2 Char"/>
    <w:basedOn w:val="DefaultParagraphFont"/>
    <w:link w:val="BodyText2"/>
    <w:semiHidden/>
    <w:rsid w:val="00C00FCF"/>
    <w:rPr>
      <w:rFonts w:eastAsiaTheme="minorHAnsi" w:cstheme="minorBidi"/>
      <w:kern w:val="2"/>
      <w:sz w:val="18"/>
      <w:lang w:val="en-GB" w:eastAsia="en-US"/>
    </w:rPr>
  </w:style>
  <w:style w:type="character" w:customStyle="1" w:styleId="mw-cite-backlink">
    <w:name w:val="mw-cite-backlink"/>
    <w:basedOn w:val="DefaultParagraphFont"/>
    <w:rsid w:val="00C00FCF"/>
  </w:style>
  <w:style w:type="character" w:customStyle="1" w:styleId="cite-accessibility-label1">
    <w:name w:val="cite-accessibility-label1"/>
    <w:basedOn w:val="DefaultParagraphFont"/>
    <w:rsid w:val="00C00FCF"/>
    <w:rPr>
      <w:bdr w:val="none" w:sz="0" w:space="0" w:color="auto" w:frame="1"/>
    </w:rPr>
  </w:style>
  <w:style w:type="character" w:customStyle="1" w:styleId="citation">
    <w:name w:val="citation"/>
    <w:basedOn w:val="DefaultParagraphFont"/>
    <w:rsid w:val="00C00FCF"/>
  </w:style>
  <w:style w:type="character" w:customStyle="1" w:styleId="z3988">
    <w:name w:val="z3988"/>
    <w:basedOn w:val="DefaultParagraphFont"/>
    <w:rsid w:val="00C00FCF"/>
  </w:style>
  <w:style w:type="character" w:styleId="HTMLCite">
    <w:name w:val="HTML Cite"/>
    <w:basedOn w:val="DefaultParagraphFont"/>
    <w:uiPriority w:val="99"/>
    <w:semiHidden/>
    <w:unhideWhenUsed/>
    <w:rsid w:val="00C00FCF"/>
    <w:rPr>
      <w:i/>
      <w:iCs/>
    </w:rPr>
  </w:style>
  <w:style w:type="paragraph" w:customStyle="1" w:styleId="Tabletext0">
    <w:name w:val="Table text"/>
    <w:basedOn w:val="Normal"/>
    <w:qFormat/>
    <w:rsid w:val="00C00FCF"/>
    <w:pPr>
      <w:jc w:val="center"/>
    </w:pPr>
    <w:rPr>
      <w:rFonts w:ascii="Times New Roman" w:hAnsi="Times New Roman"/>
      <w:sz w:val="20"/>
      <w:lang w:eastAsia="en-AU"/>
    </w:rPr>
  </w:style>
  <w:style w:type="paragraph" w:styleId="ListBullet2">
    <w:name w:val="List Bullet 2"/>
    <w:basedOn w:val="Normal"/>
    <w:uiPriority w:val="8"/>
    <w:unhideWhenUsed/>
    <w:qFormat/>
    <w:rsid w:val="00C00FCF"/>
    <w:pPr>
      <w:tabs>
        <w:tab w:val="num" w:pos="643"/>
      </w:tabs>
      <w:ind w:left="643" w:hanging="360"/>
      <w:contextualSpacing/>
    </w:pPr>
    <w:rPr>
      <w:rFonts w:cs="Arial"/>
      <w:lang w:eastAsia="en-AU"/>
    </w:rPr>
  </w:style>
  <w:style w:type="paragraph" w:customStyle="1" w:styleId="MRLActiveName">
    <w:name w:val="MRL Active Name"/>
    <w:basedOn w:val="Normal"/>
    <w:rsid w:val="00C00FCF"/>
    <w:pPr>
      <w:spacing w:before="120" w:after="120"/>
    </w:pPr>
    <w:rPr>
      <w:rFonts w:ascii="Times New Roman" w:hAnsi="Times New Roman"/>
      <w:b/>
      <w:bCs/>
    </w:rPr>
  </w:style>
  <w:style w:type="paragraph" w:customStyle="1" w:styleId="MRLTableCaption">
    <w:name w:val="MRL Table Caption"/>
    <w:basedOn w:val="Normal"/>
    <w:next w:val="BodyText"/>
    <w:rsid w:val="00C00FCF"/>
    <w:pPr>
      <w:keepNext/>
      <w:spacing w:before="120" w:after="120" w:line="280" w:lineRule="atLeast"/>
      <w:ind w:left="1134" w:hanging="1134"/>
    </w:pPr>
    <w:rPr>
      <w:rFonts w:ascii="Times New Roman" w:hAnsi="Times New Roman"/>
      <w:b/>
      <w:spacing w:val="6"/>
    </w:rPr>
  </w:style>
  <w:style w:type="paragraph" w:customStyle="1" w:styleId="MRLTableHeading">
    <w:name w:val="MRL Table Heading"/>
    <w:basedOn w:val="Normal"/>
    <w:rsid w:val="00C00FCF"/>
    <w:pPr>
      <w:spacing w:before="60" w:after="60"/>
    </w:pPr>
    <w:rPr>
      <w:rFonts w:ascii="Times New Roman" w:hAnsi="Times New Roman"/>
      <w:b/>
    </w:rPr>
  </w:style>
  <w:style w:type="paragraph" w:customStyle="1" w:styleId="MRLValue">
    <w:name w:val="MRL Value"/>
    <w:basedOn w:val="MRLTableText"/>
    <w:rsid w:val="00C00FCF"/>
    <w:pPr>
      <w:tabs>
        <w:tab w:val="decimal" w:pos="792"/>
      </w:tabs>
      <w:jc w:val="both"/>
    </w:pPr>
  </w:style>
  <w:style w:type="paragraph" w:customStyle="1" w:styleId="MRLTableBullet">
    <w:name w:val="MRL Table Bullet"/>
    <w:basedOn w:val="MRLTableText"/>
    <w:rsid w:val="00C00FCF"/>
    <w:pPr>
      <w:numPr>
        <w:numId w:val="14"/>
      </w:numPr>
      <w:tabs>
        <w:tab w:val="clear" w:pos="284"/>
      </w:tabs>
      <w:ind w:left="0" w:firstLine="0"/>
    </w:pPr>
    <w:rPr>
      <w:noProof/>
      <w:lang w:val="en-US"/>
    </w:rPr>
  </w:style>
  <w:style w:type="paragraph" w:customStyle="1" w:styleId="paragraph">
    <w:name w:val="paragraph"/>
    <w:aliases w:val="a"/>
    <w:basedOn w:val="Normal"/>
    <w:link w:val="paragraphChar"/>
    <w:rsid w:val="00C00FCF"/>
    <w:pPr>
      <w:tabs>
        <w:tab w:val="right" w:pos="1531"/>
      </w:tabs>
      <w:spacing w:before="40"/>
      <w:ind w:left="1644" w:hanging="1644"/>
    </w:pPr>
    <w:rPr>
      <w:rFonts w:ascii="Times New Roman" w:hAnsi="Times New Roman"/>
      <w:szCs w:val="20"/>
      <w:lang w:eastAsia="en-AU"/>
    </w:rPr>
  </w:style>
  <w:style w:type="character" w:customStyle="1" w:styleId="paragraphChar">
    <w:name w:val="paragraph Char"/>
    <w:aliases w:val="a Char"/>
    <w:basedOn w:val="DefaultParagraphFont"/>
    <w:link w:val="paragraph"/>
    <w:rsid w:val="00C00FCF"/>
    <w:rPr>
      <w:rFonts w:eastAsiaTheme="minorHAnsi" w:cstheme="minorBidi"/>
      <w:kern w:val="2"/>
      <w:sz w:val="22"/>
    </w:rPr>
  </w:style>
  <w:style w:type="paragraph" w:customStyle="1" w:styleId="InstructionalText">
    <w:name w:val="Instructional Text"/>
    <w:basedOn w:val="Normal"/>
    <w:rsid w:val="00C00FCF"/>
    <w:pPr>
      <w:spacing w:before="240" w:after="240" w:line="280" w:lineRule="exact"/>
    </w:pPr>
    <w:rPr>
      <w:color w:val="3366FF"/>
      <w:sz w:val="18"/>
    </w:rPr>
  </w:style>
  <w:style w:type="paragraph" w:customStyle="1" w:styleId="pf0">
    <w:name w:val="pf0"/>
    <w:basedOn w:val="Normal"/>
    <w:rsid w:val="00C00FCF"/>
    <w:pPr>
      <w:spacing w:beforeAutospacing="1" w:afterAutospacing="1"/>
    </w:pPr>
    <w:rPr>
      <w:rFonts w:ascii="Times New Roman" w:hAnsi="Times New Roman"/>
      <w:u w:color="000000"/>
      <w:lang w:eastAsia="en-AU"/>
    </w:rPr>
  </w:style>
  <w:style w:type="paragraph" w:customStyle="1" w:styleId="FAOparagraph">
    <w:name w:val="FAO paragraph"/>
    <w:basedOn w:val="Normal"/>
    <w:uiPriority w:val="99"/>
    <w:rsid w:val="00C00FCF"/>
    <w:pPr>
      <w:spacing w:before="240" w:after="120"/>
      <w:ind w:firstLine="720"/>
      <w:jc w:val="both"/>
    </w:pPr>
    <w:rPr>
      <w:rFonts w:ascii="Times New Roman" w:eastAsia="MS Mincho" w:hAnsi="Times New Roman"/>
      <w:szCs w:val="20"/>
      <w:u w:color="000000"/>
      <w:lang w:val="en-US"/>
    </w:rPr>
  </w:style>
  <w:style w:type="paragraph" w:customStyle="1" w:styleId="APVMABullet1">
    <w:name w:val="APVMA_Bullet1"/>
    <w:basedOn w:val="APVMAText"/>
    <w:rsid w:val="00C00FCF"/>
    <w:pPr>
      <w:tabs>
        <w:tab w:val="num" w:pos="340"/>
      </w:tabs>
      <w:spacing w:before="120" w:after="120"/>
      <w:ind w:left="340" w:hanging="340"/>
    </w:pPr>
    <w:rPr>
      <w:rFonts w:eastAsia="Times New Roman"/>
    </w:rPr>
  </w:style>
  <w:style w:type="paragraph" w:customStyle="1" w:styleId="EndNoteBibliographyTitle">
    <w:name w:val="EndNote Bibliography Title"/>
    <w:basedOn w:val="Normal"/>
    <w:link w:val="EndNoteBibliographyTitleChar"/>
    <w:rsid w:val="00C00FCF"/>
    <w:pPr>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C00FCF"/>
    <w:rPr>
      <w:rFonts w:asciiTheme="minorHAnsi" w:eastAsiaTheme="minorHAnsi" w:hAnsiTheme="minorHAnsi" w:cs="Arial"/>
      <w:noProof/>
      <w:color w:val="1A1B1A" w:themeColor="text1" w:themeShade="80"/>
      <w:kern w:val="20"/>
      <w:sz w:val="18"/>
      <w:szCs w:val="22"/>
      <w:u w:color="000000"/>
      <w:lang w:val="en-US" w:eastAsia="en-US"/>
    </w:rPr>
  </w:style>
  <w:style w:type="paragraph" w:customStyle="1" w:styleId="EndNoteBibliography">
    <w:name w:val="EndNote Bibliography"/>
    <w:basedOn w:val="Normal"/>
    <w:link w:val="EndNoteBibliographyChar"/>
    <w:rsid w:val="00C00FCF"/>
    <w:rPr>
      <w:rFonts w:cs="Arial"/>
      <w:noProof/>
      <w:kern w:val="20"/>
      <w:sz w:val="18"/>
      <w:u w:color="000000"/>
      <w:lang w:val="en-US"/>
    </w:rPr>
  </w:style>
  <w:style w:type="character" w:customStyle="1" w:styleId="EndNoteBibliographyChar">
    <w:name w:val="EndNote Bibliography Char"/>
    <w:basedOn w:val="NormalTextChar"/>
    <w:link w:val="EndNoteBibliography"/>
    <w:rsid w:val="00C00FCF"/>
    <w:rPr>
      <w:rFonts w:asciiTheme="minorHAnsi" w:eastAsiaTheme="minorHAnsi" w:hAnsiTheme="minorHAnsi" w:cs="Arial"/>
      <w:noProof/>
      <w:color w:val="1A1B1A" w:themeColor="text1" w:themeShade="80"/>
      <w:kern w:val="20"/>
      <w:sz w:val="18"/>
      <w:szCs w:val="22"/>
      <w:u w:color="000000"/>
      <w:lang w:val="en-US" w:eastAsia="en-US"/>
    </w:rPr>
  </w:style>
  <w:style w:type="paragraph" w:customStyle="1" w:styleId="AHN1">
    <w:name w:val="A_H_N_1"/>
    <w:basedOn w:val="Normal"/>
    <w:next w:val="Normal"/>
    <w:uiPriority w:val="99"/>
    <w:rsid w:val="00C00FCF"/>
    <w:pPr>
      <w:keepNext/>
      <w:keepLines/>
      <w:tabs>
        <w:tab w:val="num" w:pos="360"/>
        <w:tab w:val="num" w:pos="851"/>
      </w:tabs>
      <w:spacing w:before="360" w:after="360"/>
      <w:ind w:left="851"/>
      <w:contextualSpacing/>
      <w:outlineLvl w:val="0"/>
    </w:pPr>
    <w:rPr>
      <w:rFonts w:ascii="Times New Roman Bold" w:hAnsi="Times New Roman Bold"/>
      <w:b/>
      <w:sz w:val="32"/>
      <w:lang w:eastAsia="en-AU"/>
    </w:rPr>
  </w:style>
  <w:style w:type="paragraph" w:customStyle="1" w:styleId="AHN2">
    <w:name w:val="A_H_N_2"/>
    <w:basedOn w:val="Normal"/>
    <w:next w:val="Normal"/>
    <w:uiPriority w:val="99"/>
    <w:rsid w:val="00C00FCF"/>
    <w:pPr>
      <w:keepNext/>
      <w:keepLines/>
      <w:numPr>
        <w:ilvl w:val="5"/>
        <w:numId w:val="15"/>
      </w:numPr>
      <w:tabs>
        <w:tab w:val="clear" w:pos="1418"/>
        <w:tab w:val="num" w:pos="360"/>
        <w:tab w:val="num" w:pos="851"/>
      </w:tabs>
      <w:spacing w:before="240" w:after="120"/>
      <w:ind w:left="0" w:firstLine="0"/>
      <w:outlineLvl w:val="1"/>
    </w:pPr>
    <w:rPr>
      <w:rFonts w:ascii="Times New Roman Bold" w:hAnsi="Times New Roman Bold"/>
      <w:b/>
      <w:sz w:val="28"/>
      <w:lang w:eastAsia="en-AU"/>
    </w:rPr>
  </w:style>
  <w:style w:type="paragraph" w:customStyle="1" w:styleId="AHN3">
    <w:name w:val="A_H_N_3"/>
    <w:basedOn w:val="Normal"/>
    <w:next w:val="Normal"/>
    <w:uiPriority w:val="99"/>
    <w:rsid w:val="00C00FCF"/>
    <w:pPr>
      <w:keepNext/>
      <w:keepLines/>
      <w:numPr>
        <w:ilvl w:val="2"/>
        <w:numId w:val="15"/>
      </w:numPr>
      <w:tabs>
        <w:tab w:val="clear" w:pos="1418"/>
        <w:tab w:val="num" w:pos="360"/>
      </w:tabs>
      <w:spacing w:before="120" w:after="240"/>
      <w:ind w:left="0" w:firstLine="0"/>
      <w:outlineLvl w:val="2"/>
    </w:pPr>
    <w:rPr>
      <w:rFonts w:ascii="Times New Roman" w:hAnsi="Times New Roman"/>
      <w:b/>
      <w:i/>
      <w:sz w:val="28"/>
      <w:lang w:eastAsia="en-AU"/>
    </w:rPr>
  </w:style>
  <w:style w:type="paragraph" w:customStyle="1" w:styleId="AHN4">
    <w:name w:val="A_H_N_4"/>
    <w:basedOn w:val="Normal"/>
    <w:next w:val="Normal"/>
    <w:uiPriority w:val="99"/>
    <w:rsid w:val="00C00FCF"/>
    <w:pPr>
      <w:keepNext/>
      <w:keepLines/>
      <w:numPr>
        <w:ilvl w:val="4"/>
        <w:numId w:val="15"/>
      </w:numPr>
      <w:tabs>
        <w:tab w:val="clear" w:pos="1418"/>
        <w:tab w:val="num" w:pos="360"/>
      </w:tabs>
      <w:spacing w:before="120" w:after="240"/>
      <w:ind w:left="0" w:firstLine="0"/>
      <w:outlineLvl w:val="3"/>
    </w:pPr>
    <w:rPr>
      <w:rFonts w:ascii="Times New Roman" w:hAnsi="Times New Roman"/>
      <w:b/>
      <w:lang w:eastAsia="en-AU"/>
    </w:rPr>
  </w:style>
  <w:style w:type="paragraph" w:customStyle="1" w:styleId="AHN5">
    <w:name w:val="A_H_N_5"/>
    <w:basedOn w:val="Normal"/>
    <w:next w:val="Normal"/>
    <w:uiPriority w:val="99"/>
    <w:rsid w:val="00C00FCF"/>
    <w:pPr>
      <w:tabs>
        <w:tab w:val="num" w:pos="1418"/>
      </w:tabs>
      <w:spacing w:before="120" w:after="240"/>
      <w:ind w:left="1418" w:hanging="851"/>
      <w:jc w:val="both"/>
      <w:outlineLvl w:val="4"/>
    </w:pPr>
    <w:rPr>
      <w:rFonts w:ascii="Times New Roman" w:hAnsi="Times New Roman"/>
      <w:lang w:eastAsia="en-AU"/>
    </w:rPr>
  </w:style>
  <w:style w:type="paragraph" w:customStyle="1" w:styleId="AHN6">
    <w:name w:val="A_H_N_6"/>
    <w:basedOn w:val="Normal"/>
    <w:next w:val="Normal"/>
    <w:uiPriority w:val="99"/>
    <w:rsid w:val="00C00FCF"/>
    <w:pPr>
      <w:keepNext/>
      <w:keepLines/>
      <w:tabs>
        <w:tab w:val="num" w:pos="1418"/>
      </w:tabs>
      <w:spacing w:before="120" w:after="240"/>
      <w:ind w:left="1418" w:hanging="851"/>
      <w:jc w:val="both"/>
      <w:outlineLvl w:val="5"/>
    </w:pPr>
    <w:rPr>
      <w:rFonts w:ascii="Times New Roman" w:hAnsi="Times New Roman"/>
      <w:i/>
      <w:lang w:eastAsia="en-AU"/>
    </w:rPr>
  </w:style>
  <w:style w:type="paragraph" w:customStyle="1" w:styleId="AT">
    <w:name w:val="A_T"/>
    <w:link w:val="ATChar"/>
    <w:rsid w:val="00C00FCF"/>
    <w:pPr>
      <w:spacing w:before="120" w:after="240"/>
      <w:jc w:val="both"/>
    </w:pPr>
    <w:rPr>
      <w:sz w:val="24"/>
      <w:szCs w:val="24"/>
    </w:rPr>
  </w:style>
  <w:style w:type="character" w:customStyle="1" w:styleId="ATChar">
    <w:name w:val="A_T Char"/>
    <w:basedOn w:val="DefaultParagraphFont"/>
    <w:link w:val="AT"/>
    <w:locked/>
    <w:rsid w:val="00C00FCF"/>
    <w:rPr>
      <w:sz w:val="24"/>
      <w:szCs w:val="24"/>
    </w:rPr>
  </w:style>
  <w:style w:type="table" w:customStyle="1" w:styleId="TableGrid1">
    <w:name w:val="Table Grid1"/>
    <w:basedOn w:val="TableNormal"/>
    <w:next w:val="TableGrid"/>
    <w:uiPriority w:val="39"/>
    <w:rsid w:val="00C0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C00FCF"/>
  </w:style>
  <w:style w:type="paragraph" w:customStyle="1" w:styleId="AReference">
    <w:name w:val="A_Reference"/>
    <w:basedOn w:val="AT"/>
    <w:link w:val="AReferenceChar"/>
    <w:rsid w:val="00C00FCF"/>
    <w:pPr>
      <w:keepLines/>
      <w:ind w:left="720" w:hanging="720"/>
      <w:jc w:val="left"/>
    </w:pPr>
    <w:rPr>
      <w:sz w:val="20"/>
    </w:rPr>
  </w:style>
  <w:style w:type="character" w:customStyle="1" w:styleId="AReferenceChar">
    <w:name w:val="A_Reference Char"/>
    <w:link w:val="AReference"/>
    <w:rsid w:val="00C00FCF"/>
    <w:rPr>
      <w:szCs w:val="24"/>
    </w:rPr>
  </w:style>
  <w:style w:type="paragraph" w:customStyle="1" w:styleId="ATTableNotes">
    <w:name w:val="A_T_Table_Notes"/>
    <w:basedOn w:val="Normal"/>
    <w:rsid w:val="00C00FCF"/>
    <w:pPr>
      <w:spacing w:before="40"/>
      <w:jc w:val="both"/>
    </w:pPr>
    <w:rPr>
      <w:rFonts w:ascii="Calibri" w:hAnsi="Calibri"/>
      <w:b/>
      <w:bCs/>
      <w:szCs w:val="20"/>
      <w:lang w:eastAsia="en-AU"/>
    </w:rPr>
  </w:style>
  <w:style w:type="character" w:customStyle="1" w:styleId="Mention1">
    <w:name w:val="Mention1"/>
    <w:basedOn w:val="DefaultParagraphFont"/>
    <w:uiPriority w:val="99"/>
    <w:semiHidden/>
    <w:unhideWhenUsed/>
    <w:rsid w:val="00C00FCF"/>
    <w:rPr>
      <w:color w:val="2B579A"/>
      <w:shd w:val="clear" w:color="auto" w:fill="E6E6E6"/>
    </w:rPr>
  </w:style>
  <w:style w:type="character" w:customStyle="1" w:styleId="Mention2">
    <w:name w:val="Mention2"/>
    <w:basedOn w:val="DefaultParagraphFont"/>
    <w:uiPriority w:val="99"/>
    <w:semiHidden/>
    <w:unhideWhenUsed/>
    <w:rsid w:val="00C00FCF"/>
    <w:rPr>
      <w:color w:val="2B579A"/>
      <w:shd w:val="clear" w:color="auto" w:fill="E6E6E6"/>
    </w:rPr>
  </w:style>
  <w:style w:type="character" w:customStyle="1" w:styleId="UnresolvedMention1">
    <w:name w:val="Unresolved Mention1"/>
    <w:basedOn w:val="DefaultParagraphFont"/>
    <w:uiPriority w:val="99"/>
    <w:semiHidden/>
    <w:unhideWhenUsed/>
    <w:rsid w:val="00C00FCF"/>
    <w:rPr>
      <w:color w:val="605E5C"/>
      <w:shd w:val="clear" w:color="auto" w:fill="E1DFDD"/>
    </w:rPr>
  </w:style>
  <w:style w:type="paragraph" w:customStyle="1" w:styleId="APVMANumberedHeading1">
    <w:name w:val="APVMA Numbered Heading 1"/>
    <w:basedOn w:val="Heading1"/>
    <w:next w:val="Normal"/>
    <w:qFormat/>
    <w:rsid w:val="00C00FCF"/>
    <w:pPr>
      <w:keepLines w:val="0"/>
      <w:pageBreakBefore w:val="0"/>
      <w:tabs>
        <w:tab w:val="num" w:pos="360"/>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C00FCF"/>
    <w:pPr>
      <w:keepLines w:val="0"/>
      <w:numPr>
        <w:ilvl w:val="0"/>
      </w:numPr>
      <w:tabs>
        <w:tab w:val="num" w:pos="360"/>
        <w:tab w:val="left" w:pos="851"/>
        <w:tab w:val="num" w:pos="907"/>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C00FCF"/>
    <w:pPr>
      <w:keepLines w:val="0"/>
      <w:numPr>
        <w:ilvl w:val="0"/>
      </w:numPr>
      <w:tabs>
        <w:tab w:val="num" w:pos="360"/>
        <w:tab w:val="num" w:pos="907"/>
      </w:tabs>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C00FCF"/>
    <w:pPr>
      <w:keepLines w:val="0"/>
      <w:numPr>
        <w:ilvl w:val="0"/>
      </w:numPr>
      <w:tabs>
        <w:tab w:val="num" w:pos="360"/>
        <w:tab w:val="num" w:pos="907"/>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C00FCF"/>
    <w:pPr>
      <w:keepNext w:val="0"/>
      <w:keepLines w:val="0"/>
      <w:numPr>
        <w:ilvl w:val="0"/>
      </w:numPr>
      <w:tabs>
        <w:tab w:val="num" w:pos="360"/>
        <w:tab w:val="num" w:pos="907"/>
      </w:tabs>
      <w:suppressAutoHyphens w:val="0"/>
      <w:spacing w:before="240" w:after="60" w:line="240" w:lineRule="auto"/>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C00FCF"/>
    <w:pPr>
      <w:tabs>
        <w:tab w:val="num" w:pos="360"/>
      </w:tabs>
    </w:pPr>
    <w:rPr>
      <w:lang w:eastAsia="en-AU"/>
    </w:rPr>
  </w:style>
  <w:style w:type="paragraph" w:customStyle="1" w:styleId="NumberedHeading7">
    <w:name w:val="Numbered Heading 7"/>
    <w:basedOn w:val="Heading7"/>
    <w:next w:val="Normal"/>
    <w:rsid w:val="00C00FCF"/>
    <w:pPr>
      <w:numPr>
        <w:numId w:val="16"/>
      </w:numPr>
      <w:tabs>
        <w:tab w:val="clear" w:pos="1296"/>
        <w:tab w:val="num" w:pos="360"/>
      </w:tabs>
      <w:ind w:left="0" w:firstLine="0"/>
    </w:pPr>
    <w:rPr>
      <w:lang w:eastAsia="en-AU"/>
    </w:rPr>
  </w:style>
  <w:style w:type="paragraph" w:customStyle="1" w:styleId="NumberedHeading8">
    <w:name w:val="Numbered Heading 8"/>
    <w:basedOn w:val="Heading8"/>
    <w:next w:val="Normal"/>
    <w:rsid w:val="00C00FCF"/>
    <w:pPr>
      <w:numPr>
        <w:numId w:val="16"/>
      </w:numPr>
      <w:tabs>
        <w:tab w:val="clear" w:pos="1440"/>
        <w:tab w:val="num" w:pos="360"/>
      </w:tabs>
      <w:ind w:left="0" w:firstLine="0"/>
    </w:pPr>
    <w:rPr>
      <w:lang w:eastAsia="en-AU"/>
    </w:rPr>
  </w:style>
  <w:style w:type="paragraph" w:customStyle="1" w:styleId="NumberedHeading9">
    <w:name w:val="Numbered Heading 9"/>
    <w:basedOn w:val="Heading9"/>
    <w:next w:val="Normal"/>
    <w:rsid w:val="00C00FCF"/>
    <w:pPr>
      <w:numPr>
        <w:numId w:val="16"/>
      </w:numPr>
      <w:tabs>
        <w:tab w:val="clear" w:pos="1584"/>
        <w:tab w:val="num" w:pos="360"/>
      </w:tabs>
      <w:ind w:left="0" w:firstLine="0"/>
    </w:pPr>
    <w:rPr>
      <w:rFonts w:ascii="Times New Roman" w:hAnsi="Times New Roman"/>
      <w:lang w:eastAsia="en-AU"/>
    </w:rPr>
  </w:style>
  <w:style w:type="paragraph" w:customStyle="1" w:styleId="APVMAbodytext">
    <w:name w:val="APVMA body text"/>
    <w:basedOn w:val="BodyText"/>
    <w:qFormat/>
    <w:rsid w:val="00C00FCF"/>
    <w:pPr>
      <w:spacing w:after="0"/>
    </w:pPr>
    <w:rPr>
      <w:rFonts w:ascii="Times New Roman" w:hAnsi="Times New Roman"/>
      <w:bCs/>
      <w:color w:val="000000"/>
      <w:sz w:val="22"/>
    </w:rPr>
  </w:style>
  <w:style w:type="paragraph" w:styleId="TOCHeading">
    <w:name w:val="TOC Heading"/>
    <w:basedOn w:val="Heading1"/>
    <w:next w:val="Normal"/>
    <w:uiPriority w:val="39"/>
    <w:unhideWhenUsed/>
    <w:rsid w:val="00C00FCF"/>
    <w:pPr>
      <w:pageBreakBefore w:val="0"/>
      <w:suppressAutoHyphens w:val="0"/>
      <w:spacing w:before="240" w:after="0" w:line="240" w:lineRule="auto"/>
      <w:jc w:val="both"/>
      <w:outlineLvl w:val="9"/>
    </w:pPr>
    <w:rPr>
      <w:rFonts w:asciiTheme="majorHAnsi" w:eastAsiaTheme="majorEastAsia" w:hAnsiTheme="majorHAnsi" w:cstheme="majorBidi"/>
      <w:color w:val="7E9BA8" w:themeColor="accent1" w:themeShade="BF"/>
      <w:kern w:val="0"/>
      <w:lang w:val="en-US"/>
    </w:rPr>
  </w:style>
  <w:style w:type="paragraph" w:styleId="BodyTextIndent2">
    <w:name w:val="Body Text Indent 2"/>
    <w:basedOn w:val="Normal"/>
    <w:link w:val="BodyTextIndent2Char"/>
    <w:semiHidden/>
    <w:rsid w:val="00C00FCF"/>
    <w:pPr>
      <w:spacing w:after="120" w:line="480" w:lineRule="auto"/>
      <w:ind w:left="283"/>
      <w:jc w:val="both"/>
    </w:pPr>
    <w:rPr>
      <w:rFonts w:ascii="Times New Roman" w:hAnsi="Times New Roman"/>
    </w:rPr>
  </w:style>
  <w:style w:type="character" w:customStyle="1" w:styleId="BodyTextIndent2Char">
    <w:name w:val="Body Text Indent 2 Char"/>
    <w:basedOn w:val="DefaultParagraphFont"/>
    <w:link w:val="BodyTextIndent2"/>
    <w:semiHidden/>
    <w:rsid w:val="00C00FCF"/>
    <w:rPr>
      <w:rFonts w:eastAsiaTheme="minorHAnsi" w:cstheme="minorBidi"/>
      <w:kern w:val="2"/>
      <w:sz w:val="22"/>
      <w:szCs w:val="22"/>
      <w:lang w:eastAsia="en-US"/>
    </w:rPr>
  </w:style>
  <w:style w:type="paragraph" w:customStyle="1" w:styleId="Notes">
    <w:name w:val="Notes"/>
    <w:basedOn w:val="Normal"/>
    <w:rsid w:val="00C00FCF"/>
    <w:pPr>
      <w:tabs>
        <w:tab w:val="num" w:pos="360"/>
      </w:tabs>
      <w:jc w:val="both"/>
    </w:pPr>
    <w:rPr>
      <w:rFonts w:ascii="Times New Roman" w:hAnsi="Times New Roman"/>
      <w:bCs/>
      <w:color w:val="FF0000"/>
    </w:rPr>
  </w:style>
  <w:style w:type="paragraph" w:styleId="DocumentMap">
    <w:name w:val="Document Map"/>
    <w:basedOn w:val="Normal"/>
    <w:link w:val="DocumentMapChar"/>
    <w:semiHidden/>
    <w:rsid w:val="00C00FCF"/>
    <w:pPr>
      <w:shd w:val="clear" w:color="auto" w:fill="000080"/>
      <w:jc w:val="both"/>
    </w:pPr>
    <w:rPr>
      <w:rFonts w:ascii="Tahoma" w:hAnsi="Tahoma" w:cs="Tahoma"/>
    </w:rPr>
  </w:style>
  <w:style w:type="character" w:customStyle="1" w:styleId="DocumentMapChar">
    <w:name w:val="Document Map Char"/>
    <w:basedOn w:val="DefaultParagraphFont"/>
    <w:link w:val="DocumentMap"/>
    <w:semiHidden/>
    <w:rsid w:val="00C00FCF"/>
    <w:rPr>
      <w:rFonts w:ascii="Tahoma" w:eastAsiaTheme="minorHAnsi" w:hAnsi="Tahoma" w:cs="Tahoma"/>
      <w:kern w:val="2"/>
      <w:sz w:val="22"/>
      <w:szCs w:val="22"/>
      <w:shd w:val="clear" w:color="auto" w:fill="000080"/>
      <w:lang w:eastAsia="en-US"/>
    </w:rPr>
  </w:style>
  <w:style w:type="paragraph" w:customStyle="1" w:styleId="Recommendations">
    <w:name w:val="Recommendations"/>
    <w:basedOn w:val="Normal"/>
    <w:rsid w:val="00C00FCF"/>
    <w:pPr>
      <w:tabs>
        <w:tab w:val="num" w:pos="360"/>
      </w:tabs>
      <w:spacing w:after="120"/>
      <w:ind w:left="360" w:hanging="360"/>
      <w:jc w:val="both"/>
    </w:pPr>
    <w:rPr>
      <w:rFonts w:ascii="Times New Roman" w:hAnsi="Times New Roman"/>
    </w:rPr>
  </w:style>
  <w:style w:type="paragraph" w:customStyle="1" w:styleId="TableNumber">
    <w:name w:val="Table Number"/>
    <w:basedOn w:val="Normal"/>
    <w:next w:val="Normal"/>
    <w:rsid w:val="00C00FCF"/>
    <w:pPr>
      <w:tabs>
        <w:tab w:val="num" w:pos="1080"/>
        <w:tab w:val="left" w:pos="1134"/>
      </w:tabs>
      <w:jc w:val="both"/>
    </w:pPr>
    <w:rPr>
      <w:rFonts w:ascii="Times New Roman" w:hAnsi="Times New Roman"/>
      <w:color w:val="000000"/>
    </w:rPr>
  </w:style>
  <w:style w:type="paragraph" w:styleId="MessageHeader">
    <w:name w:val="Message Header"/>
    <w:basedOn w:val="Normal"/>
    <w:link w:val="MessageHeaderChar"/>
    <w:semiHidden/>
    <w:rsid w:val="00C00FCF"/>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cs="Arial"/>
      <w:sz w:val="2"/>
    </w:rPr>
  </w:style>
  <w:style w:type="character" w:customStyle="1" w:styleId="MessageHeaderChar">
    <w:name w:val="Message Header Char"/>
    <w:basedOn w:val="DefaultParagraphFont"/>
    <w:link w:val="MessageHeader"/>
    <w:semiHidden/>
    <w:rsid w:val="00C00FCF"/>
    <w:rPr>
      <w:rFonts w:asciiTheme="minorHAnsi" w:eastAsiaTheme="minorHAnsi" w:hAnsiTheme="minorHAnsi" w:cs="Arial"/>
      <w:kern w:val="2"/>
      <w:sz w:val="2"/>
      <w:szCs w:val="22"/>
      <w:shd w:val="pct20" w:color="auto" w:fill="auto"/>
      <w:lang w:eastAsia="en-US"/>
    </w:rPr>
  </w:style>
  <w:style w:type="paragraph" w:styleId="Title">
    <w:name w:val="Title"/>
    <w:basedOn w:val="Normal"/>
    <w:link w:val="TitleChar"/>
    <w:uiPriority w:val="10"/>
    <w:qFormat/>
    <w:rsid w:val="00C00FCF"/>
    <w:pPr>
      <w:spacing w:before="240" w:after="60"/>
      <w:jc w:val="center"/>
    </w:pPr>
    <w:rPr>
      <w:rFonts w:cs="Arial"/>
      <w:b/>
      <w:bCs/>
      <w:kern w:val="28"/>
      <w:sz w:val="2"/>
      <w:szCs w:val="32"/>
    </w:rPr>
  </w:style>
  <w:style w:type="character" w:customStyle="1" w:styleId="TitleChar">
    <w:name w:val="Title Char"/>
    <w:basedOn w:val="DefaultParagraphFont"/>
    <w:link w:val="Title"/>
    <w:uiPriority w:val="10"/>
    <w:rsid w:val="00C00FCF"/>
    <w:rPr>
      <w:rFonts w:asciiTheme="minorHAnsi" w:eastAsiaTheme="minorHAnsi" w:hAnsiTheme="minorHAnsi" w:cs="Arial"/>
      <w:b/>
      <w:bCs/>
      <w:kern w:val="28"/>
      <w:sz w:val="2"/>
      <w:szCs w:val="32"/>
      <w:lang w:eastAsia="en-US"/>
    </w:rPr>
  </w:style>
  <w:style w:type="paragraph" w:styleId="TableofAuthorities">
    <w:name w:val="table of authorities"/>
    <w:basedOn w:val="Normal"/>
    <w:next w:val="Normal"/>
    <w:semiHidden/>
    <w:rsid w:val="00C00FCF"/>
    <w:pPr>
      <w:ind w:left="240" w:hanging="240"/>
      <w:jc w:val="both"/>
    </w:pPr>
    <w:rPr>
      <w:rFonts w:ascii="Times New Roman" w:hAnsi="Times New Roman"/>
      <w:sz w:val="2"/>
    </w:rPr>
  </w:style>
  <w:style w:type="paragraph" w:styleId="Subtitle">
    <w:name w:val="Subtitle"/>
    <w:basedOn w:val="Normal"/>
    <w:link w:val="SubtitleChar"/>
    <w:uiPriority w:val="11"/>
    <w:qFormat/>
    <w:rsid w:val="00C00FCF"/>
    <w:pPr>
      <w:spacing w:after="60"/>
      <w:jc w:val="center"/>
    </w:pPr>
    <w:rPr>
      <w:rFonts w:cs="Arial"/>
      <w:sz w:val="2"/>
    </w:rPr>
  </w:style>
  <w:style w:type="character" w:customStyle="1" w:styleId="SubtitleChar">
    <w:name w:val="Subtitle Char"/>
    <w:basedOn w:val="DefaultParagraphFont"/>
    <w:link w:val="Subtitle"/>
    <w:uiPriority w:val="11"/>
    <w:rsid w:val="00C00FCF"/>
    <w:rPr>
      <w:rFonts w:asciiTheme="minorHAnsi" w:eastAsiaTheme="minorHAnsi" w:hAnsiTheme="minorHAnsi" w:cs="Arial"/>
      <w:kern w:val="2"/>
      <w:sz w:val="2"/>
      <w:szCs w:val="22"/>
      <w:lang w:eastAsia="en-US"/>
    </w:rPr>
  </w:style>
  <w:style w:type="paragraph" w:styleId="Signature">
    <w:name w:val="Signature"/>
    <w:basedOn w:val="Normal"/>
    <w:link w:val="SignatureChar"/>
    <w:semiHidden/>
    <w:rsid w:val="00C00FCF"/>
    <w:pPr>
      <w:ind w:left="4252"/>
      <w:jc w:val="both"/>
    </w:pPr>
    <w:rPr>
      <w:rFonts w:ascii="Times New Roman" w:hAnsi="Times New Roman"/>
      <w:sz w:val="2"/>
    </w:rPr>
  </w:style>
  <w:style w:type="character" w:customStyle="1" w:styleId="SignatureChar">
    <w:name w:val="Signature Char"/>
    <w:basedOn w:val="DefaultParagraphFont"/>
    <w:link w:val="Signature"/>
    <w:semiHidden/>
    <w:rsid w:val="00C00FCF"/>
    <w:rPr>
      <w:rFonts w:eastAsiaTheme="minorHAnsi" w:cstheme="minorBidi"/>
      <w:kern w:val="2"/>
      <w:sz w:val="2"/>
      <w:szCs w:val="22"/>
      <w:lang w:eastAsia="en-US"/>
    </w:rPr>
  </w:style>
  <w:style w:type="paragraph" w:styleId="Salutation">
    <w:name w:val="Salutation"/>
    <w:basedOn w:val="Normal"/>
    <w:next w:val="Normal"/>
    <w:link w:val="SalutationChar"/>
    <w:semiHidden/>
    <w:rsid w:val="00C00FCF"/>
    <w:pPr>
      <w:jc w:val="both"/>
    </w:pPr>
    <w:rPr>
      <w:rFonts w:ascii="Times New Roman" w:hAnsi="Times New Roman"/>
      <w:sz w:val="2"/>
    </w:rPr>
  </w:style>
  <w:style w:type="character" w:customStyle="1" w:styleId="SalutationChar">
    <w:name w:val="Salutation Char"/>
    <w:basedOn w:val="DefaultParagraphFont"/>
    <w:link w:val="Salutation"/>
    <w:semiHidden/>
    <w:rsid w:val="00C00FCF"/>
    <w:rPr>
      <w:rFonts w:eastAsiaTheme="minorHAnsi" w:cstheme="minorBidi"/>
      <w:kern w:val="2"/>
      <w:sz w:val="2"/>
      <w:szCs w:val="22"/>
      <w:lang w:eastAsia="en-US"/>
    </w:rPr>
  </w:style>
  <w:style w:type="paragraph" w:styleId="PlainText">
    <w:name w:val="Plain Text"/>
    <w:basedOn w:val="Normal"/>
    <w:link w:val="PlainTextChar"/>
    <w:semiHidden/>
    <w:rsid w:val="00C00FCF"/>
    <w:pPr>
      <w:jc w:val="both"/>
    </w:pPr>
    <w:rPr>
      <w:rFonts w:ascii="Courier New" w:hAnsi="Courier New" w:cs="Courier New"/>
      <w:sz w:val="2"/>
    </w:rPr>
  </w:style>
  <w:style w:type="character" w:customStyle="1" w:styleId="PlainTextChar">
    <w:name w:val="Plain Text Char"/>
    <w:basedOn w:val="DefaultParagraphFont"/>
    <w:link w:val="PlainText"/>
    <w:semiHidden/>
    <w:rsid w:val="00C00FCF"/>
    <w:rPr>
      <w:rFonts w:ascii="Courier New" w:eastAsiaTheme="minorHAnsi" w:hAnsi="Courier New" w:cs="Courier New"/>
      <w:kern w:val="2"/>
      <w:sz w:val="2"/>
      <w:szCs w:val="22"/>
      <w:lang w:eastAsia="en-US"/>
    </w:rPr>
  </w:style>
  <w:style w:type="paragraph" w:styleId="NoteHeading">
    <w:name w:val="Note Heading"/>
    <w:basedOn w:val="Normal"/>
    <w:next w:val="Normal"/>
    <w:link w:val="NoteHeadingChar"/>
    <w:semiHidden/>
    <w:rsid w:val="00C00FCF"/>
    <w:pPr>
      <w:jc w:val="both"/>
    </w:pPr>
    <w:rPr>
      <w:rFonts w:ascii="Times New Roman" w:hAnsi="Times New Roman"/>
      <w:sz w:val="2"/>
    </w:rPr>
  </w:style>
  <w:style w:type="character" w:customStyle="1" w:styleId="NoteHeadingChar">
    <w:name w:val="Note Heading Char"/>
    <w:basedOn w:val="DefaultParagraphFont"/>
    <w:link w:val="NoteHeading"/>
    <w:semiHidden/>
    <w:rsid w:val="00C00FCF"/>
    <w:rPr>
      <w:rFonts w:eastAsiaTheme="minorHAnsi" w:cstheme="minorBidi"/>
      <w:kern w:val="2"/>
      <w:sz w:val="2"/>
      <w:szCs w:val="22"/>
      <w:lang w:eastAsia="en-US"/>
    </w:rPr>
  </w:style>
  <w:style w:type="paragraph" w:styleId="NormalIndent">
    <w:name w:val="Normal Indent"/>
    <w:basedOn w:val="Normal"/>
    <w:semiHidden/>
    <w:rsid w:val="00C00FCF"/>
    <w:pPr>
      <w:ind w:left="720"/>
      <w:jc w:val="both"/>
    </w:pPr>
    <w:rPr>
      <w:rFonts w:ascii="Times New Roman" w:hAnsi="Times New Roman"/>
      <w:sz w:val="2"/>
    </w:rPr>
  </w:style>
  <w:style w:type="paragraph" w:styleId="MacroText">
    <w:name w:val="macro"/>
    <w:link w:val="MacroTextChar"/>
    <w:semiHidden/>
    <w:rsid w:val="00C00FC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
      <w:lang w:eastAsia="en-US"/>
    </w:rPr>
  </w:style>
  <w:style w:type="character" w:customStyle="1" w:styleId="MacroTextChar">
    <w:name w:val="Macro Text Char"/>
    <w:basedOn w:val="DefaultParagraphFont"/>
    <w:link w:val="MacroText"/>
    <w:semiHidden/>
    <w:rsid w:val="00C00FCF"/>
    <w:rPr>
      <w:rFonts w:ascii="Courier New" w:hAnsi="Courier New" w:cs="Courier New"/>
      <w:sz w:val="2"/>
      <w:lang w:eastAsia="en-US"/>
    </w:rPr>
  </w:style>
  <w:style w:type="paragraph" w:styleId="BodyTextIndent">
    <w:name w:val="Body Text Indent"/>
    <w:basedOn w:val="Normal"/>
    <w:link w:val="BodyTextIndentChar"/>
    <w:semiHidden/>
    <w:rsid w:val="00C00FCF"/>
    <w:pPr>
      <w:ind w:left="720"/>
    </w:pPr>
    <w:rPr>
      <w:rFonts w:ascii="Times New Roman" w:hAnsi="Times New Roman"/>
      <w:szCs w:val="20"/>
    </w:rPr>
  </w:style>
  <w:style w:type="character" w:customStyle="1" w:styleId="BodyTextIndentChar">
    <w:name w:val="Body Text Indent Char"/>
    <w:basedOn w:val="DefaultParagraphFont"/>
    <w:link w:val="BodyTextIndent"/>
    <w:semiHidden/>
    <w:rsid w:val="00C00FCF"/>
    <w:rPr>
      <w:rFonts w:eastAsiaTheme="minorHAnsi" w:cstheme="minorBidi"/>
      <w:kern w:val="2"/>
      <w:sz w:val="22"/>
      <w:lang w:eastAsia="en-US"/>
    </w:rPr>
  </w:style>
  <w:style w:type="paragraph" w:customStyle="1" w:styleId="Normaltext0">
    <w:name w:val="Normal text"/>
    <w:basedOn w:val="Normal"/>
    <w:rsid w:val="00C00FCF"/>
    <w:pPr>
      <w:spacing w:before="60" w:after="60"/>
      <w:jc w:val="both"/>
    </w:pPr>
    <w:rPr>
      <w:rFonts w:ascii="Times New Roman" w:hAnsi="Times New Roman"/>
      <w:szCs w:val="20"/>
    </w:rPr>
  </w:style>
  <w:style w:type="paragraph" w:customStyle="1" w:styleId="Appendix1">
    <w:name w:val="Appendix 1"/>
    <w:basedOn w:val="Normal"/>
    <w:next w:val="Normal"/>
    <w:rsid w:val="00C00FCF"/>
    <w:pPr>
      <w:spacing w:before="120" w:after="120"/>
      <w:outlineLvl w:val="0"/>
    </w:pPr>
    <w:rPr>
      <w:rFonts w:ascii="Times New Roman" w:hAnsi="Times New Roman"/>
      <w:b/>
    </w:rPr>
  </w:style>
  <w:style w:type="paragraph" w:customStyle="1" w:styleId="Tabletitle">
    <w:name w:val="Table title"/>
    <w:basedOn w:val="Normal"/>
    <w:next w:val="Normal"/>
    <w:rsid w:val="00C00FCF"/>
    <w:pPr>
      <w:numPr>
        <w:numId w:val="17"/>
      </w:numPr>
      <w:tabs>
        <w:tab w:val="clear" w:pos="1134"/>
      </w:tabs>
      <w:ind w:left="0" w:firstLine="0"/>
    </w:pPr>
    <w:rPr>
      <w:rFonts w:ascii="Times New Roman" w:hAnsi="Times New Roman"/>
      <w:b/>
      <w:szCs w:val="20"/>
      <w:lang w:val="en-GB"/>
    </w:rPr>
  </w:style>
  <w:style w:type="paragraph" w:customStyle="1" w:styleId="appendixsub-heading-2">
    <w:name w:val="appendix sub-heading-2"/>
    <w:basedOn w:val="BodyText"/>
    <w:next w:val="BodyText"/>
    <w:rsid w:val="00C00FCF"/>
    <w:pPr>
      <w:numPr>
        <w:numId w:val="18"/>
      </w:numPr>
      <w:tabs>
        <w:tab w:val="clear" w:pos="1176"/>
      </w:tabs>
      <w:spacing w:before="120"/>
      <w:ind w:left="0" w:firstLine="0"/>
      <w:outlineLvl w:val="2"/>
    </w:pPr>
    <w:rPr>
      <w:rFonts w:ascii="Times New Roman" w:hAnsi="Times New Roman"/>
      <w:b/>
      <w:sz w:val="24"/>
      <w:szCs w:val="20"/>
      <w:lang w:val="en-GB"/>
    </w:rPr>
  </w:style>
  <w:style w:type="paragraph" w:customStyle="1" w:styleId="Appendix">
    <w:name w:val="Appendix"/>
    <w:basedOn w:val="Normal"/>
    <w:next w:val="BodyText"/>
    <w:rsid w:val="00C00FCF"/>
    <w:pPr>
      <w:pageBreakBefore/>
      <w:numPr>
        <w:numId w:val="19"/>
      </w:numPr>
      <w:tabs>
        <w:tab w:val="clear" w:pos="720"/>
      </w:tabs>
      <w:spacing w:before="240" w:after="240"/>
      <w:ind w:left="0" w:firstLine="0"/>
      <w:jc w:val="center"/>
      <w:outlineLvl w:val="0"/>
    </w:pPr>
    <w:rPr>
      <w:rFonts w:ascii="Times New Roman" w:hAnsi="Times New Roman"/>
      <w:b/>
      <w:caps/>
      <w:szCs w:val="20"/>
      <w:lang w:val="en-GB"/>
    </w:rPr>
  </w:style>
  <w:style w:type="paragraph" w:customStyle="1" w:styleId="Style1">
    <w:name w:val="Style 1"/>
    <w:basedOn w:val="Normal"/>
    <w:rsid w:val="00C00FCF"/>
    <w:pPr>
      <w:widowControl w:val="0"/>
      <w:autoSpaceDE w:val="0"/>
      <w:autoSpaceDN w:val="0"/>
      <w:spacing w:after="108"/>
      <w:ind w:right="180"/>
      <w:jc w:val="right"/>
    </w:pPr>
    <w:rPr>
      <w:rFonts w:ascii="Times New Roman" w:hAnsi="Times New Roman"/>
      <w:lang w:val="en-US"/>
    </w:rPr>
  </w:style>
  <w:style w:type="paragraph" w:styleId="BodyText3">
    <w:name w:val="Body Text 3"/>
    <w:basedOn w:val="Normal"/>
    <w:link w:val="BodyText3Char"/>
    <w:semiHidden/>
    <w:rsid w:val="00C00FCF"/>
    <w:pPr>
      <w:jc w:val="both"/>
    </w:pPr>
    <w:rPr>
      <w:rFonts w:ascii="Times New Roman" w:hAnsi="Times New Roman"/>
      <w:sz w:val="18"/>
    </w:rPr>
  </w:style>
  <w:style w:type="character" w:customStyle="1" w:styleId="BodyText3Char">
    <w:name w:val="Body Text 3 Char"/>
    <w:basedOn w:val="DefaultParagraphFont"/>
    <w:link w:val="BodyText3"/>
    <w:semiHidden/>
    <w:rsid w:val="00C00FCF"/>
    <w:rPr>
      <w:rFonts w:eastAsiaTheme="minorHAnsi" w:cstheme="minorBidi"/>
      <w:kern w:val="2"/>
      <w:sz w:val="18"/>
      <w:szCs w:val="22"/>
      <w:lang w:eastAsia="en-US"/>
    </w:rPr>
  </w:style>
  <w:style w:type="paragraph" w:styleId="BodyTextIndent3">
    <w:name w:val="Body Text Indent 3"/>
    <w:basedOn w:val="Normal"/>
    <w:link w:val="BodyTextIndent3Char"/>
    <w:semiHidden/>
    <w:rsid w:val="00C00FCF"/>
    <w:pPr>
      <w:ind w:left="1418" w:hanging="1418"/>
      <w:jc w:val="both"/>
    </w:pPr>
    <w:rPr>
      <w:rFonts w:ascii="Times New Roman" w:hAnsi="Times New Roman"/>
    </w:rPr>
  </w:style>
  <w:style w:type="character" w:customStyle="1" w:styleId="BodyTextIndent3Char">
    <w:name w:val="Body Text Indent 3 Char"/>
    <w:basedOn w:val="DefaultParagraphFont"/>
    <w:link w:val="BodyTextIndent3"/>
    <w:semiHidden/>
    <w:rsid w:val="00C00FCF"/>
    <w:rPr>
      <w:rFonts w:eastAsiaTheme="minorHAnsi" w:cstheme="minorBidi"/>
      <w:kern w:val="2"/>
      <w:sz w:val="22"/>
      <w:szCs w:val="22"/>
      <w:lang w:eastAsia="en-US"/>
    </w:rPr>
  </w:style>
  <w:style w:type="paragraph" w:customStyle="1" w:styleId="Normalsinglespace">
    <w:name w:val="Normal single space"/>
    <w:basedOn w:val="Normal"/>
    <w:rsid w:val="00C00FCF"/>
    <w:pPr>
      <w:spacing w:before="120"/>
    </w:pPr>
    <w:rPr>
      <w:rFonts w:ascii="Times New Roman" w:hAnsi="Times New Roman"/>
      <w:szCs w:val="20"/>
    </w:rPr>
  </w:style>
  <w:style w:type="paragraph" w:customStyle="1" w:styleId="tabletext1">
    <w:name w:val="table text"/>
    <w:basedOn w:val="Normal"/>
    <w:rsid w:val="00C00FCF"/>
    <w:rPr>
      <w:rFonts w:ascii="Times New Roman" w:hAnsi="Times New Roman"/>
      <w:sz w:val="20"/>
      <w:szCs w:val="20"/>
    </w:rPr>
  </w:style>
  <w:style w:type="paragraph" w:customStyle="1" w:styleId="9pt6pt">
    <w:name w:val="スタイル 9 pt 左揃え 段落後 :  6 pt"/>
    <w:basedOn w:val="Normal"/>
    <w:rsid w:val="00C00FCF"/>
    <w:pPr>
      <w:keepLines/>
      <w:tabs>
        <w:tab w:val="left" w:pos="720"/>
      </w:tabs>
      <w:adjustRightInd w:val="0"/>
      <w:snapToGrid w:val="0"/>
      <w:spacing w:after="120"/>
    </w:pPr>
    <w:rPr>
      <w:rFonts w:ascii="Times New Roman" w:eastAsia="MS Mincho" w:hAnsi="Times New Roman" w:cs="MS Mincho"/>
      <w:sz w:val="18"/>
      <w:szCs w:val="20"/>
      <w:lang w:val="en-GB" w:eastAsia="ja-JP"/>
    </w:rPr>
  </w:style>
  <w:style w:type="character" w:styleId="LineNumber">
    <w:name w:val="line number"/>
    <w:basedOn w:val="DefaultParagraphFont"/>
    <w:semiHidden/>
    <w:rsid w:val="00C00FCF"/>
  </w:style>
  <w:style w:type="paragraph" w:customStyle="1" w:styleId="RefBody">
    <w:name w:val="Ref Body"/>
    <w:basedOn w:val="Normal"/>
    <w:rsid w:val="00C00FCF"/>
    <w:pPr>
      <w:tabs>
        <w:tab w:val="left" w:pos="720"/>
      </w:tabs>
      <w:overflowPunct w:val="0"/>
      <w:autoSpaceDE w:val="0"/>
      <w:autoSpaceDN w:val="0"/>
      <w:adjustRightInd w:val="0"/>
      <w:ind w:left="720" w:hanging="720"/>
      <w:textAlignment w:val="baseline"/>
    </w:pPr>
    <w:rPr>
      <w:rFonts w:ascii="Times New Roman" w:eastAsia="MS Mincho" w:hAnsi="Times New Roman"/>
      <w:sz w:val="20"/>
      <w:szCs w:val="20"/>
      <w:lang w:val="en-GB"/>
    </w:rPr>
  </w:style>
  <w:style w:type="paragraph" w:customStyle="1" w:styleId="reptit">
    <w:name w:val="reptit"/>
    <w:basedOn w:val="Normal"/>
    <w:rsid w:val="00C00FCF"/>
    <w:pPr>
      <w:tabs>
        <w:tab w:val="left" w:pos="720"/>
        <w:tab w:val="left" w:pos="1077"/>
        <w:tab w:val="left" w:pos="1440"/>
      </w:tabs>
      <w:overflowPunct w:val="0"/>
      <w:autoSpaceDE w:val="0"/>
      <w:autoSpaceDN w:val="0"/>
      <w:adjustRightInd w:val="0"/>
      <w:spacing w:before="120"/>
      <w:textAlignment w:val="baseline"/>
    </w:pPr>
    <w:rPr>
      <w:rFonts w:ascii="Times New Roman" w:eastAsia="MS Mincho" w:hAnsi="Times New Roman"/>
      <w:szCs w:val="20"/>
      <w:lang w:val="en-GB"/>
    </w:rPr>
  </w:style>
  <w:style w:type="paragraph" w:customStyle="1" w:styleId="TableText2">
    <w:name w:val="Table Text"/>
    <w:basedOn w:val="Normal"/>
    <w:rsid w:val="00C00FCF"/>
    <w:pPr>
      <w:tabs>
        <w:tab w:val="left" w:pos="720"/>
      </w:tabs>
      <w:overflowPunct w:val="0"/>
      <w:autoSpaceDE w:val="0"/>
      <w:autoSpaceDN w:val="0"/>
      <w:adjustRightInd w:val="0"/>
      <w:spacing w:before="60" w:after="60"/>
      <w:textAlignment w:val="baseline"/>
    </w:pPr>
    <w:rPr>
      <w:rFonts w:ascii="Times New Roman" w:eastAsia="MS Mincho" w:hAnsi="Times New Roman"/>
      <w:sz w:val="20"/>
      <w:szCs w:val="20"/>
      <w:lang w:val="en-GB"/>
    </w:rPr>
  </w:style>
  <w:style w:type="paragraph" w:customStyle="1" w:styleId="xl52">
    <w:name w:val="xl52"/>
    <w:basedOn w:val="Normal"/>
    <w:rsid w:val="00C00FCF"/>
    <w:pPr>
      <w:pBdr>
        <w:bottom w:val="double" w:sz="6" w:space="0" w:color="auto"/>
      </w:pBdr>
      <w:tabs>
        <w:tab w:val="left" w:pos="720"/>
      </w:tabs>
      <w:spacing w:beforeAutospacing="1" w:afterAutospacing="1"/>
      <w:jc w:val="center"/>
    </w:pPr>
    <w:rPr>
      <w:rFonts w:eastAsia="MS Mincho" w:cs="Arial"/>
      <w:lang w:val="en-GB"/>
    </w:rPr>
  </w:style>
  <w:style w:type="paragraph" w:customStyle="1" w:styleId="xl53">
    <w:name w:val="xl53"/>
    <w:basedOn w:val="Normal"/>
    <w:rsid w:val="00C00FCF"/>
    <w:pPr>
      <w:pBdr>
        <w:bottom w:val="double" w:sz="6" w:space="0" w:color="auto"/>
        <w:right w:val="single" w:sz="4" w:space="0" w:color="auto"/>
      </w:pBdr>
      <w:tabs>
        <w:tab w:val="left" w:pos="720"/>
      </w:tabs>
      <w:spacing w:beforeAutospacing="1" w:afterAutospacing="1"/>
      <w:jc w:val="center"/>
    </w:pPr>
    <w:rPr>
      <w:rFonts w:eastAsia="MS Mincho" w:cs="Arial"/>
      <w:lang w:val="en-GB"/>
    </w:rPr>
  </w:style>
  <w:style w:type="paragraph" w:customStyle="1" w:styleId="xl54">
    <w:name w:val="xl54"/>
    <w:basedOn w:val="Normal"/>
    <w:rsid w:val="00C00FCF"/>
    <w:pPr>
      <w:pBdr>
        <w:bottom w:val="double" w:sz="6" w:space="0" w:color="auto"/>
      </w:pBdr>
      <w:tabs>
        <w:tab w:val="left" w:pos="720"/>
      </w:tabs>
      <w:spacing w:beforeAutospacing="1" w:afterAutospacing="1"/>
      <w:jc w:val="center"/>
    </w:pPr>
    <w:rPr>
      <w:rFonts w:eastAsia="MS Mincho" w:cs="Arial"/>
      <w:lang w:val="en-GB"/>
    </w:rPr>
  </w:style>
  <w:style w:type="paragraph" w:customStyle="1" w:styleId="xl55">
    <w:name w:val="xl55"/>
    <w:basedOn w:val="Normal"/>
    <w:rsid w:val="00C00FCF"/>
    <w:pPr>
      <w:pBdr>
        <w:bottom w:val="double" w:sz="6" w:space="0" w:color="auto"/>
        <w:right w:val="double" w:sz="6" w:space="0" w:color="auto"/>
      </w:pBdr>
      <w:tabs>
        <w:tab w:val="left" w:pos="720"/>
      </w:tabs>
      <w:spacing w:beforeAutospacing="1" w:afterAutospacing="1"/>
      <w:jc w:val="center"/>
    </w:pPr>
    <w:rPr>
      <w:rFonts w:eastAsia="MS Mincho" w:cs="Arial"/>
      <w:lang w:val="en-GB"/>
    </w:rPr>
  </w:style>
  <w:style w:type="paragraph" w:customStyle="1" w:styleId="xl56">
    <w:name w:val="xl56"/>
    <w:basedOn w:val="Normal"/>
    <w:rsid w:val="00C00FCF"/>
    <w:pPr>
      <w:pBdr>
        <w:top w:val="double" w:sz="6" w:space="0" w:color="auto"/>
        <w:left w:val="single" w:sz="4" w:space="0" w:color="auto"/>
        <w:right w:val="single" w:sz="4" w:space="0" w:color="auto"/>
      </w:pBdr>
      <w:tabs>
        <w:tab w:val="left" w:pos="720"/>
      </w:tabs>
      <w:spacing w:beforeAutospacing="1" w:afterAutospacing="1"/>
      <w:jc w:val="center"/>
    </w:pPr>
    <w:rPr>
      <w:rFonts w:ascii="Times New Roman" w:eastAsia="MS Mincho" w:hAnsi="Times New Roman"/>
      <w:b/>
      <w:bCs/>
      <w:lang w:val="en-GB"/>
    </w:rPr>
  </w:style>
  <w:style w:type="paragraph" w:customStyle="1" w:styleId="xl57">
    <w:name w:val="xl57"/>
    <w:basedOn w:val="Normal"/>
    <w:rsid w:val="00C00FCF"/>
    <w:pPr>
      <w:pBdr>
        <w:left w:val="single" w:sz="4" w:space="0" w:color="auto"/>
        <w:bottom w:val="double" w:sz="6" w:space="0" w:color="auto"/>
        <w:right w:val="single" w:sz="4" w:space="0" w:color="auto"/>
      </w:pBdr>
      <w:tabs>
        <w:tab w:val="left" w:pos="720"/>
      </w:tabs>
      <w:spacing w:beforeAutospacing="1" w:afterAutospacing="1"/>
      <w:jc w:val="center"/>
    </w:pPr>
    <w:rPr>
      <w:rFonts w:ascii="Times New Roman" w:eastAsia="MS Mincho" w:hAnsi="Times New Roman"/>
      <w:b/>
      <w:bCs/>
      <w:lang w:val="en-GB"/>
    </w:rPr>
  </w:style>
  <w:style w:type="paragraph" w:customStyle="1" w:styleId="xl58">
    <w:name w:val="xl58"/>
    <w:basedOn w:val="Normal"/>
    <w:rsid w:val="00C00FCF"/>
    <w:pPr>
      <w:pBdr>
        <w:top w:val="double" w:sz="6" w:space="0" w:color="auto"/>
        <w:left w:val="single" w:sz="4" w:space="0" w:color="auto"/>
        <w:right w:val="single" w:sz="4" w:space="0" w:color="auto"/>
      </w:pBdr>
      <w:tabs>
        <w:tab w:val="left" w:pos="720"/>
      </w:tabs>
      <w:spacing w:beforeAutospacing="1" w:afterAutospacing="1"/>
      <w:jc w:val="center"/>
    </w:pPr>
    <w:rPr>
      <w:rFonts w:ascii="Times New Roman" w:eastAsia="MS Mincho" w:hAnsi="Times New Roman"/>
      <w:lang w:val="en-GB"/>
    </w:rPr>
  </w:style>
  <w:style w:type="paragraph" w:customStyle="1" w:styleId="xl59">
    <w:name w:val="xl59"/>
    <w:basedOn w:val="Normal"/>
    <w:rsid w:val="00C00FCF"/>
    <w:pPr>
      <w:pBdr>
        <w:left w:val="single" w:sz="4" w:space="0" w:color="auto"/>
        <w:bottom w:val="double" w:sz="6" w:space="0" w:color="auto"/>
        <w:right w:val="single" w:sz="4" w:space="0" w:color="auto"/>
      </w:pBdr>
      <w:tabs>
        <w:tab w:val="left" w:pos="720"/>
      </w:tabs>
      <w:spacing w:beforeAutospacing="1" w:afterAutospacing="1"/>
      <w:jc w:val="center"/>
    </w:pPr>
    <w:rPr>
      <w:rFonts w:ascii="Times New Roman" w:eastAsia="MS Mincho" w:hAnsi="Times New Roman"/>
      <w:lang w:val="en-GB"/>
    </w:rPr>
  </w:style>
  <w:style w:type="paragraph" w:customStyle="1" w:styleId="xl60">
    <w:name w:val="xl60"/>
    <w:basedOn w:val="Normal"/>
    <w:rsid w:val="00C00FCF"/>
    <w:pPr>
      <w:pBdr>
        <w:top w:val="single" w:sz="4" w:space="0" w:color="auto"/>
        <w:bottom w:val="double" w:sz="6" w:space="0" w:color="auto"/>
        <w:right w:val="single" w:sz="4" w:space="0" w:color="auto"/>
      </w:pBdr>
      <w:tabs>
        <w:tab w:val="left" w:pos="720"/>
      </w:tabs>
      <w:spacing w:beforeAutospacing="1" w:afterAutospacing="1"/>
    </w:pPr>
    <w:rPr>
      <w:rFonts w:eastAsia="MS Mincho" w:cs="Arial"/>
      <w:lang w:val="en-GB"/>
    </w:rPr>
  </w:style>
  <w:style w:type="paragraph" w:customStyle="1" w:styleId="xl61">
    <w:name w:val="xl61"/>
    <w:basedOn w:val="Normal"/>
    <w:rsid w:val="00C00FCF"/>
    <w:pPr>
      <w:pBdr>
        <w:bottom w:val="double" w:sz="6" w:space="0" w:color="auto"/>
      </w:pBdr>
      <w:tabs>
        <w:tab w:val="left" w:pos="720"/>
      </w:tabs>
      <w:spacing w:beforeAutospacing="1" w:afterAutospacing="1"/>
    </w:pPr>
    <w:rPr>
      <w:rFonts w:eastAsia="MS Mincho" w:cs="Arial"/>
      <w:lang w:val="en-GB"/>
    </w:rPr>
  </w:style>
  <w:style w:type="paragraph" w:customStyle="1" w:styleId="xl62">
    <w:name w:val="xl62"/>
    <w:basedOn w:val="Normal"/>
    <w:rsid w:val="00C00FCF"/>
    <w:pPr>
      <w:pBdr>
        <w:bottom w:val="double" w:sz="6" w:space="0" w:color="auto"/>
        <w:right w:val="double" w:sz="6" w:space="0" w:color="auto"/>
      </w:pBdr>
      <w:tabs>
        <w:tab w:val="left" w:pos="720"/>
      </w:tabs>
      <w:spacing w:beforeAutospacing="1" w:afterAutospacing="1"/>
    </w:pPr>
    <w:rPr>
      <w:rFonts w:eastAsia="MS Mincho" w:cs="Arial"/>
      <w:lang w:val="en-GB"/>
    </w:rPr>
  </w:style>
  <w:style w:type="paragraph" w:customStyle="1" w:styleId="xl63">
    <w:name w:val="xl63"/>
    <w:basedOn w:val="Normal"/>
    <w:rsid w:val="00C00FCF"/>
    <w:pPr>
      <w:pBdr>
        <w:top w:val="single" w:sz="4" w:space="0" w:color="auto"/>
        <w:left w:val="single" w:sz="4" w:space="0" w:color="auto"/>
        <w:bottom w:val="double" w:sz="6" w:space="0" w:color="auto"/>
      </w:pBdr>
      <w:tabs>
        <w:tab w:val="left" w:pos="720"/>
      </w:tabs>
      <w:spacing w:beforeAutospacing="1" w:afterAutospacing="1"/>
    </w:pPr>
    <w:rPr>
      <w:rFonts w:eastAsia="MS Mincho" w:cs="Arial"/>
      <w:lang w:val="en-GB"/>
    </w:rPr>
  </w:style>
  <w:style w:type="paragraph" w:customStyle="1" w:styleId="xl64">
    <w:name w:val="xl64"/>
    <w:basedOn w:val="Normal"/>
    <w:rsid w:val="00C00FCF"/>
    <w:pPr>
      <w:pBdr>
        <w:top w:val="single" w:sz="4" w:space="0" w:color="auto"/>
        <w:bottom w:val="double" w:sz="6" w:space="0" w:color="auto"/>
      </w:pBdr>
      <w:tabs>
        <w:tab w:val="left" w:pos="720"/>
      </w:tabs>
      <w:spacing w:beforeAutospacing="1" w:afterAutospacing="1"/>
    </w:pPr>
    <w:rPr>
      <w:rFonts w:eastAsia="MS Mincho" w:cs="Arial"/>
      <w:lang w:val="en-GB"/>
    </w:rPr>
  </w:style>
  <w:style w:type="paragraph" w:customStyle="1" w:styleId="xl65">
    <w:name w:val="xl65"/>
    <w:basedOn w:val="Normal"/>
    <w:rsid w:val="00C00FCF"/>
    <w:pPr>
      <w:pBdr>
        <w:top w:val="single" w:sz="4" w:space="0" w:color="auto"/>
        <w:left w:val="single" w:sz="4" w:space="0" w:color="auto"/>
        <w:bottom w:val="double" w:sz="6" w:space="0" w:color="auto"/>
        <w:right w:val="single" w:sz="4" w:space="0" w:color="auto"/>
      </w:pBdr>
      <w:tabs>
        <w:tab w:val="left" w:pos="720"/>
      </w:tabs>
      <w:spacing w:beforeAutospacing="1" w:afterAutospacing="1"/>
    </w:pPr>
    <w:rPr>
      <w:rFonts w:eastAsia="MS Mincho" w:cs="Arial"/>
      <w:lang w:val="en-GB"/>
    </w:rPr>
  </w:style>
  <w:style w:type="paragraph" w:customStyle="1" w:styleId="xl66">
    <w:name w:val="xl66"/>
    <w:basedOn w:val="Normal"/>
    <w:rsid w:val="00C00FCF"/>
    <w:pPr>
      <w:pBdr>
        <w:top w:val="double" w:sz="6" w:space="0" w:color="auto"/>
      </w:pBdr>
      <w:tabs>
        <w:tab w:val="left" w:pos="720"/>
      </w:tabs>
      <w:spacing w:beforeAutospacing="1" w:afterAutospacing="1"/>
    </w:pPr>
    <w:rPr>
      <w:rFonts w:ascii="Times New Roman" w:eastAsia="MS Mincho" w:hAnsi="Times New Roman"/>
      <w:b/>
      <w:bCs/>
      <w:lang w:val="en-GB"/>
    </w:rPr>
  </w:style>
  <w:style w:type="paragraph" w:customStyle="1" w:styleId="xl67">
    <w:name w:val="xl67"/>
    <w:basedOn w:val="Normal"/>
    <w:rsid w:val="00C00FCF"/>
    <w:pPr>
      <w:pBdr>
        <w:top w:val="double" w:sz="6" w:space="0" w:color="auto"/>
      </w:pBdr>
      <w:tabs>
        <w:tab w:val="left" w:pos="720"/>
      </w:tabs>
      <w:spacing w:beforeAutospacing="1" w:afterAutospacing="1"/>
    </w:pPr>
    <w:rPr>
      <w:rFonts w:ascii="Times New Roman" w:eastAsia="MS Mincho" w:hAnsi="Times New Roman"/>
      <w:lang w:val="en-GB"/>
    </w:rPr>
  </w:style>
  <w:style w:type="paragraph" w:customStyle="1" w:styleId="xl68">
    <w:name w:val="xl68"/>
    <w:basedOn w:val="Normal"/>
    <w:rsid w:val="00C00FCF"/>
    <w:pPr>
      <w:tabs>
        <w:tab w:val="left" w:pos="720"/>
      </w:tabs>
      <w:spacing w:beforeAutospacing="1" w:afterAutospacing="1"/>
      <w:jc w:val="center"/>
    </w:pPr>
    <w:rPr>
      <w:rFonts w:eastAsia="MS Mincho" w:cs="Arial"/>
      <w:b/>
      <w:bCs/>
      <w:lang w:val="en-GB"/>
    </w:rPr>
  </w:style>
  <w:style w:type="paragraph" w:customStyle="1" w:styleId="xl69">
    <w:name w:val="xl69"/>
    <w:basedOn w:val="Normal"/>
    <w:rsid w:val="00C00FCF"/>
    <w:pPr>
      <w:pBdr>
        <w:left w:val="single" w:sz="4" w:space="0" w:color="auto"/>
      </w:pBdr>
      <w:tabs>
        <w:tab w:val="left" w:pos="720"/>
      </w:tabs>
      <w:spacing w:beforeAutospacing="1" w:afterAutospacing="1"/>
      <w:jc w:val="center"/>
    </w:pPr>
    <w:rPr>
      <w:rFonts w:eastAsia="MS Mincho" w:cs="Arial"/>
      <w:u w:val="single"/>
      <w:lang w:val="en-GB"/>
    </w:rPr>
  </w:style>
  <w:style w:type="paragraph" w:customStyle="1" w:styleId="xl70">
    <w:name w:val="xl70"/>
    <w:basedOn w:val="Normal"/>
    <w:rsid w:val="00C00FCF"/>
    <w:pPr>
      <w:tabs>
        <w:tab w:val="left" w:pos="720"/>
      </w:tabs>
      <w:spacing w:beforeAutospacing="1" w:afterAutospacing="1"/>
      <w:jc w:val="center"/>
    </w:pPr>
    <w:rPr>
      <w:rFonts w:eastAsia="MS Mincho" w:cs="Arial"/>
      <w:u w:val="single"/>
      <w:lang w:val="en-GB"/>
    </w:rPr>
  </w:style>
  <w:style w:type="paragraph" w:customStyle="1" w:styleId="xl71">
    <w:name w:val="xl71"/>
    <w:basedOn w:val="Normal"/>
    <w:rsid w:val="00C00FCF"/>
    <w:pPr>
      <w:pBdr>
        <w:left w:val="single" w:sz="4" w:space="0" w:color="auto"/>
      </w:pBdr>
      <w:tabs>
        <w:tab w:val="left" w:pos="720"/>
      </w:tabs>
      <w:spacing w:beforeAutospacing="1" w:afterAutospacing="1"/>
      <w:jc w:val="center"/>
    </w:pPr>
    <w:rPr>
      <w:rFonts w:eastAsia="MS Mincho" w:cs="Arial"/>
      <w:b/>
      <w:bCs/>
      <w:u w:val="single"/>
      <w:lang w:val="en-GB"/>
    </w:rPr>
  </w:style>
  <w:style w:type="paragraph" w:customStyle="1" w:styleId="xl72">
    <w:name w:val="xl72"/>
    <w:basedOn w:val="Normal"/>
    <w:rsid w:val="00C00FCF"/>
    <w:pPr>
      <w:tabs>
        <w:tab w:val="left" w:pos="720"/>
      </w:tabs>
      <w:spacing w:beforeAutospacing="1" w:afterAutospacing="1"/>
      <w:jc w:val="center"/>
    </w:pPr>
    <w:rPr>
      <w:rFonts w:eastAsia="MS Mincho" w:cs="Arial"/>
      <w:b/>
      <w:bCs/>
      <w:u w:val="single"/>
      <w:lang w:val="en-GB"/>
    </w:rPr>
  </w:style>
  <w:style w:type="paragraph" w:customStyle="1" w:styleId="xl73">
    <w:name w:val="xl73"/>
    <w:basedOn w:val="Normal"/>
    <w:rsid w:val="00C00FCF"/>
    <w:pPr>
      <w:pBdr>
        <w:right w:val="single" w:sz="4" w:space="0" w:color="auto"/>
      </w:pBdr>
      <w:tabs>
        <w:tab w:val="left" w:pos="720"/>
      </w:tabs>
      <w:spacing w:beforeAutospacing="1" w:afterAutospacing="1"/>
      <w:jc w:val="center"/>
    </w:pPr>
    <w:rPr>
      <w:rFonts w:eastAsia="MS Mincho" w:cs="Arial"/>
      <w:u w:val="single"/>
      <w:lang w:val="en-GB"/>
    </w:rPr>
  </w:style>
  <w:style w:type="paragraph" w:customStyle="1" w:styleId="xl74">
    <w:name w:val="xl74"/>
    <w:basedOn w:val="Normal"/>
    <w:rsid w:val="00C00FCF"/>
    <w:pPr>
      <w:pBdr>
        <w:right w:val="single" w:sz="4" w:space="0" w:color="auto"/>
      </w:pBdr>
      <w:tabs>
        <w:tab w:val="left" w:pos="720"/>
      </w:tabs>
      <w:spacing w:beforeAutospacing="1" w:afterAutospacing="1"/>
      <w:jc w:val="center"/>
    </w:pPr>
    <w:rPr>
      <w:rFonts w:eastAsia="MS Mincho" w:cs="Arial"/>
      <w:b/>
      <w:bCs/>
      <w:u w:val="single"/>
      <w:lang w:val="en-GB"/>
    </w:rPr>
  </w:style>
  <w:style w:type="paragraph" w:customStyle="1" w:styleId="xl75">
    <w:name w:val="xl75"/>
    <w:basedOn w:val="Normal"/>
    <w:rsid w:val="00C00FCF"/>
    <w:pPr>
      <w:tabs>
        <w:tab w:val="left" w:pos="720"/>
      </w:tabs>
      <w:spacing w:beforeAutospacing="1" w:afterAutospacing="1"/>
      <w:jc w:val="center"/>
    </w:pPr>
    <w:rPr>
      <w:rFonts w:eastAsia="MS Mincho" w:cs="Arial"/>
      <w:u w:val="single"/>
      <w:lang w:val="en-GB"/>
    </w:rPr>
  </w:style>
  <w:style w:type="paragraph" w:customStyle="1" w:styleId="xl76">
    <w:name w:val="xl76"/>
    <w:basedOn w:val="Normal"/>
    <w:rsid w:val="00C00FCF"/>
    <w:pPr>
      <w:tabs>
        <w:tab w:val="left" w:pos="720"/>
      </w:tabs>
      <w:spacing w:beforeAutospacing="1" w:afterAutospacing="1"/>
      <w:jc w:val="center"/>
    </w:pPr>
    <w:rPr>
      <w:rFonts w:eastAsia="MS Mincho" w:cs="Arial"/>
      <w:b/>
      <w:bCs/>
      <w:u w:val="single"/>
      <w:lang w:val="en-GB"/>
    </w:rPr>
  </w:style>
  <w:style w:type="paragraph" w:customStyle="1" w:styleId="xl77">
    <w:name w:val="xl77"/>
    <w:basedOn w:val="Normal"/>
    <w:rsid w:val="00C00FCF"/>
    <w:pPr>
      <w:pBdr>
        <w:right w:val="double" w:sz="6" w:space="0" w:color="auto"/>
      </w:pBdr>
      <w:tabs>
        <w:tab w:val="left" w:pos="720"/>
      </w:tabs>
      <w:spacing w:beforeAutospacing="1" w:afterAutospacing="1"/>
      <w:jc w:val="center"/>
    </w:pPr>
    <w:rPr>
      <w:rFonts w:eastAsia="MS Mincho" w:cs="Arial"/>
      <w:u w:val="single"/>
      <w:lang w:val="en-GB"/>
    </w:rPr>
  </w:style>
  <w:style w:type="paragraph" w:customStyle="1" w:styleId="xl78">
    <w:name w:val="xl78"/>
    <w:basedOn w:val="Normal"/>
    <w:rsid w:val="00C00FCF"/>
    <w:pPr>
      <w:pBdr>
        <w:right w:val="double" w:sz="6" w:space="0" w:color="auto"/>
      </w:pBdr>
      <w:tabs>
        <w:tab w:val="left" w:pos="720"/>
      </w:tabs>
      <w:spacing w:beforeAutospacing="1" w:afterAutospacing="1"/>
      <w:jc w:val="center"/>
    </w:pPr>
    <w:rPr>
      <w:rFonts w:eastAsia="MS Mincho" w:cs="Arial"/>
      <w:b/>
      <w:bCs/>
      <w:u w:val="single"/>
      <w:lang w:val="en-GB"/>
    </w:rPr>
  </w:style>
  <w:style w:type="paragraph" w:customStyle="1" w:styleId="10pt6pt">
    <w:name w:val="スタイル 10 pt 段落後 :  6 pt"/>
    <w:basedOn w:val="Normal"/>
    <w:rsid w:val="00C00FCF"/>
    <w:pPr>
      <w:tabs>
        <w:tab w:val="left" w:pos="720"/>
      </w:tabs>
      <w:adjustRightInd w:val="0"/>
      <w:snapToGrid w:val="0"/>
      <w:spacing w:after="120"/>
      <w:jc w:val="both"/>
    </w:pPr>
    <w:rPr>
      <w:rFonts w:ascii="Times New Roman" w:eastAsia="MS Mincho" w:hAnsi="Times New Roman" w:cs="MS Mincho"/>
      <w:sz w:val="20"/>
      <w:szCs w:val="20"/>
      <w:lang w:val="en-GB" w:eastAsia="ja-JP"/>
    </w:rPr>
  </w:style>
  <w:style w:type="paragraph" w:customStyle="1" w:styleId="DLBody">
    <w:name w:val="DL Body"/>
    <w:basedOn w:val="Normal"/>
    <w:rsid w:val="00C00FCF"/>
    <w:pPr>
      <w:tabs>
        <w:tab w:val="left" w:pos="720"/>
        <w:tab w:val="left" w:pos="1077"/>
        <w:tab w:val="left" w:pos="1440"/>
      </w:tabs>
      <w:overflowPunct w:val="0"/>
      <w:autoSpaceDE w:val="0"/>
      <w:autoSpaceDN w:val="0"/>
      <w:adjustRightInd w:val="0"/>
      <w:snapToGrid w:val="0"/>
      <w:textAlignment w:val="baseline"/>
    </w:pPr>
    <w:rPr>
      <w:rFonts w:ascii="Times New Roman" w:eastAsia="MS Mincho" w:hAnsi="Times New Roman"/>
      <w:szCs w:val="20"/>
      <w:lang w:val="en-GB"/>
    </w:rPr>
  </w:style>
  <w:style w:type="paragraph" w:customStyle="1" w:styleId="FAOtable11">
    <w:name w:val="FAO table 11"/>
    <w:basedOn w:val="FAOtable10"/>
    <w:rsid w:val="00C00FCF"/>
    <w:rPr>
      <w:sz w:val="22"/>
    </w:rPr>
  </w:style>
  <w:style w:type="paragraph" w:customStyle="1" w:styleId="FAOtable10">
    <w:name w:val="FAO table 10"/>
    <w:basedOn w:val="Normal"/>
    <w:rsid w:val="00C00FCF"/>
    <w:pPr>
      <w:tabs>
        <w:tab w:val="left" w:pos="720"/>
      </w:tabs>
      <w:overflowPunct w:val="0"/>
      <w:autoSpaceDE w:val="0"/>
      <w:autoSpaceDN w:val="0"/>
      <w:adjustRightInd w:val="0"/>
      <w:textAlignment w:val="baseline"/>
    </w:pPr>
    <w:rPr>
      <w:rFonts w:ascii="Times New Roman" w:eastAsia="MS Mincho" w:hAnsi="Times New Roman"/>
      <w:sz w:val="20"/>
      <w:szCs w:val="20"/>
    </w:rPr>
  </w:style>
  <w:style w:type="paragraph" w:customStyle="1" w:styleId="TableHeadings">
    <w:name w:val="Table Headings"/>
    <w:basedOn w:val="Normal"/>
    <w:next w:val="Normal"/>
    <w:rsid w:val="00C00FCF"/>
    <w:pPr>
      <w:tabs>
        <w:tab w:val="left" w:pos="720"/>
      </w:tabs>
      <w:overflowPunct w:val="0"/>
      <w:autoSpaceDE w:val="0"/>
      <w:autoSpaceDN w:val="0"/>
      <w:adjustRightInd w:val="0"/>
      <w:spacing w:before="120" w:after="120"/>
      <w:jc w:val="center"/>
      <w:textAlignment w:val="baseline"/>
    </w:pPr>
    <w:rPr>
      <w:rFonts w:eastAsia="MS Mincho"/>
      <w:sz w:val="20"/>
      <w:szCs w:val="20"/>
      <w:lang w:val="en-GB"/>
    </w:rPr>
  </w:style>
  <w:style w:type="paragraph" w:customStyle="1" w:styleId="Normal-159pt">
    <w:name w:val="Normal - 1.5 &amp; 9pt"/>
    <w:basedOn w:val="Normal"/>
    <w:rsid w:val="00C00FCF"/>
    <w:pPr>
      <w:tabs>
        <w:tab w:val="left" w:pos="720"/>
      </w:tabs>
      <w:overflowPunct w:val="0"/>
      <w:autoSpaceDE w:val="0"/>
      <w:autoSpaceDN w:val="0"/>
      <w:adjustRightInd w:val="0"/>
      <w:spacing w:after="180" w:line="360" w:lineRule="auto"/>
      <w:textAlignment w:val="baseline"/>
    </w:pPr>
    <w:rPr>
      <w:rFonts w:ascii="Times New Roman" w:eastAsia="MS Mincho" w:hAnsi="Times New Roman"/>
      <w:szCs w:val="20"/>
      <w:lang w:val="en-GB"/>
    </w:rPr>
  </w:style>
  <w:style w:type="paragraph" w:customStyle="1" w:styleId="xl51">
    <w:name w:val="xl51"/>
    <w:basedOn w:val="Normal"/>
    <w:rsid w:val="00C00FCF"/>
    <w:pPr>
      <w:pBdr>
        <w:left w:val="single" w:sz="4" w:space="0" w:color="auto"/>
        <w:bottom w:val="double" w:sz="6" w:space="0" w:color="auto"/>
      </w:pBdr>
      <w:tabs>
        <w:tab w:val="left" w:pos="720"/>
      </w:tabs>
      <w:spacing w:beforeAutospacing="1" w:afterAutospacing="1"/>
      <w:jc w:val="center"/>
    </w:pPr>
    <w:rPr>
      <w:rFonts w:eastAsia="MS Mincho" w:cs="Arial"/>
      <w:lang w:val="en-GB"/>
    </w:rPr>
  </w:style>
  <w:style w:type="paragraph" w:customStyle="1" w:styleId="NormalBody">
    <w:name w:val="NormalBody"/>
    <w:basedOn w:val="Normal"/>
    <w:rsid w:val="00C00FCF"/>
    <w:pPr>
      <w:spacing w:after="270" w:line="270" w:lineRule="atLeast"/>
    </w:pPr>
    <w:rPr>
      <w:rFonts w:ascii="Sabon" w:eastAsia="MS Mincho" w:hAnsi="Sabon"/>
      <w:szCs w:val="20"/>
      <w:lang w:val="en-GB"/>
    </w:rPr>
  </w:style>
  <w:style w:type="paragraph" w:customStyle="1" w:styleId="aREMheading1">
    <w:name w:val="aREM heading 1"/>
    <w:next w:val="Normal"/>
    <w:rsid w:val="00C00FCF"/>
    <w:pPr>
      <w:tabs>
        <w:tab w:val="left" w:pos="709"/>
      </w:tabs>
      <w:spacing w:before="200" w:after="40"/>
    </w:pPr>
    <w:rPr>
      <w:rFonts w:ascii="Helvetica" w:eastAsia="MS Mincho" w:hAnsi="Helvetica"/>
      <w:b/>
      <w:caps/>
      <w:sz w:val="22"/>
      <w:lang w:val="en-US" w:eastAsia="en-US"/>
    </w:rPr>
  </w:style>
  <w:style w:type="paragraph" w:customStyle="1" w:styleId="TableText9pt">
    <w:name w:val="Table Text 9pt"/>
    <w:basedOn w:val="Normal"/>
    <w:rsid w:val="00C00FCF"/>
    <w:pPr>
      <w:spacing w:before="40" w:after="40"/>
      <w:jc w:val="center"/>
    </w:pPr>
    <w:rPr>
      <w:rFonts w:ascii="Times New Roman" w:eastAsia="MS Mincho" w:hAnsi="Times New Roman"/>
      <w:sz w:val="18"/>
      <w:lang w:val="en-GB"/>
    </w:rPr>
  </w:style>
  <w:style w:type="paragraph" w:styleId="HTMLPreformatted">
    <w:name w:val="HTML Preformatted"/>
    <w:basedOn w:val="Normal"/>
    <w:link w:val="HTMLPreformattedChar"/>
    <w:semiHidden/>
    <w:rsid w:val="00C00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customStyle="1" w:styleId="HTMLPreformattedChar">
    <w:name w:val="HTML Preformatted Char"/>
    <w:basedOn w:val="DefaultParagraphFont"/>
    <w:link w:val="HTMLPreformatted"/>
    <w:semiHidden/>
    <w:rsid w:val="00C00FCF"/>
    <w:rPr>
      <w:rFonts w:ascii="Courier New" w:eastAsia="Courier New" w:hAnsi="Courier New" w:cstheme="minorBidi"/>
      <w:kern w:val="2"/>
      <w:lang w:val="en-US" w:eastAsia="en-US"/>
    </w:rPr>
  </w:style>
  <w:style w:type="paragraph" w:customStyle="1" w:styleId="Style10">
    <w:name w:val="Style1"/>
    <w:basedOn w:val="Normal"/>
    <w:rsid w:val="00C00FCF"/>
    <w:pPr>
      <w:keepNext/>
      <w:keepLines/>
    </w:pPr>
    <w:rPr>
      <w:rFonts w:ascii="Times New Roman" w:eastAsia="MS Mincho" w:hAnsi="Times New Roman"/>
      <w:sz w:val="20"/>
      <w:szCs w:val="20"/>
      <w:lang w:val="en-GB"/>
    </w:rPr>
  </w:style>
  <w:style w:type="paragraph" w:customStyle="1" w:styleId="FAONumberedList">
    <w:name w:val="FAO Numbered List"/>
    <w:basedOn w:val="FAOBulletedList"/>
    <w:rsid w:val="00C00FCF"/>
    <w:pPr>
      <w:tabs>
        <w:tab w:val="clear" w:pos="644"/>
        <w:tab w:val="num" w:pos="360"/>
        <w:tab w:val="num" w:pos="432"/>
        <w:tab w:val="num" w:pos="720"/>
      </w:tabs>
      <w:ind w:left="720" w:hanging="360"/>
    </w:pPr>
  </w:style>
  <w:style w:type="paragraph" w:customStyle="1" w:styleId="FAOBulletedList">
    <w:name w:val="FAO Bulleted List"/>
    <w:basedOn w:val="Normal"/>
    <w:rsid w:val="00C00FCF"/>
    <w:pPr>
      <w:tabs>
        <w:tab w:val="num" w:pos="644"/>
      </w:tabs>
      <w:ind w:left="624" w:hanging="340"/>
      <w:jc w:val="both"/>
    </w:pPr>
    <w:rPr>
      <w:rFonts w:ascii="Times New Roman" w:eastAsia="MS Mincho" w:hAnsi="Times New Roman"/>
      <w:szCs w:val="20"/>
    </w:rPr>
  </w:style>
  <w:style w:type="paragraph" w:customStyle="1" w:styleId="FAOBullet">
    <w:name w:val="FAO Bullet"/>
    <w:basedOn w:val="FAOBulletedList"/>
    <w:rsid w:val="00C00FCF"/>
    <w:pPr>
      <w:tabs>
        <w:tab w:val="clear" w:pos="644"/>
        <w:tab w:val="num" w:pos="360"/>
        <w:tab w:val="num" w:pos="1642"/>
      </w:tabs>
      <w:spacing w:after="120"/>
      <w:ind w:left="227" w:hanging="227"/>
    </w:pPr>
  </w:style>
  <w:style w:type="paragraph" w:customStyle="1" w:styleId="FAONumber">
    <w:name w:val="FAO Number"/>
    <w:basedOn w:val="Normal"/>
    <w:rsid w:val="00C00FCF"/>
    <w:pPr>
      <w:tabs>
        <w:tab w:val="num" w:pos="1060"/>
      </w:tabs>
      <w:spacing w:after="240"/>
      <w:ind w:left="737" w:hanging="397"/>
      <w:jc w:val="both"/>
    </w:pPr>
    <w:rPr>
      <w:rFonts w:ascii="Times New Roman" w:eastAsia="MS Mincho" w:hAnsi="Times New Roman"/>
      <w:szCs w:val="20"/>
    </w:rPr>
  </w:style>
  <w:style w:type="paragraph" w:customStyle="1" w:styleId="TableFootnote">
    <w:name w:val="Table Footnote"/>
    <w:basedOn w:val="Normal"/>
    <w:rsid w:val="00661945"/>
    <w:pPr>
      <w:spacing w:before="240" w:after="240" w:line="240" w:lineRule="exact"/>
    </w:pPr>
    <w:rPr>
      <w:rFonts w:ascii="Arial" w:eastAsia="MS Mincho" w:hAnsi="Arial"/>
      <w:sz w:val="16"/>
      <w:lang w:val="en-GB"/>
    </w:rPr>
  </w:style>
  <w:style w:type="paragraph" w:customStyle="1" w:styleId="TableHeader">
    <w:name w:val="Table Header"/>
    <w:basedOn w:val="TOC2"/>
    <w:rsid w:val="00C00FCF"/>
    <w:pPr>
      <w:keepNext/>
      <w:keepLines/>
      <w:tabs>
        <w:tab w:val="clear" w:pos="9639"/>
        <w:tab w:val="left" w:pos="720"/>
        <w:tab w:val="left" w:pos="1247"/>
        <w:tab w:val="right" w:leader="dot" w:pos="9060"/>
        <w:tab w:val="right" w:leader="dot" w:pos="9356"/>
      </w:tabs>
      <w:spacing w:after="60" w:line="260" w:lineRule="exact"/>
      <w:ind w:left="510" w:right="235" w:hanging="510"/>
    </w:pPr>
    <w:rPr>
      <w:rFonts w:ascii="Times New Roman" w:eastAsia="SimSun" w:hAnsi="Times New Roman"/>
      <w:color w:val="auto"/>
      <w:sz w:val="22"/>
      <w:szCs w:val="21"/>
      <w:lang w:val="en-US"/>
    </w:rPr>
  </w:style>
  <w:style w:type="paragraph" w:customStyle="1" w:styleId="NormalNoSpaceAfter">
    <w:name w:val="Normal NoSpaceAfter"/>
    <w:basedOn w:val="Normal"/>
    <w:rsid w:val="00C00FCF"/>
    <w:rPr>
      <w:rFonts w:ascii="Times New Roman" w:eastAsia="MS Mincho" w:hAnsi="Times New Roman"/>
      <w:lang w:val="en-GB"/>
    </w:rPr>
  </w:style>
  <w:style w:type="paragraph" w:customStyle="1" w:styleId="PlainHeading10pt">
    <w:name w:val="Plain Heading 10pt"/>
    <w:basedOn w:val="PlainHeading12pt"/>
    <w:rsid w:val="00C00FCF"/>
    <w:rPr>
      <w:sz w:val="20"/>
    </w:rPr>
  </w:style>
  <w:style w:type="paragraph" w:customStyle="1" w:styleId="PlainHeading12pt">
    <w:name w:val="Plain Heading 12pt"/>
    <w:basedOn w:val="Normal"/>
    <w:next w:val="Normal"/>
    <w:rsid w:val="00C00FCF"/>
    <w:pPr>
      <w:keepNext/>
      <w:keepLines/>
      <w:spacing w:before="240" w:after="240"/>
    </w:pPr>
    <w:rPr>
      <w:rFonts w:ascii="Arial Bold" w:eastAsia="MS Mincho" w:hAnsi="Arial Bold"/>
      <w:b/>
      <w:lang w:val="en-GB"/>
    </w:rPr>
  </w:style>
  <w:style w:type="paragraph" w:customStyle="1" w:styleId="TableHeader9pt">
    <w:name w:val="Table Header 9pt"/>
    <w:basedOn w:val="Normal"/>
    <w:rsid w:val="00C00FCF"/>
    <w:pPr>
      <w:keepNext/>
      <w:spacing w:before="40" w:after="40"/>
      <w:jc w:val="center"/>
    </w:pPr>
    <w:rPr>
      <w:rFonts w:ascii="Times New Roman" w:eastAsia="MS Mincho" w:hAnsi="Times New Roman"/>
      <w:b/>
      <w:sz w:val="18"/>
      <w:lang w:val="en-GB"/>
    </w:rPr>
  </w:style>
  <w:style w:type="paragraph" w:customStyle="1" w:styleId="headline">
    <w:name w:val="headline"/>
    <w:rsid w:val="00C00FCF"/>
    <w:pPr>
      <w:spacing w:after="240" w:line="360" w:lineRule="exact"/>
      <w:jc w:val="center"/>
    </w:pPr>
    <w:rPr>
      <w:rFonts w:ascii="Arial" w:eastAsia="MS Mincho" w:hAnsi="Arial"/>
      <w:b/>
      <w:sz w:val="24"/>
      <w:lang w:val="en-GB" w:eastAsia="en-US"/>
    </w:rPr>
  </w:style>
  <w:style w:type="paragraph" w:customStyle="1" w:styleId="TableText9ptHeader">
    <w:name w:val="Table Text 9pt Header"/>
    <w:basedOn w:val="Normal"/>
    <w:rsid w:val="00C00FCF"/>
    <w:pPr>
      <w:keepNext/>
      <w:keepLines/>
      <w:jc w:val="both"/>
    </w:pPr>
    <w:rPr>
      <w:rFonts w:eastAsia="SimSun"/>
      <w:b/>
      <w:color w:val="000000"/>
      <w:sz w:val="18"/>
      <w:szCs w:val="21"/>
      <w:lang w:val="en-US" w:eastAsia="zh-CN"/>
    </w:rPr>
  </w:style>
  <w:style w:type="paragraph" w:customStyle="1" w:styleId="author">
    <w:name w:val="author"/>
    <w:basedOn w:val="Normal"/>
    <w:rsid w:val="00C00FCF"/>
    <w:rPr>
      <w:rFonts w:ascii="Times New Roman" w:eastAsia="MS Mincho" w:hAnsi="Times New Roman"/>
      <w:color w:val="000000"/>
      <w:szCs w:val="20"/>
      <w:lang w:val="en-GB"/>
    </w:rPr>
  </w:style>
  <w:style w:type="paragraph" w:customStyle="1" w:styleId="RunningHead">
    <w:name w:val="Running Head"/>
    <w:rsid w:val="00C00FCF"/>
    <w:pPr>
      <w:spacing w:line="-280" w:lineRule="auto"/>
      <w:jc w:val="center"/>
    </w:pPr>
    <w:rPr>
      <w:rFonts w:ascii="Helvetica" w:eastAsia="MS Mincho" w:hAnsi="Helvetica"/>
      <w:sz w:val="24"/>
      <w:lang w:val="en-GB" w:eastAsia="en-US"/>
    </w:rPr>
  </w:style>
  <w:style w:type="paragraph" w:customStyle="1" w:styleId="aREMText">
    <w:name w:val="aREM Text"/>
    <w:rsid w:val="00C00FCF"/>
    <w:pPr>
      <w:spacing w:before="40" w:after="40"/>
      <w:jc w:val="both"/>
    </w:pPr>
    <w:rPr>
      <w:rFonts w:ascii="Helvetica" w:eastAsia="MS Mincho" w:hAnsi="Helvetica"/>
      <w:sz w:val="22"/>
      <w:lang w:val="en-US" w:eastAsia="en-US"/>
    </w:rPr>
  </w:style>
  <w:style w:type="paragraph" w:customStyle="1" w:styleId="figh">
    <w:name w:val="figh"/>
    <w:next w:val="Normaltext0"/>
    <w:rsid w:val="00C00FCF"/>
    <w:rPr>
      <w:rFonts w:ascii="Arial Bold" w:eastAsia="MS Mincho" w:hAnsi="Arial Bold"/>
      <w:b/>
      <w:sz w:val="18"/>
      <w:lang w:val="en-GB" w:eastAsia="en-US"/>
    </w:rPr>
  </w:style>
  <w:style w:type="paragraph" w:customStyle="1" w:styleId="Table9pt">
    <w:name w:val="Table 9 pt"/>
    <w:basedOn w:val="Normal"/>
    <w:rsid w:val="00C00FCF"/>
    <w:pPr>
      <w:spacing w:before="60" w:after="60"/>
    </w:pPr>
    <w:rPr>
      <w:rFonts w:ascii="Times New Roman" w:eastAsia="MS Mincho" w:hAnsi="Times New Roman"/>
      <w:sz w:val="18"/>
      <w:szCs w:val="20"/>
      <w:lang w:val="en-US"/>
    </w:rPr>
  </w:style>
  <w:style w:type="paragraph" w:customStyle="1" w:styleId="TableSubHead0">
    <w:name w:val="TableSubHead"/>
    <w:basedOn w:val="TableHead"/>
    <w:uiPriority w:val="4"/>
    <w:rsid w:val="00C00FCF"/>
    <w:rPr>
      <w:color w:val="53284F"/>
    </w:rPr>
  </w:style>
  <w:style w:type="character" w:customStyle="1" w:styleId="cf01">
    <w:name w:val="cf01"/>
    <w:basedOn w:val="DefaultParagraphFont"/>
    <w:rsid w:val="00C00FCF"/>
    <w:rPr>
      <w:rFonts w:ascii="Segoe UI" w:hAnsi="Segoe UI" w:cs="Segoe UI" w:hint="default"/>
      <w:sz w:val="18"/>
      <w:szCs w:val="18"/>
    </w:rPr>
  </w:style>
  <w:style w:type="paragraph" w:styleId="Quote">
    <w:name w:val="Quote"/>
    <w:basedOn w:val="Normal"/>
    <w:next w:val="Normal"/>
    <w:link w:val="QuoteChar"/>
    <w:uiPriority w:val="29"/>
    <w:qFormat/>
    <w:rsid w:val="00F53A8A"/>
    <w:pPr>
      <w:spacing w:before="160"/>
      <w:jc w:val="center"/>
    </w:pPr>
    <w:rPr>
      <w:i/>
      <w:iCs/>
      <w:color w:val="666A66" w:themeColor="text1" w:themeTint="BF"/>
    </w:rPr>
  </w:style>
  <w:style w:type="character" w:customStyle="1" w:styleId="QuoteChar">
    <w:name w:val="Quote Char"/>
    <w:basedOn w:val="DefaultParagraphFont"/>
    <w:link w:val="Quote"/>
    <w:uiPriority w:val="29"/>
    <w:rsid w:val="00F53A8A"/>
    <w:rPr>
      <w:rFonts w:asciiTheme="minorHAnsi" w:eastAsiaTheme="minorHAnsi" w:hAnsiTheme="minorHAnsi" w:cstheme="minorBidi"/>
      <w:i/>
      <w:iCs/>
      <w:color w:val="666A66" w:themeColor="text1" w:themeTint="BF"/>
      <w:kern w:val="2"/>
      <w:sz w:val="24"/>
      <w:szCs w:val="24"/>
      <w:lang w:eastAsia="en-US"/>
    </w:rPr>
  </w:style>
  <w:style w:type="character" w:styleId="IntenseEmphasis">
    <w:name w:val="Intense Emphasis"/>
    <w:basedOn w:val="DefaultParagraphFont"/>
    <w:uiPriority w:val="21"/>
    <w:qFormat/>
    <w:rsid w:val="00F53A8A"/>
    <w:rPr>
      <w:i/>
      <w:iCs/>
      <w:color w:val="7E9BA8" w:themeColor="accent1" w:themeShade="BF"/>
    </w:rPr>
  </w:style>
  <w:style w:type="paragraph" w:styleId="IntenseQuote">
    <w:name w:val="Intense Quote"/>
    <w:basedOn w:val="Normal"/>
    <w:next w:val="Normal"/>
    <w:link w:val="IntenseQuoteChar"/>
    <w:uiPriority w:val="30"/>
    <w:qFormat/>
    <w:rsid w:val="00F53A8A"/>
    <w:pPr>
      <w:pBdr>
        <w:top w:val="single" w:sz="4" w:space="10" w:color="7E9BA8" w:themeColor="accent1" w:themeShade="BF"/>
        <w:bottom w:val="single" w:sz="4" w:space="10" w:color="7E9BA8" w:themeColor="accent1" w:themeShade="BF"/>
      </w:pBdr>
      <w:spacing w:before="360" w:after="360"/>
      <w:ind w:left="864" w:right="864"/>
      <w:jc w:val="center"/>
    </w:pPr>
    <w:rPr>
      <w:i/>
      <w:iCs/>
      <w:color w:val="7E9BA8" w:themeColor="accent1" w:themeShade="BF"/>
    </w:rPr>
  </w:style>
  <w:style w:type="character" w:customStyle="1" w:styleId="IntenseQuoteChar">
    <w:name w:val="Intense Quote Char"/>
    <w:basedOn w:val="DefaultParagraphFont"/>
    <w:link w:val="IntenseQuote"/>
    <w:uiPriority w:val="30"/>
    <w:rsid w:val="00F53A8A"/>
    <w:rPr>
      <w:rFonts w:asciiTheme="minorHAnsi" w:eastAsiaTheme="minorHAnsi" w:hAnsiTheme="minorHAnsi" w:cstheme="minorBidi"/>
      <w:i/>
      <w:iCs/>
      <w:color w:val="7E9BA8" w:themeColor="accent1" w:themeShade="BF"/>
      <w:kern w:val="2"/>
      <w:sz w:val="24"/>
      <w:szCs w:val="24"/>
      <w:lang w:eastAsia="en-US"/>
    </w:rPr>
  </w:style>
  <w:style w:type="character" w:styleId="IntenseReference">
    <w:name w:val="Intense Reference"/>
    <w:basedOn w:val="DefaultParagraphFont"/>
    <w:uiPriority w:val="32"/>
    <w:qFormat/>
    <w:rsid w:val="00F53A8A"/>
    <w:rPr>
      <w:b/>
      <w:bCs/>
      <w:smallCaps/>
      <w:color w:val="7E9BA8" w:themeColor="accent1" w:themeShade="BF"/>
      <w:spacing w:val="5"/>
    </w:rPr>
  </w:style>
  <w:style w:type="paragraph" w:styleId="Bibliography">
    <w:name w:val="Bibliography"/>
    <w:basedOn w:val="Normal"/>
    <w:next w:val="Normal"/>
    <w:uiPriority w:val="37"/>
    <w:semiHidden/>
    <w:unhideWhenUsed/>
    <w:rsid w:val="00E61669"/>
  </w:style>
  <w:style w:type="paragraph" w:styleId="BlockText">
    <w:name w:val="Block Text"/>
    <w:basedOn w:val="Normal"/>
    <w:uiPriority w:val="99"/>
    <w:semiHidden/>
    <w:unhideWhenUsed/>
    <w:rsid w:val="00E61669"/>
    <w:pPr>
      <w:pBdr>
        <w:top w:val="single" w:sz="2" w:space="10" w:color="B9C9D0" w:themeColor="accent1"/>
        <w:left w:val="single" w:sz="2" w:space="10" w:color="B9C9D0" w:themeColor="accent1"/>
        <w:bottom w:val="single" w:sz="2" w:space="10" w:color="B9C9D0" w:themeColor="accent1"/>
        <w:right w:val="single" w:sz="2" w:space="10" w:color="B9C9D0" w:themeColor="accent1"/>
      </w:pBdr>
      <w:ind w:left="1152" w:right="1152"/>
    </w:pPr>
    <w:rPr>
      <w:rFonts w:eastAsiaTheme="minorEastAsia"/>
      <w:i/>
      <w:iCs/>
      <w:color w:val="B9C9D0" w:themeColor="accent1"/>
    </w:rPr>
  </w:style>
  <w:style w:type="paragraph" w:styleId="BodyTextFirstIndent">
    <w:name w:val="Body Text First Indent"/>
    <w:basedOn w:val="BodyText"/>
    <w:link w:val="BodyTextFirstIndentChar"/>
    <w:uiPriority w:val="99"/>
    <w:semiHidden/>
    <w:unhideWhenUsed/>
    <w:rsid w:val="00E61669"/>
    <w:pPr>
      <w:spacing w:before="100" w:after="100"/>
      <w:ind w:firstLine="360"/>
    </w:pPr>
    <w:rPr>
      <w:color w:val="1A1B1A" w:themeColor="text1" w:themeShade="80"/>
      <w:sz w:val="16"/>
    </w:rPr>
  </w:style>
  <w:style w:type="character" w:customStyle="1" w:styleId="BodyTextFirstIndentChar">
    <w:name w:val="Body Text First Indent Char"/>
    <w:basedOn w:val="BodyTextChar"/>
    <w:link w:val="BodyTextFirstIndent"/>
    <w:uiPriority w:val="99"/>
    <w:semiHidden/>
    <w:rsid w:val="00E61669"/>
    <w:rPr>
      <w:rFonts w:ascii="Arial" w:hAnsi="Arial"/>
      <w:color w:val="1A1B1A" w:themeColor="text1" w:themeShade="80"/>
      <w:sz w:val="16"/>
      <w:szCs w:val="24"/>
      <w:lang w:eastAsia="en-US"/>
    </w:rPr>
  </w:style>
  <w:style w:type="paragraph" w:styleId="BodyTextFirstIndent2">
    <w:name w:val="Body Text First Indent 2"/>
    <w:basedOn w:val="BodyTextIndent"/>
    <w:link w:val="BodyTextFirstIndent2Char"/>
    <w:uiPriority w:val="99"/>
    <w:semiHidden/>
    <w:unhideWhenUsed/>
    <w:rsid w:val="00E61669"/>
    <w:pPr>
      <w:spacing w:before="100" w:after="100" w:line="240" w:lineRule="atLeast"/>
      <w:ind w:left="360" w:firstLine="360"/>
    </w:pPr>
    <w:rPr>
      <w:rFonts w:ascii="Arial" w:eastAsia="Times New Roman" w:hAnsi="Arial" w:cs="Times New Roman"/>
      <w:color w:val="1A1B1A" w:themeColor="text1" w:themeShade="80"/>
      <w:kern w:val="0"/>
      <w:sz w:val="16"/>
      <w:szCs w:val="24"/>
    </w:rPr>
  </w:style>
  <w:style w:type="character" w:customStyle="1" w:styleId="BodyTextFirstIndent2Char">
    <w:name w:val="Body Text First Indent 2 Char"/>
    <w:basedOn w:val="BodyTextIndentChar"/>
    <w:link w:val="BodyTextFirstIndent2"/>
    <w:uiPriority w:val="99"/>
    <w:semiHidden/>
    <w:rsid w:val="00E61669"/>
    <w:rPr>
      <w:rFonts w:ascii="Arial" w:eastAsiaTheme="minorHAnsi" w:hAnsi="Arial" w:cstheme="minorBidi"/>
      <w:color w:val="1A1B1A" w:themeColor="text1" w:themeShade="80"/>
      <w:kern w:val="2"/>
      <w:sz w:val="16"/>
      <w:szCs w:val="24"/>
      <w:lang w:eastAsia="en-US"/>
    </w:rPr>
  </w:style>
  <w:style w:type="paragraph" w:styleId="Closing">
    <w:name w:val="Closing"/>
    <w:basedOn w:val="Normal"/>
    <w:link w:val="ClosingChar"/>
    <w:uiPriority w:val="99"/>
    <w:semiHidden/>
    <w:unhideWhenUsed/>
    <w:rsid w:val="00E61669"/>
    <w:pPr>
      <w:ind w:left="4252"/>
    </w:pPr>
  </w:style>
  <w:style w:type="character" w:customStyle="1" w:styleId="ClosingChar">
    <w:name w:val="Closing Char"/>
    <w:basedOn w:val="DefaultParagraphFont"/>
    <w:link w:val="Closing"/>
    <w:uiPriority w:val="99"/>
    <w:semiHidden/>
    <w:rsid w:val="00E61669"/>
    <w:rPr>
      <w:rFonts w:ascii="Arial" w:hAnsi="Arial"/>
      <w:color w:val="1A1B1A" w:themeColor="text1" w:themeShade="80"/>
      <w:sz w:val="16"/>
      <w:szCs w:val="24"/>
      <w:lang w:eastAsia="en-US"/>
    </w:rPr>
  </w:style>
  <w:style w:type="paragraph" w:styleId="Date">
    <w:name w:val="Date"/>
    <w:basedOn w:val="Normal"/>
    <w:next w:val="Normal"/>
    <w:link w:val="DateChar"/>
    <w:uiPriority w:val="99"/>
    <w:semiHidden/>
    <w:unhideWhenUsed/>
    <w:rsid w:val="00E61669"/>
  </w:style>
  <w:style w:type="character" w:customStyle="1" w:styleId="DateChar">
    <w:name w:val="Date Char"/>
    <w:basedOn w:val="DefaultParagraphFont"/>
    <w:link w:val="Date"/>
    <w:uiPriority w:val="99"/>
    <w:semiHidden/>
    <w:rsid w:val="00E61669"/>
    <w:rPr>
      <w:rFonts w:ascii="Arial" w:hAnsi="Arial"/>
      <w:color w:val="1A1B1A" w:themeColor="text1" w:themeShade="80"/>
      <w:sz w:val="16"/>
      <w:szCs w:val="24"/>
      <w:lang w:eastAsia="en-US"/>
    </w:rPr>
  </w:style>
  <w:style w:type="paragraph" w:styleId="E-mailSignature">
    <w:name w:val="E-mail Signature"/>
    <w:basedOn w:val="Normal"/>
    <w:link w:val="E-mailSignatureChar"/>
    <w:uiPriority w:val="99"/>
    <w:semiHidden/>
    <w:unhideWhenUsed/>
    <w:rsid w:val="00E61669"/>
  </w:style>
  <w:style w:type="character" w:customStyle="1" w:styleId="E-mailSignatureChar">
    <w:name w:val="E-mail Signature Char"/>
    <w:basedOn w:val="DefaultParagraphFont"/>
    <w:link w:val="E-mailSignature"/>
    <w:uiPriority w:val="99"/>
    <w:semiHidden/>
    <w:rsid w:val="00E61669"/>
    <w:rPr>
      <w:rFonts w:ascii="Arial" w:hAnsi="Arial"/>
      <w:color w:val="1A1B1A" w:themeColor="text1" w:themeShade="80"/>
      <w:sz w:val="16"/>
      <w:szCs w:val="24"/>
      <w:lang w:eastAsia="en-US"/>
    </w:rPr>
  </w:style>
  <w:style w:type="paragraph" w:styleId="EndnoteText">
    <w:name w:val="endnote text"/>
    <w:basedOn w:val="Normal"/>
    <w:link w:val="EndnoteTextChar"/>
    <w:uiPriority w:val="99"/>
    <w:semiHidden/>
    <w:unhideWhenUsed/>
    <w:rsid w:val="00E61669"/>
    <w:rPr>
      <w:sz w:val="20"/>
      <w:szCs w:val="20"/>
    </w:rPr>
  </w:style>
  <w:style w:type="character" w:customStyle="1" w:styleId="EndnoteTextChar">
    <w:name w:val="Endnote Text Char"/>
    <w:basedOn w:val="DefaultParagraphFont"/>
    <w:link w:val="EndnoteText"/>
    <w:uiPriority w:val="99"/>
    <w:semiHidden/>
    <w:rsid w:val="00E61669"/>
    <w:rPr>
      <w:rFonts w:ascii="Arial" w:hAnsi="Arial"/>
      <w:color w:val="1A1B1A" w:themeColor="text1" w:themeShade="80"/>
      <w:lang w:eastAsia="en-US"/>
    </w:rPr>
  </w:style>
  <w:style w:type="paragraph" w:styleId="EnvelopeAddress">
    <w:name w:val="envelope address"/>
    <w:basedOn w:val="Normal"/>
    <w:uiPriority w:val="99"/>
    <w:semiHidden/>
    <w:unhideWhenUsed/>
    <w:rsid w:val="00E6166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61669"/>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61669"/>
    <w:rPr>
      <w:i/>
      <w:iCs/>
    </w:rPr>
  </w:style>
  <w:style w:type="character" w:customStyle="1" w:styleId="HTMLAddressChar">
    <w:name w:val="HTML Address Char"/>
    <w:basedOn w:val="DefaultParagraphFont"/>
    <w:link w:val="HTMLAddress"/>
    <w:uiPriority w:val="99"/>
    <w:semiHidden/>
    <w:rsid w:val="00E61669"/>
    <w:rPr>
      <w:rFonts w:ascii="Arial" w:hAnsi="Arial"/>
      <w:i/>
      <w:iCs/>
      <w:color w:val="1A1B1A" w:themeColor="text1" w:themeShade="80"/>
      <w:sz w:val="16"/>
      <w:szCs w:val="24"/>
      <w:lang w:eastAsia="en-US"/>
    </w:rPr>
  </w:style>
  <w:style w:type="paragraph" w:styleId="Index1">
    <w:name w:val="index 1"/>
    <w:basedOn w:val="Normal"/>
    <w:next w:val="Normal"/>
    <w:autoRedefine/>
    <w:uiPriority w:val="99"/>
    <w:semiHidden/>
    <w:unhideWhenUsed/>
    <w:rsid w:val="00E61669"/>
    <w:pPr>
      <w:ind w:left="160" w:hanging="160"/>
    </w:pPr>
  </w:style>
  <w:style w:type="paragraph" w:styleId="Index2">
    <w:name w:val="index 2"/>
    <w:basedOn w:val="Normal"/>
    <w:next w:val="Normal"/>
    <w:autoRedefine/>
    <w:uiPriority w:val="99"/>
    <w:semiHidden/>
    <w:unhideWhenUsed/>
    <w:rsid w:val="00E61669"/>
    <w:pPr>
      <w:ind w:left="320" w:hanging="160"/>
    </w:pPr>
  </w:style>
  <w:style w:type="paragraph" w:styleId="Index3">
    <w:name w:val="index 3"/>
    <w:basedOn w:val="Normal"/>
    <w:next w:val="Normal"/>
    <w:autoRedefine/>
    <w:uiPriority w:val="99"/>
    <w:semiHidden/>
    <w:unhideWhenUsed/>
    <w:rsid w:val="00E61669"/>
    <w:pPr>
      <w:ind w:left="480" w:hanging="160"/>
    </w:pPr>
  </w:style>
  <w:style w:type="paragraph" w:styleId="Index4">
    <w:name w:val="index 4"/>
    <w:basedOn w:val="Normal"/>
    <w:next w:val="Normal"/>
    <w:autoRedefine/>
    <w:uiPriority w:val="99"/>
    <w:semiHidden/>
    <w:unhideWhenUsed/>
    <w:rsid w:val="00E61669"/>
    <w:pPr>
      <w:ind w:left="640" w:hanging="160"/>
    </w:pPr>
  </w:style>
  <w:style w:type="paragraph" w:styleId="Index5">
    <w:name w:val="index 5"/>
    <w:basedOn w:val="Normal"/>
    <w:next w:val="Normal"/>
    <w:autoRedefine/>
    <w:uiPriority w:val="99"/>
    <w:semiHidden/>
    <w:unhideWhenUsed/>
    <w:rsid w:val="00E61669"/>
    <w:pPr>
      <w:ind w:left="800" w:hanging="160"/>
    </w:pPr>
  </w:style>
  <w:style w:type="paragraph" w:styleId="Index6">
    <w:name w:val="index 6"/>
    <w:basedOn w:val="Normal"/>
    <w:next w:val="Normal"/>
    <w:autoRedefine/>
    <w:uiPriority w:val="99"/>
    <w:semiHidden/>
    <w:unhideWhenUsed/>
    <w:rsid w:val="00E61669"/>
    <w:pPr>
      <w:ind w:left="960" w:hanging="160"/>
    </w:pPr>
  </w:style>
  <w:style w:type="paragraph" w:styleId="Index7">
    <w:name w:val="index 7"/>
    <w:basedOn w:val="Normal"/>
    <w:next w:val="Normal"/>
    <w:autoRedefine/>
    <w:uiPriority w:val="99"/>
    <w:semiHidden/>
    <w:unhideWhenUsed/>
    <w:rsid w:val="00E61669"/>
    <w:pPr>
      <w:ind w:left="1120" w:hanging="160"/>
    </w:pPr>
  </w:style>
  <w:style w:type="paragraph" w:styleId="Index8">
    <w:name w:val="index 8"/>
    <w:basedOn w:val="Normal"/>
    <w:next w:val="Normal"/>
    <w:autoRedefine/>
    <w:uiPriority w:val="99"/>
    <w:semiHidden/>
    <w:unhideWhenUsed/>
    <w:rsid w:val="00E61669"/>
    <w:pPr>
      <w:ind w:left="1280" w:hanging="160"/>
    </w:pPr>
  </w:style>
  <w:style w:type="paragraph" w:styleId="Index9">
    <w:name w:val="index 9"/>
    <w:basedOn w:val="Normal"/>
    <w:next w:val="Normal"/>
    <w:autoRedefine/>
    <w:uiPriority w:val="99"/>
    <w:semiHidden/>
    <w:unhideWhenUsed/>
    <w:rsid w:val="00E61669"/>
    <w:pPr>
      <w:ind w:left="1440" w:hanging="160"/>
    </w:pPr>
  </w:style>
  <w:style w:type="paragraph" w:styleId="IndexHeading">
    <w:name w:val="index heading"/>
    <w:basedOn w:val="Normal"/>
    <w:next w:val="Index1"/>
    <w:uiPriority w:val="99"/>
    <w:semiHidden/>
    <w:unhideWhenUsed/>
    <w:rsid w:val="00E61669"/>
    <w:rPr>
      <w:rFonts w:asciiTheme="majorHAnsi" w:eastAsiaTheme="majorEastAsia" w:hAnsiTheme="majorHAnsi" w:cstheme="majorBidi"/>
      <w:b/>
      <w:bCs/>
    </w:rPr>
  </w:style>
  <w:style w:type="paragraph" w:styleId="List">
    <w:name w:val="List"/>
    <w:basedOn w:val="Normal"/>
    <w:uiPriority w:val="99"/>
    <w:semiHidden/>
    <w:unhideWhenUsed/>
    <w:rsid w:val="00E61669"/>
    <w:pPr>
      <w:ind w:left="283" w:hanging="283"/>
      <w:contextualSpacing/>
    </w:pPr>
  </w:style>
  <w:style w:type="paragraph" w:styleId="List2">
    <w:name w:val="List 2"/>
    <w:basedOn w:val="Normal"/>
    <w:uiPriority w:val="99"/>
    <w:semiHidden/>
    <w:unhideWhenUsed/>
    <w:rsid w:val="00E61669"/>
    <w:pPr>
      <w:ind w:left="566" w:hanging="283"/>
      <w:contextualSpacing/>
    </w:pPr>
  </w:style>
  <w:style w:type="paragraph" w:styleId="List3">
    <w:name w:val="List 3"/>
    <w:basedOn w:val="Normal"/>
    <w:uiPriority w:val="99"/>
    <w:semiHidden/>
    <w:unhideWhenUsed/>
    <w:rsid w:val="00E61669"/>
    <w:pPr>
      <w:ind w:left="849" w:hanging="283"/>
      <w:contextualSpacing/>
    </w:pPr>
  </w:style>
  <w:style w:type="paragraph" w:styleId="List4">
    <w:name w:val="List 4"/>
    <w:basedOn w:val="Normal"/>
    <w:uiPriority w:val="99"/>
    <w:semiHidden/>
    <w:unhideWhenUsed/>
    <w:rsid w:val="00E61669"/>
    <w:pPr>
      <w:ind w:left="1132" w:hanging="283"/>
      <w:contextualSpacing/>
    </w:pPr>
  </w:style>
  <w:style w:type="paragraph" w:styleId="List5">
    <w:name w:val="List 5"/>
    <w:basedOn w:val="Normal"/>
    <w:uiPriority w:val="99"/>
    <w:semiHidden/>
    <w:unhideWhenUsed/>
    <w:rsid w:val="00E61669"/>
    <w:pPr>
      <w:ind w:left="1415" w:hanging="283"/>
      <w:contextualSpacing/>
    </w:pPr>
  </w:style>
  <w:style w:type="paragraph" w:styleId="ListBullet">
    <w:name w:val="List Bullet"/>
    <w:basedOn w:val="Normal"/>
    <w:uiPriority w:val="99"/>
    <w:semiHidden/>
    <w:unhideWhenUsed/>
    <w:rsid w:val="00E61669"/>
    <w:pPr>
      <w:tabs>
        <w:tab w:val="num" w:pos="360"/>
      </w:tabs>
      <w:ind w:left="360" w:hanging="360"/>
      <w:contextualSpacing/>
    </w:pPr>
  </w:style>
  <w:style w:type="paragraph" w:styleId="ListBullet3">
    <w:name w:val="List Bullet 3"/>
    <w:basedOn w:val="Normal"/>
    <w:uiPriority w:val="99"/>
    <w:semiHidden/>
    <w:unhideWhenUsed/>
    <w:rsid w:val="00E61669"/>
    <w:pPr>
      <w:tabs>
        <w:tab w:val="num" w:pos="926"/>
      </w:tabs>
      <w:ind w:left="926" w:hanging="360"/>
      <w:contextualSpacing/>
    </w:pPr>
  </w:style>
  <w:style w:type="paragraph" w:styleId="ListBullet4">
    <w:name w:val="List Bullet 4"/>
    <w:basedOn w:val="Normal"/>
    <w:uiPriority w:val="99"/>
    <w:semiHidden/>
    <w:unhideWhenUsed/>
    <w:rsid w:val="00E61669"/>
    <w:pPr>
      <w:tabs>
        <w:tab w:val="num" w:pos="1209"/>
      </w:tabs>
      <w:ind w:left="1209" w:hanging="360"/>
      <w:contextualSpacing/>
    </w:pPr>
  </w:style>
  <w:style w:type="paragraph" w:styleId="ListBullet5">
    <w:name w:val="List Bullet 5"/>
    <w:basedOn w:val="Normal"/>
    <w:uiPriority w:val="99"/>
    <w:semiHidden/>
    <w:unhideWhenUsed/>
    <w:rsid w:val="00E61669"/>
    <w:pPr>
      <w:tabs>
        <w:tab w:val="num" w:pos="1492"/>
      </w:tabs>
      <w:ind w:left="1492" w:hanging="360"/>
      <w:contextualSpacing/>
    </w:pPr>
  </w:style>
  <w:style w:type="paragraph" w:styleId="ListContinue">
    <w:name w:val="List Continue"/>
    <w:basedOn w:val="Normal"/>
    <w:uiPriority w:val="99"/>
    <w:semiHidden/>
    <w:unhideWhenUsed/>
    <w:rsid w:val="00E61669"/>
    <w:pPr>
      <w:spacing w:after="120"/>
      <w:ind w:left="283"/>
      <w:contextualSpacing/>
    </w:pPr>
  </w:style>
  <w:style w:type="paragraph" w:styleId="ListContinue2">
    <w:name w:val="List Continue 2"/>
    <w:basedOn w:val="Normal"/>
    <w:uiPriority w:val="99"/>
    <w:semiHidden/>
    <w:unhideWhenUsed/>
    <w:rsid w:val="00E61669"/>
    <w:pPr>
      <w:spacing w:after="120"/>
      <w:ind w:left="566"/>
      <w:contextualSpacing/>
    </w:pPr>
  </w:style>
  <w:style w:type="paragraph" w:styleId="ListContinue3">
    <w:name w:val="List Continue 3"/>
    <w:basedOn w:val="Normal"/>
    <w:uiPriority w:val="99"/>
    <w:semiHidden/>
    <w:unhideWhenUsed/>
    <w:rsid w:val="00E61669"/>
    <w:pPr>
      <w:spacing w:after="120"/>
      <w:ind w:left="849"/>
      <w:contextualSpacing/>
    </w:pPr>
  </w:style>
  <w:style w:type="paragraph" w:styleId="ListContinue4">
    <w:name w:val="List Continue 4"/>
    <w:basedOn w:val="Normal"/>
    <w:uiPriority w:val="99"/>
    <w:semiHidden/>
    <w:unhideWhenUsed/>
    <w:rsid w:val="00E61669"/>
    <w:pPr>
      <w:spacing w:after="120"/>
      <w:ind w:left="1132"/>
      <w:contextualSpacing/>
    </w:pPr>
  </w:style>
  <w:style w:type="paragraph" w:styleId="ListContinue5">
    <w:name w:val="List Continue 5"/>
    <w:basedOn w:val="Normal"/>
    <w:uiPriority w:val="99"/>
    <w:semiHidden/>
    <w:unhideWhenUsed/>
    <w:rsid w:val="00E61669"/>
    <w:pPr>
      <w:spacing w:after="120"/>
      <w:ind w:left="1415"/>
      <w:contextualSpacing/>
    </w:pPr>
  </w:style>
  <w:style w:type="paragraph" w:styleId="ListNumber">
    <w:name w:val="List Number"/>
    <w:basedOn w:val="Normal"/>
    <w:uiPriority w:val="99"/>
    <w:semiHidden/>
    <w:unhideWhenUsed/>
    <w:rsid w:val="00E61669"/>
    <w:pPr>
      <w:tabs>
        <w:tab w:val="num" w:pos="360"/>
      </w:tabs>
      <w:ind w:left="360" w:hanging="360"/>
      <w:contextualSpacing/>
    </w:pPr>
  </w:style>
  <w:style w:type="paragraph" w:styleId="ListNumber2">
    <w:name w:val="List Number 2"/>
    <w:basedOn w:val="Normal"/>
    <w:uiPriority w:val="99"/>
    <w:semiHidden/>
    <w:unhideWhenUsed/>
    <w:rsid w:val="00E61669"/>
    <w:pPr>
      <w:tabs>
        <w:tab w:val="num" w:pos="643"/>
      </w:tabs>
      <w:ind w:left="643" w:hanging="360"/>
      <w:contextualSpacing/>
    </w:pPr>
  </w:style>
  <w:style w:type="paragraph" w:styleId="ListNumber3">
    <w:name w:val="List Number 3"/>
    <w:basedOn w:val="Normal"/>
    <w:uiPriority w:val="99"/>
    <w:semiHidden/>
    <w:unhideWhenUsed/>
    <w:rsid w:val="00E61669"/>
    <w:pPr>
      <w:tabs>
        <w:tab w:val="num" w:pos="926"/>
      </w:tabs>
      <w:ind w:left="926" w:hanging="360"/>
      <w:contextualSpacing/>
    </w:pPr>
  </w:style>
  <w:style w:type="paragraph" w:styleId="ListNumber4">
    <w:name w:val="List Number 4"/>
    <w:basedOn w:val="Normal"/>
    <w:uiPriority w:val="99"/>
    <w:semiHidden/>
    <w:unhideWhenUsed/>
    <w:rsid w:val="00E61669"/>
    <w:pPr>
      <w:tabs>
        <w:tab w:val="num" w:pos="1209"/>
      </w:tabs>
      <w:ind w:left="1209" w:hanging="360"/>
      <w:contextualSpacing/>
    </w:pPr>
  </w:style>
  <w:style w:type="paragraph" w:styleId="ListNumber5">
    <w:name w:val="List Number 5"/>
    <w:basedOn w:val="Normal"/>
    <w:uiPriority w:val="99"/>
    <w:semiHidden/>
    <w:unhideWhenUsed/>
    <w:rsid w:val="00E61669"/>
    <w:pPr>
      <w:tabs>
        <w:tab w:val="num" w:pos="1492"/>
      </w:tabs>
      <w:ind w:left="1492" w:hanging="360"/>
      <w:contextualSpacing/>
    </w:pPr>
  </w:style>
  <w:style w:type="paragraph" w:styleId="NoSpacing">
    <w:name w:val="No Spacing"/>
    <w:uiPriority w:val="4"/>
    <w:rsid w:val="00E61669"/>
    <w:rPr>
      <w:rFonts w:ascii="Arial" w:hAnsi="Arial"/>
      <w:color w:val="1A1B1A" w:themeColor="text1" w:themeShade="80"/>
      <w:sz w:val="16"/>
      <w:szCs w:val="24"/>
      <w:lang w:eastAsia="en-US"/>
    </w:rPr>
  </w:style>
  <w:style w:type="paragraph" w:customStyle="1" w:styleId="GazetteList-Numbered">
    <w:name w:val="Gazette List - Numbered"/>
    <w:basedOn w:val="Normal"/>
    <w:rsid w:val="007E3FA9"/>
    <w:pPr>
      <w:tabs>
        <w:tab w:val="num" w:pos="340"/>
      </w:tabs>
      <w:suppressAutoHyphens/>
      <w:spacing w:before="120" w:after="120" w:line="280" w:lineRule="exact"/>
      <w:ind w:left="340" w:hanging="340"/>
    </w:pPr>
    <w:rPr>
      <w:rFonts w:ascii="Arial" w:eastAsia="Times New Roman" w:hAnsi="Arial" w:cs="Arial"/>
      <w:kern w:val="0"/>
      <w:sz w:val="20"/>
      <w:u w:color="000000"/>
    </w:rPr>
  </w:style>
  <w:style w:type="paragraph" w:customStyle="1" w:styleId="StatementofReasonsHeading1">
    <w:name w:val="Statement of Reasons Heading 1"/>
    <w:basedOn w:val="Normal"/>
    <w:link w:val="StatementofReasonsHeading1Char"/>
    <w:qFormat/>
    <w:rsid w:val="007E3FA9"/>
    <w:pPr>
      <w:keepNext/>
      <w:keepLines/>
      <w:spacing w:before="240" w:after="240" w:line="280" w:lineRule="exact"/>
      <w:outlineLvl w:val="0"/>
    </w:pPr>
    <w:rPr>
      <w:rFonts w:ascii="Franklin Gothic Medium" w:eastAsiaTheme="majorEastAsia" w:hAnsi="Franklin Gothic Medium" w:cstheme="majorBidi"/>
      <w:kern w:val="0"/>
      <w:sz w:val="28"/>
      <w:szCs w:val="32"/>
    </w:rPr>
  </w:style>
  <w:style w:type="character" w:customStyle="1" w:styleId="StatementofReasonsHeading1Char">
    <w:name w:val="Statement of Reasons Heading 1 Char"/>
    <w:basedOn w:val="DefaultParagraphFont"/>
    <w:link w:val="StatementofReasonsHeading1"/>
    <w:rsid w:val="007E3FA9"/>
    <w:rPr>
      <w:rFonts w:ascii="Franklin Gothic Medium" w:eastAsiaTheme="majorEastAsia" w:hAnsi="Franklin Gothic Medium" w:cstheme="majorBidi"/>
      <w:sz w:val="28"/>
      <w:szCs w:val="32"/>
      <w:lang w:eastAsia="en-US"/>
    </w:rPr>
  </w:style>
  <w:style w:type="paragraph" w:customStyle="1" w:styleId="StatementofReasonsHeading2">
    <w:name w:val="Statement of Reasons Heading 2"/>
    <w:basedOn w:val="Normal"/>
    <w:link w:val="StatementofReasonsHeading2Char"/>
    <w:qFormat/>
    <w:rsid w:val="007E3FA9"/>
    <w:pPr>
      <w:keepNext/>
      <w:keepLines/>
      <w:spacing w:before="400" w:after="240" w:line="280" w:lineRule="exact"/>
      <w:outlineLvl w:val="1"/>
    </w:pPr>
    <w:rPr>
      <w:rFonts w:ascii="Franklin Gothic Medium" w:eastAsiaTheme="majorEastAsia" w:hAnsi="Franklin Gothic Medium" w:cstheme="majorBidi"/>
      <w:bCs/>
      <w:iCs/>
      <w:kern w:val="0"/>
      <w:szCs w:val="26"/>
      <w:lang w:val="en-GB"/>
    </w:rPr>
  </w:style>
  <w:style w:type="character" w:customStyle="1" w:styleId="StatementofReasonsHeading2Char">
    <w:name w:val="Statement of Reasons Heading 2 Char"/>
    <w:basedOn w:val="DefaultParagraphFont"/>
    <w:link w:val="StatementofReasonsHeading2"/>
    <w:rsid w:val="007E3FA9"/>
    <w:rPr>
      <w:rFonts w:ascii="Franklin Gothic Medium" w:eastAsiaTheme="majorEastAsia" w:hAnsi="Franklin Gothic Medium" w:cstheme="majorBidi"/>
      <w:bCs/>
      <w:iCs/>
      <w:sz w:val="24"/>
      <w:szCs w:val="26"/>
      <w:lang w:val="en-GB" w:eastAsia="en-US"/>
    </w:rPr>
  </w:style>
  <w:style w:type="paragraph" w:customStyle="1" w:styleId="StatementofReasonsHeading3">
    <w:name w:val="Statement of Reasons Heading 3"/>
    <w:basedOn w:val="Normal"/>
    <w:link w:val="StatementofReasonsHeading3Char"/>
    <w:qFormat/>
    <w:rsid w:val="007E3FA9"/>
    <w:pPr>
      <w:pBdr>
        <w:top w:val="nil"/>
        <w:left w:val="nil"/>
        <w:bottom w:val="nil"/>
        <w:right w:val="nil"/>
        <w:between w:val="nil"/>
        <w:bar w:val="nil"/>
      </w:pBdr>
      <w:tabs>
        <w:tab w:val="left" w:pos="720"/>
      </w:tabs>
      <w:spacing w:before="240" w:after="240" w:line="280" w:lineRule="exact"/>
      <w:outlineLvl w:val="2"/>
    </w:pPr>
    <w:rPr>
      <w:rFonts w:ascii="Franklin Gothic Medium" w:eastAsia="Arial Unicode MS" w:hAnsi="Franklin Gothic Medium" w:cs="Arial Unicode MS"/>
      <w:color w:val="000000"/>
      <w:kern w:val="0"/>
      <w:szCs w:val="18"/>
      <w:u w:color="000000"/>
      <w:bdr w:val="nil"/>
      <w:lang w:val="en-GB" w:eastAsia="en-AU"/>
    </w:rPr>
  </w:style>
  <w:style w:type="character" w:customStyle="1" w:styleId="StatementofReasonsHeading3Char">
    <w:name w:val="Statement of Reasons Heading 3 Char"/>
    <w:basedOn w:val="DefaultParagraphFont"/>
    <w:link w:val="StatementofReasonsHeading3"/>
    <w:rsid w:val="007E3FA9"/>
    <w:rPr>
      <w:rFonts w:ascii="Franklin Gothic Medium" w:eastAsia="Arial Unicode MS" w:hAnsi="Franklin Gothic Medium" w:cs="Arial Unicode MS"/>
      <w:color w:val="000000"/>
      <w:sz w:val="22"/>
      <w:szCs w:val="18"/>
      <w:u w:color="00000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8198">
      <w:bodyDiv w:val="1"/>
      <w:marLeft w:val="0"/>
      <w:marRight w:val="0"/>
      <w:marTop w:val="0"/>
      <w:marBottom w:val="0"/>
      <w:divBdr>
        <w:top w:val="none" w:sz="0" w:space="0" w:color="auto"/>
        <w:left w:val="none" w:sz="0" w:space="0" w:color="auto"/>
        <w:bottom w:val="none" w:sz="0" w:space="0" w:color="auto"/>
        <w:right w:val="none" w:sz="0" w:space="0" w:color="auto"/>
      </w:divBdr>
    </w:div>
    <w:div w:id="126164286">
      <w:bodyDiv w:val="1"/>
      <w:marLeft w:val="0"/>
      <w:marRight w:val="0"/>
      <w:marTop w:val="0"/>
      <w:marBottom w:val="0"/>
      <w:divBdr>
        <w:top w:val="none" w:sz="0" w:space="0" w:color="auto"/>
        <w:left w:val="none" w:sz="0" w:space="0" w:color="auto"/>
        <w:bottom w:val="none" w:sz="0" w:space="0" w:color="auto"/>
        <w:right w:val="none" w:sz="0" w:space="0" w:color="auto"/>
      </w:divBdr>
    </w:div>
    <w:div w:id="221063829">
      <w:bodyDiv w:val="1"/>
      <w:marLeft w:val="0"/>
      <w:marRight w:val="0"/>
      <w:marTop w:val="0"/>
      <w:marBottom w:val="0"/>
      <w:divBdr>
        <w:top w:val="none" w:sz="0" w:space="0" w:color="auto"/>
        <w:left w:val="none" w:sz="0" w:space="0" w:color="auto"/>
        <w:bottom w:val="none" w:sz="0" w:space="0" w:color="auto"/>
        <w:right w:val="none" w:sz="0" w:space="0" w:color="auto"/>
      </w:divBdr>
    </w:div>
    <w:div w:id="250434063">
      <w:bodyDiv w:val="1"/>
      <w:marLeft w:val="0"/>
      <w:marRight w:val="0"/>
      <w:marTop w:val="0"/>
      <w:marBottom w:val="0"/>
      <w:divBdr>
        <w:top w:val="none" w:sz="0" w:space="0" w:color="auto"/>
        <w:left w:val="none" w:sz="0" w:space="0" w:color="auto"/>
        <w:bottom w:val="none" w:sz="0" w:space="0" w:color="auto"/>
        <w:right w:val="none" w:sz="0" w:space="0" w:color="auto"/>
      </w:divBdr>
    </w:div>
    <w:div w:id="590048782">
      <w:bodyDiv w:val="1"/>
      <w:marLeft w:val="0"/>
      <w:marRight w:val="0"/>
      <w:marTop w:val="0"/>
      <w:marBottom w:val="0"/>
      <w:divBdr>
        <w:top w:val="none" w:sz="0" w:space="0" w:color="auto"/>
        <w:left w:val="none" w:sz="0" w:space="0" w:color="auto"/>
        <w:bottom w:val="none" w:sz="0" w:space="0" w:color="auto"/>
        <w:right w:val="none" w:sz="0" w:space="0" w:color="auto"/>
      </w:divBdr>
    </w:div>
    <w:div w:id="650139122">
      <w:bodyDiv w:val="1"/>
      <w:marLeft w:val="0"/>
      <w:marRight w:val="0"/>
      <w:marTop w:val="0"/>
      <w:marBottom w:val="0"/>
      <w:divBdr>
        <w:top w:val="none" w:sz="0" w:space="0" w:color="auto"/>
        <w:left w:val="none" w:sz="0" w:space="0" w:color="auto"/>
        <w:bottom w:val="none" w:sz="0" w:space="0" w:color="auto"/>
        <w:right w:val="none" w:sz="0" w:space="0" w:color="auto"/>
      </w:divBdr>
    </w:div>
    <w:div w:id="663165788">
      <w:bodyDiv w:val="1"/>
      <w:marLeft w:val="0"/>
      <w:marRight w:val="0"/>
      <w:marTop w:val="0"/>
      <w:marBottom w:val="0"/>
      <w:divBdr>
        <w:top w:val="none" w:sz="0" w:space="0" w:color="auto"/>
        <w:left w:val="none" w:sz="0" w:space="0" w:color="auto"/>
        <w:bottom w:val="none" w:sz="0" w:space="0" w:color="auto"/>
        <w:right w:val="none" w:sz="0" w:space="0" w:color="auto"/>
      </w:divBdr>
    </w:div>
    <w:div w:id="707992981">
      <w:bodyDiv w:val="1"/>
      <w:marLeft w:val="0"/>
      <w:marRight w:val="0"/>
      <w:marTop w:val="0"/>
      <w:marBottom w:val="0"/>
      <w:divBdr>
        <w:top w:val="none" w:sz="0" w:space="0" w:color="auto"/>
        <w:left w:val="none" w:sz="0" w:space="0" w:color="auto"/>
        <w:bottom w:val="none" w:sz="0" w:space="0" w:color="auto"/>
        <w:right w:val="none" w:sz="0" w:space="0" w:color="auto"/>
      </w:divBdr>
      <w:divsChild>
        <w:div w:id="2144038163">
          <w:marLeft w:val="0"/>
          <w:marRight w:val="0"/>
          <w:marTop w:val="0"/>
          <w:marBottom w:val="0"/>
          <w:divBdr>
            <w:top w:val="none" w:sz="0" w:space="0" w:color="auto"/>
            <w:left w:val="none" w:sz="0" w:space="0" w:color="auto"/>
            <w:bottom w:val="none" w:sz="0" w:space="0" w:color="auto"/>
            <w:right w:val="none" w:sz="0" w:space="0" w:color="auto"/>
          </w:divBdr>
        </w:div>
      </w:divsChild>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8853140">
      <w:bodyDiv w:val="1"/>
      <w:marLeft w:val="0"/>
      <w:marRight w:val="0"/>
      <w:marTop w:val="0"/>
      <w:marBottom w:val="0"/>
      <w:divBdr>
        <w:top w:val="none" w:sz="0" w:space="0" w:color="auto"/>
        <w:left w:val="none" w:sz="0" w:space="0" w:color="auto"/>
        <w:bottom w:val="none" w:sz="0" w:space="0" w:color="auto"/>
        <w:right w:val="none" w:sz="0" w:space="0" w:color="auto"/>
      </w:divBdr>
    </w:div>
    <w:div w:id="994601884">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55737697">
      <w:bodyDiv w:val="1"/>
      <w:marLeft w:val="0"/>
      <w:marRight w:val="0"/>
      <w:marTop w:val="0"/>
      <w:marBottom w:val="0"/>
      <w:divBdr>
        <w:top w:val="none" w:sz="0" w:space="0" w:color="auto"/>
        <w:left w:val="none" w:sz="0" w:space="0" w:color="auto"/>
        <w:bottom w:val="none" w:sz="0" w:space="0" w:color="auto"/>
        <w:right w:val="none" w:sz="0" w:space="0" w:color="auto"/>
      </w:divBdr>
    </w:div>
    <w:div w:id="1065027106">
      <w:bodyDiv w:val="1"/>
      <w:marLeft w:val="0"/>
      <w:marRight w:val="0"/>
      <w:marTop w:val="0"/>
      <w:marBottom w:val="0"/>
      <w:divBdr>
        <w:top w:val="none" w:sz="0" w:space="0" w:color="auto"/>
        <w:left w:val="none" w:sz="0" w:space="0" w:color="auto"/>
        <w:bottom w:val="none" w:sz="0" w:space="0" w:color="auto"/>
        <w:right w:val="none" w:sz="0" w:space="0" w:color="auto"/>
      </w:divBdr>
    </w:div>
    <w:div w:id="1260748367">
      <w:bodyDiv w:val="1"/>
      <w:marLeft w:val="0"/>
      <w:marRight w:val="0"/>
      <w:marTop w:val="0"/>
      <w:marBottom w:val="0"/>
      <w:divBdr>
        <w:top w:val="none" w:sz="0" w:space="0" w:color="auto"/>
        <w:left w:val="none" w:sz="0" w:space="0" w:color="auto"/>
        <w:bottom w:val="none" w:sz="0" w:space="0" w:color="auto"/>
        <w:right w:val="none" w:sz="0" w:space="0" w:color="auto"/>
      </w:divBdr>
      <w:divsChild>
        <w:div w:id="1030884962">
          <w:marLeft w:val="0"/>
          <w:marRight w:val="0"/>
          <w:marTop w:val="0"/>
          <w:marBottom w:val="0"/>
          <w:divBdr>
            <w:top w:val="none" w:sz="0" w:space="0" w:color="auto"/>
            <w:left w:val="none" w:sz="0" w:space="0" w:color="auto"/>
            <w:bottom w:val="none" w:sz="0" w:space="0" w:color="auto"/>
            <w:right w:val="none" w:sz="0" w:space="0" w:color="auto"/>
          </w:divBdr>
        </w:div>
      </w:divsChild>
    </w:div>
    <w:div w:id="1324357810">
      <w:bodyDiv w:val="1"/>
      <w:marLeft w:val="0"/>
      <w:marRight w:val="0"/>
      <w:marTop w:val="0"/>
      <w:marBottom w:val="0"/>
      <w:divBdr>
        <w:top w:val="none" w:sz="0" w:space="0" w:color="auto"/>
        <w:left w:val="none" w:sz="0" w:space="0" w:color="auto"/>
        <w:bottom w:val="none" w:sz="0" w:space="0" w:color="auto"/>
        <w:right w:val="none" w:sz="0" w:space="0" w:color="auto"/>
      </w:divBdr>
    </w:div>
    <w:div w:id="1584874126">
      <w:bodyDiv w:val="1"/>
      <w:marLeft w:val="0"/>
      <w:marRight w:val="0"/>
      <w:marTop w:val="0"/>
      <w:marBottom w:val="0"/>
      <w:divBdr>
        <w:top w:val="none" w:sz="0" w:space="0" w:color="auto"/>
        <w:left w:val="none" w:sz="0" w:space="0" w:color="auto"/>
        <w:bottom w:val="none" w:sz="0" w:space="0" w:color="auto"/>
        <w:right w:val="none" w:sz="0" w:space="0" w:color="auto"/>
      </w:divBdr>
    </w:div>
    <w:div w:id="165078897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82664202">
      <w:bodyDiv w:val="1"/>
      <w:marLeft w:val="0"/>
      <w:marRight w:val="0"/>
      <w:marTop w:val="0"/>
      <w:marBottom w:val="0"/>
      <w:divBdr>
        <w:top w:val="none" w:sz="0" w:space="0" w:color="auto"/>
        <w:left w:val="none" w:sz="0" w:space="0" w:color="auto"/>
        <w:bottom w:val="none" w:sz="0" w:space="0" w:color="auto"/>
        <w:right w:val="none" w:sz="0" w:space="0" w:color="auto"/>
      </w:divBdr>
      <w:divsChild>
        <w:div w:id="538663398">
          <w:marLeft w:val="0"/>
          <w:marRight w:val="0"/>
          <w:marTop w:val="0"/>
          <w:marBottom w:val="0"/>
          <w:divBdr>
            <w:top w:val="none" w:sz="0" w:space="0" w:color="auto"/>
            <w:left w:val="none" w:sz="0" w:space="0" w:color="auto"/>
            <w:bottom w:val="none" w:sz="0" w:space="0" w:color="auto"/>
            <w:right w:val="none" w:sz="0" w:space="0" w:color="auto"/>
          </w:divBdr>
        </w:div>
      </w:divsChild>
    </w:div>
    <w:div w:id="1713263620">
      <w:bodyDiv w:val="1"/>
      <w:marLeft w:val="0"/>
      <w:marRight w:val="0"/>
      <w:marTop w:val="0"/>
      <w:marBottom w:val="0"/>
      <w:divBdr>
        <w:top w:val="none" w:sz="0" w:space="0" w:color="auto"/>
        <w:left w:val="none" w:sz="0" w:space="0" w:color="auto"/>
        <w:bottom w:val="none" w:sz="0" w:space="0" w:color="auto"/>
        <w:right w:val="none" w:sz="0" w:space="0" w:color="auto"/>
      </w:divBdr>
      <w:divsChild>
        <w:div w:id="529488004">
          <w:marLeft w:val="0"/>
          <w:marRight w:val="0"/>
          <w:marTop w:val="0"/>
          <w:marBottom w:val="0"/>
          <w:divBdr>
            <w:top w:val="none" w:sz="0" w:space="0" w:color="auto"/>
            <w:left w:val="none" w:sz="0" w:space="0" w:color="auto"/>
            <w:bottom w:val="none" w:sz="0" w:space="0" w:color="auto"/>
            <w:right w:val="none" w:sz="0" w:space="0" w:color="auto"/>
          </w:divBdr>
        </w:div>
      </w:divsChild>
    </w:div>
    <w:div w:id="1777170062">
      <w:bodyDiv w:val="1"/>
      <w:marLeft w:val="0"/>
      <w:marRight w:val="0"/>
      <w:marTop w:val="0"/>
      <w:marBottom w:val="0"/>
      <w:divBdr>
        <w:top w:val="none" w:sz="0" w:space="0" w:color="auto"/>
        <w:left w:val="none" w:sz="0" w:space="0" w:color="auto"/>
        <w:bottom w:val="none" w:sz="0" w:space="0" w:color="auto"/>
        <w:right w:val="none" w:sz="0" w:space="0" w:color="auto"/>
      </w:divBdr>
      <w:divsChild>
        <w:div w:id="1895047013">
          <w:marLeft w:val="0"/>
          <w:marRight w:val="0"/>
          <w:marTop w:val="0"/>
          <w:marBottom w:val="0"/>
          <w:divBdr>
            <w:top w:val="none" w:sz="0" w:space="0" w:color="auto"/>
            <w:left w:val="none" w:sz="0" w:space="0" w:color="auto"/>
            <w:bottom w:val="none" w:sz="0" w:space="0" w:color="auto"/>
            <w:right w:val="none" w:sz="0" w:space="0" w:color="auto"/>
          </w:divBdr>
        </w:div>
      </w:divsChild>
    </w:div>
    <w:div w:id="1811753329">
      <w:bodyDiv w:val="1"/>
      <w:marLeft w:val="0"/>
      <w:marRight w:val="0"/>
      <w:marTop w:val="0"/>
      <w:marBottom w:val="0"/>
      <w:divBdr>
        <w:top w:val="none" w:sz="0" w:space="0" w:color="auto"/>
        <w:left w:val="none" w:sz="0" w:space="0" w:color="auto"/>
        <w:bottom w:val="none" w:sz="0" w:space="0" w:color="auto"/>
        <w:right w:val="none" w:sz="0" w:space="0" w:color="auto"/>
      </w:divBdr>
      <w:divsChild>
        <w:div w:id="928852808">
          <w:marLeft w:val="0"/>
          <w:marRight w:val="0"/>
          <w:marTop w:val="0"/>
          <w:marBottom w:val="0"/>
          <w:divBdr>
            <w:top w:val="none" w:sz="0" w:space="0" w:color="auto"/>
            <w:left w:val="none" w:sz="0" w:space="0" w:color="auto"/>
            <w:bottom w:val="none" w:sz="0" w:space="0" w:color="auto"/>
            <w:right w:val="none" w:sz="0" w:space="0" w:color="auto"/>
          </w:divBdr>
        </w:div>
      </w:divsChild>
    </w:div>
    <w:div w:id="2052024587">
      <w:bodyDiv w:val="1"/>
      <w:marLeft w:val="0"/>
      <w:marRight w:val="0"/>
      <w:marTop w:val="0"/>
      <w:marBottom w:val="0"/>
      <w:divBdr>
        <w:top w:val="none" w:sz="0" w:space="0" w:color="auto"/>
        <w:left w:val="none" w:sz="0" w:space="0" w:color="auto"/>
        <w:bottom w:val="none" w:sz="0" w:space="0" w:color="auto"/>
        <w:right w:val="none" w:sz="0" w:space="0" w:color="auto"/>
      </w:divBdr>
      <w:divsChild>
        <w:div w:id="14040875">
          <w:marLeft w:val="0"/>
          <w:marRight w:val="0"/>
          <w:marTop w:val="0"/>
          <w:marBottom w:val="0"/>
          <w:divBdr>
            <w:top w:val="none" w:sz="0" w:space="0" w:color="auto"/>
            <w:left w:val="none" w:sz="0" w:space="0" w:color="auto"/>
            <w:bottom w:val="none" w:sz="0" w:space="0" w:color="auto"/>
            <w:right w:val="none" w:sz="0" w:space="0" w:color="auto"/>
          </w:divBdr>
        </w:div>
      </w:divsChild>
    </w:div>
    <w:div w:id="2135369066">
      <w:bodyDiv w:val="1"/>
      <w:marLeft w:val="0"/>
      <w:marRight w:val="0"/>
      <w:marTop w:val="0"/>
      <w:marBottom w:val="0"/>
      <w:divBdr>
        <w:top w:val="none" w:sz="0" w:space="0" w:color="auto"/>
        <w:left w:val="none" w:sz="0" w:space="0" w:color="auto"/>
        <w:bottom w:val="none" w:sz="0" w:space="0" w:color="auto"/>
        <w:right w:val="none" w:sz="0" w:space="0" w:color="auto"/>
      </w:divBdr>
      <w:divsChild>
        <w:div w:id="1139614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5.xml" Id="rId26" /><Relationship Type="http://schemas.openxmlformats.org/officeDocument/2006/relationships/hyperlink" Target="https://www.apvma.gov.au/" TargetMode="External" Id="rId21" /><Relationship Type="http://schemas.openxmlformats.org/officeDocument/2006/relationships/image" Target="media/image8.png" Id="rId34" /><Relationship Type="http://schemas.openxmlformats.org/officeDocument/2006/relationships/hyperlink" Target="https://apvma.gov.au/node/51826" TargetMode="External" Id="rId42" /><Relationship Type="http://schemas.openxmlformats.org/officeDocument/2006/relationships/image" Target="media/image9.png" Id="rId47" /><Relationship Type="http://schemas.openxmlformats.org/officeDocument/2006/relationships/header" Target="header16.xml" Id="rId50" /><Relationship Type="http://schemas.openxmlformats.org/officeDocument/2006/relationships/hyperlink" Target="https://doi.org/10.21105/joss.02848" TargetMode="External" Id="rId55" /><Relationship Type="http://schemas.openxmlformats.org/officeDocument/2006/relationships/header" Target="header20.xml" Id="rId6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image" Target="media/image5.png" Id="rId29" /><Relationship Type="http://schemas.openxmlformats.org/officeDocument/2006/relationships/image" Target="media/image3.png" Id="rId11" /><Relationship Type="http://schemas.openxmlformats.org/officeDocument/2006/relationships/hyperlink" Target="https://www.apvma.gov.au/news-and-publications/public-consultations/paraquat-and-diquat-proposed-regulatory-decision/consideration-of-submissions" TargetMode="External" Id="rId24" /><Relationship Type="http://schemas.openxmlformats.org/officeDocument/2006/relationships/image" Target="media/image6.png" Id="rId32" /><Relationship Type="http://schemas.openxmlformats.org/officeDocument/2006/relationships/header" Target="header8.xml" Id="rId37" /><Relationship Type="http://schemas.openxmlformats.org/officeDocument/2006/relationships/header" Target="header10.xml" Id="rId40" /><Relationship Type="http://schemas.openxmlformats.org/officeDocument/2006/relationships/header" Target="header12.xml" Id="rId45" /><Relationship Type="http://schemas.openxmlformats.org/officeDocument/2006/relationships/header" Target="header19.xml" Id="rId53" /><Relationship Type="http://schemas.openxmlformats.org/officeDocument/2006/relationships/hyperlink" Target="https://elibrary.sugarresearch.com.au/home" TargetMode="External" Id="rId58" /><Relationship Type="http://schemas.openxmlformats.org/officeDocument/2006/relationships/settings" Target="settings.xml" Id="rId5" /><Relationship Type="http://schemas.openxmlformats.org/officeDocument/2006/relationships/hyperlink" Target="https://doi.org/10.1002/etc.5620090112" TargetMode="External" Id="rId61"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header" Target="header6.xml" Id="rId27" /><Relationship Type="http://schemas.microsoft.com/office/2007/relationships/hdphoto" Target="media/hdphoto1.wdp" Id="rId30" /><Relationship Type="http://schemas.microsoft.com/office/2007/relationships/hdphoto" Target="media/hdphoto2.wdp" Id="rId35" /><Relationship Type="http://schemas.openxmlformats.org/officeDocument/2006/relationships/header" Target="header11.xml" Id="rId43" /><Relationship Type="http://schemas.openxmlformats.org/officeDocument/2006/relationships/header" Target="header14.xml" Id="rId48" /><Relationship Type="http://schemas.openxmlformats.org/officeDocument/2006/relationships/hyperlink" Target="https://www.cirs-group.com/files/attach/uploads/soft/150528/backgrounddocument.pdf" TargetMode="External" Id="rId56" /><Relationship Type="http://schemas.openxmlformats.org/officeDocument/2006/relationships/fontTable" Target="fontTable.xml" Id="rId64" /><Relationship Type="http://schemas.openxmlformats.org/officeDocument/2006/relationships/endnotes" Target="endnotes.xml" Id="rId8" /><Relationship Type="http://schemas.openxmlformats.org/officeDocument/2006/relationships/header" Target="header17.xml"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image" Target="media/image7.png" Id="rId33" /><Relationship Type="http://schemas.openxmlformats.org/officeDocument/2006/relationships/hyperlink" Target="https://www.apvma.gov.au/registrations-and-permits/data-guidelines/risk-assessment-manuals/human-health" TargetMode="External" Id="rId38" /><Relationship Type="http://schemas.openxmlformats.org/officeDocument/2006/relationships/header" Target="header13.xml" Id="rId46" /><Relationship Type="http://schemas.openxmlformats.org/officeDocument/2006/relationships/hyperlink" Target="https://openknowledge.fao.org/items/b2615b6c-b712-49b0-a5ec-b732d150a0a6" TargetMode="External" Id="rId59" /><Relationship Type="http://schemas.openxmlformats.org/officeDocument/2006/relationships/footer" Target="footer1.xml" Id="rId20" /><Relationship Type="http://schemas.openxmlformats.org/officeDocument/2006/relationships/hyperlink" Target="https://apvma.gov.au/node/46416" TargetMode="External" Id="rId41" /><Relationship Type="http://schemas.openxmlformats.org/officeDocument/2006/relationships/hyperlink" Target="https://www.legislation.gov.au/F2022L00137/latest/text" TargetMode="External" Id="rId54" /><Relationship Type="http://schemas.openxmlformats.org/officeDocument/2006/relationships/hyperlink" Target="https://elibrary.sugarresearch.com.au/home" TargetMode="External" Id="rId62"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yperlink" Target="mailto:chemicalreview@apvma.gov.au" TargetMode="External" Id="rId23" /><Relationship Type="http://schemas.openxmlformats.org/officeDocument/2006/relationships/footer" Target="footer2.xml" Id="rId28" /><Relationship Type="http://schemas.openxmlformats.org/officeDocument/2006/relationships/header" Target="header7.xml" Id="rId36" /><Relationship Type="http://schemas.openxmlformats.org/officeDocument/2006/relationships/header" Target="header15.xml" Id="rId49" /><Relationship Type="http://schemas.openxmlformats.org/officeDocument/2006/relationships/hyperlink" Target="https://doi.org/10.2903/j.efsa.2020.6119" TargetMode="External" Id="rId57" /><Relationship Type="http://schemas.openxmlformats.org/officeDocument/2006/relationships/image" Target="media/image2.png" Id="rId10" /><Relationship Type="http://schemas.openxmlformats.org/officeDocument/2006/relationships/hyperlink" Target="https://openknowledge.fao.org/server/api/core/bitstreams/3acb5d0f-cd50-4daf-a5fd-33619288cfc9/content" TargetMode="External" Id="rId31" /><Relationship Type="http://schemas.openxmlformats.org/officeDocument/2006/relationships/hyperlink" Target="https://apvma.gov.au/node/10796" TargetMode="External" Id="rId44" /><Relationship Type="http://schemas.openxmlformats.org/officeDocument/2006/relationships/header" Target="header18.xml" Id="rId52" /><Relationship Type="http://schemas.openxmlformats.org/officeDocument/2006/relationships/hyperlink" Target="https://www.fao.org/fileadmin/user_upload/IPM_Pesticide/JMPR/Evaluations/2018/Diquat__031_.pdf" TargetMode="External" Id="rId60" /><Relationship Type="http://schemas.openxmlformats.org/officeDocument/2006/relationships/theme" Target="theme/theme1.xml" Id="rId6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9.xml" Id="rId39" /><Relationship Type="http://schemas.openxmlformats.org/officeDocument/2006/relationships/customXml" Target="/customXML/item4.xml" Id="Rc53b54024a644e31" /></Relationships>
</file>

<file path=word/_rels/footnotes.xml.rels><?xml version="1.0" encoding="UTF-8" standalone="yes"?>
<Relationships xmlns="http://schemas.openxmlformats.org/package/2006/relationships"><Relationship Id="rId8" Type="http://schemas.openxmlformats.org/officeDocument/2006/relationships/hyperlink" Target="https://www.apvma.gov.au/crop-groups/cereal-grains" TargetMode="External"/><Relationship Id="rId13" Type="http://schemas.openxmlformats.org/officeDocument/2006/relationships/hyperlink" Target="https://food.ec.europa.eu/plants/pesticides/eu-pesticides-database_en" TargetMode="External"/><Relationship Id="rId18" Type="http://schemas.openxmlformats.org/officeDocument/2006/relationships/hyperlink" Target="http://db.ffcr.or.jp/front/" TargetMode="External"/><Relationship Id="rId3" Type="http://schemas.openxmlformats.org/officeDocument/2006/relationships/hyperlink" Target="https://www.apvma.gov.au/crop-groups/bulb-vegetables" TargetMode="External"/><Relationship Id="rId21" Type="http://schemas.openxmlformats.org/officeDocument/2006/relationships/hyperlink" Target="https://apvma.gov.au/node/46416" TargetMode="External"/><Relationship Id="rId7" Type="http://schemas.openxmlformats.org/officeDocument/2006/relationships/hyperlink" Target="https://www.apvma.gov.au/crop-groups/stalk-stem-vegetables" TargetMode="External"/><Relationship Id="rId12" Type="http://schemas.openxmlformats.org/officeDocument/2006/relationships/hyperlink" Target="https://www.fao.org/fao-who-codexalimentarius/codex-texts/dbs/pestres/pesticides/en/" TargetMode="External"/><Relationship Id="rId17" Type="http://schemas.openxmlformats.org/officeDocument/2006/relationships/hyperlink" Target="https://www.ecfr.gov/current/title-40/chapter-I/subchapter-E/part-180" TargetMode="External"/><Relationship Id="rId2" Type="http://schemas.openxmlformats.org/officeDocument/2006/relationships/hyperlink" Target="https://www.apvma.gov.au/crop-groups" TargetMode="External"/><Relationship Id="rId16" Type="http://schemas.openxmlformats.org/officeDocument/2006/relationships/hyperlink" Target="https://www.fda.gov.tw/ENG/law.aspx?cid=16" TargetMode="External"/><Relationship Id="rId20" Type="http://schemas.openxmlformats.org/officeDocument/2006/relationships/hyperlink" Target="https://bcgov-env.shinyapps.io/ssdtools/" TargetMode="External"/><Relationship Id="rId1" Type="http://schemas.openxmlformats.org/officeDocument/2006/relationships/hyperlink" Target="https://www.croplife.org.au/resources/programs/resistance-management/" TargetMode="External"/><Relationship Id="rId6" Type="http://schemas.openxmlformats.org/officeDocument/2006/relationships/hyperlink" Target="https://www.apvma.gov.au/crop-groups/root-tuber-vegetables" TargetMode="External"/><Relationship Id="rId11" Type="http://schemas.openxmlformats.org/officeDocument/2006/relationships/hyperlink" Target="https://www.apvma.gov.au/crop-groups" TargetMode="External"/><Relationship Id="rId5" Type="http://schemas.openxmlformats.org/officeDocument/2006/relationships/hyperlink" Target="https://www.apvma.gov.au/crop-groups/leafy-vegetables" TargetMode="External"/><Relationship Id="rId15" Type="http://schemas.openxmlformats.org/officeDocument/2006/relationships/hyperlink" Target="https://residue.foodsafetykorea.go.kr/prd/progress" TargetMode="External"/><Relationship Id="rId23" Type="http://schemas.openxmlformats.org/officeDocument/2006/relationships/hyperlink" Target="https://www.apvma.gov.au/registrations-and-permits/data-guidelines/risk-assessment-manuals/environment/appendix-a" TargetMode="External"/><Relationship Id="rId10" Type="http://schemas.openxmlformats.org/officeDocument/2006/relationships/hyperlink" Target="https://www.apvma.gov.au/crop-groups" TargetMode="External"/><Relationship Id="rId19" Type="http://schemas.openxmlformats.org/officeDocument/2006/relationships/hyperlink" Target="https://bcgov-env.shinyapps.io/ssdtools/" TargetMode="External"/><Relationship Id="rId4" Type="http://schemas.openxmlformats.org/officeDocument/2006/relationships/hyperlink" Target="https://www.apvma.gov.au/crop-groups/brassica-head-flowerhead" TargetMode="External"/><Relationship Id="rId9" Type="http://schemas.openxmlformats.org/officeDocument/2006/relationships/hyperlink" Target="https://www.apvma.gov.au/crop-groups" TargetMode="External"/><Relationship Id="rId14" Type="http://schemas.openxmlformats.org/officeDocument/2006/relationships/hyperlink" Target="http://db.ffcr.or.jp/front/" TargetMode="External"/><Relationship Id="rId22" Type="http://schemas.openxmlformats.org/officeDocument/2006/relationships/hyperlink" Target="https://www.hse.gov.uk/pesticides/data-requirements-handbook/fate/environmental-fate-models.htm"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A3480572</value>
    </field>
    <field name="Objective-Title">
      <value order="0">Diquat Final Review Technical Report</value>
    </field>
    <field name="Objective-Description">
      <value order="0"/>
    </field>
    <field name="Objective-CreationStamp">
      <value order="0">2025-03-21T02:18:20Z</value>
    </field>
    <field name="Objective-IsApproved">
      <value order="0">false</value>
    </field>
    <field name="Objective-IsPublished">
      <value order="0">false</value>
    </field>
    <field name="Objective-DatePublished">
      <value order="0"/>
    </field>
    <field name="Objective-ModificationStamp">
      <value order="0">2026-06-22T07:24:57Z</value>
    </field>
    <field name="Objective-Owner">
      <value order="0">Nial Gursanscky</value>
    </field>
    <field name="Objective-Path">
      <value order="0">APVMA:SCIENCE AND ASSURANCE:02 - Science and Assurance - Chemical Review:Scientific Assessment - Chemical Review - Products and Actives:Scientific Assessment - Chemical Review - Products and Actives - D:Chemical Review - Diquat:08-Regulatory Decision</value>
    </field>
    <field name="Objective-Parent">
      <value order="0">08-Regulatory Decision</value>
    </field>
    <field name="Objective-State">
      <value order="0">Being Drafted</value>
    </field>
    <field name="Objective-VersionId">
      <value order="0">vA5832059</value>
    </field>
    <field name="Objective-Version">
      <value order="0">0.72</value>
    </field>
    <field name="Objective-VersionNumber">
      <value order="0">72</value>
    </field>
    <field name="Objective-VersionComment">
      <value order="0">Restored version 0.70</value>
    </field>
    <field name="Objective-FileNumber">
      <value order="0">2014\4461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37342</TotalTime>
  <Pages>211</Pages>
  <Words>72360</Words>
  <Characters>380619</Characters>
  <Application>Microsoft Office Word</Application>
  <DocSecurity>0</DocSecurity>
  <Lines>15224</Lines>
  <Paragraphs>10534</Paragraphs>
  <ScaleCrop>false</ScaleCrop>
  <HeadingPairs>
    <vt:vector size="2" baseType="variant">
      <vt:variant>
        <vt:lpstr>Title</vt:lpstr>
      </vt:variant>
      <vt:variant>
        <vt:i4>1</vt:i4>
      </vt:variant>
    </vt:vector>
  </HeadingPairs>
  <TitlesOfParts>
    <vt:vector size="1" baseType="lpstr">
      <vt:lpstr>Diquat Final Review Technical Report</vt:lpstr>
    </vt:vector>
  </TitlesOfParts>
  <Manager/>
  <Company>Australian Pesticides and Veterinary Medicines Authority</Company>
  <LinksUpToDate>false</LinksUpToDate>
  <CharactersWithSpaces>442445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Diquat Final Review Technical Report</dc:title>
  <dc:subject/>
  <dc:creator>APVMA</dc:creator>
  <cp:keywords/>
  <dc:description/>
  <cp:lastModifiedBy>ELLIOTT, Amy</cp:lastModifiedBy>
  <cp:revision>392</cp:revision>
  <cp:lastPrinted>2026-06-22T06:36:00Z</cp:lastPrinted>
  <dcterms:created xsi:type="dcterms:W3CDTF">2024-03-04T06:14:00Z</dcterms:created>
  <dcterms:modified xsi:type="dcterms:W3CDTF">2026-06-22T06:42:00Z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A3480572</vt:lpwstr>
  </property>
  <property fmtid="{D5CDD505-2E9C-101B-9397-08002B2CF9AE}" pid="4" name="Objective-Title">
    <vt:lpwstr>Diquat Final Review Technical Report</vt:lpwstr>
  </property>
  <property fmtid="{D5CDD505-2E9C-101B-9397-08002B2CF9AE}" pid="5" name="Objective-Comment">
    <vt:lpwstr/>
  </property>
  <property fmtid="{D5CDD505-2E9C-101B-9397-08002B2CF9AE}" pid="6" name="Objective-CreationStamp">
    <vt:filetime>2025-03-21T02:18:20Z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2026-06-22T07:24:57Z</vt:filetime>
  </property>
  <property fmtid="{D5CDD505-2E9C-101B-9397-08002B2CF9AE}" pid="11" name="Objective-Owner">
    <vt:lpwstr>Nial Gursanscky</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D:Chemical Review - Diquat:08-Regulatory Decision:</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0.72</vt:lpwstr>
  </property>
  <property fmtid="{D5CDD505-2E9C-101B-9397-08002B2CF9AE}" pid="16" name="Objective-VersionNumber">
    <vt:r8>72</vt:r8>
  </property>
  <property fmtid="{D5CDD505-2E9C-101B-9397-08002B2CF9AE}" pid="17" name="Objective-VersionComment">
    <vt:lpwstr>Restored version 0.70</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vA5832059</vt:lpwstr>
  </property>
  <property fmtid="{D5CDD505-2E9C-101B-9397-08002B2CF9AE}" pid="23" name="Objective-Connect Creator">
    <vt:lpwstr/>
  </property>
</Properties>
</file>