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1859" w14:textId="77777777" w:rsidR="002F4591" w:rsidRDefault="002F4591" w:rsidP="009D0723">
      <w:pPr>
        <w:pStyle w:val="APVMACoverTitle"/>
        <w:spacing w:before="1440"/>
        <w:jc w:val="center"/>
      </w:pPr>
      <w:bookmarkStart w:id="0" w:name="_Toc168724484"/>
      <w:r w:rsidRPr="005D1A47">
        <w:rPr>
          <w:noProof/>
        </w:rPr>
        <w:drawing>
          <wp:inline distT="0" distB="0" distL="0" distR="0" wp14:anchorId="5C6E37C0" wp14:editId="721F69A9">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4798F63F" w14:textId="4C001E7D" w:rsidR="003C0891" w:rsidRDefault="007F6D92" w:rsidP="00193533">
      <w:pPr>
        <w:pStyle w:val="APVMACoverSubtitle"/>
        <w:jc w:val="center"/>
      </w:pPr>
      <w:r>
        <w:t>o</w:t>
      </w:r>
      <w:r w:rsidR="006D36C8">
        <w:t>n</w:t>
      </w:r>
      <w:r w:rsidR="002F5D1B">
        <w:t xml:space="preserve"> the evaluation of the new</w:t>
      </w:r>
      <w:r w:rsidR="006D36C8">
        <w:t xml:space="preserve"> </w:t>
      </w:r>
      <w:r w:rsidR="00424637">
        <w:t xml:space="preserve">active </w:t>
      </w:r>
      <w:r w:rsidR="00CD4C9F" w:rsidRPr="00CD4C9F">
        <w:t>1-aminocyclopropane-1-carboxylic acid</w:t>
      </w:r>
      <w:r w:rsidR="00CD4C9F">
        <w:t xml:space="preserve"> </w:t>
      </w:r>
      <w:r w:rsidR="006D36C8">
        <w:t xml:space="preserve">in the product </w:t>
      </w:r>
      <w:r w:rsidR="0063456D">
        <w:t>Accede Plant Growth Regulator</w:t>
      </w:r>
    </w:p>
    <w:p w14:paraId="522BA979" w14:textId="095F16A9" w:rsidR="006D36C8" w:rsidRDefault="006D36C8" w:rsidP="00193533">
      <w:pPr>
        <w:pStyle w:val="APVMACoverSubtitle"/>
        <w:jc w:val="center"/>
      </w:pPr>
      <w:r>
        <w:t xml:space="preserve">APVMA product number </w:t>
      </w:r>
      <w:r w:rsidR="0063456D">
        <w:t>94490</w:t>
      </w:r>
    </w:p>
    <w:p w14:paraId="69337BD1" w14:textId="3523B48F" w:rsidR="00193533" w:rsidRPr="00E41FED" w:rsidRDefault="00F7230A" w:rsidP="007F6D92">
      <w:pPr>
        <w:pStyle w:val="APVMACoverSubtitle"/>
        <w:jc w:val="center"/>
        <w:sectPr w:rsidR="00193533" w:rsidRPr="00E41FED" w:rsidSect="008C5C0D">
          <w:headerReference w:type="first" r:id="rId11"/>
          <w:footerReference w:type="first" r:id="rId12"/>
          <w:pgSz w:w="11906" w:h="16838" w:code="9"/>
          <w:pgMar w:top="2127" w:right="1134" w:bottom="1134" w:left="1134" w:header="1701" w:footer="450" w:gutter="0"/>
          <w:pgNumType w:fmt="lowerRoman"/>
          <w:cols w:space="708"/>
          <w:docGrid w:linePitch="360"/>
        </w:sectPr>
      </w:pPr>
      <w:r>
        <w:t>March</w:t>
      </w:r>
      <w:r w:rsidR="0063456D">
        <w:t xml:space="preserve"> 202</w:t>
      </w:r>
      <w:r>
        <w:t>6</w:t>
      </w:r>
    </w:p>
    <w:p w14:paraId="7721F955" w14:textId="0706B9FF" w:rsidR="00862E63" w:rsidRPr="005C0ACC" w:rsidRDefault="00862E63" w:rsidP="00CA5B2B">
      <w:pPr>
        <w:pStyle w:val="Copyrightpage"/>
      </w:pPr>
      <w:r w:rsidRPr="005C0ACC">
        <w:lastRenderedPageBreak/>
        <w:t xml:space="preserve">© Australian Pesticides and Veterinary Medicines Authority </w:t>
      </w:r>
      <w:r w:rsidR="00D51E52" w:rsidRPr="00D51E52">
        <w:t>2026</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5" w:history="1">
        <w:r w:rsidRPr="008545E1">
          <w:rPr>
            <w:rStyle w:val="Hyperlink"/>
          </w:rPr>
          <w:t>summary of the licence terms</w:t>
        </w:r>
      </w:hyperlink>
      <w:r>
        <w:t xml:space="preserve"> and </w:t>
      </w:r>
      <w:hyperlink r:id="rId16"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77777777" w:rsidR="008366A3" w:rsidRPr="005C0ACC" w:rsidRDefault="008366A3" w:rsidP="00CA5B2B">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03B89D16" w14:textId="77777777" w:rsidR="00862E63" w:rsidRPr="005C0ACC" w:rsidRDefault="00862E63" w:rsidP="00CA5B2B">
      <w:pPr>
        <w:pStyle w:val="Copyrightpage"/>
        <w:rPr>
          <w:b/>
          <w:bCs/>
        </w:rPr>
      </w:pPr>
      <w:r w:rsidRPr="005C0ACC">
        <w:rPr>
          <w:b/>
          <w:bCs/>
        </w:rPr>
        <w:t>Use of the Coat of Arms</w:t>
      </w:r>
    </w:p>
    <w:p w14:paraId="5C6EFDD4" w14:textId="46CE5E68" w:rsidR="001F5D05" w:rsidRDefault="001F5D05" w:rsidP="00CA5B2B">
      <w:pPr>
        <w:pStyle w:val="Copyrightpage"/>
      </w:pPr>
      <w:r w:rsidRPr="005C0ACC">
        <w:t xml:space="preserve">The terms under which the Coat of Arms can be used are set out on the </w:t>
      </w:r>
      <w:hyperlink r:id="rId17"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7777777" w:rsidR="00862E63" w:rsidRPr="009A7614" w:rsidRDefault="00862E63" w:rsidP="00CA5B2B">
      <w:pPr>
        <w:pStyle w:val="Copyrightpage"/>
      </w:pPr>
      <w:r w:rsidRPr="005C0ACC">
        <w:t xml:space="preserve">The material in or linking from this report may contain the views or recommendations of third parties. Third party material does not necessarily reflect the views of the </w:t>
      </w:r>
      <w:proofErr w:type="gramStart"/>
      <w:r w:rsidRPr="005C0ACC">
        <w:t>APVMA, or</w:t>
      </w:r>
      <w:proofErr w:type="gramEnd"/>
      <w:r w:rsidRPr="005C0ACC">
        <w:t xml:space="preserve">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36A2360E"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AA5A11" w:rsidRPr="00AA5A11">
        <w:t>GPO Box 574</w:t>
      </w:r>
      <w:r w:rsidR="00AA5A11">
        <w:br/>
      </w:r>
      <w:r w:rsidR="00AA5A11" w:rsidRPr="00AA5A11">
        <w:t>Canberra ACT 2601, Australia</w:t>
      </w:r>
    </w:p>
    <w:p w14:paraId="3BFC4D2F" w14:textId="68D3E279" w:rsidR="00862E63" w:rsidRPr="005C0ACC" w:rsidRDefault="006110AE" w:rsidP="00CA5B2B">
      <w:pPr>
        <w:pStyle w:val="Copyrightpage"/>
        <w:rPr>
          <w:color w:val="0000FF"/>
          <w:u w:val="single"/>
        </w:rPr>
      </w:pPr>
      <w:r>
        <w:t xml:space="preserve">Telephone: +61 2 </w:t>
      </w:r>
      <w:r w:rsidR="001F5D05">
        <w:t>6770 2300</w:t>
      </w:r>
      <w:r w:rsidR="00D21782">
        <w:br/>
      </w:r>
      <w:r w:rsidR="00862E63" w:rsidRPr="005C0ACC">
        <w:t xml:space="preserve">Email: </w:t>
      </w:r>
      <w:hyperlink r:id="rId18" w:history="1">
        <w:r w:rsidR="00862E63" w:rsidRPr="005C0ACC">
          <w:rPr>
            <w:color w:val="0000FF"/>
            <w:u w:val="single"/>
          </w:rPr>
          <w:t>communications@apvma.gov.au</w:t>
        </w:r>
      </w:hyperlink>
      <w:r w:rsidR="00862E63">
        <w:rPr>
          <w:color w:val="0000FF"/>
          <w:u w:val="single"/>
        </w:rPr>
        <w:t>.</w:t>
      </w:r>
    </w:p>
    <w:p w14:paraId="358F530D" w14:textId="48F05AB2" w:rsidR="002E20AC" w:rsidRPr="007F6D92" w:rsidRDefault="00862E63" w:rsidP="00CA5B2B">
      <w:pPr>
        <w:pStyle w:val="Copyrightpage"/>
        <w:sectPr w:rsidR="002E20AC" w:rsidRPr="007F6D92" w:rsidSect="008C5C0D">
          <w:headerReference w:type="even" r:id="rId19"/>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20" w:history="1">
        <w:r w:rsidR="00AA68EC" w:rsidRPr="00AA68EC">
          <w:rPr>
            <w:rStyle w:val="Hyperlink"/>
          </w:rPr>
          <w:t>APVMA website</w:t>
        </w:r>
      </w:hyperlink>
      <w:r w:rsidRPr="005C0ACC">
        <w:t>.</w:t>
      </w:r>
      <w:bookmarkEnd w:id="0"/>
    </w:p>
    <w:p w14:paraId="5671F7D5" w14:textId="77777777" w:rsidR="000D124E" w:rsidRDefault="002E20AC" w:rsidP="00CA5B2B">
      <w:pPr>
        <w:pStyle w:val="ToCH1"/>
        <w:rPr>
          <w:rFonts w:ascii="Trebuchet MS" w:hAnsi="Trebuchet MS"/>
          <w:caps/>
          <w:noProof/>
          <w:sz w:val="19"/>
          <w:szCs w:val="30"/>
        </w:rPr>
      </w:pPr>
      <w:r>
        <w:lastRenderedPageBreak/>
        <w:t>Contents</w:t>
      </w:r>
    </w:p>
    <w:p w14:paraId="329BD594" w14:textId="60BA9AC9" w:rsidR="00CD4C9F" w:rsidRDefault="000D124E">
      <w:pPr>
        <w:pStyle w:val="TOC1"/>
        <w:rPr>
          <w:rFonts w:asciiTheme="minorHAnsi" w:eastAsiaTheme="minorEastAsia" w:hAnsiTheme="minorHAnsi" w:cstheme="minorBidi"/>
          <w:bCs w:val="0"/>
          <w:color w:val="auto"/>
          <w:kern w:val="2"/>
          <w:sz w:val="24"/>
          <w:szCs w:val="24"/>
          <w:lang w:eastAsia="en-AU"/>
          <w14:ligatures w14:val="standardContextual"/>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228527272" w:history="1">
        <w:r w:rsidR="00CD4C9F" w:rsidRPr="001F30F5">
          <w:rPr>
            <w:rStyle w:val="Hyperlink"/>
          </w:rPr>
          <w:t>Preface</w:t>
        </w:r>
        <w:r w:rsidR="00CD4C9F">
          <w:rPr>
            <w:webHidden/>
          </w:rPr>
          <w:tab/>
        </w:r>
        <w:r w:rsidR="00CD4C9F">
          <w:rPr>
            <w:webHidden/>
          </w:rPr>
          <w:fldChar w:fldCharType="begin"/>
        </w:r>
        <w:r w:rsidR="00CD4C9F">
          <w:rPr>
            <w:webHidden/>
          </w:rPr>
          <w:instrText xml:space="preserve"> PAGEREF _Toc228527272 \h </w:instrText>
        </w:r>
        <w:r w:rsidR="00CD4C9F">
          <w:rPr>
            <w:webHidden/>
          </w:rPr>
        </w:r>
        <w:r w:rsidR="00CD4C9F">
          <w:rPr>
            <w:webHidden/>
          </w:rPr>
          <w:fldChar w:fldCharType="separate"/>
        </w:r>
        <w:r w:rsidR="00CD4C9F">
          <w:rPr>
            <w:webHidden/>
          </w:rPr>
          <w:t>1</w:t>
        </w:r>
        <w:r w:rsidR="00CD4C9F">
          <w:rPr>
            <w:webHidden/>
          </w:rPr>
          <w:fldChar w:fldCharType="end"/>
        </w:r>
      </w:hyperlink>
    </w:p>
    <w:p w14:paraId="1F5D50A1" w14:textId="7A5B22B9"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73" w:history="1">
        <w:r w:rsidRPr="001F30F5">
          <w:rPr>
            <w:rStyle w:val="Hyperlink"/>
          </w:rPr>
          <w:t>About this document</w:t>
        </w:r>
        <w:r>
          <w:rPr>
            <w:webHidden/>
          </w:rPr>
          <w:tab/>
        </w:r>
        <w:r>
          <w:rPr>
            <w:webHidden/>
          </w:rPr>
          <w:fldChar w:fldCharType="begin"/>
        </w:r>
        <w:r>
          <w:rPr>
            <w:webHidden/>
          </w:rPr>
          <w:instrText xml:space="preserve"> PAGEREF _Toc228527273 \h </w:instrText>
        </w:r>
        <w:r>
          <w:rPr>
            <w:webHidden/>
          </w:rPr>
        </w:r>
        <w:r>
          <w:rPr>
            <w:webHidden/>
          </w:rPr>
          <w:fldChar w:fldCharType="separate"/>
        </w:r>
        <w:r>
          <w:rPr>
            <w:webHidden/>
          </w:rPr>
          <w:t>1</w:t>
        </w:r>
        <w:r>
          <w:rPr>
            <w:webHidden/>
          </w:rPr>
          <w:fldChar w:fldCharType="end"/>
        </w:r>
      </w:hyperlink>
    </w:p>
    <w:p w14:paraId="59EAFD5D" w14:textId="3C4A71CA"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74" w:history="1">
        <w:r w:rsidRPr="001F30F5">
          <w:rPr>
            <w:rStyle w:val="Hyperlink"/>
          </w:rPr>
          <w:t>Making a submission</w:t>
        </w:r>
        <w:r>
          <w:rPr>
            <w:webHidden/>
          </w:rPr>
          <w:tab/>
        </w:r>
        <w:r>
          <w:rPr>
            <w:webHidden/>
          </w:rPr>
          <w:fldChar w:fldCharType="begin"/>
        </w:r>
        <w:r>
          <w:rPr>
            <w:webHidden/>
          </w:rPr>
          <w:instrText xml:space="preserve"> PAGEREF _Toc228527274 \h </w:instrText>
        </w:r>
        <w:r>
          <w:rPr>
            <w:webHidden/>
          </w:rPr>
        </w:r>
        <w:r>
          <w:rPr>
            <w:webHidden/>
          </w:rPr>
          <w:fldChar w:fldCharType="separate"/>
        </w:r>
        <w:r>
          <w:rPr>
            <w:webHidden/>
          </w:rPr>
          <w:t>1</w:t>
        </w:r>
        <w:r>
          <w:rPr>
            <w:webHidden/>
          </w:rPr>
          <w:fldChar w:fldCharType="end"/>
        </w:r>
      </w:hyperlink>
    </w:p>
    <w:p w14:paraId="2706C090" w14:textId="78E09368"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75" w:history="1">
        <w:r w:rsidRPr="001F30F5">
          <w:rPr>
            <w:rStyle w:val="Hyperlink"/>
          </w:rPr>
          <w:t>Further information</w:t>
        </w:r>
        <w:r>
          <w:rPr>
            <w:webHidden/>
          </w:rPr>
          <w:tab/>
        </w:r>
        <w:r>
          <w:rPr>
            <w:webHidden/>
          </w:rPr>
          <w:fldChar w:fldCharType="begin"/>
        </w:r>
        <w:r>
          <w:rPr>
            <w:webHidden/>
          </w:rPr>
          <w:instrText xml:space="preserve"> PAGEREF _Toc228527275 \h </w:instrText>
        </w:r>
        <w:r>
          <w:rPr>
            <w:webHidden/>
          </w:rPr>
        </w:r>
        <w:r>
          <w:rPr>
            <w:webHidden/>
          </w:rPr>
          <w:fldChar w:fldCharType="separate"/>
        </w:r>
        <w:r>
          <w:rPr>
            <w:webHidden/>
          </w:rPr>
          <w:t>2</w:t>
        </w:r>
        <w:r>
          <w:rPr>
            <w:webHidden/>
          </w:rPr>
          <w:fldChar w:fldCharType="end"/>
        </w:r>
      </w:hyperlink>
    </w:p>
    <w:p w14:paraId="49161DBE" w14:textId="11542657" w:rsidR="00CD4C9F" w:rsidRDefault="00CD4C9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8527276" w:history="1">
        <w:r w:rsidRPr="001F30F5">
          <w:rPr>
            <w:rStyle w:val="Hyperlink"/>
          </w:rPr>
          <w:t>Introduction</w:t>
        </w:r>
        <w:r>
          <w:rPr>
            <w:webHidden/>
          </w:rPr>
          <w:tab/>
        </w:r>
        <w:r>
          <w:rPr>
            <w:webHidden/>
          </w:rPr>
          <w:fldChar w:fldCharType="begin"/>
        </w:r>
        <w:r>
          <w:rPr>
            <w:webHidden/>
          </w:rPr>
          <w:instrText xml:space="preserve"> PAGEREF _Toc228527276 \h </w:instrText>
        </w:r>
        <w:r>
          <w:rPr>
            <w:webHidden/>
          </w:rPr>
        </w:r>
        <w:r>
          <w:rPr>
            <w:webHidden/>
          </w:rPr>
          <w:fldChar w:fldCharType="separate"/>
        </w:r>
        <w:r>
          <w:rPr>
            <w:webHidden/>
          </w:rPr>
          <w:t>3</w:t>
        </w:r>
        <w:r>
          <w:rPr>
            <w:webHidden/>
          </w:rPr>
          <w:fldChar w:fldCharType="end"/>
        </w:r>
      </w:hyperlink>
    </w:p>
    <w:p w14:paraId="707FDC29" w14:textId="598C2254"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77" w:history="1">
        <w:r w:rsidRPr="001F30F5">
          <w:rPr>
            <w:rStyle w:val="Hyperlink"/>
          </w:rPr>
          <w:t>Applicant</w:t>
        </w:r>
        <w:r>
          <w:rPr>
            <w:webHidden/>
          </w:rPr>
          <w:tab/>
        </w:r>
        <w:r>
          <w:rPr>
            <w:webHidden/>
          </w:rPr>
          <w:fldChar w:fldCharType="begin"/>
        </w:r>
        <w:r>
          <w:rPr>
            <w:webHidden/>
          </w:rPr>
          <w:instrText xml:space="preserve"> PAGEREF _Toc228527277 \h </w:instrText>
        </w:r>
        <w:r>
          <w:rPr>
            <w:webHidden/>
          </w:rPr>
        </w:r>
        <w:r>
          <w:rPr>
            <w:webHidden/>
          </w:rPr>
          <w:fldChar w:fldCharType="separate"/>
        </w:r>
        <w:r>
          <w:rPr>
            <w:webHidden/>
          </w:rPr>
          <w:t>3</w:t>
        </w:r>
        <w:r>
          <w:rPr>
            <w:webHidden/>
          </w:rPr>
          <w:fldChar w:fldCharType="end"/>
        </w:r>
      </w:hyperlink>
    </w:p>
    <w:p w14:paraId="742DFE70" w14:textId="5BF93827"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78" w:history="1">
        <w:r w:rsidRPr="001F30F5">
          <w:rPr>
            <w:rStyle w:val="Hyperlink"/>
          </w:rPr>
          <w:t>Purpose of application</w:t>
        </w:r>
        <w:r>
          <w:rPr>
            <w:webHidden/>
          </w:rPr>
          <w:tab/>
        </w:r>
        <w:r>
          <w:rPr>
            <w:webHidden/>
          </w:rPr>
          <w:fldChar w:fldCharType="begin"/>
        </w:r>
        <w:r>
          <w:rPr>
            <w:webHidden/>
          </w:rPr>
          <w:instrText xml:space="preserve"> PAGEREF _Toc228527278 \h </w:instrText>
        </w:r>
        <w:r>
          <w:rPr>
            <w:webHidden/>
          </w:rPr>
        </w:r>
        <w:r>
          <w:rPr>
            <w:webHidden/>
          </w:rPr>
          <w:fldChar w:fldCharType="separate"/>
        </w:r>
        <w:r>
          <w:rPr>
            <w:webHidden/>
          </w:rPr>
          <w:t>3</w:t>
        </w:r>
        <w:r>
          <w:rPr>
            <w:webHidden/>
          </w:rPr>
          <w:fldChar w:fldCharType="end"/>
        </w:r>
      </w:hyperlink>
    </w:p>
    <w:p w14:paraId="2386FE1C" w14:textId="3545B505"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79" w:history="1">
        <w:r w:rsidRPr="001F30F5">
          <w:rPr>
            <w:rStyle w:val="Hyperlink"/>
          </w:rPr>
          <w:t>Proposed claims and use pattern</w:t>
        </w:r>
        <w:r>
          <w:rPr>
            <w:webHidden/>
          </w:rPr>
          <w:tab/>
        </w:r>
        <w:r>
          <w:rPr>
            <w:webHidden/>
          </w:rPr>
          <w:fldChar w:fldCharType="begin"/>
        </w:r>
        <w:r>
          <w:rPr>
            <w:webHidden/>
          </w:rPr>
          <w:instrText xml:space="preserve"> PAGEREF _Toc228527279 \h </w:instrText>
        </w:r>
        <w:r>
          <w:rPr>
            <w:webHidden/>
          </w:rPr>
        </w:r>
        <w:r>
          <w:rPr>
            <w:webHidden/>
          </w:rPr>
          <w:fldChar w:fldCharType="separate"/>
        </w:r>
        <w:r>
          <w:rPr>
            <w:webHidden/>
          </w:rPr>
          <w:t>3</w:t>
        </w:r>
        <w:r>
          <w:rPr>
            <w:webHidden/>
          </w:rPr>
          <w:fldChar w:fldCharType="end"/>
        </w:r>
      </w:hyperlink>
    </w:p>
    <w:p w14:paraId="0CCF2F8C" w14:textId="467CA67C"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80" w:history="1">
        <w:r w:rsidRPr="001F30F5">
          <w:rPr>
            <w:rStyle w:val="Hyperlink"/>
          </w:rPr>
          <w:t>Mode of action</w:t>
        </w:r>
        <w:r>
          <w:rPr>
            <w:webHidden/>
          </w:rPr>
          <w:tab/>
        </w:r>
        <w:r>
          <w:rPr>
            <w:webHidden/>
          </w:rPr>
          <w:fldChar w:fldCharType="begin"/>
        </w:r>
        <w:r>
          <w:rPr>
            <w:webHidden/>
          </w:rPr>
          <w:instrText xml:space="preserve"> PAGEREF _Toc228527280 \h </w:instrText>
        </w:r>
        <w:r>
          <w:rPr>
            <w:webHidden/>
          </w:rPr>
        </w:r>
        <w:r>
          <w:rPr>
            <w:webHidden/>
          </w:rPr>
          <w:fldChar w:fldCharType="separate"/>
        </w:r>
        <w:r>
          <w:rPr>
            <w:webHidden/>
          </w:rPr>
          <w:t>3</w:t>
        </w:r>
        <w:r>
          <w:rPr>
            <w:webHidden/>
          </w:rPr>
          <w:fldChar w:fldCharType="end"/>
        </w:r>
      </w:hyperlink>
    </w:p>
    <w:p w14:paraId="035FCA41" w14:textId="5A2EAD0E" w:rsidR="00CD4C9F" w:rsidRDefault="00CD4C9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8527281" w:history="1">
        <w:r w:rsidRPr="001F30F5">
          <w:rPr>
            <w:rStyle w:val="Hyperlink"/>
          </w:rPr>
          <w:t>Chemistry and manufacture</w:t>
        </w:r>
        <w:r>
          <w:rPr>
            <w:webHidden/>
          </w:rPr>
          <w:tab/>
        </w:r>
        <w:r>
          <w:rPr>
            <w:webHidden/>
          </w:rPr>
          <w:fldChar w:fldCharType="begin"/>
        </w:r>
        <w:r>
          <w:rPr>
            <w:webHidden/>
          </w:rPr>
          <w:instrText xml:space="preserve"> PAGEREF _Toc228527281 \h </w:instrText>
        </w:r>
        <w:r>
          <w:rPr>
            <w:webHidden/>
          </w:rPr>
        </w:r>
        <w:r>
          <w:rPr>
            <w:webHidden/>
          </w:rPr>
          <w:fldChar w:fldCharType="separate"/>
        </w:r>
        <w:r>
          <w:rPr>
            <w:webHidden/>
          </w:rPr>
          <w:t>4</w:t>
        </w:r>
        <w:r>
          <w:rPr>
            <w:webHidden/>
          </w:rPr>
          <w:fldChar w:fldCharType="end"/>
        </w:r>
      </w:hyperlink>
    </w:p>
    <w:p w14:paraId="0CDEE287" w14:textId="01A95517"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82" w:history="1">
        <w:r w:rsidRPr="001F30F5">
          <w:rPr>
            <w:rStyle w:val="Hyperlink"/>
          </w:rPr>
          <w:t>Active constituent</w:t>
        </w:r>
        <w:r>
          <w:rPr>
            <w:webHidden/>
          </w:rPr>
          <w:tab/>
        </w:r>
        <w:r>
          <w:rPr>
            <w:webHidden/>
          </w:rPr>
          <w:fldChar w:fldCharType="begin"/>
        </w:r>
        <w:r>
          <w:rPr>
            <w:webHidden/>
          </w:rPr>
          <w:instrText xml:space="preserve"> PAGEREF _Toc228527282 \h </w:instrText>
        </w:r>
        <w:r>
          <w:rPr>
            <w:webHidden/>
          </w:rPr>
        </w:r>
        <w:r>
          <w:rPr>
            <w:webHidden/>
          </w:rPr>
          <w:fldChar w:fldCharType="separate"/>
        </w:r>
        <w:r>
          <w:rPr>
            <w:webHidden/>
          </w:rPr>
          <w:t>4</w:t>
        </w:r>
        <w:r>
          <w:rPr>
            <w:webHidden/>
          </w:rPr>
          <w:fldChar w:fldCharType="end"/>
        </w:r>
      </w:hyperlink>
    </w:p>
    <w:p w14:paraId="5DA51062" w14:textId="105720E9"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83" w:history="1">
        <w:r w:rsidRPr="001F30F5">
          <w:rPr>
            <w:rStyle w:val="Hyperlink"/>
          </w:rPr>
          <w:t>Formulated product</w:t>
        </w:r>
        <w:r>
          <w:rPr>
            <w:webHidden/>
          </w:rPr>
          <w:tab/>
        </w:r>
        <w:r>
          <w:rPr>
            <w:webHidden/>
          </w:rPr>
          <w:fldChar w:fldCharType="begin"/>
        </w:r>
        <w:r>
          <w:rPr>
            <w:webHidden/>
          </w:rPr>
          <w:instrText xml:space="preserve"> PAGEREF _Toc228527283 \h </w:instrText>
        </w:r>
        <w:r>
          <w:rPr>
            <w:webHidden/>
          </w:rPr>
        </w:r>
        <w:r>
          <w:rPr>
            <w:webHidden/>
          </w:rPr>
          <w:fldChar w:fldCharType="separate"/>
        </w:r>
        <w:r>
          <w:rPr>
            <w:webHidden/>
          </w:rPr>
          <w:t>6</w:t>
        </w:r>
        <w:r>
          <w:rPr>
            <w:webHidden/>
          </w:rPr>
          <w:fldChar w:fldCharType="end"/>
        </w:r>
      </w:hyperlink>
    </w:p>
    <w:p w14:paraId="20727A69" w14:textId="16639FB5"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84" w:history="1">
        <w:r w:rsidRPr="001F30F5">
          <w:rPr>
            <w:rStyle w:val="Hyperlink"/>
          </w:rPr>
          <w:t>Recommendations</w:t>
        </w:r>
        <w:r>
          <w:rPr>
            <w:webHidden/>
          </w:rPr>
          <w:tab/>
        </w:r>
        <w:r>
          <w:rPr>
            <w:webHidden/>
          </w:rPr>
          <w:fldChar w:fldCharType="begin"/>
        </w:r>
        <w:r>
          <w:rPr>
            <w:webHidden/>
          </w:rPr>
          <w:instrText xml:space="preserve"> PAGEREF _Toc228527284 \h </w:instrText>
        </w:r>
        <w:r>
          <w:rPr>
            <w:webHidden/>
          </w:rPr>
        </w:r>
        <w:r>
          <w:rPr>
            <w:webHidden/>
          </w:rPr>
          <w:fldChar w:fldCharType="separate"/>
        </w:r>
        <w:r>
          <w:rPr>
            <w:webHidden/>
          </w:rPr>
          <w:t>7</w:t>
        </w:r>
        <w:r>
          <w:rPr>
            <w:webHidden/>
          </w:rPr>
          <w:fldChar w:fldCharType="end"/>
        </w:r>
      </w:hyperlink>
    </w:p>
    <w:p w14:paraId="62CEDCD1" w14:textId="27907808" w:rsidR="00CD4C9F" w:rsidRDefault="00CD4C9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8527285" w:history="1">
        <w:r w:rsidRPr="001F30F5">
          <w:rPr>
            <w:rStyle w:val="Hyperlink"/>
          </w:rPr>
          <w:t>Toxicological assessment</w:t>
        </w:r>
        <w:r>
          <w:rPr>
            <w:webHidden/>
          </w:rPr>
          <w:tab/>
        </w:r>
        <w:r>
          <w:rPr>
            <w:webHidden/>
          </w:rPr>
          <w:fldChar w:fldCharType="begin"/>
        </w:r>
        <w:r>
          <w:rPr>
            <w:webHidden/>
          </w:rPr>
          <w:instrText xml:space="preserve"> PAGEREF _Toc228527285 \h </w:instrText>
        </w:r>
        <w:r>
          <w:rPr>
            <w:webHidden/>
          </w:rPr>
        </w:r>
        <w:r>
          <w:rPr>
            <w:webHidden/>
          </w:rPr>
          <w:fldChar w:fldCharType="separate"/>
        </w:r>
        <w:r>
          <w:rPr>
            <w:webHidden/>
          </w:rPr>
          <w:t>8</w:t>
        </w:r>
        <w:r>
          <w:rPr>
            <w:webHidden/>
          </w:rPr>
          <w:fldChar w:fldCharType="end"/>
        </w:r>
      </w:hyperlink>
    </w:p>
    <w:p w14:paraId="34FA337D" w14:textId="456B4C8F"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86" w:history="1">
        <w:r w:rsidRPr="001F30F5">
          <w:rPr>
            <w:rStyle w:val="Hyperlink"/>
          </w:rPr>
          <w:t>Evaluation of toxicology</w:t>
        </w:r>
        <w:r>
          <w:rPr>
            <w:webHidden/>
          </w:rPr>
          <w:tab/>
        </w:r>
        <w:r>
          <w:rPr>
            <w:webHidden/>
          </w:rPr>
          <w:fldChar w:fldCharType="begin"/>
        </w:r>
        <w:r>
          <w:rPr>
            <w:webHidden/>
          </w:rPr>
          <w:instrText xml:space="preserve"> PAGEREF _Toc228527286 \h </w:instrText>
        </w:r>
        <w:r>
          <w:rPr>
            <w:webHidden/>
          </w:rPr>
        </w:r>
        <w:r>
          <w:rPr>
            <w:webHidden/>
          </w:rPr>
          <w:fldChar w:fldCharType="separate"/>
        </w:r>
        <w:r>
          <w:rPr>
            <w:webHidden/>
          </w:rPr>
          <w:t>8</w:t>
        </w:r>
        <w:r>
          <w:rPr>
            <w:webHidden/>
          </w:rPr>
          <w:fldChar w:fldCharType="end"/>
        </w:r>
      </w:hyperlink>
    </w:p>
    <w:p w14:paraId="7D961C05" w14:textId="7AC57F91"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87" w:history="1">
        <w:r w:rsidRPr="001F30F5">
          <w:rPr>
            <w:rStyle w:val="Hyperlink"/>
          </w:rPr>
          <w:t>Health-based guidance values and poisons scheduling</w:t>
        </w:r>
        <w:r>
          <w:rPr>
            <w:webHidden/>
          </w:rPr>
          <w:tab/>
        </w:r>
        <w:r>
          <w:rPr>
            <w:webHidden/>
          </w:rPr>
          <w:fldChar w:fldCharType="begin"/>
        </w:r>
        <w:r>
          <w:rPr>
            <w:webHidden/>
          </w:rPr>
          <w:instrText xml:space="preserve"> PAGEREF _Toc228527287 \h </w:instrText>
        </w:r>
        <w:r>
          <w:rPr>
            <w:webHidden/>
          </w:rPr>
        </w:r>
        <w:r>
          <w:rPr>
            <w:webHidden/>
          </w:rPr>
          <w:fldChar w:fldCharType="separate"/>
        </w:r>
        <w:r>
          <w:rPr>
            <w:webHidden/>
          </w:rPr>
          <w:t>10</w:t>
        </w:r>
        <w:r>
          <w:rPr>
            <w:webHidden/>
          </w:rPr>
          <w:fldChar w:fldCharType="end"/>
        </w:r>
      </w:hyperlink>
    </w:p>
    <w:p w14:paraId="02BDF550" w14:textId="12FC9555"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88" w:history="1">
        <w:r w:rsidRPr="001F30F5">
          <w:rPr>
            <w:rStyle w:val="Hyperlink"/>
          </w:rPr>
          <w:t>Recommendations</w:t>
        </w:r>
        <w:r>
          <w:rPr>
            <w:webHidden/>
          </w:rPr>
          <w:tab/>
        </w:r>
        <w:r>
          <w:rPr>
            <w:webHidden/>
          </w:rPr>
          <w:fldChar w:fldCharType="begin"/>
        </w:r>
        <w:r>
          <w:rPr>
            <w:webHidden/>
          </w:rPr>
          <w:instrText xml:space="preserve"> PAGEREF _Toc228527288 \h </w:instrText>
        </w:r>
        <w:r>
          <w:rPr>
            <w:webHidden/>
          </w:rPr>
        </w:r>
        <w:r>
          <w:rPr>
            <w:webHidden/>
          </w:rPr>
          <w:fldChar w:fldCharType="separate"/>
        </w:r>
        <w:r>
          <w:rPr>
            <w:webHidden/>
          </w:rPr>
          <w:t>11</w:t>
        </w:r>
        <w:r>
          <w:rPr>
            <w:webHidden/>
          </w:rPr>
          <w:fldChar w:fldCharType="end"/>
        </w:r>
      </w:hyperlink>
    </w:p>
    <w:p w14:paraId="4C78BD87" w14:textId="4A5ADE6D" w:rsidR="00CD4C9F" w:rsidRDefault="00CD4C9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8527289" w:history="1">
        <w:r w:rsidRPr="001F30F5">
          <w:rPr>
            <w:rStyle w:val="Hyperlink"/>
            <w:lang w:val="en-GB"/>
          </w:rPr>
          <w:t>Residues assessment</w:t>
        </w:r>
        <w:r>
          <w:rPr>
            <w:webHidden/>
          </w:rPr>
          <w:tab/>
        </w:r>
        <w:r>
          <w:rPr>
            <w:webHidden/>
          </w:rPr>
          <w:fldChar w:fldCharType="begin"/>
        </w:r>
        <w:r>
          <w:rPr>
            <w:webHidden/>
          </w:rPr>
          <w:instrText xml:space="preserve"> PAGEREF _Toc228527289 \h </w:instrText>
        </w:r>
        <w:r>
          <w:rPr>
            <w:webHidden/>
          </w:rPr>
        </w:r>
        <w:r>
          <w:rPr>
            <w:webHidden/>
          </w:rPr>
          <w:fldChar w:fldCharType="separate"/>
        </w:r>
        <w:r>
          <w:rPr>
            <w:webHidden/>
          </w:rPr>
          <w:t>12</w:t>
        </w:r>
        <w:r>
          <w:rPr>
            <w:webHidden/>
          </w:rPr>
          <w:fldChar w:fldCharType="end"/>
        </w:r>
      </w:hyperlink>
    </w:p>
    <w:p w14:paraId="4F0BB81D" w14:textId="6101919A"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90" w:history="1">
        <w:r w:rsidRPr="001F30F5">
          <w:rPr>
            <w:rStyle w:val="Hyperlink"/>
            <w:lang w:val="en-GB"/>
          </w:rPr>
          <w:t>Metabolism</w:t>
        </w:r>
        <w:r>
          <w:rPr>
            <w:webHidden/>
          </w:rPr>
          <w:tab/>
        </w:r>
        <w:r>
          <w:rPr>
            <w:webHidden/>
          </w:rPr>
          <w:fldChar w:fldCharType="begin"/>
        </w:r>
        <w:r>
          <w:rPr>
            <w:webHidden/>
          </w:rPr>
          <w:instrText xml:space="preserve"> PAGEREF _Toc228527290 \h </w:instrText>
        </w:r>
        <w:r>
          <w:rPr>
            <w:webHidden/>
          </w:rPr>
        </w:r>
        <w:r>
          <w:rPr>
            <w:webHidden/>
          </w:rPr>
          <w:fldChar w:fldCharType="separate"/>
        </w:r>
        <w:r>
          <w:rPr>
            <w:webHidden/>
          </w:rPr>
          <w:t>12</w:t>
        </w:r>
        <w:r>
          <w:rPr>
            <w:webHidden/>
          </w:rPr>
          <w:fldChar w:fldCharType="end"/>
        </w:r>
      </w:hyperlink>
    </w:p>
    <w:p w14:paraId="0FA319BD" w14:textId="505A03E9"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91" w:history="1">
        <w:r w:rsidRPr="001F30F5">
          <w:rPr>
            <w:rStyle w:val="Hyperlink"/>
            <w:lang w:val="en-GB"/>
          </w:rPr>
          <w:t>Analytical methods and storage stability</w:t>
        </w:r>
        <w:r>
          <w:rPr>
            <w:webHidden/>
          </w:rPr>
          <w:tab/>
        </w:r>
        <w:r>
          <w:rPr>
            <w:webHidden/>
          </w:rPr>
          <w:fldChar w:fldCharType="begin"/>
        </w:r>
        <w:r>
          <w:rPr>
            <w:webHidden/>
          </w:rPr>
          <w:instrText xml:space="preserve"> PAGEREF _Toc228527291 \h </w:instrText>
        </w:r>
        <w:r>
          <w:rPr>
            <w:webHidden/>
          </w:rPr>
        </w:r>
        <w:r>
          <w:rPr>
            <w:webHidden/>
          </w:rPr>
          <w:fldChar w:fldCharType="separate"/>
        </w:r>
        <w:r>
          <w:rPr>
            <w:webHidden/>
          </w:rPr>
          <w:t>12</w:t>
        </w:r>
        <w:r>
          <w:rPr>
            <w:webHidden/>
          </w:rPr>
          <w:fldChar w:fldCharType="end"/>
        </w:r>
      </w:hyperlink>
    </w:p>
    <w:p w14:paraId="7F1F1C08" w14:textId="5CE1D9C8"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92" w:history="1">
        <w:r w:rsidRPr="001F30F5">
          <w:rPr>
            <w:rStyle w:val="Hyperlink"/>
            <w:lang w:val="en-GB"/>
          </w:rPr>
          <w:t>Residue definition</w:t>
        </w:r>
        <w:r>
          <w:rPr>
            <w:webHidden/>
          </w:rPr>
          <w:tab/>
        </w:r>
        <w:r>
          <w:rPr>
            <w:webHidden/>
          </w:rPr>
          <w:fldChar w:fldCharType="begin"/>
        </w:r>
        <w:r>
          <w:rPr>
            <w:webHidden/>
          </w:rPr>
          <w:instrText xml:space="preserve"> PAGEREF _Toc228527292 \h </w:instrText>
        </w:r>
        <w:r>
          <w:rPr>
            <w:webHidden/>
          </w:rPr>
        </w:r>
        <w:r>
          <w:rPr>
            <w:webHidden/>
          </w:rPr>
          <w:fldChar w:fldCharType="separate"/>
        </w:r>
        <w:r>
          <w:rPr>
            <w:webHidden/>
          </w:rPr>
          <w:t>13</w:t>
        </w:r>
        <w:r>
          <w:rPr>
            <w:webHidden/>
          </w:rPr>
          <w:fldChar w:fldCharType="end"/>
        </w:r>
      </w:hyperlink>
    </w:p>
    <w:p w14:paraId="67835DD5" w14:textId="6AE610D1"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93" w:history="1">
        <w:r w:rsidRPr="001F30F5">
          <w:rPr>
            <w:rStyle w:val="Hyperlink"/>
            <w:lang w:val="en-GB"/>
          </w:rPr>
          <w:t>Residues in food and animal feeds</w:t>
        </w:r>
        <w:r>
          <w:rPr>
            <w:webHidden/>
          </w:rPr>
          <w:tab/>
        </w:r>
        <w:r>
          <w:rPr>
            <w:webHidden/>
          </w:rPr>
          <w:fldChar w:fldCharType="begin"/>
        </w:r>
        <w:r>
          <w:rPr>
            <w:webHidden/>
          </w:rPr>
          <w:instrText xml:space="preserve"> PAGEREF _Toc228527293 \h </w:instrText>
        </w:r>
        <w:r>
          <w:rPr>
            <w:webHidden/>
          </w:rPr>
        </w:r>
        <w:r>
          <w:rPr>
            <w:webHidden/>
          </w:rPr>
          <w:fldChar w:fldCharType="separate"/>
        </w:r>
        <w:r>
          <w:rPr>
            <w:webHidden/>
          </w:rPr>
          <w:t>13</w:t>
        </w:r>
        <w:r>
          <w:rPr>
            <w:webHidden/>
          </w:rPr>
          <w:fldChar w:fldCharType="end"/>
        </w:r>
      </w:hyperlink>
    </w:p>
    <w:p w14:paraId="35B3A931" w14:textId="45AAAAAB"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94" w:history="1">
        <w:r w:rsidRPr="001F30F5">
          <w:rPr>
            <w:rStyle w:val="Hyperlink"/>
            <w:lang w:val="en-GB"/>
          </w:rPr>
          <w:t>Crop rotation</w:t>
        </w:r>
        <w:r>
          <w:rPr>
            <w:webHidden/>
          </w:rPr>
          <w:tab/>
        </w:r>
        <w:r>
          <w:rPr>
            <w:webHidden/>
          </w:rPr>
          <w:fldChar w:fldCharType="begin"/>
        </w:r>
        <w:r>
          <w:rPr>
            <w:webHidden/>
          </w:rPr>
          <w:instrText xml:space="preserve"> PAGEREF _Toc228527294 \h </w:instrText>
        </w:r>
        <w:r>
          <w:rPr>
            <w:webHidden/>
          </w:rPr>
        </w:r>
        <w:r>
          <w:rPr>
            <w:webHidden/>
          </w:rPr>
          <w:fldChar w:fldCharType="separate"/>
        </w:r>
        <w:r>
          <w:rPr>
            <w:webHidden/>
          </w:rPr>
          <w:t>15</w:t>
        </w:r>
        <w:r>
          <w:rPr>
            <w:webHidden/>
          </w:rPr>
          <w:fldChar w:fldCharType="end"/>
        </w:r>
      </w:hyperlink>
    </w:p>
    <w:p w14:paraId="486E9D75" w14:textId="3621C3DC"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95" w:history="1">
        <w:r w:rsidRPr="001F30F5">
          <w:rPr>
            <w:rStyle w:val="Hyperlink"/>
            <w:lang w:val="en-GB"/>
          </w:rPr>
          <w:t>Residues in animal commodities</w:t>
        </w:r>
        <w:r>
          <w:rPr>
            <w:webHidden/>
          </w:rPr>
          <w:tab/>
        </w:r>
        <w:r>
          <w:rPr>
            <w:webHidden/>
          </w:rPr>
          <w:fldChar w:fldCharType="begin"/>
        </w:r>
        <w:r>
          <w:rPr>
            <w:webHidden/>
          </w:rPr>
          <w:instrText xml:space="preserve"> PAGEREF _Toc228527295 \h </w:instrText>
        </w:r>
        <w:r>
          <w:rPr>
            <w:webHidden/>
          </w:rPr>
        </w:r>
        <w:r>
          <w:rPr>
            <w:webHidden/>
          </w:rPr>
          <w:fldChar w:fldCharType="separate"/>
        </w:r>
        <w:r>
          <w:rPr>
            <w:webHidden/>
          </w:rPr>
          <w:t>15</w:t>
        </w:r>
        <w:r>
          <w:rPr>
            <w:webHidden/>
          </w:rPr>
          <w:fldChar w:fldCharType="end"/>
        </w:r>
      </w:hyperlink>
    </w:p>
    <w:p w14:paraId="569B777B" w14:textId="31487E48"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96" w:history="1">
        <w:r w:rsidRPr="001F30F5">
          <w:rPr>
            <w:rStyle w:val="Hyperlink"/>
            <w:lang w:val="en-GB"/>
          </w:rPr>
          <w:t>Dietary risk assessment</w:t>
        </w:r>
        <w:r>
          <w:rPr>
            <w:webHidden/>
          </w:rPr>
          <w:tab/>
        </w:r>
        <w:r>
          <w:rPr>
            <w:webHidden/>
          </w:rPr>
          <w:fldChar w:fldCharType="begin"/>
        </w:r>
        <w:r>
          <w:rPr>
            <w:webHidden/>
          </w:rPr>
          <w:instrText xml:space="preserve"> PAGEREF _Toc228527296 \h </w:instrText>
        </w:r>
        <w:r>
          <w:rPr>
            <w:webHidden/>
          </w:rPr>
        </w:r>
        <w:r>
          <w:rPr>
            <w:webHidden/>
          </w:rPr>
          <w:fldChar w:fldCharType="separate"/>
        </w:r>
        <w:r>
          <w:rPr>
            <w:webHidden/>
          </w:rPr>
          <w:t>15</w:t>
        </w:r>
        <w:r>
          <w:rPr>
            <w:webHidden/>
          </w:rPr>
          <w:fldChar w:fldCharType="end"/>
        </w:r>
      </w:hyperlink>
    </w:p>
    <w:p w14:paraId="25438BB1" w14:textId="2C905CF5"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297" w:history="1">
        <w:r w:rsidRPr="001F30F5">
          <w:rPr>
            <w:rStyle w:val="Hyperlink"/>
          </w:rPr>
          <w:t>Recommendations</w:t>
        </w:r>
        <w:r>
          <w:rPr>
            <w:webHidden/>
          </w:rPr>
          <w:tab/>
        </w:r>
        <w:r>
          <w:rPr>
            <w:webHidden/>
          </w:rPr>
          <w:fldChar w:fldCharType="begin"/>
        </w:r>
        <w:r>
          <w:rPr>
            <w:webHidden/>
          </w:rPr>
          <w:instrText xml:space="preserve"> PAGEREF _Toc228527297 \h </w:instrText>
        </w:r>
        <w:r>
          <w:rPr>
            <w:webHidden/>
          </w:rPr>
        </w:r>
        <w:r>
          <w:rPr>
            <w:webHidden/>
          </w:rPr>
          <w:fldChar w:fldCharType="separate"/>
        </w:r>
        <w:r>
          <w:rPr>
            <w:webHidden/>
          </w:rPr>
          <w:t>16</w:t>
        </w:r>
        <w:r>
          <w:rPr>
            <w:webHidden/>
          </w:rPr>
          <w:fldChar w:fldCharType="end"/>
        </w:r>
      </w:hyperlink>
    </w:p>
    <w:p w14:paraId="2B52CF42" w14:textId="0CBE9D0D" w:rsidR="00CD4C9F" w:rsidRDefault="00CD4C9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8527298" w:history="1">
        <w:r w:rsidRPr="001F30F5">
          <w:rPr>
            <w:rStyle w:val="Hyperlink"/>
          </w:rPr>
          <w:t>Assessment of overseas trade aspects of residues in food</w:t>
        </w:r>
        <w:r>
          <w:rPr>
            <w:webHidden/>
          </w:rPr>
          <w:tab/>
        </w:r>
        <w:r>
          <w:rPr>
            <w:webHidden/>
          </w:rPr>
          <w:fldChar w:fldCharType="begin"/>
        </w:r>
        <w:r>
          <w:rPr>
            <w:webHidden/>
          </w:rPr>
          <w:instrText xml:space="preserve"> PAGEREF _Toc228527298 \h </w:instrText>
        </w:r>
        <w:r>
          <w:rPr>
            <w:webHidden/>
          </w:rPr>
        </w:r>
        <w:r>
          <w:rPr>
            <w:webHidden/>
          </w:rPr>
          <w:fldChar w:fldCharType="separate"/>
        </w:r>
        <w:r>
          <w:rPr>
            <w:webHidden/>
          </w:rPr>
          <w:t>17</w:t>
        </w:r>
        <w:r>
          <w:rPr>
            <w:webHidden/>
          </w:rPr>
          <w:fldChar w:fldCharType="end"/>
        </w:r>
      </w:hyperlink>
    </w:p>
    <w:p w14:paraId="22E5D52B" w14:textId="791EBA65" w:rsidR="00CD4C9F" w:rsidRDefault="00CD4C9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8527299" w:history="1">
        <w:r w:rsidRPr="001F30F5">
          <w:rPr>
            <w:rStyle w:val="Hyperlink"/>
          </w:rPr>
          <w:t>Work health and safety assessment</w:t>
        </w:r>
        <w:r>
          <w:rPr>
            <w:webHidden/>
          </w:rPr>
          <w:tab/>
        </w:r>
        <w:r>
          <w:rPr>
            <w:webHidden/>
          </w:rPr>
          <w:fldChar w:fldCharType="begin"/>
        </w:r>
        <w:r>
          <w:rPr>
            <w:webHidden/>
          </w:rPr>
          <w:instrText xml:space="preserve"> PAGEREF _Toc228527299 \h </w:instrText>
        </w:r>
        <w:r>
          <w:rPr>
            <w:webHidden/>
          </w:rPr>
        </w:r>
        <w:r>
          <w:rPr>
            <w:webHidden/>
          </w:rPr>
          <w:fldChar w:fldCharType="separate"/>
        </w:r>
        <w:r>
          <w:rPr>
            <w:webHidden/>
          </w:rPr>
          <w:t>18</w:t>
        </w:r>
        <w:r>
          <w:rPr>
            <w:webHidden/>
          </w:rPr>
          <w:fldChar w:fldCharType="end"/>
        </w:r>
      </w:hyperlink>
    </w:p>
    <w:p w14:paraId="662FA351" w14:textId="317AD4A1"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00" w:history="1">
        <w:r w:rsidRPr="001F30F5">
          <w:rPr>
            <w:rStyle w:val="Hyperlink"/>
          </w:rPr>
          <w:t>Health hazards</w:t>
        </w:r>
        <w:r>
          <w:rPr>
            <w:webHidden/>
          </w:rPr>
          <w:tab/>
        </w:r>
        <w:r>
          <w:rPr>
            <w:webHidden/>
          </w:rPr>
          <w:fldChar w:fldCharType="begin"/>
        </w:r>
        <w:r>
          <w:rPr>
            <w:webHidden/>
          </w:rPr>
          <w:instrText xml:space="preserve"> PAGEREF _Toc228527300 \h </w:instrText>
        </w:r>
        <w:r>
          <w:rPr>
            <w:webHidden/>
          </w:rPr>
        </w:r>
        <w:r>
          <w:rPr>
            <w:webHidden/>
          </w:rPr>
          <w:fldChar w:fldCharType="separate"/>
        </w:r>
        <w:r>
          <w:rPr>
            <w:webHidden/>
          </w:rPr>
          <w:t>18</w:t>
        </w:r>
        <w:r>
          <w:rPr>
            <w:webHidden/>
          </w:rPr>
          <w:fldChar w:fldCharType="end"/>
        </w:r>
      </w:hyperlink>
    </w:p>
    <w:p w14:paraId="4C994C51" w14:textId="27AFD8AA"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01" w:history="1">
        <w:r w:rsidRPr="001F30F5">
          <w:rPr>
            <w:rStyle w:val="Hyperlink"/>
          </w:rPr>
          <w:t>Occupational exposure</w:t>
        </w:r>
        <w:r>
          <w:rPr>
            <w:webHidden/>
          </w:rPr>
          <w:tab/>
        </w:r>
        <w:r>
          <w:rPr>
            <w:webHidden/>
          </w:rPr>
          <w:fldChar w:fldCharType="begin"/>
        </w:r>
        <w:r>
          <w:rPr>
            <w:webHidden/>
          </w:rPr>
          <w:instrText xml:space="preserve"> PAGEREF _Toc228527301 \h </w:instrText>
        </w:r>
        <w:r>
          <w:rPr>
            <w:webHidden/>
          </w:rPr>
        </w:r>
        <w:r>
          <w:rPr>
            <w:webHidden/>
          </w:rPr>
          <w:fldChar w:fldCharType="separate"/>
        </w:r>
        <w:r>
          <w:rPr>
            <w:webHidden/>
          </w:rPr>
          <w:t>18</w:t>
        </w:r>
        <w:r>
          <w:rPr>
            <w:webHidden/>
          </w:rPr>
          <w:fldChar w:fldCharType="end"/>
        </w:r>
      </w:hyperlink>
    </w:p>
    <w:p w14:paraId="30119CDD" w14:textId="4A2172D1"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02" w:history="1">
        <w:r w:rsidRPr="001F30F5">
          <w:rPr>
            <w:rStyle w:val="Hyperlink"/>
          </w:rPr>
          <w:t>Public exposure</w:t>
        </w:r>
        <w:r>
          <w:rPr>
            <w:webHidden/>
          </w:rPr>
          <w:tab/>
        </w:r>
        <w:r>
          <w:rPr>
            <w:webHidden/>
          </w:rPr>
          <w:fldChar w:fldCharType="begin"/>
        </w:r>
        <w:r>
          <w:rPr>
            <w:webHidden/>
          </w:rPr>
          <w:instrText xml:space="preserve"> PAGEREF _Toc228527302 \h </w:instrText>
        </w:r>
        <w:r>
          <w:rPr>
            <w:webHidden/>
          </w:rPr>
        </w:r>
        <w:r>
          <w:rPr>
            <w:webHidden/>
          </w:rPr>
          <w:fldChar w:fldCharType="separate"/>
        </w:r>
        <w:r>
          <w:rPr>
            <w:webHidden/>
          </w:rPr>
          <w:t>18</w:t>
        </w:r>
        <w:r>
          <w:rPr>
            <w:webHidden/>
          </w:rPr>
          <w:fldChar w:fldCharType="end"/>
        </w:r>
      </w:hyperlink>
    </w:p>
    <w:p w14:paraId="2EBB912B" w14:textId="7C68ED58"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03" w:history="1">
        <w:r w:rsidRPr="001F30F5">
          <w:rPr>
            <w:rStyle w:val="Hyperlink"/>
          </w:rPr>
          <w:t>Recommendations</w:t>
        </w:r>
        <w:r>
          <w:rPr>
            <w:webHidden/>
          </w:rPr>
          <w:tab/>
        </w:r>
        <w:r>
          <w:rPr>
            <w:webHidden/>
          </w:rPr>
          <w:fldChar w:fldCharType="begin"/>
        </w:r>
        <w:r>
          <w:rPr>
            <w:webHidden/>
          </w:rPr>
          <w:instrText xml:space="preserve"> PAGEREF _Toc228527303 \h </w:instrText>
        </w:r>
        <w:r>
          <w:rPr>
            <w:webHidden/>
          </w:rPr>
        </w:r>
        <w:r>
          <w:rPr>
            <w:webHidden/>
          </w:rPr>
          <w:fldChar w:fldCharType="separate"/>
        </w:r>
        <w:r>
          <w:rPr>
            <w:webHidden/>
          </w:rPr>
          <w:t>19</w:t>
        </w:r>
        <w:r>
          <w:rPr>
            <w:webHidden/>
          </w:rPr>
          <w:fldChar w:fldCharType="end"/>
        </w:r>
      </w:hyperlink>
    </w:p>
    <w:p w14:paraId="6CBCF204" w14:textId="50624DE9" w:rsidR="00CD4C9F" w:rsidRDefault="00CD4C9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8527304" w:history="1">
        <w:r w:rsidRPr="001F30F5">
          <w:rPr>
            <w:rStyle w:val="Hyperlink"/>
          </w:rPr>
          <w:t>Environmental assessment</w:t>
        </w:r>
        <w:r>
          <w:rPr>
            <w:webHidden/>
          </w:rPr>
          <w:tab/>
        </w:r>
        <w:r>
          <w:rPr>
            <w:webHidden/>
          </w:rPr>
          <w:fldChar w:fldCharType="begin"/>
        </w:r>
        <w:r>
          <w:rPr>
            <w:webHidden/>
          </w:rPr>
          <w:instrText xml:space="preserve"> PAGEREF _Toc228527304 \h </w:instrText>
        </w:r>
        <w:r>
          <w:rPr>
            <w:webHidden/>
          </w:rPr>
        </w:r>
        <w:r>
          <w:rPr>
            <w:webHidden/>
          </w:rPr>
          <w:fldChar w:fldCharType="separate"/>
        </w:r>
        <w:r>
          <w:rPr>
            <w:webHidden/>
          </w:rPr>
          <w:t>20</w:t>
        </w:r>
        <w:r>
          <w:rPr>
            <w:webHidden/>
          </w:rPr>
          <w:fldChar w:fldCharType="end"/>
        </w:r>
      </w:hyperlink>
    </w:p>
    <w:p w14:paraId="279D63AA" w14:textId="374B1C31"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05" w:history="1">
        <w:r w:rsidRPr="001F30F5">
          <w:rPr>
            <w:rStyle w:val="Hyperlink"/>
            <w:lang w:val="en-GB"/>
          </w:rPr>
          <w:t>Fate and behaviour in the environment</w:t>
        </w:r>
        <w:r>
          <w:rPr>
            <w:webHidden/>
          </w:rPr>
          <w:tab/>
        </w:r>
        <w:r>
          <w:rPr>
            <w:webHidden/>
          </w:rPr>
          <w:fldChar w:fldCharType="begin"/>
        </w:r>
        <w:r>
          <w:rPr>
            <w:webHidden/>
          </w:rPr>
          <w:instrText xml:space="preserve"> PAGEREF _Toc228527305 \h </w:instrText>
        </w:r>
        <w:r>
          <w:rPr>
            <w:webHidden/>
          </w:rPr>
        </w:r>
        <w:r>
          <w:rPr>
            <w:webHidden/>
          </w:rPr>
          <w:fldChar w:fldCharType="separate"/>
        </w:r>
        <w:r>
          <w:rPr>
            <w:webHidden/>
          </w:rPr>
          <w:t>20</w:t>
        </w:r>
        <w:r>
          <w:rPr>
            <w:webHidden/>
          </w:rPr>
          <w:fldChar w:fldCharType="end"/>
        </w:r>
      </w:hyperlink>
    </w:p>
    <w:p w14:paraId="5C052CED" w14:textId="31101DA4"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06" w:history="1">
        <w:r w:rsidRPr="001F30F5">
          <w:rPr>
            <w:rStyle w:val="Hyperlink"/>
            <w:lang w:val="en-GB"/>
          </w:rPr>
          <w:t>Effects and associated risks to non-target species</w:t>
        </w:r>
        <w:r>
          <w:rPr>
            <w:webHidden/>
          </w:rPr>
          <w:tab/>
        </w:r>
        <w:r>
          <w:rPr>
            <w:webHidden/>
          </w:rPr>
          <w:fldChar w:fldCharType="begin"/>
        </w:r>
        <w:r>
          <w:rPr>
            <w:webHidden/>
          </w:rPr>
          <w:instrText xml:space="preserve"> PAGEREF _Toc228527306 \h </w:instrText>
        </w:r>
        <w:r>
          <w:rPr>
            <w:webHidden/>
          </w:rPr>
        </w:r>
        <w:r>
          <w:rPr>
            <w:webHidden/>
          </w:rPr>
          <w:fldChar w:fldCharType="separate"/>
        </w:r>
        <w:r>
          <w:rPr>
            <w:webHidden/>
          </w:rPr>
          <w:t>20</w:t>
        </w:r>
        <w:r>
          <w:rPr>
            <w:webHidden/>
          </w:rPr>
          <w:fldChar w:fldCharType="end"/>
        </w:r>
      </w:hyperlink>
    </w:p>
    <w:p w14:paraId="4D995477" w14:textId="12A2E7AD"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07" w:history="1">
        <w:r w:rsidRPr="001F30F5">
          <w:rPr>
            <w:rStyle w:val="Hyperlink"/>
            <w:lang w:val="en-GB"/>
          </w:rPr>
          <w:t>Recommendations</w:t>
        </w:r>
        <w:r>
          <w:rPr>
            <w:webHidden/>
          </w:rPr>
          <w:tab/>
        </w:r>
        <w:r>
          <w:rPr>
            <w:webHidden/>
          </w:rPr>
          <w:fldChar w:fldCharType="begin"/>
        </w:r>
        <w:r>
          <w:rPr>
            <w:webHidden/>
          </w:rPr>
          <w:instrText xml:space="preserve"> PAGEREF _Toc228527307 \h </w:instrText>
        </w:r>
        <w:r>
          <w:rPr>
            <w:webHidden/>
          </w:rPr>
        </w:r>
        <w:r>
          <w:rPr>
            <w:webHidden/>
          </w:rPr>
          <w:fldChar w:fldCharType="separate"/>
        </w:r>
        <w:r>
          <w:rPr>
            <w:webHidden/>
          </w:rPr>
          <w:t>22</w:t>
        </w:r>
        <w:r>
          <w:rPr>
            <w:webHidden/>
          </w:rPr>
          <w:fldChar w:fldCharType="end"/>
        </w:r>
      </w:hyperlink>
    </w:p>
    <w:p w14:paraId="0E4A474E" w14:textId="7686FBF7" w:rsidR="00CD4C9F" w:rsidRDefault="00CD4C9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8527308" w:history="1">
        <w:r w:rsidRPr="001F30F5">
          <w:rPr>
            <w:rStyle w:val="Hyperlink"/>
          </w:rPr>
          <w:t>Efficacy and safety assessment</w:t>
        </w:r>
        <w:r>
          <w:rPr>
            <w:webHidden/>
          </w:rPr>
          <w:tab/>
        </w:r>
        <w:r>
          <w:rPr>
            <w:webHidden/>
          </w:rPr>
          <w:fldChar w:fldCharType="begin"/>
        </w:r>
        <w:r>
          <w:rPr>
            <w:webHidden/>
          </w:rPr>
          <w:instrText xml:space="preserve"> PAGEREF _Toc228527308 \h </w:instrText>
        </w:r>
        <w:r>
          <w:rPr>
            <w:webHidden/>
          </w:rPr>
        </w:r>
        <w:r>
          <w:rPr>
            <w:webHidden/>
          </w:rPr>
          <w:fldChar w:fldCharType="separate"/>
        </w:r>
        <w:r>
          <w:rPr>
            <w:webHidden/>
          </w:rPr>
          <w:t>23</w:t>
        </w:r>
        <w:r>
          <w:rPr>
            <w:webHidden/>
          </w:rPr>
          <w:fldChar w:fldCharType="end"/>
        </w:r>
      </w:hyperlink>
    </w:p>
    <w:p w14:paraId="529E284B" w14:textId="617D1628"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09" w:history="1">
        <w:r w:rsidRPr="001F30F5">
          <w:rPr>
            <w:rStyle w:val="Hyperlink"/>
          </w:rPr>
          <w:t>Proposed product use pattern</w:t>
        </w:r>
        <w:r>
          <w:rPr>
            <w:webHidden/>
          </w:rPr>
          <w:tab/>
        </w:r>
        <w:r>
          <w:rPr>
            <w:webHidden/>
          </w:rPr>
          <w:fldChar w:fldCharType="begin"/>
        </w:r>
        <w:r>
          <w:rPr>
            <w:webHidden/>
          </w:rPr>
          <w:instrText xml:space="preserve"> PAGEREF _Toc228527309 \h </w:instrText>
        </w:r>
        <w:r>
          <w:rPr>
            <w:webHidden/>
          </w:rPr>
        </w:r>
        <w:r>
          <w:rPr>
            <w:webHidden/>
          </w:rPr>
          <w:fldChar w:fldCharType="separate"/>
        </w:r>
        <w:r>
          <w:rPr>
            <w:webHidden/>
          </w:rPr>
          <w:t>23</w:t>
        </w:r>
        <w:r>
          <w:rPr>
            <w:webHidden/>
          </w:rPr>
          <w:fldChar w:fldCharType="end"/>
        </w:r>
      </w:hyperlink>
    </w:p>
    <w:p w14:paraId="187C9E7D" w14:textId="104334F7"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10" w:history="1">
        <w:r w:rsidRPr="001F30F5">
          <w:rPr>
            <w:rStyle w:val="Hyperlink"/>
          </w:rPr>
          <w:t>Efficacy and target crop safety</w:t>
        </w:r>
        <w:r>
          <w:rPr>
            <w:webHidden/>
          </w:rPr>
          <w:tab/>
        </w:r>
        <w:r>
          <w:rPr>
            <w:webHidden/>
          </w:rPr>
          <w:fldChar w:fldCharType="begin"/>
        </w:r>
        <w:r>
          <w:rPr>
            <w:webHidden/>
          </w:rPr>
          <w:instrText xml:space="preserve"> PAGEREF _Toc228527310 \h </w:instrText>
        </w:r>
        <w:r>
          <w:rPr>
            <w:webHidden/>
          </w:rPr>
        </w:r>
        <w:r>
          <w:rPr>
            <w:webHidden/>
          </w:rPr>
          <w:fldChar w:fldCharType="separate"/>
        </w:r>
        <w:r>
          <w:rPr>
            <w:webHidden/>
          </w:rPr>
          <w:t>23</w:t>
        </w:r>
        <w:r>
          <w:rPr>
            <w:webHidden/>
          </w:rPr>
          <w:fldChar w:fldCharType="end"/>
        </w:r>
      </w:hyperlink>
    </w:p>
    <w:p w14:paraId="7FD8E1B2" w14:textId="0C256A0A"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11" w:history="1">
        <w:r w:rsidRPr="001F30F5">
          <w:rPr>
            <w:rStyle w:val="Hyperlink"/>
          </w:rPr>
          <w:t>Recommendations</w:t>
        </w:r>
        <w:r>
          <w:rPr>
            <w:webHidden/>
          </w:rPr>
          <w:tab/>
        </w:r>
        <w:r>
          <w:rPr>
            <w:webHidden/>
          </w:rPr>
          <w:fldChar w:fldCharType="begin"/>
        </w:r>
        <w:r>
          <w:rPr>
            <w:webHidden/>
          </w:rPr>
          <w:instrText xml:space="preserve"> PAGEREF _Toc228527311 \h </w:instrText>
        </w:r>
        <w:r>
          <w:rPr>
            <w:webHidden/>
          </w:rPr>
        </w:r>
        <w:r>
          <w:rPr>
            <w:webHidden/>
          </w:rPr>
          <w:fldChar w:fldCharType="separate"/>
        </w:r>
        <w:r>
          <w:rPr>
            <w:webHidden/>
          </w:rPr>
          <w:t>23</w:t>
        </w:r>
        <w:r>
          <w:rPr>
            <w:webHidden/>
          </w:rPr>
          <w:fldChar w:fldCharType="end"/>
        </w:r>
      </w:hyperlink>
    </w:p>
    <w:p w14:paraId="3E576406" w14:textId="4BF1A7E0" w:rsidR="00CD4C9F" w:rsidRDefault="00CD4C9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8527312" w:history="1">
        <w:r w:rsidRPr="001F30F5">
          <w:rPr>
            <w:rStyle w:val="Hyperlink"/>
          </w:rPr>
          <w:t>Spray drift assessment</w:t>
        </w:r>
        <w:r>
          <w:rPr>
            <w:webHidden/>
          </w:rPr>
          <w:tab/>
        </w:r>
        <w:r>
          <w:rPr>
            <w:webHidden/>
          </w:rPr>
          <w:fldChar w:fldCharType="begin"/>
        </w:r>
        <w:r>
          <w:rPr>
            <w:webHidden/>
          </w:rPr>
          <w:instrText xml:space="preserve"> PAGEREF _Toc228527312 \h </w:instrText>
        </w:r>
        <w:r>
          <w:rPr>
            <w:webHidden/>
          </w:rPr>
        </w:r>
        <w:r>
          <w:rPr>
            <w:webHidden/>
          </w:rPr>
          <w:fldChar w:fldCharType="separate"/>
        </w:r>
        <w:r>
          <w:rPr>
            <w:webHidden/>
          </w:rPr>
          <w:t>24</w:t>
        </w:r>
        <w:r>
          <w:rPr>
            <w:webHidden/>
          </w:rPr>
          <w:fldChar w:fldCharType="end"/>
        </w:r>
      </w:hyperlink>
    </w:p>
    <w:p w14:paraId="39A5057C" w14:textId="006DD292"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13" w:history="1">
        <w:r w:rsidRPr="001F30F5">
          <w:rPr>
            <w:rStyle w:val="Hyperlink"/>
          </w:rPr>
          <w:t>Human health</w:t>
        </w:r>
        <w:r>
          <w:rPr>
            <w:webHidden/>
          </w:rPr>
          <w:tab/>
        </w:r>
        <w:r>
          <w:rPr>
            <w:webHidden/>
          </w:rPr>
          <w:fldChar w:fldCharType="begin"/>
        </w:r>
        <w:r>
          <w:rPr>
            <w:webHidden/>
          </w:rPr>
          <w:instrText xml:space="preserve"> PAGEREF _Toc228527313 \h </w:instrText>
        </w:r>
        <w:r>
          <w:rPr>
            <w:webHidden/>
          </w:rPr>
        </w:r>
        <w:r>
          <w:rPr>
            <w:webHidden/>
          </w:rPr>
          <w:fldChar w:fldCharType="separate"/>
        </w:r>
        <w:r>
          <w:rPr>
            <w:webHidden/>
          </w:rPr>
          <w:t>24</w:t>
        </w:r>
        <w:r>
          <w:rPr>
            <w:webHidden/>
          </w:rPr>
          <w:fldChar w:fldCharType="end"/>
        </w:r>
      </w:hyperlink>
    </w:p>
    <w:p w14:paraId="0AD02E95" w14:textId="3153BAF9"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14" w:history="1">
        <w:r w:rsidRPr="001F30F5">
          <w:rPr>
            <w:rStyle w:val="Hyperlink"/>
          </w:rPr>
          <w:t>Residues and trade</w:t>
        </w:r>
        <w:r>
          <w:rPr>
            <w:webHidden/>
          </w:rPr>
          <w:tab/>
        </w:r>
        <w:r>
          <w:rPr>
            <w:webHidden/>
          </w:rPr>
          <w:fldChar w:fldCharType="begin"/>
        </w:r>
        <w:r>
          <w:rPr>
            <w:webHidden/>
          </w:rPr>
          <w:instrText xml:space="preserve"> PAGEREF _Toc228527314 \h </w:instrText>
        </w:r>
        <w:r>
          <w:rPr>
            <w:webHidden/>
          </w:rPr>
        </w:r>
        <w:r>
          <w:rPr>
            <w:webHidden/>
          </w:rPr>
          <w:fldChar w:fldCharType="separate"/>
        </w:r>
        <w:r>
          <w:rPr>
            <w:webHidden/>
          </w:rPr>
          <w:t>24</w:t>
        </w:r>
        <w:r>
          <w:rPr>
            <w:webHidden/>
          </w:rPr>
          <w:fldChar w:fldCharType="end"/>
        </w:r>
      </w:hyperlink>
    </w:p>
    <w:p w14:paraId="6F97B702" w14:textId="3C4837A0"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15" w:history="1">
        <w:r w:rsidRPr="001F30F5">
          <w:rPr>
            <w:rStyle w:val="Hyperlink"/>
          </w:rPr>
          <w:t>Environment</w:t>
        </w:r>
        <w:r>
          <w:rPr>
            <w:webHidden/>
          </w:rPr>
          <w:tab/>
        </w:r>
        <w:r>
          <w:rPr>
            <w:webHidden/>
          </w:rPr>
          <w:fldChar w:fldCharType="begin"/>
        </w:r>
        <w:r>
          <w:rPr>
            <w:webHidden/>
          </w:rPr>
          <w:instrText xml:space="preserve"> PAGEREF _Toc228527315 \h </w:instrText>
        </w:r>
        <w:r>
          <w:rPr>
            <w:webHidden/>
          </w:rPr>
        </w:r>
        <w:r>
          <w:rPr>
            <w:webHidden/>
          </w:rPr>
          <w:fldChar w:fldCharType="separate"/>
        </w:r>
        <w:r>
          <w:rPr>
            <w:webHidden/>
          </w:rPr>
          <w:t>24</w:t>
        </w:r>
        <w:r>
          <w:rPr>
            <w:webHidden/>
          </w:rPr>
          <w:fldChar w:fldCharType="end"/>
        </w:r>
      </w:hyperlink>
    </w:p>
    <w:p w14:paraId="2A54C05D" w14:textId="1F26D4E7" w:rsidR="00CD4C9F" w:rsidRDefault="00CD4C9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8527316" w:history="1">
        <w:r w:rsidRPr="001F30F5">
          <w:rPr>
            <w:rStyle w:val="Hyperlink"/>
          </w:rPr>
          <w:t>Labelling requirements</w:t>
        </w:r>
        <w:r>
          <w:rPr>
            <w:webHidden/>
          </w:rPr>
          <w:tab/>
        </w:r>
        <w:r>
          <w:rPr>
            <w:webHidden/>
          </w:rPr>
          <w:fldChar w:fldCharType="begin"/>
        </w:r>
        <w:r>
          <w:rPr>
            <w:webHidden/>
          </w:rPr>
          <w:instrText xml:space="preserve"> PAGEREF _Toc228527316 \h </w:instrText>
        </w:r>
        <w:r>
          <w:rPr>
            <w:webHidden/>
          </w:rPr>
        </w:r>
        <w:r>
          <w:rPr>
            <w:webHidden/>
          </w:rPr>
          <w:fldChar w:fldCharType="separate"/>
        </w:r>
        <w:r>
          <w:rPr>
            <w:webHidden/>
          </w:rPr>
          <w:t>26</w:t>
        </w:r>
        <w:r>
          <w:rPr>
            <w:webHidden/>
          </w:rPr>
          <w:fldChar w:fldCharType="end"/>
        </w:r>
      </w:hyperlink>
    </w:p>
    <w:p w14:paraId="10647459" w14:textId="4F07C1B5"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17" w:history="1">
        <w:r w:rsidRPr="001F30F5">
          <w:rPr>
            <w:rStyle w:val="Hyperlink"/>
            <w:rFonts w:cs="Arial"/>
            <w:bCs/>
          </w:rPr>
          <w:t>DIRECTIONS FOR USE:</w:t>
        </w:r>
        <w:r>
          <w:rPr>
            <w:webHidden/>
          </w:rPr>
          <w:tab/>
        </w:r>
        <w:r>
          <w:rPr>
            <w:webHidden/>
          </w:rPr>
          <w:fldChar w:fldCharType="begin"/>
        </w:r>
        <w:r>
          <w:rPr>
            <w:webHidden/>
          </w:rPr>
          <w:instrText xml:space="preserve"> PAGEREF _Toc228527317 \h </w:instrText>
        </w:r>
        <w:r>
          <w:rPr>
            <w:webHidden/>
          </w:rPr>
        </w:r>
        <w:r>
          <w:rPr>
            <w:webHidden/>
          </w:rPr>
          <w:fldChar w:fldCharType="separate"/>
        </w:r>
        <w:r>
          <w:rPr>
            <w:webHidden/>
          </w:rPr>
          <w:t>29</w:t>
        </w:r>
        <w:r>
          <w:rPr>
            <w:webHidden/>
          </w:rPr>
          <w:fldChar w:fldCharType="end"/>
        </w:r>
      </w:hyperlink>
    </w:p>
    <w:p w14:paraId="78D03586" w14:textId="2B3E6D65" w:rsidR="00CD4C9F" w:rsidRDefault="00CD4C9F">
      <w:pPr>
        <w:pStyle w:val="TOC2"/>
        <w:rPr>
          <w:rFonts w:asciiTheme="minorHAnsi" w:eastAsiaTheme="minorEastAsia" w:hAnsiTheme="minorHAnsi" w:cstheme="minorBidi"/>
          <w:b w:val="0"/>
          <w:color w:val="auto"/>
          <w:kern w:val="2"/>
          <w:sz w:val="24"/>
          <w:lang w:eastAsia="en-AU"/>
          <w14:ligatures w14:val="standardContextual"/>
        </w:rPr>
      </w:pPr>
      <w:hyperlink w:anchor="_Toc228527318" w:history="1">
        <w:r w:rsidRPr="001F30F5">
          <w:rPr>
            <w:rStyle w:val="Hyperlink"/>
            <w:rFonts w:cs="Arial"/>
            <w:bCs/>
          </w:rPr>
          <w:t>Read the GENERAL INSTRUCTIONS section carefully before setting up to spray and deciding on a rate.</w:t>
        </w:r>
        <w:r>
          <w:rPr>
            <w:webHidden/>
          </w:rPr>
          <w:tab/>
        </w:r>
        <w:r>
          <w:rPr>
            <w:webHidden/>
          </w:rPr>
          <w:fldChar w:fldCharType="begin"/>
        </w:r>
        <w:r>
          <w:rPr>
            <w:webHidden/>
          </w:rPr>
          <w:instrText xml:space="preserve"> PAGEREF _Toc228527318 \h </w:instrText>
        </w:r>
        <w:r>
          <w:rPr>
            <w:webHidden/>
          </w:rPr>
        </w:r>
        <w:r>
          <w:rPr>
            <w:webHidden/>
          </w:rPr>
          <w:fldChar w:fldCharType="separate"/>
        </w:r>
        <w:r>
          <w:rPr>
            <w:webHidden/>
          </w:rPr>
          <w:t>29</w:t>
        </w:r>
        <w:r>
          <w:rPr>
            <w:webHidden/>
          </w:rPr>
          <w:fldChar w:fldCharType="end"/>
        </w:r>
      </w:hyperlink>
    </w:p>
    <w:p w14:paraId="66A2428C" w14:textId="7758E949" w:rsidR="00CD4C9F" w:rsidRDefault="00CD4C9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8527319" w:history="1">
        <w:r w:rsidRPr="001F30F5">
          <w:rPr>
            <w:rStyle w:val="Hyperlink"/>
          </w:rPr>
          <w:t>Acronyms and abbreviations</w:t>
        </w:r>
        <w:r>
          <w:rPr>
            <w:webHidden/>
          </w:rPr>
          <w:tab/>
        </w:r>
        <w:r>
          <w:rPr>
            <w:webHidden/>
          </w:rPr>
          <w:fldChar w:fldCharType="begin"/>
        </w:r>
        <w:r>
          <w:rPr>
            <w:webHidden/>
          </w:rPr>
          <w:instrText xml:space="preserve"> PAGEREF _Toc228527319 \h </w:instrText>
        </w:r>
        <w:r>
          <w:rPr>
            <w:webHidden/>
          </w:rPr>
        </w:r>
        <w:r>
          <w:rPr>
            <w:webHidden/>
          </w:rPr>
          <w:fldChar w:fldCharType="separate"/>
        </w:r>
        <w:r>
          <w:rPr>
            <w:webHidden/>
          </w:rPr>
          <w:t>34</w:t>
        </w:r>
        <w:r>
          <w:rPr>
            <w:webHidden/>
          </w:rPr>
          <w:fldChar w:fldCharType="end"/>
        </w:r>
      </w:hyperlink>
    </w:p>
    <w:p w14:paraId="79DFF236" w14:textId="2E0A0614" w:rsidR="00CD4C9F" w:rsidRDefault="00CD4C9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8527320" w:history="1">
        <w:r w:rsidRPr="001F30F5">
          <w:rPr>
            <w:rStyle w:val="Hyperlink"/>
            <w:lang w:val="en-GB"/>
          </w:rPr>
          <w:t>Glossary</w:t>
        </w:r>
        <w:r>
          <w:rPr>
            <w:webHidden/>
          </w:rPr>
          <w:tab/>
        </w:r>
        <w:r>
          <w:rPr>
            <w:webHidden/>
          </w:rPr>
          <w:fldChar w:fldCharType="begin"/>
        </w:r>
        <w:r>
          <w:rPr>
            <w:webHidden/>
          </w:rPr>
          <w:instrText xml:space="preserve"> PAGEREF _Toc228527320 \h </w:instrText>
        </w:r>
        <w:r>
          <w:rPr>
            <w:webHidden/>
          </w:rPr>
        </w:r>
        <w:r>
          <w:rPr>
            <w:webHidden/>
          </w:rPr>
          <w:fldChar w:fldCharType="separate"/>
        </w:r>
        <w:r>
          <w:rPr>
            <w:webHidden/>
          </w:rPr>
          <w:t>37</w:t>
        </w:r>
        <w:r>
          <w:rPr>
            <w:webHidden/>
          </w:rPr>
          <w:fldChar w:fldCharType="end"/>
        </w:r>
      </w:hyperlink>
    </w:p>
    <w:p w14:paraId="1F5BFD67" w14:textId="4F94D125" w:rsidR="00CD4C9F" w:rsidRDefault="00CD4C9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8527321" w:history="1">
        <w:r w:rsidRPr="001F30F5">
          <w:rPr>
            <w:rStyle w:val="Hyperlink"/>
          </w:rPr>
          <w:t>References</w:t>
        </w:r>
        <w:r>
          <w:rPr>
            <w:webHidden/>
          </w:rPr>
          <w:tab/>
        </w:r>
        <w:r>
          <w:rPr>
            <w:webHidden/>
          </w:rPr>
          <w:fldChar w:fldCharType="begin"/>
        </w:r>
        <w:r>
          <w:rPr>
            <w:webHidden/>
          </w:rPr>
          <w:instrText xml:space="preserve"> PAGEREF _Toc228527321 \h </w:instrText>
        </w:r>
        <w:r>
          <w:rPr>
            <w:webHidden/>
          </w:rPr>
        </w:r>
        <w:r>
          <w:rPr>
            <w:webHidden/>
          </w:rPr>
          <w:fldChar w:fldCharType="separate"/>
        </w:r>
        <w:r>
          <w:rPr>
            <w:webHidden/>
          </w:rPr>
          <w:t>38</w:t>
        </w:r>
        <w:r>
          <w:rPr>
            <w:webHidden/>
          </w:rPr>
          <w:fldChar w:fldCharType="end"/>
        </w:r>
      </w:hyperlink>
    </w:p>
    <w:p w14:paraId="47BAD96A" w14:textId="27150E98" w:rsidR="002C6204" w:rsidRDefault="000D124E" w:rsidP="002C6204">
      <w:pPr>
        <w:pStyle w:val="ToCH1"/>
        <w:spacing w:before="500"/>
        <w:rPr>
          <w:noProof/>
        </w:rPr>
      </w:pPr>
      <w:r>
        <w:rPr>
          <w:sz w:val="16"/>
          <w:szCs w:val="16"/>
          <w:lang w:eastAsia="en-AU"/>
        </w:rPr>
        <w:fldChar w:fldCharType="end"/>
      </w:r>
      <w:r w:rsidR="002C6204">
        <w:rPr>
          <w:noProof/>
        </w:rPr>
        <w:t>List of tables</w:t>
      </w:r>
    </w:p>
    <w:p w14:paraId="71331A18" w14:textId="4FE2672C" w:rsidR="00CD4C9F" w:rsidRDefault="002C6204">
      <w:pPr>
        <w:pStyle w:val="TableofFigures"/>
        <w:rPr>
          <w:rFonts w:asciiTheme="minorHAnsi" w:eastAsiaTheme="minorEastAsia" w:hAnsiTheme="minorHAnsi" w:cstheme="minorBidi"/>
          <w:kern w:val="2"/>
          <w:sz w:val="24"/>
          <w:lang w:eastAsia="en-AU"/>
          <w14:ligatures w14:val="standardContextual"/>
        </w:rPr>
      </w:pPr>
      <w:r>
        <w:rPr>
          <w:caps/>
        </w:rPr>
        <w:fldChar w:fldCharType="begin"/>
      </w:r>
      <w:r>
        <w:rPr>
          <w:caps/>
        </w:rPr>
        <w:instrText xml:space="preserve"> TOC \h \z \t "Caption,1,APVMA_Caption,1" \c "Table" </w:instrText>
      </w:r>
      <w:r>
        <w:rPr>
          <w:caps/>
        </w:rPr>
        <w:fldChar w:fldCharType="separate"/>
      </w:r>
      <w:hyperlink w:anchor="_Toc228527322" w:history="1">
        <w:r w:rsidR="00CD4C9F" w:rsidRPr="00B80C74">
          <w:rPr>
            <w:rStyle w:val="Hyperlink"/>
          </w:rPr>
          <w:t>Table 1: Nomenclature and structural formula of the active constituent 1-aminocyclopropane-1-carboxylic acid</w:t>
        </w:r>
        <w:r w:rsidR="00CD4C9F">
          <w:rPr>
            <w:webHidden/>
          </w:rPr>
          <w:tab/>
        </w:r>
        <w:r w:rsidR="00CD4C9F">
          <w:rPr>
            <w:webHidden/>
          </w:rPr>
          <w:fldChar w:fldCharType="begin"/>
        </w:r>
        <w:r w:rsidR="00CD4C9F">
          <w:rPr>
            <w:webHidden/>
          </w:rPr>
          <w:instrText xml:space="preserve"> PAGEREF _Toc228527322 \h </w:instrText>
        </w:r>
        <w:r w:rsidR="00CD4C9F">
          <w:rPr>
            <w:webHidden/>
          </w:rPr>
        </w:r>
        <w:r w:rsidR="00CD4C9F">
          <w:rPr>
            <w:webHidden/>
          </w:rPr>
          <w:fldChar w:fldCharType="separate"/>
        </w:r>
        <w:r w:rsidR="00CD4C9F">
          <w:rPr>
            <w:webHidden/>
          </w:rPr>
          <w:t>4</w:t>
        </w:r>
        <w:r w:rsidR="00CD4C9F">
          <w:rPr>
            <w:webHidden/>
          </w:rPr>
          <w:fldChar w:fldCharType="end"/>
        </w:r>
      </w:hyperlink>
    </w:p>
    <w:p w14:paraId="507CFCC2" w14:textId="0F5413D9" w:rsidR="00CD4C9F" w:rsidRDefault="00CD4C9F">
      <w:pPr>
        <w:pStyle w:val="TableofFigures"/>
        <w:rPr>
          <w:rFonts w:asciiTheme="minorHAnsi" w:eastAsiaTheme="minorEastAsia" w:hAnsiTheme="minorHAnsi" w:cstheme="minorBidi"/>
          <w:kern w:val="2"/>
          <w:sz w:val="24"/>
          <w:lang w:eastAsia="en-AU"/>
          <w14:ligatures w14:val="standardContextual"/>
        </w:rPr>
      </w:pPr>
      <w:hyperlink w:anchor="_Toc228527323" w:history="1">
        <w:r w:rsidRPr="00B80C74">
          <w:rPr>
            <w:rStyle w:val="Hyperlink"/>
          </w:rPr>
          <w:t>Table 2: Key physicochemical properties of the active constituent 1-aminocyclopropane-1-carboxylic acid</w:t>
        </w:r>
        <w:r>
          <w:rPr>
            <w:webHidden/>
          </w:rPr>
          <w:tab/>
        </w:r>
        <w:r>
          <w:rPr>
            <w:webHidden/>
          </w:rPr>
          <w:fldChar w:fldCharType="begin"/>
        </w:r>
        <w:r>
          <w:rPr>
            <w:webHidden/>
          </w:rPr>
          <w:instrText xml:space="preserve"> PAGEREF _Toc228527323 \h </w:instrText>
        </w:r>
        <w:r>
          <w:rPr>
            <w:webHidden/>
          </w:rPr>
        </w:r>
        <w:r>
          <w:rPr>
            <w:webHidden/>
          </w:rPr>
          <w:fldChar w:fldCharType="separate"/>
        </w:r>
        <w:r>
          <w:rPr>
            <w:webHidden/>
          </w:rPr>
          <w:t>5</w:t>
        </w:r>
        <w:r>
          <w:rPr>
            <w:webHidden/>
          </w:rPr>
          <w:fldChar w:fldCharType="end"/>
        </w:r>
      </w:hyperlink>
    </w:p>
    <w:p w14:paraId="65F989FF" w14:textId="7AF9732F" w:rsidR="00CD4C9F" w:rsidRDefault="00CD4C9F">
      <w:pPr>
        <w:pStyle w:val="TableofFigures"/>
        <w:rPr>
          <w:rFonts w:asciiTheme="minorHAnsi" w:eastAsiaTheme="minorEastAsia" w:hAnsiTheme="minorHAnsi" w:cstheme="minorBidi"/>
          <w:kern w:val="2"/>
          <w:sz w:val="24"/>
          <w:lang w:eastAsia="en-AU"/>
          <w14:ligatures w14:val="standardContextual"/>
        </w:rPr>
      </w:pPr>
      <w:hyperlink w:anchor="_Toc228527324" w:history="1">
        <w:r w:rsidRPr="00B80C74">
          <w:rPr>
            <w:rStyle w:val="Hyperlink"/>
          </w:rPr>
          <w:t>Table 3: Key aspects of the formulation of the product Accede Plant Growth Regulator</w:t>
        </w:r>
        <w:r>
          <w:rPr>
            <w:webHidden/>
          </w:rPr>
          <w:tab/>
        </w:r>
        <w:r>
          <w:rPr>
            <w:webHidden/>
          </w:rPr>
          <w:fldChar w:fldCharType="begin"/>
        </w:r>
        <w:r>
          <w:rPr>
            <w:webHidden/>
          </w:rPr>
          <w:instrText xml:space="preserve"> PAGEREF _Toc228527324 \h </w:instrText>
        </w:r>
        <w:r>
          <w:rPr>
            <w:webHidden/>
          </w:rPr>
        </w:r>
        <w:r>
          <w:rPr>
            <w:webHidden/>
          </w:rPr>
          <w:fldChar w:fldCharType="separate"/>
        </w:r>
        <w:r>
          <w:rPr>
            <w:webHidden/>
          </w:rPr>
          <w:t>6</w:t>
        </w:r>
        <w:r>
          <w:rPr>
            <w:webHidden/>
          </w:rPr>
          <w:fldChar w:fldCharType="end"/>
        </w:r>
      </w:hyperlink>
    </w:p>
    <w:p w14:paraId="312FEE94" w14:textId="6F31260F" w:rsidR="00CD4C9F" w:rsidRDefault="00CD4C9F">
      <w:pPr>
        <w:pStyle w:val="TableofFigures"/>
        <w:rPr>
          <w:rFonts w:asciiTheme="minorHAnsi" w:eastAsiaTheme="minorEastAsia" w:hAnsiTheme="minorHAnsi" w:cstheme="minorBidi"/>
          <w:kern w:val="2"/>
          <w:sz w:val="24"/>
          <w:lang w:eastAsia="en-AU"/>
          <w14:ligatures w14:val="standardContextual"/>
        </w:rPr>
      </w:pPr>
      <w:hyperlink w:anchor="_Toc228527325" w:history="1">
        <w:r w:rsidRPr="00B80C74">
          <w:rPr>
            <w:rStyle w:val="Hyperlink"/>
          </w:rPr>
          <w:t>Table 4: Physicochemical properties of the product Accede Plant Growth Regulator</w:t>
        </w:r>
        <w:r>
          <w:rPr>
            <w:webHidden/>
          </w:rPr>
          <w:tab/>
        </w:r>
        <w:r>
          <w:rPr>
            <w:webHidden/>
          </w:rPr>
          <w:fldChar w:fldCharType="begin"/>
        </w:r>
        <w:r>
          <w:rPr>
            <w:webHidden/>
          </w:rPr>
          <w:instrText xml:space="preserve"> PAGEREF _Toc228527325 \h </w:instrText>
        </w:r>
        <w:r>
          <w:rPr>
            <w:webHidden/>
          </w:rPr>
        </w:r>
        <w:r>
          <w:rPr>
            <w:webHidden/>
          </w:rPr>
          <w:fldChar w:fldCharType="separate"/>
        </w:r>
        <w:r>
          <w:rPr>
            <w:webHidden/>
          </w:rPr>
          <w:t>6</w:t>
        </w:r>
        <w:r>
          <w:rPr>
            <w:webHidden/>
          </w:rPr>
          <w:fldChar w:fldCharType="end"/>
        </w:r>
      </w:hyperlink>
    </w:p>
    <w:p w14:paraId="16E06FAC" w14:textId="209DD4CC" w:rsidR="00CD4C9F" w:rsidRDefault="00CD4C9F">
      <w:pPr>
        <w:pStyle w:val="TableofFigures"/>
        <w:rPr>
          <w:rFonts w:asciiTheme="minorHAnsi" w:eastAsiaTheme="minorEastAsia" w:hAnsiTheme="minorHAnsi" w:cstheme="minorBidi"/>
          <w:kern w:val="2"/>
          <w:sz w:val="24"/>
          <w:lang w:eastAsia="en-AU"/>
          <w14:ligatures w14:val="standardContextual"/>
        </w:rPr>
      </w:pPr>
      <w:hyperlink w:anchor="_Toc228527326" w:history="1">
        <w:r w:rsidRPr="00B80C74">
          <w:rPr>
            <w:rStyle w:val="Hyperlink"/>
          </w:rPr>
          <w:t xml:space="preserve">Table 5: Amendments to the APVMA </w:t>
        </w:r>
        <w:r w:rsidRPr="00B80C74">
          <w:rPr>
            <w:rStyle w:val="Hyperlink"/>
            <w:bCs/>
          </w:rPr>
          <w:t>MRL Standard</w:t>
        </w:r>
        <w:r>
          <w:rPr>
            <w:webHidden/>
          </w:rPr>
          <w:tab/>
        </w:r>
        <w:r>
          <w:rPr>
            <w:webHidden/>
          </w:rPr>
          <w:fldChar w:fldCharType="begin"/>
        </w:r>
        <w:r>
          <w:rPr>
            <w:webHidden/>
          </w:rPr>
          <w:instrText xml:space="preserve"> PAGEREF _Toc228527326 \h </w:instrText>
        </w:r>
        <w:r>
          <w:rPr>
            <w:webHidden/>
          </w:rPr>
        </w:r>
        <w:r>
          <w:rPr>
            <w:webHidden/>
          </w:rPr>
          <w:fldChar w:fldCharType="separate"/>
        </w:r>
        <w:r>
          <w:rPr>
            <w:webHidden/>
          </w:rPr>
          <w:t>16</w:t>
        </w:r>
        <w:r>
          <w:rPr>
            <w:webHidden/>
          </w:rPr>
          <w:fldChar w:fldCharType="end"/>
        </w:r>
      </w:hyperlink>
    </w:p>
    <w:p w14:paraId="3B28CD09" w14:textId="376E444A" w:rsidR="00CD4C9F" w:rsidRDefault="00CD4C9F">
      <w:pPr>
        <w:pStyle w:val="TableofFigures"/>
        <w:rPr>
          <w:rFonts w:asciiTheme="minorHAnsi" w:eastAsiaTheme="minorEastAsia" w:hAnsiTheme="minorHAnsi" w:cstheme="minorBidi"/>
          <w:kern w:val="2"/>
          <w:sz w:val="24"/>
          <w:lang w:eastAsia="en-AU"/>
          <w14:ligatures w14:val="standardContextual"/>
        </w:rPr>
      </w:pPr>
      <w:hyperlink w:anchor="_Toc228527327" w:history="1">
        <w:r w:rsidRPr="00B80C74">
          <w:rPr>
            <w:rStyle w:val="Hyperlink"/>
          </w:rPr>
          <w:t>Table 7: Summary of RALs for Accede Plant Growth Regulator</w:t>
        </w:r>
        <w:r>
          <w:rPr>
            <w:webHidden/>
          </w:rPr>
          <w:tab/>
        </w:r>
        <w:r>
          <w:rPr>
            <w:webHidden/>
          </w:rPr>
          <w:fldChar w:fldCharType="begin"/>
        </w:r>
        <w:r>
          <w:rPr>
            <w:webHidden/>
          </w:rPr>
          <w:instrText xml:space="preserve"> PAGEREF _Toc228527327 \h </w:instrText>
        </w:r>
        <w:r>
          <w:rPr>
            <w:webHidden/>
          </w:rPr>
        </w:r>
        <w:r>
          <w:rPr>
            <w:webHidden/>
          </w:rPr>
          <w:fldChar w:fldCharType="separate"/>
        </w:r>
        <w:r>
          <w:rPr>
            <w:webHidden/>
          </w:rPr>
          <w:t>24</w:t>
        </w:r>
        <w:r>
          <w:rPr>
            <w:webHidden/>
          </w:rPr>
          <w:fldChar w:fldCharType="end"/>
        </w:r>
      </w:hyperlink>
    </w:p>
    <w:p w14:paraId="7E66E09D" w14:textId="274EAAE9" w:rsidR="00424637" w:rsidRDefault="002C6204" w:rsidP="002C6204">
      <w:pPr>
        <w:pStyle w:val="ToCH1"/>
        <w:spacing w:before="500"/>
        <w:rPr>
          <w:caps/>
          <w:noProof/>
        </w:rPr>
        <w:sectPr w:rsidR="00424637" w:rsidSect="00424637">
          <w:headerReference w:type="even" r:id="rId21"/>
          <w:headerReference w:type="default" r:id="rId22"/>
          <w:pgSz w:w="11906" w:h="16838" w:code="9"/>
          <w:pgMar w:top="2835" w:right="1134" w:bottom="1134" w:left="1134" w:header="1701" w:footer="680" w:gutter="0"/>
          <w:pgNumType w:fmt="lowerRoman"/>
          <w:cols w:space="708"/>
          <w:docGrid w:linePitch="360"/>
        </w:sectPr>
      </w:pPr>
      <w:r>
        <w:rPr>
          <w:caps/>
          <w:noProof/>
        </w:rPr>
        <w:fldChar w:fldCharType="end"/>
      </w:r>
      <w:bookmarkStart w:id="1" w:name="_Toc234063054"/>
      <w:bookmarkStart w:id="2" w:name="_Toc414373831"/>
      <w:bookmarkStart w:id="3" w:name="_Toc7561213"/>
    </w:p>
    <w:p w14:paraId="0A1F4403" w14:textId="1024FCBE" w:rsidR="002E20AC" w:rsidRPr="00424637" w:rsidRDefault="002E20AC" w:rsidP="00424637">
      <w:pPr>
        <w:pStyle w:val="Heading1"/>
      </w:pPr>
      <w:bookmarkStart w:id="4" w:name="_Toc228527272"/>
      <w:r w:rsidRPr="00424637">
        <w:lastRenderedPageBreak/>
        <w:t>Preface</w:t>
      </w:r>
      <w:bookmarkEnd w:id="1"/>
      <w:bookmarkEnd w:id="2"/>
      <w:bookmarkEnd w:id="3"/>
      <w:bookmarkEnd w:id="4"/>
    </w:p>
    <w:p w14:paraId="6C80D611" w14:textId="01B4540A" w:rsidR="002F5D1B" w:rsidRDefault="002F5D1B" w:rsidP="002F5D1B">
      <w:pPr>
        <w:pStyle w:val="APVMAText"/>
      </w:pPr>
      <w:bookmarkStart w:id="5"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3" w:history="1">
        <w:r w:rsidRPr="006C539B">
          <w:rPr>
            <w:rStyle w:val="Hyperlink"/>
          </w:rPr>
          <w:t>APVMA website</w:t>
        </w:r>
      </w:hyperlink>
      <w:r>
        <w:t>.</w:t>
      </w:r>
    </w:p>
    <w:p w14:paraId="25A1461C" w14:textId="2AAE51D9" w:rsidR="002F5D1B" w:rsidRDefault="002F5D1B" w:rsidP="002F5D1B">
      <w:pPr>
        <w:pStyle w:val="APVMAText"/>
      </w:pPr>
      <w:r>
        <w:t xml:space="preserve">The APVMA has a policy of encouraging transparency in its activities and seeking community involvement in decision making. Part of that process is the publication of </w:t>
      </w:r>
      <w:r w:rsidR="00E1009B">
        <w:t>Public Release S</w:t>
      </w:r>
      <w:r>
        <w:t>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370B646F" w14:textId="77777777" w:rsidR="002E20AC" w:rsidRDefault="006D36C8" w:rsidP="00032787">
      <w:pPr>
        <w:pStyle w:val="APVMAPreliminariesH2"/>
      </w:pPr>
      <w:bookmarkStart w:id="6" w:name="_Toc7561214"/>
      <w:bookmarkStart w:id="7" w:name="_Toc228527273"/>
      <w:r>
        <w:t>About this document</w:t>
      </w:r>
      <w:bookmarkEnd w:id="5"/>
      <w:bookmarkEnd w:id="6"/>
      <w:bookmarkEnd w:id="7"/>
    </w:p>
    <w:p w14:paraId="4B18BC02" w14:textId="77777777" w:rsidR="002F5D1B" w:rsidRDefault="002853BD" w:rsidP="002F5D1B">
      <w:pPr>
        <w:pStyle w:val="APVMAText"/>
        <w:tabs>
          <w:tab w:val="left" w:pos="1361"/>
        </w:tabs>
      </w:pPr>
      <w:r>
        <w:t>This P</w:t>
      </w:r>
      <w:r>
        <w:rPr>
          <w:lang w:val="en-GB"/>
        </w:rPr>
        <w:t>ublic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0EF16FB9" w14:textId="77777777" w:rsidR="002F5D1B" w:rsidRDefault="002F5D1B" w:rsidP="00CA0A44">
      <w:pPr>
        <w:pStyle w:val="APVMABullet1"/>
      </w:pPr>
      <w:r>
        <w:t>the toxicology of both the active constituent and product</w:t>
      </w:r>
    </w:p>
    <w:p w14:paraId="5F57BB43" w14:textId="77777777" w:rsidR="002F5D1B" w:rsidRDefault="002F5D1B" w:rsidP="00CA0A44">
      <w:pPr>
        <w:pStyle w:val="APVMABullet1"/>
      </w:pPr>
      <w:r>
        <w:t>the residues and trade assessment</w:t>
      </w:r>
    </w:p>
    <w:p w14:paraId="43B7D5E0" w14:textId="77777777" w:rsidR="002F5D1B" w:rsidRDefault="002F5D1B" w:rsidP="00CA0A44">
      <w:pPr>
        <w:pStyle w:val="APVMABullet1"/>
      </w:pPr>
      <w:r>
        <w:t>occupational exposure aspects</w:t>
      </w:r>
    </w:p>
    <w:p w14:paraId="7E94D8B9" w14:textId="77777777" w:rsidR="002F5D1B" w:rsidRDefault="002F5D1B" w:rsidP="00CA0A44">
      <w:pPr>
        <w:pStyle w:val="APVMABullet1"/>
      </w:pPr>
      <w:r>
        <w:t>environmental fate, toxicity, potential exposure and hazard</w:t>
      </w:r>
    </w:p>
    <w:p w14:paraId="2F4B360E" w14:textId="77777777" w:rsidR="002F5D1B" w:rsidRDefault="002F5D1B" w:rsidP="00CA0A44">
      <w:pPr>
        <w:pStyle w:val="APVMABullet1"/>
      </w:pPr>
      <w:r>
        <w:t>efficacy and target crop or animal safety.</w:t>
      </w:r>
    </w:p>
    <w:p w14:paraId="736592DF" w14:textId="77777777" w:rsidR="002F5D1B" w:rsidRDefault="002F5D1B" w:rsidP="002F5D1B">
      <w:pPr>
        <w:pStyle w:val="APVMAText"/>
        <w:tabs>
          <w:tab w:val="left" w:pos="1361"/>
        </w:tabs>
      </w:pPr>
      <w:r>
        <w:t>Comment is sought from interested stakeholders on the information contained within this document.</w:t>
      </w:r>
    </w:p>
    <w:p w14:paraId="1AC06269" w14:textId="77777777" w:rsidR="006D36C8" w:rsidRDefault="006D36C8" w:rsidP="00032787">
      <w:pPr>
        <w:pStyle w:val="APVMAPreliminariesH2"/>
      </w:pPr>
      <w:bookmarkStart w:id="8" w:name="_Toc7561215"/>
      <w:bookmarkStart w:id="9" w:name="_Toc228527274"/>
      <w:r>
        <w:t>Making a submission</w:t>
      </w:r>
      <w:bookmarkEnd w:id="8"/>
      <w:bookmarkEnd w:id="9"/>
    </w:p>
    <w:p w14:paraId="618C111D" w14:textId="6ABD56A6" w:rsidR="002F5D1B" w:rsidRDefault="002F5D1B" w:rsidP="002F5D1B">
      <w:pPr>
        <w:pStyle w:val="APVMAText"/>
      </w:pPr>
      <w:r>
        <w:t xml:space="preserve">In accordance with sections 12 and 13 of the Agvet Code, the APVMA invites any person to submit a relevant written submission as to whether the application for registration of </w:t>
      </w:r>
      <w:r w:rsidR="00EC72D3">
        <w:t>Accede Plant Growth Regulator</w:t>
      </w:r>
      <w:r w:rsidR="008612BD" w:rsidRPr="008612BD">
        <w:t xml:space="preserve"> </w:t>
      </w:r>
      <w:r w:rsidR="00D81C23">
        <w:t xml:space="preserve">should be granted. </w:t>
      </w:r>
      <w:r>
        <w:t xml:space="preserve">Submissions should relate only to matters that the APVMA is required, by legislation, to take into account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2C04DAC8" w14:textId="035D6C19" w:rsidR="002F5D1B" w:rsidRDefault="002F5D1B" w:rsidP="002F5D1B">
      <w:pPr>
        <w:pStyle w:val="APVMAText"/>
      </w:pPr>
      <w:r>
        <w:lastRenderedPageBreak/>
        <w:t xml:space="preserve">Submissions must be received by the APVMA by close of business on </w:t>
      </w:r>
      <w:r w:rsidR="008612BD">
        <w:t xml:space="preserve">21 April 2026 </w:t>
      </w:r>
      <w:r>
        <w:t>and be directed to the contact listed below. All submissions to the APVMA will be acknowledged in writing via email or by post.</w:t>
      </w:r>
    </w:p>
    <w:p w14:paraId="5149F7FB" w14:textId="77777777" w:rsidR="002F5D1B" w:rsidRDefault="002F5D1B" w:rsidP="002F5D1B">
      <w:pPr>
        <w:pStyle w:val="APVMAText"/>
      </w:pPr>
      <w:r>
        <w:t>Relevant comments will be taken into account by the APVMA in deciding whether the product should be registered and in determining appropriate conditions of registration and product labelling.</w:t>
      </w:r>
    </w:p>
    <w:p w14:paraId="1DBB4369" w14:textId="626268AE" w:rsidR="002F5D1B" w:rsidRDefault="002F5D1B" w:rsidP="002F5D1B">
      <w:pPr>
        <w:pStyle w:val="APVMAText"/>
      </w:pPr>
      <w:r>
        <w:t>When making a submission please include:</w:t>
      </w:r>
    </w:p>
    <w:p w14:paraId="3415C3D9" w14:textId="3D52A68F" w:rsidR="002F5D1B" w:rsidRDefault="00772458" w:rsidP="002F5D1B">
      <w:pPr>
        <w:pStyle w:val="APVMABullet1"/>
      </w:pPr>
      <w:r>
        <w:t xml:space="preserve">a </w:t>
      </w:r>
      <w:r w:rsidR="002F5D1B">
        <w:t>contact name</w:t>
      </w:r>
    </w:p>
    <w:p w14:paraId="42073838" w14:textId="7698F0AA" w:rsidR="002F5D1B" w:rsidRDefault="00772458" w:rsidP="002F5D1B">
      <w:pPr>
        <w:pStyle w:val="APVMABullet1"/>
      </w:pPr>
      <w:r>
        <w:t xml:space="preserve">the </w:t>
      </w:r>
      <w:r w:rsidR="002F5D1B">
        <w:t xml:space="preserve">company or </w:t>
      </w:r>
      <w:r w:rsidR="00F836A5">
        <w:t xml:space="preserve">organisation </w:t>
      </w:r>
      <w:r w:rsidR="002F5D1B">
        <w:t>name (if relevant)</w:t>
      </w:r>
    </w:p>
    <w:p w14:paraId="2A0494C3" w14:textId="7044B26C" w:rsidR="002F5D1B" w:rsidRDefault="00772458" w:rsidP="002F5D1B">
      <w:pPr>
        <w:pStyle w:val="APVMABullet1"/>
      </w:pPr>
      <w:r>
        <w:t xml:space="preserve">an </w:t>
      </w:r>
      <w:r w:rsidR="002F5D1B">
        <w:t>email or postal address (if available)</w:t>
      </w:r>
    </w:p>
    <w:p w14:paraId="0CCBBD35" w14:textId="77777777" w:rsidR="002F5D1B" w:rsidRDefault="002F5D1B" w:rsidP="002F5D1B">
      <w:pPr>
        <w:pStyle w:val="APVMABullet1"/>
      </w:pPr>
      <w:r>
        <w:t>the date you made the submission.</w:t>
      </w:r>
    </w:p>
    <w:p w14:paraId="7F264EDA" w14:textId="35BB044C" w:rsidR="00D81C23" w:rsidRDefault="00D81C23" w:rsidP="002F5D1B">
      <w:pPr>
        <w:pStyle w:val="APVMAText"/>
      </w:pPr>
      <w:r w:rsidRPr="005958BC">
        <w:rPr>
          <w:b/>
        </w:rPr>
        <w:t>Please note</w:t>
      </w:r>
      <w:r>
        <w:t xml:space="preserve">: </w:t>
      </w:r>
      <w:r w:rsidR="00F836A5">
        <w:t>s</w:t>
      </w:r>
      <w:r w:rsidR="00F836A5" w:rsidRPr="00F836A5">
        <w:t>ubmissions will be published on the APVMA website unless you have asked for the sub</w:t>
      </w:r>
      <w:r w:rsidR="00F836A5">
        <w:t xml:space="preserve">mission to remain confidential, or </w:t>
      </w:r>
      <w:r w:rsidR="0046400B">
        <w:t xml:space="preserve">if the APVMA chooses at its discretion not to publish any submissions received </w:t>
      </w:r>
      <w:r w:rsidR="00F836A5">
        <w:t xml:space="preserve">(refer to the </w:t>
      </w:r>
      <w:hyperlink r:id="rId24" w:history="1">
        <w:r w:rsidR="00F836A5" w:rsidRPr="00401F04">
          <w:rPr>
            <w:rStyle w:val="Hyperlink"/>
          </w:rPr>
          <w:t>public consultation coversheet</w:t>
        </w:r>
      </w:hyperlink>
      <w:r w:rsidR="00F836A5">
        <w:t>)</w:t>
      </w:r>
      <w:r w:rsidR="00CA5B2B">
        <w:t>.</w:t>
      </w:r>
    </w:p>
    <w:p w14:paraId="7BABEEAA" w14:textId="1515682E" w:rsidR="00D81C23" w:rsidRDefault="00F836A5" w:rsidP="002F5D1B">
      <w:pPr>
        <w:pStyle w:val="APVMAText"/>
      </w:pPr>
      <w:r>
        <w:t>Please</w:t>
      </w:r>
      <w:r w:rsidR="00D81C23">
        <w:t xml:space="preserve"> lodge </w:t>
      </w:r>
      <w:r>
        <w:t xml:space="preserve">your </w:t>
      </w:r>
      <w:r w:rsidR="00D81C23">
        <w:t xml:space="preserve">submission using </w:t>
      </w:r>
      <w:r w:rsidR="00D81C23" w:rsidRPr="00D81C23">
        <w:t xml:space="preserve">the </w:t>
      </w:r>
      <w:hyperlink r:id="rId25" w:history="1">
        <w:r w:rsidR="00D81C23" w:rsidRPr="00401F04">
          <w:rPr>
            <w:rStyle w:val="Hyperlink"/>
          </w:rPr>
          <w:t>public consultation coversheet</w:t>
        </w:r>
      </w:hyperlink>
      <w:r w:rsidR="00D81C23">
        <w:t xml:space="preserve">, which provides options for how your submission </w:t>
      </w:r>
      <w:r>
        <w:t>will be</w:t>
      </w:r>
      <w:r w:rsidR="00D81C23">
        <w:t xml:space="preserve"> published.</w:t>
      </w:r>
    </w:p>
    <w:p w14:paraId="35CECD91" w14:textId="3773BB88" w:rsidR="00E1009B" w:rsidRDefault="00E1009B" w:rsidP="002F5D1B">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Default="002F5D1B" w:rsidP="002F5D1B">
      <w:pPr>
        <w:pStyle w:val="APVMAText"/>
      </w:pPr>
      <w:r>
        <w:t xml:space="preserve">Unless </w:t>
      </w:r>
      <w:r w:rsidR="00F836A5">
        <w:t xml:space="preserve">you </w:t>
      </w:r>
      <w:r>
        <w:t xml:space="preserve">request </w:t>
      </w:r>
      <w:r w:rsidR="00F836A5">
        <w:t>for your submission to remain confident</w:t>
      </w:r>
      <w:r w:rsidR="002549D3">
        <w:t>ial</w:t>
      </w:r>
      <w:r w:rsidR="00F836A5">
        <w:t>,</w:t>
      </w:r>
      <w:r>
        <w:t xml:space="preserve"> the APVMA may release </w:t>
      </w:r>
      <w:r w:rsidR="00F836A5">
        <w:t xml:space="preserve">your </w:t>
      </w:r>
      <w:r>
        <w:t>submission</w:t>
      </w:r>
      <w:r w:rsidR="00F836A5">
        <w:t xml:space="preserve"> </w:t>
      </w:r>
      <w:r>
        <w:t>to the applicant for comment.</w:t>
      </w:r>
    </w:p>
    <w:p w14:paraId="45436B3D" w14:textId="79C571E4" w:rsidR="002F5D1B" w:rsidRDefault="002F5D1B" w:rsidP="005958BC">
      <w:pPr>
        <w:pStyle w:val="APVMAText"/>
        <w:tabs>
          <w:tab w:val="center" w:pos="4819"/>
        </w:tabs>
      </w:pPr>
      <w:r>
        <w:t>Written submissions should be addressed to:</w:t>
      </w:r>
    </w:p>
    <w:p w14:paraId="1F837EDF" w14:textId="388476DD" w:rsidR="006D36C8" w:rsidRDefault="00705195" w:rsidP="005148C0">
      <w:pPr>
        <w:pStyle w:val="APVMAAddress"/>
        <w:tabs>
          <w:tab w:val="clear" w:pos="1361"/>
          <w:tab w:val="left" w:pos="851"/>
        </w:tabs>
        <w:ind w:left="0"/>
      </w:pPr>
      <w:r>
        <w:t xml:space="preserve">Case Management Team </w:t>
      </w:r>
      <w:r w:rsidR="00772458">
        <w:t>–</w:t>
      </w:r>
      <w:r>
        <w:t xml:space="preserve"> Pesticides</w:t>
      </w:r>
      <w:r w:rsidR="00D21782">
        <w:br/>
      </w:r>
      <w:r w:rsidR="006D36C8">
        <w:t>Australian Pesticides and Veterinary Medicines Authority</w:t>
      </w:r>
      <w:r w:rsidR="00D21782">
        <w:br/>
      </w:r>
      <w:r w:rsidR="00AA5A11" w:rsidRPr="00AA5A11">
        <w:t>GPO Box 574</w:t>
      </w:r>
      <w:r w:rsidR="00AA5A11">
        <w:br/>
      </w:r>
      <w:r w:rsidR="00AA5A11" w:rsidRPr="00AA5A11">
        <w:t>Canberra ACT 2601, Australia</w:t>
      </w:r>
    </w:p>
    <w:p w14:paraId="2847B932" w14:textId="0F5AB905" w:rsidR="006D36C8" w:rsidRPr="006D36C8" w:rsidRDefault="006D36C8" w:rsidP="00D21782">
      <w:pPr>
        <w:pStyle w:val="APVMAAddress"/>
        <w:tabs>
          <w:tab w:val="clear" w:pos="1361"/>
          <w:tab w:val="left" w:pos="851"/>
        </w:tabs>
        <w:spacing w:before="240"/>
        <w:ind w:left="0"/>
      </w:pPr>
      <w:r>
        <w:rPr>
          <w:b/>
        </w:rPr>
        <w:t>Phone:</w:t>
      </w:r>
      <w:r>
        <w:tab/>
        <w:t xml:space="preserve">+61 2 </w:t>
      </w:r>
      <w:r w:rsidR="00913600">
        <w:t>6770 2300</w:t>
      </w:r>
      <w:r w:rsidR="00D21782">
        <w:br/>
      </w:r>
      <w:r>
        <w:rPr>
          <w:b/>
        </w:rPr>
        <w:t>Email:</w:t>
      </w:r>
      <w:r>
        <w:tab/>
      </w:r>
      <w:hyperlink r:id="rId26" w:history="1">
        <w:r w:rsidR="00705195" w:rsidRPr="00772458">
          <w:rPr>
            <w:rStyle w:val="Hyperlink"/>
          </w:rPr>
          <w:t>casemanagement@apvma.gov.au</w:t>
        </w:r>
      </w:hyperlink>
      <w:r>
        <w:t>.</w:t>
      </w:r>
    </w:p>
    <w:p w14:paraId="62987759" w14:textId="77777777" w:rsidR="006D36C8" w:rsidRDefault="006D36C8" w:rsidP="00032787">
      <w:pPr>
        <w:pStyle w:val="APVMAPreliminariesH2"/>
      </w:pPr>
      <w:bookmarkStart w:id="10" w:name="_Toc2243844"/>
      <w:bookmarkStart w:id="11" w:name="_Toc7561216"/>
      <w:bookmarkStart w:id="12" w:name="_Toc228527275"/>
      <w:r>
        <w:t>Further information</w:t>
      </w:r>
      <w:bookmarkEnd w:id="10"/>
      <w:bookmarkEnd w:id="11"/>
      <w:bookmarkEnd w:id="12"/>
    </w:p>
    <w:p w14:paraId="0E27766A" w14:textId="77777777" w:rsidR="002F5D1B" w:rsidRDefault="002F5D1B" w:rsidP="002F5D1B">
      <w:pPr>
        <w:pStyle w:val="APVMAText"/>
      </w:pPr>
      <w:r>
        <w:t>Further information can be obtained via the contact details provided above.</w:t>
      </w:r>
    </w:p>
    <w:p w14:paraId="3CA7B1E0" w14:textId="31A7919F" w:rsidR="00D22CCB" w:rsidRDefault="00E1009B" w:rsidP="00EA7005">
      <w:pPr>
        <w:pStyle w:val="APVMAText"/>
        <w:sectPr w:rsidR="00D22CCB" w:rsidSect="00424637">
          <w:headerReference w:type="default" r:id="rId27"/>
          <w:pgSz w:w="11906" w:h="16838" w:code="9"/>
          <w:pgMar w:top="2835" w:right="1134" w:bottom="1134" w:left="1134" w:header="1701" w:footer="680" w:gutter="0"/>
          <w:pgNumType w:start="1"/>
          <w:cols w:space="708"/>
          <w:docGrid w:linePitch="360"/>
        </w:sectPr>
      </w:pPr>
      <w:r>
        <w:t>Further information on Public Release S</w:t>
      </w:r>
      <w:r w:rsidR="002F5D1B">
        <w:t xml:space="preserve">ummaries can be found on the </w:t>
      </w:r>
      <w:hyperlink r:id="rId28" w:history="1">
        <w:r w:rsidR="002F5D1B" w:rsidRPr="006C539B">
          <w:rPr>
            <w:rStyle w:val="Hyperlink"/>
          </w:rPr>
          <w:t>APVMA website</w:t>
        </w:r>
      </w:hyperlink>
      <w:r w:rsidR="002F5D1B">
        <w:t>.</w:t>
      </w:r>
    </w:p>
    <w:p w14:paraId="085FB31F" w14:textId="617B6EBF" w:rsidR="002E20AC" w:rsidRDefault="00CA5B2B" w:rsidP="00032787">
      <w:pPr>
        <w:pStyle w:val="Heading1"/>
      </w:pPr>
      <w:bookmarkStart w:id="13" w:name="_Toc7561217"/>
      <w:bookmarkStart w:id="14" w:name="_Toc228527276"/>
      <w:r>
        <w:lastRenderedPageBreak/>
        <w:t>I</w:t>
      </w:r>
      <w:r w:rsidR="006D36C8">
        <w:t>ntroduction</w:t>
      </w:r>
      <w:bookmarkEnd w:id="13"/>
      <w:bookmarkEnd w:id="14"/>
    </w:p>
    <w:p w14:paraId="0DF95F9D" w14:textId="51D11045" w:rsidR="005A2957" w:rsidRDefault="005A2957" w:rsidP="005A2957">
      <w:pPr>
        <w:pStyle w:val="APVMAText"/>
      </w:pPr>
      <w:r>
        <w:t xml:space="preserve">This publication provides a summary of the data reviewed and an outline of the regulatory considerations for the proposed registration of </w:t>
      </w:r>
      <w:r w:rsidR="002F2F98" w:rsidRPr="002F2F98">
        <w:rPr>
          <w:i/>
          <w:szCs w:val="20"/>
        </w:rPr>
        <w:t>Accede Plant Growth Regulator</w:t>
      </w:r>
      <w:r>
        <w:t xml:space="preserve">, and approval of the new active constituent, </w:t>
      </w:r>
      <w:r w:rsidR="002F2F98">
        <w:t>1-</w:t>
      </w:r>
      <w:r w:rsidR="00FF5C41">
        <w:t>a</w:t>
      </w:r>
      <w:r w:rsidR="002F2F98">
        <w:t>minocyclopropane-1-carboxylic acid</w:t>
      </w:r>
      <w:r>
        <w:t>.</w:t>
      </w:r>
    </w:p>
    <w:p w14:paraId="32D5C8FA" w14:textId="77777777" w:rsidR="005A2957" w:rsidRDefault="005A2957" w:rsidP="005A2957">
      <w:pPr>
        <w:pStyle w:val="Heading2"/>
        <w:ind w:left="907" w:hanging="907"/>
      </w:pPr>
      <w:bookmarkStart w:id="15" w:name="_Toc461366927"/>
      <w:bookmarkStart w:id="16" w:name="_Toc531181066"/>
      <w:bookmarkStart w:id="17" w:name="_Toc7561218"/>
      <w:bookmarkStart w:id="18" w:name="_Toc228527277"/>
      <w:r>
        <w:t>Applicant</w:t>
      </w:r>
      <w:bookmarkEnd w:id="15"/>
      <w:bookmarkEnd w:id="16"/>
      <w:bookmarkEnd w:id="17"/>
      <w:bookmarkEnd w:id="18"/>
    </w:p>
    <w:p w14:paraId="4E8BE879" w14:textId="7DA31255" w:rsidR="005A2957" w:rsidRDefault="002F2F98" w:rsidP="00D21782">
      <w:pPr>
        <w:pStyle w:val="APVMAText"/>
      </w:pPr>
      <w:bookmarkStart w:id="19" w:name="_Toc461366928"/>
      <w:r>
        <w:t>VALENT BIOSCIENCES A DIV OF SUMITOMO CHEMICAL AUSTRALIA</w:t>
      </w:r>
      <w:r w:rsidR="00CA5B2B">
        <w:t>.</w:t>
      </w:r>
    </w:p>
    <w:p w14:paraId="68625900" w14:textId="77777777" w:rsidR="005A2957" w:rsidRPr="00002B5B" w:rsidRDefault="005A2957" w:rsidP="005A2957">
      <w:pPr>
        <w:pStyle w:val="Heading2"/>
        <w:ind w:left="907" w:hanging="907"/>
      </w:pPr>
      <w:bookmarkStart w:id="20" w:name="_Toc531181067"/>
      <w:bookmarkStart w:id="21" w:name="_Toc7561219"/>
      <w:bookmarkStart w:id="22" w:name="_Toc228527278"/>
      <w:bookmarkEnd w:id="19"/>
      <w:r>
        <w:t>Purpose of application</w:t>
      </w:r>
      <w:bookmarkEnd w:id="20"/>
      <w:bookmarkEnd w:id="21"/>
      <w:bookmarkEnd w:id="22"/>
    </w:p>
    <w:p w14:paraId="1FFD362F" w14:textId="095F6EF9" w:rsidR="005A2957" w:rsidRDefault="00FD66D4" w:rsidP="00C26FC9">
      <w:pPr>
        <w:pStyle w:val="APVMAText"/>
        <w:jc w:val="both"/>
      </w:pPr>
      <w:r w:rsidRPr="00FD66D4">
        <w:t xml:space="preserve">Valent </w:t>
      </w:r>
      <w:proofErr w:type="spellStart"/>
      <w:r w:rsidRPr="00FD66D4">
        <w:t>BioSciences</w:t>
      </w:r>
      <w:proofErr w:type="spellEnd"/>
      <w:r w:rsidRPr="00FD66D4">
        <w:t xml:space="preserve"> LLC </w:t>
      </w:r>
      <w:r w:rsidR="005A2957">
        <w:t xml:space="preserve">has applied to the APVMA for registration of the new product </w:t>
      </w:r>
      <w:r w:rsidR="002F2F98" w:rsidRPr="002F2F98">
        <w:rPr>
          <w:iCs/>
          <w:szCs w:val="20"/>
        </w:rPr>
        <w:t>Accede Plant Growth Regulator</w:t>
      </w:r>
      <w:r w:rsidR="005A2957">
        <w:t xml:space="preserve">, containing </w:t>
      </w:r>
      <w:r w:rsidR="002F2F98">
        <w:t xml:space="preserve">400 g/kg </w:t>
      </w:r>
      <w:r w:rsidR="005A2957">
        <w:t>as a</w:t>
      </w:r>
      <w:r w:rsidR="002F2F98">
        <w:t xml:space="preserve"> water-soluble granule (SG)</w:t>
      </w:r>
      <w:r w:rsidR="005A2957">
        <w:t xml:space="preserve"> formulation of the new active constituent </w:t>
      </w:r>
      <w:r w:rsidR="002F2F98">
        <w:t>1-</w:t>
      </w:r>
      <w:r w:rsidR="00FF5C41">
        <w:t>a</w:t>
      </w:r>
      <w:r w:rsidR="002F2F98">
        <w:t>minocyclopropane-1-carboxylic acid</w:t>
      </w:r>
      <w:r w:rsidR="005A2957" w:rsidRPr="00F77DED">
        <w:t>.</w:t>
      </w:r>
    </w:p>
    <w:p w14:paraId="5014731A" w14:textId="63F4D9DE" w:rsidR="005A2957" w:rsidRDefault="005A2957" w:rsidP="005A2957">
      <w:pPr>
        <w:pStyle w:val="APVMAText"/>
      </w:pPr>
      <w:r>
        <w:rPr>
          <w:szCs w:val="20"/>
        </w:rPr>
        <w:t xml:space="preserve">This publication provides a summary of the data reviewed and an outline of the regulatory considerations for the proposed registration of the product </w:t>
      </w:r>
      <w:r w:rsidR="00EC72D3">
        <w:rPr>
          <w:iCs/>
          <w:szCs w:val="20"/>
        </w:rPr>
        <w:t>Accede Plant Growth Regulator</w:t>
      </w:r>
      <w:r w:rsidR="002F2F98">
        <w:rPr>
          <w:iCs/>
          <w:szCs w:val="20"/>
        </w:rPr>
        <w:t>,</w:t>
      </w:r>
      <w:r w:rsidR="002F2F98">
        <w:rPr>
          <w:szCs w:val="20"/>
        </w:rPr>
        <w:t xml:space="preserve"> </w:t>
      </w:r>
      <w:r>
        <w:rPr>
          <w:szCs w:val="20"/>
        </w:rPr>
        <w:t xml:space="preserve">and approval of the new active constituent </w:t>
      </w:r>
      <w:r w:rsidR="002F2F98">
        <w:t>1-</w:t>
      </w:r>
      <w:r w:rsidR="00FF5C41">
        <w:t>a</w:t>
      </w:r>
      <w:r w:rsidR="002F2F98">
        <w:t>minocyclopropane-1-carboxylic acid</w:t>
      </w:r>
      <w:r>
        <w:rPr>
          <w:szCs w:val="20"/>
        </w:rPr>
        <w:t>.</w:t>
      </w:r>
    </w:p>
    <w:p w14:paraId="3B9097F8" w14:textId="77777777" w:rsidR="005A2957" w:rsidRDefault="005A2957" w:rsidP="005A2957">
      <w:pPr>
        <w:pStyle w:val="Heading2"/>
        <w:ind w:left="907" w:hanging="907"/>
      </w:pPr>
      <w:bookmarkStart w:id="23" w:name="_Toc531181068"/>
      <w:bookmarkStart w:id="24" w:name="_Toc7561220"/>
      <w:bookmarkStart w:id="25" w:name="_Toc461366929"/>
      <w:bookmarkStart w:id="26" w:name="_Toc228527279"/>
      <w:r>
        <w:t>Proposed claims and use pattern</w:t>
      </w:r>
      <w:bookmarkEnd w:id="23"/>
      <w:bookmarkEnd w:id="24"/>
      <w:bookmarkEnd w:id="26"/>
    </w:p>
    <w:p w14:paraId="3522D1AC" w14:textId="3CFB76B3" w:rsidR="005A2957" w:rsidRPr="00F77DED" w:rsidRDefault="008612BD" w:rsidP="00FF5C41">
      <w:pPr>
        <w:pStyle w:val="APVMAText"/>
        <w:jc w:val="both"/>
      </w:pPr>
      <w:r w:rsidRPr="008612BD">
        <w:t>For crop thinning in Apples, Nectarines, Peaches and Plums</w:t>
      </w:r>
      <w:r w:rsidR="002F2F98" w:rsidRPr="00F221B4">
        <w:t>.</w:t>
      </w:r>
    </w:p>
    <w:p w14:paraId="13D27F64" w14:textId="77777777" w:rsidR="005A2957" w:rsidRDefault="005A2957" w:rsidP="005A2957">
      <w:pPr>
        <w:pStyle w:val="Heading2"/>
        <w:ind w:left="907" w:hanging="907"/>
      </w:pPr>
      <w:bookmarkStart w:id="27" w:name="_Toc531181069"/>
      <w:bookmarkStart w:id="28" w:name="_Toc7561221"/>
      <w:bookmarkStart w:id="29" w:name="_Toc228527280"/>
      <w:r>
        <w:t>Mode of action</w:t>
      </w:r>
      <w:bookmarkEnd w:id="27"/>
      <w:bookmarkEnd w:id="28"/>
      <w:bookmarkEnd w:id="29"/>
    </w:p>
    <w:p w14:paraId="0D6DD2E2" w14:textId="53F9E090" w:rsidR="005A2957" w:rsidRPr="00FF5C41" w:rsidRDefault="00FF5C41" w:rsidP="00FF5C41">
      <w:pPr>
        <w:pStyle w:val="APVMAText"/>
        <w:jc w:val="both"/>
        <w:rPr>
          <w:szCs w:val="20"/>
        </w:rPr>
      </w:pPr>
      <w:r w:rsidRPr="00FF5C41">
        <w:rPr>
          <w:szCs w:val="20"/>
        </w:rPr>
        <w:t>1-</w:t>
      </w:r>
      <w:r w:rsidR="00C63B9D">
        <w:rPr>
          <w:szCs w:val="20"/>
        </w:rPr>
        <w:t>a</w:t>
      </w:r>
      <w:r w:rsidRPr="00FF5C41">
        <w:rPr>
          <w:szCs w:val="20"/>
        </w:rPr>
        <w:t>minocyclopropane-1-carboxylic acid is a naturally occurring aliphatic amino acid and plant growth regulator, which is the precursor to the plant hormone ethylene. It acts as an ethylene releasing substance, thereby affecting the growth and development processes of plant, including fruit abscission, fruit colouring and fruit ripening.</w:t>
      </w:r>
    </w:p>
    <w:bookmarkEnd w:id="25"/>
    <w:p w14:paraId="5E2F223F" w14:textId="38B4D1BF" w:rsidR="00AF7046" w:rsidRDefault="005A2957" w:rsidP="005A2957">
      <w:pPr>
        <w:pStyle w:val="APVMAText"/>
        <w:sectPr w:rsidR="00AF7046">
          <w:headerReference w:type="default" r:id="rId29"/>
          <w:pgSz w:w="11906" w:h="16838" w:code="9"/>
          <w:pgMar w:top="2835" w:right="1134" w:bottom="1134" w:left="1134" w:header="1701" w:footer="680" w:gutter="0"/>
          <w:cols w:space="708"/>
          <w:docGrid w:linePitch="360"/>
        </w:sectPr>
      </w:pPr>
      <w:r w:rsidRPr="00C26FC9">
        <w:rPr>
          <w:szCs w:val="20"/>
        </w:rPr>
        <w:t xml:space="preserve">The product is currently registered in </w:t>
      </w:r>
      <w:r w:rsidR="00C26FC9" w:rsidRPr="00C26FC9">
        <w:rPr>
          <w:szCs w:val="20"/>
        </w:rPr>
        <w:t>USA, Canada and Brazil</w:t>
      </w:r>
      <w:r w:rsidR="00CA5B2B" w:rsidRPr="00C26FC9">
        <w:rPr>
          <w:szCs w:val="20"/>
        </w:rPr>
        <w:t xml:space="preserve"> </w:t>
      </w:r>
      <w:r w:rsidRPr="00C26FC9">
        <w:rPr>
          <w:szCs w:val="20"/>
        </w:rPr>
        <w:t xml:space="preserve">as </w:t>
      </w:r>
      <w:r w:rsidR="00C26FC9" w:rsidRPr="00C26FC9">
        <w:t xml:space="preserve">400 g/kg water-soluble granule (SG formulation) as well as </w:t>
      </w:r>
      <w:r w:rsidR="005117E9">
        <w:t xml:space="preserve">a </w:t>
      </w:r>
      <w:r w:rsidR="00C26FC9" w:rsidRPr="00C26FC9">
        <w:t>100 g/kg liquid formulation in USA</w:t>
      </w:r>
      <w:r w:rsidR="00CA5B2B" w:rsidRPr="00C26FC9">
        <w:rPr>
          <w:szCs w:val="20"/>
        </w:rPr>
        <w:t>.</w:t>
      </w:r>
      <w:r w:rsidR="00C26FC9">
        <w:rPr>
          <w:szCs w:val="20"/>
        </w:rPr>
        <w:t xml:space="preserve"> </w:t>
      </w:r>
    </w:p>
    <w:p w14:paraId="5141A89F" w14:textId="5698D8E9" w:rsidR="006D36C8" w:rsidRDefault="00CA5B2B" w:rsidP="00032787">
      <w:pPr>
        <w:pStyle w:val="Heading1"/>
      </w:pPr>
      <w:bookmarkStart w:id="30" w:name="_Toc228527281"/>
      <w:r>
        <w:lastRenderedPageBreak/>
        <w:t>C</w:t>
      </w:r>
      <w:r w:rsidR="000C1518">
        <w:t>hemistry and manufacture</w:t>
      </w:r>
      <w:bookmarkEnd w:id="30"/>
    </w:p>
    <w:p w14:paraId="080FB73B" w14:textId="77777777" w:rsidR="006D36C8" w:rsidRDefault="000C1518" w:rsidP="00032787">
      <w:pPr>
        <w:pStyle w:val="Heading2"/>
      </w:pPr>
      <w:bookmarkStart w:id="31" w:name="_Toc228527282"/>
      <w:r>
        <w:t>Active constituent</w:t>
      </w:r>
      <w:bookmarkEnd w:id="31"/>
    </w:p>
    <w:p w14:paraId="5DF50DC6" w14:textId="1739CBB7" w:rsidR="005A2957" w:rsidRPr="00D21782" w:rsidRDefault="005A2957" w:rsidP="00D21782">
      <w:pPr>
        <w:pStyle w:val="APVMAText"/>
      </w:pPr>
      <w:r w:rsidRPr="00D21782">
        <w:t xml:space="preserve">The active constituent </w:t>
      </w:r>
      <w:r w:rsidR="00FF5C41" w:rsidRPr="00D21782">
        <w:t>1-aminocyclopropane-1-carboxylic acid</w:t>
      </w:r>
      <w:r w:rsidR="00CA5B2B" w:rsidRPr="00D21782">
        <w:t xml:space="preserve"> is manufactured overseas</w:t>
      </w:r>
      <w:r w:rsidRPr="00D21782">
        <w:t xml:space="preserve">. Details of the chemical name, structure, and physicochemical properties of </w:t>
      </w:r>
      <w:r w:rsidR="00FF5C41" w:rsidRPr="00D21782">
        <w:t>1-aminocyclopropane-1-carboxylic acid</w:t>
      </w:r>
      <w:r w:rsidRPr="00D21782">
        <w:t xml:space="preserve"> are</w:t>
      </w:r>
      <w:r w:rsidR="00CA5B2B" w:rsidRPr="00D21782">
        <w:t xml:space="preserve"> listed below </w:t>
      </w:r>
      <w:r w:rsidR="00772458" w:rsidRPr="00D21782">
        <w:t xml:space="preserve">in </w:t>
      </w:r>
      <w:r w:rsidR="00CA5B2B" w:rsidRPr="00D21782">
        <w:t xml:space="preserve">Tables 1 to </w:t>
      </w:r>
      <w:r w:rsidRPr="00D21782">
        <w:t>2.</w:t>
      </w:r>
    </w:p>
    <w:p w14:paraId="13CD5758" w14:textId="1F31208C" w:rsidR="006A5315" w:rsidRPr="006A5315" w:rsidRDefault="006A5315" w:rsidP="00D21782">
      <w:pPr>
        <w:autoSpaceDE w:val="0"/>
        <w:autoSpaceDN w:val="0"/>
        <w:adjustRightInd w:val="0"/>
        <w:spacing w:before="240" w:after="240" w:line="280" w:lineRule="atLeast"/>
        <w:rPr>
          <w:szCs w:val="20"/>
          <w:lang w:eastAsia="en-AU"/>
        </w:rPr>
      </w:pPr>
      <w:bookmarkStart w:id="32" w:name="_Toc252955166"/>
      <w:bookmarkStart w:id="33" w:name="_Toc56686265"/>
      <w:bookmarkStart w:id="34" w:name="_Toc56686278"/>
      <w:r>
        <w:t>1-</w:t>
      </w:r>
      <w:r w:rsidR="00D21782">
        <w:t>a</w:t>
      </w:r>
      <w:r>
        <w:t>minocyclopropane-1-carboxylic acid</w:t>
      </w:r>
      <w:r w:rsidRPr="006A5315">
        <w:rPr>
          <w:szCs w:val="20"/>
        </w:rPr>
        <w:t xml:space="preserve"> is a white to off-white fine powdered solid that </w:t>
      </w:r>
      <w:r w:rsidRPr="006A5315">
        <w:rPr>
          <w:kern w:val="22"/>
          <w:szCs w:val="20"/>
        </w:rPr>
        <w:t>decomposes</w:t>
      </w:r>
      <w:r w:rsidRPr="006A5315">
        <w:rPr>
          <w:szCs w:val="20"/>
        </w:rPr>
        <w:t xml:space="preserve"> at </w:t>
      </w:r>
      <w:r w:rsidRPr="006A5315">
        <w:rPr>
          <w:kern w:val="22"/>
          <w:szCs w:val="20"/>
        </w:rPr>
        <w:t xml:space="preserve">160 °C. </w:t>
      </w:r>
      <w:r w:rsidRPr="006A5315">
        <w:rPr>
          <w:szCs w:val="20"/>
        </w:rPr>
        <w:t>It is soluble in water (</w:t>
      </w:r>
      <w:r w:rsidRPr="006A5315">
        <w:rPr>
          <w:kern w:val="22"/>
          <w:szCs w:val="20"/>
        </w:rPr>
        <w:t>68 g/L</w:t>
      </w:r>
      <w:r w:rsidRPr="006A5315">
        <w:rPr>
          <w:szCs w:val="20"/>
        </w:rPr>
        <w:t>) but is more soluble in methanol (3500 g/L). It is practically insoluble in hexane, dichloromethane and ethyl acetate. 1-</w:t>
      </w:r>
      <w:r w:rsidR="00D21782">
        <w:rPr>
          <w:szCs w:val="20"/>
        </w:rPr>
        <w:t>a</w:t>
      </w:r>
      <w:r w:rsidRPr="006A5315">
        <w:rPr>
          <w:szCs w:val="20"/>
        </w:rPr>
        <w:t xml:space="preserve">minocyclopropane-1-carboxylic acid has a low vapour pressure of </w:t>
      </w:r>
      <w:r w:rsidRPr="006A5315">
        <w:rPr>
          <w:szCs w:val="20"/>
          <w:lang w:eastAsia="en-AU"/>
        </w:rPr>
        <w:t>3.64 × 10</w:t>
      </w:r>
      <w:r w:rsidRPr="006A5315">
        <w:rPr>
          <w:szCs w:val="20"/>
          <w:vertAlign w:val="superscript"/>
          <w:lang w:eastAsia="en-AU"/>
        </w:rPr>
        <w:t>-5</w:t>
      </w:r>
      <w:r w:rsidRPr="006A5315">
        <w:rPr>
          <w:szCs w:val="20"/>
          <w:lang w:eastAsia="en-AU"/>
        </w:rPr>
        <w:t xml:space="preserve"> Pa at 25 °C,</w:t>
      </w:r>
      <w:r w:rsidRPr="006A5315">
        <w:rPr>
          <w:szCs w:val="20"/>
        </w:rPr>
        <w:t xml:space="preserve"> suggesting that</w:t>
      </w:r>
      <w:r w:rsidRPr="006A5315">
        <w:rPr>
          <w:szCs w:val="20"/>
          <w:lang w:eastAsia="en-AU"/>
        </w:rPr>
        <w:t xml:space="preserve"> it has low volatility. Given</w:t>
      </w:r>
      <w:r w:rsidRPr="006A5315">
        <w:rPr>
          <w:szCs w:val="20"/>
        </w:rPr>
        <w:t xml:space="preserve"> a </w:t>
      </w:r>
      <w:r w:rsidRPr="006A5315">
        <w:rPr>
          <w:kern w:val="22"/>
          <w:szCs w:val="20"/>
        </w:rPr>
        <w:t xml:space="preserve">Henry's law constant of </w:t>
      </w:r>
      <w:r w:rsidRPr="006A5315">
        <w:rPr>
          <w:color w:val="000000"/>
          <w:szCs w:val="20"/>
          <w:lang w:val="en-US"/>
        </w:rPr>
        <w:t>2.65 × 10</w:t>
      </w:r>
      <w:r w:rsidRPr="006A5315">
        <w:rPr>
          <w:color w:val="000000"/>
          <w:szCs w:val="20"/>
          <w:vertAlign w:val="superscript"/>
          <w:lang w:val="en-US"/>
        </w:rPr>
        <w:t>-8</w:t>
      </w:r>
      <w:r w:rsidRPr="006A5315">
        <w:rPr>
          <w:color w:val="000000"/>
          <w:szCs w:val="20"/>
          <w:lang w:val="en-US"/>
        </w:rPr>
        <w:t xml:space="preserve"> Pa-m</w:t>
      </w:r>
      <w:r w:rsidRPr="006A5315">
        <w:rPr>
          <w:color w:val="000000"/>
          <w:szCs w:val="20"/>
          <w:vertAlign w:val="superscript"/>
          <w:lang w:val="en-US"/>
        </w:rPr>
        <w:t>3</w:t>
      </w:r>
      <w:r w:rsidRPr="006A5315">
        <w:rPr>
          <w:color w:val="000000"/>
          <w:szCs w:val="20"/>
          <w:lang w:val="en-US"/>
        </w:rPr>
        <w:t>/mol</w:t>
      </w:r>
      <w:r w:rsidRPr="006A5315">
        <w:rPr>
          <w:kern w:val="22"/>
          <w:szCs w:val="20"/>
          <w:lang w:val="fr-FR"/>
        </w:rPr>
        <w:t xml:space="preserve"> at </w:t>
      </w:r>
      <w:r w:rsidRPr="006A5315">
        <w:rPr>
          <w:kern w:val="22"/>
          <w:szCs w:val="20"/>
        </w:rPr>
        <w:t>25 °C</w:t>
      </w:r>
      <w:r w:rsidRPr="006A5315">
        <w:rPr>
          <w:szCs w:val="20"/>
          <w:lang w:eastAsia="en-AU"/>
        </w:rPr>
        <w:t xml:space="preserve">, volatilisation from water </w:t>
      </w:r>
      <w:r w:rsidR="00C26FC9">
        <w:rPr>
          <w:szCs w:val="20"/>
          <w:lang w:eastAsia="en-AU"/>
        </w:rPr>
        <w:t>is</w:t>
      </w:r>
      <w:r w:rsidRPr="006A5315">
        <w:rPr>
          <w:szCs w:val="20"/>
          <w:lang w:eastAsia="en-AU"/>
        </w:rPr>
        <w:t xml:space="preserve"> not </w:t>
      </w:r>
      <w:r w:rsidR="00C26FC9">
        <w:rPr>
          <w:szCs w:val="20"/>
          <w:lang w:eastAsia="en-AU"/>
        </w:rPr>
        <w:t>a</w:t>
      </w:r>
      <w:r w:rsidRPr="006A5315">
        <w:rPr>
          <w:szCs w:val="20"/>
          <w:lang w:eastAsia="en-AU"/>
        </w:rPr>
        <w:t xml:space="preserve"> significant route of dissipation for </w:t>
      </w:r>
      <w:r w:rsidRPr="006A5315">
        <w:rPr>
          <w:szCs w:val="20"/>
        </w:rPr>
        <w:t>1-aminocyclopropane-1-carboxylic acid</w:t>
      </w:r>
      <w:r w:rsidRPr="006A5315">
        <w:rPr>
          <w:szCs w:val="20"/>
          <w:lang w:eastAsia="en-AU"/>
        </w:rPr>
        <w:t>.</w:t>
      </w:r>
      <w:r w:rsidR="00E52B1F">
        <w:rPr>
          <w:szCs w:val="20"/>
          <w:lang w:eastAsia="en-AU"/>
        </w:rPr>
        <w:t xml:space="preserve"> </w:t>
      </w:r>
      <w:r w:rsidRPr="006A5315">
        <w:rPr>
          <w:szCs w:val="20"/>
        </w:rPr>
        <w:t>The octanol/water partition coefficient (</w:t>
      </w:r>
      <w:r w:rsidRPr="006A5315">
        <w:rPr>
          <w:kern w:val="22"/>
          <w:szCs w:val="20"/>
        </w:rPr>
        <w:t>Log P</w:t>
      </w:r>
      <w:r w:rsidRPr="006A5315">
        <w:rPr>
          <w:kern w:val="22"/>
          <w:szCs w:val="20"/>
          <w:vertAlign w:val="subscript"/>
        </w:rPr>
        <w:t>ow</w:t>
      </w:r>
      <w:r w:rsidRPr="006A5315">
        <w:rPr>
          <w:kern w:val="22"/>
          <w:szCs w:val="20"/>
        </w:rPr>
        <w:t xml:space="preserve">) is -2.9 at 20 °C, </w:t>
      </w:r>
      <w:r w:rsidRPr="006A5315">
        <w:rPr>
          <w:szCs w:val="20"/>
        </w:rPr>
        <w:t xml:space="preserve">indicating that 1-aminocyclopropane-1-carboxylic acid is </w:t>
      </w:r>
      <w:r w:rsidR="005117E9">
        <w:rPr>
          <w:szCs w:val="20"/>
        </w:rPr>
        <w:t>unlikely to be</w:t>
      </w:r>
      <w:r w:rsidRPr="006A5315">
        <w:rPr>
          <w:szCs w:val="20"/>
        </w:rPr>
        <w:t xml:space="preserve"> </w:t>
      </w:r>
      <w:proofErr w:type="spellStart"/>
      <w:r w:rsidRPr="006A5315">
        <w:rPr>
          <w:szCs w:val="20"/>
        </w:rPr>
        <w:t>bioacumulative</w:t>
      </w:r>
      <w:proofErr w:type="spellEnd"/>
      <w:r w:rsidRPr="006A5315">
        <w:rPr>
          <w:szCs w:val="20"/>
        </w:rPr>
        <w:t xml:space="preserve">. The active ingredient is not surface-active. </w:t>
      </w:r>
      <w:r w:rsidR="00E52B1F" w:rsidRPr="00034911">
        <w:rPr>
          <w:szCs w:val="20"/>
        </w:rPr>
        <w:t xml:space="preserve">There are no </w:t>
      </w:r>
      <w:r w:rsidR="00E52B1F">
        <w:rPr>
          <w:szCs w:val="20"/>
        </w:rPr>
        <w:t xml:space="preserve">safety </w:t>
      </w:r>
      <w:r w:rsidR="00E52B1F" w:rsidRPr="00034911">
        <w:rPr>
          <w:szCs w:val="20"/>
        </w:rPr>
        <w:t xml:space="preserve">properties </w:t>
      </w:r>
      <w:r w:rsidR="00E52B1F">
        <w:rPr>
          <w:szCs w:val="20"/>
        </w:rPr>
        <w:t xml:space="preserve">(e.g. </w:t>
      </w:r>
      <w:r w:rsidR="00E52B1F" w:rsidRPr="00034911">
        <w:rPr>
          <w:szCs w:val="20"/>
        </w:rPr>
        <w:t>flammability, explosive, and/or oxidizing</w:t>
      </w:r>
      <w:r w:rsidR="00E52B1F">
        <w:rPr>
          <w:szCs w:val="20"/>
        </w:rPr>
        <w:t>)</w:t>
      </w:r>
      <w:r w:rsidR="00E52B1F" w:rsidRPr="00034911">
        <w:rPr>
          <w:szCs w:val="20"/>
        </w:rPr>
        <w:t xml:space="preserve"> of concern </w:t>
      </w:r>
      <w:r w:rsidR="00E52B1F">
        <w:rPr>
          <w:szCs w:val="20"/>
        </w:rPr>
        <w:t>regarding</w:t>
      </w:r>
      <w:r w:rsidR="00E52B1F" w:rsidRPr="00034911">
        <w:rPr>
          <w:szCs w:val="20"/>
        </w:rPr>
        <w:t xml:space="preserve"> </w:t>
      </w:r>
      <w:r w:rsidR="00E52B1F" w:rsidRPr="006A5315">
        <w:rPr>
          <w:szCs w:val="20"/>
        </w:rPr>
        <w:t>1-aminocyclopropane-1-carboxylic acid</w:t>
      </w:r>
      <w:r w:rsidR="00E52B1F" w:rsidRPr="00034911">
        <w:rPr>
          <w:szCs w:val="20"/>
        </w:rPr>
        <w:t>.</w:t>
      </w:r>
      <w:r w:rsidR="00E52B1F">
        <w:rPr>
          <w:szCs w:val="20"/>
        </w:rPr>
        <w:t xml:space="preserve"> </w:t>
      </w:r>
      <w:r w:rsidR="00E52B1F" w:rsidRPr="006A5315">
        <w:rPr>
          <w:szCs w:val="20"/>
        </w:rPr>
        <w:t>1-</w:t>
      </w:r>
      <w:r w:rsidR="00C63B9D">
        <w:rPr>
          <w:szCs w:val="20"/>
        </w:rPr>
        <w:t>a</w:t>
      </w:r>
      <w:r w:rsidR="00E52B1F" w:rsidRPr="006A5315">
        <w:rPr>
          <w:szCs w:val="20"/>
        </w:rPr>
        <w:t>minocyclopropane-1-carboxylic acid</w:t>
      </w:r>
      <w:r w:rsidR="00E52B1F">
        <w:rPr>
          <w:szCs w:val="20"/>
        </w:rPr>
        <w:t xml:space="preserve"> is expected to be stable for at least </w:t>
      </w:r>
      <w:r w:rsidR="00C26FC9">
        <w:rPr>
          <w:szCs w:val="20"/>
        </w:rPr>
        <w:t>one</w:t>
      </w:r>
      <w:r w:rsidR="00E52B1F">
        <w:rPr>
          <w:szCs w:val="20"/>
        </w:rPr>
        <w:t xml:space="preserve"> year storage under normal conditions.</w:t>
      </w:r>
    </w:p>
    <w:p w14:paraId="314BA456" w14:textId="60B9FFED" w:rsidR="006D36C8" w:rsidRDefault="00772458" w:rsidP="00772458">
      <w:pPr>
        <w:pStyle w:val="Caption"/>
      </w:pPr>
      <w:bookmarkStart w:id="35" w:name="_Toc228527322"/>
      <w:r>
        <w:t xml:space="preserve">Table </w:t>
      </w:r>
      <w:r>
        <w:fldChar w:fldCharType="begin"/>
      </w:r>
      <w:r>
        <w:instrText xml:space="preserve"> SEQ Table \* ARABIC </w:instrText>
      </w:r>
      <w:r>
        <w:fldChar w:fldCharType="separate"/>
      </w:r>
      <w:r>
        <w:rPr>
          <w:noProof/>
        </w:rPr>
        <w:t>1</w:t>
      </w:r>
      <w:r>
        <w:rPr>
          <w:noProof/>
        </w:rPr>
        <w:fldChar w:fldCharType="end"/>
      </w:r>
      <w:r w:rsidR="006D36C8">
        <w:t>:</w:t>
      </w:r>
      <w:bookmarkEnd w:id="32"/>
      <w:r w:rsidR="007B322A">
        <w:t xml:space="preserve"> </w:t>
      </w:r>
      <w:r w:rsidR="005A2957">
        <w:t xml:space="preserve">Nomenclature and structural formula of the active constituent </w:t>
      </w:r>
      <w:bookmarkEnd w:id="33"/>
      <w:bookmarkEnd w:id="34"/>
      <w:r w:rsidR="00393FE3">
        <w:t>1-aminocyclopropane-1-carboxylic acid</w:t>
      </w:r>
      <w:bookmarkEnd w:id="35"/>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28D8FAE4" w14:textId="77777777" w:rsidTr="00424637">
        <w:trPr>
          <w:tblHeader/>
        </w:trPr>
        <w:tc>
          <w:tcPr>
            <w:tcW w:w="1580" w:type="pct"/>
            <w:tcBorders>
              <w:top w:val="single" w:sz="4" w:space="0" w:color="auto"/>
            </w:tcBorders>
            <w:shd w:val="clear" w:color="auto" w:fill="00747A" w:themeFill="background2"/>
          </w:tcPr>
          <w:p w14:paraId="3DEC4671" w14:textId="77777777" w:rsidR="005A2957" w:rsidRDefault="005A2957" w:rsidP="00424637">
            <w:pPr>
              <w:pStyle w:val="APVMATableHead"/>
            </w:pPr>
            <w:r>
              <w:t>Common name (ISO):</w:t>
            </w:r>
          </w:p>
        </w:tc>
        <w:tc>
          <w:tcPr>
            <w:tcW w:w="3420" w:type="pct"/>
            <w:tcBorders>
              <w:top w:val="single" w:sz="4" w:space="0" w:color="auto"/>
            </w:tcBorders>
          </w:tcPr>
          <w:p w14:paraId="2C5736AB" w14:textId="18508B6F" w:rsidR="005A2957" w:rsidRPr="000E7D12" w:rsidRDefault="000E7D12" w:rsidP="005A2957">
            <w:pPr>
              <w:pStyle w:val="APVMATableText"/>
              <w:rPr>
                <w:szCs w:val="17"/>
              </w:rPr>
            </w:pPr>
            <w:r w:rsidRPr="000E7D12">
              <w:rPr>
                <w:szCs w:val="17"/>
              </w:rPr>
              <w:t>1-</w:t>
            </w:r>
            <w:r w:rsidR="00C63B9D">
              <w:rPr>
                <w:szCs w:val="17"/>
              </w:rPr>
              <w:t>a</w:t>
            </w:r>
            <w:r w:rsidRPr="000E7D12">
              <w:rPr>
                <w:szCs w:val="17"/>
              </w:rPr>
              <w:t>minocyclopropane-1-carboxylic acid</w:t>
            </w:r>
          </w:p>
        </w:tc>
      </w:tr>
      <w:tr w:rsidR="005A2957" w14:paraId="053B54BC" w14:textId="77777777" w:rsidTr="00424637">
        <w:trPr>
          <w:tblHeader/>
        </w:trPr>
        <w:tc>
          <w:tcPr>
            <w:tcW w:w="1580" w:type="pct"/>
            <w:shd w:val="clear" w:color="auto" w:fill="00747A" w:themeFill="background2"/>
          </w:tcPr>
          <w:p w14:paraId="271DBC38" w14:textId="77777777" w:rsidR="005A2957" w:rsidRDefault="005A2957" w:rsidP="00424637">
            <w:pPr>
              <w:pStyle w:val="APVMATableHead"/>
            </w:pPr>
            <w:r>
              <w:t>IUPAC name:</w:t>
            </w:r>
          </w:p>
        </w:tc>
        <w:tc>
          <w:tcPr>
            <w:tcW w:w="3420" w:type="pct"/>
          </w:tcPr>
          <w:p w14:paraId="3ACA7D72" w14:textId="76A8D12C" w:rsidR="005A2957" w:rsidRPr="000E7D12" w:rsidRDefault="000E7D12" w:rsidP="005A2957">
            <w:pPr>
              <w:pStyle w:val="APVMATableText"/>
              <w:rPr>
                <w:szCs w:val="17"/>
              </w:rPr>
            </w:pPr>
            <w:r w:rsidRPr="000E7D12">
              <w:rPr>
                <w:szCs w:val="17"/>
              </w:rPr>
              <w:t>1-aminocyclopropane-1-carboxylic acid</w:t>
            </w:r>
          </w:p>
        </w:tc>
      </w:tr>
      <w:tr w:rsidR="005A2957" w14:paraId="7BD90356" w14:textId="77777777" w:rsidTr="00424637">
        <w:trPr>
          <w:tblHeader/>
        </w:trPr>
        <w:tc>
          <w:tcPr>
            <w:tcW w:w="1580" w:type="pct"/>
            <w:shd w:val="clear" w:color="auto" w:fill="00747A" w:themeFill="background2"/>
          </w:tcPr>
          <w:p w14:paraId="502E6D5D" w14:textId="77777777" w:rsidR="005A2957" w:rsidRDefault="005A2957" w:rsidP="00424637">
            <w:pPr>
              <w:pStyle w:val="APVMATableHead"/>
            </w:pPr>
            <w:r>
              <w:t>CAS registry number:</w:t>
            </w:r>
          </w:p>
        </w:tc>
        <w:tc>
          <w:tcPr>
            <w:tcW w:w="3420" w:type="pct"/>
          </w:tcPr>
          <w:p w14:paraId="2026640D" w14:textId="7B2BF6B3" w:rsidR="005A2957" w:rsidRDefault="000E7D12" w:rsidP="005A2957">
            <w:pPr>
              <w:pStyle w:val="APVMATableText"/>
            </w:pPr>
            <w:r>
              <w:t>22059-21-8</w:t>
            </w:r>
          </w:p>
        </w:tc>
      </w:tr>
      <w:tr w:rsidR="005A2957" w14:paraId="73492F55" w14:textId="77777777" w:rsidTr="00424637">
        <w:trPr>
          <w:tblHeader/>
        </w:trPr>
        <w:tc>
          <w:tcPr>
            <w:tcW w:w="1580" w:type="pct"/>
            <w:shd w:val="clear" w:color="auto" w:fill="00747A" w:themeFill="background2"/>
          </w:tcPr>
          <w:p w14:paraId="4F61F86C" w14:textId="77777777" w:rsidR="005A2957" w:rsidRDefault="005A2957" w:rsidP="00424637">
            <w:pPr>
              <w:pStyle w:val="APVMATableHead"/>
            </w:pPr>
            <w:r>
              <w:t>Molecular formula:</w:t>
            </w:r>
          </w:p>
        </w:tc>
        <w:tc>
          <w:tcPr>
            <w:tcW w:w="3420" w:type="pct"/>
          </w:tcPr>
          <w:p w14:paraId="7C841C93" w14:textId="1612B568" w:rsidR="005A2957" w:rsidRPr="000E7D12" w:rsidRDefault="000E7D12" w:rsidP="005A2957">
            <w:pPr>
              <w:pStyle w:val="APVMATableText"/>
              <w:rPr>
                <w:szCs w:val="17"/>
              </w:rPr>
            </w:pPr>
            <w:r w:rsidRPr="000E7D12">
              <w:rPr>
                <w:szCs w:val="17"/>
              </w:rPr>
              <w:t>C</w:t>
            </w:r>
            <w:r w:rsidRPr="000E7D12">
              <w:rPr>
                <w:szCs w:val="17"/>
                <w:vertAlign w:val="subscript"/>
              </w:rPr>
              <w:t>4</w:t>
            </w:r>
            <w:r w:rsidRPr="000E7D12">
              <w:rPr>
                <w:szCs w:val="17"/>
              </w:rPr>
              <w:t>H</w:t>
            </w:r>
            <w:r w:rsidRPr="000E7D12">
              <w:rPr>
                <w:szCs w:val="17"/>
                <w:vertAlign w:val="subscript"/>
              </w:rPr>
              <w:t>7</w:t>
            </w:r>
            <w:r w:rsidRPr="000E7D12">
              <w:rPr>
                <w:szCs w:val="17"/>
              </w:rPr>
              <w:t>NO</w:t>
            </w:r>
            <w:r w:rsidRPr="000E7D12">
              <w:rPr>
                <w:szCs w:val="17"/>
                <w:vertAlign w:val="subscript"/>
              </w:rPr>
              <w:t>2</w:t>
            </w:r>
          </w:p>
        </w:tc>
      </w:tr>
      <w:tr w:rsidR="005A2957" w14:paraId="343F2DB9" w14:textId="77777777" w:rsidTr="00424637">
        <w:trPr>
          <w:tblHeader/>
        </w:trPr>
        <w:tc>
          <w:tcPr>
            <w:tcW w:w="1580" w:type="pct"/>
            <w:shd w:val="clear" w:color="auto" w:fill="00747A" w:themeFill="background2"/>
          </w:tcPr>
          <w:p w14:paraId="59A9BA80" w14:textId="77777777" w:rsidR="005A2957" w:rsidRDefault="005A2957" w:rsidP="00424637">
            <w:pPr>
              <w:pStyle w:val="APVMATableHead"/>
            </w:pPr>
            <w:r>
              <w:t>Molecular weight:</w:t>
            </w:r>
          </w:p>
        </w:tc>
        <w:tc>
          <w:tcPr>
            <w:tcW w:w="3420" w:type="pct"/>
          </w:tcPr>
          <w:p w14:paraId="5F64AC9F" w14:textId="550266F4" w:rsidR="005A2957" w:rsidRDefault="000E7D12" w:rsidP="005A2957">
            <w:pPr>
              <w:pStyle w:val="APVMATableText"/>
            </w:pPr>
            <w:r>
              <w:t>101.1 g/mol</w:t>
            </w:r>
          </w:p>
        </w:tc>
      </w:tr>
      <w:tr w:rsidR="005A2957" w14:paraId="6B3C96C2" w14:textId="77777777" w:rsidTr="00424637">
        <w:trPr>
          <w:tblHeader/>
        </w:trPr>
        <w:tc>
          <w:tcPr>
            <w:tcW w:w="1580" w:type="pct"/>
            <w:shd w:val="clear" w:color="auto" w:fill="00747A" w:themeFill="background2"/>
          </w:tcPr>
          <w:p w14:paraId="76C9E380" w14:textId="77777777" w:rsidR="005A2957" w:rsidRDefault="005A2957" w:rsidP="00424637">
            <w:pPr>
              <w:pStyle w:val="APVMATableHead"/>
            </w:pPr>
            <w:r>
              <w:t>Structural formula:</w:t>
            </w:r>
          </w:p>
        </w:tc>
        <w:tc>
          <w:tcPr>
            <w:tcW w:w="3420" w:type="pct"/>
          </w:tcPr>
          <w:p w14:paraId="77A73D44" w14:textId="77777777" w:rsidR="000E7D12" w:rsidRDefault="000E7D12" w:rsidP="005A2957">
            <w:pPr>
              <w:pStyle w:val="APVMATableText"/>
            </w:pPr>
          </w:p>
          <w:p w14:paraId="5B5D010D" w14:textId="77777777" w:rsidR="000E7D12" w:rsidRDefault="000E7D12" w:rsidP="005A2957">
            <w:pPr>
              <w:pStyle w:val="APVMATableText"/>
            </w:pPr>
          </w:p>
          <w:p w14:paraId="48C67161" w14:textId="77777777" w:rsidR="000E7D12" w:rsidRDefault="000E7D12" w:rsidP="005A2957">
            <w:pPr>
              <w:pStyle w:val="APVMATableText"/>
            </w:pPr>
          </w:p>
          <w:p w14:paraId="3A29A8C6" w14:textId="7FF86549" w:rsidR="000E7D12" w:rsidRDefault="000E7D12" w:rsidP="005A2957">
            <w:pPr>
              <w:pStyle w:val="APVMATableText"/>
            </w:pPr>
            <w:r>
              <w:rPr>
                <w:noProof/>
              </w:rPr>
              <w:drawing>
                <wp:inline distT="0" distB="0" distL="0" distR="0" wp14:anchorId="7752938F" wp14:editId="510AC3C0">
                  <wp:extent cx="886266" cy="752622"/>
                  <wp:effectExtent l="0" t="0" r="9525" b="0"/>
                  <wp:docPr id="1036964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64564" name=""/>
                          <pic:cNvPicPr/>
                        </pic:nvPicPr>
                        <pic:blipFill>
                          <a:blip r:embed="rId30">
                            <a:extLst>
                              <a:ext uri="{BEBA8EAE-BF5A-486C-A8C5-ECC9F3942E4B}">
                                <a14:imgProps xmlns:a14="http://schemas.microsoft.com/office/drawing/2010/main">
                                  <a14:imgLayer r:embed="rId31">
                                    <a14:imgEffect>
                                      <a14:sharpenSoften amount="50000"/>
                                    </a14:imgEffect>
                                  </a14:imgLayer>
                                </a14:imgProps>
                              </a:ext>
                            </a:extLst>
                          </a:blip>
                          <a:stretch>
                            <a:fillRect/>
                          </a:stretch>
                        </pic:blipFill>
                        <pic:spPr>
                          <a:xfrm>
                            <a:off x="0" y="0"/>
                            <a:ext cx="904587" cy="768180"/>
                          </a:xfrm>
                          <a:prstGeom prst="rect">
                            <a:avLst/>
                          </a:prstGeom>
                        </pic:spPr>
                      </pic:pic>
                    </a:graphicData>
                  </a:graphic>
                </wp:inline>
              </w:drawing>
            </w:r>
          </w:p>
        </w:tc>
      </w:tr>
    </w:tbl>
    <w:p w14:paraId="672FE812" w14:textId="77777777" w:rsidR="005A2957" w:rsidRDefault="005A2957" w:rsidP="00772458">
      <w:pPr>
        <w:pStyle w:val="APVMAText"/>
      </w:pPr>
      <w:bookmarkStart w:id="36" w:name="_Toc252955167"/>
      <w:r>
        <w:br w:type="page"/>
      </w:r>
    </w:p>
    <w:p w14:paraId="33E6F1E7" w14:textId="5AA5FD19" w:rsidR="006D36C8" w:rsidRDefault="00772458" w:rsidP="00772458">
      <w:pPr>
        <w:pStyle w:val="Caption"/>
      </w:pPr>
      <w:bookmarkStart w:id="37" w:name="_Toc56686266"/>
      <w:bookmarkStart w:id="38" w:name="_Toc56686279"/>
      <w:bookmarkStart w:id="39" w:name="_Toc228527323"/>
      <w:r>
        <w:lastRenderedPageBreak/>
        <w:t xml:space="preserve">Table </w:t>
      </w:r>
      <w:r>
        <w:fldChar w:fldCharType="begin"/>
      </w:r>
      <w:r>
        <w:instrText xml:space="preserve"> SEQ Table \* ARABIC </w:instrText>
      </w:r>
      <w:r>
        <w:fldChar w:fldCharType="separate"/>
      </w:r>
      <w:r>
        <w:rPr>
          <w:noProof/>
        </w:rPr>
        <w:t>2</w:t>
      </w:r>
      <w:r>
        <w:rPr>
          <w:noProof/>
        </w:rPr>
        <w:fldChar w:fldCharType="end"/>
      </w:r>
      <w:r w:rsidR="006D36C8">
        <w:t>:</w:t>
      </w:r>
      <w:bookmarkEnd w:id="36"/>
      <w:r w:rsidR="007B322A">
        <w:t xml:space="preserve"> </w:t>
      </w:r>
      <w:r w:rsidR="005A2957">
        <w:t xml:space="preserve">Key physicochemical properties of the active constituent </w:t>
      </w:r>
      <w:bookmarkEnd w:id="37"/>
      <w:bookmarkEnd w:id="38"/>
      <w:r w:rsidR="00393FE3">
        <w:t>1-aminocyclopropane-1-carboxylic acid</w:t>
      </w:r>
      <w:bookmarkEnd w:id="39"/>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46"/>
        <w:gridCol w:w="6592"/>
      </w:tblGrid>
      <w:tr w:rsidR="005A2957" w14:paraId="5B019962" w14:textId="77777777" w:rsidTr="00424637">
        <w:trPr>
          <w:tblHeader/>
        </w:trPr>
        <w:tc>
          <w:tcPr>
            <w:tcW w:w="1580" w:type="pct"/>
            <w:shd w:val="clear" w:color="auto" w:fill="00747A" w:themeFill="background2"/>
          </w:tcPr>
          <w:p w14:paraId="3DDAEBF5" w14:textId="77777777" w:rsidR="005A2957" w:rsidRDefault="005A2957" w:rsidP="00424637">
            <w:pPr>
              <w:pStyle w:val="APVMATableHead"/>
            </w:pPr>
            <w:r>
              <w:t>Physical form:</w:t>
            </w:r>
          </w:p>
        </w:tc>
        <w:tc>
          <w:tcPr>
            <w:tcW w:w="3420" w:type="pct"/>
          </w:tcPr>
          <w:p w14:paraId="129AE2F5" w14:textId="76943CAE" w:rsidR="005A2957" w:rsidRDefault="00393FE3" w:rsidP="00D21782">
            <w:pPr>
              <w:pStyle w:val="APVMATableText"/>
            </w:pPr>
            <w:r>
              <w:t>Solid</w:t>
            </w:r>
          </w:p>
        </w:tc>
      </w:tr>
      <w:tr w:rsidR="005A2957" w14:paraId="5A415293" w14:textId="77777777" w:rsidTr="00424637">
        <w:trPr>
          <w:tblHeader/>
        </w:trPr>
        <w:tc>
          <w:tcPr>
            <w:tcW w:w="1580" w:type="pct"/>
            <w:shd w:val="clear" w:color="auto" w:fill="00747A" w:themeFill="background2"/>
          </w:tcPr>
          <w:p w14:paraId="67663045" w14:textId="77777777" w:rsidR="005A2957" w:rsidRDefault="005A2957" w:rsidP="00424637">
            <w:pPr>
              <w:pStyle w:val="APVMATableHead"/>
            </w:pPr>
            <w:r>
              <w:t>Colour:</w:t>
            </w:r>
          </w:p>
        </w:tc>
        <w:tc>
          <w:tcPr>
            <w:tcW w:w="3420" w:type="pct"/>
          </w:tcPr>
          <w:p w14:paraId="5656C7F1" w14:textId="5E331906" w:rsidR="005A2957" w:rsidRPr="00393FE3" w:rsidRDefault="00393FE3" w:rsidP="00D21782">
            <w:pPr>
              <w:pStyle w:val="APVMATableText"/>
              <w:rPr>
                <w:szCs w:val="17"/>
              </w:rPr>
            </w:pPr>
            <w:r w:rsidRPr="00393FE3">
              <w:rPr>
                <w:szCs w:val="17"/>
              </w:rPr>
              <w:t>White to o</w:t>
            </w:r>
            <w:r w:rsidRPr="00393FE3">
              <w:rPr>
                <w:kern w:val="22"/>
                <w:szCs w:val="17"/>
              </w:rPr>
              <w:t xml:space="preserve">ff-white crystalline </w:t>
            </w:r>
            <w:r w:rsidRPr="00393FE3">
              <w:rPr>
                <w:szCs w:val="17"/>
              </w:rPr>
              <w:t>powder with some agglomerates</w:t>
            </w:r>
          </w:p>
        </w:tc>
      </w:tr>
      <w:tr w:rsidR="005A2957" w14:paraId="0999E561" w14:textId="77777777" w:rsidTr="00424637">
        <w:trPr>
          <w:tblHeader/>
        </w:trPr>
        <w:tc>
          <w:tcPr>
            <w:tcW w:w="1580" w:type="pct"/>
            <w:shd w:val="clear" w:color="auto" w:fill="00747A" w:themeFill="background2"/>
          </w:tcPr>
          <w:p w14:paraId="0787760C" w14:textId="77777777" w:rsidR="005A2957" w:rsidRDefault="005A2957" w:rsidP="00424637">
            <w:pPr>
              <w:pStyle w:val="APVMATableHead"/>
            </w:pPr>
            <w:r>
              <w:t>Melting point:</w:t>
            </w:r>
          </w:p>
        </w:tc>
        <w:tc>
          <w:tcPr>
            <w:tcW w:w="3420" w:type="pct"/>
          </w:tcPr>
          <w:p w14:paraId="72C84F5F" w14:textId="732BE3DF" w:rsidR="005A2957" w:rsidRDefault="00393FE3" w:rsidP="00D21782">
            <w:pPr>
              <w:pStyle w:val="APVMATableText"/>
            </w:pPr>
            <w:r>
              <w:t>160</w:t>
            </w:r>
            <w:r w:rsidR="005A2957">
              <w:t>°C</w:t>
            </w:r>
          </w:p>
        </w:tc>
      </w:tr>
      <w:tr w:rsidR="005A2957" w14:paraId="186E1016" w14:textId="77777777" w:rsidTr="00424637">
        <w:trPr>
          <w:tblHeader/>
        </w:trPr>
        <w:tc>
          <w:tcPr>
            <w:tcW w:w="1580" w:type="pct"/>
            <w:shd w:val="clear" w:color="auto" w:fill="00747A" w:themeFill="background2"/>
          </w:tcPr>
          <w:p w14:paraId="70016312" w14:textId="77777777" w:rsidR="005A2957" w:rsidRDefault="005A2957" w:rsidP="00424637">
            <w:pPr>
              <w:pStyle w:val="APVMATableHead"/>
            </w:pPr>
            <w:r>
              <w:t>Boiling point:</w:t>
            </w:r>
          </w:p>
        </w:tc>
        <w:tc>
          <w:tcPr>
            <w:tcW w:w="3420" w:type="pct"/>
          </w:tcPr>
          <w:p w14:paraId="0042A985" w14:textId="060588C5" w:rsidR="005A2957" w:rsidRPr="00393FE3" w:rsidRDefault="00393FE3" w:rsidP="00D21782">
            <w:pPr>
              <w:pStyle w:val="APVMATableText"/>
              <w:rPr>
                <w:szCs w:val="17"/>
              </w:rPr>
            </w:pPr>
            <w:r w:rsidRPr="00393FE3">
              <w:rPr>
                <w:kern w:val="22"/>
                <w:szCs w:val="17"/>
              </w:rPr>
              <w:t>Not determined as decomposes on melting</w:t>
            </w:r>
          </w:p>
        </w:tc>
      </w:tr>
      <w:tr w:rsidR="005A2957" w14:paraId="7E10FDED" w14:textId="77777777" w:rsidTr="00424637">
        <w:trPr>
          <w:tblHeader/>
        </w:trPr>
        <w:tc>
          <w:tcPr>
            <w:tcW w:w="1580" w:type="pct"/>
            <w:shd w:val="clear" w:color="auto" w:fill="00747A" w:themeFill="background2"/>
          </w:tcPr>
          <w:p w14:paraId="516BDB62" w14:textId="3973BFF0" w:rsidR="005A2957" w:rsidRDefault="00393FE3" w:rsidP="00424637">
            <w:pPr>
              <w:pStyle w:val="APVMATableHead"/>
            </w:pPr>
            <w:r>
              <w:t>Relative</w:t>
            </w:r>
            <w:r w:rsidR="005A2957">
              <w:t xml:space="preserve"> density</w:t>
            </w:r>
          </w:p>
        </w:tc>
        <w:tc>
          <w:tcPr>
            <w:tcW w:w="3420" w:type="pct"/>
          </w:tcPr>
          <w:p w14:paraId="31CC1A12" w14:textId="157C3B7F" w:rsidR="005A2957" w:rsidRPr="00EA7005" w:rsidRDefault="00393FE3" w:rsidP="00D21782">
            <w:pPr>
              <w:pStyle w:val="APVMATableText"/>
            </w:pPr>
            <w:r w:rsidRPr="00034911">
              <w:rPr>
                <w:kern w:val="22"/>
                <w:szCs w:val="17"/>
              </w:rPr>
              <w:t>1.</w:t>
            </w:r>
            <w:r>
              <w:rPr>
                <w:kern w:val="22"/>
                <w:szCs w:val="17"/>
              </w:rPr>
              <w:t>26 g/cm</w:t>
            </w:r>
            <w:r w:rsidRPr="007F0408">
              <w:rPr>
                <w:kern w:val="22"/>
                <w:szCs w:val="17"/>
                <w:vertAlign w:val="superscript"/>
              </w:rPr>
              <w:t>3</w:t>
            </w:r>
            <w:r w:rsidRPr="00034911">
              <w:rPr>
                <w:kern w:val="22"/>
                <w:szCs w:val="17"/>
              </w:rPr>
              <w:t xml:space="preserve"> at </w:t>
            </w:r>
            <w:r w:rsidRPr="00034911">
              <w:rPr>
                <w:szCs w:val="17"/>
                <w:lang w:eastAsia="en-AU"/>
              </w:rPr>
              <w:t>20</w:t>
            </w:r>
            <w:r>
              <w:rPr>
                <w:szCs w:val="17"/>
                <w:lang w:eastAsia="en-AU"/>
              </w:rPr>
              <w:t xml:space="preserve"> </w:t>
            </w:r>
            <w:r>
              <w:t>°C</w:t>
            </w:r>
          </w:p>
        </w:tc>
      </w:tr>
      <w:tr w:rsidR="005A2957" w14:paraId="35671A5B" w14:textId="77777777" w:rsidTr="00424637">
        <w:trPr>
          <w:trHeight w:val="613"/>
          <w:tblHeader/>
        </w:trPr>
        <w:tc>
          <w:tcPr>
            <w:tcW w:w="1580" w:type="pct"/>
            <w:tcBorders>
              <w:bottom w:val="single" w:sz="4" w:space="0" w:color="auto"/>
            </w:tcBorders>
            <w:shd w:val="clear" w:color="auto" w:fill="00747A" w:themeFill="background2"/>
          </w:tcPr>
          <w:p w14:paraId="6CEA61AF" w14:textId="77777777" w:rsidR="005A2957" w:rsidRDefault="005A2957" w:rsidP="00424637">
            <w:pPr>
              <w:pStyle w:val="APVMATableHead"/>
            </w:pPr>
            <w:r>
              <w:t>Stability:</w:t>
            </w:r>
          </w:p>
        </w:tc>
        <w:tc>
          <w:tcPr>
            <w:tcW w:w="3420" w:type="pct"/>
          </w:tcPr>
          <w:p w14:paraId="76B268B0" w14:textId="495E46A1" w:rsidR="005A2957" w:rsidRPr="00EA7005" w:rsidRDefault="00393FE3" w:rsidP="00D21782">
            <w:pPr>
              <w:pStyle w:val="APVMATableText"/>
            </w:pPr>
            <w:r>
              <w:rPr>
                <w:kern w:val="22"/>
                <w:szCs w:val="17"/>
              </w:rPr>
              <w:t>At</w:t>
            </w:r>
            <w:r w:rsidRPr="00AE06B0">
              <w:rPr>
                <w:kern w:val="22"/>
                <w:szCs w:val="17"/>
              </w:rPr>
              <w:t xml:space="preserve"> </w:t>
            </w:r>
            <w:r>
              <w:rPr>
                <w:kern w:val="22"/>
                <w:szCs w:val="17"/>
              </w:rPr>
              <w:t>ambient</w:t>
            </w:r>
            <w:r w:rsidRPr="00AE06B0">
              <w:rPr>
                <w:kern w:val="22"/>
                <w:szCs w:val="17"/>
              </w:rPr>
              <w:t xml:space="preserve"> </w:t>
            </w:r>
            <w:r>
              <w:rPr>
                <w:kern w:val="22"/>
                <w:szCs w:val="17"/>
              </w:rPr>
              <w:t>temperature,</w:t>
            </w:r>
            <w:r w:rsidRPr="00AE06B0">
              <w:rPr>
                <w:kern w:val="22"/>
                <w:szCs w:val="17"/>
              </w:rPr>
              <w:t xml:space="preserve"> </w:t>
            </w:r>
            <w:r w:rsidRPr="000E7D12">
              <w:rPr>
                <w:szCs w:val="17"/>
              </w:rPr>
              <w:t>1-aminocyclopropane-1-carboxylic acid</w:t>
            </w:r>
            <w:r w:rsidRPr="00AE06B0">
              <w:rPr>
                <w:kern w:val="22"/>
                <w:szCs w:val="17"/>
              </w:rPr>
              <w:t xml:space="preserve"> </w:t>
            </w:r>
            <w:r>
              <w:rPr>
                <w:kern w:val="22"/>
                <w:szCs w:val="17"/>
              </w:rPr>
              <w:t>was shown to be</w:t>
            </w:r>
            <w:r w:rsidRPr="00AE06B0">
              <w:rPr>
                <w:kern w:val="22"/>
                <w:szCs w:val="17"/>
              </w:rPr>
              <w:t xml:space="preserve"> stable </w:t>
            </w:r>
            <w:r>
              <w:rPr>
                <w:kern w:val="22"/>
                <w:szCs w:val="17"/>
              </w:rPr>
              <w:t>during storage for at least one year. At elevated temperatures</w:t>
            </w:r>
            <w:r w:rsidRPr="00AE06B0">
              <w:rPr>
                <w:kern w:val="22"/>
                <w:szCs w:val="17"/>
              </w:rPr>
              <w:t xml:space="preserve">, </w:t>
            </w:r>
            <w:r>
              <w:rPr>
                <w:kern w:val="22"/>
                <w:szCs w:val="17"/>
              </w:rPr>
              <w:t>no changes in the active were observed after two weeks storage at 54 ºC</w:t>
            </w:r>
            <w:r w:rsidRPr="00AE06B0">
              <w:rPr>
                <w:kern w:val="22"/>
                <w:szCs w:val="17"/>
              </w:rPr>
              <w:t>.</w:t>
            </w:r>
            <w:r>
              <w:rPr>
                <w:kern w:val="22"/>
                <w:sz w:val="24"/>
              </w:rPr>
              <w:t xml:space="preserve"> </w:t>
            </w:r>
            <w:r w:rsidRPr="00AE06B0">
              <w:rPr>
                <w:szCs w:val="17"/>
              </w:rPr>
              <w:t>No adverse reaction</w:t>
            </w:r>
            <w:r>
              <w:rPr>
                <w:szCs w:val="17"/>
              </w:rPr>
              <w:t>s</w:t>
            </w:r>
            <w:r w:rsidRPr="00AE06B0">
              <w:rPr>
                <w:szCs w:val="17"/>
              </w:rPr>
              <w:t xml:space="preserve"> </w:t>
            </w:r>
            <w:r>
              <w:rPr>
                <w:szCs w:val="17"/>
              </w:rPr>
              <w:t>with</w:t>
            </w:r>
            <w:r w:rsidRPr="00AE06B0">
              <w:rPr>
                <w:szCs w:val="17"/>
              </w:rPr>
              <w:t xml:space="preserve"> </w:t>
            </w:r>
            <w:r>
              <w:rPr>
                <w:szCs w:val="17"/>
              </w:rPr>
              <w:t xml:space="preserve">iron, aluminium, zinc or </w:t>
            </w:r>
            <w:r w:rsidR="00732A46">
              <w:rPr>
                <w:szCs w:val="17"/>
              </w:rPr>
              <w:t xml:space="preserve">iron acetate, </w:t>
            </w:r>
            <w:r>
              <w:rPr>
                <w:szCs w:val="17"/>
              </w:rPr>
              <w:t>aluminium acetate</w:t>
            </w:r>
            <w:r w:rsidR="00732A46">
              <w:rPr>
                <w:szCs w:val="17"/>
              </w:rPr>
              <w:t xml:space="preserve"> and zinc acetate </w:t>
            </w:r>
            <w:r>
              <w:rPr>
                <w:szCs w:val="17"/>
              </w:rPr>
              <w:t>were observed following storage at</w:t>
            </w:r>
            <w:r>
              <w:rPr>
                <w:kern w:val="22"/>
                <w:szCs w:val="17"/>
              </w:rPr>
              <w:t xml:space="preserve"> 54 ºC</w:t>
            </w:r>
            <w:r>
              <w:rPr>
                <w:szCs w:val="17"/>
              </w:rPr>
              <w:t xml:space="preserve"> for</w:t>
            </w:r>
            <w:r w:rsidRPr="00AE06B0">
              <w:rPr>
                <w:szCs w:val="17"/>
              </w:rPr>
              <w:t xml:space="preserve"> </w:t>
            </w:r>
            <w:r>
              <w:rPr>
                <w:szCs w:val="17"/>
              </w:rPr>
              <w:t>2 weeks</w:t>
            </w:r>
            <w:r>
              <w:rPr>
                <w:kern w:val="22"/>
                <w:szCs w:val="17"/>
              </w:rPr>
              <w:t xml:space="preserve">. Technical </w:t>
            </w:r>
            <w:r w:rsidR="00732A46" w:rsidRPr="000E7D12">
              <w:rPr>
                <w:szCs w:val="17"/>
              </w:rPr>
              <w:t>1-aminocyclopropane-1-carboxylic acid</w:t>
            </w:r>
            <w:r>
              <w:rPr>
                <w:kern w:val="22"/>
                <w:szCs w:val="17"/>
              </w:rPr>
              <w:t xml:space="preserve"> is therefore expected to be stable on storage for at least two years under normal conditions.</w:t>
            </w:r>
          </w:p>
        </w:tc>
      </w:tr>
      <w:tr w:rsidR="005A2957" w14:paraId="4DA5E8E2" w14:textId="77777777" w:rsidTr="00424637">
        <w:trPr>
          <w:tblHeader/>
        </w:trPr>
        <w:tc>
          <w:tcPr>
            <w:tcW w:w="1580" w:type="pct"/>
            <w:tcBorders>
              <w:bottom w:val="single" w:sz="4" w:space="0" w:color="auto"/>
            </w:tcBorders>
            <w:shd w:val="clear" w:color="auto" w:fill="00747A" w:themeFill="background2"/>
          </w:tcPr>
          <w:p w14:paraId="4F6AD69F" w14:textId="77777777" w:rsidR="005A2957" w:rsidRDefault="005A2957" w:rsidP="00424637">
            <w:pPr>
              <w:pStyle w:val="APVMATableHead"/>
            </w:pPr>
            <w:r>
              <w:t>Safety properties:</w:t>
            </w:r>
          </w:p>
        </w:tc>
        <w:tc>
          <w:tcPr>
            <w:tcW w:w="3420" w:type="pct"/>
          </w:tcPr>
          <w:p w14:paraId="50B86921" w14:textId="10652424" w:rsidR="005A2957" w:rsidRPr="00EA7005" w:rsidRDefault="00732A46" w:rsidP="00D21782">
            <w:pPr>
              <w:pStyle w:val="APVMATableText"/>
            </w:pPr>
            <w:r>
              <w:rPr>
                <w:szCs w:val="17"/>
              </w:rPr>
              <w:t xml:space="preserve">Not considered flammable. Not </w:t>
            </w:r>
            <w:r w:rsidRPr="00AE06B0">
              <w:rPr>
                <w:szCs w:val="17"/>
              </w:rPr>
              <w:t>explosive</w:t>
            </w:r>
            <w:r>
              <w:rPr>
                <w:szCs w:val="17"/>
              </w:rPr>
              <w:t>. Not auto-flammable</w:t>
            </w:r>
            <w:r>
              <w:t>.</w:t>
            </w:r>
            <w:r w:rsidRPr="00AE06B0">
              <w:rPr>
                <w:szCs w:val="17"/>
              </w:rPr>
              <w:t xml:space="preserve"> Except </w:t>
            </w:r>
            <w:r>
              <w:rPr>
                <w:szCs w:val="17"/>
              </w:rPr>
              <w:t>for photochemical degradation</w:t>
            </w:r>
            <w:r w:rsidRPr="00AE06B0">
              <w:rPr>
                <w:szCs w:val="17"/>
              </w:rPr>
              <w:t xml:space="preserve"> </w:t>
            </w:r>
            <w:r>
              <w:rPr>
                <w:szCs w:val="17"/>
              </w:rPr>
              <w:t>in</w:t>
            </w:r>
            <w:r w:rsidRPr="00AE06B0">
              <w:rPr>
                <w:szCs w:val="17"/>
              </w:rPr>
              <w:t xml:space="preserve"> </w:t>
            </w:r>
            <w:r>
              <w:rPr>
                <w:szCs w:val="17"/>
              </w:rPr>
              <w:t>atmospheric oxidation</w:t>
            </w:r>
            <w:r w:rsidRPr="00AE06B0">
              <w:rPr>
                <w:szCs w:val="17"/>
              </w:rPr>
              <w:t xml:space="preserve">, the </w:t>
            </w:r>
            <w:r w:rsidRPr="000E7D12">
              <w:rPr>
                <w:szCs w:val="17"/>
              </w:rPr>
              <w:t>1-aminocyclopropane-1-carboxylic acid</w:t>
            </w:r>
            <w:r w:rsidRPr="00AE06B0">
              <w:rPr>
                <w:szCs w:val="17"/>
              </w:rPr>
              <w:t xml:space="preserve"> technical does not show any chemical</w:t>
            </w:r>
            <w:r>
              <w:rPr>
                <w:szCs w:val="17"/>
              </w:rPr>
              <w:t xml:space="preserve"> incompatibility with oxidising and</w:t>
            </w:r>
            <w:r w:rsidRPr="00AE06B0">
              <w:rPr>
                <w:szCs w:val="17"/>
              </w:rPr>
              <w:t xml:space="preserve"> reducing agents.</w:t>
            </w:r>
          </w:p>
        </w:tc>
      </w:tr>
      <w:tr w:rsidR="005A2957" w14:paraId="0FB35A53" w14:textId="77777777" w:rsidTr="00424637">
        <w:trPr>
          <w:tblHeader/>
        </w:trPr>
        <w:tc>
          <w:tcPr>
            <w:tcW w:w="1580" w:type="pct"/>
            <w:tcBorders>
              <w:top w:val="single" w:sz="4" w:space="0" w:color="auto"/>
            </w:tcBorders>
            <w:shd w:val="clear" w:color="auto" w:fill="00747A" w:themeFill="background2"/>
          </w:tcPr>
          <w:p w14:paraId="70E41465" w14:textId="77777777" w:rsidR="005A2957" w:rsidRDefault="005A2957" w:rsidP="00424637">
            <w:pPr>
              <w:pStyle w:val="APVMATableHead"/>
            </w:pPr>
            <w:r>
              <w:t>Solubility in water:</w:t>
            </w:r>
          </w:p>
        </w:tc>
        <w:tc>
          <w:tcPr>
            <w:tcW w:w="3420" w:type="pct"/>
          </w:tcPr>
          <w:p w14:paraId="78EF4EEA" w14:textId="095AC8F6" w:rsidR="005A2957" w:rsidRPr="00EA7005" w:rsidRDefault="006F1E3F" w:rsidP="00D21782">
            <w:pPr>
              <w:pStyle w:val="APVMATableText"/>
            </w:pPr>
            <w:r>
              <w:rPr>
                <w:kern w:val="22"/>
                <w:szCs w:val="17"/>
              </w:rPr>
              <w:t xml:space="preserve">68 </w:t>
            </w:r>
            <w:r w:rsidRPr="00F94702">
              <w:rPr>
                <w:kern w:val="22"/>
                <w:szCs w:val="17"/>
              </w:rPr>
              <w:t>g/</w:t>
            </w:r>
            <w:r>
              <w:rPr>
                <w:kern w:val="22"/>
                <w:szCs w:val="17"/>
              </w:rPr>
              <w:t>L at 20</w:t>
            </w:r>
            <w:r w:rsidRPr="00F94702">
              <w:rPr>
                <w:kern w:val="22"/>
                <w:szCs w:val="17"/>
              </w:rPr>
              <w:t xml:space="preserve"> ºC</w:t>
            </w:r>
          </w:p>
        </w:tc>
      </w:tr>
      <w:tr w:rsidR="005A2957" w14:paraId="1DD2F6D2" w14:textId="77777777" w:rsidTr="00424637">
        <w:trPr>
          <w:tblHeader/>
        </w:trPr>
        <w:tc>
          <w:tcPr>
            <w:tcW w:w="1580" w:type="pct"/>
            <w:shd w:val="clear" w:color="auto" w:fill="00747A" w:themeFill="background2"/>
          </w:tcPr>
          <w:p w14:paraId="6E9CEA9B" w14:textId="77777777" w:rsidR="005A2957" w:rsidRDefault="005A2957" w:rsidP="00424637">
            <w:pPr>
              <w:pStyle w:val="APVMATableHead"/>
            </w:pPr>
            <w:r>
              <w:t>Organic solvent solubility:</w:t>
            </w:r>
          </w:p>
        </w:tc>
        <w:tc>
          <w:tcPr>
            <w:tcW w:w="3420" w:type="pct"/>
          </w:tcPr>
          <w:p w14:paraId="53BF215D" w14:textId="5CE73D96" w:rsidR="006F1E3F" w:rsidRPr="006F1E3F" w:rsidRDefault="006F1E3F" w:rsidP="00D21782">
            <w:pPr>
              <w:spacing w:before="120" w:after="120" w:line="210" w:lineRule="exact"/>
              <w:rPr>
                <w:kern w:val="22"/>
                <w:sz w:val="17"/>
                <w:szCs w:val="17"/>
              </w:rPr>
            </w:pPr>
            <w:r w:rsidRPr="006F1E3F">
              <w:rPr>
                <w:kern w:val="22"/>
                <w:sz w:val="17"/>
                <w:szCs w:val="17"/>
              </w:rPr>
              <w:t xml:space="preserve">Hexane: &lt; 0.2 mg/L </w:t>
            </w:r>
          </w:p>
          <w:p w14:paraId="666FDCE0" w14:textId="77777777" w:rsidR="006F1E3F" w:rsidRPr="006F1E3F" w:rsidRDefault="006F1E3F" w:rsidP="00D21782">
            <w:pPr>
              <w:spacing w:before="120" w:after="120" w:line="210" w:lineRule="exact"/>
              <w:rPr>
                <w:kern w:val="22"/>
                <w:sz w:val="17"/>
                <w:szCs w:val="17"/>
              </w:rPr>
            </w:pPr>
            <w:r w:rsidRPr="006F1E3F">
              <w:rPr>
                <w:kern w:val="22"/>
                <w:sz w:val="17"/>
                <w:szCs w:val="17"/>
              </w:rPr>
              <w:t xml:space="preserve">Xylene: &lt; 0.2 mg/L </w:t>
            </w:r>
          </w:p>
          <w:p w14:paraId="6C797362" w14:textId="77777777" w:rsidR="006F1E3F" w:rsidRPr="006F1E3F" w:rsidRDefault="006F1E3F" w:rsidP="00D21782">
            <w:pPr>
              <w:spacing w:before="120" w:after="120" w:line="210" w:lineRule="exact"/>
              <w:rPr>
                <w:kern w:val="22"/>
                <w:sz w:val="17"/>
                <w:szCs w:val="17"/>
              </w:rPr>
            </w:pPr>
            <w:r w:rsidRPr="006F1E3F">
              <w:rPr>
                <w:kern w:val="22"/>
                <w:sz w:val="17"/>
                <w:szCs w:val="17"/>
              </w:rPr>
              <w:t>Dichloromethane: &lt; 0.2 mg/L</w:t>
            </w:r>
          </w:p>
          <w:p w14:paraId="0A4C7A08" w14:textId="77777777" w:rsidR="006F1E3F" w:rsidRPr="006F1E3F" w:rsidRDefault="006F1E3F" w:rsidP="00D21782">
            <w:pPr>
              <w:spacing w:before="120" w:after="120" w:line="210" w:lineRule="exact"/>
              <w:rPr>
                <w:kern w:val="22"/>
                <w:sz w:val="17"/>
                <w:szCs w:val="17"/>
              </w:rPr>
            </w:pPr>
            <w:r w:rsidRPr="006F1E3F">
              <w:rPr>
                <w:kern w:val="22"/>
                <w:sz w:val="17"/>
                <w:szCs w:val="17"/>
              </w:rPr>
              <w:t>Ethyl acetate: &lt; 1 mg/L</w:t>
            </w:r>
          </w:p>
          <w:p w14:paraId="32F22919" w14:textId="77777777" w:rsidR="006F1E3F" w:rsidRPr="006F1E3F" w:rsidRDefault="006F1E3F" w:rsidP="00D21782">
            <w:pPr>
              <w:spacing w:before="120" w:after="120" w:line="210" w:lineRule="exact"/>
              <w:rPr>
                <w:kern w:val="22"/>
                <w:sz w:val="17"/>
                <w:szCs w:val="17"/>
              </w:rPr>
            </w:pPr>
            <w:r w:rsidRPr="006F1E3F">
              <w:rPr>
                <w:kern w:val="22"/>
                <w:sz w:val="17"/>
                <w:szCs w:val="17"/>
              </w:rPr>
              <w:t>Acetone: 300 mg/L</w:t>
            </w:r>
          </w:p>
          <w:p w14:paraId="14E12EF4" w14:textId="0F1F73A9" w:rsidR="005A2957" w:rsidRPr="006F1E3F" w:rsidRDefault="006F1E3F" w:rsidP="00D21782">
            <w:pPr>
              <w:pStyle w:val="APVMATableText"/>
              <w:rPr>
                <w:szCs w:val="17"/>
              </w:rPr>
            </w:pPr>
            <w:r w:rsidRPr="006F1E3F">
              <w:rPr>
                <w:kern w:val="22"/>
                <w:szCs w:val="17"/>
              </w:rPr>
              <w:t>Methanol: 3500 g/L</w:t>
            </w:r>
          </w:p>
        </w:tc>
      </w:tr>
      <w:tr w:rsidR="005A2957" w14:paraId="3C4FC544" w14:textId="77777777" w:rsidTr="00424637">
        <w:trPr>
          <w:tblHeader/>
        </w:trPr>
        <w:tc>
          <w:tcPr>
            <w:tcW w:w="1580" w:type="pct"/>
            <w:shd w:val="clear" w:color="auto" w:fill="00747A" w:themeFill="background2"/>
          </w:tcPr>
          <w:p w14:paraId="4153A843" w14:textId="77777777" w:rsidR="005A2957" w:rsidRDefault="007B74E9" w:rsidP="00424637">
            <w:pPr>
              <w:pStyle w:val="APVMATableHead"/>
            </w:pPr>
            <w:r>
              <w:t>Dissociation constant (PK</w:t>
            </w:r>
            <w:r w:rsidR="005A2957" w:rsidRPr="00B75B0D">
              <w:rPr>
                <w:vertAlign w:val="subscript"/>
              </w:rPr>
              <w:t>a</w:t>
            </w:r>
            <w:r w:rsidR="005A2957" w:rsidRPr="009A5578">
              <w:t>)</w:t>
            </w:r>
            <w:r w:rsidR="005A2957">
              <w:t>:</w:t>
            </w:r>
          </w:p>
        </w:tc>
        <w:tc>
          <w:tcPr>
            <w:tcW w:w="3420" w:type="pct"/>
          </w:tcPr>
          <w:p w14:paraId="416AE13D" w14:textId="11E7B4DF" w:rsidR="005A2957" w:rsidRPr="006F1E3F" w:rsidRDefault="006F1E3F" w:rsidP="00D21782">
            <w:pPr>
              <w:pStyle w:val="APVMATableText"/>
              <w:rPr>
                <w:szCs w:val="17"/>
              </w:rPr>
            </w:pPr>
            <w:r w:rsidRPr="006F1E3F">
              <w:rPr>
                <w:kern w:val="22"/>
                <w:szCs w:val="17"/>
              </w:rPr>
              <w:t>pKa = 8.8</w:t>
            </w:r>
          </w:p>
        </w:tc>
      </w:tr>
      <w:tr w:rsidR="005A2957" w14:paraId="32AACE61" w14:textId="77777777" w:rsidTr="00424637">
        <w:trPr>
          <w:tblHeader/>
        </w:trPr>
        <w:tc>
          <w:tcPr>
            <w:tcW w:w="1580" w:type="pct"/>
            <w:shd w:val="clear" w:color="auto" w:fill="00747A" w:themeFill="background2"/>
          </w:tcPr>
          <w:p w14:paraId="5B4F8EF4" w14:textId="77777777" w:rsidR="005A2957" w:rsidRDefault="005A2957" w:rsidP="00424637">
            <w:pPr>
              <w:pStyle w:val="APVMATableHead"/>
            </w:pPr>
            <w:r>
              <w:t>PH:</w:t>
            </w:r>
          </w:p>
        </w:tc>
        <w:tc>
          <w:tcPr>
            <w:tcW w:w="3420" w:type="pct"/>
          </w:tcPr>
          <w:p w14:paraId="162C0AE6" w14:textId="4F0A91F2" w:rsidR="005A2957" w:rsidRPr="00EA7005" w:rsidRDefault="006F1E3F" w:rsidP="00D21782">
            <w:pPr>
              <w:pStyle w:val="APVMATableText"/>
            </w:pPr>
            <w:r w:rsidRPr="00600980">
              <w:rPr>
                <w:kern w:val="22"/>
                <w:szCs w:val="17"/>
              </w:rPr>
              <w:t xml:space="preserve">pH </w:t>
            </w:r>
            <w:r>
              <w:rPr>
                <w:kern w:val="22"/>
                <w:szCs w:val="17"/>
              </w:rPr>
              <w:t>5.6</w:t>
            </w:r>
            <w:r w:rsidRPr="00600980">
              <w:rPr>
                <w:kern w:val="22"/>
                <w:szCs w:val="17"/>
              </w:rPr>
              <w:t xml:space="preserve"> at </w:t>
            </w:r>
            <w:r>
              <w:rPr>
                <w:kern w:val="22"/>
                <w:szCs w:val="17"/>
              </w:rPr>
              <w:t>a 1% dilution in pure water at 20</w:t>
            </w:r>
            <w:r w:rsidRPr="00600980">
              <w:rPr>
                <w:kern w:val="22"/>
                <w:szCs w:val="17"/>
              </w:rPr>
              <w:t xml:space="preserve"> ºC</w:t>
            </w:r>
          </w:p>
        </w:tc>
      </w:tr>
      <w:tr w:rsidR="005A2957" w14:paraId="5CA72068" w14:textId="77777777" w:rsidTr="00424637">
        <w:trPr>
          <w:tblHeader/>
        </w:trPr>
        <w:tc>
          <w:tcPr>
            <w:tcW w:w="1580" w:type="pct"/>
            <w:shd w:val="clear" w:color="auto" w:fill="00747A" w:themeFill="background2"/>
          </w:tcPr>
          <w:p w14:paraId="5DBC3B40" w14:textId="77777777" w:rsidR="005A2957" w:rsidRDefault="005A2957" w:rsidP="00424637">
            <w:pPr>
              <w:pStyle w:val="APVMATableHead"/>
            </w:pPr>
            <w:r>
              <w:t>Octanol/water partition coefficient (Log K</w:t>
            </w:r>
            <w:r w:rsidRPr="00B75B0D">
              <w:rPr>
                <w:vertAlign w:val="subscript"/>
              </w:rPr>
              <w:t>ow</w:t>
            </w:r>
            <w:r>
              <w:t>/K</w:t>
            </w:r>
            <w:r w:rsidRPr="00B75B0D">
              <w:rPr>
                <w:vertAlign w:val="subscript"/>
              </w:rPr>
              <w:t>OW</w:t>
            </w:r>
            <w:r>
              <w:t>):</w:t>
            </w:r>
          </w:p>
        </w:tc>
        <w:tc>
          <w:tcPr>
            <w:tcW w:w="3420" w:type="pct"/>
          </w:tcPr>
          <w:p w14:paraId="1939E231" w14:textId="21CF26EB" w:rsidR="005A2957" w:rsidRPr="006F1E3F" w:rsidRDefault="006F1E3F" w:rsidP="00D21782">
            <w:pPr>
              <w:spacing w:before="120" w:after="120" w:line="210" w:lineRule="atLeast"/>
              <w:rPr>
                <w:kern w:val="22"/>
                <w:sz w:val="17"/>
                <w:szCs w:val="17"/>
              </w:rPr>
            </w:pPr>
            <w:r w:rsidRPr="006F1E3F">
              <w:rPr>
                <w:kern w:val="22"/>
                <w:sz w:val="17"/>
                <w:szCs w:val="17"/>
              </w:rPr>
              <w:t>Log P</w:t>
            </w:r>
            <w:r w:rsidRPr="006F1E3F">
              <w:rPr>
                <w:kern w:val="22"/>
                <w:sz w:val="17"/>
                <w:szCs w:val="17"/>
                <w:vertAlign w:val="subscript"/>
              </w:rPr>
              <w:t>ow</w:t>
            </w:r>
            <w:r w:rsidRPr="006F1E3F">
              <w:rPr>
                <w:kern w:val="22"/>
                <w:sz w:val="17"/>
                <w:szCs w:val="17"/>
              </w:rPr>
              <w:t xml:space="preserve"> = -2.9, pH 7.0 at 20 °C </w:t>
            </w:r>
          </w:p>
        </w:tc>
      </w:tr>
      <w:tr w:rsidR="005A2957" w14:paraId="71B510CE" w14:textId="77777777" w:rsidTr="00424637">
        <w:trPr>
          <w:tblHeader/>
        </w:trPr>
        <w:tc>
          <w:tcPr>
            <w:tcW w:w="1580" w:type="pct"/>
            <w:shd w:val="clear" w:color="auto" w:fill="00747A" w:themeFill="background2"/>
          </w:tcPr>
          <w:p w14:paraId="12930EE0" w14:textId="77777777" w:rsidR="005A2957" w:rsidRDefault="005A2957" w:rsidP="00424637">
            <w:pPr>
              <w:pStyle w:val="APVMATableHead"/>
            </w:pPr>
            <w:r>
              <w:t>Vapour pressure:</w:t>
            </w:r>
          </w:p>
        </w:tc>
        <w:tc>
          <w:tcPr>
            <w:tcW w:w="3420" w:type="pct"/>
          </w:tcPr>
          <w:p w14:paraId="2EAE59BA" w14:textId="728AA3FF" w:rsidR="005A2957" w:rsidRPr="00DE6361" w:rsidRDefault="00DE6361" w:rsidP="00D21782">
            <w:pPr>
              <w:pStyle w:val="APVMATableText"/>
              <w:rPr>
                <w:szCs w:val="17"/>
              </w:rPr>
            </w:pPr>
            <w:r w:rsidRPr="00DE6361">
              <w:rPr>
                <w:szCs w:val="17"/>
                <w:lang w:eastAsia="en-AU"/>
              </w:rPr>
              <w:t>3.64 × 10</w:t>
            </w:r>
            <w:r w:rsidRPr="00DE6361">
              <w:rPr>
                <w:szCs w:val="17"/>
                <w:vertAlign w:val="superscript"/>
                <w:lang w:eastAsia="en-AU"/>
              </w:rPr>
              <w:t>-5</w:t>
            </w:r>
            <w:r w:rsidRPr="00DE6361">
              <w:rPr>
                <w:szCs w:val="17"/>
                <w:lang w:eastAsia="en-AU"/>
              </w:rPr>
              <w:t xml:space="preserve"> Pa </w:t>
            </w:r>
            <w:r w:rsidRPr="00DE6361">
              <w:rPr>
                <w:kern w:val="22"/>
                <w:szCs w:val="17"/>
                <w:lang w:val="fr-FR"/>
              </w:rPr>
              <w:t xml:space="preserve">at </w:t>
            </w:r>
            <w:r w:rsidRPr="00DE6361">
              <w:rPr>
                <w:kern w:val="22"/>
                <w:szCs w:val="17"/>
              </w:rPr>
              <w:t>25 °C</w:t>
            </w:r>
          </w:p>
        </w:tc>
      </w:tr>
      <w:tr w:rsidR="005A2957" w14:paraId="381351E2" w14:textId="77777777" w:rsidTr="00FF7B50">
        <w:trPr>
          <w:trHeight w:val="435"/>
          <w:tblHeader/>
        </w:trPr>
        <w:tc>
          <w:tcPr>
            <w:tcW w:w="1580" w:type="pct"/>
            <w:shd w:val="clear" w:color="auto" w:fill="00747A" w:themeFill="background2"/>
          </w:tcPr>
          <w:p w14:paraId="4A529FAD" w14:textId="77777777" w:rsidR="005A2957" w:rsidRDefault="005A2957" w:rsidP="00C72FA3">
            <w:pPr>
              <w:pStyle w:val="APVMATableHead"/>
            </w:pPr>
            <w:r>
              <w:t>Henry’s law constant:</w:t>
            </w:r>
          </w:p>
        </w:tc>
        <w:tc>
          <w:tcPr>
            <w:tcW w:w="3420" w:type="pct"/>
          </w:tcPr>
          <w:p w14:paraId="5EC49EF7" w14:textId="4BC27508" w:rsidR="005A2957" w:rsidRPr="00DE6361" w:rsidRDefault="00DE6361" w:rsidP="00D21782">
            <w:pPr>
              <w:pStyle w:val="APVMATableText"/>
              <w:rPr>
                <w:szCs w:val="17"/>
              </w:rPr>
            </w:pPr>
            <w:r w:rsidRPr="00DE6361">
              <w:rPr>
                <w:color w:val="000000"/>
                <w:szCs w:val="17"/>
                <w:lang w:val="en-US"/>
              </w:rPr>
              <w:t>2.65 × 10</w:t>
            </w:r>
            <w:r w:rsidRPr="00DE6361">
              <w:rPr>
                <w:color w:val="000000"/>
                <w:szCs w:val="17"/>
                <w:vertAlign w:val="superscript"/>
                <w:lang w:val="en-US"/>
              </w:rPr>
              <w:t>-8</w:t>
            </w:r>
            <w:r w:rsidRPr="00DE6361">
              <w:rPr>
                <w:color w:val="000000"/>
                <w:szCs w:val="17"/>
                <w:lang w:val="en-US"/>
              </w:rPr>
              <w:t xml:space="preserve"> Pa-m</w:t>
            </w:r>
            <w:r w:rsidRPr="00DE6361">
              <w:rPr>
                <w:color w:val="000000"/>
                <w:szCs w:val="17"/>
                <w:vertAlign w:val="superscript"/>
                <w:lang w:val="en-US"/>
              </w:rPr>
              <w:t>3</w:t>
            </w:r>
            <w:r w:rsidRPr="00DE6361">
              <w:rPr>
                <w:color w:val="000000"/>
                <w:szCs w:val="17"/>
                <w:lang w:val="en-US"/>
              </w:rPr>
              <w:t>/mol</w:t>
            </w:r>
            <w:r w:rsidRPr="00DE6361">
              <w:rPr>
                <w:kern w:val="22"/>
                <w:szCs w:val="17"/>
              </w:rPr>
              <w:t xml:space="preserve"> </w:t>
            </w:r>
            <w:r w:rsidRPr="00DE6361">
              <w:rPr>
                <w:kern w:val="22"/>
                <w:szCs w:val="17"/>
                <w:lang w:val="fr-FR"/>
              </w:rPr>
              <w:t xml:space="preserve">at </w:t>
            </w:r>
            <w:r w:rsidRPr="00DE6361">
              <w:rPr>
                <w:kern w:val="22"/>
                <w:szCs w:val="17"/>
              </w:rPr>
              <w:t>25 °C</w:t>
            </w:r>
          </w:p>
        </w:tc>
      </w:tr>
      <w:tr w:rsidR="005A2957" w14:paraId="7A9D742D" w14:textId="77777777" w:rsidTr="00424637">
        <w:trPr>
          <w:trHeight w:val="613"/>
          <w:tblHeader/>
        </w:trPr>
        <w:tc>
          <w:tcPr>
            <w:tcW w:w="1580" w:type="pct"/>
            <w:shd w:val="clear" w:color="auto" w:fill="00747A" w:themeFill="background2"/>
          </w:tcPr>
          <w:p w14:paraId="58391102" w14:textId="77777777" w:rsidR="005A2957" w:rsidRDefault="005A2957" w:rsidP="00424637">
            <w:pPr>
              <w:pStyle w:val="APVMATableHead"/>
            </w:pPr>
            <w:r>
              <w:t>UV/</w:t>
            </w:r>
            <w:proofErr w:type="gramStart"/>
            <w:r>
              <w:t>VIS</w:t>
            </w:r>
            <w:proofErr w:type="gramEnd"/>
            <w:r>
              <w:t xml:space="preserve"> absorption spectra:</w:t>
            </w:r>
          </w:p>
        </w:tc>
        <w:tc>
          <w:tcPr>
            <w:tcW w:w="3420" w:type="pct"/>
          </w:tcPr>
          <w:p w14:paraId="5D329960" w14:textId="1FD5E6B0" w:rsidR="00DE6361" w:rsidRPr="00ED52FB" w:rsidRDefault="00DE6361" w:rsidP="00D21782">
            <w:pPr>
              <w:tabs>
                <w:tab w:val="left" w:pos="709"/>
              </w:tabs>
              <w:spacing w:before="120" w:after="120" w:line="210" w:lineRule="exact"/>
              <w:rPr>
                <w:sz w:val="17"/>
                <w:szCs w:val="17"/>
                <w:lang w:eastAsia="de-DE"/>
              </w:rPr>
            </w:pPr>
            <w:r w:rsidRPr="00ED52FB">
              <w:rPr>
                <w:sz w:val="17"/>
                <w:szCs w:val="17"/>
                <w:lang w:eastAsia="de-DE"/>
              </w:rPr>
              <w:sym w:font="Symbol" w:char="F065"/>
            </w:r>
            <w:r>
              <w:rPr>
                <w:sz w:val="17"/>
                <w:szCs w:val="17"/>
                <w:lang w:eastAsia="de-DE"/>
              </w:rPr>
              <w:t xml:space="preserve"> = 14.75</w:t>
            </w:r>
            <w:r w:rsidRPr="00ED52FB">
              <w:rPr>
                <w:sz w:val="17"/>
                <w:szCs w:val="17"/>
                <w:lang w:eastAsia="de-DE"/>
              </w:rPr>
              <w:t xml:space="preserve"> L.mol</w:t>
            </w:r>
            <w:r w:rsidRPr="00ED52FB">
              <w:rPr>
                <w:sz w:val="17"/>
                <w:szCs w:val="17"/>
                <w:vertAlign w:val="superscript"/>
                <w:lang w:eastAsia="de-DE"/>
              </w:rPr>
              <w:t>-1</w:t>
            </w:r>
            <w:r w:rsidRPr="00ED52FB">
              <w:rPr>
                <w:sz w:val="17"/>
                <w:szCs w:val="17"/>
                <w:lang w:eastAsia="de-DE"/>
              </w:rPr>
              <w:t>.cm</w:t>
            </w:r>
            <w:r w:rsidRPr="00ED52FB">
              <w:rPr>
                <w:sz w:val="17"/>
                <w:szCs w:val="17"/>
                <w:vertAlign w:val="superscript"/>
                <w:lang w:eastAsia="de-DE"/>
              </w:rPr>
              <w:t>-1</w:t>
            </w:r>
            <w:r w:rsidRPr="00ED52FB">
              <w:rPr>
                <w:sz w:val="17"/>
                <w:szCs w:val="17"/>
                <w:lang w:eastAsia="de-DE"/>
              </w:rPr>
              <w:t>(</w:t>
            </w:r>
            <w:r w:rsidRPr="00ED52FB">
              <w:rPr>
                <w:sz w:val="17"/>
                <w:szCs w:val="17"/>
                <w:lang w:eastAsia="de-DE"/>
              </w:rPr>
              <w:sym w:font="Symbol" w:char="F06C"/>
            </w:r>
            <w:r>
              <w:rPr>
                <w:sz w:val="17"/>
                <w:szCs w:val="17"/>
                <w:lang w:eastAsia="de-DE"/>
              </w:rPr>
              <w:t xml:space="preserve"> = 203</w:t>
            </w:r>
            <w:r w:rsidRPr="00ED52FB">
              <w:rPr>
                <w:sz w:val="17"/>
                <w:szCs w:val="17"/>
                <w:lang w:eastAsia="de-DE"/>
              </w:rPr>
              <w:t xml:space="preserve"> nm)</w:t>
            </w:r>
            <w:r>
              <w:rPr>
                <w:sz w:val="17"/>
                <w:szCs w:val="17"/>
                <w:lang w:eastAsia="de-DE"/>
              </w:rPr>
              <w:t xml:space="preserve"> (acidic solution)</w:t>
            </w:r>
          </w:p>
          <w:p w14:paraId="204E65A0" w14:textId="37A4B8C2" w:rsidR="005A2957" w:rsidRPr="002A1B36" w:rsidRDefault="00DE6361" w:rsidP="00D21782">
            <w:pPr>
              <w:tabs>
                <w:tab w:val="left" w:pos="709"/>
              </w:tabs>
              <w:spacing w:before="120" w:after="120" w:line="210" w:lineRule="exact"/>
              <w:rPr>
                <w:sz w:val="17"/>
                <w:szCs w:val="17"/>
                <w:lang w:eastAsia="de-DE"/>
              </w:rPr>
            </w:pPr>
            <w:r>
              <w:rPr>
                <w:sz w:val="17"/>
                <w:szCs w:val="17"/>
                <w:lang w:eastAsia="de-DE"/>
              </w:rPr>
              <w:t>no maxima recorded</w:t>
            </w:r>
            <w:r w:rsidRPr="00ED52FB">
              <w:rPr>
                <w:sz w:val="17"/>
                <w:szCs w:val="17"/>
                <w:lang w:eastAsia="de-DE"/>
              </w:rPr>
              <w:t xml:space="preserve"> (</w:t>
            </w:r>
            <w:r w:rsidRPr="00ED52FB">
              <w:rPr>
                <w:sz w:val="17"/>
                <w:szCs w:val="17"/>
                <w:lang w:eastAsia="de-DE"/>
              </w:rPr>
              <w:sym w:font="Symbol" w:char="F06C"/>
            </w:r>
            <w:r>
              <w:rPr>
                <w:sz w:val="17"/>
                <w:szCs w:val="17"/>
                <w:lang w:eastAsia="de-DE"/>
              </w:rPr>
              <w:t xml:space="preserve"> = 217</w:t>
            </w:r>
            <w:r w:rsidRPr="00ED52FB">
              <w:rPr>
                <w:sz w:val="17"/>
                <w:szCs w:val="17"/>
                <w:lang w:eastAsia="de-DE"/>
              </w:rPr>
              <w:t xml:space="preserve"> nm)</w:t>
            </w:r>
            <w:r>
              <w:rPr>
                <w:sz w:val="17"/>
                <w:szCs w:val="17"/>
                <w:lang w:eastAsia="de-DE"/>
              </w:rPr>
              <w:t xml:space="preserve"> (basic solution)</w:t>
            </w:r>
            <w:r w:rsidR="002A1B36">
              <w:rPr>
                <w:sz w:val="17"/>
                <w:szCs w:val="17"/>
                <w:lang w:eastAsia="de-DE"/>
              </w:rPr>
              <w:t xml:space="preserve"> and</w:t>
            </w:r>
            <w:r w:rsidR="002A1B36" w:rsidRPr="00ED52FB">
              <w:rPr>
                <w:sz w:val="17"/>
                <w:szCs w:val="17"/>
                <w:lang w:eastAsia="de-DE"/>
              </w:rPr>
              <w:t>(</w:t>
            </w:r>
            <w:r w:rsidR="002A1B36" w:rsidRPr="00ED52FB">
              <w:rPr>
                <w:sz w:val="17"/>
                <w:szCs w:val="17"/>
                <w:lang w:eastAsia="de-DE"/>
              </w:rPr>
              <w:sym w:font="Symbol" w:char="F06C"/>
            </w:r>
            <w:r w:rsidR="002A1B36">
              <w:rPr>
                <w:sz w:val="17"/>
                <w:szCs w:val="17"/>
                <w:lang w:eastAsia="de-DE"/>
              </w:rPr>
              <w:t xml:space="preserve"> = 2 </w:t>
            </w:r>
            <w:r w:rsidR="002A1B36">
              <w:rPr>
                <w:szCs w:val="17"/>
                <w:lang w:eastAsia="de-DE"/>
              </w:rPr>
              <w:t>40</w:t>
            </w:r>
            <w:r w:rsidR="002A1B36" w:rsidRPr="00ED52FB">
              <w:rPr>
                <w:sz w:val="17"/>
                <w:szCs w:val="17"/>
                <w:lang w:eastAsia="de-DE"/>
              </w:rPr>
              <w:t xml:space="preserve"> nm)</w:t>
            </w:r>
            <w:r w:rsidR="002A1B36">
              <w:rPr>
                <w:sz w:val="17"/>
                <w:szCs w:val="17"/>
                <w:lang w:eastAsia="de-DE"/>
              </w:rPr>
              <w:t xml:space="preserve"> (neutral solution)</w:t>
            </w:r>
          </w:p>
        </w:tc>
      </w:tr>
      <w:tr w:rsidR="005A2957" w14:paraId="13F65EC0" w14:textId="77777777" w:rsidTr="00424637">
        <w:trPr>
          <w:trHeight w:val="613"/>
          <w:tblHeader/>
        </w:trPr>
        <w:tc>
          <w:tcPr>
            <w:tcW w:w="1580" w:type="pct"/>
            <w:shd w:val="clear" w:color="auto" w:fill="00747A" w:themeFill="background2"/>
          </w:tcPr>
          <w:p w14:paraId="057EE660" w14:textId="217B0CB7" w:rsidR="005A2957" w:rsidRDefault="00DE6361" w:rsidP="00424637">
            <w:pPr>
              <w:pStyle w:val="APVMATableHead"/>
            </w:pPr>
            <w:r>
              <w:t>Photochemical oxidative degradation:</w:t>
            </w:r>
          </w:p>
        </w:tc>
        <w:tc>
          <w:tcPr>
            <w:tcW w:w="3420" w:type="pct"/>
          </w:tcPr>
          <w:p w14:paraId="7058A672" w14:textId="0D664ABF" w:rsidR="005A2957" w:rsidRPr="00DE6361" w:rsidRDefault="00DE6361" w:rsidP="00D21782">
            <w:pPr>
              <w:pStyle w:val="APVMATableText"/>
              <w:rPr>
                <w:szCs w:val="17"/>
              </w:rPr>
            </w:pPr>
            <w:r w:rsidRPr="00DE6361">
              <w:rPr>
                <w:kern w:val="22"/>
                <w:szCs w:val="17"/>
              </w:rPr>
              <w:t xml:space="preserve">The estimated half-life of sample for reaction with average daily air concentration of hydroxyl radicals </w:t>
            </w:r>
            <w:r w:rsidRPr="00DE6361">
              <w:rPr>
                <w:color w:val="000000"/>
                <w:szCs w:val="17"/>
              </w:rPr>
              <w:t>(12-hour day; 1.5x10</w:t>
            </w:r>
            <w:r w:rsidRPr="00DE6361">
              <w:rPr>
                <w:color w:val="000000"/>
                <w:szCs w:val="17"/>
                <w:vertAlign w:val="superscript"/>
              </w:rPr>
              <w:t>-6</w:t>
            </w:r>
            <w:r w:rsidRPr="00DE6361">
              <w:rPr>
                <w:color w:val="000000"/>
                <w:szCs w:val="17"/>
              </w:rPr>
              <w:t xml:space="preserve"> OH radicals/cm</w:t>
            </w:r>
            <w:r w:rsidRPr="00DE6361">
              <w:rPr>
                <w:color w:val="000000"/>
                <w:szCs w:val="17"/>
                <w:vertAlign w:val="superscript"/>
              </w:rPr>
              <w:t>3</w:t>
            </w:r>
            <w:r w:rsidRPr="00DE6361">
              <w:rPr>
                <w:color w:val="000000"/>
                <w:szCs w:val="17"/>
              </w:rPr>
              <w:t>)</w:t>
            </w:r>
            <w:r w:rsidRPr="00DE6361">
              <w:rPr>
                <w:rFonts w:ascii="Arial Narrow" w:hAnsi="Arial Narrow"/>
                <w:color w:val="000000"/>
                <w:szCs w:val="17"/>
              </w:rPr>
              <w:t xml:space="preserve"> </w:t>
            </w:r>
            <w:r w:rsidRPr="00DE6361">
              <w:rPr>
                <w:kern w:val="22"/>
                <w:szCs w:val="17"/>
              </w:rPr>
              <w:t>is 5.95 hours based on the 2</w:t>
            </w:r>
            <w:r w:rsidRPr="00DE6361">
              <w:rPr>
                <w:kern w:val="22"/>
                <w:szCs w:val="17"/>
                <w:vertAlign w:val="superscript"/>
              </w:rPr>
              <w:t>nd</w:t>
            </w:r>
            <w:r w:rsidRPr="00DE6361">
              <w:rPr>
                <w:kern w:val="22"/>
                <w:szCs w:val="17"/>
              </w:rPr>
              <w:t xml:space="preserve"> order rate constant (Atkinson method</w:t>
            </w:r>
            <w:r>
              <w:rPr>
                <w:kern w:val="22"/>
                <w:szCs w:val="17"/>
              </w:rPr>
              <w:t>).</w:t>
            </w:r>
          </w:p>
        </w:tc>
      </w:tr>
    </w:tbl>
    <w:p w14:paraId="7917E5D9" w14:textId="77777777" w:rsidR="006D36C8" w:rsidRDefault="005A2957" w:rsidP="00032787">
      <w:pPr>
        <w:pStyle w:val="Heading2"/>
      </w:pPr>
      <w:bookmarkStart w:id="40" w:name="_Toc7561225"/>
      <w:bookmarkStart w:id="41" w:name="_Toc228527283"/>
      <w:r>
        <w:lastRenderedPageBreak/>
        <w:t>Formulated product</w:t>
      </w:r>
      <w:bookmarkEnd w:id="40"/>
      <w:bookmarkEnd w:id="41"/>
    </w:p>
    <w:p w14:paraId="24D9BBE1" w14:textId="7D42EBFD" w:rsidR="005A2957" w:rsidRPr="00D21782" w:rsidRDefault="005A2957" w:rsidP="00D21782">
      <w:pPr>
        <w:pStyle w:val="APVMAText"/>
      </w:pPr>
      <w:r w:rsidRPr="00D21782">
        <w:t xml:space="preserve">The product </w:t>
      </w:r>
      <w:r w:rsidR="00EC72D3" w:rsidRPr="00D21782">
        <w:t>Accede Plant Growth Regulator</w:t>
      </w:r>
      <w:r w:rsidR="00CA5B2B" w:rsidRPr="00D21782">
        <w:t xml:space="preserve"> will be manufactured overseas</w:t>
      </w:r>
      <w:r w:rsidRPr="00D21782">
        <w:t>. Tables 3 and 4 outline some key aspects of the formulation and physicochemical properties of the product.</w:t>
      </w:r>
    </w:p>
    <w:p w14:paraId="55B9DC64" w14:textId="6B6098D3" w:rsidR="00EC24B6" w:rsidRPr="00D21782" w:rsidRDefault="00EC72D3" w:rsidP="00D21782">
      <w:pPr>
        <w:pStyle w:val="APVMAText"/>
      </w:pPr>
      <w:r w:rsidRPr="00D21782">
        <w:t>Accede Plant Growth Regulator</w:t>
      </w:r>
      <w:r w:rsidR="00EC24B6" w:rsidRPr="00D21782">
        <w:t xml:space="preserve"> </w:t>
      </w:r>
      <w:r w:rsidR="005117E9" w:rsidRPr="00D21782">
        <w:t xml:space="preserve">consists of </w:t>
      </w:r>
      <w:r w:rsidR="00EC24B6" w:rsidRPr="00D21782">
        <w:t>off-white granule</w:t>
      </w:r>
      <w:r w:rsidR="00BA0F29" w:rsidRPr="00D21782">
        <w:t>s</w:t>
      </w:r>
      <w:r w:rsidR="008058FF" w:rsidRPr="00D21782">
        <w:t xml:space="preserve"> with no discernible odour. It</w:t>
      </w:r>
      <w:r w:rsidR="00EC24B6" w:rsidRPr="00D21782">
        <w:t xml:space="preserve"> contain</w:t>
      </w:r>
      <w:r w:rsidR="008058FF" w:rsidRPr="00D21782">
        <w:t>s</w:t>
      </w:r>
      <w:r w:rsidR="00EC24B6" w:rsidRPr="00D21782">
        <w:t xml:space="preserve"> 400 g/kg </w:t>
      </w:r>
      <w:r w:rsidR="00BA0F29" w:rsidRPr="00D21782">
        <w:t xml:space="preserve">1-aminocyclopropane-1-carboxylic acid as a water-soluble granule (SG) formulation. There are no safety properties (e.g. flash point, corrosion, explosive, and/or oxidizing) of concern regarding </w:t>
      </w:r>
      <w:r w:rsidRPr="00D21782">
        <w:t>Accede Plant Growth Regulator</w:t>
      </w:r>
      <w:r w:rsidR="00BA0F29" w:rsidRPr="00D21782">
        <w:t>. The product is expected to be stable for at least two years storage under normal conditions</w:t>
      </w:r>
    </w:p>
    <w:p w14:paraId="50097EEE" w14:textId="01ABD789" w:rsidR="005A2957" w:rsidRDefault="00EC72D3" w:rsidP="00D21782">
      <w:pPr>
        <w:pStyle w:val="APVMAText"/>
      </w:pPr>
      <w:r w:rsidRPr="00D21782">
        <w:t>Accede Plant Growth Regulator</w:t>
      </w:r>
      <w:r w:rsidR="00EC24B6" w:rsidRPr="00D21782">
        <w:t xml:space="preserve"> will be available in 500 g to 50 kg HDPE (high density polyethylene) containers</w:t>
      </w:r>
      <w:r w:rsidR="00CA5B2B" w:rsidRPr="00D21782">
        <w:t>.</w:t>
      </w:r>
    </w:p>
    <w:p w14:paraId="2708C107" w14:textId="77777777" w:rsidR="00D21782" w:rsidRPr="00D21782" w:rsidRDefault="00D21782" w:rsidP="00D21782">
      <w:pPr>
        <w:pStyle w:val="Caption"/>
      </w:pPr>
      <w:bookmarkStart w:id="42" w:name="_Toc228527324"/>
      <w:r w:rsidRPr="00D21782">
        <w:t xml:space="preserve">Table </w:t>
      </w:r>
      <w:r w:rsidRPr="00D21782">
        <w:fldChar w:fldCharType="begin"/>
      </w:r>
      <w:r w:rsidRPr="00D21782">
        <w:instrText xml:space="preserve"> SEQ Table \* ARABIC </w:instrText>
      </w:r>
      <w:r w:rsidRPr="00D21782">
        <w:fldChar w:fldCharType="separate"/>
      </w:r>
      <w:r w:rsidRPr="00D21782">
        <w:t>3</w:t>
      </w:r>
      <w:r w:rsidRPr="00D21782">
        <w:fldChar w:fldCharType="end"/>
      </w:r>
      <w:r w:rsidRPr="00D21782">
        <w:t>: Key aspects of the formulation of the product Accede Plant Growth Regulator</w:t>
      </w:r>
      <w:bookmarkEnd w:id="42"/>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3043"/>
        <w:gridCol w:w="6593"/>
      </w:tblGrid>
      <w:tr w:rsidR="00D21782" w14:paraId="3433EA83" w14:textId="77777777" w:rsidTr="00537D4B">
        <w:trPr>
          <w:tblHeader/>
        </w:trPr>
        <w:tc>
          <w:tcPr>
            <w:tcW w:w="1579" w:type="pct"/>
            <w:shd w:val="clear" w:color="auto" w:fill="00747A" w:themeFill="background2"/>
          </w:tcPr>
          <w:p w14:paraId="22BB52E5" w14:textId="77777777" w:rsidR="00D21782" w:rsidRDefault="00D21782" w:rsidP="00537D4B">
            <w:pPr>
              <w:pStyle w:val="APVMATableHead"/>
            </w:pPr>
            <w:r>
              <w:t>Distinguishing name:</w:t>
            </w:r>
          </w:p>
        </w:tc>
        <w:tc>
          <w:tcPr>
            <w:tcW w:w="3421" w:type="pct"/>
          </w:tcPr>
          <w:p w14:paraId="0767CD19" w14:textId="77777777" w:rsidR="00D21782" w:rsidRPr="008058FF" w:rsidRDefault="00D21782" w:rsidP="00537D4B">
            <w:pPr>
              <w:pStyle w:val="APVMATableText"/>
              <w:rPr>
                <w:szCs w:val="17"/>
              </w:rPr>
            </w:pPr>
            <w:r>
              <w:rPr>
                <w:iCs/>
                <w:szCs w:val="17"/>
              </w:rPr>
              <w:t>Accede Plant Growth Regulator</w:t>
            </w:r>
          </w:p>
        </w:tc>
      </w:tr>
      <w:tr w:rsidR="00D21782" w14:paraId="17E92A8F" w14:textId="77777777" w:rsidTr="00537D4B">
        <w:trPr>
          <w:tblHeader/>
        </w:trPr>
        <w:tc>
          <w:tcPr>
            <w:tcW w:w="1579" w:type="pct"/>
            <w:shd w:val="clear" w:color="auto" w:fill="00747A" w:themeFill="background2"/>
          </w:tcPr>
          <w:p w14:paraId="46B8606E" w14:textId="77777777" w:rsidR="00D21782" w:rsidRDefault="00D21782" w:rsidP="00537D4B">
            <w:pPr>
              <w:pStyle w:val="APVMATableHead"/>
            </w:pPr>
            <w:r>
              <w:t>Formulation type:</w:t>
            </w:r>
          </w:p>
        </w:tc>
        <w:tc>
          <w:tcPr>
            <w:tcW w:w="3421" w:type="pct"/>
          </w:tcPr>
          <w:p w14:paraId="2A5848AF" w14:textId="77777777" w:rsidR="00D21782" w:rsidRDefault="00D21782" w:rsidP="00537D4B">
            <w:pPr>
              <w:pStyle w:val="APVMATableText"/>
            </w:pPr>
            <w:r>
              <w:rPr>
                <w:szCs w:val="20"/>
              </w:rPr>
              <w:t>Water-soluble granule (SG)</w:t>
            </w:r>
          </w:p>
        </w:tc>
      </w:tr>
      <w:tr w:rsidR="00D21782" w14:paraId="0E71B70D" w14:textId="77777777" w:rsidTr="00537D4B">
        <w:trPr>
          <w:tblHeader/>
        </w:trPr>
        <w:tc>
          <w:tcPr>
            <w:tcW w:w="1579" w:type="pct"/>
            <w:shd w:val="clear" w:color="auto" w:fill="00747A" w:themeFill="background2"/>
          </w:tcPr>
          <w:p w14:paraId="67126047" w14:textId="77777777" w:rsidR="00D21782" w:rsidRDefault="00D21782" w:rsidP="00537D4B">
            <w:pPr>
              <w:pStyle w:val="APVMATableHead"/>
            </w:pPr>
            <w:r>
              <w:t>Active constituent concentration:</w:t>
            </w:r>
          </w:p>
        </w:tc>
        <w:tc>
          <w:tcPr>
            <w:tcW w:w="3421" w:type="pct"/>
          </w:tcPr>
          <w:p w14:paraId="470463B3" w14:textId="77777777" w:rsidR="00D21782" w:rsidRDefault="00D21782" w:rsidP="00537D4B">
            <w:pPr>
              <w:pStyle w:val="APVMATableText"/>
            </w:pPr>
            <w:r>
              <w:t>400 g/kg 1-aminocyclopropane-1-carboxylic acid</w:t>
            </w:r>
          </w:p>
        </w:tc>
      </w:tr>
    </w:tbl>
    <w:p w14:paraId="72150030" w14:textId="77777777" w:rsidR="00D21782" w:rsidRDefault="00D21782" w:rsidP="00D21782">
      <w:pPr>
        <w:pStyle w:val="Caption"/>
      </w:pPr>
      <w:bookmarkStart w:id="43" w:name="_Toc228527325"/>
      <w:r>
        <w:t xml:space="preserve">Table </w:t>
      </w:r>
      <w:r>
        <w:fldChar w:fldCharType="begin"/>
      </w:r>
      <w:r>
        <w:instrText xml:space="preserve"> SEQ Table \* ARABIC </w:instrText>
      </w:r>
      <w:r>
        <w:fldChar w:fldCharType="separate"/>
      </w:r>
      <w:r>
        <w:rPr>
          <w:noProof/>
        </w:rPr>
        <w:t>4</w:t>
      </w:r>
      <w:r>
        <w:rPr>
          <w:noProof/>
        </w:rPr>
        <w:fldChar w:fldCharType="end"/>
      </w:r>
      <w:r>
        <w:t>: Physicochemical properties of the product Accede Plant Growth Regulator</w:t>
      </w:r>
      <w:bookmarkEnd w:id="43"/>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3043"/>
        <w:gridCol w:w="6593"/>
      </w:tblGrid>
      <w:tr w:rsidR="00D21782" w14:paraId="688FEE05" w14:textId="77777777" w:rsidTr="00537D4B">
        <w:trPr>
          <w:tblHeader/>
        </w:trPr>
        <w:tc>
          <w:tcPr>
            <w:tcW w:w="1579" w:type="pct"/>
            <w:shd w:val="clear" w:color="auto" w:fill="00747A" w:themeFill="background2"/>
          </w:tcPr>
          <w:p w14:paraId="030B4F12" w14:textId="77777777" w:rsidR="00D21782" w:rsidRDefault="00D21782" w:rsidP="00537D4B">
            <w:pPr>
              <w:pStyle w:val="APVMATableHead"/>
            </w:pPr>
            <w:r>
              <w:t>Physical form:</w:t>
            </w:r>
          </w:p>
        </w:tc>
        <w:tc>
          <w:tcPr>
            <w:tcW w:w="3421" w:type="pct"/>
          </w:tcPr>
          <w:p w14:paraId="63E52381" w14:textId="77777777" w:rsidR="00D21782" w:rsidRPr="008058FF" w:rsidRDefault="00D21782" w:rsidP="00537D4B">
            <w:pPr>
              <w:pStyle w:val="APVMATableText"/>
              <w:rPr>
                <w:szCs w:val="17"/>
              </w:rPr>
            </w:pPr>
            <w:r w:rsidRPr="008058FF">
              <w:rPr>
                <w:szCs w:val="17"/>
              </w:rPr>
              <w:t>Off-white granules</w:t>
            </w:r>
          </w:p>
        </w:tc>
      </w:tr>
      <w:tr w:rsidR="00D21782" w14:paraId="3C551B22" w14:textId="77777777" w:rsidTr="00537D4B">
        <w:trPr>
          <w:tblHeader/>
        </w:trPr>
        <w:tc>
          <w:tcPr>
            <w:tcW w:w="1579" w:type="pct"/>
            <w:shd w:val="clear" w:color="auto" w:fill="00747A" w:themeFill="background2"/>
          </w:tcPr>
          <w:p w14:paraId="74AB24B5" w14:textId="77777777" w:rsidR="00D21782" w:rsidRDefault="00D21782" w:rsidP="00537D4B">
            <w:pPr>
              <w:pStyle w:val="APVMATableHead"/>
            </w:pPr>
            <w:r>
              <w:t>PH:</w:t>
            </w:r>
          </w:p>
        </w:tc>
        <w:tc>
          <w:tcPr>
            <w:tcW w:w="3421" w:type="pct"/>
          </w:tcPr>
          <w:p w14:paraId="64AC2D5C" w14:textId="77777777" w:rsidR="00D21782" w:rsidRPr="008058FF" w:rsidRDefault="00D21782" w:rsidP="00537D4B">
            <w:pPr>
              <w:pStyle w:val="APVMATableText"/>
              <w:rPr>
                <w:szCs w:val="17"/>
              </w:rPr>
            </w:pPr>
            <w:r w:rsidRPr="008058FF">
              <w:rPr>
                <w:szCs w:val="17"/>
              </w:rPr>
              <w:t xml:space="preserve">5.2 ± 0.5 (1% w/v </w:t>
            </w:r>
            <w:r>
              <w:t>aqueous</w:t>
            </w:r>
            <w:r w:rsidRPr="008058FF">
              <w:rPr>
                <w:szCs w:val="17"/>
              </w:rPr>
              <w:t xml:space="preserve"> dilution)</w:t>
            </w:r>
          </w:p>
        </w:tc>
      </w:tr>
      <w:tr w:rsidR="00D21782" w14:paraId="46F49473" w14:textId="77777777" w:rsidTr="00537D4B">
        <w:trPr>
          <w:tblHeader/>
        </w:trPr>
        <w:tc>
          <w:tcPr>
            <w:tcW w:w="1579" w:type="pct"/>
            <w:shd w:val="clear" w:color="auto" w:fill="00747A" w:themeFill="background2"/>
          </w:tcPr>
          <w:p w14:paraId="27FEB2BB" w14:textId="77777777" w:rsidR="00D21782" w:rsidRDefault="00D21782" w:rsidP="00537D4B">
            <w:pPr>
              <w:pStyle w:val="APVMATableHead"/>
            </w:pPr>
            <w:r>
              <w:t>Bulk density:</w:t>
            </w:r>
          </w:p>
        </w:tc>
        <w:tc>
          <w:tcPr>
            <w:tcW w:w="3421" w:type="pct"/>
          </w:tcPr>
          <w:p w14:paraId="711B7F6E" w14:textId="1AB7225D" w:rsidR="00D21782" w:rsidRPr="002630B2" w:rsidRDefault="00D21782" w:rsidP="00537D4B">
            <w:pPr>
              <w:spacing w:before="120" w:after="120" w:line="210" w:lineRule="exact"/>
              <w:rPr>
                <w:rFonts w:cs="Arial"/>
                <w:sz w:val="17"/>
                <w:szCs w:val="17"/>
              </w:rPr>
            </w:pPr>
            <w:r w:rsidRPr="008058FF">
              <w:rPr>
                <w:rFonts w:cs="Arial"/>
                <w:sz w:val="17"/>
                <w:szCs w:val="17"/>
              </w:rPr>
              <w:t>Pour density 0.45 ± 0.1 g/mL</w:t>
            </w:r>
            <w:r>
              <w:rPr>
                <w:rFonts w:cs="Arial"/>
                <w:sz w:val="17"/>
                <w:szCs w:val="17"/>
              </w:rPr>
              <w:t>;</w:t>
            </w:r>
            <w:r w:rsidRPr="008058FF">
              <w:rPr>
                <w:rFonts w:cs="Arial"/>
                <w:sz w:val="17"/>
                <w:szCs w:val="17"/>
              </w:rPr>
              <w:t xml:space="preserve"> </w:t>
            </w:r>
            <w:r>
              <w:rPr>
                <w:rFonts w:cs="Arial"/>
                <w:sz w:val="17"/>
                <w:szCs w:val="17"/>
              </w:rPr>
              <w:t>t</w:t>
            </w:r>
            <w:r w:rsidRPr="008058FF">
              <w:rPr>
                <w:rFonts w:cs="Arial"/>
                <w:sz w:val="17"/>
                <w:szCs w:val="17"/>
              </w:rPr>
              <w:t>ap density 0.50 ± 0.1 g/mL</w:t>
            </w:r>
          </w:p>
        </w:tc>
      </w:tr>
      <w:tr w:rsidR="00D21782" w14:paraId="254A5A6D" w14:textId="77777777" w:rsidTr="00537D4B">
        <w:trPr>
          <w:trHeight w:val="423"/>
          <w:tblHeader/>
        </w:trPr>
        <w:tc>
          <w:tcPr>
            <w:tcW w:w="1579" w:type="pct"/>
            <w:shd w:val="clear" w:color="auto" w:fill="00747A" w:themeFill="background2"/>
          </w:tcPr>
          <w:p w14:paraId="2FEFD26D" w14:textId="77777777" w:rsidR="00D21782" w:rsidRDefault="00D21782" w:rsidP="00537D4B">
            <w:pPr>
              <w:pStyle w:val="APVMATableHead"/>
            </w:pPr>
            <w:r>
              <w:t>Wettability:</w:t>
            </w:r>
          </w:p>
        </w:tc>
        <w:tc>
          <w:tcPr>
            <w:tcW w:w="3421" w:type="pct"/>
          </w:tcPr>
          <w:p w14:paraId="1E68607D" w14:textId="77777777" w:rsidR="00D21782" w:rsidRPr="00EA7005" w:rsidRDefault="00D21782" w:rsidP="00537D4B">
            <w:pPr>
              <w:pStyle w:val="APVMATableText"/>
            </w:pPr>
            <w:r>
              <w:t>&lt; 1 second</w:t>
            </w:r>
          </w:p>
        </w:tc>
      </w:tr>
      <w:tr w:rsidR="00D21782" w14:paraId="0A5D99DA" w14:textId="77777777" w:rsidTr="00537D4B">
        <w:trPr>
          <w:trHeight w:val="373"/>
          <w:tblHeader/>
        </w:trPr>
        <w:tc>
          <w:tcPr>
            <w:tcW w:w="1579" w:type="pct"/>
            <w:shd w:val="clear" w:color="auto" w:fill="00747A" w:themeFill="background2"/>
          </w:tcPr>
          <w:p w14:paraId="307BD839" w14:textId="77777777" w:rsidR="00D21782" w:rsidRDefault="00D21782" w:rsidP="00537D4B">
            <w:pPr>
              <w:pStyle w:val="APVMATableHead"/>
            </w:pPr>
            <w:r>
              <w:t>Persistent foaming:</w:t>
            </w:r>
          </w:p>
        </w:tc>
        <w:tc>
          <w:tcPr>
            <w:tcW w:w="3421" w:type="pct"/>
          </w:tcPr>
          <w:p w14:paraId="1A22C745" w14:textId="77777777" w:rsidR="00D21782" w:rsidRPr="005614A4" w:rsidRDefault="00D21782" w:rsidP="00537D4B">
            <w:pPr>
              <w:spacing w:before="120" w:after="120" w:line="210" w:lineRule="exact"/>
              <w:rPr>
                <w:rFonts w:cs="Arial"/>
                <w:sz w:val="17"/>
                <w:szCs w:val="17"/>
              </w:rPr>
            </w:pPr>
            <w:r w:rsidRPr="005614A4">
              <w:rPr>
                <w:rFonts w:cs="Arial"/>
                <w:sz w:val="17"/>
                <w:szCs w:val="17"/>
              </w:rPr>
              <w:t>16 mL foam in 0.25 g/L after 1 minute</w:t>
            </w:r>
          </w:p>
          <w:p w14:paraId="43435D43" w14:textId="77777777" w:rsidR="00D21782" w:rsidRPr="00EA7005" w:rsidRDefault="00D21782" w:rsidP="00537D4B">
            <w:pPr>
              <w:pStyle w:val="APVMATableText"/>
            </w:pPr>
            <w:r w:rsidRPr="005614A4">
              <w:rPr>
                <w:szCs w:val="17"/>
              </w:rPr>
              <w:t>26 mL foam in 1.5 g/L after 1 minute</w:t>
            </w:r>
          </w:p>
        </w:tc>
      </w:tr>
      <w:tr w:rsidR="00D21782" w14:paraId="2623260E" w14:textId="77777777" w:rsidTr="00537D4B">
        <w:trPr>
          <w:trHeight w:val="493"/>
          <w:tblHeader/>
        </w:trPr>
        <w:tc>
          <w:tcPr>
            <w:tcW w:w="1579" w:type="pct"/>
            <w:shd w:val="clear" w:color="auto" w:fill="00747A" w:themeFill="background2"/>
          </w:tcPr>
          <w:p w14:paraId="43E3F0C0" w14:textId="77777777" w:rsidR="00D21782" w:rsidRDefault="00D21782" w:rsidP="00537D4B">
            <w:pPr>
              <w:pStyle w:val="APVMATableHead"/>
            </w:pPr>
            <w:r>
              <w:t>Degree of dispersion:</w:t>
            </w:r>
          </w:p>
        </w:tc>
        <w:tc>
          <w:tcPr>
            <w:tcW w:w="3421" w:type="pct"/>
          </w:tcPr>
          <w:p w14:paraId="1A97C434" w14:textId="77777777" w:rsidR="00D21782" w:rsidRPr="005614A4" w:rsidRDefault="00D21782" w:rsidP="00537D4B">
            <w:pPr>
              <w:spacing w:before="120" w:after="120" w:line="210" w:lineRule="exact"/>
              <w:rPr>
                <w:rFonts w:cs="Arial"/>
                <w:sz w:val="17"/>
                <w:szCs w:val="17"/>
              </w:rPr>
            </w:pPr>
            <w:r w:rsidRPr="005614A4">
              <w:rPr>
                <w:rFonts w:cs="Arial"/>
                <w:sz w:val="17"/>
                <w:szCs w:val="17"/>
              </w:rPr>
              <w:t>0.22% w/w residue after 5 minutes</w:t>
            </w:r>
          </w:p>
          <w:p w14:paraId="4B4EB92F" w14:textId="77777777" w:rsidR="00D21782" w:rsidRPr="00EA7005" w:rsidRDefault="00D21782" w:rsidP="00537D4B">
            <w:pPr>
              <w:pStyle w:val="APVMATableText"/>
            </w:pPr>
            <w:r w:rsidRPr="005614A4">
              <w:rPr>
                <w:szCs w:val="17"/>
              </w:rPr>
              <w:t>0.004% w/w residue after 24 hours</w:t>
            </w:r>
          </w:p>
        </w:tc>
      </w:tr>
      <w:tr w:rsidR="00D21782" w14:paraId="6B444E04" w14:textId="77777777" w:rsidTr="00537D4B">
        <w:trPr>
          <w:trHeight w:val="493"/>
          <w:tblHeader/>
        </w:trPr>
        <w:tc>
          <w:tcPr>
            <w:tcW w:w="1579" w:type="pct"/>
            <w:shd w:val="clear" w:color="auto" w:fill="00747A" w:themeFill="background2"/>
          </w:tcPr>
          <w:p w14:paraId="2D77A2BB" w14:textId="77777777" w:rsidR="00D21782" w:rsidRDefault="00D21782" w:rsidP="00537D4B">
            <w:pPr>
              <w:pStyle w:val="APVMATableHead"/>
            </w:pPr>
            <w:r>
              <w:t>Pourability:</w:t>
            </w:r>
          </w:p>
        </w:tc>
        <w:tc>
          <w:tcPr>
            <w:tcW w:w="3421" w:type="pct"/>
          </w:tcPr>
          <w:p w14:paraId="61AAA9E3" w14:textId="7E10966F" w:rsidR="00D21782" w:rsidRPr="005614A4" w:rsidRDefault="00D21782" w:rsidP="00537D4B">
            <w:pPr>
              <w:spacing w:before="120" w:after="120" w:line="210" w:lineRule="exact"/>
              <w:rPr>
                <w:rFonts w:cs="Arial"/>
                <w:sz w:val="17"/>
                <w:szCs w:val="17"/>
              </w:rPr>
            </w:pPr>
            <w:r w:rsidRPr="005614A4">
              <w:rPr>
                <w:rFonts w:cs="Arial"/>
                <w:sz w:val="17"/>
                <w:szCs w:val="17"/>
              </w:rPr>
              <w:t>Pour residue = 3.1%; rinsed residue = 0.14%</w:t>
            </w:r>
          </w:p>
        </w:tc>
      </w:tr>
      <w:tr w:rsidR="00D21782" w14:paraId="3C0528FE" w14:textId="77777777" w:rsidTr="00537D4B">
        <w:trPr>
          <w:trHeight w:val="493"/>
          <w:tblHeader/>
        </w:trPr>
        <w:tc>
          <w:tcPr>
            <w:tcW w:w="1579" w:type="pct"/>
            <w:shd w:val="clear" w:color="auto" w:fill="00747A" w:themeFill="background2"/>
          </w:tcPr>
          <w:p w14:paraId="3671E684" w14:textId="77777777" w:rsidR="00D21782" w:rsidRDefault="00D21782" w:rsidP="00537D4B">
            <w:pPr>
              <w:pStyle w:val="APVMATableHead"/>
            </w:pPr>
            <w:r>
              <w:t>Dustiness:</w:t>
            </w:r>
          </w:p>
        </w:tc>
        <w:tc>
          <w:tcPr>
            <w:tcW w:w="3421" w:type="pct"/>
          </w:tcPr>
          <w:p w14:paraId="4AA5218E" w14:textId="77777777" w:rsidR="00D21782" w:rsidRPr="00EA7005" w:rsidRDefault="00D21782" w:rsidP="00537D4B">
            <w:pPr>
              <w:pStyle w:val="APVMATableText"/>
            </w:pPr>
            <w:r>
              <w:t>Nearly dust free</w:t>
            </w:r>
          </w:p>
        </w:tc>
      </w:tr>
      <w:tr w:rsidR="00D21782" w14:paraId="02EB2853" w14:textId="77777777" w:rsidTr="00537D4B">
        <w:trPr>
          <w:trHeight w:val="435"/>
          <w:tblHeader/>
        </w:trPr>
        <w:tc>
          <w:tcPr>
            <w:tcW w:w="1579" w:type="pct"/>
            <w:shd w:val="clear" w:color="auto" w:fill="00747A" w:themeFill="background2"/>
          </w:tcPr>
          <w:p w14:paraId="2D025B09" w14:textId="77777777" w:rsidR="00D21782" w:rsidRDefault="00D21782" w:rsidP="00537D4B">
            <w:pPr>
              <w:pStyle w:val="APVMATableHead"/>
            </w:pPr>
            <w:r>
              <w:t>Safety properties:</w:t>
            </w:r>
          </w:p>
        </w:tc>
        <w:tc>
          <w:tcPr>
            <w:tcW w:w="3421" w:type="pct"/>
          </w:tcPr>
          <w:p w14:paraId="4E6B3C0A" w14:textId="77777777" w:rsidR="00D21782" w:rsidRPr="00EA7005" w:rsidRDefault="00D21782" w:rsidP="00537D4B">
            <w:pPr>
              <w:pStyle w:val="APVMATableText"/>
            </w:pPr>
            <w:r>
              <w:t>No flash point below boiling point. Not classified as a flammable liquid or an explosive and/or as an oxidising substance.</w:t>
            </w:r>
          </w:p>
        </w:tc>
      </w:tr>
      <w:tr w:rsidR="00D21782" w14:paraId="261A7DAC" w14:textId="77777777" w:rsidTr="00537D4B">
        <w:trPr>
          <w:trHeight w:val="435"/>
          <w:tblHeader/>
        </w:trPr>
        <w:tc>
          <w:tcPr>
            <w:tcW w:w="1579" w:type="pct"/>
            <w:shd w:val="clear" w:color="auto" w:fill="00747A" w:themeFill="background2"/>
          </w:tcPr>
          <w:p w14:paraId="12769FB8" w14:textId="77777777" w:rsidR="00D21782" w:rsidRDefault="00D21782" w:rsidP="00537D4B">
            <w:pPr>
              <w:pStyle w:val="APVMATableHead"/>
            </w:pPr>
            <w:r>
              <w:t>Storage stability:</w:t>
            </w:r>
          </w:p>
        </w:tc>
        <w:tc>
          <w:tcPr>
            <w:tcW w:w="3421" w:type="pct"/>
          </w:tcPr>
          <w:p w14:paraId="6BDA05B9" w14:textId="77777777" w:rsidR="00D21782" w:rsidRDefault="00D21782" w:rsidP="00537D4B">
            <w:pPr>
              <w:pStyle w:val="APVMATableText"/>
              <w:rPr>
                <w:noProof/>
                <w:lang w:eastAsia="en-AU"/>
              </w:rPr>
            </w:pPr>
            <w:r>
              <w:rPr>
                <w:noProof/>
                <w:lang w:eastAsia="en-AU"/>
              </w:rPr>
              <w:t>There was sufficient data to conclude that the product is expected to remain within specifications for at least two (2) years when stored under normal conditions</w:t>
            </w:r>
          </w:p>
        </w:tc>
      </w:tr>
    </w:tbl>
    <w:p w14:paraId="3988455C" w14:textId="77777777" w:rsidR="00D21782" w:rsidRPr="00D21782" w:rsidRDefault="00D21782" w:rsidP="00D21782">
      <w:pPr>
        <w:pStyle w:val="APVMAText"/>
      </w:pPr>
    </w:p>
    <w:p w14:paraId="378E38F7" w14:textId="77777777" w:rsidR="005C33B9" w:rsidRDefault="00783112" w:rsidP="00032787">
      <w:pPr>
        <w:pStyle w:val="Heading2"/>
      </w:pPr>
      <w:bookmarkStart w:id="44" w:name="_Toc7561226"/>
      <w:bookmarkStart w:id="45" w:name="_Toc228527284"/>
      <w:r>
        <w:lastRenderedPageBreak/>
        <w:t>Recommendations</w:t>
      </w:r>
      <w:bookmarkEnd w:id="44"/>
      <w:bookmarkEnd w:id="45"/>
    </w:p>
    <w:p w14:paraId="662C35CB" w14:textId="4E115C67" w:rsidR="008C0089" w:rsidRPr="00D21782" w:rsidRDefault="008C0089" w:rsidP="00D21782">
      <w:pPr>
        <w:pStyle w:val="APVMAText"/>
      </w:pPr>
      <w:r w:rsidRPr="00D21782">
        <w:t xml:space="preserve">The APVMA Chemistry section has evaluated the chemistry of the active constituent </w:t>
      </w:r>
      <w:r w:rsidR="005614A4" w:rsidRPr="00D21782">
        <w:t>1-aminocyclopropane-1-carboxylic acid</w:t>
      </w:r>
      <w:r w:rsidRPr="00D21782">
        <w:t xml:space="preserve"> and associated product </w:t>
      </w:r>
      <w:r w:rsidR="00EC72D3" w:rsidRPr="00D21782">
        <w:t>Accede Plant Growth Regulator</w:t>
      </w:r>
      <w:r w:rsidRPr="00D21782">
        <w:t xml:space="preserve">, including the manufacturing process, quality control procedures, stability, batch analysis results and analytical methods, and found them to be acceptable. The available storage stability data indicate that the formulated product is expected to remain stable for at least </w:t>
      </w:r>
      <w:r w:rsidR="005614A4" w:rsidRPr="00D21782">
        <w:t>2</w:t>
      </w:r>
      <w:r w:rsidR="00CA5B2B" w:rsidRPr="00D21782">
        <w:t xml:space="preserve"> </w:t>
      </w:r>
      <w:r w:rsidRPr="00D21782">
        <w:t>years when stored under normal conditions.</w:t>
      </w:r>
    </w:p>
    <w:p w14:paraId="4ED8A42E" w14:textId="259E0969" w:rsidR="006D36C8" w:rsidRPr="00D21782" w:rsidRDefault="008C0089" w:rsidP="00D21782">
      <w:pPr>
        <w:pStyle w:val="APVMAText"/>
        <w:sectPr w:rsidR="006D36C8" w:rsidRPr="00D21782">
          <w:headerReference w:type="default" r:id="rId32"/>
          <w:pgSz w:w="11906" w:h="16838" w:code="9"/>
          <w:pgMar w:top="2835" w:right="1134" w:bottom="1134" w:left="1134" w:header="1701" w:footer="680" w:gutter="0"/>
          <w:cols w:space="708"/>
          <w:docGrid w:linePitch="360"/>
        </w:sectPr>
      </w:pPr>
      <w:r w:rsidRPr="00D21782">
        <w:t>Based on a review of the chemistry and manufacturing details,</w:t>
      </w:r>
      <w:r w:rsidR="000D4B2C" w:rsidRPr="00D21782">
        <w:t xml:space="preserve"> </w:t>
      </w:r>
      <w:r w:rsidR="001320D9" w:rsidRPr="00D21782">
        <w:t xml:space="preserve">the </w:t>
      </w:r>
      <w:r w:rsidR="000D4B2C" w:rsidRPr="00D21782">
        <w:t xml:space="preserve">chemical product </w:t>
      </w:r>
      <w:r w:rsidR="00EC72D3" w:rsidRPr="00D21782">
        <w:t>Accede Plant Growth Regulator</w:t>
      </w:r>
      <w:r w:rsidR="000D4B2C" w:rsidRPr="00D21782">
        <w:t xml:space="preserve"> and active constituent 1-aminocyclopropane-1-carboxylic acid were both found to meet the chemistry aspects of the safety criteria defined in the </w:t>
      </w:r>
      <w:r w:rsidR="000D4B2C" w:rsidRPr="002B20E7">
        <w:rPr>
          <w:i/>
          <w:iCs/>
        </w:rPr>
        <w:t>Agricultural and Veterinary Chemicals Code Act 1994</w:t>
      </w:r>
      <w:r w:rsidR="000D4B2C" w:rsidRPr="00D21782">
        <w:t>.</w:t>
      </w:r>
      <w:r w:rsidRPr="00D21782">
        <w:t xml:space="preserve"> </w:t>
      </w:r>
      <w:r w:rsidR="000D4B2C" w:rsidRPr="00D21782">
        <w:t xml:space="preserve">The </w:t>
      </w:r>
      <w:r w:rsidRPr="00D21782">
        <w:t xml:space="preserve">registration of </w:t>
      </w:r>
      <w:r w:rsidR="00EC72D3" w:rsidRPr="00D21782">
        <w:t>Accede Plant Growth Regulator</w:t>
      </w:r>
      <w:r w:rsidRPr="00D21782">
        <w:t xml:space="preserve">, and approval of the active constituent </w:t>
      </w:r>
      <w:r w:rsidR="005614A4" w:rsidRPr="00D21782">
        <w:t>1-aminocyclopropane-1-carboxylic acid</w:t>
      </w:r>
      <w:r w:rsidRPr="00D21782">
        <w:t>, are supported from a chemistry perspective.</w:t>
      </w:r>
    </w:p>
    <w:p w14:paraId="681F480F" w14:textId="3886A71C" w:rsidR="002E20AC" w:rsidRDefault="00CA5B2B" w:rsidP="00032787">
      <w:pPr>
        <w:pStyle w:val="Heading1"/>
      </w:pPr>
      <w:bookmarkStart w:id="46" w:name="_Toc7561227"/>
      <w:bookmarkStart w:id="47" w:name="_Toc228527285"/>
      <w:r>
        <w:lastRenderedPageBreak/>
        <w:t>T</w:t>
      </w:r>
      <w:r w:rsidR="008C0089">
        <w:t>oxicological assessment</w:t>
      </w:r>
      <w:bookmarkEnd w:id="46"/>
      <w:bookmarkEnd w:id="47"/>
    </w:p>
    <w:p w14:paraId="131C4F01" w14:textId="006EEEAD" w:rsidR="002E20AC" w:rsidRDefault="00F14F96" w:rsidP="00772458">
      <w:pPr>
        <w:pStyle w:val="APVMAText"/>
      </w:pPr>
      <w:r w:rsidRPr="00654F74">
        <w:t xml:space="preserve">A toxicological assessment was undertaken from submitted studies on </w:t>
      </w:r>
      <w:r>
        <w:t>1-aminocyclopropane-1-carboxylic acid (</w:t>
      </w:r>
      <w:r w:rsidRPr="00654F74">
        <w:t>ACC</w:t>
      </w:r>
      <w:r>
        <w:t>)</w:t>
      </w:r>
      <w:r w:rsidRPr="00654F74">
        <w:t xml:space="preserve"> and the findings/conclusions of US EPA (2021) and Health Canada (2023) assessment reports. No significant inconsistencies were found between APVMA conclusions and these international assessments. </w:t>
      </w:r>
      <w:r w:rsidRPr="00392D5C">
        <w:t>Acute oral toxicity, acute dermal toxicity, primary eye irritation, acute inhalation toxicity, primary dermal irritation and dermal sensitisation data requirements for ACC were addressed with OECD guideline studies</w:t>
      </w:r>
      <w:r>
        <w:t xml:space="preserve"> provided by the applicant</w:t>
      </w:r>
      <w:r w:rsidRPr="00392D5C">
        <w:t>.</w:t>
      </w:r>
    </w:p>
    <w:p w14:paraId="400F8DE3" w14:textId="77777777" w:rsidR="008C0089" w:rsidRDefault="008C0089" w:rsidP="008C0089">
      <w:pPr>
        <w:pStyle w:val="Heading2"/>
        <w:ind w:left="907" w:hanging="907"/>
      </w:pPr>
      <w:bookmarkStart w:id="48" w:name="_Toc531181076"/>
      <w:bookmarkStart w:id="49" w:name="_Toc7561228"/>
      <w:bookmarkStart w:id="50" w:name="_Toc228527286"/>
      <w:r>
        <w:t>Evaluation of toxicology</w:t>
      </w:r>
      <w:bookmarkEnd w:id="48"/>
      <w:bookmarkEnd w:id="49"/>
      <w:bookmarkEnd w:id="50"/>
    </w:p>
    <w:p w14:paraId="6C47A726" w14:textId="77777777" w:rsidR="008C0089" w:rsidRDefault="008C0089" w:rsidP="008C0089">
      <w:pPr>
        <w:pStyle w:val="Heading3"/>
      </w:pPr>
      <w:bookmarkStart w:id="51" w:name="_Toc7561229"/>
      <w:r>
        <w:t>Chemical class</w:t>
      </w:r>
      <w:bookmarkEnd w:id="51"/>
    </w:p>
    <w:p w14:paraId="13E456A4" w14:textId="3C7CC3F4" w:rsidR="008C0089" w:rsidRPr="00C876F1" w:rsidRDefault="00F14F96" w:rsidP="008C0089">
      <w:pPr>
        <w:pStyle w:val="APVMAText"/>
      </w:pPr>
      <w:r w:rsidRPr="00747CD9">
        <w:t>AAC is a naturally occurring non-protein amino acid produced by many plants and microorganisms. It is a potent plant growth regulator and is a precursor for ethylene production in plant tissues. Ethylene is a phytohormone which regulates plant vegetative and developmental processes such as flower development, fruit set, fruit maturation, fruit ripening, and fruit abscission.</w:t>
      </w:r>
    </w:p>
    <w:p w14:paraId="39DC928B" w14:textId="77777777" w:rsidR="008C0089" w:rsidRDefault="008C0089" w:rsidP="008C0089">
      <w:pPr>
        <w:pStyle w:val="Heading3"/>
      </w:pPr>
      <w:bookmarkStart w:id="52" w:name="_Toc7561230"/>
      <w:r>
        <w:t>Pharmacokinetics</w:t>
      </w:r>
      <w:bookmarkEnd w:id="52"/>
    </w:p>
    <w:p w14:paraId="7A713DEF" w14:textId="77777777" w:rsidR="00F14F96" w:rsidRDefault="00F14F96" w:rsidP="00F14F96">
      <w:pPr>
        <w:pStyle w:val="APVMAText"/>
      </w:pPr>
      <w:r>
        <w:t>The oral bioavailability of ACC in rats</w:t>
      </w:r>
      <w:r w:rsidRPr="00747CD9">
        <w:t xml:space="preserve"> </w:t>
      </w:r>
      <w:r>
        <w:t>was</w:t>
      </w:r>
      <w:r w:rsidRPr="00747CD9">
        <w:t xml:space="preserve"> 83% to 86% from single dose study</w:t>
      </w:r>
      <w:r>
        <w:t>.</w:t>
      </w:r>
      <w:r w:rsidRPr="00747CD9">
        <w:t xml:space="preserve"> </w:t>
      </w:r>
      <w:r>
        <w:t>Mean faecal and urine recoveries of 6.3 ± 7.2% and 82.5 ± 7.3%, respectively of oral dose up to 168 hours. Mean bile recovery of 1.3 ± 0.3%. Mean expired air recovery of 0.21% up to 48 hours.</w:t>
      </w:r>
    </w:p>
    <w:p w14:paraId="6561ED49" w14:textId="77777777" w:rsidR="00F14F96" w:rsidRDefault="00F14F96" w:rsidP="00F14F96">
      <w:pPr>
        <w:pStyle w:val="APVMAText"/>
      </w:pPr>
      <w:r>
        <w:t xml:space="preserve">An </w:t>
      </w:r>
      <w:r w:rsidRPr="00654F74">
        <w:rPr>
          <w:i/>
          <w:iCs/>
        </w:rPr>
        <w:t>in vitro</w:t>
      </w:r>
      <w:r>
        <w:t xml:space="preserve"> study carried out on human skin indicates that dermal absorption is &lt;1%.</w:t>
      </w:r>
    </w:p>
    <w:p w14:paraId="5DEEA47A" w14:textId="78D90646" w:rsidR="008C0089" w:rsidRPr="00C876F1" w:rsidRDefault="00F14F96" w:rsidP="00F14F96">
      <w:pPr>
        <w:pStyle w:val="APVMAText"/>
      </w:pPr>
      <w:r w:rsidRPr="007B4E06">
        <w:t>The predominant component (96%) in plasma was unchanged parent chemical. No metabolites were detected in plasma or urine.</w:t>
      </w:r>
      <w:r>
        <w:t xml:space="preserve"> ACC</w:t>
      </w:r>
      <w:r w:rsidRPr="00747CD9">
        <w:t xml:space="preserve"> was widely distributed across all tissues with highest exposure in kidneys followed by pancreas. </w:t>
      </w:r>
      <w:r>
        <w:t xml:space="preserve">The </w:t>
      </w:r>
      <w:proofErr w:type="spellStart"/>
      <w:r>
        <w:t>logK</w:t>
      </w:r>
      <w:r w:rsidRPr="00654F74">
        <w:rPr>
          <w:vertAlign w:val="subscript"/>
        </w:rPr>
        <w:t>ow</w:t>
      </w:r>
      <w:proofErr w:type="spellEnd"/>
      <w:r>
        <w:t xml:space="preserve"> value for ACC is –2.78, indicating a low potential for bioconcentration in fatty tissues.</w:t>
      </w:r>
    </w:p>
    <w:p w14:paraId="2728CF30" w14:textId="77777777" w:rsidR="008C0089" w:rsidRDefault="008C0089" w:rsidP="008C0089">
      <w:pPr>
        <w:pStyle w:val="Heading3"/>
      </w:pPr>
      <w:bookmarkStart w:id="53" w:name="_Toc7561231"/>
      <w:r>
        <w:t>Acute toxicity (active constituent)</w:t>
      </w:r>
      <w:bookmarkEnd w:id="53"/>
    </w:p>
    <w:p w14:paraId="63A1295F" w14:textId="4B023967" w:rsidR="008C0089" w:rsidRDefault="00F14F96" w:rsidP="008C0089">
      <w:pPr>
        <w:pStyle w:val="APVMAText"/>
      </w:pPr>
      <w:r w:rsidRPr="00392D5C">
        <w:t>ACC was of low acute oral, dermal, and inhalation toxicity, is considered slightly irritating to the eyes and skin, but is not a dermal sensitise</w:t>
      </w:r>
      <w:r>
        <w:t>r.</w:t>
      </w:r>
    </w:p>
    <w:p w14:paraId="38BCFF8C" w14:textId="77777777" w:rsidR="008C0089" w:rsidRPr="002C36C4" w:rsidRDefault="008C0089" w:rsidP="008C0089">
      <w:pPr>
        <w:pStyle w:val="Heading3"/>
      </w:pPr>
      <w:bookmarkStart w:id="54" w:name="_Toc7561232"/>
      <w:r>
        <w:t>Acute toxicity (product)</w:t>
      </w:r>
      <w:bookmarkEnd w:id="54"/>
    </w:p>
    <w:p w14:paraId="45A47620" w14:textId="03F7B1FC" w:rsidR="008C0089" w:rsidRPr="00C876F1" w:rsidRDefault="00EC72D3" w:rsidP="008C0089">
      <w:pPr>
        <w:pStyle w:val="APVMAText"/>
      </w:pPr>
      <w:r>
        <w:t>Accede Plant Growth Regulator</w:t>
      </w:r>
      <w:r w:rsidR="00F14F96" w:rsidRPr="00392D5C">
        <w:t xml:space="preserve"> has low toxicity following oral, dermal or inhalational exposure and is neither an eye or skin irritant nor a skin sensitiser in the Murine LLNA.</w:t>
      </w:r>
    </w:p>
    <w:p w14:paraId="5154826A" w14:textId="77777777" w:rsidR="008C0089" w:rsidRDefault="008C0089" w:rsidP="008C0089">
      <w:pPr>
        <w:pStyle w:val="Heading3"/>
      </w:pPr>
      <w:bookmarkStart w:id="55" w:name="_Toc7561233"/>
      <w:r>
        <w:t>Repeat-dose toxicity</w:t>
      </w:r>
      <w:bookmarkEnd w:id="55"/>
    </w:p>
    <w:p w14:paraId="0E1A0B39" w14:textId="77777777" w:rsidR="00F14F96" w:rsidRDefault="00F14F96" w:rsidP="00F14F96">
      <w:pPr>
        <w:pStyle w:val="APVMAText"/>
      </w:pPr>
      <w:r>
        <w:t>No target organ toxicity was observed in rodents in short-term and sub-chronic oral (dietary) studies</w:t>
      </w:r>
      <w:r w:rsidRPr="003A35DA">
        <w:t xml:space="preserve"> </w:t>
      </w:r>
      <w:r>
        <w:t>with ACC up to doses ~1000 mg/kg bw/d</w:t>
      </w:r>
      <w:r w:rsidRPr="009231C2">
        <w:t>.</w:t>
      </w:r>
    </w:p>
    <w:p w14:paraId="321BFFB7" w14:textId="182D522A" w:rsidR="008C0089" w:rsidRDefault="00F14F96" w:rsidP="00F14F96">
      <w:pPr>
        <w:pStyle w:val="APVMAText"/>
      </w:pPr>
      <w:r w:rsidRPr="003A35DA">
        <w:lastRenderedPageBreak/>
        <w:t xml:space="preserve">In a 28-day dermal toxicity study with ACC in rats, </w:t>
      </w:r>
      <w:r>
        <w:t>t</w:t>
      </w:r>
      <w:r w:rsidRPr="003A35DA">
        <w:t>he NOAEL was 1054 mg/kg bw/d for both male and females.</w:t>
      </w:r>
    </w:p>
    <w:p w14:paraId="02CCAB37" w14:textId="49DB0432" w:rsidR="00F14F96" w:rsidRPr="00C876F1" w:rsidRDefault="00F14F96" w:rsidP="00F14F96">
      <w:pPr>
        <w:pStyle w:val="APVMAText"/>
      </w:pPr>
      <w:r>
        <w:t xml:space="preserve">No </w:t>
      </w:r>
      <w:r w:rsidRPr="003A35DA">
        <w:t>LOAEL</w:t>
      </w:r>
      <w:r>
        <w:t>s were</w:t>
      </w:r>
      <w:r w:rsidRPr="003A35DA">
        <w:t xml:space="preserve"> determined</w:t>
      </w:r>
      <w:r>
        <w:t xml:space="preserve"> in any study</w:t>
      </w:r>
      <w:r w:rsidRPr="003A35DA">
        <w:t>.</w:t>
      </w:r>
    </w:p>
    <w:p w14:paraId="772DD5D6" w14:textId="77777777" w:rsidR="008C0089" w:rsidRPr="00C876F1" w:rsidRDefault="008C0089" w:rsidP="008C0089">
      <w:pPr>
        <w:pStyle w:val="Heading3"/>
      </w:pPr>
      <w:bookmarkStart w:id="56" w:name="_Toc7561234"/>
      <w:r w:rsidRPr="00C876F1">
        <w:t>Chronic toxicity and carcinogenicity</w:t>
      </w:r>
      <w:bookmarkEnd w:id="56"/>
    </w:p>
    <w:p w14:paraId="34716216" w14:textId="36CF77CA" w:rsidR="008C0089" w:rsidRDefault="00F14F96" w:rsidP="008C0089">
      <w:pPr>
        <w:pStyle w:val="APVMAText"/>
      </w:pPr>
      <w:r w:rsidRPr="009231C2">
        <w:t xml:space="preserve">Chronic and/or carcinogenicity studies were not carried out </w:t>
      </w:r>
      <w:r>
        <w:t xml:space="preserve">with ACC, </w:t>
      </w:r>
      <w:r w:rsidRPr="009231C2">
        <w:t xml:space="preserve">which is consistent with the APVMA policy for </w:t>
      </w:r>
      <w:r>
        <w:t>non-</w:t>
      </w:r>
      <w:r w:rsidRPr="009231C2">
        <w:t>genotoxic biological chemicals of low repeat dose sub-chronic toxicity</w:t>
      </w:r>
      <w:r>
        <w:t>.</w:t>
      </w:r>
    </w:p>
    <w:p w14:paraId="3D4FBE85" w14:textId="77777777" w:rsidR="00F14F96" w:rsidRDefault="00F14F96" w:rsidP="00F14F96">
      <w:pPr>
        <w:pStyle w:val="Heading3"/>
      </w:pPr>
      <w:bookmarkStart w:id="57" w:name="_Toc7561235"/>
      <w:r>
        <w:t>Genotoxicity</w:t>
      </w:r>
    </w:p>
    <w:p w14:paraId="374CCE62" w14:textId="77777777" w:rsidR="00F14F96" w:rsidRDefault="00F14F96" w:rsidP="00F14F96">
      <w:pPr>
        <w:pStyle w:val="APVMAText"/>
      </w:pPr>
      <w:r w:rsidRPr="000A182E">
        <w:rPr>
          <w:i/>
          <w:iCs/>
        </w:rPr>
        <w:t>In vitro</w:t>
      </w:r>
      <w:r>
        <w:t xml:space="preserve"> studies with ACC were negative in bacterial reverse mutation assay (S. typhimurium TA98, TA100, TA1535, TA1537 &amp; Escherichia coli WP2uvrA); chromosome aberration assay (Chinese hamster ovary K-1 (CHO K-1) cells) and human lymphocyte micronucleus assay.</w:t>
      </w:r>
    </w:p>
    <w:p w14:paraId="189645D1" w14:textId="77777777" w:rsidR="00F14F96" w:rsidRDefault="00F14F96" w:rsidP="00F14F96">
      <w:pPr>
        <w:pStyle w:val="APVMAText"/>
      </w:pPr>
      <w:r>
        <w:t xml:space="preserve">No </w:t>
      </w:r>
      <w:r w:rsidRPr="000A182E">
        <w:rPr>
          <w:i/>
          <w:iCs/>
        </w:rPr>
        <w:t>in vivo</w:t>
      </w:r>
      <w:r>
        <w:t xml:space="preserve"> studies were available.</w:t>
      </w:r>
    </w:p>
    <w:p w14:paraId="58012FF3" w14:textId="77777777" w:rsidR="00F14F96" w:rsidRPr="00C876F1" w:rsidRDefault="00F14F96" w:rsidP="00F14F96">
      <w:pPr>
        <w:pStyle w:val="Heading3"/>
      </w:pPr>
      <w:r>
        <w:t>Reproductive and developmental toxicity</w:t>
      </w:r>
      <w:bookmarkEnd w:id="57"/>
    </w:p>
    <w:p w14:paraId="409972FD" w14:textId="77777777" w:rsidR="00F14F96" w:rsidRDefault="00F14F96" w:rsidP="00F14F96">
      <w:pPr>
        <w:pStyle w:val="APVMAText"/>
      </w:pPr>
      <w:r>
        <w:t>There was n</w:t>
      </w:r>
      <w:r w:rsidRPr="009D2C86">
        <w:t xml:space="preserve">o evidence of reproductive toxicity </w:t>
      </w:r>
      <w:r>
        <w:t xml:space="preserve">in a one-generation </w:t>
      </w:r>
      <w:r w:rsidRPr="008977A4">
        <w:t xml:space="preserve">dietary reproductive </w:t>
      </w:r>
      <w:r>
        <w:t>study in rats with NOAELs &gt;270 mg ACC/kg bw/d for parental toxicity, significantly lower than NOAELs for reproductive performance (&gt;700 mg ACC/kg bw/d) and neonatal toxicity (&lt;735 mg ACC/kg bw/d).</w:t>
      </w:r>
    </w:p>
    <w:p w14:paraId="59DD3B76" w14:textId="77777777" w:rsidR="00F14F96" w:rsidRDefault="00F14F96" w:rsidP="00F14F96">
      <w:pPr>
        <w:pStyle w:val="APVMAText"/>
      </w:pPr>
      <w:r>
        <w:t>Similarly, there was no evidence of developmental toxicity in rats at doses &gt; 980 mg ACC/kg bw/d.</w:t>
      </w:r>
    </w:p>
    <w:p w14:paraId="173EF8C2" w14:textId="77777777" w:rsidR="00F14F96" w:rsidRDefault="00F14F96" w:rsidP="00F14F96">
      <w:pPr>
        <w:pStyle w:val="Heading3"/>
      </w:pPr>
      <w:bookmarkStart w:id="58" w:name="_Toc7561237"/>
      <w:r>
        <w:t>Neurotoxicity/immunotoxicity</w:t>
      </w:r>
      <w:bookmarkEnd w:id="58"/>
    </w:p>
    <w:p w14:paraId="65D9EA9D" w14:textId="77777777" w:rsidR="00F14F96" w:rsidRDefault="00F14F96" w:rsidP="00F14F96">
      <w:pPr>
        <w:pStyle w:val="APVMAText"/>
      </w:pPr>
      <w:r w:rsidRPr="007F4C38">
        <w:t>No neurological effects were seen in FOB parameters and motor activity at 1035 mg</w:t>
      </w:r>
      <w:r>
        <w:t xml:space="preserve"> ACC</w:t>
      </w:r>
      <w:r w:rsidRPr="007F4C38">
        <w:t>/kg bw/d in 28-d dose range finding study in rats</w:t>
      </w:r>
      <w:r>
        <w:t>.</w:t>
      </w:r>
      <w:r w:rsidRPr="007F4C38">
        <w:t xml:space="preserve"> No changes in FOB parameters </w:t>
      </w:r>
      <w:r>
        <w:t xml:space="preserve">were seen </w:t>
      </w:r>
      <w:r w:rsidRPr="007F4C38">
        <w:t>at &gt;790 mg</w:t>
      </w:r>
      <w:r>
        <w:t xml:space="preserve"> ACC</w:t>
      </w:r>
      <w:r w:rsidRPr="007F4C38">
        <w:t>/kg bw/d in 90-d oral study in rats</w:t>
      </w:r>
      <w:r>
        <w:t>.</w:t>
      </w:r>
    </w:p>
    <w:p w14:paraId="740A7574" w14:textId="066EB9E4" w:rsidR="00F14F96" w:rsidRDefault="00F14F96" w:rsidP="00F14F96">
      <w:pPr>
        <w:pStyle w:val="APVMAText"/>
      </w:pPr>
      <w:r w:rsidRPr="008977A4">
        <w:t xml:space="preserve">In </w:t>
      </w:r>
      <w:r>
        <w:t>the</w:t>
      </w:r>
      <w:r w:rsidRPr="008977A4">
        <w:t xml:space="preserve"> one-generation dietary reproductive study there were no ACC-related effects on mean absolute counts of total T cells, T helper cells, T cytotoxic cells, B cells, NK cells, and on NK-T cells in F1 generation animals, after potential exposure in utero, nursing, lactation or after feeding </w:t>
      </w:r>
      <w:r>
        <w:t>on an</w:t>
      </w:r>
      <w:r w:rsidRPr="008977A4">
        <w:t xml:space="preserve"> ACC containing diet after weaning, until PN</w:t>
      </w:r>
      <w:r>
        <w:t>D</w:t>
      </w:r>
      <w:r w:rsidRPr="008977A4">
        <w:t xml:space="preserve"> 91.</w:t>
      </w:r>
    </w:p>
    <w:p w14:paraId="5048DCF9" w14:textId="77777777" w:rsidR="00F14F96" w:rsidRDefault="00F14F96" w:rsidP="00F14F96">
      <w:pPr>
        <w:pStyle w:val="Heading3"/>
      </w:pPr>
      <w:r>
        <w:t>Endocrine effects</w:t>
      </w:r>
    </w:p>
    <w:p w14:paraId="165223C9" w14:textId="77777777" w:rsidR="00F14F96" w:rsidRDefault="00F14F96" w:rsidP="00F14F96">
      <w:pPr>
        <w:pStyle w:val="APVMAText"/>
      </w:pPr>
      <w:r w:rsidRPr="007F4C38">
        <w:t xml:space="preserve">In the one-generation reproductive study, there were no </w:t>
      </w:r>
      <w:r>
        <w:t>ACC</w:t>
      </w:r>
      <w:r w:rsidRPr="007F4C38">
        <w:t>-related effects on serum levels of T3 (triiodothyronine), T4 (thyroxine), or TSH (thyroid stimulating hormone) in F0 or F1 animals. There were no test substance-related effects on serum levels of T3 (triiodothyronine), T4 (thyroxine), or TSH (thyroid stimulating hormone) in F1 pups on PND 21</w:t>
      </w:r>
      <w:r>
        <w:t>.</w:t>
      </w:r>
    </w:p>
    <w:p w14:paraId="68339C00" w14:textId="5B751571" w:rsidR="00F14F96" w:rsidRPr="008D75F3" w:rsidRDefault="00F14F96" w:rsidP="00F14F96">
      <w:pPr>
        <w:pStyle w:val="APVMAText"/>
      </w:pPr>
      <w:r w:rsidRPr="007F4C38">
        <w:lastRenderedPageBreak/>
        <w:t xml:space="preserve">An </w:t>
      </w:r>
      <w:r w:rsidRPr="00654F74">
        <w:rPr>
          <w:i/>
          <w:iCs/>
        </w:rPr>
        <w:t>in vitro</w:t>
      </w:r>
      <w:r w:rsidRPr="007F4C38">
        <w:t xml:space="preserve"> study was carried out to evaluate the ability of ACC to affect the endocrine system by inhibiting the catalytic activity of aromatase (CYP19)</w:t>
      </w:r>
      <w:r>
        <w:t>. T</w:t>
      </w:r>
      <w:r w:rsidRPr="007F4C38">
        <w:t xml:space="preserve">he average lowest point on the dose response curve </w:t>
      </w:r>
      <w:r>
        <w:t xml:space="preserve">was </w:t>
      </w:r>
      <w:r w:rsidR="009B4441" w:rsidRPr="007F4C38">
        <w:t>&gt;</w:t>
      </w:r>
      <w:r w:rsidR="009B4441">
        <w:t> </w:t>
      </w:r>
      <w:r w:rsidRPr="007F4C38">
        <w:t>75%</w:t>
      </w:r>
      <w:r>
        <w:t xml:space="preserve"> of controls and</w:t>
      </w:r>
      <w:r w:rsidRPr="007F4C38">
        <w:t xml:space="preserve"> </w:t>
      </w:r>
      <w:r>
        <w:t xml:space="preserve">therefore </w:t>
      </w:r>
      <w:r w:rsidRPr="007F4C38">
        <w:t>ACC was classified as a non-inhibitor in the aromatase assay</w:t>
      </w:r>
      <w:r>
        <w:t>.</w:t>
      </w:r>
    </w:p>
    <w:p w14:paraId="1EF49EDE" w14:textId="77777777" w:rsidR="00F14F96" w:rsidRPr="00162654" w:rsidRDefault="00F14F96" w:rsidP="00F14F96">
      <w:pPr>
        <w:pStyle w:val="Heading3"/>
      </w:pPr>
      <w:bookmarkStart w:id="59" w:name="_Toc7561238"/>
      <w:r>
        <w:t>Mode of action (toxicology)</w:t>
      </w:r>
      <w:bookmarkEnd w:id="59"/>
    </w:p>
    <w:p w14:paraId="297F6F96" w14:textId="60DE19E5" w:rsidR="00F14F96" w:rsidRPr="008D75F3" w:rsidRDefault="00F14F96" w:rsidP="00F14F96">
      <w:pPr>
        <w:pStyle w:val="APVMAText"/>
      </w:pPr>
      <w:r w:rsidRPr="00547942">
        <w:t xml:space="preserve">While ACC is </w:t>
      </w:r>
      <w:r>
        <w:t>a</w:t>
      </w:r>
      <w:r w:rsidRPr="00547942">
        <w:t xml:space="preserve"> precursor to ethylene in plants, humans do not possess the ACC oxidase enzyme necessary to convert ACC into ethylene.</w:t>
      </w:r>
      <w:r>
        <w:t xml:space="preserve"> Although, unrelated to effects seen in animal studies with ACC, </w:t>
      </w:r>
      <w:proofErr w:type="gramStart"/>
      <w:r>
        <w:t>a number of</w:t>
      </w:r>
      <w:proofErr w:type="gramEnd"/>
      <w:r>
        <w:t xml:space="preserve"> </w:t>
      </w:r>
      <w:r w:rsidRPr="009B3D7C">
        <w:t xml:space="preserve">animal studies </w:t>
      </w:r>
      <w:r>
        <w:t xml:space="preserve">have </w:t>
      </w:r>
      <w:r w:rsidRPr="009B3D7C">
        <w:t>demonstrat</w:t>
      </w:r>
      <w:r>
        <w:t>ed</w:t>
      </w:r>
      <w:r w:rsidRPr="009B3D7C">
        <w:t xml:space="preserve"> that ACC </w:t>
      </w:r>
      <w:r>
        <w:t>has</w:t>
      </w:r>
      <w:r w:rsidRPr="009B3D7C">
        <w:t xml:space="preserve"> </w:t>
      </w:r>
      <w:r w:rsidRPr="00127EC9">
        <w:t xml:space="preserve">agonist and antagonist activity </w:t>
      </w:r>
      <w:r>
        <w:t>on</w:t>
      </w:r>
      <w:r w:rsidRPr="00127EC9">
        <w:t xml:space="preserve"> N-methyl-D</w:t>
      </w:r>
      <w:r>
        <w:t>-</w:t>
      </w:r>
      <w:r w:rsidRPr="00127EC9">
        <w:t>aspartate (NDMA) receptors within the mammalian central nervous system</w:t>
      </w:r>
      <w:r>
        <w:t xml:space="preserve"> (CNS). Potential CNS effects were not addressed in the evaluations of ACC conducted by the US EPA (2021) and Health Canada (2023). No data is available regarding its potential use as a human therapeutic agent or dietary supplement.</w:t>
      </w:r>
    </w:p>
    <w:p w14:paraId="18E8852B" w14:textId="77777777" w:rsidR="00F14F96" w:rsidRDefault="00F14F96" w:rsidP="00F14F96">
      <w:pPr>
        <w:pStyle w:val="Heading3"/>
      </w:pPr>
      <w:bookmarkStart w:id="60" w:name="_Toc7561239"/>
      <w:r>
        <w:t>Toxicity of metabolites and/or impurities</w:t>
      </w:r>
      <w:bookmarkEnd w:id="60"/>
    </w:p>
    <w:p w14:paraId="2B497486" w14:textId="77777777" w:rsidR="00F14F96" w:rsidRDefault="00F14F96" w:rsidP="00F14F96">
      <w:pPr>
        <w:pStyle w:val="APVMAText"/>
      </w:pPr>
      <w:r>
        <w:t xml:space="preserve">No impurities of toxicological concern were identified in the </w:t>
      </w:r>
      <w:r w:rsidRPr="007B4E06">
        <w:t xml:space="preserve">5-batch analysis </w:t>
      </w:r>
      <w:r>
        <w:t>of ACC TGAC.</w:t>
      </w:r>
      <w:r w:rsidRPr="00392D5C">
        <w:t xml:space="preserve"> No metabolites were identified in the ADME </w:t>
      </w:r>
      <w:r w:rsidRPr="00654F74">
        <w:rPr>
          <w:i/>
          <w:iCs/>
        </w:rPr>
        <w:t>in vivo</w:t>
      </w:r>
      <w:r w:rsidRPr="00392D5C">
        <w:t xml:space="preserve"> study in male rats</w:t>
      </w:r>
      <w:r>
        <w:t>.</w:t>
      </w:r>
      <w:r w:rsidRPr="00392D5C">
        <w:t xml:space="preserve"> </w:t>
      </w:r>
      <w:r w:rsidRPr="007B4E06">
        <w:t>No</w:t>
      </w:r>
      <w:r>
        <w:t>ne of the</w:t>
      </w:r>
      <w:r w:rsidRPr="007B4E06">
        <w:t xml:space="preserve"> metabolites</w:t>
      </w:r>
      <w:r>
        <w:t xml:space="preserve"> or </w:t>
      </w:r>
      <w:proofErr w:type="spellStart"/>
      <w:r>
        <w:t>degradates</w:t>
      </w:r>
      <w:proofErr w:type="spellEnd"/>
      <w:r w:rsidRPr="007B4E06">
        <w:t xml:space="preserve"> found in </w:t>
      </w:r>
      <w:r>
        <w:t xml:space="preserve">product </w:t>
      </w:r>
      <w:r w:rsidRPr="007B4E06">
        <w:t xml:space="preserve">treated plants </w:t>
      </w:r>
      <w:proofErr w:type="gramStart"/>
      <w:r>
        <w:t xml:space="preserve">were </w:t>
      </w:r>
      <w:r w:rsidRPr="007B4E06">
        <w:t>considered to be</w:t>
      </w:r>
      <w:proofErr w:type="gramEnd"/>
      <w:r w:rsidRPr="007B4E06">
        <w:t xml:space="preserve"> of toxicological concern.</w:t>
      </w:r>
      <w:r>
        <w:t xml:space="preserve"> </w:t>
      </w:r>
      <w:r w:rsidRPr="00392D5C">
        <w:t>In its conversion to ethylene, the carboxyl group of ACC yields CO</w:t>
      </w:r>
      <w:r w:rsidRPr="00654F74">
        <w:rPr>
          <w:vertAlign w:val="subscript"/>
        </w:rPr>
        <w:t>2</w:t>
      </w:r>
      <w:r w:rsidRPr="00392D5C">
        <w:t xml:space="preserve"> and HCN. HCN is detoxified primarily by the enzyme β-</w:t>
      </w:r>
      <w:proofErr w:type="spellStart"/>
      <w:r w:rsidRPr="00392D5C">
        <w:t>cyanoalanine</w:t>
      </w:r>
      <w:proofErr w:type="spellEnd"/>
      <w:r w:rsidRPr="00392D5C">
        <w:t xml:space="preserve"> synthase (β-CAS) converting free cyanide into asparagine. Although the β-CAS pathway is the major route </w:t>
      </w:r>
      <w:r>
        <w:t>for</w:t>
      </w:r>
      <w:r w:rsidRPr="00392D5C">
        <w:t xml:space="preserve"> cyanide remov</w:t>
      </w:r>
      <w:r>
        <w:t>al</w:t>
      </w:r>
      <w:r w:rsidRPr="00392D5C">
        <w:t>, the enzyme rhodanese reportedly contributes to detoxification in some cyanogenic plants. It has been demonstrated that plant tissues have ample capacity to detoxify HCN formed during ethylene biosynthesis with concentrations of HCN in plant tissues being low.</w:t>
      </w:r>
    </w:p>
    <w:p w14:paraId="3C081178" w14:textId="77777777" w:rsidR="00F14F96" w:rsidRDefault="00F14F96" w:rsidP="00F14F96">
      <w:pPr>
        <w:pStyle w:val="Heading3"/>
      </w:pPr>
      <w:bookmarkStart w:id="61" w:name="_Toc7561240"/>
      <w:r>
        <w:t>Reports related to human toxicity</w:t>
      </w:r>
      <w:bookmarkEnd w:id="61"/>
    </w:p>
    <w:p w14:paraId="11D9ACAE" w14:textId="1C930BCD" w:rsidR="008C0089" w:rsidRDefault="00F14F96" w:rsidP="00F14F96">
      <w:pPr>
        <w:pStyle w:val="APVMAText"/>
      </w:pPr>
      <w:r w:rsidRPr="00654F74">
        <w:rPr>
          <w:rFonts w:ascii="Franklin Gothic Medium" w:hAnsi="Franklin Gothic Medium"/>
          <w:szCs w:val="20"/>
        </w:rPr>
        <w:t>No reports of</w:t>
      </w:r>
      <w:r w:rsidRPr="00654F74">
        <w:rPr>
          <w:rFonts w:ascii="Franklin Gothic Medium" w:hAnsi="Franklin Gothic Medium"/>
          <w:sz w:val="28"/>
          <w:szCs w:val="28"/>
        </w:rPr>
        <w:t xml:space="preserve"> </w:t>
      </w:r>
      <w:r>
        <w:t>adverse human effects from exposure to ACC were available. Due to its low acute and repeat dose toxicity in animal studies no toxicity in humans is considered likely.</w:t>
      </w:r>
      <w:r w:rsidRPr="00127EC9">
        <w:t xml:space="preserve"> </w:t>
      </w:r>
      <w:r>
        <w:t>ACC is also a naturally occurring chemical found in plant-derived foods.</w:t>
      </w:r>
    </w:p>
    <w:p w14:paraId="66C25604" w14:textId="77777777" w:rsidR="008C0089" w:rsidRDefault="008C0089" w:rsidP="008C0089">
      <w:pPr>
        <w:pStyle w:val="Heading2"/>
        <w:ind w:left="907" w:hanging="907"/>
      </w:pPr>
      <w:bookmarkStart w:id="62" w:name="_Toc531181077"/>
      <w:bookmarkStart w:id="63" w:name="_Toc7561244"/>
      <w:bookmarkStart w:id="64" w:name="_Toc228527287"/>
      <w:r>
        <w:t>Health-based guidance values and poisons scheduling</w:t>
      </w:r>
      <w:bookmarkEnd w:id="62"/>
      <w:bookmarkEnd w:id="63"/>
      <w:bookmarkEnd w:id="64"/>
    </w:p>
    <w:p w14:paraId="1EFC6B34" w14:textId="77777777" w:rsidR="00F14F96" w:rsidRPr="00A838D5" w:rsidRDefault="00F14F96" w:rsidP="00F14F96">
      <w:pPr>
        <w:pStyle w:val="Heading3"/>
      </w:pPr>
      <w:bookmarkStart w:id="65" w:name="_Toc7561245"/>
      <w:r>
        <w:t>Poisons Standard</w:t>
      </w:r>
      <w:bookmarkEnd w:id="65"/>
      <w:r>
        <w:t xml:space="preserve"> (the SUSMP)</w:t>
      </w:r>
    </w:p>
    <w:p w14:paraId="54A97AF6" w14:textId="3231E3A2" w:rsidR="00F14F96" w:rsidRDefault="00F14F96" w:rsidP="002B20E7">
      <w:pPr>
        <w:pStyle w:val="APVMAText"/>
        <w:rPr>
          <w:rFonts w:eastAsia="Aptos"/>
        </w:rPr>
      </w:pPr>
      <w:r w:rsidRPr="006517B0">
        <w:rPr>
          <w:rFonts w:eastAsia="Aptos"/>
        </w:rPr>
        <w:t xml:space="preserve">Pursuant to regulation 42ZCZU of the Regulations, </w:t>
      </w:r>
      <w:r>
        <w:rPr>
          <w:rFonts w:eastAsia="Aptos"/>
        </w:rPr>
        <w:t>the</w:t>
      </w:r>
      <w:r w:rsidRPr="006517B0">
        <w:rPr>
          <w:rFonts w:eastAsia="Aptos"/>
        </w:rPr>
        <w:t xml:space="preserve"> Delegate of the Secretary</w:t>
      </w:r>
      <w:r>
        <w:rPr>
          <w:rFonts w:eastAsia="Aptos"/>
        </w:rPr>
        <w:t xml:space="preserve"> of TGA</w:t>
      </w:r>
      <w:r w:rsidRPr="006517B0">
        <w:rPr>
          <w:rFonts w:eastAsia="Aptos"/>
        </w:rPr>
        <w:t xml:space="preserve"> made a final</w:t>
      </w:r>
      <w:r>
        <w:rPr>
          <w:rFonts w:eastAsia="Aptos"/>
        </w:rPr>
        <w:t xml:space="preserve"> </w:t>
      </w:r>
      <w:r w:rsidRPr="006517B0">
        <w:rPr>
          <w:rFonts w:eastAsia="Aptos"/>
        </w:rPr>
        <w:t xml:space="preserve">decision </w:t>
      </w:r>
      <w:r>
        <w:rPr>
          <w:rFonts w:eastAsia="Aptos"/>
        </w:rPr>
        <w:t xml:space="preserve">(1 October 2025) </w:t>
      </w:r>
      <w:r w:rsidRPr="006517B0">
        <w:rPr>
          <w:rFonts w:eastAsia="Aptos"/>
        </w:rPr>
        <w:t>to amend the current Poisons Standard in relation to 1-aminocyclopropane-1-carboxylic acid</w:t>
      </w:r>
      <w:r>
        <w:rPr>
          <w:rFonts w:eastAsia="Aptos"/>
        </w:rPr>
        <w:t xml:space="preserve"> </w:t>
      </w:r>
      <w:r w:rsidRPr="006517B0">
        <w:rPr>
          <w:rFonts w:eastAsia="Aptos"/>
        </w:rPr>
        <w:t>as follows:</w:t>
      </w:r>
    </w:p>
    <w:p w14:paraId="04DF1DBE" w14:textId="77777777" w:rsidR="00F14F96" w:rsidRPr="00475D0D" w:rsidRDefault="00F14F96" w:rsidP="002B20E7">
      <w:pPr>
        <w:pStyle w:val="APVMAText"/>
        <w:rPr>
          <w:rFonts w:eastAsia="Aptos"/>
        </w:rPr>
      </w:pPr>
      <w:r w:rsidRPr="00475D0D">
        <w:rPr>
          <w:rFonts w:eastAsia="Aptos"/>
        </w:rPr>
        <w:t>Schedule 5 - CAUTION</w:t>
      </w:r>
    </w:p>
    <w:p w14:paraId="7E84A47D" w14:textId="77777777" w:rsidR="00F14F96" w:rsidRPr="00475D0D" w:rsidRDefault="00F14F96" w:rsidP="002B20E7">
      <w:pPr>
        <w:pStyle w:val="APVMAText"/>
        <w:rPr>
          <w:rFonts w:eastAsia="Aptos"/>
        </w:rPr>
      </w:pPr>
      <w:r w:rsidRPr="00475D0D">
        <w:rPr>
          <w:rFonts w:eastAsia="Aptos"/>
        </w:rPr>
        <w:t>1-AMINOCYCLOPROPANE-1-CARBOXYLIC ACID except in plant growth preparations containing 40% or less of 1-aminocyclopropane-1-carboxylic acid.</w:t>
      </w:r>
    </w:p>
    <w:p w14:paraId="41A73E87" w14:textId="77777777" w:rsidR="00F14F96" w:rsidRDefault="00F14F96" w:rsidP="00F14F96">
      <w:pPr>
        <w:pStyle w:val="Heading3"/>
      </w:pPr>
      <w:bookmarkStart w:id="66" w:name="_Toc7561246"/>
      <w:r>
        <w:lastRenderedPageBreak/>
        <w:t>Health-based guidance values</w:t>
      </w:r>
      <w:bookmarkEnd w:id="66"/>
    </w:p>
    <w:p w14:paraId="4816A945" w14:textId="01A76936" w:rsidR="00F14F96" w:rsidRDefault="00F14F96" w:rsidP="002B20E7">
      <w:pPr>
        <w:pStyle w:val="APVMAText"/>
      </w:pPr>
      <w:r>
        <w:t xml:space="preserve">Although there is potential for dietary exposure resulting from the proposed use of </w:t>
      </w:r>
      <w:r w:rsidR="00EC72D3">
        <w:t>Accede Plant Growth Regulator</w:t>
      </w:r>
      <w:r>
        <w:t>, the human health risk is anticipated to be negligible due to its low toxicity, infrequent application and rapid degradation once applied to the crop. In addition, ACC is a naturally occurring compound in plant tissues and part of the normal human diet.</w:t>
      </w:r>
    </w:p>
    <w:p w14:paraId="68403C00" w14:textId="286888F2" w:rsidR="008C0089" w:rsidRDefault="00F14F96" w:rsidP="00F14F96">
      <w:pPr>
        <w:pStyle w:val="APVMAText"/>
      </w:pPr>
      <w:r>
        <w:t>As such, the establishment of an acceptable daily intake (ADI) or acute reference dose (ARfD) for ACC is not considered necessary. ACC is in Table 5 of the MRL Standard for Residues of Chemical Products.</w:t>
      </w:r>
    </w:p>
    <w:p w14:paraId="7785A524" w14:textId="77777777" w:rsidR="008C0089" w:rsidRDefault="008C0089" w:rsidP="00CA5B2B">
      <w:pPr>
        <w:pStyle w:val="Heading2"/>
        <w:ind w:left="907" w:hanging="907"/>
      </w:pPr>
      <w:bookmarkStart w:id="67" w:name="_Toc531181078"/>
      <w:bookmarkStart w:id="68" w:name="_Toc7561247"/>
      <w:bookmarkStart w:id="69" w:name="_Toc228527288"/>
      <w:r>
        <w:t>Recommendations</w:t>
      </w:r>
      <w:bookmarkEnd w:id="67"/>
      <w:bookmarkEnd w:id="68"/>
      <w:bookmarkEnd w:id="69"/>
    </w:p>
    <w:p w14:paraId="01FAF376" w14:textId="43945DA1" w:rsidR="00F14F96" w:rsidRDefault="00F14F96" w:rsidP="00F14F96">
      <w:pPr>
        <w:pStyle w:val="APVMAText"/>
      </w:pPr>
      <w:r>
        <w:t>APVMA has no objections on human health grounds to the approval of 1-aminocyclopropane-1-carboxylic acid (ACC) as a new active constituent.</w:t>
      </w:r>
    </w:p>
    <w:p w14:paraId="67AB3702" w14:textId="45DBA1B1" w:rsidR="00F14F96" w:rsidRPr="00F14F96" w:rsidRDefault="00F14F96" w:rsidP="00F14F96">
      <w:pPr>
        <w:pStyle w:val="APVMAText"/>
        <w:sectPr w:rsidR="00F14F96" w:rsidRPr="00F14F96">
          <w:headerReference w:type="default" r:id="rId33"/>
          <w:pgSz w:w="11906" w:h="16838" w:code="9"/>
          <w:pgMar w:top="2835" w:right="1134" w:bottom="1134" w:left="1134" w:header="1701" w:footer="680" w:gutter="0"/>
          <w:cols w:space="708"/>
          <w:docGrid w:linePitch="360"/>
        </w:sectPr>
      </w:pPr>
      <w:r>
        <w:t xml:space="preserve">There are no objections on human health grounds to the registration of the product </w:t>
      </w:r>
      <w:r w:rsidR="00EC72D3">
        <w:t>Accede Plant Growth Regulator</w:t>
      </w:r>
      <w:r>
        <w:t>, containing 400 g/kg of ACC when used in accordance with the directions for use (DFU) and adhering to the recommended safety directions</w:t>
      </w:r>
    </w:p>
    <w:p w14:paraId="2E6A3C65" w14:textId="77777777" w:rsidR="00302D38" w:rsidRDefault="00302D38" w:rsidP="00302D38">
      <w:pPr>
        <w:pStyle w:val="Heading1"/>
        <w:tabs>
          <w:tab w:val="num" w:pos="907"/>
        </w:tabs>
        <w:ind w:left="907" w:hanging="907"/>
        <w:rPr>
          <w:lang w:val="en-GB"/>
        </w:rPr>
      </w:pPr>
      <w:bookmarkStart w:id="70" w:name="_Toc231963188"/>
      <w:bookmarkStart w:id="71" w:name="_Toc531181079"/>
      <w:bookmarkStart w:id="72" w:name="_Toc7561248"/>
      <w:bookmarkStart w:id="73" w:name="_Toc228527289"/>
      <w:r>
        <w:rPr>
          <w:lang w:val="en-GB"/>
        </w:rPr>
        <w:lastRenderedPageBreak/>
        <w:t>Residues assessment</w:t>
      </w:r>
      <w:bookmarkEnd w:id="70"/>
      <w:bookmarkEnd w:id="71"/>
      <w:bookmarkEnd w:id="72"/>
      <w:bookmarkEnd w:id="73"/>
    </w:p>
    <w:p w14:paraId="54EA35BB" w14:textId="7CAAB576" w:rsidR="0063456D" w:rsidRPr="0063456D" w:rsidRDefault="0063456D" w:rsidP="002B20E7">
      <w:pPr>
        <w:pStyle w:val="APVMAText"/>
        <w:rPr>
          <w:lang w:val="en-GB"/>
        </w:rPr>
      </w:pPr>
      <w:r>
        <w:rPr>
          <w:lang w:val="en-GB"/>
        </w:rPr>
        <w:t>As part of the residues assessment of 1-aminocyclpropane-1-carboxylic acid (ACC), publications on plant metabolism, supervised residue trial data for apples and stone fruit, fate in storage and residues and trade information were considered.</w:t>
      </w:r>
    </w:p>
    <w:p w14:paraId="7A255074" w14:textId="77777777" w:rsidR="00302D38" w:rsidRDefault="00302D38" w:rsidP="00302D38">
      <w:pPr>
        <w:pStyle w:val="Heading2"/>
        <w:ind w:left="907" w:hanging="907"/>
        <w:rPr>
          <w:lang w:val="en-GB"/>
        </w:rPr>
      </w:pPr>
      <w:bookmarkStart w:id="74" w:name="_Toc531181080"/>
      <w:bookmarkStart w:id="75" w:name="_Toc7561249"/>
      <w:bookmarkStart w:id="76" w:name="_Toc228527290"/>
      <w:r>
        <w:rPr>
          <w:lang w:val="en-GB"/>
        </w:rPr>
        <w:t>Metabolism</w:t>
      </w:r>
      <w:bookmarkEnd w:id="74"/>
      <w:bookmarkEnd w:id="75"/>
      <w:bookmarkEnd w:id="76"/>
    </w:p>
    <w:p w14:paraId="66DB31BD" w14:textId="14B4B279" w:rsidR="00860F6C" w:rsidRDefault="00860F6C" w:rsidP="00860F6C">
      <w:pPr>
        <w:pStyle w:val="APVMAText"/>
      </w:pPr>
      <w:r>
        <w:t xml:space="preserve">The applicant </w:t>
      </w:r>
      <w:r w:rsidR="00E42CD4">
        <w:t>provided</w:t>
      </w:r>
      <w:r>
        <w:t xml:space="preserve"> a literature search/review relating to the natural occurrence of 1-</w:t>
      </w:r>
      <w:r w:rsidR="00C63B9D">
        <w:t>a</w:t>
      </w:r>
      <w:r>
        <w:t>minocyclopropane-1-carboxylic acid (ACC) and the metabolic pathway in plants and the impact of physical phenomena (e.g. light, temperature or stress) on the ACC levels in plants and consequent ethylene production.</w:t>
      </w:r>
      <w:r w:rsidR="002D3DF8">
        <w:t xml:space="preserve"> </w:t>
      </w:r>
      <w:r w:rsidR="00181A72">
        <w:t>It was</w:t>
      </w:r>
      <w:r>
        <w:t xml:space="preserve"> concluded that ACC is the direct precursor of the plant hormone ethylene and is identified as naturally occurring in all higher plants.</w:t>
      </w:r>
    </w:p>
    <w:p w14:paraId="020FFFF2" w14:textId="3C2665F0" w:rsidR="00860F6C" w:rsidRDefault="00860F6C" w:rsidP="00860F6C">
      <w:pPr>
        <w:pStyle w:val="APVMAText"/>
      </w:pPr>
      <w:r>
        <w:t>The occurrence and metabolism of ACC has been widely studied in plants covering different crop groups (fruit crops, leafy crops, pulses and oilseeds, cereals and root crops). The main routes of metabolism of ACC are oxidative ring opening to form ethylene, and malonyl conjugation to form N-malonyl-ACC (MACC).</w:t>
      </w:r>
      <w:r w:rsidR="00181A72">
        <w:rPr>
          <w:rStyle w:val="FootnoteReference"/>
        </w:rPr>
        <w:footnoteReference w:id="2"/>
      </w:r>
    </w:p>
    <w:p w14:paraId="3ADAAA0D" w14:textId="2F3F5D8F" w:rsidR="00860F6C" w:rsidRDefault="00860F6C" w:rsidP="00860F6C">
      <w:pPr>
        <w:pStyle w:val="APVMAText"/>
      </w:pPr>
      <w:r>
        <w:t xml:space="preserve">The </w:t>
      </w:r>
      <w:r w:rsidR="002D3DF8">
        <w:t xml:space="preserve">United States Environmental Protection Agency </w:t>
      </w:r>
      <w:r>
        <w:t>noted in their evaluation that ACC is a natural non-protein amino acid found in all plants to which humans have been exposed through fruit and vegetable consumption; and residues of the pesticide may be indistinguishable from naturally occurring background levels of ACC.</w:t>
      </w:r>
    </w:p>
    <w:p w14:paraId="048C696E" w14:textId="751879D3" w:rsidR="00302D38" w:rsidRDefault="00860F6C" w:rsidP="00860F6C">
      <w:pPr>
        <w:pStyle w:val="APVMAText"/>
      </w:pPr>
      <w:r>
        <w:t xml:space="preserve">Further data on the metabolism of ACC </w:t>
      </w:r>
      <w:r w:rsidR="00181A72">
        <w:t xml:space="preserve">in plants or target animals </w:t>
      </w:r>
      <w:r>
        <w:t>is not required.</w:t>
      </w:r>
    </w:p>
    <w:p w14:paraId="19B55B08" w14:textId="77777777" w:rsidR="00302D38" w:rsidRDefault="00302D38" w:rsidP="00302D38">
      <w:pPr>
        <w:pStyle w:val="Heading2"/>
        <w:ind w:left="907" w:hanging="907"/>
        <w:rPr>
          <w:lang w:val="en-GB"/>
        </w:rPr>
      </w:pPr>
      <w:bookmarkStart w:id="77" w:name="_Toc531181081"/>
      <w:bookmarkStart w:id="78" w:name="_Toc7561250"/>
      <w:bookmarkStart w:id="79" w:name="_Toc228527291"/>
      <w:r>
        <w:rPr>
          <w:lang w:val="en-GB"/>
        </w:rPr>
        <w:t>Analytical methods and storage stability</w:t>
      </w:r>
      <w:bookmarkEnd w:id="77"/>
      <w:bookmarkEnd w:id="78"/>
      <w:bookmarkEnd w:id="79"/>
    </w:p>
    <w:p w14:paraId="2F0B1D5F" w14:textId="67C2A03E" w:rsidR="00860F6C" w:rsidRPr="00860F6C" w:rsidRDefault="00860F6C" w:rsidP="00860F6C">
      <w:pPr>
        <w:pStyle w:val="APVMAText"/>
        <w:rPr>
          <w:lang w:val="en-GB"/>
        </w:rPr>
      </w:pPr>
      <w:r w:rsidRPr="00860F6C">
        <w:rPr>
          <w:lang w:val="en-GB"/>
        </w:rPr>
        <w:t xml:space="preserve">The analytical procedure used for determination of residues in Australian </w:t>
      </w:r>
      <w:r w:rsidR="002D3DF8">
        <w:rPr>
          <w:lang w:val="en-GB"/>
        </w:rPr>
        <w:t>Good Laboratory Practice (</w:t>
      </w:r>
      <w:r w:rsidRPr="00860F6C">
        <w:rPr>
          <w:lang w:val="en-GB"/>
        </w:rPr>
        <w:t>GLP</w:t>
      </w:r>
      <w:r w:rsidR="002D3DF8">
        <w:rPr>
          <w:lang w:val="en-GB"/>
        </w:rPr>
        <w:t>)</w:t>
      </w:r>
      <w:r w:rsidRPr="00860F6C">
        <w:rPr>
          <w:lang w:val="en-GB"/>
        </w:rPr>
        <w:t xml:space="preserve"> study samples was titled GM184 – Determination of amino-cyclopropane carboxylic acid residues in fruits, vegetables and other plant matrices using liquid chromatography with tandem mass spectrometry (LCMS/MS). The method is summarised as follows:</w:t>
      </w:r>
    </w:p>
    <w:p w14:paraId="5872A040" w14:textId="0918B784" w:rsidR="00860F6C" w:rsidRPr="00860F6C" w:rsidRDefault="00860F6C" w:rsidP="00860F6C">
      <w:pPr>
        <w:pStyle w:val="APVMAText"/>
        <w:rPr>
          <w:lang w:val="en-GB"/>
        </w:rPr>
      </w:pPr>
      <w:r w:rsidRPr="00860F6C">
        <w:rPr>
          <w:lang w:val="en-GB"/>
        </w:rPr>
        <w:t xml:space="preserve">Sample homogenate was weighed into a centrifuge tube and surrogate standard added. Methanol and milli-Q water was added, and the tube shaken. The extract was centrifuged, and an aliquot of supernatant was taken and added to a centrifuge tube. A methanol solution was </w:t>
      </w:r>
      <w:r w:rsidR="006E40DF" w:rsidRPr="00860F6C">
        <w:rPr>
          <w:lang w:val="en-GB"/>
        </w:rPr>
        <w:t>added,</w:t>
      </w:r>
      <w:r w:rsidRPr="00860F6C">
        <w:rPr>
          <w:lang w:val="en-GB"/>
        </w:rPr>
        <w:t xml:space="preserve"> and the sample tube was shaken then centrifuged.</w:t>
      </w:r>
    </w:p>
    <w:p w14:paraId="407A8FD1" w14:textId="77777777" w:rsidR="00860F6C" w:rsidRPr="00860F6C" w:rsidRDefault="00860F6C" w:rsidP="00860F6C">
      <w:pPr>
        <w:pStyle w:val="APVMAText"/>
        <w:rPr>
          <w:lang w:val="en-GB"/>
        </w:rPr>
      </w:pPr>
      <w:r w:rsidRPr="00860F6C">
        <w:rPr>
          <w:lang w:val="en-GB"/>
        </w:rPr>
        <w:t xml:space="preserve">An aliquot was taken from the centrifuged tube and the extract was analysed using an Agilent 1290 liquid chromatograph (LC) with 6460C mass spectrometer (MS/MS). </w:t>
      </w:r>
    </w:p>
    <w:p w14:paraId="38EC133A" w14:textId="38007D92" w:rsidR="00860F6C" w:rsidRPr="00860F6C" w:rsidRDefault="00860F6C" w:rsidP="00860F6C">
      <w:pPr>
        <w:pStyle w:val="APVMAText"/>
        <w:rPr>
          <w:lang w:val="en-GB"/>
        </w:rPr>
      </w:pPr>
      <w:r w:rsidRPr="00860F6C">
        <w:rPr>
          <w:lang w:val="en-GB"/>
        </w:rPr>
        <w:lastRenderedPageBreak/>
        <w:t xml:space="preserve">The </w:t>
      </w:r>
      <w:r w:rsidR="00D12C25">
        <w:rPr>
          <w:lang w:val="en-GB"/>
        </w:rPr>
        <w:t>Limit of Quantitation (</w:t>
      </w:r>
      <w:r w:rsidRPr="00860F6C">
        <w:rPr>
          <w:lang w:val="en-GB"/>
        </w:rPr>
        <w:t>LOQ</w:t>
      </w:r>
      <w:r w:rsidR="00D12C25">
        <w:rPr>
          <w:lang w:val="en-GB"/>
        </w:rPr>
        <w:t>)</w:t>
      </w:r>
      <w:r w:rsidRPr="00860F6C">
        <w:rPr>
          <w:lang w:val="en-GB"/>
        </w:rPr>
        <w:t xml:space="preserve"> was 0.05 mg/kg for apple and 0.02 mg/kg for peach, plum and nectarine. The </w:t>
      </w:r>
      <w:r w:rsidR="00D12C25">
        <w:rPr>
          <w:lang w:val="en-GB"/>
        </w:rPr>
        <w:t>Limit of Detection (</w:t>
      </w:r>
      <w:r w:rsidRPr="00860F6C">
        <w:rPr>
          <w:lang w:val="en-GB"/>
        </w:rPr>
        <w:t>LOD</w:t>
      </w:r>
      <w:r w:rsidR="00D12C25">
        <w:rPr>
          <w:lang w:val="en-GB"/>
        </w:rPr>
        <w:t>)</w:t>
      </w:r>
      <w:r w:rsidRPr="00860F6C">
        <w:rPr>
          <w:lang w:val="en-GB"/>
        </w:rPr>
        <w:t xml:space="preserve"> was 0.04 mg/kg for apple and 0.01 mg/kg for peach, plum and nectarine.</w:t>
      </w:r>
    </w:p>
    <w:p w14:paraId="53AA6ACA" w14:textId="52196776" w:rsidR="00860F6C" w:rsidRPr="00860F6C" w:rsidRDefault="00860F6C" w:rsidP="00860F6C">
      <w:pPr>
        <w:pStyle w:val="APVMAText"/>
        <w:rPr>
          <w:lang w:val="en-GB"/>
        </w:rPr>
      </w:pPr>
      <w:r w:rsidRPr="00860F6C">
        <w:rPr>
          <w:lang w:val="en-GB"/>
        </w:rPr>
        <w:t>Recoveries from fortified control samples were within acceptable limits.</w:t>
      </w:r>
    </w:p>
    <w:p w14:paraId="5D7212FA" w14:textId="45784A4A" w:rsidR="00302D38" w:rsidRDefault="00860F6C" w:rsidP="00860F6C">
      <w:pPr>
        <w:pStyle w:val="APVMAText"/>
        <w:rPr>
          <w:lang w:val="en-GB"/>
        </w:rPr>
      </w:pPr>
      <w:r w:rsidRPr="00860F6C">
        <w:rPr>
          <w:lang w:val="en-GB"/>
        </w:rPr>
        <w:t xml:space="preserve">Similar </w:t>
      </w:r>
      <w:r w:rsidR="00AC781E">
        <w:rPr>
          <w:lang w:val="en-GB"/>
        </w:rPr>
        <w:t xml:space="preserve">analytical </w:t>
      </w:r>
      <w:r w:rsidRPr="00860F6C">
        <w:rPr>
          <w:lang w:val="en-GB"/>
        </w:rPr>
        <w:t>methods were used in North American residue trials provided by the applicant</w:t>
      </w:r>
      <w:r w:rsidR="003300BA">
        <w:rPr>
          <w:lang w:val="en-GB"/>
        </w:rPr>
        <w:t xml:space="preserve"> (LOQ = 0.03 mg/kg, LOD = 0.01 mg/kg)</w:t>
      </w:r>
      <w:r w:rsidRPr="00860F6C">
        <w:rPr>
          <w:lang w:val="en-GB"/>
        </w:rPr>
        <w:t xml:space="preserve">, noting that a description of the </w:t>
      </w:r>
      <w:r w:rsidR="00AA442C">
        <w:rPr>
          <w:lang w:val="en-GB"/>
        </w:rPr>
        <w:t xml:space="preserve">analytical </w:t>
      </w:r>
      <w:r w:rsidRPr="00860F6C">
        <w:rPr>
          <w:lang w:val="en-GB"/>
        </w:rPr>
        <w:t xml:space="preserve">method was not provided for non-GLP trials conducted in New Zealand </w:t>
      </w:r>
      <w:r w:rsidR="003300BA">
        <w:rPr>
          <w:lang w:val="en-GB"/>
        </w:rPr>
        <w:t xml:space="preserve">(LOQ = 0.04 mg/kg) </w:t>
      </w:r>
      <w:r w:rsidRPr="00860F6C">
        <w:rPr>
          <w:lang w:val="en-GB"/>
        </w:rPr>
        <w:t>and South Africa</w:t>
      </w:r>
      <w:r w:rsidR="003300BA">
        <w:rPr>
          <w:lang w:val="en-GB"/>
        </w:rPr>
        <w:t xml:space="preserve"> (LOQ = 0.01 mg/kg)</w:t>
      </w:r>
      <w:r w:rsidRPr="00860F6C">
        <w:rPr>
          <w:lang w:val="en-GB"/>
        </w:rPr>
        <w:t>.</w:t>
      </w:r>
    </w:p>
    <w:p w14:paraId="0A1EFD0E" w14:textId="4E91EF29" w:rsidR="00860F6C" w:rsidRPr="00102636" w:rsidRDefault="00860F6C" w:rsidP="002B20E7">
      <w:pPr>
        <w:pStyle w:val="Heading3"/>
        <w:rPr>
          <w:lang w:val="en-GB"/>
        </w:rPr>
      </w:pPr>
      <w:r w:rsidRPr="00102636">
        <w:rPr>
          <w:lang w:val="en-GB"/>
        </w:rPr>
        <w:t>Stability of residues in stored analytical samples</w:t>
      </w:r>
    </w:p>
    <w:p w14:paraId="078165B0" w14:textId="2C99D319" w:rsidR="00860F6C" w:rsidRPr="00642A09" w:rsidRDefault="00860F6C" w:rsidP="00860F6C">
      <w:pPr>
        <w:pStyle w:val="APVMAText"/>
        <w:rPr>
          <w:lang w:val="en-GB"/>
        </w:rPr>
      </w:pPr>
      <w:r w:rsidRPr="00860F6C">
        <w:rPr>
          <w:lang w:val="en-GB"/>
        </w:rPr>
        <w:t xml:space="preserve">Storage stability studies have been provided to show that ACC is stable in apples when stored frozen for a least 6 months (the longest interval tested) and in grapes for at least 3.8 months. In the residue trials submitted, all samples were maintained under freezer conditions, (i.e.–18 </w:t>
      </w:r>
      <w:proofErr w:type="spellStart"/>
      <w:r w:rsidR="00D12C25" w:rsidRPr="00D12C25">
        <w:rPr>
          <w:vertAlign w:val="superscript"/>
          <w:lang w:val="en-GB"/>
        </w:rPr>
        <w:t>o</w:t>
      </w:r>
      <w:r w:rsidRPr="00860F6C">
        <w:rPr>
          <w:lang w:val="en-GB"/>
        </w:rPr>
        <w:t>C</w:t>
      </w:r>
      <w:proofErr w:type="spellEnd"/>
      <w:r w:rsidRPr="00860F6C">
        <w:rPr>
          <w:lang w:val="en-GB"/>
        </w:rPr>
        <w:t>) prior to analysis and tested within 3 - 8 months of collection for the GLP trials and within 8 - 19 months for the non-GLP trials. This is acceptable for the purposes of the current application, noting that the non-GLP trials are supportive but not critical</w:t>
      </w:r>
      <w:r w:rsidR="004B7ED7">
        <w:rPr>
          <w:lang w:val="en-GB"/>
        </w:rPr>
        <w:t xml:space="preserve"> to the assessment</w:t>
      </w:r>
      <w:r w:rsidRPr="00860F6C">
        <w:rPr>
          <w:lang w:val="en-GB"/>
        </w:rPr>
        <w:t>.</w:t>
      </w:r>
    </w:p>
    <w:p w14:paraId="7C4EEF30" w14:textId="77777777" w:rsidR="00302D38" w:rsidRDefault="00302D38" w:rsidP="00302D38">
      <w:pPr>
        <w:pStyle w:val="Heading2"/>
        <w:ind w:left="907" w:hanging="907"/>
        <w:rPr>
          <w:lang w:val="en-GB"/>
        </w:rPr>
      </w:pPr>
      <w:bookmarkStart w:id="80" w:name="_Toc531181082"/>
      <w:bookmarkStart w:id="81" w:name="_Toc7561251"/>
      <w:bookmarkStart w:id="82" w:name="_Toc228527292"/>
      <w:r>
        <w:rPr>
          <w:lang w:val="en-GB"/>
        </w:rPr>
        <w:t>Residue definition</w:t>
      </w:r>
      <w:bookmarkEnd w:id="80"/>
      <w:bookmarkEnd w:id="81"/>
      <w:bookmarkEnd w:id="82"/>
    </w:p>
    <w:p w14:paraId="7B3AF3A1" w14:textId="3F813280" w:rsidR="00302D38" w:rsidRPr="00642A09" w:rsidRDefault="00860F6C" w:rsidP="00302D38">
      <w:pPr>
        <w:pStyle w:val="APVMAText"/>
        <w:rPr>
          <w:lang w:val="en-GB"/>
        </w:rPr>
      </w:pPr>
      <w:r w:rsidRPr="00860F6C">
        <w:rPr>
          <w:lang w:val="en-GB"/>
        </w:rPr>
        <w:t xml:space="preserve">A residue definition is not required for this naturally occurring compound, noting that a Table 5 entry (i.e. </w:t>
      </w:r>
      <w:r w:rsidR="002D3DF8">
        <w:rPr>
          <w:lang w:val="en-GB"/>
        </w:rPr>
        <w:t>Maximum Residue Limits (</w:t>
      </w:r>
      <w:r w:rsidRPr="00860F6C">
        <w:rPr>
          <w:lang w:val="en-GB"/>
        </w:rPr>
        <w:t>MRLs</w:t>
      </w:r>
      <w:r w:rsidR="002D3DF8">
        <w:rPr>
          <w:lang w:val="en-GB"/>
        </w:rPr>
        <w:t>)</w:t>
      </w:r>
      <w:r w:rsidRPr="00860F6C">
        <w:rPr>
          <w:lang w:val="en-GB"/>
        </w:rPr>
        <w:t xml:space="preserve"> not required) has been recommended below as levels of ACC in fruit at harvest </w:t>
      </w:r>
      <w:r w:rsidR="00AE396F">
        <w:rPr>
          <w:lang w:val="en-GB"/>
        </w:rPr>
        <w:t xml:space="preserve">from treated trees </w:t>
      </w:r>
      <w:r w:rsidRPr="00860F6C">
        <w:rPr>
          <w:lang w:val="en-GB"/>
        </w:rPr>
        <w:t>are indistinguishable from naturally occurring background levels.</w:t>
      </w:r>
    </w:p>
    <w:p w14:paraId="1FA1569C" w14:textId="77777777" w:rsidR="00302D38" w:rsidRDefault="00302D38" w:rsidP="00302D38">
      <w:pPr>
        <w:pStyle w:val="Heading2"/>
        <w:ind w:left="907" w:hanging="907"/>
        <w:rPr>
          <w:lang w:val="en-GB"/>
        </w:rPr>
      </w:pPr>
      <w:bookmarkStart w:id="83" w:name="_Toc531181083"/>
      <w:bookmarkStart w:id="84" w:name="_Toc7561252"/>
      <w:bookmarkStart w:id="85" w:name="_Toc228527293"/>
      <w:r>
        <w:rPr>
          <w:lang w:val="en-GB"/>
        </w:rPr>
        <w:t>Residues in food and animal feeds</w:t>
      </w:r>
      <w:bookmarkEnd w:id="83"/>
      <w:bookmarkEnd w:id="84"/>
      <w:bookmarkEnd w:id="85"/>
    </w:p>
    <w:p w14:paraId="0B84608A" w14:textId="4B3BC51B" w:rsidR="00302D38" w:rsidRPr="00102636" w:rsidRDefault="00860F6C" w:rsidP="002B20E7">
      <w:pPr>
        <w:pStyle w:val="Heading3"/>
        <w:rPr>
          <w:lang w:val="en-GB"/>
        </w:rPr>
      </w:pPr>
      <w:r w:rsidRPr="00102636">
        <w:rPr>
          <w:lang w:val="en-GB"/>
        </w:rPr>
        <w:t>Apples</w:t>
      </w:r>
    </w:p>
    <w:p w14:paraId="23890E6E" w14:textId="4F75642D" w:rsidR="00860F6C" w:rsidRPr="00860F6C" w:rsidRDefault="00860F6C" w:rsidP="00860F6C">
      <w:pPr>
        <w:pStyle w:val="APVMAText"/>
        <w:rPr>
          <w:lang w:val="en-GB"/>
        </w:rPr>
      </w:pPr>
      <w:r w:rsidRPr="00860F6C">
        <w:rPr>
          <w:lang w:val="en-GB"/>
        </w:rPr>
        <w:t xml:space="preserve">The critical </w:t>
      </w:r>
      <w:r w:rsidR="002D3DF8">
        <w:rPr>
          <w:lang w:val="en-GB"/>
        </w:rPr>
        <w:t>Good Agricultural Practice (</w:t>
      </w:r>
      <w:r w:rsidRPr="00860F6C">
        <w:rPr>
          <w:lang w:val="en-GB"/>
        </w:rPr>
        <w:t>GAP</w:t>
      </w:r>
      <w:r w:rsidR="002D3DF8">
        <w:rPr>
          <w:lang w:val="en-GB"/>
        </w:rPr>
        <w:t>)</w:t>
      </w:r>
      <w:r w:rsidRPr="00860F6C">
        <w:rPr>
          <w:lang w:val="en-GB"/>
        </w:rPr>
        <w:t xml:space="preserve"> for apples is for 2 applications at up to 30 g ai/100 L applied between 80% flowering and 25 mm fruitlet size. The proposed withholding period is </w:t>
      </w:r>
      <w:r w:rsidR="002B20E7">
        <w:rPr>
          <w:lang w:val="en-GB"/>
        </w:rPr>
        <w:t>‘</w:t>
      </w:r>
      <w:r w:rsidRPr="00860F6C">
        <w:rPr>
          <w:lang w:val="en-GB"/>
        </w:rPr>
        <w:t>Not required when used as directed</w:t>
      </w:r>
      <w:r w:rsidR="002B20E7">
        <w:rPr>
          <w:lang w:val="en-GB"/>
        </w:rPr>
        <w:t>’</w:t>
      </w:r>
      <w:r w:rsidRPr="00860F6C">
        <w:rPr>
          <w:lang w:val="en-GB"/>
        </w:rPr>
        <w:t>.</w:t>
      </w:r>
    </w:p>
    <w:p w14:paraId="1ED36A4F" w14:textId="095A2E89" w:rsidR="00043C5D" w:rsidRDefault="00043C5D" w:rsidP="00860F6C">
      <w:pPr>
        <w:pStyle w:val="APVMAText"/>
        <w:rPr>
          <w:lang w:val="en-GB"/>
        </w:rPr>
      </w:pPr>
      <w:r>
        <w:rPr>
          <w:lang w:val="en-GB"/>
        </w:rPr>
        <w:t xml:space="preserve">Two Australian GLP residue trials on apples are supported by 4 North American GLP trials and non-GLP trials from New Zealand (5) and South Africa (3). </w:t>
      </w:r>
      <w:r w:rsidRPr="00043C5D">
        <w:rPr>
          <w:lang w:val="en-GB"/>
        </w:rPr>
        <w:t>Two formulation types were used in the residue trials</w:t>
      </w:r>
      <w:r>
        <w:rPr>
          <w:lang w:val="en-GB"/>
        </w:rPr>
        <w:t xml:space="preserve"> (WG or SL)</w:t>
      </w:r>
      <w:r w:rsidRPr="00043C5D">
        <w:rPr>
          <w:lang w:val="en-GB"/>
        </w:rPr>
        <w:t>. The formulation used in the Australian trials was recorded as a water-dispersible granule (WG). This is considered to be similar from a residues perspective to the proposed product which is recorded as a water-soluble granule (SG). The spray solution used in the trials included a surfactant as recommended on the draft label.</w:t>
      </w:r>
    </w:p>
    <w:p w14:paraId="5BFB68BA" w14:textId="12429178" w:rsidR="00860F6C" w:rsidRPr="00860F6C" w:rsidRDefault="00860F6C" w:rsidP="00860F6C">
      <w:pPr>
        <w:pStyle w:val="APVMAText"/>
        <w:rPr>
          <w:lang w:val="en-GB"/>
        </w:rPr>
      </w:pPr>
      <w:r w:rsidRPr="00860F6C">
        <w:rPr>
          <w:lang w:val="en-GB"/>
        </w:rPr>
        <w:t>ACC residues had dropped to below the LOD (0.04 mg/kg) prior to harvest in two Australian trials representative of the proposed use pattern (2 applications at 30 – 40 g ai/100 L, 1 – 1.3× proposed, last application when fruit was 20 mm diameter).</w:t>
      </w:r>
    </w:p>
    <w:p w14:paraId="56ED8E72" w14:textId="77777777" w:rsidR="00860F6C" w:rsidRPr="00860F6C" w:rsidRDefault="00860F6C" w:rsidP="00860F6C">
      <w:pPr>
        <w:pStyle w:val="APVMAText"/>
        <w:rPr>
          <w:lang w:val="en-GB"/>
        </w:rPr>
      </w:pPr>
      <w:r w:rsidRPr="00860F6C">
        <w:rPr>
          <w:lang w:val="en-GB"/>
        </w:rPr>
        <w:t xml:space="preserve">ACC residues were also &lt;LOQ (0.03 mg/kg) in immature fruit by 45 days after application at approximately 1 kg ai/ha (when fruit were 20 mm in diameter) in 4 North American trials. Low residues below the LOD (0.01 </w:t>
      </w:r>
      <w:r w:rsidRPr="00860F6C">
        <w:rPr>
          <w:lang w:val="en-GB"/>
        </w:rPr>
        <w:lastRenderedPageBreak/>
        <w:t>mg/kg) were also reported in untreated control samples in these trials. The proposed use pattern would correspond to 450 g ai/ha for a typical spray volume of 1500 L/ha for pome fruit, so the US trials would be approximately double that proposed for a single application.</w:t>
      </w:r>
    </w:p>
    <w:p w14:paraId="727E9450" w14:textId="5DCCE1F4" w:rsidR="00860F6C" w:rsidRPr="00860F6C" w:rsidRDefault="00860F6C" w:rsidP="00860F6C">
      <w:pPr>
        <w:pStyle w:val="APVMAText"/>
        <w:rPr>
          <w:lang w:val="en-GB"/>
        </w:rPr>
      </w:pPr>
      <w:r w:rsidRPr="00860F6C">
        <w:rPr>
          <w:lang w:val="en-GB"/>
        </w:rPr>
        <w:t xml:space="preserve">In 5 non-GLP trials on apples conducted in New Zealand, residues in apples were all &lt;LOQ (0.04 mg/kg) at 37 – 151 days after application </w:t>
      </w:r>
      <w:r w:rsidR="00AC781E" w:rsidRPr="00AC781E">
        <w:rPr>
          <w:lang w:val="en-GB"/>
        </w:rPr>
        <w:t xml:space="preserve">between 90% flowering to fruit 23 mm </w:t>
      </w:r>
      <w:r w:rsidRPr="00860F6C">
        <w:rPr>
          <w:lang w:val="en-GB"/>
        </w:rPr>
        <w:t>at 25 – 50 g ai/100 L (1.2 – 1.7× proposed).</w:t>
      </w:r>
    </w:p>
    <w:p w14:paraId="7D0CA64A" w14:textId="29CC9DAE" w:rsidR="00860F6C" w:rsidRPr="00860F6C" w:rsidRDefault="00860F6C" w:rsidP="00860F6C">
      <w:pPr>
        <w:pStyle w:val="APVMAText"/>
        <w:rPr>
          <w:lang w:val="en-GB"/>
        </w:rPr>
      </w:pPr>
      <w:r w:rsidRPr="00860F6C">
        <w:rPr>
          <w:lang w:val="en-GB"/>
        </w:rPr>
        <w:t xml:space="preserve">In 3 non-GLP trials on apples conducted in South Africa, residues in apples were all &lt;LOQ (0.01 mg/kg) by 21 – 48 days after a single application </w:t>
      </w:r>
      <w:r w:rsidR="00AC781E" w:rsidRPr="00AC781E">
        <w:rPr>
          <w:lang w:val="en-GB"/>
        </w:rPr>
        <w:t>at BBCH</w:t>
      </w:r>
      <w:r w:rsidR="002D3DF8">
        <w:rPr>
          <w:rStyle w:val="FootnoteReference"/>
          <w:lang w:val="en-GB"/>
        </w:rPr>
        <w:footnoteReference w:id="3"/>
      </w:r>
      <w:r w:rsidR="00AC781E" w:rsidRPr="00AC781E">
        <w:rPr>
          <w:lang w:val="en-GB"/>
        </w:rPr>
        <w:t xml:space="preserve"> 72 (15 – 20 mm fruit) </w:t>
      </w:r>
      <w:r w:rsidRPr="00860F6C">
        <w:rPr>
          <w:lang w:val="en-GB"/>
        </w:rPr>
        <w:t>at 44.8 g ai/100 L (1.5× proposed for a single application).</w:t>
      </w:r>
    </w:p>
    <w:p w14:paraId="239D50D3" w14:textId="69544E01" w:rsidR="00860F6C" w:rsidRDefault="00860F6C" w:rsidP="00860F6C">
      <w:pPr>
        <w:pStyle w:val="APVMAText"/>
        <w:rPr>
          <w:lang w:val="en-GB"/>
        </w:rPr>
      </w:pPr>
      <w:r w:rsidRPr="00860F6C">
        <w:rPr>
          <w:lang w:val="en-GB"/>
        </w:rPr>
        <w:t>Given that the available residue trials all show that ACC residues in apples from the proposed use should drop to below the LOQ by harvest and that any low-level residue remaining will be indistinguishable from naturally occurring ACC, the proposed use on apples in suitable for a Table 5 entry in the MRL standard, i.e. MRLs are not required.</w:t>
      </w:r>
    </w:p>
    <w:p w14:paraId="11460A8F" w14:textId="1D278FC0" w:rsidR="00860F6C" w:rsidRPr="00102636" w:rsidRDefault="00860F6C" w:rsidP="002B20E7">
      <w:pPr>
        <w:pStyle w:val="Heading3"/>
        <w:rPr>
          <w:lang w:val="en-GB"/>
        </w:rPr>
      </w:pPr>
      <w:r w:rsidRPr="00102636">
        <w:rPr>
          <w:lang w:val="en-GB"/>
        </w:rPr>
        <w:t>Nectarines, peaches, plums</w:t>
      </w:r>
    </w:p>
    <w:p w14:paraId="5D51483E" w14:textId="6657A745" w:rsidR="00860F6C" w:rsidRPr="00860F6C" w:rsidRDefault="00860F6C" w:rsidP="00860F6C">
      <w:pPr>
        <w:pStyle w:val="APVMAText"/>
        <w:rPr>
          <w:lang w:val="en-GB"/>
        </w:rPr>
      </w:pPr>
      <w:r w:rsidRPr="00860F6C">
        <w:rPr>
          <w:lang w:val="en-GB"/>
        </w:rPr>
        <w:t>The critical GAP for nectarines, peaches and plums is for a single application at 60-90% flowering at 35 g ai/100 L (</w:t>
      </w:r>
      <w:r w:rsidR="00B5185A">
        <w:rPr>
          <w:lang w:val="en-GB"/>
        </w:rPr>
        <w:t xml:space="preserve">for </w:t>
      </w:r>
      <w:r w:rsidRPr="00860F6C">
        <w:rPr>
          <w:lang w:val="en-GB"/>
        </w:rPr>
        <w:t>nectarines and peaches) and 20 g ai/100 L (</w:t>
      </w:r>
      <w:r w:rsidR="00B5185A">
        <w:rPr>
          <w:lang w:val="en-GB"/>
        </w:rPr>
        <w:t xml:space="preserve">for </w:t>
      </w:r>
      <w:r w:rsidRPr="00860F6C">
        <w:rPr>
          <w:lang w:val="en-GB"/>
        </w:rPr>
        <w:t>plums).</w:t>
      </w:r>
    </w:p>
    <w:p w14:paraId="7065B50D" w14:textId="2206A2EF" w:rsidR="00043C5D" w:rsidRDefault="00043C5D" w:rsidP="00860F6C">
      <w:pPr>
        <w:pStyle w:val="APVMAText"/>
        <w:rPr>
          <w:lang w:val="en-GB"/>
        </w:rPr>
      </w:pPr>
      <w:r>
        <w:rPr>
          <w:lang w:val="en-GB"/>
        </w:rPr>
        <w:t xml:space="preserve">Five Australia GLP residue trials on nectarines, peaches and plums are supported by 3 non-GLP trials on peaches conducted in South Africa. </w:t>
      </w:r>
      <w:r w:rsidRPr="00043C5D">
        <w:rPr>
          <w:lang w:val="en-GB"/>
        </w:rPr>
        <w:t>Two formulation types were used in the residue trials</w:t>
      </w:r>
      <w:r>
        <w:rPr>
          <w:lang w:val="en-GB"/>
        </w:rPr>
        <w:t xml:space="preserve"> (WG or SL)</w:t>
      </w:r>
      <w:r w:rsidRPr="00043C5D">
        <w:rPr>
          <w:lang w:val="en-GB"/>
        </w:rPr>
        <w:t xml:space="preserve">. The formulation used in the Australian trials was recorded as a water-dispersible granule (WG). This </w:t>
      </w:r>
      <w:proofErr w:type="gramStart"/>
      <w:r w:rsidRPr="00043C5D">
        <w:rPr>
          <w:lang w:val="en-GB"/>
        </w:rPr>
        <w:t>is considered to be</w:t>
      </w:r>
      <w:proofErr w:type="gramEnd"/>
      <w:r w:rsidRPr="00043C5D">
        <w:rPr>
          <w:lang w:val="en-GB"/>
        </w:rPr>
        <w:t xml:space="preserve"> similar from a residues perspective to the proposed product which is recorded as a water-soluble granule (SG). The spray solution used in the trials included a surfactant as recommended on the draft label.</w:t>
      </w:r>
    </w:p>
    <w:p w14:paraId="124D5AFA" w14:textId="67DEFB90" w:rsidR="00860F6C" w:rsidRPr="00860F6C" w:rsidRDefault="00860F6C" w:rsidP="00860F6C">
      <w:pPr>
        <w:pStyle w:val="APVMAText"/>
        <w:rPr>
          <w:lang w:val="en-GB"/>
        </w:rPr>
      </w:pPr>
      <w:r w:rsidRPr="00860F6C">
        <w:rPr>
          <w:lang w:val="en-GB"/>
        </w:rPr>
        <w:t>In Australian GLP trials on nectarines (1), peaches (2) and plums (2), residues of ACC were &lt;LOD (0.01 mg/kg) at 35 – 188 days after 1-2 applications at 25 – 50 g ai/100 L (0.7 – 1.4× proposed rate for nectarines and peaches, 1.3 – 2.5× proposed rate for plums). The application timing (or latest application timing in the trials with 2 applications) was BBCH 65 (full bloom).</w:t>
      </w:r>
    </w:p>
    <w:p w14:paraId="3CA7E43D" w14:textId="77777777" w:rsidR="00860F6C" w:rsidRPr="00860F6C" w:rsidRDefault="00860F6C" w:rsidP="00860F6C">
      <w:pPr>
        <w:pStyle w:val="APVMAText"/>
        <w:rPr>
          <w:lang w:val="en-GB"/>
        </w:rPr>
      </w:pPr>
      <w:r w:rsidRPr="00860F6C">
        <w:rPr>
          <w:lang w:val="en-GB"/>
        </w:rPr>
        <w:t>In three non-GLP trials conducted on peaches in South Africa, residues were &lt;LOQ (0.01 mg/kg) by 42 days after a single treatment at 44.8 g ai/100 L (1.3× proposed rate for peaches and nectarines). The treatment was made at 71 (8 – 10 mm fruit diameter). It is also noted that residues in untreated control samples of peaches from these trials ranged from 0.03 – 0.06 mg/kg.</w:t>
      </w:r>
    </w:p>
    <w:p w14:paraId="0FEBD393" w14:textId="77777777" w:rsidR="00860F6C" w:rsidRPr="00860F6C" w:rsidRDefault="00860F6C" w:rsidP="00860F6C">
      <w:pPr>
        <w:pStyle w:val="APVMAText"/>
        <w:rPr>
          <w:lang w:val="en-GB"/>
        </w:rPr>
      </w:pPr>
      <w:r w:rsidRPr="00860F6C">
        <w:rPr>
          <w:lang w:val="en-GB"/>
        </w:rPr>
        <w:t xml:space="preserve">Given that the available residue trials all show that ACC residues in nectarines, peaches and plums from the proposed use should drop to below the LOQ by harvest and that any low-level residue remaining will be </w:t>
      </w:r>
      <w:r w:rsidRPr="00860F6C">
        <w:rPr>
          <w:lang w:val="en-GB"/>
        </w:rPr>
        <w:lastRenderedPageBreak/>
        <w:t>indistinguishable from naturally occurring ACC, the proposed use on nectarines, peaches and plums in suitable for a Table 5 entry in the MRL standard, i.e. MRLs are not required.</w:t>
      </w:r>
    </w:p>
    <w:p w14:paraId="652078F4" w14:textId="77777777" w:rsidR="00860F6C" w:rsidRPr="00860F6C" w:rsidRDefault="00860F6C" w:rsidP="00860F6C">
      <w:pPr>
        <w:pStyle w:val="APVMAText"/>
        <w:rPr>
          <w:lang w:val="en-GB"/>
        </w:rPr>
      </w:pPr>
      <w:r w:rsidRPr="00860F6C">
        <w:rPr>
          <w:lang w:val="en-GB"/>
        </w:rPr>
        <w:t>It is noted that ACC is exempt from the requirement of a tolerance in the USA in or on apple and stone fruit when applied in accordance with good agricultural practices.</w:t>
      </w:r>
    </w:p>
    <w:p w14:paraId="29CD1E94" w14:textId="745D6312" w:rsidR="00860F6C" w:rsidRPr="00860F6C" w:rsidRDefault="00860F6C" w:rsidP="00860F6C">
      <w:pPr>
        <w:pStyle w:val="APVMAText"/>
        <w:rPr>
          <w:lang w:val="en-GB"/>
        </w:rPr>
      </w:pPr>
      <w:r w:rsidRPr="00860F6C">
        <w:rPr>
          <w:lang w:val="en-GB"/>
        </w:rPr>
        <w:t xml:space="preserve">The </w:t>
      </w:r>
      <w:r>
        <w:rPr>
          <w:lang w:val="en-GB"/>
        </w:rPr>
        <w:t>following</w:t>
      </w:r>
      <w:r w:rsidRPr="00860F6C">
        <w:rPr>
          <w:lang w:val="en-GB"/>
        </w:rPr>
        <w:t xml:space="preserve"> Table 5 entry for ACC is appropriate to cover the proposed uses on apples, nectarines, peaches and plums:</w:t>
      </w:r>
    </w:p>
    <w:p w14:paraId="65595971" w14:textId="00389700" w:rsidR="00860F6C" w:rsidRPr="00860F6C" w:rsidRDefault="00860F6C" w:rsidP="00860F6C">
      <w:pPr>
        <w:pStyle w:val="APVMAText"/>
        <w:rPr>
          <w:i/>
          <w:iCs/>
          <w:lang w:val="en-GB"/>
        </w:rPr>
      </w:pPr>
      <w:r w:rsidRPr="00860F6C">
        <w:rPr>
          <w:i/>
          <w:iCs/>
          <w:lang w:val="en-GB"/>
        </w:rPr>
        <w:t>1-</w:t>
      </w:r>
      <w:r w:rsidR="00C63B9D">
        <w:rPr>
          <w:i/>
          <w:iCs/>
          <w:lang w:val="en-GB"/>
        </w:rPr>
        <w:t>a</w:t>
      </w:r>
      <w:r w:rsidRPr="00860F6C">
        <w:rPr>
          <w:i/>
          <w:iCs/>
          <w:lang w:val="en-GB"/>
        </w:rPr>
        <w:t>minocyclopropane-1-carboxylic acid: Plant growth regulator when used on fruit crop</w:t>
      </w:r>
      <w:r w:rsidR="00B622BA">
        <w:rPr>
          <w:i/>
          <w:iCs/>
          <w:lang w:val="en-GB"/>
        </w:rPr>
        <w:t>s</w:t>
      </w:r>
    </w:p>
    <w:p w14:paraId="707834A5" w14:textId="77777777" w:rsidR="00302D38" w:rsidRDefault="00302D38" w:rsidP="00302D38">
      <w:pPr>
        <w:pStyle w:val="Heading2"/>
        <w:ind w:left="907" w:hanging="907"/>
        <w:rPr>
          <w:lang w:val="en-GB"/>
        </w:rPr>
      </w:pPr>
      <w:bookmarkStart w:id="86" w:name="_Toc531181084"/>
      <w:bookmarkStart w:id="87" w:name="_Toc7561253"/>
      <w:bookmarkStart w:id="88" w:name="_Toc228527294"/>
      <w:r>
        <w:rPr>
          <w:lang w:val="en-GB"/>
        </w:rPr>
        <w:t>Crop rotation</w:t>
      </w:r>
      <w:bookmarkEnd w:id="86"/>
      <w:bookmarkEnd w:id="87"/>
      <w:bookmarkEnd w:id="88"/>
    </w:p>
    <w:p w14:paraId="4E8885B7" w14:textId="7B55C2EC" w:rsidR="00302D38" w:rsidRPr="00642A09" w:rsidRDefault="00860F6C" w:rsidP="00302D38">
      <w:pPr>
        <w:pStyle w:val="APVMAText"/>
        <w:rPr>
          <w:lang w:val="en-GB"/>
        </w:rPr>
      </w:pPr>
      <w:r w:rsidRPr="00860F6C">
        <w:rPr>
          <w:lang w:val="en-GB"/>
        </w:rPr>
        <w:t>Apples, nectarines, peaches and plums are not commonly grown in rotation with other crops. Consideration of ACC residues in following crops is not required, noting also that at Table 5 entry has been recommended to cover the uses on the primary crops, i.e. MRLs are not required.</w:t>
      </w:r>
    </w:p>
    <w:p w14:paraId="667EAD59" w14:textId="77777777" w:rsidR="00302D38" w:rsidRDefault="00302D38" w:rsidP="00302D38">
      <w:pPr>
        <w:pStyle w:val="Heading2"/>
        <w:ind w:left="907" w:hanging="907"/>
        <w:rPr>
          <w:lang w:val="en-GB"/>
        </w:rPr>
      </w:pPr>
      <w:bookmarkStart w:id="89" w:name="_Toc531181085"/>
      <w:bookmarkStart w:id="90" w:name="_Toc7561254"/>
      <w:bookmarkStart w:id="91" w:name="_Toc228527295"/>
      <w:r>
        <w:rPr>
          <w:lang w:val="en-GB"/>
        </w:rPr>
        <w:t>Residues in animal commodities</w:t>
      </w:r>
      <w:bookmarkEnd w:id="89"/>
      <w:bookmarkEnd w:id="90"/>
      <w:bookmarkEnd w:id="91"/>
    </w:p>
    <w:p w14:paraId="24CD1071" w14:textId="1CA76D85" w:rsidR="00302D38" w:rsidRDefault="00860F6C" w:rsidP="00302D38">
      <w:pPr>
        <w:pStyle w:val="APVMAText"/>
        <w:rPr>
          <w:lang w:val="en-GB"/>
        </w:rPr>
      </w:pPr>
      <w:r w:rsidRPr="00860F6C">
        <w:rPr>
          <w:lang w:val="en-GB"/>
        </w:rPr>
        <w:t>Any low-level ACC residues in apples, nectarines, peaches and plums from the proposed use will be indistinguishable from naturally occurring ACC. Animal transfer studies and animal commodity MRLs for ACC are not required.</w:t>
      </w:r>
    </w:p>
    <w:p w14:paraId="1C872D21" w14:textId="77777777" w:rsidR="00302D38" w:rsidRDefault="00302D38" w:rsidP="00302D38">
      <w:pPr>
        <w:pStyle w:val="Heading2"/>
        <w:ind w:left="907" w:hanging="907"/>
        <w:rPr>
          <w:lang w:val="en-GB"/>
        </w:rPr>
      </w:pPr>
      <w:bookmarkStart w:id="92" w:name="_Toc531181087"/>
      <w:bookmarkStart w:id="93" w:name="_Toc7561256"/>
      <w:bookmarkStart w:id="94" w:name="_Toc228527296"/>
      <w:r>
        <w:rPr>
          <w:lang w:val="en-GB"/>
        </w:rPr>
        <w:t>Dietary risk assessment</w:t>
      </w:r>
      <w:bookmarkEnd w:id="92"/>
      <w:bookmarkEnd w:id="93"/>
      <w:bookmarkEnd w:id="94"/>
    </w:p>
    <w:p w14:paraId="052ED7F7" w14:textId="6D9CBEE8" w:rsidR="00860F6C" w:rsidRDefault="00860F6C" w:rsidP="00860F6C">
      <w:pPr>
        <w:pStyle w:val="APVMAText"/>
      </w:pPr>
      <w:r>
        <w:t xml:space="preserve">The APVMA Human Health Risk Assessment Technical Report indicated that although there is potential for dietary exposure resulting from the proposed use of </w:t>
      </w:r>
      <w:r w:rsidR="00EC72D3">
        <w:t>Accede Plant Growth Regulator</w:t>
      </w:r>
      <w:r>
        <w:t>, the human health risk is anticipated to be negligible due to its low toxicity, infrequent application and rapid degradation once applied to the crop. In addition, ACC is a naturally occurring compound in plant tissues and part of the normal human diet.</w:t>
      </w:r>
    </w:p>
    <w:p w14:paraId="08DB1A6A" w14:textId="0A1E6DE9" w:rsidR="00AA5A11" w:rsidRDefault="00860F6C" w:rsidP="00860F6C">
      <w:pPr>
        <w:pStyle w:val="APVMAText"/>
      </w:pPr>
      <w:r>
        <w:t>As such, the establishment of an acceptable daily intake (ADI) or acute reference dose (ARfD) for ACC is not considered necessary. A dietary risk assessment</w:t>
      </w:r>
      <w:r w:rsidR="00E42CD4">
        <w:t xml:space="preserve"> for ACC</w:t>
      </w:r>
      <w:r>
        <w:t xml:space="preserve"> is therefore not required.</w:t>
      </w:r>
      <w:r w:rsidR="00AA5A11">
        <w:br w:type="page"/>
      </w:r>
    </w:p>
    <w:p w14:paraId="58911CAA" w14:textId="77777777" w:rsidR="00302D38" w:rsidRDefault="00302D38" w:rsidP="00302D38">
      <w:pPr>
        <w:pStyle w:val="Heading2"/>
        <w:ind w:left="907" w:hanging="907"/>
      </w:pPr>
      <w:bookmarkStart w:id="95" w:name="_Toc531181088"/>
      <w:bookmarkStart w:id="96" w:name="_Toc7561257"/>
      <w:bookmarkStart w:id="97" w:name="_Toc228527297"/>
      <w:r>
        <w:lastRenderedPageBreak/>
        <w:t>Recommendations</w:t>
      </w:r>
      <w:bookmarkEnd w:id="95"/>
      <w:bookmarkEnd w:id="96"/>
      <w:bookmarkEnd w:id="97"/>
    </w:p>
    <w:p w14:paraId="52057C86" w14:textId="77777777" w:rsidR="00302D38" w:rsidRDefault="00302D38" w:rsidP="00302D38">
      <w:pPr>
        <w:pStyle w:val="APVMAText"/>
      </w:pPr>
      <w:r>
        <w:rPr>
          <w:szCs w:val="20"/>
        </w:rPr>
        <w:t>The following amendments are required to be made to the APVMA MRL Standard (Table 5).</w:t>
      </w:r>
    </w:p>
    <w:p w14:paraId="3787078F" w14:textId="19DAAA34" w:rsidR="00302D38" w:rsidRDefault="00772458" w:rsidP="00772458">
      <w:pPr>
        <w:pStyle w:val="Caption"/>
      </w:pPr>
      <w:bookmarkStart w:id="98" w:name="_Toc523995126"/>
      <w:bookmarkStart w:id="99" w:name="_Toc56686270"/>
      <w:bookmarkStart w:id="100" w:name="_Toc56686283"/>
      <w:bookmarkStart w:id="101" w:name="_Toc228527326"/>
      <w:r>
        <w:t xml:space="preserve">Table </w:t>
      </w:r>
      <w:r>
        <w:fldChar w:fldCharType="begin"/>
      </w:r>
      <w:r>
        <w:instrText xml:space="preserve"> SEQ Table \* ARABIC </w:instrText>
      </w:r>
      <w:r>
        <w:fldChar w:fldCharType="separate"/>
      </w:r>
      <w:r>
        <w:rPr>
          <w:noProof/>
        </w:rPr>
        <w:t>5</w:t>
      </w:r>
      <w:r>
        <w:rPr>
          <w:noProof/>
        </w:rPr>
        <w:fldChar w:fldCharType="end"/>
      </w:r>
      <w:r w:rsidR="00302D38">
        <w:t>:</w:t>
      </w:r>
      <w:r w:rsidR="00302D38" w:rsidRPr="001D4D17">
        <w:t xml:space="preserve"> </w:t>
      </w:r>
      <w:r w:rsidR="00302D38">
        <w:t xml:space="preserve">Amendments to the APVMA </w:t>
      </w:r>
      <w:r w:rsidR="00302D38">
        <w:rPr>
          <w:bCs/>
        </w:rPr>
        <w:t>MRL Standard</w:t>
      </w:r>
      <w:bookmarkEnd w:id="98"/>
      <w:bookmarkEnd w:id="99"/>
      <w:bookmarkEnd w:id="100"/>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6529"/>
      </w:tblGrid>
      <w:tr w:rsidR="00D90D30" w14:paraId="4A3723A7" w14:textId="77777777" w:rsidTr="00424637">
        <w:trPr>
          <w:tblHeader/>
        </w:trPr>
        <w:tc>
          <w:tcPr>
            <w:tcW w:w="1613" w:type="pct"/>
            <w:tcBorders>
              <w:top w:val="single" w:sz="4" w:space="0" w:color="auto"/>
              <w:left w:val="nil"/>
              <w:bottom w:val="single" w:sz="4" w:space="0" w:color="auto"/>
              <w:right w:val="nil"/>
            </w:tcBorders>
            <w:shd w:val="clear" w:color="auto" w:fill="00747A" w:themeFill="background2"/>
          </w:tcPr>
          <w:p w14:paraId="3023FB25" w14:textId="6F5F6EE5" w:rsidR="00D90D30" w:rsidRDefault="00CA5B2B" w:rsidP="009D0723">
            <w:pPr>
              <w:pStyle w:val="APVMATableHead"/>
            </w:pPr>
            <w:r>
              <w:t>Amendments to T</w:t>
            </w:r>
            <w:r w:rsidR="00D90D30">
              <w:t>able 5</w:t>
            </w:r>
          </w:p>
        </w:tc>
        <w:tc>
          <w:tcPr>
            <w:tcW w:w="3387" w:type="pct"/>
            <w:tcBorders>
              <w:top w:val="single" w:sz="4" w:space="0" w:color="auto"/>
              <w:left w:val="nil"/>
              <w:bottom w:val="single" w:sz="4" w:space="0" w:color="auto"/>
              <w:right w:val="nil"/>
            </w:tcBorders>
            <w:shd w:val="clear" w:color="auto" w:fill="00747A" w:themeFill="background2"/>
          </w:tcPr>
          <w:p w14:paraId="6F667F86" w14:textId="77777777" w:rsidR="00D90D30" w:rsidRDefault="00D90D30" w:rsidP="009D0723">
            <w:pPr>
              <w:pStyle w:val="APVMATableHead"/>
            </w:pPr>
          </w:p>
        </w:tc>
      </w:tr>
      <w:tr w:rsidR="00D90D30" w14:paraId="07F9B629" w14:textId="77777777" w:rsidTr="00424637">
        <w:trPr>
          <w:tblHeader/>
        </w:trPr>
        <w:tc>
          <w:tcPr>
            <w:tcW w:w="1613" w:type="pct"/>
            <w:tcBorders>
              <w:top w:val="single" w:sz="4" w:space="0" w:color="auto"/>
              <w:left w:val="nil"/>
              <w:bottom w:val="single" w:sz="4" w:space="0" w:color="auto"/>
              <w:right w:val="nil"/>
            </w:tcBorders>
            <w:shd w:val="clear" w:color="auto" w:fill="00747A" w:themeFill="background2"/>
          </w:tcPr>
          <w:p w14:paraId="405F8DC4" w14:textId="77777777" w:rsidR="00D90D30" w:rsidRDefault="00D90D30" w:rsidP="009D0723">
            <w:pPr>
              <w:pStyle w:val="APVMATableHead"/>
            </w:pPr>
            <w:r>
              <w:t>Substance</w:t>
            </w:r>
          </w:p>
        </w:tc>
        <w:tc>
          <w:tcPr>
            <w:tcW w:w="3387" w:type="pct"/>
            <w:tcBorders>
              <w:top w:val="single" w:sz="4" w:space="0" w:color="auto"/>
              <w:left w:val="nil"/>
              <w:bottom w:val="single" w:sz="4" w:space="0" w:color="auto"/>
              <w:right w:val="nil"/>
            </w:tcBorders>
            <w:shd w:val="clear" w:color="auto" w:fill="00747A" w:themeFill="background2"/>
          </w:tcPr>
          <w:p w14:paraId="2CCE78B6" w14:textId="77777777" w:rsidR="00D90D30" w:rsidRDefault="00D90D30" w:rsidP="009D0723">
            <w:pPr>
              <w:pStyle w:val="APVMATableHead"/>
            </w:pPr>
            <w:r>
              <w:t>Use</w:t>
            </w:r>
          </w:p>
        </w:tc>
      </w:tr>
      <w:tr w:rsidR="00D90D30" w:rsidRPr="00EA7005" w14:paraId="27E6EFDD" w14:textId="77777777" w:rsidTr="00424637">
        <w:tc>
          <w:tcPr>
            <w:tcW w:w="5000" w:type="pct"/>
            <w:gridSpan w:val="2"/>
            <w:tcBorders>
              <w:top w:val="single" w:sz="4" w:space="0" w:color="auto"/>
              <w:left w:val="nil"/>
              <w:bottom w:val="nil"/>
              <w:right w:val="nil"/>
            </w:tcBorders>
          </w:tcPr>
          <w:p w14:paraId="11CE06C8" w14:textId="506FA357" w:rsidR="00D90D30" w:rsidRPr="00EA7005" w:rsidRDefault="00CA5B2B" w:rsidP="00EA7005">
            <w:pPr>
              <w:pStyle w:val="APVMATableText"/>
            </w:pPr>
            <w:r>
              <w:t>Add:</w:t>
            </w:r>
          </w:p>
        </w:tc>
      </w:tr>
      <w:tr w:rsidR="00D90D30" w:rsidRPr="00EA7005" w14:paraId="1692E912" w14:textId="77777777" w:rsidTr="00424637">
        <w:tc>
          <w:tcPr>
            <w:tcW w:w="1613" w:type="pct"/>
            <w:tcBorders>
              <w:top w:val="nil"/>
              <w:left w:val="nil"/>
              <w:bottom w:val="single" w:sz="4" w:space="0" w:color="auto"/>
              <w:right w:val="nil"/>
            </w:tcBorders>
          </w:tcPr>
          <w:p w14:paraId="618CB684" w14:textId="6E2C3082" w:rsidR="00D90D30" w:rsidRPr="00EA7005" w:rsidRDefault="00860F6C" w:rsidP="00424637">
            <w:pPr>
              <w:pStyle w:val="MRLActiveName"/>
            </w:pPr>
            <w:r w:rsidRPr="00860F6C">
              <w:t>1-</w:t>
            </w:r>
            <w:r w:rsidR="00C63B9D">
              <w:t>a</w:t>
            </w:r>
            <w:r w:rsidRPr="00860F6C">
              <w:t>minocyclopropane-1-carboxylic acid</w:t>
            </w:r>
          </w:p>
        </w:tc>
        <w:tc>
          <w:tcPr>
            <w:tcW w:w="3387" w:type="pct"/>
            <w:tcBorders>
              <w:top w:val="nil"/>
              <w:left w:val="nil"/>
              <w:bottom w:val="single" w:sz="4" w:space="0" w:color="auto"/>
              <w:right w:val="nil"/>
            </w:tcBorders>
          </w:tcPr>
          <w:p w14:paraId="6E42DFDC" w14:textId="36497E22" w:rsidR="00D90D30" w:rsidRPr="00EA7005" w:rsidRDefault="00860F6C" w:rsidP="00EA7005">
            <w:pPr>
              <w:pStyle w:val="APVMATableText"/>
            </w:pPr>
            <w:r w:rsidRPr="00860F6C">
              <w:t>Plant growth regulator when used on fruit crop</w:t>
            </w:r>
            <w:r w:rsidR="00B622BA">
              <w:t>s</w:t>
            </w:r>
          </w:p>
        </w:tc>
      </w:tr>
    </w:tbl>
    <w:p w14:paraId="1D040B9E" w14:textId="77777777" w:rsidR="00D90D30" w:rsidRDefault="00D90D30" w:rsidP="00772458">
      <w:pPr>
        <w:pStyle w:val="APVMAText"/>
        <w:sectPr w:rsidR="00D90D30">
          <w:headerReference w:type="default" r:id="rId34"/>
          <w:pgSz w:w="11906" w:h="16838" w:code="9"/>
          <w:pgMar w:top="2835" w:right="1134" w:bottom="1134" w:left="1134" w:header="1701" w:footer="680" w:gutter="0"/>
          <w:cols w:space="708"/>
          <w:docGrid w:linePitch="360"/>
        </w:sectPr>
      </w:pPr>
    </w:p>
    <w:p w14:paraId="3F3E6917" w14:textId="77777777" w:rsidR="00D90D30" w:rsidRDefault="00D90D30" w:rsidP="00D90D30">
      <w:pPr>
        <w:pStyle w:val="Heading1"/>
        <w:tabs>
          <w:tab w:val="num" w:pos="907"/>
        </w:tabs>
        <w:ind w:left="907" w:hanging="907"/>
      </w:pPr>
      <w:bookmarkStart w:id="102" w:name="_Toc531181089"/>
      <w:bookmarkStart w:id="103" w:name="_Toc7561258"/>
      <w:bookmarkStart w:id="104" w:name="_Toc228527298"/>
      <w:r>
        <w:lastRenderedPageBreak/>
        <w:t>Assessment of overseas trade aspects of residues in food</w:t>
      </w:r>
      <w:bookmarkEnd w:id="102"/>
      <w:bookmarkEnd w:id="103"/>
      <w:bookmarkEnd w:id="104"/>
    </w:p>
    <w:p w14:paraId="5B3651C2" w14:textId="77E2452E" w:rsidR="00F2357D" w:rsidRDefault="00860F6C" w:rsidP="00AA5A11">
      <w:pPr>
        <w:pStyle w:val="NormalText"/>
        <w:sectPr w:rsidR="00F2357D">
          <w:headerReference w:type="default" r:id="rId35"/>
          <w:pgSz w:w="11906" w:h="16838" w:code="9"/>
          <w:pgMar w:top="2835" w:right="1134" w:bottom="1134" w:left="1134" w:header="1701" w:footer="680" w:gutter="0"/>
          <w:cols w:space="708"/>
          <w:docGrid w:linePitch="360"/>
        </w:sectPr>
      </w:pPr>
      <w:r w:rsidRPr="00860F6C">
        <w:t>Any low-level ACC residues in apples, nectarines, peaches and plums from the proposed use will be indistinguishable from naturally occurring ACC. A Table 5 entry has been recommended to cover the proposed use, i.e. MRLs are not required, which is in line with recommendation</w:t>
      </w:r>
      <w:r>
        <w:t>s</w:t>
      </w:r>
      <w:r w:rsidRPr="00860F6C">
        <w:t xml:space="preserve"> in the USA. The risk to trade</w:t>
      </w:r>
      <w:r w:rsidR="00266633">
        <w:t xml:space="preserve"> from the proposed uses</w:t>
      </w:r>
      <w:r w:rsidRPr="00860F6C">
        <w:t xml:space="preserve"> </w:t>
      </w:r>
      <w:proofErr w:type="gramStart"/>
      <w:r w:rsidRPr="00860F6C">
        <w:t>is considered to be</w:t>
      </w:r>
      <w:proofErr w:type="gramEnd"/>
      <w:r w:rsidRPr="00860F6C">
        <w:t xml:space="preserve"> low.</w:t>
      </w:r>
    </w:p>
    <w:p w14:paraId="4DEB5711" w14:textId="6815805E" w:rsidR="00A6683A" w:rsidRDefault="00CA5B2B" w:rsidP="00A6683A">
      <w:pPr>
        <w:pStyle w:val="Heading1"/>
        <w:tabs>
          <w:tab w:val="num" w:pos="907"/>
        </w:tabs>
        <w:ind w:left="907" w:hanging="907"/>
      </w:pPr>
      <w:bookmarkStart w:id="105" w:name="_Toc531181094"/>
      <w:bookmarkStart w:id="106" w:name="_Toc7561263"/>
      <w:bookmarkStart w:id="107" w:name="_Toc228527299"/>
      <w:r>
        <w:lastRenderedPageBreak/>
        <w:t>W</w:t>
      </w:r>
      <w:r w:rsidR="00A6683A">
        <w:t xml:space="preserve">ork </w:t>
      </w:r>
      <w:r>
        <w:t>h</w:t>
      </w:r>
      <w:r w:rsidR="00A6683A">
        <w:t xml:space="preserve">ealth and </w:t>
      </w:r>
      <w:r>
        <w:t>s</w:t>
      </w:r>
      <w:r w:rsidR="00A6683A">
        <w:t>afety assessment</w:t>
      </w:r>
      <w:bookmarkEnd w:id="105"/>
      <w:bookmarkEnd w:id="106"/>
      <w:bookmarkEnd w:id="107"/>
    </w:p>
    <w:p w14:paraId="09E570D3" w14:textId="3E84E38E" w:rsidR="00F14F96" w:rsidRDefault="00EC72D3" w:rsidP="00F14F96">
      <w:pPr>
        <w:pStyle w:val="InstructionalText"/>
        <w:rPr>
          <w:color w:val="auto"/>
          <w:sz w:val="20"/>
          <w:szCs w:val="20"/>
        </w:rPr>
      </w:pPr>
      <w:r>
        <w:rPr>
          <w:color w:val="auto"/>
          <w:sz w:val="20"/>
          <w:szCs w:val="20"/>
        </w:rPr>
        <w:t>Accede Plant Growth Regulator</w:t>
      </w:r>
      <w:r w:rsidR="00F14F96" w:rsidRPr="00654F74">
        <w:rPr>
          <w:color w:val="auto"/>
          <w:sz w:val="20"/>
          <w:szCs w:val="20"/>
        </w:rPr>
        <w:t xml:space="preserve">, containing 400 g/kg 1-aminocyclopropane-1-carboxylic acid (ACC), as a new active constituent, in a water-soluble granule (SG) formulation, </w:t>
      </w:r>
      <w:r w:rsidR="00F14F96">
        <w:rPr>
          <w:color w:val="auto"/>
          <w:sz w:val="20"/>
          <w:szCs w:val="20"/>
        </w:rPr>
        <w:t xml:space="preserve">is proposed </w:t>
      </w:r>
      <w:r w:rsidR="00F14F96" w:rsidRPr="00654F74">
        <w:rPr>
          <w:color w:val="auto"/>
          <w:sz w:val="20"/>
          <w:szCs w:val="20"/>
        </w:rPr>
        <w:t>for use as a plant growth regulator (PGR) to induce thinning in apples, nectarines, peaches and plums.</w:t>
      </w:r>
    </w:p>
    <w:p w14:paraId="42260619" w14:textId="77777777" w:rsidR="00F14F96" w:rsidRDefault="00F14F96" w:rsidP="00F14F96">
      <w:pPr>
        <w:pStyle w:val="InstructionalText"/>
        <w:rPr>
          <w:color w:val="auto"/>
          <w:sz w:val="20"/>
          <w:szCs w:val="20"/>
        </w:rPr>
      </w:pPr>
      <w:r w:rsidRPr="0064084C">
        <w:rPr>
          <w:color w:val="auto"/>
          <w:sz w:val="20"/>
          <w:szCs w:val="20"/>
        </w:rPr>
        <w:t xml:space="preserve">The product is intended for professional use </w:t>
      </w:r>
      <w:r>
        <w:rPr>
          <w:color w:val="auto"/>
          <w:sz w:val="20"/>
          <w:szCs w:val="20"/>
        </w:rPr>
        <w:t>to</w:t>
      </w:r>
      <w:r w:rsidRPr="0064084C">
        <w:rPr>
          <w:color w:val="auto"/>
          <w:sz w:val="20"/>
          <w:szCs w:val="20"/>
        </w:rPr>
        <w:t xml:space="preserve"> be applied as a foliar spray by orchard </w:t>
      </w:r>
      <w:proofErr w:type="spellStart"/>
      <w:r w:rsidRPr="0064084C">
        <w:rPr>
          <w:color w:val="auto"/>
          <w:sz w:val="20"/>
          <w:szCs w:val="20"/>
        </w:rPr>
        <w:t>airblast</w:t>
      </w:r>
      <w:proofErr w:type="spellEnd"/>
      <w:r w:rsidRPr="0064084C">
        <w:rPr>
          <w:color w:val="auto"/>
          <w:sz w:val="20"/>
          <w:szCs w:val="20"/>
        </w:rPr>
        <w:t xml:space="preserve"> and ground boom spraying. Application rates range from 37 to 8</w:t>
      </w:r>
      <w:r>
        <w:rPr>
          <w:color w:val="auto"/>
          <w:sz w:val="20"/>
          <w:szCs w:val="20"/>
        </w:rPr>
        <w:t>8</w:t>
      </w:r>
      <w:r w:rsidRPr="0064084C">
        <w:rPr>
          <w:color w:val="auto"/>
          <w:sz w:val="20"/>
          <w:szCs w:val="20"/>
        </w:rPr>
        <w:t xml:space="preserve"> g/100L </w:t>
      </w:r>
      <w:r>
        <w:rPr>
          <w:color w:val="auto"/>
          <w:sz w:val="20"/>
          <w:szCs w:val="20"/>
        </w:rPr>
        <w:t xml:space="preserve">water </w:t>
      </w:r>
      <w:r w:rsidRPr="0064084C">
        <w:rPr>
          <w:color w:val="auto"/>
          <w:sz w:val="20"/>
          <w:szCs w:val="20"/>
        </w:rPr>
        <w:t xml:space="preserve">(15-35 g </w:t>
      </w:r>
      <w:r>
        <w:rPr>
          <w:color w:val="auto"/>
          <w:sz w:val="20"/>
          <w:szCs w:val="20"/>
        </w:rPr>
        <w:t>ACC</w:t>
      </w:r>
      <w:r w:rsidRPr="0064084C">
        <w:rPr>
          <w:color w:val="auto"/>
          <w:sz w:val="20"/>
          <w:szCs w:val="20"/>
        </w:rPr>
        <w:t>/100 L)</w:t>
      </w:r>
      <w:r>
        <w:rPr>
          <w:color w:val="auto"/>
          <w:sz w:val="20"/>
          <w:szCs w:val="20"/>
        </w:rPr>
        <w:t>,</w:t>
      </w:r>
      <w:r w:rsidRPr="00215DC4">
        <w:t xml:space="preserve"> </w:t>
      </w:r>
      <w:r w:rsidRPr="00215DC4">
        <w:rPr>
          <w:color w:val="auto"/>
          <w:sz w:val="20"/>
          <w:szCs w:val="20"/>
        </w:rPr>
        <w:t xml:space="preserve">equivalent to a </w:t>
      </w:r>
      <w:r>
        <w:rPr>
          <w:color w:val="auto"/>
          <w:sz w:val="20"/>
          <w:szCs w:val="20"/>
        </w:rPr>
        <w:t xml:space="preserve">maximum </w:t>
      </w:r>
      <w:r w:rsidRPr="00215DC4">
        <w:rPr>
          <w:color w:val="auto"/>
          <w:sz w:val="20"/>
          <w:szCs w:val="20"/>
        </w:rPr>
        <w:t>rate of 0.8</w:t>
      </w:r>
      <w:r>
        <w:rPr>
          <w:color w:val="auto"/>
          <w:sz w:val="20"/>
          <w:szCs w:val="20"/>
        </w:rPr>
        <w:t>8</w:t>
      </w:r>
      <w:r w:rsidRPr="00215DC4">
        <w:rPr>
          <w:color w:val="auto"/>
          <w:sz w:val="20"/>
          <w:szCs w:val="20"/>
        </w:rPr>
        <w:t xml:space="preserve"> kg product/ha</w:t>
      </w:r>
      <w:r>
        <w:rPr>
          <w:color w:val="auto"/>
          <w:sz w:val="20"/>
          <w:szCs w:val="20"/>
        </w:rPr>
        <w:t>.</w:t>
      </w:r>
    </w:p>
    <w:p w14:paraId="47C4D6CE" w14:textId="77777777" w:rsidR="00F14F96" w:rsidRPr="00654F74" w:rsidRDefault="00F14F96" w:rsidP="00F14F96">
      <w:pPr>
        <w:pStyle w:val="InstructionalText"/>
        <w:rPr>
          <w:color w:val="auto"/>
          <w:sz w:val="20"/>
          <w:szCs w:val="20"/>
        </w:rPr>
      </w:pPr>
      <w:r>
        <w:rPr>
          <w:color w:val="auto"/>
          <w:sz w:val="20"/>
          <w:szCs w:val="20"/>
        </w:rPr>
        <w:t>The u</w:t>
      </w:r>
      <w:r w:rsidRPr="00215DC4">
        <w:rPr>
          <w:color w:val="auto"/>
          <w:sz w:val="20"/>
          <w:szCs w:val="20"/>
        </w:rPr>
        <w:t>se of a non-ionic surfactant at 50 mL/100L with Accede is recommended on the label.</w:t>
      </w:r>
    </w:p>
    <w:p w14:paraId="657181FD" w14:textId="77777777" w:rsidR="00F14F96" w:rsidRDefault="00F14F96" w:rsidP="00F14F96">
      <w:pPr>
        <w:pStyle w:val="Heading2"/>
        <w:ind w:left="907" w:hanging="907"/>
      </w:pPr>
      <w:bookmarkStart w:id="108" w:name="_Toc531181095"/>
      <w:bookmarkStart w:id="109" w:name="_Toc7561264"/>
      <w:bookmarkStart w:id="110" w:name="_Toc228527300"/>
      <w:r>
        <w:t>Health hazards</w:t>
      </w:r>
      <w:bookmarkEnd w:id="108"/>
      <w:bookmarkEnd w:id="109"/>
      <w:bookmarkEnd w:id="110"/>
    </w:p>
    <w:p w14:paraId="4E94A8FE" w14:textId="17FFCC22" w:rsidR="00F14F96" w:rsidRDefault="00F14F96" w:rsidP="00F14F96">
      <w:pPr>
        <w:pStyle w:val="APVMAText"/>
      </w:pPr>
      <w:r w:rsidRPr="00215DC4">
        <w:t xml:space="preserve">The results of the acute studies indicate that </w:t>
      </w:r>
      <w:r w:rsidR="00EC72D3">
        <w:t>Accede Plant Growth Regulator</w:t>
      </w:r>
      <w:r w:rsidRPr="00215DC4">
        <w:t xml:space="preserve"> has low toxicity following oral, dermal or inhalational exposure and is neither an eye or skin irritant nor a skin sensitiser in the Murine LLNA.</w:t>
      </w:r>
    </w:p>
    <w:p w14:paraId="3823E932" w14:textId="77777777" w:rsidR="00F14F96" w:rsidRDefault="00F14F96" w:rsidP="00F14F96">
      <w:pPr>
        <w:pStyle w:val="Heading2"/>
        <w:ind w:left="907" w:hanging="907"/>
      </w:pPr>
      <w:bookmarkStart w:id="111" w:name="_Toc531181096"/>
      <w:bookmarkStart w:id="112" w:name="_Toc7561265"/>
      <w:bookmarkStart w:id="113" w:name="_Toc228527301"/>
      <w:r>
        <w:t>Occupational exposure</w:t>
      </w:r>
      <w:bookmarkEnd w:id="111"/>
      <w:bookmarkEnd w:id="112"/>
      <w:bookmarkEnd w:id="113"/>
    </w:p>
    <w:p w14:paraId="54B60399" w14:textId="77777777" w:rsidR="00F14F96" w:rsidRDefault="00F14F96" w:rsidP="00F14F96">
      <w:pPr>
        <w:pStyle w:val="Heading3"/>
      </w:pPr>
      <w:bookmarkStart w:id="114" w:name="_Toc7561266"/>
      <w:r>
        <w:t>Exposure during use</w:t>
      </w:r>
      <w:bookmarkEnd w:id="114"/>
    </w:p>
    <w:p w14:paraId="65B4D5A7" w14:textId="77777777" w:rsidR="00F14F96" w:rsidRDefault="00F14F96" w:rsidP="00F14F96">
      <w:pPr>
        <w:pStyle w:val="APVMAText"/>
      </w:pPr>
      <w:r w:rsidRPr="00B20E1A">
        <w:t xml:space="preserve">No worker exposure data was submitted. Although the applicant carried out </w:t>
      </w:r>
      <w:r>
        <w:t xml:space="preserve">an </w:t>
      </w:r>
      <w:r w:rsidRPr="00B20E1A">
        <w:t xml:space="preserve">appropriate worker </w:t>
      </w:r>
      <w:r>
        <w:t>health and safety</w:t>
      </w:r>
      <w:r w:rsidRPr="00B20E1A">
        <w:t xml:space="preserve"> assessment, th</w:t>
      </w:r>
      <w:r>
        <w:t>is</w:t>
      </w:r>
      <w:r w:rsidRPr="00B20E1A">
        <w:t xml:space="preserve"> w</w:t>
      </w:r>
      <w:r>
        <w:t>as</w:t>
      </w:r>
      <w:r w:rsidRPr="00B20E1A">
        <w:t xml:space="preserve"> not required, as a quantitative risk assessment was not considered necessary based on </w:t>
      </w:r>
      <w:r>
        <w:t xml:space="preserve">no </w:t>
      </w:r>
      <w:r w:rsidRPr="00B20E1A">
        <w:t xml:space="preserve">effects </w:t>
      </w:r>
      <w:r>
        <w:t xml:space="preserve">observed </w:t>
      </w:r>
      <w:r w:rsidRPr="00B20E1A">
        <w:t xml:space="preserve">in </w:t>
      </w:r>
      <w:r>
        <w:t>a</w:t>
      </w:r>
      <w:r w:rsidRPr="00B20E1A">
        <w:t xml:space="preserve"> dermal 28-day </w:t>
      </w:r>
      <w:r>
        <w:t>limit</w:t>
      </w:r>
      <w:r w:rsidRPr="00B20E1A">
        <w:t xml:space="preserve"> study NOAEL (&gt;1000 mg/kg bw</w:t>
      </w:r>
      <w:r>
        <w:t>/d</w:t>
      </w:r>
      <w:r w:rsidRPr="00B20E1A">
        <w:t xml:space="preserve">). Additionally, both the product and spray dilution show very low propensity for dermal absorption. </w:t>
      </w:r>
      <w:r>
        <w:t xml:space="preserve">Inhalation exposure is also likely to be low as ACC has a vapour pressure of </w:t>
      </w:r>
      <w:r w:rsidRPr="009F389E">
        <w:t>3.6 x 10-5 Pa (at 25</w:t>
      </w:r>
      <w:r w:rsidRPr="009F389E">
        <w:rPr>
          <w:rFonts w:ascii="Cambria Math" w:hAnsi="Cambria Math" w:cs="Cambria Math"/>
        </w:rPr>
        <w:t>℃</w:t>
      </w:r>
      <w:r w:rsidRPr="009F389E">
        <w:t>)</w:t>
      </w:r>
      <w:r>
        <w:t>.</w:t>
      </w:r>
    </w:p>
    <w:p w14:paraId="65755609" w14:textId="77777777" w:rsidR="00F14F96" w:rsidRDefault="00F14F96" w:rsidP="00F14F96">
      <w:pPr>
        <w:pStyle w:val="APVMAText"/>
      </w:pPr>
      <w:r w:rsidRPr="00B20E1A">
        <w:t xml:space="preserve">Similarly, quantitative health risk assessments were not carried out by US EPA </w:t>
      </w:r>
      <w:r>
        <w:t xml:space="preserve">(2021) </w:t>
      </w:r>
      <w:r w:rsidRPr="00B20E1A">
        <w:t>or Health Canada</w:t>
      </w:r>
      <w:r>
        <w:t xml:space="preserve"> (2023)</w:t>
      </w:r>
      <w:r w:rsidRPr="00B20E1A">
        <w:t>.</w:t>
      </w:r>
    </w:p>
    <w:p w14:paraId="61728676" w14:textId="77777777" w:rsidR="00F14F96" w:rsidRDefault="00F14F96" w:rsidP="00F14F96">
      <w:pPr>
        <w:pStyle w:val="Heading3"/>
      </w:pPr>
      <w:bookmarkStart w:id="115" w:name="_Toc7561267"/>
      <w:r>
        <w:t>Exposure during re-entry</w:t>
      </w:r>
      <w:bookmarkEnd w:id="115"/>
    </w:p>
    <w:p w14:paraId="019D4BFD" w14:textId="77777777" w:rsidR="00F14F96" w:rsidRDefault="00F14F96" w:rsidP="00F14F96">
      <w:pPr>
        <w:pStyle w:val="APVMAText"/>
      </w:pPr>
      <w:r>
        <w:t>The lack of dermal effects in the 28-day dermal study indicates that there are negligible risks from re-entry. A standard re-entry statement is recommended for the label (see below).</w:t>
      </w:r>
    </w:p>
    <w:p w14:paraId="0A78EAB3" w14:textId="77777777" w:rsidR="00F14F96" w:rsidRDefault="00F14F96" w:rsidP="00F14F96">
      <w:pPr>
        <w:pStyle w:val="Heading2"/>
        <w:ind w:left="907" w:hanging="907"/>
      </w:pPr>
      <w:bookmarkStart w:id="116" w:name="_Toc531181097"/>
      <w:bookmarkStart w:id="117" w:name="_Toc7561268"/>
      <w:bookmarkStart w:id="118" w:name="_Toc228527302"/>
      <w:r>
        <w:t>Public exposure</w:t>
      </w:r>
      <w:bookmarkEnd w:id="116"/>
      <w:bookmarkEnd w:id="117"/>
      <w:bookmarkEnd w:id="118"/>
    </w:p>
    <w:p w14:paraId="5BD09AEF" w14:textId="77777777" w:rsidR="00F14F96" w:rsidRDefault="00F14F96" w:rsidP="00F14F96">
      <w:pPr>
        <w:pStyle w:val="APVMAText"/>
      </w:pPr>
      <w:r w:rsidRPr="00634950">
        <w:t xml:space="preserve">The applicant has stated that the product is intended for professional use only. Therefore, risks from use are not relevant for the </w:t>
      </w:r>
      <w:proofErr w:type="gramStart"/>
      <w:r w:rsidRPr="00634950">
        <w:t>general public</w:t>
      </w:r>
      <w:proofErr w:type="gramEnd"/>
      <w:r>
        <w:t>.</w:t>
      </w:r>
    </w:p>
    <w:p w14:paraId="6CD4BA38" w14:textId="4B46EB46" w:rsidR="00F14F96" w:rsidRDefault="00F14F96" w:rsidP="00F14F96">
      <w:pPr>
        <w:pStyle w:val="APVMAText"/>
      </w:pPr>
      <w:r w:rsidRPr="00634950">
        <w:t xml:space="preserve">Application of </w:t>
      </w:r>
      <w:r w:rsidR="00EC72D3">
        <w:t>Accede Plant Growth Regulator</w:t>
      </w:r>
      <w:r w:rsidRPr="00634950">
        <w:t xml:space="preserve"> by </w:t>
      </w:r>
      <w:proofErr w:type="spellStart"/>
      <w:r w:rsidRPr="00634950">
        <w:t>airblast</w:t>
      </w:r>
      <w:proofErr w:type="spellEnd"/>
      <w:r w:rsidRPr="00634950">
        <w:t xml:space="preserve"> or ground boom methods may lead to unintended bystander exposure via chemical spray drift. Bystander risk from spraying activities is typically estimated using the APVMA Spray Drift Risk Assessment Tool. However, as </w:t>
      </w:r>
      <w:r>
        <w:t xml:space="preserve">the RAD is significantly higher than the application rate, </w:t>
      </w:r>
      <w:r w:rsidRPr="00634950">
        <w:t>no specific bystander buffer zones are required.</w:t>
      </w:r>
    </w:p>
    <w:p w14:paraId="37F8F460" w14:textId="77777777" w:rsidR="00F14F96" w:rsidRPr="00C93AAB" w:rsidRDefault="00F14F96" w:rsidP="00F14F96">
      <w:pPr>
        <w:pStyle w:val="APVMAText"/>
      </w:pPr>
      <w:r w:rsidRPr="00634950">
        <w:lastRenderedPageBreak/>
        <w:t xml:space="preserve">A similar conclusion was reached by US EPA </w:t>
      </w:r>
      <w:r>
        <w:t xml:space="preserve">(2021) </w:t>
      </w:r>
      <w:r w:rsidRPr="00634950">
        <w:t>and Health Canada</w:t>
      </w:r>
      <w:r>
        <w:t xml:space="preserve"> (2023)</w:t>
      </w:r>
      <w:r w:rsidRPr="00634950">
        <w:t>.</w:t>
      </w:r>
    </w:p>
    <w:p w14:paraId="64C3CE6E" w14:textId="77777777" w:rsidR="00F14F96" w:rsidRDefault="00F14F96" w:rsidP="00F14F96">
      <w:pPr>
        <w:pStyle w:val="Heading2"/>
        <w:ind w:left="907" w:hanging="907"/>
      </w:pPr>
      <w:bookmarkStart w:id="119" w:name="_Toc531181098"/>
      <w:bookmarkStart w:id="120" w:name="_Toc7561269"/>
      <w:bookmarkStart w:id="121" w:name="_Toc228527303"/>
      <w:r>
        <w:t>Recommendations</w:t>
      </w:r>
      <w:bookmarkEnd w:id="119"/>
      <w:bookmarkEnd w:id="120"/>
      <w:bookmarkEnd w:id="121"/>
    </w:p>
    <w:p w14:paraId="46D33DB5" w14:textId="77777777" w:rsidR="00F14F96" w:rsidRDefault="00F14F96" w:rsidP="00F14F96">
      <w:pPr>
        <w:pStyle w:val="APVMAText"/>
        <w:rPr>
          <w:szCs w:val="20"/>
        </w:rPr>
      </w:pPr>
      <w:r>
        <w:rPr>
          <w:szCs w:val="20"/>
        </w:rPr>
        <w:t>The following first aid instructions, safety directions and precautionary statements are recommended for the product label.</w:t>
      </w:r>
    </w:p>
    <w:p w14:paraId="30F32A3D" w14:textId="77777777" w:rsidR="00F14F96" w:rsidRDefault="00F14F96" w:rsidP="00F14F96">
      <w:pPr>
        <w:pStyle w:val="Heading3"/>
      </w:pPr>
      <w:bookmarkStart w:id="122" w:name="_Toc7561270"/>
      <w:r>
        <w:t>First aid instructions</w:t>
      </w:r>
      <w:bookmarkEnd w:id="122"/>
    </w:p>
    <w:p w14:paraId="7BA825B2" w14:textId="77777777" w:rsidR="00F14F96" w:rsidRDefault="00F14F96" w:rsidP="00F14F96">
      <w:pPr>
        <w:pStyle w:val="APVMAText"/>
      </w:pPr>
      <w:r w:rsidRPr="0064084C">
        <w:t>First aid is not generally required. If in doubt, contact a Poisons Information Centre (phone Australia 13 11 26; New Zealand 0800 764 766) or a doctor.</w:t>
      </w:r>
    </w:p>
    <w:p w14:paraId="7CBB1F10" w14:textId="77777777" w:rsidR="00F14F96" w:rsidRDefault="00F14F96" w:rsidP="00F14F96">
      <w:pPr>
        <w:pStyle w:val="Heading3"/>
      </w:pPr>
      <w:bookmarkStart w:id="123" w:name="_Toc7561271"/>
      <w:r>
        <w:t>Safety directions</w:t>
      </w:r>
      <w:bookmarkEnd w:id="123"/>
    </w:p>
    <w:p w14:paraId="31A39D54" w14:textId="77777777" w:rsidR="00F14F96" w:rsidRDefault="00F14F96" w:rsidP="00F14F96">
      <w:pPr>
        <w:pStyle w:val="APVMAText"/>
      </w:pPr>
      <w:r w:rsidRPr="0064084C">
        <w:t>When using together with other products, consult their label safety directions. When using the product wear cotton overalls buttoned to the neck and wrist (or equivalent clothing)</w:t>
      </w:r>
      <w:r>
        <w:t>.</w:t>
      </w:r>
      <w:r w:rsidRPr="0064084C">
        <w:t xml:space="preserve"> Wash hands after use</w:t>
      </w:r>
      <w:r>
        <w:t>.</w:t>
      </w:r>
      <w:r w:rsidRPr="0064084C">
        <w:t xml:space="preserve"> After each day’s use wash contaminated clothing</w:t>
      </w:r>
      <w:r>
        <w:t>.</w:t>
      </w:r>
    </w:p>
    <w:p w14:paraId="6CD7645F" w14:textId="77777777" w:rsidR="00F14F96" w:rsidRDefault="00F14F96" w:rsidP="00F14F96">
      <w:pPr>
        <w:pStyle w:val="Heading3"/>
      </w:pPr>
      <w:bookmarkStart w:id="124" w:name="_Toc7561272"/>
      <w:r>
        <w:t>Precautionary statements</w:t>
      </w:r>
      <w:bookmarkEnd w:id="124"/>
      <w:r>
        <w:t xml:space="preserve"> (restraints/restrictions)</w:t>
      </w:r>
    </w:p>
    <w:p w14:paraId="7BC0B957" w14:textId="77777777" w:rsidR="00F14F96" w:rsidRDefault="00F14F96" w:rsidP="00F14F96">
      <w:pPr>
        <w:pStyle w:val="APVMAText"/>
      </w:pPr>
      <w:r>
        <w:t xml:space="preserve">DO NOT allow bystanders to </w:t>
      </w:r>
      <w:proofErr w:type="gramStart"/>
      <w:r>
        <w:t>come into contact with</w:t>
      </w:r>
      <w:proofErr w:type="gramEnd"/>
      <w:r>
        <w:t xml:space="preserve"> the spray cloud.</w:t>
      </w:r>
    </w:p>
    <w:p w14:paraId="2B934374" w14:textId="77777777" w:rsidR="00F14F96" w:rsidRDefault="00F14F96" w:rsidP="00F14F96">
      <w:pPr>
        <w:pStyle w:val="APVMAText"/>
      </w:pPr>
      <w:r>
        <w:t>DO NOT apply by a vertical sprayer unless the following requirements are met:</w:t>
      </w:r>
    </w:p>
    <w:p w14:paraId="4B8F94ED" w14:textId="77777777" w:rsidR="00F14F96" w:rsidRPr="0064084C" w:rsidRDefault="00F14F96" w:rsidP="00AA5A11">
      <w:pPr>
        <w:pStyle w:val="APVMABullet1"/>
      </w:pPr>
      <w:r>
        <w:t>•</w:t>
      </w:r>
      <w:r w:rsidRPr="0064084C">
        <w:tab/>
        <w:t>spray is not directed above the target canopy</w:t>
      </w:r>
    </w:p>
    <w:p w14:paraId="5E51357E" w14:textId="77777777" w:rsidR="00F14F96" w:rsidRDefault="00F14F96" w:rsidP="00AA5A11">
      <w:pPr>
        <w:pStyle w:val="APVMABullet1"/>
      </w:pPr>
      <w:r w:rsidRPr="0064084C">
        <w:t>•</w:t>
      </w:r>
      <w:r w:rsidRPr="0064084C">
        <w:tab/>
        <w:t>the outside of the sprayer is turned off when turning at the end of rows and when spraying the outer row on each side of the application site</w:t>
      </w:r>
    </w:p>
    <w:p w14:paraId="6C7E041A" w14:textId="2B073319" w:rsidR="00F14F96" w:rsidRDefault="00F14F96" w:rsidP="00AA5A11">
      <w:pPr>
        <w:pStyle w:val="APVMAText"/>
      </w:pPr>
      <w:r>
        <w:t>DO NOT apply product through any type of irrigation system.</w:t>
      </w:r>
    </w:p>
    <w:p w14:paraId="397057C6" w14:textId="77777777" w:rsidR="00F14F96" w:rsidRDefault="00F14F96" w:rsidP="00F14F96">
      <w:pPr>
        <w:pStyle w:val="Heading3"/>
      </w:pPr>
      <w:r>
        <w:t>Re-entry S</w:t>
      </w:r>
      <w:r w:rsidRPr="0099160D">
        <w:t>tatement</w:t>
      </w:r>
    </w:p>
    <w:p w14:paraId="77D4863D" w14:textId="25E42A5D" w:rsidR="00A6683A" w:rsidRDefault="00F14F96" w:rsidP="00F14F96">
      <w:pPr>
        <w:pStyle w:val="APVMAText"/>
        <w:sectPr w:rsidR="00A6683A">
          <w:headerReference w:type="default" r:id="rId36"/>
          <w:pgSz w:w="11906" w:h="16838" w:code="9"/>
          <w:pgMar w:top="2835" w:right="1134" w:bottom="1134" w:left="1134" w:header="1701" w:footer="680" w:gutter="0"/>
          <w:cols w:space="708"/>
          <w:docGrid w:linePitch="360"/>
        </w:sectPr>
      </w:pPr>
      <w:r w:rsidRPr="0064084C">
        <w:t>DO NOT enter treated areas until the spray has settled and dried, unless wearing cotton overalls buttoned to the neck and wrist (or equivalent clothing). Clothing must be laundered after each day’s use.</w:t>
      </w:r>
    </w:p>
    <w:p w14:paraId="2F2ED702" w14:textId="77777777" w:rsidR="002F7868" w:rsidRDefault="002F7868" w:rsidP="002F7868">
      <w:pPr>
        <w:pStyle w:val="Heading1"/>
        <w:tabs>
          <w:tab w:val="num" w:pos="907"/>
        </w:tabs>
        <w:ind w:left="907" w:hanging="907"/>
      </w:pPr>
      <w:bookmarkStart w:id="125" w:name="_Toc531181099"/>
      <w:bookmarkStart w:id="126" w:name="_Toc7561273"/>
      <w:bookmarkStart w:id="127" w:name="_Toc228527304"/>
      <w:r>
        <w:lastRenderedPageBreak/>
        <w:t>Environmental assessment</w:t>
      </w:r>
      <w:bookmarkEnd w:id="125"/>
      <w:bookmarkEnd w:id="126"/>
      <w:bookmarkEnd w:id="127"/>
    </w:p>
    <w:p w14:paraId="4FD8D5E1" w14:textId="77777777" w:rsidR="002F7868" w:rsidRDefault="002F7868" w:rsidP="002F7868">
      <w:pPr>
        <w:pStyle w:val="Heading2"/>
        <w:ind w:left="907" w:hanging="907"/>
        <w:rPr>
          <w:lang w:val="en-GB"/>
        </w:rPr>
      </w:pPr>
      <w:bookmarkStart w:id="128" w:name="_Toc531181100"/>
      <w:bookmarkStart w:id="129" w:name="_Toc7561274"/>
      <w:bookmarkStart w:id="130" w:name="_Toc228527305"/>
      <w:r>
        <w:rPr>
          <w:lang w:val="en-GB"/>
        </w:rPr>
        <w:t>Fate and behaviour in the environment</w:t>
      </w:r>
      <w:bookmarkEnd w:id="128"/>
      <w:bookmarkEnd w:id="129"/>
      <w:bookmarkEnd w:id="130"/>
    </w:p>
    <w:p w14:paraId="15CEEC8B" w14:textId="7E4CA80D" w:rsidR="002F7868" w:rsidRDefault="00FD3DA1" w:rsidP="002F7868">
      <w:pPr>
        <w:pStyle w:val="APVMAText"/>
        <w:rPr>
          <w:lang w:val="en-GB"/>
        </w:rPr>
      </w:pPr>
      <w:r w:rsidRPr="00FD3DA1">
        <w:t>ACC is a readily biodegradable substance that has low persistence in soil (geomean DT</w:t>
      </w:r>
      <w:r w:rsidRPr="00FD3DA1">
        <w:rPr>
          <w:vertAlign w:val="subscript"/>
        </w:rPr>
        <w:t>50</w:t>
      </w:r>
      <w:r w:rsidRPr="00FD3DA1">
        <w:t xml:space="preserve"> 2.3 days in four laboratory soils) and low sorption (geomean Koc 29 mL/g in five soils). In aquatic systems, ACC remains in the water phase. It is not susceptible to hydrolysis or photolysis; rather, ACC is degraded very rapidly via microbially mediated mechanisms (DT</w:t>
      </w:r>
      <w:r w:rsidRPr="00FD3DA1">
        <w:rPr>
          <w:vertAlign w:val="subscript"/>
        </w:rPr>
        <w:t>50</w:t>
      </w:r>
      <w:r w:rsidRPr="00FD3DA1">
        <w:t xml:space="preserve"> &lt;1 day in three aquatic systems). Its major metabolite 2-ketyobuytric acid reached maxima of 18% AR in soil and 25% in </w:t>
      </w:r>
      <w:r w:rsidR="00B27254" w:rsidRPr="00FD3DA1">
        <w:t>water but</w:t>
      </w:r>
      <w:r w:rsidRPr="00FD3DA1">
        <w:t xml:space="preserve"> not detected in sediment and was transient in all systems. ACC is not volatile and will not be subject to long-range transport.</w:t>
      </w:r>
    </w:p>
    <w:p w14:paraId="2820D4DD" w14:textId="77777777" w:rsidR="002F7868" w:rsidRDefault="002F7868" w:rsidP="002F7868">
      <w:pPr>
        <w:pStyle w:val="Heading2"/>
        <w:ind w:left="907" w:hanging="907"/>
        <w:rPr>
          <w:lang w:val="en-GB"/>
        </w:rPr>
      </w:pPr>
      <w:bookmarkStart w:id="131" w:name="_Toc531181101"/>
      <w:bookmarkStart w:id="132" w:name="_Toc7561278"/>
      <w:bookmarkStart w:id="133" w:name="_Toc228527306"/>
      <w:r>
        <w:rPr>
          <w:lang w:val="en-GB"/>
        </w:rPr>
        <w:t>Effects and associated risks to non-target species</w:t>
      </w:r>
      <w:bookmarkEnd w:id="131"/>
      <w:bookmarkEnd w:id="132"/>
      <w:bookmarkEnd w:id="133"/>
    </w:p>
    <w:p w14:paraId="0B17F379" w14:textId="03DDA9A1" w:rsidR="002834DF" w:rsidRDefault="002834DF" w:rsidP="002834DF">
      <w:pPr>
        <w:pStyle w:val="APVMAText"/>
      </w:pPr>
      <w:bookmarkStart w:id="134" w:name="_Toc7561279"/>
      <w:r>
        <w:t xml:space="preserve">A maximum single rate of 87.5 g/100 L was assessed for the risk assessment. </w:t>
      </w:r>
      <w:r w:rsidRPr="002834DF">
        <w:t>Assuming a default spray volume of 1500 L/ha, the maximum application rate is equivalent to 1.3 L/ha (525 g ac/ha).</w:t>
      </w:r>
    </w:p>
    <w:p w14:paraId="7328B4E7" w14:textId="674E59C1" w:rsidR="002834DF" w:rsidRDefault="002834DF" w:rsidP="002834DF">
      <w:pPr>
        <w:pStyle w:val="APVMAText"/>
      </w:pPr>
      <w:r>
        <w:t xml:space="preserve">The risk assessment also considered cumulative exposure of non-target species to two </w:t>
      </w:r>
      <w:r w:rsidRPr="002834DF">
        <w:t xml:space="preserve">applications </w:t>
      </w:r>
      <w:r>
        <w:t>at</w:t>
      </w:r>
      <w:r w:rsidRPr="002834DF">
        <w:t xml:space="preserve"> 75 g/100 L</w:t>
      </w:r>
      <w:r>
        <w:t xml:space="preserve"> and a</w:t>
      </w:r>
      <w:r w:rsidRPr="002834DF">
        <w:t xml:space="preserve"> minimum retreatment interval of 21 days. Assuming a default spray volume of 1500 L/ha, </w:t>
      </w:r>
      <w:r>
        <w:t>each application is</w:t>
      </w:r>
      <w:r w:rsidRPr="002834DF">
        <w:t xml:space="preserve"> equivalent to 1.1 L/ha (450 g ac/ha).</w:t>
      </w:r>
    </w:p>
    <w:p w14:paraId="0E92F349" w14:textId="77777777" w:rsidR="002F7868" w:rsidRDefault="002F7868" w:rsidP="002F7868">
      <w:pPr>
        <w:pStyle w:val="Heading3"/>
        <w:rPr>
          <w:lang w:val="en-GB"/>
        </w:rPr>
      </w:pPr>
      <w:r>
        <w:rPr>
          <w:lang w:val="en-GB"/>
        </w:rPr>
        <w:t>Terrestrial vertebrates</w:t>
      </w:r>
      <w:bookmarkEnd w:id="134"/>
    </w:p>
    <w:p w14:paraId="368BF88F" w14:textId="13ACF501" w:rsidR="002F7868" w:rsidRDefault="00FD3DA1" w:rsidP="002F7868">
      <w:pPr>
        <w:pStyle w:val="APVMAText"/>
      </w:pPr>
      <w:r w:rsidRPr="00FD3DA1">
        <w:t>ACC has low toxicity to mammals (LD</w:t>
      </w:r>
      <w:r w:rsidRPr="00FD3DA1">
        <w:rPr>
          <w:vertAlign w:val="subscript"/>
        </w:rPr>
        <w:t>50</w:t>
      </w:r>
      <w:r w:rsidRPr="00FD3DA1">
        <w:t xml:space="preserve"> &gt;5000 mg ac/kg bw, </w:t>
      </w:r>
      <w:r w:rsidRPr="00FD3DA1">
        <w:rPr>
          <w:i/>
          <w:iCs/>
        </w:rPr>
        <w:t>Rattus norvegicus</w:t>
      </w:r>
      <w:r w:rsidRPr="00FD3DA1">
        <w:t>) and birds (LD</w:t>
      </w:r>
      <w:r w:rsidRPr="00FD3DA1">
        <w:rPr>
          <w:vertAlign w:val="subscript"/>
        </w:rPr>
        <w:t>50</w:t>
      </w:r>
      <w:r w:rsidRPr="00FD3DA1">
        <w:t xml:space="preserve"> 343 mg ac/kg </w:t>
      </w:r>
      <w:proofErr w:type="spellStart"/>
      <w:r w:rsidRPr="00FD3DA1">
        <w:t>bw</w:t>
      </w:r>
      <w:proofErr w:type="spellEnd"/>
      <w:r w:rsidRPr="00FD3DA1">
        <w:t xml:space="preserve">, </w:t>
      </w:r>
      <w:proofErr w:type="spellStart"/>
      <w:r w:rsidRPr="00FD3DA1">
        <w:rPr>
          <w:i/>
          <w:iCs/>
        </w:rPr>
        <w:t>Colinus</w:t>
      </w:r>
      <w:proofErr w:type="spellEnd"/>
      <w:r w:rsidRPr="00FD3DA1">
        <w:rPr>
          <w:i/>
          <w:iCs/>
        </w:rPr>
        <w:t xml:space="preserve"> virginianus</w:t>
      </w:r>
      <w:r w:rsidRPr="00FD3DA1">
        <w:t xml:space="preserve">). Following dietary exposure in reproductive toxicity tests, decreased parental body weight gain of mammals was observed at 543 mg ac/kg bw/d (NOAEL 271 mg ac/kg bw/d, </w:t>
      </w:r>
      <w:r w:rsidRPr="00FD3DA1">
        <w:rPr>
          <w:i/>
          <w:iCs/>
        </w:rPr>
        <w:t>Rattus norvegicus</w:t>
      </w:r>
      <w:r w:rsidRPr="00FD3DA1">
        <w:t xml:space="preserve">) and reductions in the number of eggs laid, viable embryos, hatchlings and 14-day old survivors as percentages of eggs set were observed at 22 mg ac/kg bw/d in birds (NOEL 8.6 mg ac/kg </w:t>
      </w:r>
      <w:proofErr w:type="spellStart"/>
      <w:r w:rsidRPr="00FD3DA1">
        <w:t>bw</w:t>
      </w:r>
      <w:proofErr w:type="spellEnd"/>
      <w:r w:rsidRPr="00FD3DA1">
        <w:t xml:space="preserve">/d, </w:t>
      </w:r>
      <w:proofErr w:type="spellStart"/>
      <w:r w:rsidRPr="00FD3DA1">
        <w:rPr>
          <w:i/>
          <w:iCs/>
        </w:rPr>
        <w:t>Colinus</w:t>
      </w:r>
      <w:proofErr w:type="spellEnd"/>
      <w:r w:rsidRPr="00FD3DA1">
        <w:rPr>
          <w:i/>
          <w:iCs/>
        </w:rPr>
        <w:t xml:space="preserve"> virginianus</w:t>
      </w:r>
      <w:r w:rsidRPr="00FD3DA1">
        <w:t>).</w:t>
      </w:r>
    </w:p>
    <w:p w14:paraId="12EF6C8B" w14:textId="6B0BBBB6" w:rsidR="002834DF" w:rsidRDefault="002834DF" w:rsidP="002F7868">
      <w:pPr>
        <w:pStyle w:val="APVMAText"/>
        <w:rPr>
          <w:lang w:val="en-GB"/>
        </w:rPr>
      </w:pPr>
      <w:r w:rsidRPr="00D2146E">
        <w:t>The acute assessment assumes 100% of food items are obtained from the treatment area on the last day of application, while the chronic assessment assumes 50% of food items are obtained from the treatment area for the first 21 day after the last application.</w:t>
      </w:r>
      <w:r w:rsidRPr="002834DF">
        <w:t xml:space="preserve"> </w:t>
      </w:r>
      <w:r w:rsidRPr="00D2146E">
        <w:t>A tiered approach was used beginning with assessment of an</w:t>
      </w:r>
      <w:r>
        <w:t xml:space="preserve"> </w:t>
      </w:r>
      <w:r w:rsidRPr="00D2146E">
        <w:t>indicator species that is protective of all food guilds</w:t>
      </w:r>
      <w:r w:rsidRPr="002834DF">
        <w:t xml:space="preserve">. Acceptable risks could be concluded </w:t>
      </w:r>
      <w:r>
        <w:t>at the first level of assessment</w:t>
      </w:r>
      <w:r w:rsidRPr="002834DF">
        <w:t>. No protection measures are therefore considered necessary for terrestrial vertebrates.</w:t>
      </w:r>
    </w:p>
    <w:p w14:paraId="32CB52E7" w14:textId="77777777" w:rsidR="002F7868" w:rsidRDefault="002F7868" w:rsidP="002F7868">
      <w:pPr>
        <w:pStyle w:val="Heading3"/>
        <w:rPr>
          <w:lang w:val="en-GB"/>
        </w:rPr>
      </w:pPr>
      <w:bookmarkStart w:id="135" w:name="_Toc7561280"/>
      <w:r>
        <w:rPr>
          <w:lang w:val="en-GB"/>
        </w:rPr>
        <w:t>Aquatic species</w:t>
      </w:r>
      <w:bookmarkEnd w:id="135"/>
    </w:p>
    <w:p w14:paraId="3D38304D" w14:textId="5FB3C703" w:rsidR="002F7868" w:rsidRDefault="00FD3DA1" w:rsidP="002F7868">
      <w:pPr>
        <w:pStyle w:val="APVMAText"/>
      </w:pPr>
      <w:r w:rsidRPr="00FD3DA1">
        <w:t>ACC has low toxicity to fish (LC</w:t>
      </w:r>
      <w:r w:rsidRPr="00FD3DA1">
        <w:rPr>
          <w:vertAlign w:val="subscript"/>
        </w:rPr>
        <w:t>50</w:t>
      </w:r>
      <w:r w:rsidRPr="00FD3DA1">
        <w:t xml:space="preserve"> &gt;117 mg ac/L, </w:t>
      </w:r>
      <w:r w:rsidRPr="00FD3DA1">
        <w:rPr>
          <w:i/>
          <w:iCs/>
        </w:rPr>
        <w:t>Oncorhynchus mykiss</w:t>
      </w:r>
      <w:r w:rsidRPr="00FD3DA1">
        <w:t>) and aquatic invertebrates (EC</w:t>
      </w:r>
      <w:r w:rsidRPr="00FD3DA1">
        <w:rPr>
          <w:vertAlign w:val="subscript"/>
        </w:rPr>
        <w:t>50</w:t>
      </w:r>
      <w:r w:rsidRPr="00FD3DA1">
        <w:t xml:space="preserve"> &gt;105 mg ac/L, </w:t>
      </w:r>
      <w:r w:rsidRPr="00FD3DA1">
        <w:rPr>
          <w:i/>
          <w:iCs/>
        </w:rPr>
        <w:t>Daphnia magna</w:t>
      </w:r>
      <w:r w:rsidRPr="00FD3DA1">
        <w:t>), and moderate toxicity to algae (E</w:t>
      </w:r>
      <w:r w:rsidRPr="00FD3DA1">
        <w:rPr>
          <w:vertAlign w:val="subscript"/>
        </w:rPr>
        <w:t>r</w:t>
      </w:r>
      <w:r w:rsidRPr="00FD3DA1">
        <w:t>C</w:t>
      </w:r>
      <w:r w:rsidRPr="00FD3DA1">
        <w:rPr>
          <w:vertAlign w:val="subscript"/>
        </w:rPr>
        <w:t>50</w:t>
      </w:r>
      <w:r w:rsidRPr="00FD3DA1">
        <w:t xml:space="preserve"> 0.21 mg ac/L, </w:t>
      </w:r>
      <w:proofErr w:type="spellStart"/>
      <w:r w:rsidRPr="00FD3DA1">
        <w:rPr>
          <w:i/>
          <w:iCs/>
        </w:rPr>
        <w:t>Pseuokirchneriella</w:t>
      </w:r>
      <w:proofErr w:type="spellEnd"/>
      <w:r w:rsidRPr="00FD3DA1">
        <w:rPr>
          <w:i/>
          <w:iCs/>
        </w:rPr>
        <w:t xml:space="preserve"> </w:t>
      </w:r>
      <w:proofErr w:type="spellStart"/>
      <w:r w:rsidRPr="00FD3DA1">
        <w:rPr>
          <w:i/>
          <w:iCs/>
        </w:rPr>
        <w:t>subcapitata</w:t>
      </w:r>
      <w:proofErr w:type="spellEnd"/>
      <w:r w:rsidRPr="00FD3DA1">
        <w:t>; E</w:t>
      </w:r>
      <w:r w:rsidRPr="00AC64AB">
        <w:rPr>
          <w:vertAlign w:val="subscript"/>
        </w:rPr>
        <w:t>r</w:t>
      </w:r>
      <w:r w:rsidRPr="00FD3DA1">
        <w:t>C</w:t>
      </w:r>
      <w:r w:rsidRPr="00AC64AB">
        <w:rPr>
          <w:vertAlign w:val="subscript"/>
        </w:rPr>
        <w:t>50</w:t>
      </w:r>
      <w:r w:rsidRPr="00FD3DA1">
        <w:t xml:space="preserve"> 0.10 mg ac/L, </w:t>
      </w:r>
      <w:r w:rsidRPr="00FD3DA1">
        <w:rPr>
          <w:i/>
          <w:iCs/>
        </w:rPr>
        <w:t>Anabaena flos-aquae</w:t>
      </w:r>
      <w:r w:rsidRPr="00FD3DA1">
        <w:t>) and aquatic plants (E</w:t>
      </w:r>
      <w:r w:rsidRPr="00AC64AB">
        <w:rPr>
          <w:vertAlign w:val="subscript"/>
        </w:rPr>
        <w:t>r</w:t>
      </w:r>
      <w:r w:rsidRPr="00FD3DA1">
        <w:t xml:space="preserve">C50 3.7 mg ac/L, </w:t>
      </w:r>
      <w:r w:rsidRPr="00FD3DA1">
        <w:rPr>
          <w:i/>
          <w:iCs/>
        </w:rPr>
        <w:t xml:space="preserve">Lemna </w:t>
      </w:r>
      <w:proofErr w:type="spellStart"/>
      <w:r w:rsidRPr="00FD3DA1">
        <w:rPr>
          <w:i/>
          <w:iCs/>
        </w:rPr>
        <w:t>gibba</w:t>
      </w:r>
      <w:proofErr w:type="spellEnd"/>
      <w:r w:rsidRPr="00FD3DA1">
        <w:t>). Clear effects on plant shoots and roots of rooted aquatic macrophytes was observed at relatively low concentrations (lowest E</w:t>
      </w:r>
      <w:r w:rsidRPr="00AC64AB">
        <w:rPr>
          <w:vertAlign w:val="subscript"/>
        </w:rPr>
        <w:t>r</w:t>
      </w:r>
      <w:r w:rsidRPr="00FD3DA1">
        <w:t>C</w:t>
      </w:r>
      <w:r w:rsidRPr="00AC64AB">
        <w:rPr>
          <w:vertAlign w:val="subscript"/>
        </w:rPr>
        <w:t>10</w:t>
      </w:r>
      <w:r w:rsidRPr="00FD3DA1">
        <w:t xml:space="preserve"> 0.074 mg ac/L, </w:t>
      </w:r>
      <w:proofErr w:type="spellStart"/>
      <w:r w:rsidRPr="00FD3DA1">
        <w:rPr>
          <w:i/>
          <w:iCs/>
        </w:rPr>
        <w:t>Myriophyllum</w:t>
      </w:r>
      <w:proofErr w:type="spellEnd"/>
      <w:r w:rsidRPr="00FD3DA1">
        <w:rPr>
          <w:i/>
          <w:iCs/>
        </w:rPr>
        <w:t xml:space="preserve"> spicatum</w:t>
      </w:r>
      <w:r w:rsidRPr="00FD3DA1">
        <w:t>). Following long-term exposure, the reproduction of aquatic invertebrates was reduced in a dose-dependent manner (EC</w:t>
      </w:r>
      <w:r w:rsidRPr="00AC64AB">
        <w:rPr>
          <w:vertAlign w:val="subscript"/>
        </w:rPr>
        <w:t>10</w:t>
      </w:r>
      <w:r w:rsidRPr="00FD3DA1">
        <w:t xml:space="preserve"> 20 mg ac/L, </w:t>
      </w:r>
      <w:r w:rsidRPr="00FD3DA1">
        <w:rPr>
          <w:i/>
          <w:iCs/>
        </w:rPr>
        <w:t>Daphnia magna</w:t>
      </w:r>
      <w:r w:rsidRPr="00FD3DA1">
        <w:t>). Based on</w:t>
      </w:r>
      <w:r w:rsidR="00B27254">
        <w:t xml:space="preserve"> </w:t>
      </w:r>
      <w:r w:rsidR="00AB4AB3" w:rsidRPr="00FD3DA1">
        <w:t>E</w:t>
      </w:r>
      <w:r w:rsidR="00AB4AB3" w:rsidRPr="00FD3DA1">
        <w:rPr>
          <w:vertAlign w:val="subscript"/>
        </w:rPr>
        <w:t>r</w:t>
      </w:r>
      <w:r w:rsidR="00AB4AB3" w:rsidRPr="00FD3DA1">
        <w:t>C</w:t>
      </w:r>
      <w:r w:rsidR="00AB4AB3" w:rsidRPr="00FD3DA1">
        <w:rPr>
          <w:vertAlign w:val="subscript"/>
        </w:rPr>
        <w:t>50</w:t>
      </w:r>
      <w:r w:rsidR="00DB39ED" w:rsidRPr="00F14F96">
        <w:rPr>
          <w:szCs w:val="20"/>
        </w:rPr>
        <w:t xml:space="preserve"> values &lt;1 mg/L for algae</w:t>
      </w:r>
      <w:r w:rsidRPr="00FD3DA1">
        <w:t>, the following hazard statement is triggered for ACC product labels.</w:t>
      </w:r>
    </w:p>
    <w:p w14:paraId="118D7959" w14:textId="697D7C63" w:rsidR="002834DF" w:rsidRPr="00AC64AB" w:rsidRDefault="002834DF" w:rsidP="002F7868">
      <w:pPr>
        <w:pStyle w:val="APVMAText"/>
        <w:rPr>
          <w:sz w:val="18"/>
          <w:szCs w:val="22"/>
        </w:rPr>
      </w:pPr>
      <w:r>
        <w:lastRenderedPageBreak/>
        <w:tab/>
      </w:r>
      <w:r w:rsidRPr="00AC64AB">
        <w:rPr>
          <w:sz w:val="18"/>
          <w:szCs w:val="22"/>
        </w:rPr>
        <w:t>Very toxic to aquatic life.</w:t>
      </w:r>
    </w:p>
    <w:p w14:paraId="408FFAD7" w14:textId="43D63CE6" w:rsidR="00AC64AB" w:rsidRPr="00AC64AB" w:rsidRDefault="00AC64AB" w:rsidP="00AC64AB">
      <w:pPr>
        <w:pStyle w:val="APVMAText"/>
      </w:pPr>
      <w:r w:rsidRPr="00AC64AB">
        <w:t>A screening level runoff assessment of ACC was conducted which represents the worst-case scenario</w:t>
      </w:r>
      <w:r>
        <w:t xml:space="preserve"> (direct application at the highest seasonal rate to bare soil) under Australian conditions</w:t>
      </w:r>
      <w:r w:rsidRPr="00AC64AB">
        <w:t>. Acceptable risks could be concluded at the screening level. Because the assessment assumes a runoff event occurs three days after application, the following restraints are advised.</w:t>
      </w:r>
    </w:p>
    <w:p w14:paraId="0E602754" w14:textId="6E96D34F" w:rsidR="002834DF" w:rsidRPr="00AC64AB" w:rsidRDefault="00AC64AB" w:rsidP="00AC64AB">
      <w:pPr>
        <w:pStyle w:val="APVMAText"/>
        <w:ind w:left="567"/>
        <w:rPr>
          <w:sz w:val="18"/>
          <w:szCs w:val="22"/>
          <w:lang w:val="en-GB"/>
        </w:rPr>
      </w:pPr>
      <w:r w:rsidRPr="00AC64AB">
        <w:rPr>
          <w:sz w:val="18"/>
          <w:szCs w:val="22"/>
        </w:rPr>
        <w:t>To protect aquatic species from runoff, DO NOT apply if heavy rains or storms are forecast within 3 days. DO NOT irrigate to the point of water runoff from the treatment area for at least 3 days after application.</w:t>
      </w:r>
    </w:p>
    <w:p w14:paraId="2FA1BF48" w14:textId="77777777" w:rsidR="002F7868" w:rsidRDefault="002F7868" w:rsidP="002F7868">
      <w:pPr>
        <w:pStyle w:val="Heading3"/>
        <w:rPr>
          <w:lang w:val="en-GB"/>
        </w:rPr>
      </w:pPr>
      <w:bookmarkStart w:id="136" w:name="_Toc7561281"/>
      <w:r>
        <w:rPr>
          <w:lang w:val="en-GB"/>
        </w:rPr>
        <w:t>Bees and other non-target arthropods</w:t>
      </w:r>
      <w:bookmarkEnd w:id="136"/>
    </w:p>
    <w:p w14:paraId="6B3407AB" w14:textId="08E6DF70" w:rsidR="002F7868" w:rsidRDefault="00FD3DA1" w:rsidP="002F7868">
      <w:pPr>
        <w:pStyle w:val="APVMAText"/>
      </w:pPr>
      <w:r w:rsidRPr="00FD3DA1">
        <w:t>ACC has low toxicity to adult bees by contact exposure (LD</w:t>
      </w:r>
      <w:r w:rsidRPr="00AC64AB">
        <w:rPr>
          <w:vertAlign w:val="subscript"/>
        </w:rPr>
        <w:t>50</w:t>
      </w:r>
      <w:r w:rsidRPr="00FD3DA1">
        <w:t xml:space="preserve"> &gt;125 μg ac/bee, </w:t>
      </w:r>
      <w:r w:rsidRPr="00FD3DA1">
        <w:rPr>
          <w:i/>
          <w:iCs/>
        </w:rPr>
        <w:t>Apis mellifera</w:t>
      </w:r>
      <w:r w:rsidRPr="00FD3DA1">
        <w:t>) and oral exposure (LD</w:t>
      </w:r>
      <w:r w:rsidRPr="00AC64AB">
        <w:rPr>
          <w:vertAlign w:val="subscript"/>
        </w:rPr>
        <w:t>50</w:t>
      </w:r>
      <w:r w:rsidRPr="00FD3DA1">
        <w:t xml:space="preserve"> &gt;263 μg ac/bee, </w:t>
      </w:r>
      <w:r w:rsidRPr="00FD3DA1">
        <w:rPr>
          <w:i/>
          <w:iCs/>
        </w:rPr>
        <w:t>Apis mellifera</w:t>
      </w:r>
      <w:r w:rsidRPr="00FD3DA1">
        <w:t>), and low toxicity to bee larvae (LD</w:t>
      </w:r>
      <w:r w:rsidR="00AA4C64" w:rsidRPr="00AC64AB">
        <w:rPr>
          <w:vertAlign w:val="subscript"/>
        </w:rPr>
        <w:t>50</w:t>
      </w:r>
      <w:r w:rsidRPr="00FD3DA1">
        <w:t xml:space="preserve"> &gt;126 μg ac/bee, </w:t>
      </w:r>
      <w:r w:rsidRPr="00FD3DA1">
        <w:rPr>
          <w:i/>
          <w:iCs/>
        </w:rPr>
        <w:t>Apis mellifera</w:t>
      </w:r>
      <w:r w:rsidRPr="00FD3DA1">
        <w:t>). The representative SG 400 g/kg formulation similarly demonstrated low acute toxicity to adult bees. Following chronic dietary exposure to ACC, mortality of adult bees was observed in a dose-dependent manner (LDD</w:t>
      </w:r>
      <w:r w:rsidRPr="00AC64AB">
        <w:rPr>
          <w:vertAlign w:val="subscript"/>
        </w:rPr>
        <w:t>10</w:t>
      </w:r>
      <w:r w:rsidRPr="00FD3DA1">
        <w:t xml:space="preserve"> 22 μg ac/bee/d).</w:t>
      </w:r>
    </w:p>
    <w:p w14:paraId="5E2A27B8" w14:textId="7DD7DF4A" w:rsidR="00AC64AB" w:rsidRDefault="00AC64AB" w:rsidP="002F7868">
      <w:pPr>
        <w:pStyle w:val="APVMAText"/>
      </w:pPr>
      <w:r w:rsidRPr="00980E44">
        <w:t>Risks to bees were determined to be acceptable under the worst-case scenario of a direct overspray of blooming plants. Therefore, no protection measures are considered necessary for bees.</w:t>
      </w:r>
    </w:p>
    <w:p w14:paraId="0A0569C1" w14:textId="0906EBEF" w:rsidR="00FD3DA1" w:rsidRDefault="00FD3DA1" w:rsidP="002F7868">
      <w:pPr>
        <w:pStyle w:val="APVMAText"/>
      </w:pPr>
      <w:r w:rsidRPr="00FD3DA1">
        <w:t>An SL 100 g/L formulation of ACC had low toxicity under laboratory conditions (glass plates) to the indicator species of predatory arthropods (LR</w:t>
      </w:r>
      <w:r w:rsidRPr="00AC64AB">
        <w:rPr>
          <w:vertAlign w:val="subscript"/>
        </w:rPr>
        <w:t>50</w:t>
      </w:r>
      <w:r w:rsidRPr="00FD3DA1">
        <w:t xml:space="preserve"> &gt;1000 g ac/ha, </w:t>
      </w:r>
      <w:proofErr w:type="spellStart"/>
      <w:r w:rsidRPr="00FD3DA1">
        <w:rPr>
          <w:i/>
          <w:iCs/>
        </w:rPr>
        <w:t>Typhlodromus</w:t>
      </w:r>
      <w:proofErr w:type="spellEnd"/>
      <w:r w:rsidRPr="00FD3DA1">
        <w:rPr>
          <w:i/>
          <w:iCs/>
        </w:rPr>
        <w:t xml:space="preserve"> </w:t>
      </w:r>
      <w:proofErr w:type="spellStart"/>
      <w:r w:rsidRPr="00FD3DA1">
        <w:rPr>
          <w:i/>
          <w:iCs/>
        </w:rPr>
        <w:t>pyri</w:t>
      </w:r>
      <w:proofErr w:type="spellEnd"/>
      <w:r w:rsidRPr="00FD3DA1">
        <w:t>) and parasitic arthropods (LR</w:t>
      </w:r>
      <w:r w:rsidRPr="00AC64AB">
        <w:rPr>
          <w:vertAlign w:val="subscript"/>
        </w:rPr>
        <w:t>50</w:t>
      </w:r>
      <w:r w:rsidRPr="00FD3DA1">
        <w:t xml:space="preserve"> &gt;1000 g ac/ha, </w:t>
      </w:r>
      <w:proofErr w:type="spellStart"/>
      <w:r w:rsidRPr="00FD3DA1">
        <w:rPr>
          <w:i/>
          <w:iCs/>
        </w:rPr>
        <w:t>Aphidius</w:t>
      </w:r>
      <w:proofErr w:type="spellEnd"/>
      <w:r w:rsidRPr="00FD3DA1">
        <w:rPr>
          <w:i/>
          <w:iCs/>
        </w:rPr>
        <w:t xml:space="preserve"> </w:t>
      </w:r>
      <w:proofErr w:type="spellStart"/>
      <w:r w:rsidRPr="00FD3DA1">
        <w:rPr>
          <w:i/>
          <w:iCs/>
        </w:rPr>
        <w:t>rhopalosiphi</w:t>
      </w:r>
      <w:proofErr w:type="spellEnd"/>
      <w:r w:rsidRPr="00FD3DA1">
        <w:t>).</w:t>
      </w:r>
    </w:p>
    <w:p w14:paraId="4FFB0417" w14:textId="7328C343" w:rsidR="00AC64AB" w:rsidRDefault="00AC64AB" w:rsidP="002F7868">
      <w:pPr>
        <w:pStyle w:val="APVMAText"/>
        <w:rPr>
          <w:lang w:val="en-GB"/>
        </w:rPr>
      </w:pPr>
      <w:r>
        <w:t xml:space="preserve">Risks to predatory and parasitic arthropods were determined to be acceptable under the worst-case scenario of direct exposure to fresh-dried residues immediately after the last application. </w:t>
      </w:r>
      <w:r w:rsidRPr="00980E44">
        <w:t xml:space="preserve">Therefore, no protection measures are considered necessary for </w:t>
      </w:r>
      <w:r>
        <w:t>predatory or parasitic arthropods</w:t>
      </w:r>
      <w:r w:rsidRPr="00980E44">
        <w:t>.</w:t>
      </w:r>
    </w:p>
    <w:p w14:paraId="46171525" w14:textId="77777777" w:rsidR="002F7868" w:rsidRDefault="002F7868" w:rsidP="002F7868">
      <w:pPr>
        <w:pStyle w:val="Heading3"/>
        <w:rPr>
          <w:lang w:val="en-GB"/>
        </w:rPr>
      </w:pPr>
      <w:bookmarkStart w:id="137" w:name="_Toc7561282"/>
      <w:r>
        <w:rPr>
          <w:lang w:val="en-GB"/>
        </w:rPr>
        <w:t>Soil organisms</w:t>
      </w:r>
      <w:bookmarkEnd w:id="137"/>
    </w:p>
    <w:p w14:paraId="7E93072D" w14:textId="69D0E174" w:rsidR="002F7868" w:rsidRDefault="00FD3DA1" w:rsidP="002F7868">
      <w:pPr>
        <w:pStyle w:val="APVMAText"/>
      </w:pPr>
      <w:r w:rsidRPr="00FD3DA1">
        <w:t>Following long-term exposure to ACC, reduced reproduction of earthworms was observed in a dose-dependent manner (EC</w:t>
      </w:r>
      <w:r w:rsidRPr="00AC64AB">
        <w:rPr>
          <w:vertAlign w:val="subscript"/>
        </w:rPr>
        <w:t>10</w:t>
      </w:r>
      <w:r w:rsidRPr="00FD3DA1">
        <w:t xml:space="preserve"> 63 mg ac/kg dry soil, </w:t>
      </w:r>
      <w:r w:rsidRPr="00FD3DA1">
        <w:rPr>
          <w:i/>
          <w:iCs/>
        </w:rPr>
        <w:t xml:space="preserve">Eisenia </w:t>
      </w:r>
      <w:proofErr w:type="spellStart"/>
      <w:r w:rsidRPr="00FD3DA1">
        <w:rPr>
          <w:i/>
          <w:iCs/>
        </w:rPr>
        <w:t>fetida</w:t>
      </w:r>
      <w:proofErr w:type="spellEnd"/>
      <w:r w:rsidRPr="00FD3DA1">
        <w:t>). ACC did not affect soil processes such as nitrate formation at exaggerated soil concentrations (NOEC 12 mg ac/kg dry soil).</w:t>
      </w:r>
    </w:p>
    <w:p w14:paraId="59027FCE" w14:textId="4D2A4E54" w:rsidR="00AC64AB" w:rsidRDefault="00AC64AB" w:rsidP="002F7868">
      <w:pPr>
        <w:pStyle w:val="APVMAText"/>
        <w:rPr>
          <w:lang w:val="en-GB"/>
        </w:rPr>
      </w:pPr>
      <w:r w:rsidRPr="00980E44">
        <w:t xml:space="preserve">Risks to soil organisms were determined to be acceptable under the worst-case scenario of incorporation into the top 5-cm soil </w:t>
      </w:r>
      <w:r>
        <w:t>at the highest seasonal rate</w:t>
      </w:r>
      <w:r w:rsidRPr="00980E44">
        <w:t>. Therefore, no protection measures are considered necessary for soil organisms.</w:t>
      </w:r>
    </w:p>
    <w:p w14:paraId="69874846" w14:textId="77777777" w:rsidR="002F7868" w:rsidRDefault="002F7868" w:rsidP="002F7868">
      <w:pPr>
        <w:pStyle w:val="Heading3"/>
        <w:rPr>
          <w:lang w:val="en-GB"/>
        </w:rPr>
      </w:pPr>
      <w:bookmarkStart w:id="138" w:name="_Toc7561283"/>
      <w:r>
        <w:rPr>
          <w:lang w:val="en-GB"/>
        </w:rPr>
        <w:t>Non-target terrestrial plants</w:t>
      </w:r>
      <w:bookmarkEnd w:id="138"/>
    </w:p>
    <w:p w14:paraId="05EC9A3F" w14:textId="1C0BF5E7" w:rsidR="002F7868" w:rsidRDefault="00FD3DA1" w:rsidP="002F7868">
      <w:pPr>
        <w:pStyle w:val="APVMAText"/>
        <w:rPr>
          <w:lang w:val="en-GB"/>
        </w:rPr>
      </w:pPr>
      <w:r w:rsidRPr="00FD3DA1">
        <w:t>An SL 100 g/L formulation of ACC had low toxicity to non-target terrestrial plants following post-emergent exposure (ER</w:t>
      </w:r>
      <w:r w:rsidRPr="00AC64AB">
        <w:rPr>
          <w:vertAlign w:val="subscript"/>
        </w:rPr>
        <w:t>25</w:t>
      </w:r>
      <w:r w:rsidRPr="00FD3DA1">
        <w:t xml:space="preserve"> &gt;600 g ac/ha, ten species tested). Toxicity following pre-emergent exposure was also low (ER</w:t>
      </w:r>
      <w:r w:rsidRPr="00AC64AB">
        <w:rPr>
          <w:vertAlign w:val="subscript"/>
        </w:rPr>
        <w:t>25</w:t>
      </w:r>
      <w:r w:rsidRPr="00FD3DA1">
        <w:t xml:space="preserve"> &gt;600 g ac/ha) in nine of the test species. In tomato, both shoot length and dry weight were significantly inhibited with the lowest ER</w:t>
      </w:r>
      <w:r w:rsidRPr="00AC64AB">
        <w:rPr>
          <w:vertAlign w:val="subscript"/>
        </w:rPr>
        <w:t>50</w:t>
      </w:r>
      <w:r w:rsidRPr="00FD3DA1">
        <w:t xml:space="preserve"> estimated to be 39 g ac/ha by linear two-point interpolation.</w:t>
      </w:r>
    </w:p>
    <w:p w14:paraId="60E61D2E" w14:textId="77777777" w:rsidR="002F7868" w:rsidRDefault="002F7868" w:rsidP="002F7868">
      <w:pPr>
        <w:pStyle w:val="Heading2"/>
        <w:ind w:left="907" w:hanging="907"/>
        <w:rPr>
          <w:lang w:val="en-GB"/>
        </w:rPr>
      </w:pPr>
      <w:bookmarkStart w:id="139" w:name="_Toc531181102"/>
      <w:bookmarkStart w:id="140" w:name="_Toc7561284"/>
      <w:bookmarkStart w:id="141" w:name="_Toc228527307"/>
      <w:r>
        <w:rPr>
          <w:lang w:val="en-GB"/>
        </w:rPr>
        <w:lastRenderedPageBreak/>
        <w:t>Recommendations</w:t>
      </w:r>
      <w:bookmarkEnd w:id="139"/>
      <w:bookmarkEnd w:id="140"/>
      <w:bookmarkEnd w:id="141"/>
    </w:p>
    <w:p w14:paraId="6C534C60" w14:textId="77777777" w:rsidR="002834DF" w:rsidRDefault="002834DF" w:rsidP="002834DF">
      <w:pPr>
        <w:pStyle w:val="APVMAText"/>
      </w:pPr>
      <w:r w:rsidRPr="00C36245">
        <w:t>The following protection statements are recommended based on the outcome of the risk assessment</w:t>
      </w:r>
      <w:r>
        <w:t>.</w:t>
      </w:r>
    </w:p>
    <w:p w14:paraId="72EBD5DE" w14:textId="30EDB338" w:rsidR="00AA4C64" w:rsidRPr="00FD3DA1" w:rsidRDefault="00FD3DA1" w:rsidP="00FD3DA1">
      <w:pPr>
        <w:pStyle w:val="APVMAText"/>
        <w:ind w:left="567"/>
        <w:rPr>
          <w:sz w:val="18"/>
          <w:szCs w:val="22"/>
        </w:rPr>
        <w:sectPr w:rsidR="00AA4C64" w:rsidRPr="00FD3DA1">
          <w:headerReference w:type="default" r:id="rId37"/>
          <w:pgSz w:w="11906" w:h="16838" w:code="9"/>
          <w:pgMar w:top="2835" w:right="1134" w:bottom="1134" w:left="1134" w:header="1701" w:footer="680" w:gutter="0"/>
          <w:cols w:space="708"/>
          <w:docGrid w:linePitch="360"/>
        </w:sectPr>
      </w:pPr>
      <w:r w:rsidRPr="00FD3DA1">
        <w:rPr>
          <w:sz w:val="18"/>
          <w:szCs w:val="22"/>
        </w:rPr>
        <w:t>Very toxic to aquatic life. To protect aquatic species from runoff, DO NOT apply if heavy rains or storms are forecast within 3 days. DO NOT irrigate to the point of water runoff from the treatment area for at least 3 days after application.</w:t>
      </w:r>
    </w:p>
    <w:p w14:paraId="5C788A47" w14:textId="77777777" w:rsidR="003B36F6" w:rsidRDefault="003B36F6" w:rsidP="003B36F6">
      <w:pPr>
        <w:pStyle w:val="Heading1"/>
        <w:tabs>
          <w:tab w:val="num" w:pos="907"/>
        </w:tabs>
        <w:ind w:left="907" w:hanging="907"/>
      </w:pPr>
      <w:bookmarkStart w:id="142" w:name="_Toc531181103"/>
      <w:bookmarkStart w:id="143" w:name="_Toc7561285"/>
      <w:bookmarkStart w:id="144" w:name="_Toc228527308"/>
      <w:r>
        <w:lastRenderedPageBreak/>
        <w:t>Efficacy and safety assessment</w:t>
      </w:r>
      <w:bookmarkEnd w:id="142"/>
      <w:bookmarkEnd w:id="143"/>
      <w:bookmarkEnd w:id="144"/>
    </w:p>
    <w:p w14:paraId="015BE822" w14:textId="77777777" w:rsidR="003B36F6" w:rsidRDefault="003B36F6" w:rsidP="003B36F6">
      <w:pPr>
        <w:pStyle w:val="Heading2"/>
        <w:ind w:left="907" w:hanging="907"/>
      </w:pPr>
      <w:bookmarkStart w:id="145" w:name="_Toc531181104"/>
      <w:bookmarkStart w:id="146" w:name="_Toc7561286"/>
      <w:bookmarkStart w:id="147" w:name="_Toc228527309"/>
      <w:r>
        <w:t>Proposed product use pattern</w:t>
      </w:r>
      <w:bookmarkEnd w:id="145"/>
      <w:bookmarkEnd w:id="146"/>
      <w:bookmarkEnd w:id="147"/>
    </w:p>
    <w:p w14:paraId="3DE5242A" w14:textId="4A279D6F" w:rsidR="003B36F6" w:rsidRDefault="000F61C3" w:rsidP="003B36F6">
      <w:pPr>
        <w:pStyle w:val="APVMAText"/>
      </w:pPr>
      <w:r>
        <w:t>F</w:t>
      </w:r>
      <w:r w:rsidRPr="003C359B">
        <w:t>or thinning in Apples, Peaches, Nectarines, and Plums</w:t>
      </w:r>
      <w:r w:rsidR="00AA4C64">
        <w:t>.</w:t>
      </w:r>
    </w:p>
    <w:p w14:paraId="1AA92180" w14:textId="02B582D2" w:rsidR="003B36F6" w:rsidRDefault="003B36F6" w:rsidP="003B36F6">
      <w:pPr>
        <w:pStyle w:val="Heading2"/>
        <w:ind w:left="907" w:hanging="907"/>
      </w:pPr>
      <w:bookmarkStart w:id="148" w:name="_Toc531181105"/>
      <w:bookmarkStart w:id="149" w:name="_Toc7561287"/>
      <w:bookmarkStart w:id="150" w:name="_Toc228527310"/>
      <w:r>
        <w:t>Efficacy and target crop safety</w:t>
      </w:r>
      <w:bookmarkEnd w:id="148"/>
      <w:bookmarkEnd w:id="149"/>
      <w:bookmarkEnd w:id="150"/>
    </w:p>
    <w:p w14:paraId="5F4B75D5" w14:textId="07D81AF3" w:rsidR="000F61C3" w:rsidRDefault="000F61C3" w:rsidP="000F61C3">
      <w:pPr>
        <w:pStyle w:val="APVMAText"/>
      </w:pPr>
      <w:r>
        <w:t>D</w:t>
      </w:r>
      <w:r w:rsidRPr="003C359B">
        <w:t xml:space="preserve">ata collected from 36 replicated and commercial demonstration field trials </w:t>
      </w:r>
      <w:r>
        <w:t xml:space="preserve">were </w:t>
      </w:r>
      <w:r w:rsidRPr="003C359B">
        <w:t xml:space="preserve">provided in support of efficacy and crop safety of </w:t>
      </w:r>
      <w:r w:rsidR="00EC72D3">
        <w:t>Accede Plant Growth Regulator</w:t>
      </w:r>
      <w:r>
        <w:t>.</w:t>
      </w:r>
    </w:p>
    <w:p w14:paraId="6576D9F4" w14:textId="2F0B55B9" w:rsidR="003B36F6" w:rsidRDefault="000F61C3" w:rsidP="000F61C3">
      <w:pPr>
        <w:pStyle w:val="APVMAText"/>
      </w:pPr>
      <w:r w:rsidRPr="003C359B">
        <w:t>T</w:t>
      </w:r>
      <w:r>
        <w:t>he t</w:t>
      </w:r>
      <w:r w:rsidRPr="003C359B">
        <w:t>rial</w:t>
      </w:r>
      <w:r>
        <w:t>s</w:t>
      </w:r>
      <w:r w:rsidRPr="003C359B">
        <w:t xml:space="preserve"> </w:t>
      </w:r>
      <w:r>
        <w:t xml:space="preserve">were </w:t>
      </w:r>
      <w:r w:rsidRPr="003C359B">
        <w:t>randomised complete block designs</w:t>
      </w:r>
      <w:r>
        <w:t xml:space="preserve"> and</w:t>
      </w:r>
      <w:r w:rsidRPr="003C359B">
        <w:t xml:space="preserve"> provided broad geographic coverage (Queensland, New South Wales, Victoria, and Tasmania) representative of climatic </w:t>
      </w:r>
      <w:r w:rsidR="00AA4C64">
        <w:t>conditions in</w:t>
      </w:r>
      <w:r>
        <w:t xml:space="preserve"> Australia</w:t>
      </w:r>
      <w:r w:rsidRPr="003C359B">
        <w:t>. The trials were all conducted in commercial orchards and in several cases used commercial application equipment with product testing included in commercial production process.</w:t>
      </w:r>
    </w:p>
    <w:p w14:paraId="1B945729" w14:textId="77777777" w:rsidR="003B36F6" w:rsidRDefault="003B36F6" w:rsidP="003B36F6">
      <w:pPr>
        <w:pStyle w:val="Heading3"/>
      </w:pPr>
      <w:bookmarkStart w:id="151" w:name="_Toc7561288"/>
      <w:r>
        <w:t>Efficacy</w:t>
      </w:r>
      <w:bookmarkEnd w:id="151"/>
    </w:p>
    <w:p w14:paraId="24E07A7E" w14:textId="60BD6A51" w:rsidR="003B36F6" w:rsidRDefault="00EC72D3" w:rsidP="003B36F6">
      <w:pPr>
        <w:pStyle w:val="APVMAText"/>
      </w:pPr>
      <w:r>
        <w:t>Accede Plant Growth Regulator</w:t>
      </w:r>
      <w:r w:rsidR="000F61C3" w:rsidRPr="003C359B">
        <w:t xml:space="preserve"> provide</w:t>
      </w:r>
      <w:r w:rsidR="000F61C3">
        <w:t>d</w:t>
      </w:r>
      <w:r w:rsidR="000F61C3" w:rsidRPr="003C359B">
        <w:t xml:space="preserve"> effective thinning of peaches, nectarines, plums </w:t>
      </w:r>
      <w:r w:rsidR="000F61C3">
        <w:t xml:space="preserve">when </w:t>
      </w:r>
      <w:r w:rsidR="000F61C3" w:rsidRPr="003C359B">
        <w:t xml:space="preserve">applied at 75 - 87.5 g/100 L with non-ionic surfactant. </w:t>
      </w:r>
      <w:r w:rsidR="000F61C3">
        <w:t>The trials also showed the product was effective</w:t>
      </w:r>
      <w:r w:rsidR="00AA4C64">
        <w:t xml:space="preserve"> in thinning</w:t>
      </w:r>
      <w:r w:rsidR="000F61C3" w:rsidRPr="003C359B">
        <w:t xml:space="preserve"> plums</w:t>
      </w:r>
      <w:r w:rsidR="000F61C3">
        <w:t xml:space="preserve"> (va</w:t>
      </w:r>
      <w:r w:rsidR="000F61C3" w:rsidRPr="003C359B">
        <w:t>riety</w:t>
      </w:r>
      <w:r w:rsidR="000F61C3">
        <w:t xml:space="preserve"> </w:t>
      </w:r>
      <w:r w:rsidR="000F61C3" w:rsidRPr="003C359B">
        <w:t xml:space="preserve">Queen Garnett) when applied at 37.5 - 50 g/100 L with non-ionic surfactant. Applications in stone fruit </w:t>
      </w:r>
      <w:r w:rsidR="000F61C3">
        <w:t>demonstrated</w:t>
      </w:r>
      <w:r w:rsidR="000F61C3" w:rsidRPr="003C359B">
        <w:t xml:space="preserve"> </w:t>
      </w:r>
      <w:r w:rsidR="000F61C3">
        <w:t>efficacy</w:t>
      </w:r>
      <w:r w:rsidR="000F61C3" w:rsidRPr="003C359B">
        <w:t xml:space="preserve"> when applied at 60% to 90% flowering stages.</w:t>
      </w:r>
    </w:p>
    <w:p w14:paraId="52C7E8E6" w14:textId="77777777" w:rsidR="003B36F6" w:rsidRDefault="003B36F6" w:rsidP="003B36F6">
      <w:pPr>
        <w:pStyle w:val="Heading3"/>
      </w:pPr>
      <w:bookmarkStart w:id="152" w:name="_Toc7561289"/>
      <w:r>
        <w:t>Crop safety</w:t>
      </w:r>
      <w:bookmarkEnd w:id="152"/>
    </w:p>
    <w:p w14:paraId="5A3E9113" w14:textId="386E75BE" w:rsidR="003B36F6" w:rsidRDefault="000F61C3" w:rsidP="003B36F6">
      <w:pPr>
        <w:pStyle w:val="APVMAText"/>
      </w:pPr>
      <w:r>
        <w:t>The trials</w:t>
      </w:r>
      <w:r w:rsidRPr="003C359B">
        <w:t xml:space="preserve"> demonstrated safety on most stone fruits tested and for apples</w:t>
      </w:r>
      <w:r>
        <w:t xml:space="preserve">. </w:t>
      </w:r>
      <w:r w:rsidRPr="003C359B">
        <w:t xml:space="preserve">However transient phytotoxicity was </w:t>
      </w:r>
      <w:r w:rsidR="00AA4C64">
        <w:t>observed</w:t>
      </w:r>
      <w:r w:rsidRPr="003C359B">
        <w:t xml:space="preserve"> in some situations for apple trees though no results indicated negative phytotoxicity effects on fruit quality and yield.</w:t>
      </w:r>
    </w:p>
    <w:p w14:paraId="654537E5" w14:textId="77777777" w:rsidR="003B36F6" w:rsidRDefault="003B36F6" w:rsidP="003B36F6">
      <w:pPr>
        <w:pStyle w:val="Heading2"/>
        <w:ind w:left="907" w:hanging="907"/>
      </w:pPr>
      <w:bookmarkStart w:id="153" w:name="_Toc531181106"/>
      <w:bookmarkStart w:id="154" w:name="_Toc7561292"/>
      <w:bookmarkStart w:id="155" w:name="_Toc228527311"/>
      <w:r>
        <w:t>Recommendations</w:t>
      </w:r>
      <w:bookmarkEnd w:id="153"/>
      <w:bookmarkEnd w:id="154"/>
      <w:bookmarkEnd w:id="155"/>
    </w:p>
    <w:p w14:paraId="2493AF67" w14:textId="5D681B0E" w:rsidR="003B36F6" w:rsidRDefault="00EC72D3" w:rsidP="00772458">
      <w:pPr>
        <w:pStyle w:val="APVMAText"/>
        <w:sectPr w:rsidR="003B36F6">
          <w:headerReference w:type="default" r:id="rId38"/>
          <w:pgSz w:w="11906" w:h="16838" w:code="9"/>
          <w:pgMar w:top="2835" w:right="1134" w:bottom="1134" w:left="1134" w:header="1701" w:footer="680" w:gutter="0"/>
          <w:cols w:space="708"/>
          <w:docGrid w:linePitch="360"/>
        </w:sectPr>
      </w:pPr>
      <w:r>
        <w:t>Accede Plant Growth Regulator</w:t>
      </w:r>
      <w:r w:rsidR="000F61C3" w:rsidRPr="003C359B">
        <w:t xml:space="preserve"> -ACC provides effective thinning of </w:t>
      </w:r>
      <w:proofErr w:type="spellStart"/>
      <w:r w:rsidR="000F61C3" w:rsidRPr="003C359B">
        <w:t>stonefruit</w:t>
      </w:r>
      <w:proofErr w:type="spellEnd"/>
      <w:r w:rsidR="000F61C3" w:rsidRPr="003C359B">
        <w:t xml:space="preserve"> (peaches, nectarines, plums) subject to proposed label restrictions. Similarly, it is effective in the thinning of apples across a wide growth window, and subject to geographical (climatic factors) location</w:t>
      </w:r>
      <w:r w:rsidR="000F61C3">
        <w:t>.</w:t>
      </w:r>
    </w:p>
    <w:p w14:paraId="00142BFE" w14:textId="222120FD" w:rsidR="00705195" w:rsidRDefault="00705195">
      <w:pPr>
        <w:pStyle w:val="Heading1"/>
      </w:pPr>
      <w:bookmarkStart w:id="156" w:name="_Toc531181107"/>
      <w:bookmarkStart w:id="157" w:name="_Toc7561293"/>
      <w:bookmarkStart w:id="158" w:name="_Toc228527312"/>
      <w:r>
        <w:lastRenderedPageBreak/>
        <w:t>Spray drift assessment</w:t>
      </w:r>
      <w:bookmarkEnd w:id="158"/>
    </w:p>
    <w:p w14:paraId="1BF40747" w14:textId="550FD800" w:rsidR="00705195" w:rsidRDefault="00705195" w:rsidP="00772458">
      <w:pPr>
        <w:pStyle w:val="APVMAText"/>
      </w:pPr>
      <w:r w:rsidRPr="00556F3D">
        <w:t>Regulatory Acceptable Level</w:t>
      </w:r>
      <w:r>
        <w:t>s</w:t>
      </w:r>
      <w:r w:rsidRPr="00556F3D">
        <w:t xml:space="preserve"> (RAL</w:t>
      </w:r>
      <w:r>
        <w:t>s</w:t>
      </w:r>
      <w:r w:rsidRPr="00556F3D">
        <w:t xml:space="preserve">) </w:t>
      </w:r>
      <w:r>
        <w:t xml:space="preserve">were established </w:t>
      </w:r>
      <w:r w:rsidR="00703BDD">
        <w:t xml:space="preserve">using </w:t>
      </w:r>
      <w:r w:rsidR="00703BDD" w:rsidRPr="00DC6610">
        <w:t xml:space="preserve">the </w:t>
      </w:r>
      <w:r w:rsidR="00703BDD">
        <w:t xml:space="preserve">APVMA </w:t>
      </w:r>
      <w:r w:rsidR="00703BDD" w:rsidRPr="00DC6610">
        <w:t>Spray Dr</w:t>
      </w:r>
      <w:r w:rsidR="00703BDD">
        <w:t xml:space="preserve">ift Assessment Tool (SDRAT), or Spray Drift Management Tool (SDMT), by </w:t>
      </w:r>
      <w:r>
        <w:t>each risk area</w:t>
      </w:r>
      <w:r w:rsidR="00703BDD">
        <w:t>,</w:t>
      </w:r>
      <w:r>
        <w:t xml:space="preserve"> </w:t>
      </w:r>
      <w:proofErr w:type="gramStart"/>
      <w:r>
        <w:t>in order to</w:t>
      </w:r>
      <w:proofErr w:type="gramEnd"/>
      <w:r>
        <w:t xml:space="preserve"> calculate the appropriate spray drift buffer zones for </w:t>
      </w:r>
      <w:r w:rsidR="00EC72D3">
        <w:t>Accede Plant Growth Regulator</w:t>
      </w:r>
      <w:r w:rsidR="00703BDD">
        <w:t>.</w:t>
      </w:r>
    </w:p>
    <w:p w14:paraId="01235FE1" w14:textId="570B5247" w:rsidR="00705195" w:rsidRDefault="00705195" w:rsidP="00424BBE">
      <w:pPr>
        <w:pStyle w:val="Heading2"/>
      </w:pPr>
      <w:bookmarkStart w:id="159" w:name="_Toc228527313"/>
      <w:r>
        <w:t xml:space="preserve">Human </w:t>
      </w:r>
      <w:r w:rsidR="00772458">
        <w:t>h</w:t>
      </w:r>
      <w:r>
        <w:t>ealth</w:t>
      </w:r>
      <w:bookmarkEnd w:id="159"/>
    </w:p>
    <w:p w14:paraId="2A43448D" w14:textId="75453AEA" w:rsidR="00705195" w:rsidRPr="006D0FC8" w:rsidRDefault="00A20159" w:rsidP="00772458">
      <w:pPr>
        <w:pStyle w:val="APVMAText"/>
      </w:pPr>
      <w:r w:rsidRPr="005B5AD2">
        <w:t>Based on available repeat-dose dermal toxicity study for ACC, no adverse effects were observed at the limit dose of 1000 mg/kg bw/d</w:t>
      </w:r>
      <w:r w:rsidRPr="00162023">
        <w:t>.</w:t>
      </w:r>
      <w:r>
        <w:t xml:space="preserve"> Thus, </w:t>
      </w:r>
      <w:r w:rsidRPr="00A20159">
        <w:t>no specific bystander buffer zones are required</w:t>
      </w:r>
      <w:r w:rsidR="00772458">
        <w:t>.</w:t>
      </w:r>
    </w:p>
    <w:p w14:paraId="54069496" w14:textId="501EE9BB" w:rsidR="00705195" w:rsidRDefault="00705195">
      <w:pPr>
        <w:pStyle w:val="Heading2"/>
      </w:pPr>
      <w:bookmarkStart w:id="160" w:name="_Toc228527314"/>
      <w:r>
        <w:t xml:space="preserve">Residues and </w:t>
      </w:r>
      <w:r w:rsidR="00772458">
        <w:t>t</w:t>
      </w:r>
      <w:r>
        <w:t>rade</w:t>
      </w:r>
      <w:bookmarkEnd w:id="160"/>
    </w:p>
    <w:p w14:paraId="21D8554A" w14:textId="7D5659CF" w:rsidR="00705195" w:rsidRPr="006D0FC8" w:rsidRDefault="007606C6" w:rsidP="00424BBE">
      <w:pPr>
        <w:pStyle w:val="APVMAText"/>
      </w:pPr>
      <w:r>
        <w:t>An</w:t>
      </w:r>
      <w:r w:rsidRPr="007606C6">
        <w:t xml:space="preserve"> animal transfer study for ACC has </w:t>
      </w:r>
      <w:r>
        <w:t xml:space="preserve">not </w:t>
      </w:r>
      <w:r w:rsidRPr="007606C6">
        <w:t xml:space="preserve">been provided. However, ACC occurs naturally in all </w:t>
      </w:r>
      <w:r w:rsidR="00270319">
        <w:t xml:space="preserve">higher </w:t>
      </w:r>
      <w:r w:rsidRPr="007606C6">
        <w:t xml:space="preserve">plants and a Table 5 entry has been recommended for the proposed use. Livestock already consume naturally occurring ACC </w:t>
      </w:r>
      <w:r w:rsidR="00F61242">
        <w:t xml:space="preserve">in their diet </w:t>
      </w:r>
      <w:r>
        <w:t>and</w:t>
      </w:r>
      <w:r w:rsidRPr="007606C6">
        <w:t xml:space="preserve"> animal commodity MRLs </w:t>
      </w:r>
      <w:r>
        <w:t xml:space="preserve">are </w:t>
      </w:r>
      <w:r w:rsidRPr="007606C6">
        <w:t xml:space="preserve">not required. A spray drift assessment </w:t>
      </w:r>
      <w:r>
        <w:t xml:space="preserve">and buffer zones </w:t>
      </w:r>
      <w:r w:rsidRPr="007606C6">
        <w:t xml:space="preserve">for protection of livestock areas </w:t>
      </w:r>
      <w:r>
        <w:t>with respect to trade are</w:t>
      </w:r>
      <w:r w:rsidRPr="007606C6">
        <w:t xml:space="preserve"> </w:t>
      </w:r>
      <w:r>
        <w:t xml:space="preserve">therefore </w:t>
      </w:r>
      <w:r w:rsidRPr="007606C6">
        <w:t>not required</w:t>
      </w:r>
      <w:r w:rsidR="00162023">
        <w:t>.</w:t>
      </w:r>
    </w:p>
    <w:p w14:paraId="58188567" w14:textId="43CCAD71" w:rsidR="00705195" w:rsidRDefault="00705195">
      <w:pPr>
        <w:pStyle w:val="Heading2"/>
      </w:pPr>
      <w:bookmarkStart w:id="161" w:name="_Toc228527315"/>
      <w:r>
        <w:t>Environment</w:t>
      </w:r>
      <w:bookmarkEnd w:id="161"/>
    </w:p>
    <w:p w14:paraId="24585011" w14:textId="2A014AA7" w:rsidR="00D022DC" w:rsidRDefault="00D022DC" w:rsidP="00D022DC">
      <w:pPr>
        <w:pStyle w:val="APVMAText"/>
      </w:pPr>
      <w:r>
        <w:t xml:space="preserve">The RAL 10 µg ac/L for the protection of natural aquatic areas is </w:t>
      </w:r>
      <w:r w:rsidRPr="00D2146E">
        <w:t xml:space="preserve">based on </w:t>
      </w:r>
      <w:r>
        <w:t xml:space="preserve">the </w:t>
      </w:r>
      <w:r w:rsidR="00AB4AB3" w:rsidRPr="00FD3DA1">
        <w:t>E</w:t>
      </w:r>
      <w:r w:rsidR="00AB4AB3" w:rsidRPr="00FD3DA1">
        <w:rPr>
          <w:vertAlign w:val="subscript"/>
        </w:rPr>
        <w:t>r</w:t>
      </w:r>
      <w:r w:rsidR="00AB4AB3" w:rsidRPr="00FD3DA1">
        <w:t>C</w:t>
      </w:r>
      <w:r w:rsidR="00AB4AB3" w:rsidRPr="00FD3DA1">
        <w:rPr>
          <w:vertAlign w:val="subscript"/>
        </w:rPr>
        <w:t>50</w:t>
      </w:r>
      <w:r w:rsidR="00192BCD" w:rsidRPr="00192BCD">
        <w:rPr>
          <w:szCs w:val="20"/>
        </w:rPr>
        <w:t xml:space="preserve"> 10</w:t>
      </w:r>
      <w:r w:rsidR="00192BCD">
        <w:rPr>
          <w:szCs w:val="20"/>
        </w:rPr>
        <w:t>0</w:t>
      </w:r>
      <w:r w:rsidR="00192BCD" w:rsidRPr="00192BCD">
        <w:rPr>
          <w:szCs w:val="20"/>
        </w:rPr>
        <w:t xml:space="preserve"> </w:t>
      </w:r>
      <w:r w:rsidR="00192BCD">
        <w:t>µ</w:t>
      </w:r>
      <w:r w:rsidR="00192BCD" w:rsidRPr="00192BCD">
        <w:rPr>
          <w:szCs w:val="20"/>
        </w:rPr>
        <w:t>g ac/L</w:t>
      </w:r>
      <w:r w:rsidRPr="00D2146E">
        <w:t xml:space="preserve"> for</w:t>
      </w:r>
      <w:r>
        <w:t xml:space="preserve"> toxicity of ACC to</w:t>
      </w:r>
      <w:r w:rsidRPr="00D2146E">
        <w:t xml:space="preserve"> </w:t>
      </w:r>
      <w:r w:rsidR="00192BCD" w:rsidRPr="00192BCD">
        <w:rPr>
          <w:i/>
          <w:iCs/>
          <w:szCs w:val="20"/>
        </w:rPr>
        <w:t>Anabaena flos-aquae</w:t>
      </w:r>
      <w:r w:rsidRPr="00D2146E">
        <w:t xml:space="preserve"> </w:t>
      </w:r>
      <w:r>
        <w:t>and an assessment factor of 10.</w:t>
      </w:r>
    </w:p>
    <w:p w14:paraId="6B04520C" w14:textId="14B307CE" w:rsidR="00D022DC" w:rsidRDefault="00D022DC" w:rsidP="00D022DC">
      <w:pPr>
        <w:pStyle w:val="APVMAText"/>
      </w:pPr>
      <w:r>
        <w:t>The RAL 20,333 g ac/ha for the protection of pollinator areas is based on the contact LD</w:t>
      </w:r>
      <w:r w:rsidRPr="005B4D94">
        <w:rPr>
          <w:vertAlign w:val="subscript"/>
        </w:rPr>
        <w:t>50</w:t>
      </w:r>
      <w:r>
        <w:t xml:space="preserve"> &gt;125 µg ac/bee for toxicity of ACC to </w:t>
      </w:r>
      <w:r w:rsidRPr="005B4D94">
        <w:rPr>
          <w:i/>
          <w:iCs/>
        </w:rPr>
        <w:t>Apis mellifera</w:t>
      </w:r>
      <w:r>
        <w:t xml:space="preserve">, an assessment factor of 2.5, and a conversion factor of 1000 / </w:t>
      </w:r>
      <w:proofErr w:type="spellStart"/>
      <w:r>
        <w:t>ExpE</w:t>
      </w:r>
      <w:proofErr w:type="spellEnd"/>
      <w:r>
        <w:t xml:space="preserve"> 2.4 to account for the surface area of a bee.</w:t>
      </w:r>
    </w:p>
    <w:p w14:paraId="1E26AE1B" w14:textId="0516C356" w:rsidR="00705195" w:rsidRDefault="00D022DC" w:rsidP="00D022DC">
      <w:pPr>
        <w:pStyle w:val="APVMAText"/>
      </w:pPr>
      <w:r>
        <w:t>The RAL 3.9 g ac/ha for the protection of vegetation areas is based on the pre-emergent ER</w:t>
      </w:r>
      <w:r w:rsidRPr="002B26CE">
        <w:rPr>
          <w:vertAlign w:val="subscript"/>
        </w:rPr>
        <w:t>5</w:t>
      </w:r>
      <w:r>
        <w:rPr>
          <w:vertAlign w:val="subscript"/>
        </w:rPr>
        <w:t>0</w:t>
      </w:r>
      <w:r>
        <w:t xml:space="preserve"> &gt;39 g ac/ha </w:t>
      </w:r>
      <w:r w:rsidRPr="00980E44">
        <w:t xml:space="preserve">for </w:t>
      </w:r>
      <w:r>
        <w:t>ten</w:t>
      </w:r>
      <w:r w:rsidRPr="00980E44">
        <w:t xml:space="preserve"> plant species</w:t>
      </w:r>
      <w:r>
        <w:t xml:space="preserve"> and an assessment factor of 10.</w:t>
      </w:r>
    </w:p>
    <w:p w14:paraId="395A67F8" w14:textId="7E8E4D64" w:rsidR="00705195" w:rsidRDefault="00772458" w:rsidP="00705195">
      <w:pPr>
        <w:pStyle w:val="Caption"/>
      </w:pPr>
      <w:bookmarkStart w:id="162" w:name="_Toc228527327"/>
      <w:r>
        <w:t xml:space="preserve">Table </w:t>
      </w:r>
      <w:r>
        <w:fldChar w:fldCharType="begin"/>
      </w:r>
      <w:r>
        <w:instrText xml:space="preserve"> SEQ Table \* ARABIC </w:instrText>
      </w:r>
      <w:r>
        <w:fldChar w:fldCharType="separate"/>
      </w:r>
      <w:r>
        <w:rPr>
          <w:noProof/>
        </w:rPr>
        <w:t>7</w:t>
      </w:r>
      <w:r>
        <w:rPr>
          <w:noProof/>
        </w:rPr>
        <w:fldChar w:fldCharType="end"/>
      </w:r>
      <w:r>
        <w:t>:</w:t>
      </w:r>
      <w:r w:rsidRPr="001D4D17">
        <w:t xml:space="preserve"> </w:t>
      </w:r>
      <w:r w:rsidR="00705195">
        <w:t xml:space="preserve">Summary of RALs for </w:t>
      </w:r>
      <w:r w:rsidR="00EC72D3">
        <w:t>Accede Plant Growth Regulator</w:t>
      </w:r>
      <w:bookmarkEnd w:id="162"/>
    </w:p>
    <w:tbl>
      <w:tblPr>
        <w:tblW w:w="5000" w:type="pct"/>
        <w:tblLook w:val="00A0" w:firstRow="1" w:lastRow="0" w:firstColumn="1" w:lastColumn="0" w:noHBand="0" w:noVBand="0"/>
      </w:tblPr>
      <w:tblGrid>
        <w:gridCol w:w="3024"/>
        <w:gridCol w:w="3946"/>
        <w:gridCol w:w="2668"/>
      </w:tblGrid>
      <w:tr w:rsidR="00772458" w:rsidRPr="00F40B8F" w14:paraId="4F22CBA6" w14:textId="77777777" w:rsidTr="00424637">
        <w:trPr>
          <w:trHeight w:val="415"/>
          <w:tblHeader/>
        </w:trPr>
        <w:tc>
          <w:tcPr>
            <w:tcW w:w="1569" w:type="pct"/>
            <w:vMerge w:val="restart"/>
            <w:tcBorders>
              <w:top w:val="single" w:sz="4" w:space="0" w:color="auto"/>
            </w:tcBorders>
            <w:shd w:val="clear" w:color="auto" w:fill="00747A" w:themeFill="background2"/>
          </w:tcPr>
          <w:p w14:paraId="5C5373E0" w14:textId="77777777" w:rsidR="00772458" w:rsidRPr="009D0723" w:rsidRDefault="00772458" w:rsidP="009D0723">
            <w:pPr>
              <w:pStyle w:val="APVMATableHead"/>
            </w:pPr>
            <w:r w:rsidRPr="009D0723">
              <w:t>Sensitive area</w:t>
            </w:r>
          </w:p>
        </w:tc>
        <w:tc>
          <w:tcPr>
            <w:tcW w:w="3431" w:type="pct"/>
            <w:gridSpan w:val="2"/>
            <w:tcBorders>
              <w:top w:val="single" w:sz="4" w:space="0" w:color="auto"/>
              <w:bottom w:val="single" w:sz="4" w:space="0" w:color="auto"/>
            </w:tcBorders>
            <w:shd w:val="clear" w:color="auto" w:fill="00747A" w:themeFill="background2"/>
          </w:tcPr>
          <w:p w14:paraId="49B5664F" w14:textId="03B00922" w:rsidR="00772458" w:rsidRPr="009D0723" w:rsidRDefault="00772458" w:rsidP="009D0723">
            <w:pPr>
              <w:pStyle w:val="APVMATableHead"/>
            </w:pPr>
            <w:r w:rsidRPr="009D0723">
              <w:t>Regulatory Acceptable Level</w:t>
            </w:r>
          </w:p>
        </w:tc>
      </w:tr>
      <w:tr w:rsidR="00705195" w:rsidRPr="00F40B8F" w14:paraId="448E9CF0" w14:textId="77777777" w:rsidTr="00424637">
        <w:trPr>
          <w:trHeight w:val="483"/>
        </w:trPr>
        <w:tc>
          <w:tcPr>
            <w:tcW w:w="1569" w:type="pct"/>
            <w:vMerge/>
            <w:tcBorders>
              <w:bottom w:val="single" w:sz="4" w:space="0" w:color="auto"/>
            </w:tcBorders>
          </w:tcPr>
          <w:p w14:paraId="04EB8F2D" w14:textId="77777777" w:rsidR="00705195" w:rsidRPr="00405CA9" w:rsidRDefault="00705195" w:rsidP="009D0723">
            <w:pPr>
              <w:pStyle w:val="APVMATableHead"/>
            </w:pPr>
          </w:p>
        </w:tc>
        <w:tc>
          <w:tcPr>
            <w:tcW w:w="2047" w:type="pct"/>
            <w:tcBorders>
              <w:top w:val="single" w:sz="4" w:space="0" w:color="auto"/>
              <w:bottom w:val="single" w:sz="4" w:space="0" w:color="auto"/>
            </w:tcBorders>
            <w:shd w:val="clear" w:color="auto" w:fill="00747A" w:themeFill="background2"/>
          </w:tcPr>
          <w:p w14:paraId="5BE06C17" w14:textId="77777777" w:rsidR="00705195" w:rsidRPr="009D0723" w:rsidRDefault="00705195" w:rsidP="009D0723">
            <w:pPr>
              <w:pStyle w:val="APVMATableHead"/>
            </w:pPr>
            <w:r w:rsidRPr="009D0723">
              <w:t>Level of active</w:t>
            </w:r>
          </w:p>
        </w:tc>
        <w:tc>
          <w:tcPr>
            <w:tcW w:w="1384" w:type="pct"/>
            <w:tcBorders>
              <w:top w:val="single" w:sz="4" w:space="0" w:color="auto"/>
              <w:bottom w:val="single" w:sz="4" w:space="0" w:color="auto"/>
            </w:tcBorders>
            <w:shd w:val="clear" w:color="auto" w:fill="00747A" w:themeFill="background2"/>
          </w:tcPr>
          <w:p w14:paraId="4B9F97C7" w14:textId="77777777" w:rsidR="00705195" w:rsidRPr="009D0723" w:rsidRDefault="00705195" w:rsidP="00424637">
            <w:pPr>
              <w:pStyle w:val="APVMATableHeadRight"/>
            </w:pPr>
            <w:r w:rsidRPr="009D0723">
              <w:t>Units</w:t>
            </w:r>
          </w:p>
        </w:tc>
      </w:tr>
      <w:tr w:rsidR="00705195" w:rsidRPr="00F40B8F" w14:paraId="1F241FD6" w14:textId="77777777" w:rsidTr="00424637">
        <w:trPr>
          <w:trHeight w:val="480"/>
        </w:trPr>
        <w:tc>
          <w:tcPr>
            <w:tcW w:w="1569" w:type="pct"/>
            <w:tcBorders>
              <w:top w:val="single" w:sz="4" w:space="0" w:color="auto"/>
              <w:bottom w:val="single" w:sz="4" w:space="0" w:color="auto"/>
            </w:tcBorders>
          </w:tcPr>
          <w:p w14:paraId="2E276F64" w14:textId="7AFCA870" w:rsidR="00705195" w:rsidRPr="00405CA9" w:rsidRDefault="00705195" w:rsidP="00772458">
            <w:pPr>
              <w:pStyle w:val="APVMATableText"/>
              <w:rPr>
                <w:lang w:val="en-GB"/>
              </w:rPr>
            </w:pPr>
            <w:r>
              <w:rPr>
                <w:lang w:val="en-GB"/>
              </w:rPr>
              <w:t>Bystander</w:t>
            </w:r>
          </w:p>
        </w:tc>
        <w:tc>
          <w:tcPr>
            <w:tcW w:w="2047" w:type="pct"/>
            <w:tcBorders>
              <w:top w:val="single" w:sz="4" w:space="0" w:color="auto"/>
              <w:bottom w:val="single" w:sz="4" w:space="0" w:color="auto"/>
            </w:tcBorders>
            <w:vAlign w:val="center"/>
          </w:tcPr>
          <w:p w14:paraId="39E91EC1" w14:textId="03745B71" w:rsidR="00705195" w:rsidRPr="00405CA9" w:rsidRDefault="00162023" w:rsidP="00772458">
            <w:pPr>
              <w:pStyle w:val="APVMATableText"/>
              <w:jc w:val="right"/>
              <w:rPr>
                <w:lang w:val="en-GB"/>
              </w:rPr>
            </w:pPr>
            <w:r>
              <w:rPr>
                <w:lang w:val="en-GB"/>
              </w:rPr>
              <w:t>N/A</w:t>
            </w:r>
          </w:p>
        </w:tc>
        <w:tc>
          <w:tcPr>
            <w:tcW w:w="1384" w:type="pct"/>
            <w:tcBorders>
              <w:top w:val="single" w:sz="4" w:space="0" w:color="auto"/>
              <w:bottom w:val="single" w:sz="4" w:space="0" w:color="auto"/>
            </w:tcBorders>
          </w:tcPr>
          <w:p w14:paraId="3F4D9A45" w14:textId="4DB61965" w:rsidR="00705195" w:rsidRPr="009D0723" w:rsidRDefault="00705195" w:rsidP="00424637">
            <w:pPr>
              <w:pStyle w:val="APVMATableTextRight"/>
            </w:pPr>
            <w:r w:rsidRPr="009D0723">
              <w:t>g/ha</w:t>
            </w:r>
          </w:p>
        </w:tc>
      </w:tr>
      <w:tr w:rsidR="00705195" w:rsidRPr="00F40B8F" w14:paraId="181DA7FA" w14:textId="77777777" w:rsidTr="00424637">
        <w:trPr>
          <w:trHeight w:val="480"/>
        </w:trPr>
        <w:tc>
          <w:tcPr>
            <w:tcW w:w="1569" w:type="pct"/>
            <w:tcBorders>
              <w:top w:val="single" w:sz="4" w:space="0" w:color="auto"/>
              <w:bottom w:val="single" w:sz="4" w:space="0" w:color="auto"/>
            </w:tcBorders>
          </w:tcPr>
          <w:p w14:paraId="47E61541" w14:textId="33B43277" w:rsidR="00705195" w:rsidRPr="00405CA9" w:rsidRDefault="00705195" w:rsidP="00772458">
            <w:pPr>
              <w:pStyle w:val="APVMATableText"/>
              <w:rPr>
                <w:lang w:val="en-GB"/>
              </w:rPr>
            </w:pPr>
            <w:r>
              <w:rPr>
                <w:lang w:val="en-GB"/>
              </w:rPr>
              <w:t>Livestock</w:t>
            </w:r>
          </w:p>
        </w:tc>
        <w:tc>
          <w:tcPr>
            <w:tcW w:w="2047" w:type="pct"/>
            <w:tcBorders>
              <w:top w:val="single" w:sz="4" w:space="0" w:color="auto"/>
              <w:bottom w:val="single" w:sz="4" w:space="0" w:color="auto"/>
            </w:tcBorders>
            <w:vAlign w:val="center"/>
          </w:tcPr>
          <w:p w14:paraId="60CA4783" w14:textId="11420805" w:rsidR="00705195" w:rsidRPr="00405CA9" w:rsidRDefault="005823A5" w:rsidP="00772458">
            <w:pPr>
              <w:pStyle w:val="APVMATableText"/>
              <w:jc w:val="right"/>
              <w:rPr>
                <w:lang w:val="en-GB"/>
              </w:rPr>
            </w:pPr>
            <w:r>
              <w:rPr>
                <w:lang w:val="en-GB"/>
              </w:rPr>
              <w:t>N/A</w:t>
            </w:r>
          </w:p>
        </w:tc>
        <w:tc>
          <w:tcPr>
            <w:tcW w:w="1384" w:type="pct"/>
            <w:tcBorders>
              <w:top w:val="single" w:sz="4" w:space="0" w:color="auto"/>
              <w:bottom w:val="single" w:sz="4" w:space="0" w:color="auto"/>
            </w:tcBorders>
          </w:tcPr>
          <w:p w14:paraId="4B2651D1" w14:textId="6FC1CF7B" w:rsidR="00705195" w:rsidRPr="00424637" w:rsidRDefault="00705195" w:rsidP="00424637">
            <w:pPr>
              <w:pStyle w:val="APVMATableTextRight"/>
            </w:pPr>
            <w:r w:rsidRPr="009D0723">
              <w:t>ppm</w:t>
            </w:r>
          </w:p>
        </w:tc>
      </w:tr>
      <w:tr w:rsidR="00705195" w:rsidRPr="00F40B8F" w14:paraId="54FFAA9E" w14:textId="77777777" w:rsidTr="00424637">
        <w:trPr>
          <w:trHeight w:val="480"/>
        </w:trPr>
        <w:tc>
          <w:tcPr>
            <w:tcW w:w="1569" w:type="pct"/>
            <w:tcBorders>
              <w:top w:val="single" w:sz="4" w:space="0" w:color="auto"/>
              <w:bottom w:val="single" w:sz="4" w:space="0" w:color="auto"/>
            </w:tcBorders>
          </w:tcPr>
          <w:p w14:paraId="44C1EE9F" w14:textId="3CF9AB12" w:rsidR="00705195" w:rsidRPr="00405CA9" w:rsidRDefault="00705195" w:rsidP="00772458">
            <w:pPr>
              <w:pStyle w:val="APVMATableText"/>
              <w:rPr>
                <w:lang w:val="en-GB"/>
              </w:rPr>
            </w:pPr>
            <w:r>
              <w:rPr>
                <w:lang w:val="en-GB"/>
              </w:rPr>
              <w:t>Aquatic</w:t>
            </w:r>
          </w:p>
        </w:tc>
        <w:tc>
          <w:tcPr>
            <w:tcW w:w="2047" w:type="pct"/>
            <w:tcBorders>
              <w:top w:val="single" w:sz="4" w:space="0" w:color="auto"/>
              <w:bottom w:val="single" w:sz="4" w:space="0" w:color="auto"/>
            </w:tcBorders>
            <w:vAlign w:val="center"/>
          </w:tcPr>
          <w:p w14:paraId="5EEC2A91" w14:textId="7E929C86" w:rsidR="00705195" w:rsidRPr="00405CA9" w:rsidRDefault="006616B9" w:rsidP="00772458">
            <w:pPr>
              <w:pStyle w:val="APVMATableText"/>
              <w:jc w:val="right"/>
              <w:rPr>
                <w:lang w:val="en-GB"/>
              </w:rPr>
            </w:pPr>
            <w:r>
              <w:rPr>
                <w:lang w:val="en-GB"/>
              </w:rPr>
              <w:t>10</w:t>
            </w:r>
          </w:p>
        </w:tc>
        <w:tc>
          <w:tcPr>
            <w:tcW w:w="1384" w:type="pct"/>
            <w:tcBorders>
              <w:top w:val="single" w:sz="4" w:space="0" w:color="auto"/>
              <w:bottom w:val="single" w:sz="4" w:space="0" w:color="auto"/>
            </w:tcBorders>
          </w:tcPr>
          <w:p w14:paraId="2529F098" w14:textId="70D87A55" w:rsidR="00705195" w:rsidRPr="009D0723" w:rsidRDefault="00705195" w:rsidP="00424637">
            <w:pPr>
              <w:pStyle w:val="APVMATableTextRight"/>
            </w:pPr>
            <w:r w:rsidRPr="009D0723">
              <w:t>µg/L</w:t>
            </w:r>
          </w:p>
        </w:tc>
      </w:tr>
      <w:tr w:rsidR="00705195" w:rsidRPr="00F40B8F" w14:paraId="3B5B70A6" w14:textId="77777777" w:rsidTr="00424637">
        <w:trPr>
          <w:trHeight w:val="480"/>
        </w:trPr>
        <w:tc>
          <w:tcPr>
            <w:tcW w:w="1569" w:type="pct"/>
            <w:tcBorders>
              <w:top w:val="single" w:sz="4" w:space="0" w:color="auto"/>
              <w:bottom w:val="single" w:sz="4" w:space="0" w:color="auto"/>
            </w:tcBorders>
          </w:tcPr>
          <w:p w14:paraId="6F416076" w14:textId="527739CF" w:rsidR="00705195" w:rsidRPr="00405CA9" w:rsidRDefault="00705195" w:rsidP="00772458">
            <w:pPr>
              <w:pStyle w:val="APVMATableText"/>
              <w:rPr>
                <w:lang w:val="en-GB"/>
              </w:rPr>
            </w:pPr>
            <w:r>
              <w:rPr>
                <w:lang w:val="en-GB"/>
              </w:rPr>
              <w:t>Pollinator</w:t>
            </w:r>
          </w:p>
        </w:tc>
        <w:tc>
          <w:tcPr>
            <w:tcW w:w="2047" w:type="pct"/>
            <w:tcBorders>
              <w:top w:val="single" w:sz="4" w:space="0" w:color="auto"/>
              <w:bottom w:val="single" w:sz="4" w:space="0" w:color="auto"/>
            </w:tcBorders>
            <w:vAlign w:val="center"/>
          </w:tcPr>
          <w:p w14:paraId="3A1E92BE" w14:textId="57BEF02E" w:rsidR="00705195" w:rsidRPr="00405CA9" w:rsidRDefault="006616B9" w:rsidP="00772458">
            <w:pPr>
              <w:pStyle w:val="APVMATableText"/>
              <w:jc w:val="right"/>
              <w:rPr>
                <w:lang w:val="en-GB"/>
              </w:rPr>
            </w:pPr>
            <w:r>
              <w:rPr>
                <w:lang w:val="en-GB"/>
              </w:rPr>
              <w:t>20,833</w:t>
            </w:r>
          </w:p>
        </w:tc>
        <w:tc>
          <w:tcPr>
            <w:tcW w:w="1384" w:type="pct"/>
            <w:tcBorders>
              <w:top w:val="single" w:sz="4" w:space="0" w:color="auto"/>
              <w:bottom w:val="single" w:sz="4" w:space="0" w:color="auto"/>
            </w:tcBorders>
          </w:tcPr>
          <w:p w14:paraId="41F050E0" w14:textId="77777777" w:rsidR="00705195" w:rsidRPr="009D0723" w:rsidRDefault="00705195" w:rsidP="00424637">
            <w:pPr>
              <w:pStyle w:val="APVMATableTextRight"/>
            </w:pPr>
            <w:r w:rsidRPr="009D0723">
              <w:t>g/ha</w:t>
            </w:r>
          </w:p>
        </w:tc>
      </w:tr>
      <w:tr w:rsidR="00705195" w:rsidRPr="00F40B8F" w14:paraId="68606892" w14:textId="77777777" w:rsidTr="00424637">
        <w:trPr>
          <w:trHeight w:val="480"/>
        </w:trPr>
        <w:tc>
          <w:tcPr>
            <w:tcW w:w="1569" w:type="pct"/>
            <w:tcBorders>
              <w:top w:val="single" w:sz="4" w:space="0" w:color="auto"/>
              <w:bottom w:val="single" w:sz="4" w:space="0" w:color="auto"/>
            </w:tcBorders>
          </w:tcPr>
          <w:p w14:paraId="3DFD70E3" w14:textId="3CC3B6AE" w:rsidR="00705195" w:rsidRPr="00405CA9" w:rsidRDefault="00705195" w:rsidP="00772458">
            <w:pPr>
              <w:pStyle w:val="APVMATableText"/>
              <w:rPr>
                <w:lang w:val="en-GB"/>
              </w:rPr>
            </w:pPr>
            <w:r>
              <w:rPr>
                <w:lang w:val="en-GB"/>
              </w:rPr>
              <w:t>Vegetation</w:t>
            </w:r>
          </w:p>
        </w:tc>
        <w:tc>
          <w:tcPr>
            <w:tcW w:w="2047" w:type="pct"/>
            <w:tcBorders>
              <w:top w:val="single" w:sz="4" w:space="0" w:color="auto"/>
              <w:bottom w:val="single" w:sz="4" w:space="0" w:color="auto"/>
            </w:tcBorders>
            <w:vAlign w:val="center"/>
          </w:tcPr>
          <w:p w14:paraId="3EE09379" w14:textId="5F5CBF48" w:rsidR="00705195" w:rsidRPr="00405CA9" w:rsidRDefault="006616B9" w:rsidP="00772458">
            <w:pPr>
              <w:pStyle w:val="APVMATableText"/>
              <w:jc w:val="right"/>
              <w:rPr>
                <w:lang w:val="en-GB"/>
              </w:rPr>
            </w:pPr>
            <w:r>
              <w:rPr>
                <w:lang w:val="en-GB"/>
              </w:rPr>
              <w:t>3.9</w:t>
            </w:r>
          </w:p>
        </w:tc>
        <w:tc>
          <w:tcPr>
            <w:tcW w:w="1384" w:type="pct"/>
            <w:tcBorders>
              <w:top w:val="single" w:sz="4" w:space="0" w:color="auto"/>
              <w:bottom w:val="single" w:sz="4" w:space="0" w:color="auto"/>
            </w:tcBorders>
          </w:tcPr>
          <w:p w14:paraId="48866F16" w14:textId="1249F702" w:rsidR="00705195" w:rsidRPr="00424637" w:rsidRDefault="00705195" w:rsidP="00424637">
            <w:pPr>
              <w:pStyle w:val="APVMATableTextRight"/>
            </w:pPr>
            <w:r w:rsidRPr="009D0723">
              <w:t>g/</w:t>
            </w:r>
            <w:r w:rsidR="00612742">
              <w:t>ha</w:t>
            </w:r>
          </w:p>
        </w:tc>
      </w:tr>
    </w:tbl>
    <w:p w14:paraId="105DD982" w14:textId="790E0DC2" w:rsidR="00772458" w:rsidRDefault="00CD11DC" w:rsidP="00772458">
      <w:pPr>
        <w:pStyle w:val="APVMAText"/>
      </w:pPr>
      <w:r>
        <w:lastRenderedPageBreak/>
        <w:t>The following b</w:t>
      </w:r>
      <w:r w:rsidR="00705195">
        <w:t xml:space="preserve">uffer zones </w:t>
      </w:r>
      <w:r>
        <w:t xml:space="preserve">were </w:t>
      </w:r>
      <w:r w:rsidR="00705195">
        <w:t>calculated by the SDRAT, using the above RALs</w:t>
      </w:r>
      <w:r w:rsidR="00FD76E9">
        <w:t xml:space="preserve"> for vertical sprayers</w:t>
      </w:r>
      <w:r w:rsidR="00705195">
        <w:t xml:space="preserve">, </w:t>
      </w:r>
      <w:r>
        <w:t xml:space="preserve">and </w:t>
      </w:r>
      <w:r w:rsidR="00705195">
        <w:t xml:space="preserve">were incorporated into the </w:t>
      </w:r>
      <w:r w:rsidR="00EC72D3">
        <w:t>Accede Plant Growth Regulator</w:t>
      </w:r>
      <w:r w:rsidR="00705195">
        <w:t xml:space="preserve"> label spray drift instructions</w:t>
      </w:r>
      <w:r>
        <w:t>.</w:t>
      </w:r>
      <w:r w:rsidR="00705195">
        <w:t xml:space="preserve"> (see </w:t>
      </w:r>
      <w:r w:rsidR="0076267D" w:rsidRPr="0076267D">
        <w:rPr>
          <w:i/>
        </w:rPr>
        <w:t xml:space="preserve">Labelling </w:t>
      </w:r>
      <w:r w:rsidR="00F95D43">
        <w:rPr>
          <w:i/>
        </w:rPr>
        <w:t>r</w:t>
      </w:r>
      <w:r w:rsidR="00F95D43" w:rsidRPr="0076267D">
        <w:rPr>
          <w:i/>
        </w:rPr>
        <w:t>equirements</w:t>
      </w:r>
      <w:r w:rsidR="00F95D43">
        <w:t xml:space="preserve"> </w:t>
      </w:r>
      <w:r w:rsidR="00705195">
        <w:t>below).</w:t>
      </w:r>
    </w:p>
    <w:p w14:paraId="15236CDB" w14:textId="77777777" w:rsidR="00CD11DC" w:rsidRPr="00CD11DC" w:rsidRDefault="00CD11DC" w:rsidP="00CD11DC">
      <w:pPr>
        <w:widowControl w:val="0"/>
        <w:tabs>
          <w:tab w:val="left" w:pos="881"/>
          <w:tab w:val="left" w:pos="882"/>
        </w:tabs>
        <w:autoSpaceDE w:val="0"/>
        <w:autoSpaceDN w:val="0"/>
        <w:spacing w:line="302" w:lineRule="auto"/>
        <w:rPr>
          <w:rFonts w:eastAsia="Arial" w:cs="Arial"/>
          <w:bCs/>
          <w:color w:val="52284F"/>
          <w:szCs w:val="20"/>
        </w:rPr>
      </w:pPr>
      <w:r w:rsidRPr="00CD11DC">
        <w:rPr>
          <w:rFonts w:eastAsia="Arial" w:cs="Arial"/>
          <w:bCs/>
          <w:szCs w:val="20"/>
        </w:rPr>
        <w:t>Buffer zones for vertical sprayers</w:t>
      </w:r>
    </w:p>
    <w:tbl>
      <w:tblPr>
        <w:tblW w:w="500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0"/>
        <w:gridCol w:w="980"/>
        <w:gridCol w:w="1121"/>
        <w:gridCol w:w="1121"/>
        <w:gridCol w:w="1121"/>
        <w:gridCol w:w="947"/>
      </w:tblGrid>
      <w:tr w:rsidR="00CD11DC" w:rsidRPr="00CD11DC" w14:paraId="5BDBFD37" w14:textId="77777777" w:rsidTr="00CD11DC">
        <w:trPr>
          <w:trHeight w:val="413"/>
        </w:trPr>
        <w:tc>
          <w:tcPr>
            <w:tcW w:w="4340" w:type="dxa"/>
            <w:vMerge w:val="restart"/>
          </w:tcPr>
          <w:p w14:paraId="0B13D618" w14:textId="77777777" w:rsidR="00CD11DC" w:rsidRPr="00CD11DC" w:rsidRDefault="00CD11DC" w:rsidP="00CD11DC">
            <w:pPr>
              <w:widowControl w:val="0"/>
              <w:autoSpaceDE w:val="0"/>
              <w:autoSpaceDN w:val="0"/>
              <w:spacing w:line="259" w:lineRule="auto"/>
              <w:ind w:left="144"/>
              <w:rPr>
                <w:rFonts w:eastAsia="Arial" w:cs="Arial"/>
                <w:bCs/>
                <w:szCs w:val="20"/>
              </w:rPr>
            </w:pPr>
            <w:r w:rsidRPr="00CD11DC">
              <w:rPr>
                <w:rFonts w:eastAsia="Arial" w:cs="Arial"/>
                <w:bCs/>
                <w:szCs w:val="20"/>
              </w:rPr>
              <w:t>Type of target canopy and dilute water rate</w:t>
            </w:r>
          </w:p>
        </w:tc>
        <w:tc>
          <w:tcPr>
            <w:tcW w:w="5290" w:type="dxa"/>
            <w:gridSpan w:val="5"/>
          </w:tcPr>
          <w:p w14:paraId="1309039B"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Mandatory buffer zones</w:t>
            </w:r>
          </w:p>
        </w:tc>
      </w:tr>
      <w:tr w:rsidR="00CD11DC" w:rsidRPr="00CD11DC" w14:paraId="40C75FA9" w14:textId="77777777" w:rsidTr="00CD11DC">
        <w:tc>
          <w:tcPr>
            <w:tcW w:w="4340" w:type="dxa"/>
            <w:vMerge/>
          </w:tcPr>
          <w:p w14:paraId="218E11C1" w14:textId="77777777" w:rsidR="00CD11DC" w:rsidRPr="00CD11DC" w:rsidRDefault="00CD11DC" w:rsidP="00CD11DC">
            <w:pPr>
              <w:widowControl w:val="0"/>
              <w:autoSpaceDE w:val="0"/>
              <w:autoSpaceDN w:val="0"/>
              <w:spacing w:line="240" w:lineRule="auto"/>
              <w:rPr>
                <w:rFonts w:eastAsia="Arial" w:cs="Arial"/>
                <w:bCs/>
                <w:szCs w:val="20"/>
              </w:rPr>
            </w:pPr>
          </w:p>
        </w:tc>
        <w:tc>
          <w:tcPr>
            <w:tcW w:w="980" w:type="dxa"/>
          </w:tcPr>
          <w:p w14:paraId="624BECBB" w14:textId="77777777" w:rsidR="00CD11DC" w:rsidRPr="00CD11DC" w:rsidRDefault="00CD11DC" w:rsidP="00CD11DC">
            <w:pPr>
              <w:widowControl w:val="0"/>
              <w:autoSpaceDE w:val="0"/>
              <w:autoSpaceDN w:val="0"/>
              <w:spacing w:line="259" w:lineRule="auto"/>
              <w:jc w:val="center"/>
              <w:rPr>
                <w:rFonts w:eastAsia="Arial" w:cs="Arial"/>
                <w:bCs/>
                <w:szCs w:val="20"/>
              </w:rPr>
            </w:pPr>
            <w:r w:rsidRPr="00CD11DC">
              <w:rPr>
                <w:rFonts w:eastAsia="Arial" w:cs="Arial"/>
                <w:bCs/>
                <w:szCs w:val="20"/>
              </w:rPr>
              <w:t xml:space="preserve">Bystander </w:t>
            </w:r>
            <w:r w:rsidRPr="00CD11DC">
              <w:rPr>
                <w:rFonts w:eastAsia="Arial" w:cs="Arial"/>
                <w:bCs/>
                <w:szCs w:val="20"/>
              </w:rPr>
              <w:br/>
              <w:t>areas</w:t>
            </w:r>
          </w:p>
        </w:tc>
        <w:tc>
          <w:tcPr>
            <w:tcW w:w="1121" w:type="dxa"/>
          </w:tcPr>
          <w:p w14:paraId="15C5B70D" w14:textId="77777777" w:rsidR="00CD11DC" w:rsidRPr="00CD11DC" w:rsidRDefault="00CD11DC" w:rsidP="00CD11DC">
            <w:pPr>
              <w:widowControl w:val="0"/>
              <w:autoSpaceDE w:val="0"/>
              <w:autoSpaceDN w:val="0"/>
              <w:spacing w:line="259" w:lineRule="auto"/>
              <w:jc w:val="center"/>
              <w:rPr>
                <w:rFonts w:eastAsia="Arial" w:cs="Arial"/>
                <w:bCs/>
                <w:szCs w:val="20"/>
              </w:rPr>
            </w:pPr>
            <w:r w:rsidRPr="00CD11DC">
              <w:rPr>
                <w:rFonts w:eastAsia="Arial" w:cs="Arial"/>
                <w:bCs/>
                <w:szCs w:val="20"/>
              </w:rPr>
              <w:t>Natural aquatic areas</w:t>
            </w:r>
          </w:p>
        </w:tc>
        <w:tc>
          <w:tcPr>
            <w:tcW w:w="1121" w:type="dxa"/>
          </w:tcPr>
          <w:p w14:paraId="5D0C1D87" w14:textId="77777777" w:rsidR="00CD11DC" w:rsidRPr="00CD11DC" w:rsidRDefault="00CD11DC" w:rsidP="00CD11DC">
            <w:pPr>
              <w:widowControl w:val="0"/>
              <w:autoSpaceDE w:val="0"/>
              <w:autoSpaceDN w:val="0"/>
              <w:spacing w:line="259" w:lineRule="auto"/>
              <w:jc w:val="center"/>
              <w:rPr>
                <w:rFonts w:eastAsia="Arial" w:cs="Arial"/>
                <w:bCs/>
                <w:szCs w:val="20"/>
              </w:rPr>
            </w:pPr>
            <w:r w:rsidRPr="00CD11DC">
              <w:rPr>
                <w:rFonts w:eastAsia="Arial" w:cs="Arial"/>
                <w:bCs/>
                <w:szCs w:val="20"/>
              </w:rPr>
              <w:t xml:space="preserve">Pollinator </w:t>
            </w:r>
            <w:r w:rsidRPr="00CD11DC">
              <w:rPr>
                <w:rFonts w:eastAsia="Arial" w:cs="Arial"/>
                <w:bCs/>
                <w:szCs w:val="20"/>
              </w:rPr>
              <w:br/>
              <w:t>areas</w:t>
            </w:r>
          </w:p>
        </w:tc>
        <w:tc>
          <w:tcPr>
            <w:tcW w:w="1121" w:type="dxa"/>
          </w:tcPr>
          <w:p w14:paraId="34D5998A" w14:textId="77777777" w:rsidR="00CD11DC" w:rsidRPr="00CD11DC" w:rsidRDefault="00CD11DC" w:rsidP="00CD11DC">
            <w:pPr>
              <w:widowControl w:val="0"/>
              <w:autoSpaceDE w:val="0"/>
              <w:autoSpaceDN w:val="0"/>
              <w:spacing w:line="259" w:lineRule="auto"/>
              <w:jc w:val="center"/>
              <w:rPr>
                <w:rFonts w:eastAsia="Arial" w:cs="Arial"/>
                <w:bCs/>
                <w:szCs w:val="20"/>
              </w:rPr>
            </w:pPr>
            <w:r w:rsidRPr="00CD11DC">
              <w:rPr>
                <w:rFonts w:eastAsia="Arial" w:cs="Arial"/>
                <w:bCs/>
                <w:szCs w:val="20"/>
              </w:rPr>
              <w:t xml:space="preserve">Vegetation </w:t>
            </w:r>
            <w:r w:rsidRPr="00CD11DC">
              <w:rPr>
                <w:rFonts w:eastAsia="Arial" w:cs="Arial"/>
                <w:bCs/>
                <w:szCs w:val="20"/>
              </w:rPr>
              <w:br/>
              <w:t>areas</w:t>
            </w:r>
          </w:p>
        </w:tc>
        <w:tc>
          <w:tcPr>
            <w:tcW w:w="947" w:type="dxa"/>
          </w:tcPr>
          <w:p w14:paraId="01700047" w14:textId="77777777" w:rsidR="00CD11DC" w:rsidRPr="00CD11DC" w:rsidRDefault="00CD11DC" w:rsidP="00CD11DC">
            <w:pPr>
              <w:widowControl w:val="0"/>
              <w:autoSpaceDE w:val="0"/>
              <w:autoSpaceDN w:val="0"/>
              <w:spacing w:line="259" w:lineRule="auto"/>
              <w:jc w:val="center"/>
              <w:rPr>
                <w:rFonts w:eastAsia="Arial" w:cs="Arial"/>
                <w:bCs/>
                <w:szCs w:val="20"/>
              </w:rPr>
            </w:pPr>
            <w:r w:rsidRPr="00CD11DC">
              <w:rPr>
                <w:rFonts w:eastAsia="Arial" w:cs="Arial"/>
                <w:bCs/>
                <w:szCs w:val="20"/>
              </w:rPr>
              <w:t xml:space="preserve">Livestock </w:t>
            </w:r>
            <w:r w:rsidRPr="00CD11DC">
              <w:rPr>
                <w:rFonts w:eastAsia="Arial" w:cs="Arial"/>
                <w:bCs/>
                <w:szCs w:val="20"/>
              </w:rPr>
              <w:br/>
              <w:t>areas</w:t>
            </w:r>
          </w:p>
        </w:tc>
      </w:tr>
      <w:tr w:rsidR="00CD11DC" w:rsidRPr="00CD11DC" w14:paraId="79B24523" w14:textId="77777777" w:rsidTr="00CD11DC">
        <w:tc>
          <w:tcPr>
            <w:tcW w:w="4340" w:type="dxa"/>
          </w:tcPr>
          <w:p w14:paraId="3BADB541" w14:textId="77777777" w:rsidR="00CD11DC" w:rsidRPr="00CD11DC" w:rsidRDefault="00CD11DC" w:rsidP="00CD11DC">
            <w:pPr>
              <w:widowControl w:val="0"/>
              <w:autoSpaceDE w:val="0"/>
              <w:autoSpaceDN w:val="0"/>
              <w:spacing w:line="259" w:lineRule="auto"/>
              <w:rPr>
                <w:rFonts w:eastAsia="Arial" w:cs="Arial"/>
                <w:bCs/>
                <w:szCs w:val="20"/>
              </w:rPr>
            </w:pPr>
            <w:r w:rsidRPr="00CD11DC">
              <w:rPr>
                <w:rFonts w:eastAsia="Arial" w:cs="Arial"/>
                <w:bCs/>
                <w:szCs w:val="20"/>
              </w:rPr>
              <w:t>2 m tall and shorter, maximum dilute water rate of 1000 L/ha</w:t>
            </w:r>
          </w:p>
        </w:tc>
        <w:tc>
          <w:tcPr>
            <w:tcW w:w="980" w:type="dxa"/>
          </w:tcPr>
          <w:p w14:paraId="120F6245"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c>
          <w:tcPr>
            <w:tcW w:w="1121" w:type="dxa"/>
          </w:tcPr>
          <w:p w14:paraId="7339BADE" w14:textId="7C1B3B19"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5 m</w:t>
            </w:r>
          </w:p>
        </w:tc>
        <w:tc>
          <w:tcPr>
            <w:tcW w:w="1121" w:type="dxa"/>
          </w:tcPr>
          <w:p w14:paraId="08C2D3A2"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c>
          <w:tcPr>
            <w:tcW w:w="1121" w:type="dxa"/>
          </w:tcPr>
          <w:p w14:paraId="353DA06E" w14:textId="06E4AB13"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10 m</w:t>
            </w:r>
          </w:p>
        </w:tc>
        <w:tc>
          <w:tcPr>
            <w:tcW w:w="947" w:type="dxa"/>
          </w:tcPr>
          <w:p w14:paraId="184066BE"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r>
      <w:tr w:rsidR="00CD11DC" w:rsidRPr="00CD11DC" w14:paraId="3A764C28" w14:textId="77777777" w:rsidTr="00CD11DC">
        <w:tc>
          <w:tcPr>
            <w:tcW w:w="4340" w:type="dxa"/>
          </w:tcPr>
          <w:p w14:paraId="47133FCF" w14:textId="77777777" w:rsidR="00CD11DC" w:rsidRPr="00CD11DC" w:rsidRDefault="00CD11DC" w:rsidP="00CD11DC">
            <w:pPr>
              <w:widowControl w:val="0"/>
              <w:autoSpaceDE w:val="0"/>
              <w:autoSpaceDN w:val="0"/>
              <w:spacing w:line="256" w:lineRule="auto"/>
              <w:rPr>
                <w:rFonts w:eastAsia="Arial" w:cs="Arial"/>
                <w:bCs/>
                <w:szCs w:val="20"/>
              </w:rPr>
            </w:pPr>
            <w:r w:rsidRPr="00CD11DC">
              <w:rPr>
                <w:rFonts w:eastAsia="Arial" w:cs="Arial"/>
                <w:bCs/>
                <w:szCs w:val="20"/>
              </w:rPr>
              <w:t xml:space="preserve">Taller than 2 m (not </w:t>
            </w:r>
            <w:proofErr w:type="gramStart"/>
            <w:r w:rsidRPr="00CD11DC">
              <w:rPr>
                <w:rFonts w:eastAsia="Arial" w:cs="Arial"/>
                <w:bCs/>
                <w:szCs w:val="20"/>
              </w:rPr>
              <w:t>fully-foliated</w:t>
            </w:r>
            <w:proofErr w:type="gramEnd"/>
            <w:r w:rsidRPr="00CD11DC">
              <w:rPr>
                <w:rFonts w:eastAsia="Arial" w:cs="Arial"/>
                <w:bCs/>
                <w:szCs w:val="20"/>
              </w:rPr>
              <w:t>), maximum dilute water rate of 1000 L/ha</w:t>
            </w:r>
          </w:p>
        </w:tc>
        <w:tc>
          <w:tcPr>
            <w:tcW w:w="980" w:type="dxa"/>
          </w:tcPr>
          <w:p w14:paraId="4883B7D9"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c>
          <w:tcPr>
            <w:tcW w:w="1121" w:type="dxa"/>
          </w:tcPr>
          <w:p w14:paraId="0030DCE6" w14:textId="7E660D9B"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20 m</w:t>
            </w:r>
          </w:p>
        </w:tc>
        <w:tc>
          <w:tcPr>
            <w:tcW w:w="1121" w:type="dxa"/>
          </w:tcPr>
          <w:p w14:paraId="6D970798"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c>
          <w:tcPr>
            <w:tcW w:w="1121" w:type="dxa"/>
          </w:tcPr>
          <w:p w14:paraId="560B3A38" w14:textId="0D5E506B"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35 m</w:t>
            </w:r>
          </w:p>
        </w:tc>
        <w:tc>
          <w:tcPr>
            <w:tcW w:w="947" w:type="dxa"/>
          </w:tcPr>
          <w:p w14:paraId="07C56312"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r>
      <w:tr w:rsidR="00CD11DC" w:rsidRPr="00CD11DC" w14:paraId="59930F09" w14:textId="77777777" w:rsidTr="00CD11DC">
        <w:tc>
          <w:tcPr>
            <w:tcW w:w="4340" w:type="dxa"/>
          </w:tcPr>
          <w:p w14:paraId="67547139" w14:textId="77777777" w:rsidR="00CD11DC" w:rsidRPr="00CD11DC" w:rsidRDefault="00CD11DC" w:rsidP="00CD11DC">
            <w:pPr>
              <w:widowControl w:val="0"/>
              <w:autoSpaceDE w:val="0"/>
              <w:autoSpaceDN w:val="0"/>
              <w:spacing w:line="256" w:lineRule="auto"/>
              <w:rPr>
                <w:rFonts w:eastAsia="Arial" w:cs="Arial"/>
                <w:bCs/>
                <w:szCs w:val="20"/>
              </w:rPr>
            </w:pPr>
            <w:r w:rsidRPr="00CD11DC">
              <w:rPr>
                <w:rFonts w:eastAsia="Arial" w:cs="Arial"/>
                <w:bCs/>
                <w:szCs w:val="20"/>
              </w:rPr>
              <w:t>Taller than 2 m (</w:t>
            </w:r>
            <w:proofErr w:type="gramStart"/>
            <w:r w:rsidRPr="00CD11DC">
              <w:rPr>
                <w:rFonts w:eastAsia="Arial" w:cs="Arial"/>
                <w:bCs/>
                <w:szCs w:val="20"/>
              </w:rPr>
              <w:t>fully-foliated</w:t>
            </w:r>
            <w:proofErr w:type="gramEnd"/>
            <w:r w:rsidRPr="00CD11DC">
              <w:rPr>
                <w:rFonts w:eastAsia="Arial" w:cs="Arial"/>
                <w:bCs/>
                <w:szCs w:val="20"/>
              </w:rPr>
              <w:t>), maximum dilute water rate of 1000 L/ha</w:t>
            </w:r>
          </w:p>
        </w:tc>
        <w:tc>
          <w:tcPr>
            <w:tcW w:w="980" w:type="dxa"/>
          </w:tcPr>
          <w:p w14:paraId="2D88779E"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c>
          <w:tcPr>
            <w:tcW w:w="1121" w:type="dxa"/>
          </w:tcPr>
          <w:p w14:paraId="6761AF0E" w14:textId="2C24DDDC"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15 m</w:t>
            </w:r>
          </w:p>
        </w:tc>
        <w:tc>
          <w:tcPr>
            <w:tcW w:w="1121" w:type="dxa"/>
          </w:tcPr>
          <w:p w14:paraId="298590F1"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c>
          <w:tcPr>
            <w:tcW w:w="1121" w:type="dxa"/>
          </w:tcPr>
          <w:p w14:paraId="041633C3" w14:textId="06B7D938"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25 m</w:t>
            </w:r>
          </w:p>
        </w:tc>
        <w:tc>
          <w:tcPr>
            <w:tcW w:w="947" w:type="dxa"/>
          </w:tcPr>
          <w:p w14:paraId="62CC7AE2"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r>
    </w:tbl>
    <w:p w14:paraId="1FC317CB" w14:textId="788D5CF7" w:rsidR="00CD11DC" w:rsidRDefault="00CD11DC" w:rsidP="00772458">
      <w:pPr>
        <w:pStyle w:val="APVMAText"/>
        <w:sectPr w:rsidR="00CD11DC">
          <w:headerReference w:type="default" r:id="rId39"/>
          <w:pgSz w:w="11906" w:h="16838" w:code="9"/>
          <w:pgMar w:top="2835" w:right="1134" w:bottom="1134" w:left="1134" w:header="1701" w:footer="680" w:gutter="0"/>
          <w:cols w:space="708"/>
          <w:docGrid w:linePitch="360"/>
        </w:sectPr>
      </w:pPr>
    </w:p>
    <w:p w14:paraId="524248FC" w14:textId="77777777" w:rsidR="003F67BE" w:rsidRPr="00274331" w:rsidRDefault="003F67BE" w:rsidP="00274331">
      <w:pPr>
        <w:pStyle w:val="Heading1"/>
      </w:pPr>
      <w:bookmarkStart w:id="163" w:name="_Toc531181108"/>
      <w:bookmarkStart w:id="164" w:name="_Toc7561294"/>
      <w:bookmarkStart w:id="165" w:name="_Toc228527316"/>
      <w:bookmarkEnd w:id="156"/>
      <w:bookmarkEnd w:id="157"/>
      <w:r w:rsidRPr="00274331">
        <w:lastRenderedPageBreak/>
        <w:t>Labelling requirements</w:t>
      </w:r>
      <w:bookmarkEnd w:id="163"/>
      <w:bookmarkEnd w:id="164"/>
      <w:bookmarkEnd w:id="165"/>
    </w:p>
    <w:p w14:paraId="61179D45" w14:textId="4DE9858B" w:rsidR="000A19DC" w:rsidRDefault="000A19DC" w:rsidP="00274331">
      <w:pPr>
        <w:pStyle w:val="APVMAText"/>
      </w:pPr>
      <w:r>
        <w:t>Company</w:t>
      </w:r>
      <w:r>
        <w:rPr>
          <w:spacing w:val="-1"/>
        </w:rPr>
        <w:t xml:space="preserve"> </w:t>
      </w:r>
      <w:r>
        <w:rPr>
          <w:spacing w:val="-2"/>
        </w:rPr>
        <w:t>Name:</w:t>
      </w:r>
      <w:r>
        <w:tab/>
        <w:t>VALENT</w:t>
      </w:r>
      <w:r>
        <w:rPr>
          <w:spacing w:val="-6"/>
        </w:rPr>
        <w:t xml:space="preserve"> </w:t>
      </w:r>
      <w:r>
        <w:t>BIOSCIENCES</w:t>
      </w:r>
      <w:r>
        <w:rPr>
          <w:spacing w:val="-6"/>
        </w:rPr>
        <w:t xml:space="preserve"> </w:t>
      </w:r>
      <w:r>
        <w:t>A</w:t>
      </w:r>
      <w:r>
        <w:rPr>
          <w:spacing w:val="-5"/>
        </w:rPr>
        <w:t xml:space="preserve"> </w:t>
      </w:r>
      <w:r>
        <w:t>DIV</w:t>
      </w:r>
      <w:r>
        <w:rPr>
          <w:spacing w:val="-6"/>
        </w:rPr>
        <w:t xml:space="preserve"> </w:t>
      </w:r>
      <w:r>
        <w:t>OF</w:t>
      </w:r>
      <w:r>
        <w:rPr>
          <w:spacing w:val="-5"/>
        </w:rPr>
        <w:t xml:space="preserve"> </w:t>
      </w:r>
      <w:r>
        <w:t>SUMITOMO</w:t>
      </w:r>
      <w:r>
        <w:rPr>
          <w:spacing w:val="-6"/>
        </w:rPr>
        <w:t xml:space="preserve"> </w:t>
      </w:r>
      <w:r>
        <w:t>CHEMICAL</w:t>
      </w:r>
      <w:r>
        <w:rPr>
          <w:spacing w:val="-5"/>
        </w:rPr>
        <w:t xml:space="preserve"> </w:t>
      </w:r>
      <w:r>
        <w:rPr>
          <w:spacing w:val="-2"/>
        </w:rPr>
        <w:t>AUSTRALIA</w:t>
      </w:r>
      <w:r w:rsidR="00274331">
        <w:rPr>
          <w:spacing w:val="-2"/>
        </w:rPr>
        <w:br/>
      </w:r>
      <w:r>
        <w:t>Product Name:</w:t>
      </w:r>
      <w:r>
        <w:tab/>
      </w:r>
      <w:r w:rsidR="00EC72D3">
        <w:t>Accede Plant Growth Regulator</w:t>
      </w:r>
      <w:r w:rsidR="00274331">
        <w:br/>
      </w:r>
      <w:r>
        <w:t>APVMA</w:t>
      </w:r>
      <w:r>
        <w:rPr>
          <w:spacing w:val="-7"/>
        </w:rPr>
        <w:t xml:space="preserve"> </w:t>
      </w:r>
      <w:r>
        <w:t>Approval</w:t>
      </w:r>
      <w:r>
        <w:rPr>
          <w:spacing w:val="-6"/>
        </w:rPr>
        <w:t xml:space="preserve"> </w:t>
      </w:r>
      <w:r>
        <w:rPr>
          <w:spacing w:val="-5"/>
        </w:rPr>
        <w:t>No:</w:t>
      </w:r>
      <w:r>
        <w:tab/>
        <w:t>94490</w:t>
      </w:r>
      <w:r>
        <w:rPr>
          <w:spacing w:val="-3"/>
        </w:rPr>
        <w:t xml:space="preserve"> </w:t>
      </w:r>
      <w:r>
        <w:t>/</w:t>
      </w:r>
      <w:r>
        <w:rPr>
          <w:spacing w:val="-3"/>
        </w:rPr>
        <w:t xml:space="preserve"> </w:t>
      </w:r>
      <w:r>
        <w:rPr>
          <w:spacing w:val="-2"/>
        </w:rPr>
        <w:t>142575</w:t>
      </w:r>
    </w:p>
    <w:p w14:paraId="1A305553" w14:textId="77777777" w:rsidR="000A19DC" w:rsidRDefault="000A19DC" w:rsidP="000A19DC">
      <w:pPr>
        <w:pStyle w:val="BodyText0"/>
        <w:spacing w:before="220" w:after="1"/>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2FDCAF1C" w14:textId="77777777" w:rsidTr="0084569A">
        <w:trPr>
          <w:trHeight w:val="400"/>
        </w:trPr>
        <w:tc>
          <w:tcPr>
            <w:tcW w:w="2098" w:type="dxa"/>
          </w:tcPr>
          <w:p w14:paraId="4B461E1A" w14:textId="77777777" w:rsidR="000A19DC" w:rsidRDefault="000A19DC" w:rsidP="0084569A">
            <w:pPr>
              <w:pStyle w:val="TableParagraph"/>
              <w:ind w:left="85"/>
              <w:rPr>
                <w:sz w:val="20"/>
              </w:rPr>
            </w:pPr>
            <w:r>
              <w:rPr>
                <w:sz w:val="20"/>
              </w:rPr>
              <w:t>Label</w:t>
            </w:r>
            <w:r>
              <w:rPr>
                <w:spacing w:val="-5"/>
                <w:sz w:val="20"/>
              </w:rPr>
              <w:t xml:space="preserve"> </w:t>
            </w:r>
            <w:r>
              <w:rPr>
                <w:spacing w:val="-2"/>
                <w:sz w:val="20"/>
              </w:rPr>
              <w:t>Name:</w:t>
            </w:r>
          </w:p>
        </w:tc>
        <w:tc>
          <w:tcPr>
            <w:tcW w:w="7966" w:type="dxa"/>
          </w:tcPr>
          <w:p w14:paraId="5BFDBA30" w14:textId="33273BCE" w:rsidR="000A19DC" w:rsidRDefault="00EC72D3" w:rsidP="0084569A">
            <w:pPr>
              <w:pStyle w:val="TableParagraph"/>
              <w:rPr>
                <w:sz w:val="20"/>
              </w:rPr>
            </w:pPr>
            <w:r>
              <w:rPr>
                <w:sz w:val="20"/>
              </w:rPr>
              <w:t>Accede Plant Growth Regulator</w:t>
            </w:r>
          </w:p>
        </w:tc>
      </w:tr>
    </w:tbl>
    <w:p w14:paraId="40369FB0"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6C6DE777" w14:textId="77777777" w:rsidTr="0084569A">
        <w:trPr>
          <w:trHeight w:val="720"/>
        </w:trPr>
        <w:tc>
          <w:tcPr>
            <w:tcW w:w="2098" w:type="dxa"/>
          </w:tcPr>
          <w:p w14:paraId="0A98E69A" w14:textId="77777777" w:rsidR="000A19DC" w:rsidRDefault="000A19DC" w:rsidP="0084569A">
            <w:pPr>
              <w:pStyle w:val="TableParagraph"/>
              <w:ind w:left="85"/>
              <w:rPr>
                <w:sz w:val="20"/>
              </w:rPr>
            </w:pPr>
            <w:r>
              <w:rPr>
                <w:sz w:val="20"/>
              </w:rPr>
              <w:t>Signal</w:t>
            </w:r>
            <w:r>
              <w:rPr>
                <w:spacing w:val="-6"/>
                <w:sz w:val="20"/>
              </w:rPr>
              <w:t xml:space="preserve"> </w:t>
            </w:r>
            <w:r>
              <w:rPr>
                <w:spacing w:val="-2"/>
                <w:sz w:val="20"/>
              </w:rPr>
              <w:t>Headings:</w:t>
            </w:r>
          </w:p>
        </w:tc>
        <w:tc>
          <w:tcPr>
            <w:tcW w:w="7966" w:type="dxa"/>
          </w:tcPr>
          <w:p w14:paraId="26D3563F" w14:textId="77777777" w:rsidR="000A19DC" w:rsidRDefault="000A19DC" w:rsidP="0084569A">
            <w:pPr>
              <w:pStyle w:val="TableParagraph"/>
              <w:rPr>
                <w:sz w:val="20"/>
              </w:rPr>
            </w:pPr>
            <w:r>
              <w:rPr>
                <w:sz w:val="20"/>
              </w:rPr>
              <w:t>KEEP</w:t>
            </w:r>
            <w:r>
              <w:rPr>
                <w:spacing w:val="-4"/>
                <w:sz w:val="20"/>
              </w:rPr>
              <w:t xml:space="preserve"> </w:t>
            </w:r>
            <w:r>
              <w:rPr>
                <w:sz w:val="20"/>
              </w:rPr>
              <w:t>OUT</w:t>
            </w:r>
            <w:r>
              <w:rPr>
                <w:spacing w:val="-3"/>
                <w:sz w:val="20"/>
              </w:rPr>
              <w:t xml:space="preserve"> </w:t>
            </w:r>
            <w:r>
              <w:rPr>
                <w:sz w:val="20"/>
              </w:rPr>
              <w:t>OF</w:t>
            </w:r>
            <w:r>
              <w:rPr>
                <w:spacing w:val="-3"/>
                <w:sz w:val="20"/>
              </w:rPr>
              <w:t xml:space="preserve"> </w:t>
            </w:r>
            <w:r>
              <w:rPr>
                <w:sz w:val="20"/>
              </w:rPr>
              <w:t>REACH</w:t>
            </w:r>
            <w:r>
              <w:rPr>
                <w:spacing w:val="-3"/>
                <w:sz w:val="20"/>
              </w:rPr>
              <w:t xml:space="preserve"> </w:t>
            </w:r>
            <w:r>
              <w:rPr>
                <w:sz w:val="20"/>
              </w:rPr>
              <w:t>OF</w:t>
            </w:r>
            <w:r>
              <w:rPr>
                <w:spacing w:val="-3"/>
                <w:sz w:val="20"/>
              </w:rPr>
              <w:t xml:space="preserve"> </w:t>
            </w:r>
            <w:r>
              <w:rPr>
                <w:spacing w:val="-2"/>
                <w:sz w:val="20"/>
              </w:rPr>
              <w:t>CHILDREN</w:t>
            </w:r>
          </w:p>
          <w:p w14:paraId="14A0807D" w14:textId="77777777" w:rsidR="000A19DC" w:rsidRDefault="000A19DC" w:rsidP="0084569A">
            <w:pPr>
              <w:pStyle w:val="TableParagraph"/>
              <w:spacing w:before="90"/>
              <w:rPr>
                <w:sz w:val="20"/>
              </w:rPr>
            </w:pPr>
            <w:r>
              <w:rPr>
                <w:sz w:val="20"/>
              </w:rPr>
              <w:t>READ</w:t>
            </w:r>
            <w:r>
              <w:rPr>
                <w:spacing w:val="-8"/>
                <w:sz w:val="20"/>
              </w:rPr>
              <w:t xml:space="preserve"> </w:t>
            </w:r>
            <w:r>
              <w:rPr>
                <w:sz w:val="20"/>
              </w:rPr>
              <w:t>SAFETY</w:t>
            </w:r>
            <w:r>
              <w:rPr>
                <w:spacing w:val="-6"/>
                <w:sz w:val="20"/>
              </w:rPr>
              <w:t xml:space="preserve"> </w:t>
            </w:r>
            <w:r>
              <w:rPr>
                <w:sz w:val="20"/>
              </w:rPr>
              <w:t>DIRECTIONS</w:t>
            </w:r>
            <w:r>
              <w:rPr>
                <w:spacing w:val="-6"/>
                <w:sz w:val="20"/>
              </w:rPr>
              <w:t xml:space="preserve"> </w:t>
            </w:r>
            <w:r>
              <w:rPr>
                <w:sz w:val="20"/>
              </w:rPr>
              <w:t>BEFORE</w:t>
            </w:r>
            <w:r>
              <w:rPr>
                <w:spacing w:val="-6"/>
                <w:sz w:val="20"/>
              </w:rPr>
              <w:t xml:space="preserve"> </w:t>
            </w:r>
            <w:r>
              <w:rPr>
                <w:sz w:val="20"/>
              </w:rPr>
              <w:t>OPENING</w:t>
            </w:r>
            <w:r>
              <w:rPr>
                <w:spacing w:val="-6"/>
                <w:sz w:val="20"/>
              </w:rPr>
              <w:t xml:space="preserve"> </w:t>
            </w:r>
            <w:r>
              <w:rPr>
                <w:sz w:val="20"/>
              </w:rPr>
              <w:t>OR</w:t>
            </w:r>
            <w:r>
              <w:rPr>
                <w:spacing w:val="-5"/>
                <w:sz w:val="20"/>
              </w:rPr>
              <w:t xml:space="preserve"> </w:t>
            </w:r>
            <w:r>
              <w:rPr>
                <w:spacing w:val="-2"/>
                <w:sz w:val="20"/>
              </w:rPr>
              <w:t>USING</w:t>
            </w:r>
          </w:p>
        </w:tc>
      </w:tr>
    </w:tbl>
    <w:p w14:paraId="4F55B8F0"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5524CB62" w14:textId="77777777" w:rsidTr="0084569A">
        <w:trPr>
          <w:trHeight w:val="640"/>
        </w:trPr>
        <w:tc>
          <w:tcPr>
            <w:tcW w:w="2098" w:type="dxa"/>
          </w:tcPr>
          <w:p w14:paraId="26A4C101" w14:textId="77777777" w:rsidR="000A19DC" w:rsidRDefault="000A19DC" w:rsidP="0084569A">
            <w:pPr>
              <w:pStyle w:val="TableParagraph"/>
              <w:spacing w:line="249" w:lineRule="auto"/>
              <w:ind w:left="85"/>
              <w:rPr>
                <w:sz w:val="20"/>
              </w:rPr>
            </w:pPr>
            <w:r>
              <w:rPr>
                <w:spacing w:val="-2"/>
                <w:sz w:val="20"/>
              </w:rPr>
              <w:t>Constituent Statements:</w:t>
            </w:r>
          </w:p>
        </w:tc>
        <w:tc>
          <w:tcPr>
            <w:tcW w:w="7966" w:type="dxa"/>
          </w:tcPr>
          <w:p w14:paraId="198D19D5" w14:textId="77777777" w:rsidR="000A19DC" w:rsidRDefault="000A19DC" w:rsidP="0084569A">
            <w:pPr>
              <w:pStyle w:val="TableParagraph"/>
              <w:rPr>
                <w:sz w:val="20"/>
              </w:rPr>
            </w:pPr>
            <w:r>
              <w:rPr>
                <w:sz w:val="20"/>
              </w:rPr>
              <w:t>400</w:t>
            </w:r>
            <w:r>
              <w:rPr>
                <w:spacing w:val="-13"/>
                <w:sz w:val="20"/>
              </w:rPr>
              <w:t xml:space="preserve"> </w:t>
            </w:r>
            <w:r>
              <w:rPr>
                <w:sz w:val="20"/>
              </w:rPr>
              <w:t>g/kg</w:t>
            </w:r>
            <w:r>
              <w:rPr>
                <w:spacing w:val="-13"/>
                <w:sz w:val="20"/>
              </w:rPr>
              <w:t xml:space="preserve"> </w:t>
            </w:r>
            <w:r>
              <w:rPr>
                <w:sz w:val="20"/>
              </w:rPr>
              <w:t>1-AMINOCYCLOPROPANE-1-CARBOXYLIC</w:t>
            </w:r>
            <w:r>
              <w:rPr>
                <w:spacing w:val="-13"/>
                <w:sz w:val="20"/>
              </w:rPr>
              <w:t xml:space="preserve"> </w:t>
            </w:r>
            <w:r>
              <w:rPr>
                <w:spacing w:val="-4"/>
                <w:sz w:val="20"/>
              </w:rPr>
              <w:t>ACID</w:t>
            </w:r>
          </w:p>
        </w:tc>
      </w:tr>
    </w:tbl>
    <w:p w14:paraId="7F9B419E"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79D34B3A" w14:textId="77777777" w:rsidTr="0084569A">
        <w:trPr>
          <w:trHeight w:val="400"/>
        </w:trPr>
        <w:tc>
          <w:tcPr>
            <w:tcW w:w="2098" w:type="dxa"/>
          </w:tcPr>
          <w:p w14:paraId="0231547F" w14:textId="77777777" w:rsidR="000A19DC" w:rsidRDefault="000A19DC" w:rsidP="0084569A">
            <w:pPr>
              <w:pStyle w:val="TableParagraph"/>
              <w:ind w:left="85"/>
              <w:rPr>
                <w:sz w:val="20"/>
              </w:rPr>
            </w:pPr>
            <w:r>
              <w:rPr>
                <w:sz w:val="20"/>
              </w:rPr>
              <w:t>Mode</w:t>
            </w:r>
            <w:r>
              <w:rPr>
                <w:spacing w:val="-3"/>
                <w:sz w:val="20"/>
              </w:rPr>
              <w:t xml:space="preserve"> </w:t>
            </w:r>
            <w:r>
              <w:rPr>
                <w:sz w:val="20"/>
              </w:rPr>
              <w:t>of</w:t>
            </w:r>
            <w:r>
              <w:rPr>
                <w:spacing w:val="-3"/>
                <w:sz w:val="20"/>
              </w:rPr>
              <w:t xml:space="preserve"> </w:t>
            </w:r>
            <w:r>
              <w:rPr>
                <w:spacing w:val="-2"/>
                <w:sz w:val="20"/>
              </w:rPr>
              <w:t>Action:</w:t>
            </w:r>
          </w:p>
        </w:tc>
        <w:tc>
          <w:tcPr>
            <w:tcW w:w="7966" w:type="dxa"/>
          </w:tcPr>
          <w:p w14:paraId="3983369F" w14:textId="77777777" w:rsidR="000A19DC" w:rsidRDefault="000A19DC" w:rsidP="0084569A">
            <w:pPr>
              <w:pStyle w:val="TableParagraph"/>
              <w:spacing w:before="0"/>
              <w:ind w:left="0"/>
              <w:rPr>
                <w:rFonts w:ascii="Times New Roman"/>
                <w:sz w:val="20"/>
              </w:rPr>
            </w:pPr>
          </w:p>
        </w:tc>
      </w:tr>
    </w:tbl>
    <w:p w14:paraId="39F9DC44"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1CDFF6D5" w14:textId="77777777" w:rsidTr="0084569A">
        <w:trPr>
          <w:trHeight w:val="640"/>
        </w:trPr>
        <w:tc>
          <w:tcPr>
            <w:tcW w:w="2098" w:type="dxa"/>
          </w:tcPr>
          <w:p w14:paraId="418401A2" w14:textId="77777777" w:rsidR="000A19DC" w:rsidRDefault="000A19DC" w:rsidP="0084569A">
            <w:pPr>
              <w:pStyle w:val="TableParagraph"/>
              <w:ind w:left="85"/>
              <w:rPr>
                <w:sz w:val="20"/>
              </w:rPr>
            </w:pPr>
            <w:r>
              <w:rPr>
                <w:sz w:val="20"/>
              </w:rPr>
              <w:t>Statement</w:t>
            </w:r>
            <w:r>
              <w:rPr>
                <w:spacing w:val="-6"/>
                <w:sz w:val="20"/>
              </w:rPr>
              <w:t xml:space="preserve"> </w:t>
            </w:r>
            <w:r>
              <w:rPr>
                <w:sz w:val="20"/>
              </w:rPr>
              <w:t>of</w:t>
            </w:r>
            <w:r>
              <w:rPr>
                <w:spacing w:val="-5"/>
                <w:sz w:val="20"/>
              </w:rPr>
              <w:t xml:space="preserve"> </w:t>
            </w:r>
            <w:r>
              <w:rPr>
                <w:spacing w:val="-2"/>
                <w:sz w:val="20"/>
              </w:rPr>
              <w:t>Claims:</w:t>
            </w:r>
          </w:p>
        </w:tc>
        <w:tc>
          <w:tcPr>
            <w:tcW w:w="7966" w:type="dxa"/>
          </w:tcPr>
          <w:p w14:paraId="003F7108" w14:textId="77777777" w:rsidR="000A19DC" w:rsidRDefault="000A19DC" w:rsidP="0084569A">
            <w:pPr>
              <w:pStyle w:val="TableParagraph"/>
              <w:spacing w:line="249" w:lineRule="auto"/>
              <w:ind w:right="241"/>
              <w:rPr>
                <w:sz w:val="20"/>
              </w:rPr>
            </w:pPr>
            <w:r>
              <w:rPr>
                <w:sz w:val="20"/>
              </w:rPr>
              <w:t>For</w:t>
            </w:r>
            <w:r>
              <w:rPr>
                <w:spacing w:val="-4"/>
                <w:sz w:val="20"/>
              </w:rPr>
              <w:t xml:space="preserve"> </w:t>
            </w:r>
            <w:r>
              <w:rPr>
                <w:sz w:val="20"/>
              </w:rPr>
              <w:t>crop</w:t>
            </w:r>
            <w:r>
              <w:rPr>
                <w:spacing w:val="-4"/>
                <w:sz w:val="20"/>
              </w:rPr>
              <w:t xml:space="preserve"> </w:t>
            </w:r>
            <w:r>
              <w:rPr>
                <w:sz w:val="20"/>
              </w:rPr>
              <w:t>thinning</w:t>
            </w:r>
            <w:r>
              <w:rPr>
                <w:spacing w:val="-4"/>
                <w:sz w:val="20"/>
              </w:rPr>
              <w:t xml:space="preserve"> </w:t>
            </w:r>
            <w:r>
              <w:rPr>
                <w:sz w:val="20"/>
              </w:rPr>
              <w:t>in</w:t>
            </w:r>
            <w:r>
              <w:rPr>
                <w:spacing w:val="-4"/>
                <w:sz w:val="20"/>
              </w:rPr>
              <w:t xml:space="preserve"> </w:t>
            </w:r>
            <w:r>
              <w:rPr>
                <w:sz w:val="20"/>
              </w:rPr>
              <w:t>Apples,</w:t>
            </w:r>
            <w:r>
              <w:rPr>
                <w:spacing w:val="-4"/>
                <w:sz w:val="20"/>
              </w:rPr>
              <w:t xml:space="preserve"> </w:t>
            </w:r>
            <w:r>
              <w:rPr>
                <w:sz w:val="20"/>
              </w:rPr>
              <w:t>Nectarines,</w:t>
            </w:r>
            <w:r>
              <w:rPr>
                <w:spacing w:val="-4"/>
                <w:sz w:val="20"/>
              </w:rPr>
              <w:t xml:space="preserve"> </w:t>
            </w:r>
            <w:r>
              <w:rPr>
                <w:sz w:val="20"/>
              </w:rPr>
              <w:t>Peaches</w:t>
            </w:r>
            <w:r>
              <w:rPr>
                <w:spacing w:val="-4"/>
                <w:sz w:val="20"/>
              </w:rPr>
              <w:t xml:space="preserve"> </w:t>
            </w:r>
            <w:r>
              <w:rPr>
                <w:sz w:val="20"/>
              </w:rPr>
              <w:t>and</w:t>
            </w:r>
            <w:r>
              <w:rPr>
                <w:spacing w:val="-4"/>
                <w:sz w:val="20"/>
              </w:rPr>
              <w:t xml:space="preserve"> </w:t>
            </w:r>
            <w:r>
              <w:rPr>
                <w:sz w:val="20"/>
              </w:rPr>
              <w:t>Plums</w:t>
            </w:r>
            <w:r>
              <w:rPr>
                <w:spacing w:val="-4"/>
                <w:sz w:val="20"/>
              </w:rPr>
              <w:t xml:space="preserve"> </w:t>
            </w:r>
            <w:r>
              <w:rPr>
                <w:sz w:val="20"/>
              </w:rPr>
              <w:t>as</w:t>
            </w:r>
            <w:r>
              <w:rPr>
                <w:spacing w:val="-4"/>
                <w:sz w:val="20"/>
              </w:rPr>
              <w:t xml:space="preserve"> </w:t>
            </w:r>
            <w:r>
              <w:rPr>
                <w:sz w:val="20"/>
              </w:rPr>
              <w:t>per</w:t>
            </w:r>
            <w:r>
              <w:rPr>
                <w:spacing w:val="-4"/>
                <w:sz w:val="20"/>
              </w:rPr>
              <w:t xml:space="preserve"> </w:t>
            </w:r>
            <w:r>
              <w:rPr>
                <w:sz w:val="20"/>
              </w:rPr>
              <w:t>Directions</w:t>
            </w:r>
            <w:r>
              <w:rPr>
                <w:spacing w:val="-4"/>
                <w:sz w:val="20"/>
              </w:rPr>
              <w:t xml:space="preserve"> </w:t>
            </w:r>
            <w:r>
              <w:rPr>
                <w:sz w:val="20"/>
              </w:rPr>
              <w:t>for</w:t>
            </w:r>
            <w:r>
              <w:rPr>
                <w:spacing w:val="-4"/>
                <w:sz w:val="20"/>
              </w:rPr>
              <w:t xml:space="preserve"> </w:t>
            </w:r>
            <w:r>
              <w:rPr>
                <w:sz w:val="20"/>
              </w:rPr>
              <w:t xml:space="preserve">Use </w:t>
            </w:r>
            <w:r>
              <w:rPr>
                <w:spacing w:val="-2"/>
                <w:sz w:val="20"/>
              </w:rPr>
              <w:t>table.</w:t>
            </w:r>
          </w:p>
        </w:tc>
      </w:tr>
    </w:tbl>
    <w:p w14:paraId="570D0253"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010C8DB1" w14:textId="77777777" w:rsidTr="0084569A">
        <w:trPr>
          <w:trHeight w:val="400"/>
        </w:trPr>
        <w:tc>
          <w:tcPr>
            <w:tcW w:w="2098" w:type="dxa"/>
          </w:tcPr>
          <w:p w14:paraId="291F142D" w14:textId="77777777" w:rsidR="000A19DC" w:rsidRDefault="000A19DC" w:rsidP="0084569A">
            <w:pPr>
              <w:pStyle w:val="TableParagraph"/>
              <w:ind w:left="85"/>
              <w:rPr>
                <w:sz w:val="20"/>
              </w:rPr>
            </w:pPr>
            <w:r>
              <w:rPr>
                <w:sz w:val="20"/>
              </w:rPr>
              <w:t>Net</w:t>
            </w:r>
            <w:r>
              <w:rPr>
                <w:spacing w:val="-3"/>
                <w:sz w:val="20"/>
              </w:rPr>
              <w:t xml:space="preserve"> </w:t>
            </w:r>
            <w:r>
              <w:rPr>
                <w:spacing w:val="-2"/>
                <w:sz w:val="20"/>
              </w:rPr>
              <w:t>Contents:</w:t>
            </w:r>
          </w:p>
        </w:tc>
        <w:tc>
          <w:tcPr>
            <w:tcW w:w="7966" w:type="dxa"/>
          </w:tcPr>
          <w:p w14:paraId="2855DD03" w14:textId="77777777" w:rsidR="000A19DC" w:rsidRDefault="000A19DC" w:rsidP="0084569A">
            <w:pPr>
              <w:pStyle w:val="TableParagraph"/>
              <w:rPr>
                <w:sz w:val="20"/>
              </w:rPr>
            </w:pPr>
            <w:r>
              <w:rPr>
                <w:sz w:val="20"/>
              </w:rPr>
              <w:t>500g</w:t>
            </w:r>
            <w:r>
              <w:rPr>
                <w:spacing w:val="-3"/>
                <w:sz w:val="20"/>
              </w:rPr>
              <w:t xml:space="preserve"> </w:t>
            </w:r>
            <w:r>
              <w:rPr>
                <w:sz w:val="20"/>
              </w:rPr>
              <w:t>-</w:t>
            </w:r>
            <w:r>
              <w:rPr>
                <w:spacing w:val="-2"/>
                <w:sz w:val="20"/>
              </w:rPr>
              <w:t xml:space="preserve"> </w:t>
            </w:r>
            <w:r>
              <w:rPr>
                <w:spacing w:val="-4"/>
                <w:sz w:val="20"/>
              </w:rPr>
              <w:t>50kg</w:t>
            </w:r>
          </w:p>
        </w:tc>
      </w:tr>
    </w:tbl>
    <w:p w14:paraId="59A46B5B"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360613E8" w14:textId="77777777" w:rsidTr="0084569A">
        <w:trPr>
          <w:trHeight w:val="880"/>
        </w:trPr>
        <w:tc>
          <w:tcPr>
            <w:tcW w:w="2098" w:type="dxa"/>
          </w:tcPr>
          <w:p w14:paraId="13B77AC6" w14:textId="77777777" w:rsidR="000A19DC" w:rsidRDefault="000A19DC" w:rsidP="0084569A">
            <w:pPr>
              <w:pStyle w:val="TableParagraph"/>
              <w:ind w:left="85"/>
              <w:rPr>
                <w:sz w:val="20"/>
              </w:rPr>
            </w:pPr>
            <w:r>
              <w:rPr>
                <w:spacing w:val="-2"/>
                <w:sz w:val="20"/>
              </w:rPr>
              <w:t>Restraints:</w:t>
            </w:r>
          </w:p>
        </w:tc>
        <w:tc>
          <w:tcPr>
            <w:tcW w:w="7966" w:type="dxa"/>
          </w:tcPr>
          <w:p w14:paraId="00EDAE6A" w14:textId="77777777" w:rsidR="000A19DC" w:rsidRDefault="000A19DC" w:rsidP="0084569A">
            <w:pPr>
              <w:pStyle w:val="TableParagraph"/>
              <w:spacing w:line="249" w:lineRule="auto"/>
              <w:ind w:left="404" w:right="4435"/>
              <w:rPr>
                <w:sz w:val="20"/>
              </w:rPr>
            </w:pPr>
            <w:r>
              <w:rPr>
                <w:sz w:val="20"/>
              </w:rPr>
              <w:t>This</w:t>
            </w:r>
            <w:r>
              <w:rPr>
                <w:spacing w:val="-10"/>
                <w:sz w:val="20"/>
              </w:rPr>
              <w:t xml:space="preserve"> </w:t>
            </w:r>
            <w:r>
              <w:rPr>
                <w:sz w:val="20"/>
              </w:rPr>
              <w:t>section</w:t>
            </w:r>
            <w:r>
              <w:rPr>
                <w:spacing w:val="-10"/>
                <w:sz w:val="20"/>
              </w:rPr>
              <w:t xml:space="preserve"> </w:t>
            </w:r>
            <w:r>
              <w:rPr>
                <w:sz w:val="20"/>
              </w:rPr>
              <w:t>contains</w:t>
            </w:r>
            <w:r>
              <w:rPr>
                <w:spacing w:val="-10"/>
                <w:sz w:val="20"/>
              </w:rPr>
              <w:t xml:space="preserve"> </w:t>
            </w:r>
            <w:r>
              <w:rPr>
                <w:sz w:val="20"/>
              </w:rPr>
              <w:t>file</w:t>
            </w:r>
            <w:r>
              <w:rPr>
                <w:spacing w:val="-10"/>
                <w:sz w:val="20"/>
              </w:rPr>
              <w:t xml:space="preserve"> </w:t>
            </w:r>
            <w:r>
              <w:rPr>
                <w:sz w:val="20"/>
              </w:rPr>
              <w:t>attachment. File Name:</w:t>
            </w:r>
            <w:r>
              <w:rPr>
                <w:spacing w:val="80"/>
                <w:sz w:val="20"/>
              </w:rPr>
              <w:t xml:space="preserve"> </w:t>
            </w:r>
            <w:r>
              <w:rPr>
                <w:sz w:val="20"/>
              </w:rPr>
              <w:t>RESTRAINTS.docx</w:t>
            </w:r>
          </w:p>
          <w:p w14:paraId="3948B9A0" w14:textId="77777777" w:rsidR="000A19DC" w:rsidRDefault="000A19DC" w:rsidP="0084569A">
            <w:pPr>
              <w:pStyle w:val="TableParagraph"/>
              <w:tabs>
                <w:tab w:val="left" w:pos="1503"/>
              </w:tabs>
              <w:spacing w:before="2"/>
              <w:ind w:left="404"/>
              <w:rPr>
                <w:sz w:val="20"/>
              </w:rPr>
            </w:pPr>
            <w:r>
              <w:rPr>
                <w:sz w:val="20"/>
              </w:rPr>
              <w:t>File</w:t>
            </w:r>
            <w:r>
              <w:rPr>
                <w:spacing w:val="-4"/>
                <w:sz w:val="20"/>
              </w:rPr>
              <w:t xml:space="preserve"> </w:t>
            </w:r>
            <w:r>
              <w:rPr>
                <w:spacing w:val="-2"/>
                <w:sz w:val="20"/>
              </w:rPr>
              <w:t>Size:</w:t>
            </w:r>
            <w:r>
              <w:rPr>
                <w:sz w:val="20"/>
              </w:rPr>
              <w:tab/>
              <w:t>17671</w:t>
            </w:r>
            <w:r>
              <w:rPr>
                <w:spacing w:val="-5"/>
                <w:sz w:val="20"/>
              </w:rPr>
              <w:t xml:space="preserve"> </w:t>
            </w:r>
            <w:r>
              <w:rPr>
                <w:spacing w:val="-2"/>
                <w:sz w:val="20"/>
              </w:rPr>
              <w:t>bytes</w:t>
            </w:r>
          </w:p>
        </w:tc>
      </w:tr>
    </w:tbl>
    <w:p w14:paraId="223675FD"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5EDC8578" w14:textId="77777777" w:rsidTr="0084569A">
        <w:trPr>
          <w:trHeight w:val="880"/>
        </w:trPr>
        <w:tc>
          <w:tcPr>
            <w:tcW w:w="2098" w:type="dxa"/>
          </w:tcPr>
          <w:p w14:paraId="1E59220F" w14:textId="77777777" w:rsidR="000A19DC" w:rsidRDefault="000A19DC" w:rsidP="0084569A">
            <w:pPr>
              <w:pStyle w:val="TableParagraph"/>
              <w:ind w:left="85"/>
              <w:rPr>
                <w:sz w:val="20"/>
              </w:rPr>
            </w:pPr>
            <w:r>
              <w:rPr>
                <w:sz w:val="20"/>
              </w:rPr>
              <w:t>Directions</w:t>
            </w:r>
            <w:r>
              <w:rPr>
                <w:spacing w:val="-1"/>
                <w:sz w:val="20"/>
              </w:rPr>
              <w:t xml:space="preserve"> </w:t>
            </w:r>
            <w:r>
              <w:rPr>
                <w:sz w:val="20"/>
              </w:rPr>
              <w:t>for</w:t>
            </w:r>
            <w:r>
              <w:rPr>
                <w:spacing w:val="-1"/>
                <w:sz w:val="20"/>
              </w:rPr>
              <w:t xml:space="preserve"> </w:t>
            </w:r>
            <w:r>
              <w:rPr>
                <w:spacing w:val="-4"/>
                <w:sz w:val="20"/>
              </w:rPr>
              <w:t>Use:</w:t>
            </w:r>
          </w:p>
        </w:tc>
        <w:tc>
          <w:tcPr>
            <w:tcW w:w="7966" w:type="dxa"/>
          </w:tcPr>
          <w:p w14:paraId="5C7C674C" w14:textId="77777777" w:rsidR="000A19DC" w:rsidRDefault="000A19DC" w:rsidP="0084569A">
            <w:pPr>
              <w:pStyle w:val="TableParagraph"/>
              <w:rPr>
                <w:sz w:val="20"/>
              </w:rPr>
            </w:pPr>
            <w:r>
              <w:rPr>
                <w:sz w:val="20"/>
              </w:rPr>
              <w:t>This</w:t>
            </w:r>
            <w:r>
              <w:rPr>
                <w:spacing w:val="-6"/>
                <w:sz w:val="20"/>
              </w:rPr>
              <w:t xml:space="preserve"> </w:t>
            </w:r>
            <w:r>
              <w:rPr>
                <w:sz w:val="20"/>
              </w:rPr>
              <w:t>section</w:t>
            </w:r>
            <w:r>
              <w:rPr>
                <w:spacing w:val="-3"/>
                <w:sz w:val="20"/>
              </w:rPr>
              <w:t xml:space="preserve"> </w:t>
            </w:r>
            <w:r>
              <w:rPr>
                <w:sz w:val="20"/>
              </w:rPr>
              <w:t>contains</w:t>
            </w:r>
            <w:r>
              <w:rPr>
                <w:spacing w:val="-3"/>
                <w:sz w:val="20"/>
              </w:rPr>
              <w:t xml:space="preserve"> </w:t>
            </w:r>
            <w:r>
              <w:rPr>
                <w:sz w:val="20"/>
              </w:rPr>
              <w:t>file</w:t>
            </w:r>
            <w:r>
              <w:rPr>
                <w:spacing w:val="-3"/>
                <w:sz w:val="20"/>
              </w:rPr>
              <w:t xml:space="preserve"> </w:t>
            </w:r>
            <w:r>
              <w:rPr>
                <w:spacing w:val="-2"/>
                <w:sz w:val="20"/>
              </w:rPr>
              <w:t>attachment.</w:t>
            </w:r>
          </w:p>
          <w:p w14:paraId="2B93C440" w14:textId="77777777" w:rsidR="000A19DC" w:rsidRDefault="000A19DC" w:rsidP="0084569A">
            <w:pPr>
              <w:pStyle w:val="TableParagraph"/>
              <w:tabs>
                <w:tab w:val="left" w:pos="1303"/>
              </w:tabs>
              <w:spacing w:before="10" w:line="249" w:lineRule="auto"/>
              <w:ind w:right="4388"/>
              <w:rPr>
                <w:sz w:val="20"/>
              </w:rPr>
            </w:pPr>
            <w:r>
              <w:rPr>
                <w:sz w:val="20"/>
              </w:rPr>
              <w:t>File</w:t>
            </w:r>
            <w:r>
              <w:rPr>
                <w:spacing w:val="-8"/>
                <w:sz w:val="20"/>
              </w:rPr>
              <w:t xml:space="preserve"> </w:t>
            </w:r>
            <w:r>
              <w:rPr>
                <w:sz w:val="20"/>
              </w:rPr>
              <w:t>Name:</w:t>
            </w:r>
            <w:r>
              <w:rPr>
                <w:spacing w:val="80"/>
                <w:sz w:val="20"/>
              </w:rPr>
              <w:t xml:space="preserve"> </w:t>
            </w:r>
            <w:r>
              <w:rPr>
                <w:sz w:val="20"/>
              </w:rPr>
              <w:t>DIRECTIONS</w:t>
            </w:r>
            <w:r>
              <w:rPr>
                <w:spacing w:val="-8"/>
                <w:sz w:val="20"/>
              </w:rPr>
              <w:t xml:space="preserve"> </w:t>
            </w:r>
            <w:r>
              <w:rPr>
                <w:sz w:val="20"/>
              </w:rPr>
              <w:t>FOR</w:t>
            </w:r>
            <w:r>
              <w:rPr>
                <w:spacing w:val="-8"/>
                <w:sz w:val="20"/>
              </w:rPr>
              <w:t xml:space="preserve"> </w:t>
            </w:r>
            <w:r>
              <w:rPr>
                <w:sz w:val="20"/>
              </w:rPr>
              <w:t>USE.docx File Size:</w:t>
            </w:r>
            <w:r>
              <w:rPr>
                <w:sz w:val="20"/>
              </w:rPr>
              <w:tab/>
              <w:t>19067 bytes</w:t>
            </w:r>
          </w:p>
        </w:tc>
      </w:tr>
    </w:tbl>
    <w:p w14:paraId="4CF92B9A"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422051C2" w14:textId="77777777" w:rsidTr="0084569A">
        <w:trPr>
          <w:trHeight w:val="400"/>
        </w:trPr>
        <w:tc>
          <w:tcPr>
            <w:tcW w:w="2098" w:type="dxa"/>
          </w:tcPr>
          <w:p w14:paraId="0E0A9913" w14:textId="77777777" w:rsidR="000A19DC" w:rsidRDefault="000A19DC" w:rsidP="0084569A">
            <w:pPr>
              <w:pStyle w:val="TableParagraph"/>
              <w:ind w:left="85"/>
              <w:rPr>
                <w:sz w:val="20"/>
              </w:rPr>
            </w:pPr>
            <w:r>
              <w:rPr>
                <w:sz w:val="20"/>
              </w:rPr>
              <w:t>Other</w:t>
            </w:r>
            <w:r>
              <w:rPr>
                <w:spacing w:val="-1"/>
                <w:sz w:val="20"/>
              </w:rPr>
              <w:t xml:space="preserve"> </w:t>
            </w:r>
            <w:r>
              <w:rPr>
                <w:spacing w:val="-2"/>
                <w:sz w:val="20"/>
              </w:rPr>
              <w:t>Limitations:</w:t>
            </w:r>
          </w:p>
        </w:tc>
        <w:tc>
          <w:tcPr>
            <w:tcW w:w="7966" w:type="dxa"/>
          </w:tcPr>
          <w:p w14:paraId="479F377B" w14:textId="77777777" w:rsidR="000A19DC" w:rsidRDefault="000A19DC" w:rsidP="0084569A">
            <w:pPr>
              <w:pStyle w:val="TableParagraph"/>
              <w:spacing w:before="0"/>
              <w:ind w:left="0"/>
              <w:rPr>
                <w:rFonts w:ascii="Times New Roman"/>
                <w:sz w:val="20"/>
              </w:rPr>
            </w:pPr>
          </w:p>
        </w:tc>
      </w:tr>
    </w:tbl>
    <w:p w14:paraId="6CED64C7"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46F91113" w14:textId="77777777" w:rsidTr="0084569A">
        <w:trPr>
          <w:trHeight w:val="400"/>
        </w:trPr>
        <w:tc>
          <w:tcPr>
            <w:tcW w:w="2098" w:type="dxa"/>
          </w:tcPr>
          <w:p w14:paraId="6A40164F" w14:textId="77777777" w:rsidR="000A19DC" w:rsidRDefault="000A19DC" w:rsidP="0084569A">
            <w:pPr>
              <w:pStyle w:val="TableParagraph"/>
              <w:ind w:left="85"/>
              <w:rPr>
                <w:sz w:val="20"/>
              </w:rPr>
            </w:pPr>
            <w:r>
              <w:rPr>
                <w:sz w:val="20"/>
              </w:rPr>
              <w:t>Withholding</w:t>
            </w:r>
            <w:r>
              <w:rPr>
                <w:spacing w:val="-11"/>
                <w:sz w:val="20"/>
              </w:rPr>
              <w:t xml:space="preserve"> </w:t>
            </w:r>
            <w:r>
              <w:rPr>
                <w:spacing w:val="-2"/>
                <w:sz w:val="20"/>
              </w:rPr>
              <w:t>Periods:</w:t>
            </w:r>
          </w:p>
        </w:tc>
        <w:tc>
          <w:tcPr>
            <w:tcW w:w="7966" w:type="dxa"/>
          </w:tcPr>
          <w:p w14:paraId="37A4C3D2" w14:textId="77777777" w:rsidR="000A19DC" w:rsidRDefault="000A19DC" w:rsidP="0084569A">
            <w:pPr>
              <w:pStyle w:val="TableParagraph"/>
              <w:rPr>
                <w:sz w:val="20"/>
              </w:rPr>
            </w:pPr>
            <w:r>
              <w:rPr>
                <w:sz w:val="20"/>
              </w:rPr>
              <w:t>NOT</w:t>
            </w:r>
            <w:r>
              <w:rPr>
                <w:spacing w:val="-7"/>
                <w:sz w:val="20"/>
              </w:rPr>
              <w:t xml:space="preserve"> </w:t>
            </w:r>
            <w:r>
              <w:rPr>
                <w:sz w:val="20"/>
              </w:rPr>
              <w:t>REQUIRED</w:t>
            </w:r>
            <w:r>
              <w:rPr>
                <w:spacing w:val="-4"/>
                <w:sz w:val="20"/>
              </w:rPr>
              <w:t xml:space="preserve"> </w:t>
            </w:r>
            <w:r>
              <w:rPr>
                <w:sz w:val="20"/>
              </w:rPr>
              <w:t>WHEN</w:t>
            </w:r>
            <w:r>
              <w:rPr>
                <w:spacing w:val="-4"/>
                <w:sz w:val="20"/>
              </w:rPr>
              <w:t xml:space="preserve"> </w:t>
            </w:r>
            <w:r>
              <w:rPr>
                <w:sz w:val="20"/>
              </w:rPr>
              <w:t>USED</w:t>
            </w:r>
            <w:r>
              <w:rPr>
                <w:spacing w:val="-4"/>
                <w:sz w:val="20"/>
              </w:rPr>
              <w:t xml:space="preserve"> </w:t>
            </w:r>
            <w:r>
              <w:rPr>
                <w:sz w:val="20"/>
              </w:rPr>
              <w:t>AS</w:t>
            </w:r>
            <w:r>
              <w:rPr>
                <w:spacing w:val="-4"/>
                <w:sz w:val="20"/>
              </w:rPr>
              <w:t xml:space="preserve"> </w:t>
            </w:r>
            <w:r>
              <w:rPr>
                <w:spacing w:val="-2"/>
                <w:sz w:val="20"/>
              </w:rPr>
              <w:t>DIRECTED.</w:t>
            </w:r>
          </w:p>
        </w:tc>
      </w:tr>
    </w:tbl>
    <w:p w14:paraId="5C10F22C"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4E3D1C31" w14:textId="77777777" w:rsidTr="0084569A">
        <w:trPr>
          <w:trHeight w:val="400"/>
        </w:trPr>
        <w:tc>
          <w:tcPr>
            <w:tcW w:w="2098" w:type="dxa"/>
          </w:tcPr>
          <w:p w14:paraId="11276DE2" w14:textId="77777777" w:rsidR="000A19DC" w:rsidRDefault="000A19DC" w:rsidP="0084569A">
            <w:pPr>
              <w:pStyle w:val="TableParagraph"/>
              <w:ind w:left="85"/>
              <w:rPr>
                <w:sz w:val="20"/>
              </w:rPr>
            </w:pPr>
            <w:r>
              <w:rPr>
                <w:sz w:val="20"/>
              </w:rPr>
              <w:t>Trade</w:t>
            </w:r>
            <w:r>
              <w:rPr>
                <w:spacing w:val="-5"/>
                <w:sz w:val="20"/>
              </w:rPr>
              <w:t xml:space="preserve"> </w:t>
            </w:r>
            <w:r>
              <w:rPr>
                <w:spacing w:val="-2"/>
                <w:sz w:val="20"/>
              </w:rPr>
              <w:t>Advice:</w:t>
            </w:r>
          </w:p>
        </w:tc>
        <w:tc>
          <w:tcPr>
            <w:tcW w:w="7966" w:type="dxa"/>
          </w:tcPr>
          <w:p w14:paraId="30AF4028" w14:textId="77777777" w:rsidR="000A19DC" w:rsidRDefault="000A19DC" w:rsidP="0084569A">
            <w:pPr>
              <w:pStyle w:val="TableParagraph"/>
              <w:spacing w:before="0"/>
              <w:ind w:left="0"/>
              <w:rPr>
                <w:rFonts w:ascii="Times New Roman"/>
                <w:sz w:val="20"/>
              </w:rPr>
            </w:pPr>
          </w:p>
        </w:tc>
      </w:tr>
    </w:tbl>
    <w:p w14:paraId="196F5F97" w14:textId="77777777" w:rsidR="000A19DC" w:rsidRDefault="000A19DC" w:rsidP="000A19DC">
      <w:pPr>
        <w:pStyle w:val="TableParagraph"/>
        <w:rPr>
          <w:rFonts w:ascii="Times New Roman"/>
          <w:sz w:val="20"/>
        </w:rPr>
        <w:sectPr w:rsidR="000A19DC" w:rsidSect="00274331">
          <w:headerReference w:type="default" r:id="rId40"/>
          <w:footerReference w:type="default" r:id="rId41"/>
          <w:pgSz w:w="11910" w:h="16840"/>
          <w:pgMar w:top="2835" w:right="1134" w:bottom="1134" w:left="1134" w:header="1701" w:footer="799" w:gutter="0"/>
          <w:cols w:space="720"/>
          <w:docGrid w:linePitch="272"/>
        </w:sectPr>
      </w:pPr>
    </w:p>
    <w:p w14:paraId="60B2EAE3" w14:textId="77777777" w:rsidR="000A19DC" w:rsidRDefault="000A19DC" w:rsidP="000A19DC">
      <w:pPr>
        <w:pStyle w:val="BodyText0"/>
        <w:spacing w:before="5"/>
        <w:ind w:left="142"/>
        <w:rPr>
          <w:sz w:val="12"/>
        </w:rPr>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5614E166" w14:textId="77777777" w:rsidTr="000A19DC">
        <w:trPr>
          <w:trHeight w:val="880"/>
        </w:trPr>
        <w:tc>
          <w:tcPr>
            <w:tcW w:w="2098" w:type="dxa"/>
          </w:tcPr>
          <w:p w14:paraId="4AE9E7CC" w14:textId="77777777" w:rsidR="000A19DC" w:rsidRDefault="000A19DC" w:rsidP="0084569A">
            <w:pPr>
              <w:pStyle w:val="TableParagraph"/>
              <w:ind w:left="85"/>
              <w:rPr>
                <w:sz w:val="20"/>
              </w:rPr>
            </w:pPr>
            <w:r>
              <w:rPr>
                <w:sz w:val="20"/>
              </w:rPr>
              <w:t>General</w:t>
            </w:r>
            <w:r>
              <w:rPr>
                <w:spacing w:val="-7"/>
                <w:sz w:val="20"/>
              </w:rPr>
              <w:t xml:space="preserve"> </w:t>
            </w:r>
            <w:r>
              <w:rPr>
                <w:spacing w:val="-2"/>
                <w:sz w:val="20"/>
              </w:rPr>
              <w:t>Instructions:</w:t>
            </w:r>
          </w:p>
        </w:tc>
        <w:tc>
          <w:tcPr>
            <w:tcW w:w="7531" w:type="dxa"/>
          </w:tcPr>
          <w:p w14:paraId="0A6E5514" w14:textId="77777777" w:rsidR="000A19DC" w:rsidRDefault="000A19DC" w:rsidP="0084569A">
            <w:pPr>
              <w:pStyle w:val="TableParagraph"/>
              <w:rPr>
                <w:sz w:val="20"/>
              </w:rPr>
            </w:pPr>
            <w:r>
              <w:rPr>
                <w:sz w:val="20"/>
              </w:rPr>
              <w:t>This</w:t>
            </w:r>
            <w:r>
              <w:rPr>
                <w:spacing w:val="-6"/>
                <w:sz w:val="20"/>
              </w:rPr>
              <w:t xml:space="preserve"> </w:t>
            </w:r>
            <w:r>
              <w:rPr>
                <w:sz w:val="20"/>
              </w:rPr>
              <w:t>section</w:t>
            </w:r>
            <w:r>
              <w:rPr>
                <w:spacing w:val="-3"/>
                <w:sz w:val="20"/>
              </w:rPr>
              <w:t xml:space="preserve"> </w:t>
            </w:r>
            <w:r>
              <w:rPr>
                <w:sz w:val="20"/>
              </w:rPr>
              <w:t>contains</w:t>
            </w:r>
            <w:r>
              <w:rPr>
                <w:spacing w:val="-3"/>
                <w:sz w:val="20"/>
              </w:rPr>
              <w:t xml:space="preserve"> </w:t>
            </w:r>
            <w:r>
              <w:rPr>
                <w:sz w:val="20"/>
              </w:rPr>
              <w:t>file</w:t>
            </w:r>
            <w:r>
              <w:rPr>
                <w:spacing w:val="-3"/>
                <w:sz w:val="20"/>
              </w:rPr>
              <w:t xml:space="preserve"> </w:t>
            </w:r>
            <w:r>
              <w:rPr>
                <w:spacing w:val="-2"/>
                <w:sz w:val="20"/>
              </w:rPr>
              <w:t>attachment.</w:t>
            </w:r>
          </w:p>
          <w:p w14:paraId="45C29D2F" w14:textId="77777777" w:rsidR="000A19DC" w:rsidRDefault="000A19DC" w:rsidP="0084569A">
            <w:pPr>
              <w:pStyle w:val="TableParagraph"/>
              <w:tabs>
                <w:tab w:val="left" w:pos="1303"/>
              </w:tabs>
              <w:spacing w:before="10" w:line="249" w:lineRule="auto"/>
              <w:ind w:right="4052"/>
              <w:rPr>
                <w:sz w:val="20"/>
              </w:rPr>
            </w:pPr>
            <w:r>
              <w:rPr>
                <w:sz w:val="20"/>
              </w:rPr>
              <w:t>File</w:t>
            </w:r>
            <w:r>
              <w:rPr>
                <w:spacing w:val="-8"/>
                <w:sz w:val="20"/>
              </w:rPr>
              <w:t xml:space="preserve"> </w:t>
            </w:r>
            <w:r>
              <w:rPr>
                <w:sz w:val="20"/>
              </w:rPr>
              <w:t>Name:</w:t>
            </w:r>
            <w:r>
              <w:rPr>
                <w:spacing w:val="80"/>
                <w:sz w:val="20"/>
              </w:rPr>
              <w:t xml:space="preserve"> </w:t>
            </w:r>
            <w:r>
              <w:rPr>
                <w:sz w:val="20"/>
              </w:rPr>
              <w:t>GENERAL</w:t>
            </w:r>
            <w:r>
              <w:rPr>
                <w:spacing w:val="-8"/>
                <w:sz w:val="20"/>
              </w:rPr>
              <w:t xml:space="preserve"> </w:t>
            </w:r>
            <w:r>
              <w:rPr>
                <w:sz w:val="20"/>
              </w:rPr>
              <w:t>INSTRUCTIONS.docx File Size:</w:t>
            </w:r>
            <w:r>
              <w:rPr>
                <w:sz w:val="20"/>
              </w:rPr>
              <w:tab/>
              <w:t>260401 bytes</w:t>
            </w:r>
          </w:p>
        </w:tc>
      </w:tr>
    </w:tbl>
    <w:p w14:paraId="7A17F146" w14:textId="77777777" w:rsidR="000A19DC" w:rsidRDefault="000A19DC" w:rsidP="000A19DC">
      <w:pPr>
        <w:pStyle w:val="BodyText0"/>
        <w:ind w:left="142"/>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227CF1DC" w14:textId="77777777" w:rsidTr="000A19DC">
        <w:trPr>
          <w:trHeight w:val="400"/>
        </w:trPr>
        <w:tc>
          <w:tcPr>
            <w:tcW w:w="2098" w:type="dxa"/>
          </w:tcPr>
          <w:p w14:paraId="039007DD" w14:textId="77777777" w:rsidR="000A19DC" w:rsidRDefault="000A19DC" w:rsidP="0084569A">
            <w:pPr>
              <w:pStyle w:val="TableParagraph"/>
              <w:ind w:left="85"/>
              <w:rPr>
                <w:sz w:val="20"/>
              </w:rPr>
            </w:pPr>
            <w:r>
              <w:rPr>
                <w:sz w:val="20"/>
              </w:rPr>
              <w:t>Resistance</w:t>
            </w:r>
            <w:r>
              <w:rPr>
                <w:spacing w:val="-10"/>
                <w:sz w:val="20"/>
              </w:rPr>
              <w:t xml:space="preserve"> </w:t>
            </w:r>
            <w:r>
              <w:rPr>
                <w:spacing w:val="-2"/>
                <w:sz w:val="20"/>
              </w:rPr>
              <w:t>Warning:</w:t>
            </w:r>
          </w:p>
        </w:tc>
        <w:tc>
          <w:tcPr>
            <w:tcW w:w="7531" w:type="dxa"/>
          </w:tcPr>
          <w:p w14:paraId="478A5F75" w14:textId="77777777" w:rsidR="000A19DC" w:rsidRDefault="000A19DC" w:rsidP="0084569A">
            <w:pPr>
              <w:pStyle w:val="TableParagraph"/>
              <w:spacing w:before="0"/>
              <w:ind w:left="0"/>
              <w:rPr>
                <w:rFonts w:ascii="Times New Roman"/>
                <w:sz w:val="18"/>
              </w:rPr>
            </w:pPr>
          </w:p>
        </w:tc>
      </w:tr>
    </w:tbl>
    <w:p w14:paraId="2E573D0B" w14:textId="77777777" w:rsidR="000A19DC" w:rsidRDefault="000A19DC" w:rsidP="000A19DC">
      <w:pPr>
        <w:pStyle w:val="BodyText0"/>
        <w:ind w:left="142"/>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159E47B6" w14:textId="77777777" w:rsidTr="000A19DC">
        <w:trPr>
          <w:trHeight w:val="1360"/>
        </w:trPr>
        <w:tc>
          <w:tcPr>
            <w:tcW w:w="2098" w:type="dxa"/>
          </w:tcPr>
          <w:p w14:paraId="63CDAAB5" w14:textId="77777777" w:rsidR="000A19DC" w:rsidRDefault="000A19DC" w:rsidP="0084569A">
            <w:pPr>
              <w:pStyle w:val="TableParagraph"/>
              <w:ind w:left="85"/>
              <w:rPr>
                <w:sz w:val="20"/>
              </w:rPr>
            </w:pPr>
            <w:r>
              <w:rPr>
                <w:spacing w:val="-2"/>
                <w:sz w:val="20"/>
              </w:rPr>
              <w:t>Precautions:</w:t>
            </w:r>
          </w:p>
        </w:tc>
        <w:tc>
          <w:tcPr>
            <w:tcW w:w="7531" w:type="dxa"/>
          </w:tcPr>
          <w:p w14:paraId="641AC82E" w14:textId="77777777" w:rsidR="000A19DC" w:rsidRDefault="000A19DC" w:rsidP="0084569A">
            <w:pPr>
              <w:pStyle w:val="TableParagraph"/>
              <w:rPr>
                <w:sz w:val="20"/>
              </w:rPr>
            </w:pPr>
            <w:r>
              <w:rPr>
                <w:spacing w:val="-2"/>
                <w:sz w:val="20"/>
              </w:rPr>
              <w:t>RE-</w:t>
            </w:r>
            <w:r>
              <w:rPr>
                <w:spacing w:val="-4"/>
                <w:sz w:val="20"/>
              </w:rPr>
              <w:t>ENTRY</w:t>
            </w:r>
          </w:p>
          <w:p w14:paraId="727E7229" w14:textId="77777777" w:rsidR="000A19DC" w:rsidRDefault="000A19DC" w:rsidP="0084569A">
            <w:pPr>
              <w:pStyle w:val="TableParagraph"/>
              <w:spacing w:before="20"/>
              <w:ind w:left="0"/>
              <w:rPr>
                <w:sz w:val="20"/>
              </w:rPr>
            </w:pPr>
          </w:p>
          <w:p w14:paraId="77EE8CD9" w14:textId="77777777" w:rsidR="000A19DC" w:rsidRDefault="000A19DC" w:rsidP="0084569A">
            <w:pPr>
              <w:pStyle w:val="TableParagraph"/>
              <w:spacing w:before="0" w:line="249" w:lineRule="auto"/>
              <w:ind w:right="241"/>
              <w:rPr>
                <w:sz w:val="20"/>
              </w:rPr>
            </w:pPr>
            <w:r>
              <w:rPr>
                <w:sz w:val="20"/>
              </w:rPr>
              <w:t>DO</w:t>
            </w:r>
            <w:r>
              <w:rPr>
                <w:spacing w:val="-3"/>
                <w:sz w:val="20"/>
              </w:rPr>
              <w:t xml:space="preserve"> </w:t>
            </w:r>
            <w:r>
              <w:rPr>
                <w:sz w:val="20"/>
              </w:rPr>
              <w:t>NOT</w:t>
            </w:r>
            <w:r>
              <w:rPr>
                <w:spacing w:val="-4"/>
                <w:sz w:val="20"/>
              </w:rPr>
              <w:t xml:space="preserve"> </w:t>
            </w:r>
            <w:r>
              <w:rPr>
                <w:sz w:val="20"/>
              </w:rPr>
              <w:t>enter</w:t>
            </w:r>
            <w:r>
              <w:rPr>
                <w:spacing w:val="-3"/>
                <w:sz w:val="20"/>
              </w:rPr>
              <w:t xml:space="preserve"> </w:t>
            </w:r>
            <w:r>
              <w:rPr>
                <w:sz w:val="20"/>
              </w:rPr>
              <w:t>treated</w:t>
            </w:r>
            <w:r>
              <w:rPr>
                <w:spacing w:val="-4"/>
                <w:sz w:val="20"/>
              </w:rPr>
              <w:t xml:space="preserve"> </w:t>
            </w:r>
            <w:r>
              <w:rPr>
                <w:sz w:val="20"/>
              </w:rPr>
              <w:t>areas</w:t>
            </w:r>
            <w:r>
              <w:rPr>
                <w:spacing w:val="-3"/>
                <w:sz w:val="20"/>
              </w:rPr>
              <w:t xml:space="preserve"> </w:t>
            </w:r>
            <w:r>
              <w:rPr>
                <w:sz w:val="20"/>
              </w:rPr>
              <w:t>until</w:t>
            </w:r>
            <w:r>
              <w:rPr>
                <w:spacing w:val="-4"/>
                <w:sz w:val="20"/>
              </w:rPr>
              <w:t xml:space="preserve"> </w:t>
            </w:r>
            <w:r>
              <w:rPr>
                <w:sz w:val="20"/>
              </w:rPr>
              <w:t>the</w:t>
            </w:r>
            <w:r>
              <w:rPr>
                <w:spacing w:val="-3"/>
                <w:sz w:val="20"/>
              </w:rPr>
              <w:t xml:space="preserve"> </w:t>
            </w:r>
            <w:r>
              <w:rPr>
                <w:sz w:val="20"/>
              </w:rPr>
              <w:t>spray</w:t>
            </w:r>
            <w:r>
              <w:rPr>
                <w:spacing w:val="-4"/>
                <w:sz w:val="20"/>
              </w:rPr>
              <w:t xml:space="preserve"> </w:t>
            </w:r>
            <w:r>
              <w:rPr>
                <w:sz w:val="20"/>
              </w:rPr>
              <w:t>has</w:t>
            </w:r>
            <w:r>
              <w:rPr>
                <w:spacing w:val="-3"/>
                <w:sz w:val="20"/>
              </w:rPr>
              <w:t xml:space="preserve"> </w:t>
            </w:r>
            <w:r>
              <w:rPr>
                <w:sz w:val="20"/>
              </w:rPr>
              <w:t>settled</w:t>
            </w:r>
            <w:r>
              <w:rPr>
                <w:spacing w:val="-4"/>
                <w:sz w:val="20"/>
              </w:rPr>
              <w:t xml:space="preserve"> </w:t>
            </w:r>
            <w:r>
              <w:rPr>
                <w:sz w:val="20"/>
              </w:rPr>
              <w:t>and</w:t>
            </w:r>
            <w:r>
              <w:rPr>
                <w:spacing w:val="-3"/>
                <w:sz w:val="20"/>
              </w:rPr>
              <w:t xml:space="preserve"> </w:t>
            </w:r>
            <w:r>
              <w:rPr>
                <w:sz w:val="20"/>
              </w:rPr>
              <w:t>dried,</w:t>
            </w:r>
            <w:r>
              <w:rPr>
                <w:spacing w:val="-4"/>
                <w:sz w:val="20"/>
              </w:rPr>
              <w:t xml:space="preserve"> </w:t>
            </w:r>
            <w:r>
              <w:rPr>
                <w:sz w:val="20"/>
              </w:rPr>
              <w:t>unless</w:t>
            </w:r>
            <w:r>
              <w:rPr>
                <w:spacing w:val="-3"/>
                <w:sz w:val="20"/>
              </w:rPr>
              <w:t xml:space="preserve"> </w:t>
            </w:r>
            <w:r>
              <w:rPr>
                <w:sz w:val="20"/>
              </w:rPr>
              <w:t>wearing</w:t>
            </w:r>
            <w:r>
              <w:rPr>
                <w:spacing w:val="-4"/>
                <w:sz w:val="20"/>
              </w:rPr>
              <w:t xml:space="preserve"> </w:t>
            </w:r>
            <w:r>
              <w:rPr>
                <w:sz w:val="20"/>
              </w:rPr>
              <w:t>cotton overalls buttoned to the neck and wrist (or equivalent clothing) and chemical resistant gloves. Clothing must be laundered after each day’s use.</w:t>
            </w:r>
          </w:p>
        </w:tc>
      </w:tr>
    </w:tbl>
    <w:p w14:paraId="7431D3BA" w14:textId="77777777" w:rsidR="000A19DC" w:rsidRDefault="000A19DC" w:rsidP="000A19DC">
      <w:pPr>
        <w:pStyle w:val="BodyText0"/>
        <w:ind w:left="142"/>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5CF8E77A" w14:textId="77777777" w:rsidTr="000A19DC">
        <w:trPr>
          <w:trHeight w:val="1120"/>
        </w:trPr>
        <w:tc>
          <w:tcPr>
            <w:tcW w:w="2098" w:type="dxa"/>
          </w:tcPr>
          <w:p w14:paraId="369472C5" w14:textId="77777777" w:rsidR="000A19DC" w:rsidRDefault="000A19DC" w:rsidP="0084569A">
            <w:pPr>
              <w:pStyle w:val="TableParagraph"/>
              <w:ind w:left="85"/>
              <w:rPr>
                <w:sz w:val="20"/>
              </w:rPr>
            </w:pPr>
            <w:r>
              <w:rPr>
                <w:spacing w:val="-2"/>
                <w:sz w:val="20"/>
              </w:rPr>
              <w:t>Protections:</w:t>
            </w:r>
          </w:p>
        </w:tc>
        <w:tc>
          <w:tcPr>
            <w:tcW w:w="7531" w:type="dxa"/>
          </w:tcPr>
          <w:p w14:paraId="7803AE21" w14:textId="77777777" w:rsidR="000A19DC" w:rsidRDefault="000A19DC" w:rsidP="0084569A">
            <w:pPr>
              <w:pStyle w:val="TableParagraph"/>
              <w:rPr>
                <w:sz w:val="20"/>
              </w:rPr>
            </w:pPr>
            <w:r>
              <w:rPr>
                <w:sz w:val="20"/>
              </w:rPr>
              <w:t>PROTECTION</w:t>
            </w:r>
            <w:r>
              <w:rPr>
                <w:spacing w:val="-7"/>
                <w:sz w:val="20"/>
              </w:rPr>
              <w:t xml:space="preserve"> </w:t>
            </w:r>
            <w:r>
              <w:rPr>
                <w:sz w:val="20"/>
              </w:rPr>
              <w:t>OF</w:t>
            </w:r>
            <w:r>
              <w:rPr>
                <w:spacing w:val="-7"/>
                <w:sz w:val="20"/>
              </w:rPr>
              <w:t xml:space="preserve"> </w:t>
            </w:r>
            <w:r>
              <w:rPr>
                <w:sz w:val="20"/>
              </w:rPr>
              <w:t>WILDLIFE,</w:t>
            </w:r>
            <w:r>
              <w:rPr>
                <w:spacing w:val="-6"/>
                <w:sz w:val="20"/>
              </w:rPr>
              <w:t xml:space="preserve"> </w:t>
            </w:r>
            <w:r>
              <w:rPr>
                <w:sz w:val="20"/>
              </w:rPr>
              <w:t>FISH,</w:t>
            </w:r>
            <w:r>
              <w:rPr>
                <w:spacing w:val="-7"/>
                <w:sz w:val="20"/>
              </w:rPr>
              <w:t xml:space="preserve"> </w:t>
            </w:r>
            <w:r>
              <w:rPr>
                <w:sz w:val="20"/>
              </w:rPr>
              <w:t>CRUSTACEANS</w:t>
            </w:r>
            <w:r>
              <w:rPr>
                <w:spacing w:val="-7"/>
                <w:sz w:val="20"/>
              </w:rPr>
              <w:t xml:space="preserve"> </w:t>
            </w:r>
            <w:r>
              <w:rPr>
                <w:sz w:val="20"/>
              </w:rPr>
              <w:t>AND</w:t>
            </w:r>
            <w:r>
              <w:rPr>
                <w:spacing w:val="-6"/>
                <w:sz w:val="20"/>
              </w:rPr>
              <w:t xml:space="preserve"> </w:t>
            </w:r>
            <w:r>
              <w:rPr>
                <w:spacing w:val="-2"/>
                <w:sz w:val="20"/>
              </w:rPr>
              <w:t>ENVIRONMENT</w:t>
            </w:r>
          </w:p>
          <w:p w14:paraId="403C1B87" w14:textId="77777777" w:rsidR="000A19DC" w:rsidRDefault="000A19DC" w:rsidP="0084569A">
            <w:pPr>
              <w:pStyle w:val="TableParagraph"/>
              <w:spacing w:before="10" w:line="249" w:lineRule="auto"/>
              <w:ind w:right="241"/>
              <w:rPr>
                <w:sz w:val="20"/>
              </w:rPr>
            </w:pPr>
            <w:r>
              <w:rPr>
                <w:sz w:val="20"/>
              </w:rPr>
              <w:t>Very</w:t>
            </w:r>
            <w:r>
              <w:rPr>
                <w:spacing w:val="-3"/>
                <w:sz w:val="20"/>
              </w:rPr>
              <w:t xml:space="preserve"> </w:t>
            </w:r>
            <w:r>
              <w:rPr>
                <w:sz w:val="20"/>
              </w:rPr>
              <w:t>toxic</w:t>
            </w:r>
            <w:r>
              <w:rPr>
                <w:spacing w:val="-3"/>
                <w:sz w:val="20"/>
              </w:rPr>
              <w:t xml:space="preserve"> </w:t>
            </w:r>
            <w:r>
              <w:rPr>
                <w:sz w:val="20"/>
              </w:rPr>
              <w:t>to</w:t>
            </w:r>
            <w:r>
              <w:rPr>
                <w:spacing w:val="-3"/>
                <w:sz w:val="20"/>
              </w:rPr>
              <w:t xml:space="preserve"> </w:t>
            </w:r>
            <w:r>
              <w:rPr>
                <w:sz w:val="20"/>
              </w:rPr>
              <w:t>aquatic</w:t>
            </w:r>
            <w:r>
              <w:rPr>
                <w:spacing w:val="-3"/>
                <w:sz w:val="20"/>
              </w:rPr>
              <w:t xml:space="preserve"> </w:t>
            </w:r>
            <w:r>
              <w:rPr>
                <w:sz w:val="20"/>
              </w:rPr>
              <w:t>life.</w:t>
            </w:r>
            <w:r>
              <w:rPr>
                <w:spacing w:val="-3"/>
                <w:sz w:val="20"/>
              </w:rPr>
              <w:t xml:space="preserve"> </w:t>
            </w:r>
            <w:r>
              <w:rPr>
                <w:sz w:val="20"/>
              </w:rPr>
              <w:t>DO</w:t>
            </w:r>
            <w:r>
              <w:rPr>
                <w:spacing w:val="-3"/>
                <w:sz w:val="20"/>
              </w:rPr>
              <w:t xml:space="preserve"> </w:t>
            </w:r>
            <w:r>
              <w:rPr>
                <w:sz w:val="20"/>
              </w:rPr>
              <w:t>NOT</w:t>
            </w:r>
            <w:r>
              <w:rPr>
                <w:spacing w:val="-3"/>
                <w:sz w:val="20"/>
              </w:rPr>
              <w:t xml:space="preserve"> </w:t>
            </w:r>
            <w:r>
              <w:rPr>
                <w:sz w:val="20"/>
              </w:rPr>
              <w:t>apply</w:t>
            </w:r>
            <w:r>
              <w:rPr>
                <w:spacing w:val="-3"/>
                <w:sz w:val="20"/>
              </w:rPr>
              <w:t xml:space="preserve"> </w:t>
            </w:r>
            <w:r>
              <w:rPr>
                <w:sz w:val="20"/>
              </w:rPr>
              <w:t>directly</w:t>
            </w:r>
            <w:r>
              <w:rPr>
                <w:spacing w:val="-3"/>
                <w:sz w:val="20"/>
              </w:rPr>
              <w:t xml:space="preserve"> </w:t>
            </w:r>
            <w:r>
              <w:rPr>
                <w:sz w:val="20"/>
              </w:rPr>
              <w:t>to</w:t>
            </w:r>
            <w:r>
              <w:rPr>
                <w:spacing w:val="-3"/>
                <w:sz w:val="20"/>
              </w:rPr>
              <w:t xml:space="preserve"> </w:t>
            </w:r>
            <w:r>
              <w:rPr>
                <w:sz w:val="20"/>
              </w:rPr>
              <w:t>water</w:t>
            </w:r>
            <w:r>
              <w:rPr>
                <w:spacing w:val="-3"/>
                <w:sz w:val="20"/>
              </w:rPr>
              <w:t xml:space="preserve"> </w:t>
            </w:r>
            <w:r>
              <w:rPr>
                <w:sz w:val="20"/>
              </w:rPr>
              <w:t>or</w:t>
            </w:r>
            <w:r>
              <w:rPr>
                <w:spacing w:val="-3"/>
                <w:sz w:val="20"/>
              </w:rPr>
              <w:t xml:space="preserve"> </w:t>
            </w:r>
            <w:r>
              <w:rPr>
                <w:sz w:val="20"/>
              </w:rPr>
              <w:t>to</w:t>
            </w:r>
            <w:r>
              <w:rPr>
                <w:spacing w:val="-3"/>
                <w:sz w:val="20"/>
              </w:rPr>
              <w:t xml:space="preserve"> </w:t>
            </w:r>
            <w:r>
              <w:rPr>
                <w:sz w:val="20"/>
              </w:rPr>
              <w:t>areas</w:t>
            </w:r>
            <w:r>
              <w:rPr>
                <w:spacing w:val="-3"/>
                <w:sz w:val="20"/>
              </w:rPr>
              <w:t xml:space="preserve"> </w:t>
            </w:r>
            <w:r>
              <w:rPr>
                <w:sz w:val="20"/>
              </w:rPr>
              <w:t>where</w:t>
            </w:r>
            <w:r>
              <w:rPr>
                <w:spacing w:val="-3"/>
                <w:sz w:val="20"/>
              </w:rPr>
              <w:t xml:space="preserve"> </w:t>
            </w:r>
            <w:r>
              <w:rPr>
                <w:sz w:val="20"/>
              </w:rPr>
              <w:t>surface</w:t>
            </w:r>
            <w:r>
              <w:rPr>
                <w:spacing w:val="-3"/>
                <w:sz w:val="20"/>
              </w:rPr>
              <w:t xml:space="preserve"> </w:t>
            </w:r>
            <w:r>
              <w:rPr>
                <w:sz w:val="20"/>
              </w:rPr>
              <w:t xml:space="preserve">water is present. DO NOT contaminate wetlands or watercourses with this product or used </w:t>
            </w:r>
            <w:r>
              <w:rPr>
                <w:spacing w:val="-2"/>
                <w:sz w:val="20"/>
              </w:rPr>
              <w:t>containers.</w:t>
            </w:r>
          </w:p>
        </w:tc>
      </w:tr>
    </w:tbl>
    <w:p w14:paraId="53D52091" w14:textId="77777777" w:rsidR="000A19DC" w:rsidRDefault="000A19DC" w:rsidP="000A19DC">
      <w:pPr>
        <w:pStyle w:val="BodyText0"/>
        <w:ind w:left="142"/>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0996F0BC" w14:textId="77777777" w:rsidTr="000A19DC">
        <w:trPr>
          <w:trHeight w:val="3040"/>
        </w:trPr>
        <w:tc>
          <w:tcPr>
            <w:tcW w:w="2098" w:type="dxa"/>
          </w:tcPr>
          <w:p w14:paraId="324F2E12" w14:textId="77777777" w:rsidR="000A19DC" w:rsidRDefault="000A19DC" w:rsidP="0084569A">
            <w:pPr>
              <w:pStyle w:val="TableParagraph"/>
              <w:spacing w:line="249" w:lineRule="auto"/>
              <w:ind w:left="85" w:right="907"/>
              <w:rPr>
                <w:sz w:val="20"/>
              </w:rPr>
            </w:pPr>
            <w:r>
              <w:rPr>
                <w:sz w:val="20"/>
              </w:rPr>
              <w:t>Storage</w:t>
            </w:r>
            <w:r>
              <w:rPr>
                <w:spacing w:val="-14"/>
                <w:sz w:val="20"/>
              </w:rPr>
              <w:t xml:space="preserve"> </w:t>
            </w:r>
            <w:r>
              <w:rPr>
                <w:sz w:val="20"/>
              </w:rPr>
              <w:t xml:space="preserve">and </w:t>
            </w:r>
            <w:r>
              <w:rPr>
                <w:spacing w:val="-2"/>
                <w:sz w:val="20"/>
              </w:rPr>
              <w:t>Disposal:</w:t>
            </w:r>
          </w:p>
        </w:tc>
        <w:tc>
          <w:tcPr>
            <w:tcW w:w="7531" w:type="dxa"/>
          </w:tcPr>
          <w:p w14:paraId="22A748C0" w14:textId="77777777" w:rsidR="000A19DC" w:rsidRDefault="000A19DC" w:rsidP="0084569A">
            <w:pPr>
              <w:pStyle w:val="TableParagraph"/>
              <w:spacing w:line="249" w:lineRule="auto"/>
              <w:ind w:right="467"/>
              <w:jc w:val="both"/>
              <w:rPr>
                <w:sz w:val="20"/>
              </w:rPr>
            </w:pPr>
            <w:r>
              <w:rPr>
                <w:sz w:val="20"/>
              </w:rPr>
              <w:t>Store</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locked</w:t>
            </w:r>
            <w:r>
              <w:rPr>
                <w:spacing w:val="-4"/>
                <w:sz w:val="20"/>
              </w:rPr>
              <w:t xml:space="preserve"> </w:t>
            </w:r>
            <w:r>
              <w:rPr>
                <w:sz w:val="20"/>
              </w:rPr>
              <w:t>room</w:t>
            </w:r>
            <w:r>
              <w:rPr>
                <w:spacing w:val="-4"/>
                <w:sz w:val="20"/>
              </w:rPr>
              <w:t xml:space="preserve"> </w:t>
            </w:r>
            <w:r>
              <w:rPr>
                <w:sz w:val="20"/>
              </w:rPr>
              <w:t>or</w:t>
            </w:r>
            <w:r>
              <w:rPr>
                <w:spacing w:val="-4"/>
                <w:sz w:val="20"/>
              </w:rPr>
              <w:t xml:space="preserve"> </w:t>
            </w:r>
            <w:r>
              <w:rPr>
                <w:sz w:val="20"/>
              </w:rPr>
              <w:t>place</w:t>
            </w:r>
            <w:r>
              <w:rPr>
                <w:spacing w:val="-4"/>
                <w:sz w:val="20"/>
              </w:rPr>
              <w:t xml:space="preserve"> </w:t>
            </w:r>
            <w:r>
              <w:rPr>
                <w:sz w:val="20"/>
              </w:rPr>
              <w:t>away</w:t>
            </w:r>
            <w:r>
              <w:rPr>
                <w:spacing w:val="-4"/>
                <w:sz w:val="20"/>
              </w:rPr>
              <w:t xml:space="preserve"> </w:t>
            </w:r>
            <w:r>
              <w:rPr>
                <w:sz w:val="20"/>
              </w:rPr>
              <w:t>from</w:t>
            </w:r>
            <w:r>
              <w:rPr>
                <w:spacing w:val="-4"/>
                <w:sz w:val="20"/>
              </w:rPr>
              <w:t xml:space="preserve"> </w:t>
            </w:r>
            <w:r>
              <w:rPr>
                <w:sz w:val="20"/>
              </w:rPr>
              <w:t>children,</w:t>
            </w:r>
            <w:r>
              <w:rPr>
                <w:spacing w:val="-4"/>
                <w:sz w:val="20"/>
              </w:rPr>
              <w:t xml:space="preserve"> </w:t>
            </w:r>
            <w:r>
              <w:rPr>
                <w:sz w:val="20"/>
              </w:rPr>
              <w:t>animals,</w:t>
            </w:r>
            <w:r>
              <w:rPr>
                <w:spacing w:val="-4"/>
                <w:sz w:val="20"/>
              </w:rPr>
              <w:t xml:space="preserve"> </w:t>
            </w:r>
            <w:r>
              <w:rPr>
                <w:sz w:val="20"/>
              </w:rPr>
              <w:t>food,</w:t>
            </w:r>
            <w:r>
              <w:rPr>
                <w:spacing w:val="-4"/>
                <w:sz w:val="20"/>
              </w:rPr>
              <w:t xml:space="preserve"> </w:t>
            </w:r>
            <w:r>
              <w:rPr>
                <w:sz w:val="20"/>
              </w:rPr>
              <w:t>feedstuffs,</w:t>
            </w:r>
            <w:r>
              <w:rPr>
                <w:spacing w:val="-4"/>
                <w:sz w:val="20"/>
              </w:rPr>
              <w:t xml:space="preserve"> </w:t>
            </w:r>
            <w:proofErr w:type="gramStart"/>
            <w:r>
              <w:rPr>
                <w:sz w:val="20"/>
              </w:rPr>
              <w:t>seed</w:t>
            </w:r>
            <w:proofErr w:type="gramEnd"/>
            <w:r>
              <w:rPr>
                <w:spacing w:val="-4"/>
                <w:sz w:val="20"/>
              </w:rPr>
              <w:t xml:space="preserve"> </w:t>
            </w:r>
            <w:r>
              <w:rPr>
                <w:sz w:val="20"/>
              </w:rPr>
              <w:t>and fertilizers.</w:t>
            </w:r>
            <w:r>
              <w:rPr>
                <w:spacing w:val="-1"/>
                <w:sz w:val="20"/>
              </w:rPr>
              <w:t xml:space="preserve"> </w:t>
            </w:r>
            <w:r>
              <w:rPr>
                <w:sz w:val="20"/>
              </w:rPr>
              <w:t>Store</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closed</w:t>
            </w:r>
            <w:r>
              <w:rPr>
                <w:spacing w:val="-1"/>
                <w:sz w:val="20"/>
              </w:rPr>
              <w:t xml:space="preserve"> </w:t>
            </w:r>
            <w:r>
              <w:rPr>
                <w:sz w:val="20"/>
              </w:rPr>
              <w:t>original</w:t>
            </w:r>
            <w:r>
              <w:rPr>
                <w:spacing w:val="-1"/>
                <w:sz w:val="20"/>
              </w:rPr>
              <w:t xml:space="preserve"> </w:t>
            </w:r>
            <w:r>
              <w:rPr>
                <w:sz w:val="20"/>
              </w:rPr>
              <w:t>container</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cool,</w:t>
            </w:r>
            <w:r>
              <w:rPr>
                <w:spacing w:val="-1"/>
                <w:sz w:val="20"/>
              </w:rPr>
              <w:t xml:space="preserve"> </w:t>
            </w:r>
            <w:r>
              <w:rPr>
                <w:sz w:val="20"/>
              </w:rPr>
              <w:t>well-ventilated</w:t>
            </w:r>
            <w:r>
              <w:rPr>
                <w:spacing w:val="-1"/>
                <w:sz w:val="20"/>
              </w:rPr>
              <w:t xml:space="preserve"> </w:t>
            </w:r>
            <w:r>
              <w:rPr>
                <w:sz w:val="20"/>
              </w:rPr>
              <w:t>area.</w:t>
            </w:r>
            <w:r>
              <w:rPr>
                <w:spacing w:val="-1"/>
                <w:sz w:val="20"/>
              </w:rPr>
              <w:t xml:space="preserve"> </w:t>
            </w:r>
            <w:r>
              <w:rPr>
                <w:sz w:val="20"/>
              </w:rPr>
              <w:t>DO</w:t>
            </w:r>
            <w:r>
              <w:rPr>
                <w:spacing w:val="-1"/>
                <w:sz w:val="20"/>
              </w:rPr>
              <w:t xml:space="preserve"> </w:t>
            </w:r>
            <w:r>
              <w:rPr>
                <w:sz w:val="20"/>
              </w:rPr>
              <w:t>NOT store for prolonged periods in direct sunlight.</w:t>
            </w:r>
          </w:p>
          <w:p w14:paraId="069EA9EC" w14:textId="77777777" w:rsidR="000A19DC" w:rsidRDefault="000A19DC" w:rsidP="0084569A">
            <w:pPr>
              <w:pStyle w:val="TableParagraph"/>
              <w:spacing w:before="12"/>
              <w:ind w:left="0"/>
              <w:rPr>
                <w:sz w:val="20"/>
              </w:rPr>
            </w:pPr>
          </w:p>
          <w:p w14:paraId="0FE970BE" w14:textId="77777777" w:rsidR="000A19DC" w:rsidRDefault="000A19DC" w:rsidP="0084569A">
            <w:pPr>
              <w:pStyle w:val="TableParagraph"/>
              <w:spacing w:before="0" w:line="249" w:lineRule="auto"/>
              <w:ind w:right="81"/>
              <w:rPr>
                <w:sz w:val="20"/>
              </w:rPr>
            </w:pPr>
            <w:r>
              <w:rPr>
                <w:sz w:val="20"/>
              </w:rPr>
              <w:t>Triple-rinse containers before disposal. Add rinsings to spray tank. DO NOT dispose of undiluted</w:t>
            </w:r>
            <w:r>
              <w:rPr>
                <w:spacing w:val="-4"/>
                <w:sz w:val="20"/>
              </w:rPr>
              <w:t xml:space="preserve"> </w:t>
            </w:r>
            <w:r>
              <w:rPr>
                <w:sz w:val="20"/>
              </w:rPr>
              <w:t>chemicals</w:t>
            </w:r>
            <w:r>
              <w:rPr>
                <w:spacing w:val="-4"/>
                <w:sz w:val="20"/>
              </w:rPr>
              <w:t xml:space="preserve"> </w:t>
            </w:r>
            <w:r>
              <w:rPr>
                <w:sz w:val="20"/>
              </w:rPr>
              <w:t>on</w:t>
            </w:r>
            <w:r>
              <w:rPr>
                <w:spacing w:val="-4"/>
                <w:sz w:val="20"/>
              </w:rPr>
              <w:t xml:space="preserve"> </w:t>
            </w:r>
            <w:r>
              <w:rPr>
                <w:sz w:val="20"/>
              </w:rPr>
              <w:t>site.</w:t>
            </w:r>
            <w:r>
              <w:rPr>
                <w:spacing w:val="-4"/>
                <w:sz w:val="20"/>
              </w:rPr>
              <w:t xml:space="preserve"> </w:t>
            </w:r>
            <w:r>
              <w:rPr>
                <w:sz w:val="20"/>
              </w:rPr>
              <w:t>If</w:t>
            </w:r>
            <w:r>
              <w:rPr>
                <w:spacing w:val="-4"/>
                <w:sz w:val="20"/>
              </w:rPr>
              <w:t xml:space="preserve"> </w:t>
            </w:r>
            <w:r>
              <w:rPr>
                <w:sz w:val="20"/>
              </w:rPr>
              <w:t>recycling,</w:t>
            </w:r>
            <w:r>
              <w:rPr>
                <w:spacing w:val="-4"/>
                <w:sz w:val="20"/>
              </w:rPr>
              <w:t xml:space="preserve"> </w:t>
            </w:r>
            <w:r>
              <w:rPr>
                <w:sz w:val="20"/>
              </w:rPr>
              <w:t>replace</w:t>
            </w:r>
            <w:r>
              <w:rPr>
                <w:spacing w:val="-4"/>
                <w:sz w:val="20"/>
              </w:rPr>
              <w:t xml:space="preserve"> </w:t>
            </w:r>
            <w:r>
              <w:rPr>
                <w:sz w:val="20"/>
              </w:rPr>
              <w:t>cap</w:t>
            </w:r>
            <w:r>
              <w:rPr>
                <w:spacing w:val="-4"/>
                <w:sz w:val="20"/>
              </w:rPr>
              <w:t xml:space="preserve"> </w:t>
            </w:r>
            <w:r>
              <w:rPr>
                <w:sz w:val="20"/>
              </w:rPr>
              <w:t>and</w:t>
            </w:r>
            <w:r>
              <w:rPr>
                <w:spacing w:val="-4"/>
                <w:sz w:val="20"/>
              </w:rPr>
              <w:t xml:space="preserve"> </w:t>
            </w:r>
            <w:r>
              <w:rPr>
                <w:sz w:val="20"/>
              </w:rPr>
              <w:t>return</w:t>
            </w:r>
            <w:r>
              <w:rPr>
                <w:spacing w:val="-4"/>
                <w:sz w:val="20"/>
              </w:rPr>
              <w:t xml:space="preserve"> </w:t>
            </w:r>
            <w:r>
              <w:rPr>
                <w:sz w:val="20"/>
              </w:rPr>
              <w:t>clean</w:t>
            </w:r>
            <w:r>
              <w:rPr>
                <w:spacing w:val="-4"/>
                <w:sz w:val="20"/>
              </w:rPr>
              <w:t xml:space="preserve"> </w:t>
            </w:r>
            <w:r>
              <w:rPr>
                <w:sz w:val="20"/>
              </w:rPr>
              <w:t>containers</w:t>
            </w:r>
            <w:r>
              <w:rPr>
                <w:spacing w:val="-4"/>
                <w:sz w:val="20"/>
              </w:rPr>
              <w:t xml:space="preserve"> </w:t>
            </w:r>
            <w:r>
              <w:rPr>
                <w:sz w:val="20"/>
              </w:rPr>
              <w:t>to</w:t>
            </w:r>
            <w:r>
              <w:rPr>
                <w:spacing w:val="-4"/>
                <w:sz w:val="20"/>
              </w:rPr>
              <w:t xml:space="preserve"> </w:t>
            </w:r>
            <w:r>
              <w:rPr>
                <w:sz w:val="20"/>
              </w:rPr>
              <w:t xml:space="preserve">recycler or designated collection point. If not recycling, break, </w:t>
            </w:r>
            <w:proofErr w:type="gramStart"/>
            <w:r>
              <w:rPr>
                <w:sz w:val="20"/>
              </w:rPr>
              <w:t>crush</w:t>
            </w:r>
            <w:proofErr w:type="gramEnd"/>
            <w:r>
              <w:rPr>
                <w:sz w:val="20"/>
              </w:rPr>
              <w:t>, or puncture and deliver empty packaging to an approved waste management facility. If an approved waste management facility is not available, bury the empty packaging 500 mm below the surface in a disposal pit</w:t>
            </w:r>
            <w:r>
              <w:rPr>
                <w:spacing w:val="-2"/>
                <w:sz w:val="20"/>
              </w:rPr>
              <w:t xml:space="preserve"> </w:t>
            </w:r>
            <w:r>
              <w:rPr>
                <w:sz w:val="20"/>
              </w:rPr>
              <w:t>specifically</w:t>
            </w:r>
            <w:r>
              <w:rPr>
                <w:spacing w:val="-2"/>
                <w:sz w:val="20"/>
              </w:rPr>
              <w:t xml:space="preserve"> </w:t>
            </w:r>
            <w:r>
              <w:rPr>
                <w:sz w:val="20"/>
              </w:rPr>
              <w:t>marked</w:t>
            </w:r>
            <w:r>
              <w:rPr>
                <w:spacing w:val="-2"/>
                <w:sz w:val="20"/>
              </w:rPr>
              <w:t xml:space="preserve"> </w:t>
            </w:r>
            <w:r>
              <w:rPr>
                <w:sz w:val="20"/>
              </w:rPr>
              <w:t>and</w:t>
            </w:r>
            <w:r>
              <w:rPr>
                <w:spacing w:val="-2"/>
                <w:sz w:val="20"/>
              </w:rPr>
              <w:t xml:space="preserve"> </w:t>
            </w:r>
            <w:r>
              <w:rPr>
                <w:sz w:val="20"/>
              </w:rPr>
              <w:t>set</w:t>
            </w:r>
            <w:r>
              <w:rPr>
                <w:spacing w:val="-2"/>
                <w:sz w:val="20"/>
              </w:rPr>
              <w:t xml:space="preserve"> </w:t>
            </w:r>
            <w:r>
              <w:rPr>
                <w:sz w:val="20"/>
              </w:rPr>
              <w:t>up</w:t>
            </w:r>
            <w:r>
              <w:rPr>
                <w:spacing w:val="-2"/>
                <w:sz w:val="20"/>
              </w:rPr>
              <w:t xml:space="preserve"> </w:t>
            </w:r>
            <w:r>
              <w:rPr>
                <w:sz w:val="20"/>
              </w:rPr>
              <w:t>for</w:t>
            </w:r>
            <w:r>
              <w:rPr>
                <w:spacing w:val="-2"/>
                <w:sz w:val="20"/>
              </w:rPr>
              <w:t xml:space="preserve"> </w:t>
            </w:r>
            <w:r>
              <w:rPr>
                <w:sz w:val="20"/>
              </w:rPr>
              <w:t>this</w:t>
            </w:r>
            <w:r>
              <w:rPr>
                <w:spacing w:val="-2"/>
                <w:sz w:val="20"/>
              </w:rPr>
              <w:t xml:space="preserve"> </w:t>
            </w:r>
            <w:r>
              <w:rPr>
                <w:sz w:val="20"/>
              </w:rPr>
              <w:t>purpose,</w:t>
            </w:r>
            <w:r>
              <w:rPr>
                <w:spacing w:val="-2"/>
                <w:sz w:val="20"/>
              </w:rPr>
              <w:t xml:space="preserve"> </w:t>
            </w:r>
            <w:r>
              <w:rPr>
                <w:sz w:val="20"/>
              </w:rPr>
              <w:t>clear</w:t>
            </w:r>
            <w:r>
              <w:rPr>
                <w:spacing w:val="-2"/>
                <w:sz w:val="20"/>
              </w:rPr>
              <w:t xml:space="preserve"> </w:t>
            </w:r>
            <w:r>
              <w:rPr>
                <w:sz w:val="20"/>
              </w:rPr>
              <w:t>of</w:t>
            </w:r>
            <w:r>
              <w:rPr>
                <w:spacing w:val="-2"/>
                <w:sz w:val="20"/>
              </w:rPr>
              <w:t xml:space="preserve"> </w:t>
            </w:r>
            <w:r>
              <w:rPr>
                <w:sz w:val="20"/>
              </w:rPr>
              <w:t>waterways,</w:t>
            </w:r>
            <w:r>
              <w:rPr>
                <w:spacing w:val="-2"/>
                <w:sz w:val="20"/>
              </w:rPr>
              <w:t xml:space="preserve"> </w:t>
            </w:r>
            <w:r>
              <w:rPr>
                <w:sz w:val="20"/>
              </w:rPr>
              <w:t>desirable</w:t>
            </w:r>
            <w:r>
              <w:rPr>
                <w:spacing w:val="-2"/>
                <w:sz w:val="20"/>
              </w:rPr>
              <w:t xml:space="preserve"> </w:t>
            </w:r>
            <w:r>
              <w:rPr>
                <w:sz w:val="20"/>
              </w:rPr>
              <w:t>vegetation and tree roots, in compliance with relevant local, state or territory government regulations. DO NOT burn empty containers or product.</w:t>
            </w:r>
          </w:p>
        </w:tc>
      </w:tr>
    </w:tbl>
    <w:p w14:paraId="7E9E0940" w14:textId="77777777" w:rsidR="000A19DC" w:rsidRDefault="000A19DC" w:rsidP="000A19DC">
      <w:pPr>
        <w:pStyle w:val="BodyText0"/>
        <w:ind w:left="142"/>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31151223" w14:textId="77777777" w:rsidTr="000A19DC">
        <w:trPr>
          <w:trHeight w:val="880"/>
        </w:trPr>
        <w:tc>
          <w:tcPr>
            <w:tcW w:w="2098" w:type="dxa"/>
          </w:tcPr>
          <w:p w14:paraId="0FD5DBDB" w14:textId="77777777" w:rsidR="000A19DC" w:rsidRDefault="000A19DC" w:rsidP="0084569A">
            <w:pPr>
              <w:pStyle w:val="TableParagraph"/>
              <w:ind w:left="85"/>
              <w:rPr>
                <w:sz w:val="20"/>
              </w:rPr>
            </w:pPr>
            <w:r>
              <w:rPr>
                <w:sz w:val="20"/>
              </w:rPr>
              <w:t>Safety</w:t>
            </w:r>
            <w:r>
              <w:rPr>
                <w:spacing w:val="-1"/>
                <w:sz w:val="20"/>
              </w:rPr>
              <w:t xml:space="preserve"> </w:t>
            </w:r>
            <w:r>
              <w:rPr>
                <w:spacing w:val="-2"/>
                <w:sz w:val="20"/>
              </w:rPr>
              <w:t>Directions:</w:t>
            </w:r>
          </w:p>
        </w:tc>
        <w:tc>
          <w:tcPr>
            <w:tcW w:w="7531" w:type="dxa"/>
          </w:tcPr>
          <w:p w14:paraId="1A6020ED" w14:textId="77777777" w:rsidR="000A19DC" w:rsidRDefault="000A19DC" w:rsidP="0084569A">
            <w:pPr>
              <w:pStyle w:val="TableParagraph"/>
              <w:spacing w:line="249" w:lineRule="auto"/>
              <w:ind w:right="241"/>
              <w:rPr>
                <w:sz w:val="20"/>
              </w:rPr>
            </w:pPr>
            <w:r>
              <w:rPr>
                <w:sz w:val="20"/>
              </w:rPr>
              <w:t>When</w:t>
            </w:r>
            <w:r>
              <w:rPr>
                <w:spacing w:val="-4"/>
                <w:sz w:val="20"/>
              </w:rPr>
              <w:t xml:space="preserve"> </w:t>
            </w:r>
            <w:r>
              <w:rPr>
                <w:sz w:val="20"/>
              </w:rPr>
              <w:t>using</w:t>
            </w:r>
            <w:r>
              <w:rPr>
                <w:spacing w:val="-4"/>
                <w:sz w:val="20"/>
              </w:rPr>
              <w:t xml:space="preserve"> </w:t>
            </w:r>
            <w:r>
              <w:rPr>
                <w:sz w:val="20"/>
              </w:rPr>
              <w:t>together</w:t>
            </w:r>
            <w:r>
              <w:rPr>
                <w:spacing w:val="-4"/>
                <w:sz w:val="20"/>
              </w:rPr>
              <w:t xml:space="preserve"> </w:t>
            </w:r>
            <w:r>
              <w:rPr>
                <w:sz w:val="20"/>
              </w:rPr>
              <w:t>with</w:t>
            </w:r>
            <w:r>
              <w:rPr>
                <w:spacing w:val="-4"/>
                <w:sz w:val="20"/>
              </w:rPr>
              <w:t xml:space="preserve"> </w:t>
            </w:r>
            <w:r>
              <w:rPr>
                <w:sz w:val="20"/>
              </w:rPr>
              <w:t>other</w:t>
            </w:r>
            <w:r>
              <w:rPr>
                <w:spacing w:val="-4"/>
                <w:sz w:val="20"/>
              </w:rPr>
              <w:t xml:space="preserve"> </w:t>
            </w:r>
            <w:r>
              <w:rPr>
                <w:sz w:val="20"/>
              </w:rPr>
              <w:t>products,</w:t>
            </w:r>
            <w:r>
              <w:rPr>
                <w:spacing w:val="-4"/>
                <w:sz w:val="20"/>
              </w:rPr>
              <w:t xml:space="preserve"> </w:t>
            </w:r>
            <w:r>
              <w:rPr>
                <w:sz w:val="20"/>
              </w:rPr>
              <w:t>consult</w:t>
            </w:r>
            <w:r>
              <w:rPr>
                <w:spacing w:val="-4"/>
                <w:sz w:val="20"/>
              </w:rPr>
              <w:t xml:space="preserve"> </w:t>
            </w:r>
            <w:r>
              <w:rPr>
                <w:sz w:val="20"/>
              </w:rPr>
              <w:t>their</w:t>
            </w:r>
            <w:r>
              <w:rPr>
                <w:spacing w:val="-4"/>
                <w:sz w:val="20"/>
              </w:rPr>
              <w:t xml:space="preserve"> </w:t>
            </w:r>
            <w:r>
              <w:rPr>
                <w:sz w:val="20"/>
              </w:rPr>
              <w:t>label</w:t>
            </w:r>
            <w:r>
              <w:rPr>
                <w:spacing w:val="-4"/>
                <w:sz w:val="20"/>
              </w:rPr>
              <w:t xml:space="preserve"> </w:t>
            </w:r>
            <w:r>
              <w:rPr>
                <w:sz w:val="20"/>
              </w:rPr>
              <w:t>safety</w:t>
            </w:r>
            <w:r>
              <w:rPr>
                <w:spacing w:val="-4"/>
                <w:sz w:val="20"/>
              </w:rPr>
              <w:t xml:space="preserve"> </w:t>
            </w:r>
            <w:r>
              <w:rPr>
                <w:sz w:val="20"/>
              </w:rPr>
              <w:t>directions.</w:t>
            </w:r>
            <w:r>
              <w:rPr>
                <w:spacing w:val="-4"/>
                <w:sz w:val="20"/>
              </w:rPr>
              <w:t xml:space="preserve"> </w:t>
            </w:r>
            <w:r>
              <w:rPr>
                <w:sz w:val="20"/>
              </w:rPr>
              <w:t>When</w:t>
            </w:r>
            <w:r>
              <w:rPr>
                <w:spacing w:val="-4"/>
                <w:sz w:val="20"/>
              </w:rPr>
              <w:t xml:space="preserve"> </w:t>
            </w:r>
            <w:r>
              <w:rPr>
                <w:sz w:val="20"/>
              </w:rPr>
              <w:t>using the product wear cotton overalls buttoned to the neck and wrist (or equivalent clothing).</w:t>
            </w:r>
          </w:p>
          <w:p w14:paraId="74DBD8B2" w14:textId="77777777" w:rsidR="000A19DC" w:rsidRDefault="000A19DC" w:rsidP="0084569A">
            <w:pPr>
              <w:pStyle w:val="TableParagraph"/>
              <w:spacing w:before="2"/>
              <w:rPr>
                <w:sz w:val="20"/>
              </w:rPr>
            </w:pPr>
            <w:r>
              <w:rPr>
                <w:sz w:val="20"/>
              </w:rPr>
              <w:t>Wash</w:t>
            </w:r>
            <w:r>
              <w:rPr>
                <w:spacing w:val="-6"/>
                <w:sz w:val="20"/>
              </w:rPr>
              <w:t xml:space="preserve"> </w:t>
            </w:r>
            <w:r>
              <w:rPr>
                <w:sz w:val="20"/>
              </w:rPr>
              <w:t>hands</w:t>
            </w:r>
            <w:r>
              <w:rPr>
                <w:spacing w:val="-3"/>
                <w:sz w:val="20"/>
              </w:rPr>
              <w:t xml:space="preserve"> </w:t>
            </w:r>
            <w:r>
              <w:rPr>
                <w:sz w:val="20"/>
              </w:rPr>
              <w:t>after</w:t>
            </w:r>
            <w:r>
              <w:rPr>
                <w:spacing w:val="-4"/>
                <w:sz w:val="20"/>
              </w:rPr>
              <w:t xml:space="preserve"> </w:t>
            </w:r>
            <w:r>
              <w:rPr>
                <w:sz w:val="20"/>
              </w:rPr>
              <w:t>use.</w:t>
            </w:r>
            <w:r>
              <w:rPr>
                <w:spacing w:val="-3"/>
                <w:sz w:val="20"/>
              </w:rPr>
              <w:t xml:space="preserve"> </w:t>
            </w:r>
            <w:r>
              <w:rPr>
                <w:sz w:val="20"/>
              </w:rPr>
              <w:t>After</w:t>
            </w:r>
            <w:r>
              <w:rPr>
                <w:spacing w:val="-4"/>
                <w:sz w:val="20"/>
              </w:rPr>
              <w:t xml:space="preserve"> </w:t>
            </w:r>
            <w:r>
              <w:rPr>
                <w:sz w:val="20"/>
              </w:rPr>
              <w:t>each</w:t>
            </w:r>
            <w:r>
              <w:rPr>
                <w:spacing w:val="-3"/>
                <w:sz w:val="20"/>
              </w:rPr>
              <w:t xml:space="preserve"> </w:t>
            </w:r>
            <w:r>
              <w:rPr>
                <w:sz w:val="20"/>
              </w:rPr>
              <w:t>day’s</w:t>
            </w:r>
            <w:r>
              <w:rPr>
                <w:spacing w:val="-4"/>
                <w:sz w:val="20"/>
              </w:rPr>
              <w:t xml:space="preserve"> </w:t>
            </w:r>
            <w:r>
              <w:rPr>
                <w:sz w:val="20"/>
              </w:rPr>
              <w:t>use</w:t>
            </w:r>
            <w:r>
              <w:rPr>
                <w:spacing w:val="-3"/>
                <w:sz w:val="20"/>
              </w:rPr>
              <w:t xml:space="preserve"> </w:t>
            </w:r>
            <w:r>
              <w:rPr>
                <w:sz w:val="20"/>
              </w:rPr>
              <w:t>wash</w:t>
            </w:r>
            <w:r>
              <w:rPr>
                <w:spacing w:val="-4"/>
                <w:sz w:val="20"/>
              </w:rPr>
              <w:t xml:space="preserve"> </w:t>
            </w:r>
            <w:r>
              <w:rPr>
                <w:sz w:val="20"/>
              </w:rPr>
              <w:t>contaminated</w:t>
            </w:r>
            <w:r>
              <w:rPr>
                <w:spacing w:val="-3"/>
                <w:sz w:val="20"/>
              </w:rPr>
              <w:t xml:space="preserve"> </w:t>
            </w:r>
            <w:r>
              <w:rPr>
                <w:spacing w:val="-2"/>
                <w:sz w:val="20"/>
              </w:rPr>
              <w:t>clothing.</w:t>
            </w:r>
          </w:p>
        </w:tc>
      </w:tr>
    </w:tbl>
    <w:p w14:paraId="10658ABB" w14:textId="77777777" w:rsidR="000A19DC" w:rsidRDefault="000A19DC" w:rsidP="000A19DC">
      <w:pPr>
        <w:pStyle w:val="BodyText0"/>
        <w:ind w:left="142"/>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1966B7E6" w14:textId="77777777" w:rsidTr="000A19DC">
        <w:trPr>
          <w:trHeight w:val="640"/>
        </w:trPr>
        <w:tc>
          <w:tcPr>
            <w:tcW w:w="2098" w:type="dxa"/>
          </w:tcPr>
          <w:p w14:paraId="2287DC63" w14:textId="77777777" w:rsidR="000A19DC" w:rsidRDefault="000A19DC" w:rsidP="0084569A">
            <w:pPr>
              <w:pStyle w:val="TableParagraph"/>
              <w:ind w:left="85"/>
              <w:rPr>
                <w:sz w:val="20"/>
              </w:rPr>
            </w:pPr>
            <w:r>
              <w:rPr>
                <w:sz w:val="20"/>
              </w:rPr>
              <w:t>First</w:t>
            </w:r>
            <w:r>
              <w:rPr>
                <w:spacing w:val="-4"/>
                <w:sz w:val="20"/>
              </w:rPr>
              <w:t xml:space="preserve"> </w:t>
            </w:r>
            <w:r>
              <w:rPr>
                <w:sz w:val="20"/>
              </w:rPr>
              <w:t>Aid</w:t>
            </w:r>
            <w:r>
              <w:rPr>
                <w:spacing w:val="-4"/>
                <w:sz w:val="20"/>
              </w:rPr>
              <w:t xml:space="preserve"> </w:t>
            </w:r>
            <w:r>
              <w:rPr>
                <w:spacing w:val="-2"/>
                <w:sz w:val="20"/>
              </w:rPr>
              <w:t>Instructions:</w:t>
            </w:r>
          </w:p>
        </w:tc>
        <w:tc>
          <w:tcPr>
            <w:tcW w:w="7531" w:type="dxa"/>
          </w:tcPr>
          <w:p w14:paraId="511E7B22" w14:textId="77777777" w:rsidR="000A19DC" w:rsidRDefault="000A19DC" w:rsidP="0084569A">
            <w:pPr>
              <w:pStyle w:val="TableParagraph"/>
              <w:spacing w:line="249" w:lineRule="auto"/>
              <w:rPr>
                <w:sz w:val="20"/>
              </w:rPr>
            </w:pPr>
            <w:r>
              <w:rPr>
                <w:sz w:val="20"/>
              </w:rPr>
              <w:t>First</w:t>
            </w:r>
            <w:r>
              <w:rPr>
                <w:spacing w:val="-4"/>
                <w:sz w:val="20"/>
              </w:rPr>
              <w:t xml:space="preserve"> </w:t>
            </w:r>
            <w:r>
              <w:rPr>
                <w:sz w:val="20"/>
              </w:rPr>
              <w:t>aid</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generally</w:t>
            </w:r>
            <w:r>
              <w:rPr>
                <w:spacing w:val="-4"/>
                <w:sz w:val="20"/>
              </w:rPr>
              <w:t xml:space="preserve"> </w:t>
            </w:r>
            <w:r>
              <w:rPr>
                <w:sz w:val="20"/>
              </w:rPr>
              <w:t>required.</w:t>
            </w:r>
            <w:r>
              <w:rPr>
                <w:spacing w:val="-4"/>
                <w:sz w:val="20"/>
              </w:rPr>
              <w:t xml:space="preserve"> </w:t>
            </w:r>
            <w:r>
              <w:rPr>
                <w:sz w:val="20"/>
              </w:rPr>
              <w:t>If</w:t>
            </w:r>
            <w:r>
              <w:rPr>
                <w:spacing w:val="-4"/>
                <w:sz w:val="20"/>
              </w:rPr>
              <w:t xml:space="preserve"> </w:t>
            </w:r>
            <w:r>
              <w:rPr>
                <w:sz w:val="20"/>
              </w:rPr>
              <w:t>in</w:t>
            </w:r>
            <w:r>
              <w:rPr>
                <w:spacing w:val="-4"/>
                <w:sz w:val="20"/>
              </w:rPr>
              <w:t xml:space="preserve"> </w:t>
            </w:r>
            <w:r>
              <w:rPr>
                <w:sz w:val="20"/>
              </w:rPr>
              <w:t>doubt,</w:t>
            </w:r>
            <w:r>
              <w:rPr>
                <w:spacing w:val="-4"/>
                <w:sz w:val="20"/>
              </w:rPr>
              <w:t xml:space="preserve"> </w:t>
            </w:r>
            <w:r>
              <w:rPr>
                <w:sz w:val="20"/>
              </w:rPr>
              <w:t>contact</w:t>
            </w:r>
            <w:r>
              <w:rPr>
                <w:spacing w:val="-4"/>
                <w:sz w:val="20"/>
              </w:rPr>
              <w:t xml:space="preserve"> </w:t>
            </w:r>
            <w:r>
              <w:rPr>
                <w:sz w:val="20"/>
              </w:rPr>
              <w:t>a</w:t>
            </w:r>
            <w:r>
              <w:rPr>
                <w:spacing w:val="-4"/>
                <w:sz w:val="20"/>
              </w:rPr>
              <w:t xml:space="preserve"> </w:t>
            </w:r>
            <w:r>
              <w:rPr>
                <w:sz w:val="20"/>
              </w:rPr>
              <w:t>Poisons</w:t>
            </w:r>
            <w:r>
              <w:rPr>
                <w:spacing w:val="-4"/>
                <w:sz w:val="20"/>
              </w:rPr>
              <w:t xml:space="preserve"> </w:t>
            </w:r>
            <w:r>
              <w:rPr>
                <w:sz w:val="20"/>
              </w:rPr>
              <w:t>Information</w:t>
            </w:r>
            <w:r>
              <w:rPr>
                <w:spacing w:val="-4"/>
                <w:sz w:val="20"/>
              </w:rPr>
              <w:t xml:space="preserve"> </w:t>
            </w:r>
            <w:r>
              <w:rPr>
                <w:sz w:val="20"/>
              </w:rPr>
              <w:t>Centre</w:t>
            </w:r>
            <w:r>
              <w:rPr>
                <w:spacing w:val="-4"/>
                <w:sz w:val="20"/>
              </w:rPr>
              <w:t xml:space="preserve"> </w:t>
            </w:r>
            <w:r>
              <w:rPr>
                <w:sz w:val="20"/>
              </w:rPr>
              <w:t>(phone Australia 13 11 26; New Zealand 0800 764 766) or a doctor.</w:t>
            </w:r>
          </w:p>
        </w:tc>
      </w:tr>
    </w:tbl>
    <w:p w14:paraId="14A99F4A" w14:textId="77777777" w:rsidR="000A19DC" w:rsidRDefault="000A19DC" w:rsidP="000A19DC">
      <w:pPr>
        <w:pStyle w:val="BodyText0"/>
        <w:ind w:left="142"/>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56F78782" w14:textId="77777777" w:rsidTr="000A19DC">
        <w:trPr>
          <w:trHeight w:val="400"/>
        </w:trPr>
        <w:tc>
          <w:tcPr>
            <w:tcW w:w="2098" w:type="dxa"/>
          </w:tcPr>
          <w:p w14:paraId="4A509E38" w14:textId="77777777" w:rsidR="000A19DC" w:rsidRDefault="000A19DC" w:rsidP="0084569A">
            <w:pPr>
              <w:pStyle w:val="TableParagraph"/>
              <w:ind w:left="85"/>
              <w:rPr>
                <w:sz w:val="20"/>
              </w:rPr>
            </w:pPr>
            <w:r>
              <w:rPr>
                <w:sz w:val="20"/>
              </w:rPr>
              <w:t>First</w:t>
            </w:r>
            <w:r>
              <w:rPr>
                <w:spacing w:val="-4"/>
                <w:sz w:val="20"/>
              </w:rPr>
              <w:t xml:space="preserve"> </w:t>
            </w:r>
            <w:r>
              <w:rPr>
                <w:sz w:val="20"/>
              </w:rPr>
              <w:t>Aid</w:t>
            </w:r>
            <w:r>
              <w:rPr>
                <w:spacing w:val="-4"/>
                <w:sz w:val="20"/>
              </w:rPr>
              <w:t xml:space="preserve"> </w:t>
            </w:r>
            <w:r>
              <w:rPr>
                <w:spacing w:val="-2"/>
                <w:sz w:val="20"/>
              </w:rPr>
              <w:t>Warnings:</w:t>
            </w:r>
          </w:p>
        </w:tc>
        <w:tc>
          <w:tcPr>
            <w:tcW w:w="7531" w:type="dxa"/>
          </w:tcPr>
          <w:p w14:paraId="11D29700" w14:textId="77777777" w:rsidR="000A19DC" w:rsidRDefault="000A19DC" w:rsidP="0084569A">
            <w:pPr>
              <w:pStyle w:val="TableParagraph"/>
              <w:spacing w:before="0"/>
              <w:ind w:left="0"/>
              <w:rPr>
                <w:rFonts w:ascii="Times New Roman"/>
                <w:sz w:val="18"/>
              </w:rPr>
            </w:pPr>
          </w:p>
        </w:tc>
      </w:tr>
    </w:tbl>
    <w:p w14:paraId="71165C04" w14:textId="77777777" w:rsidR="000A19DC" w:rsidRDefault="000A19DC" w:rsidP="000A19DC">
      <w:pPr>
        <w:ind w:left="142"/>
      </w:pPr>
    </w:p>
    <w:p w14:paraId="01D504D6" w14:textId="77777777" w:rsidR="000A19DC" w:rsidRDefault="000A19DC" w:rsidP="000A19DC">
      <w:pPr>
        <w:ind w:left="142"/>
      </w:pPr>
    </w:p>
    <w:p w14:paraId="4E9478FC" w14:textId="3C0CC3CC" w:rsidR="000A19DC" w:rsidRPr="00E252E4" w:rsidRDefault="000A19DC" w:rsidP="000A19DC">
      <w:pPr>
        <w:spacing w:before="40"/>
        <w:ind w:left="142" w:right="712"/>
        <w:rPr>
          <w:b/>
          <w:bCs/>
          <w:szCs w:val="20"/>
        </w:rPr>
      </w:pPr>
      <w:r w:rsidRPr="00E252E4">
        <w:rPr>
          <w:rFonts w:cs="Arial"/>
          <w:b/>
          <w:bCs/>
          <w:szCs w:val="20"/>
        </w:rPr>
        <w:lastRenderedPageBreak/>
        <w:t>RESTRAINTS</w:t>
      </w:r>
    </w:p>
    <w:p w14:paraId="30F23CA8" w14:textId="77777777" w:rsidR="000A19DC" w:rsidRPr="00BD5677" w:rsidRDefault="000A19DC" w:rsidP="000A19DC">
      <w:pPr>
        <w:spacing w:before="40"/>
        <w:ind w:left="142" w:right="712"/>
        <w:rPr>
          <w:rFonts w:cs="Arial"/>
          <w:b/>
          <w:bCs/>
          <w:szCs w:val="20"/>
        </w:rPr>
      </w:pPr>
    </w:p>
    <w:p w14:paraId="43762AC6" w14:textId="1B97ADFC" w:rsidR="00AB4AB3" w:rsidRDefault="00AB4AB3"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b/>
          <w:bCs/>
          <w:sz w:val="20"/>
          <w:szCs w:val="20"/>
          <w:lang w:val="en-AU"/>
        </w:rPr>
      </w:pPr>
      <w:r w:rsidRPr="00BD5677">
        <w:rPr>
          <w:rFonts w:ascii="Arial" w:hAnsi="Arial" w:cs="Arial"/>
          <w:b/>
          <w:bCs/>
          <w:sz w:val="20"/>
          <w:szCs w:val="20"/>
          <w:lang w:val="en-AU"/>
        </w:rPr>
        <w:t xml:space="preserve">DO NOT </w:t>
      </w:r>
      <w:r w:rsidRPr="00BD5677">
        <w:rPr>
          <w:rFonts w:ascii="Arial" w:hAnsi="Arial" w:cs="Arial"/>
          <w:sz w:val="20"/>
          <w:szCs w:val="20"/>
          <w:lang w:val="en-AU"/>
        </w:rPr>
        <w:t>apply</w:t>
      </w:r>
      <w:r>
        <w:rPr>
          <w:rFonts w:ascii="Arial" w:hAnsi="Arial" w:cs="Arial"/>
          <w:sz w:val="20"/>
          <w:szCs w:val="20"/>
          <w:lang w:val="en-AU"/>
        </w:rPr>
        <w:t xml:space="preserve"> by aircraft</w:t>
      </w:r>
    </w:p>
    <w:p w14:paraId="69210233" w14:textId="7F608B42"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 xml:space="preserve">DO NOT </w:t>
      </w:r>
      <w:r w:rsidRPr="00BD5677">
        <w:rPr>
          <w:rFonts w:ascii="Arial" w:hAnsi="Arial" w:cs="Arial"/>
          <w:sz w:val="20"/>
          <w:szCs w:val="20"/>
          <w:lang w:val="en-AU"/>
        </w:rPr>
        <w:t xml:space="preserve">apply </w:t>
      </w:r>
      <w:r w:rsidR="00390CAB">
        <w:rPr>
          <w:rFonts w:ascii="Arial" w:hAnsi="Arial" w:cs="Arial"/>
          <w:sz w:val="20"/>
          <w:szCs w:val="20"/>
          <w:lang w:val="en-AU"/>
        </w:rPr>
        <w:t>Accede</w:t>
      </w:r>
      <w:r w:rsidRPr="00BD5677">
        <w:rPr>
          <w:rFonts w:ascii="Arial" w:hAnsi="Arial" w:cs="Arial"/>
          <w:sz w:val="20"/>
          <w:szCs w:val="20"/>
          <w:lang w:val="en-AU"/>
        </w:rPr>
        <w:t xml:space="preserve"> through any type of irrigation system.</w:t>
      </w:r>
    </w:p>
    <w:p w14:paraId="622B7CD1" w14:textId="77777777" w:rsidR="00AB4AB3" w:rsidRPr="00BD5677" w:rsidRDefault="00AB4AB3"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b/>
          <w:bCs/>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apply if heavy rains or storms are forecast within 3 days.</w:t>
      </w:r>
    </w:p>
    <w:p w14:paraId="6BA7D420" w14:textId="77777777" w:rsidR="00AB4AB3" w:rsidRDefault="00AB4AB3"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irrigate to the point of water runoff from the treatment area for at least 3 days after application.</w:t>
      </w:r>
    </w:p>
    <w:p w14:paraId="67D56F94" w14:textId="40613129"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apply Accede if frost is expected or has occurred within 2 days, or daytime maximum temperature is expected to be less than 10°C. For best results apply when daily temperatures range is between 5°C and 25°C. </w:t>
      </w:r>
    </w:p>
    <w:p w14:paraId="02267DE6" w14:textId="77777777"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apply Accede to injured or stressed plants or fruits e.g. drought/heat stress, waterlogging, freeze injury, girdled trees, etc.</w:t>
      </w:r>
    </w:p>
    <w:p w14:paraId="19B8A112" w14:textId="74BFC62A"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use overhead </w:t>
      </w:r>
      <w:r w:rsidR="00334254">
        <w:rPr>
          <w:rFonts w:ascii="Arial" w:hAnsi="Arial" w:cs="Arial"/>
          <w:sz w:val="20"/>
          <w:szCs w:val="20"/>
          <w:lang w:val="en-AU"/>
        </w:rPr>
        <w:t>fans</w:t>
      </w:r>
      <w:r w:rsidRPr="00BD5677">
        <w:rPr>
          <w:rFonts w:ascii="Arial" w:hAnsi="Arial" w:cs="Arial"/>
          <w:sz w:val="20"/>
          <w:szCs w:val="20"/>
          <w:lang w:val="en-AU"/>
        </w:rPr>
        <w:t xml:space="preserve"> or irrigation equipment for at least 6 hours following Accede</w:t>
      </w:r>
      <w:r w:rsidRPr="00BD5677">
        <w:rPr>
          <w:rFonts w:ascii="Arial" w:hAnsi="Arial" w:cs="Arial"/>
          <w:sz w:val="20"/>
          <w:szCs w:val="20"/>
          <w:vertAlign w:val="superscript"/>
          <w:lang w:val="en-AU"/>
        </w:rPr>
        <w:t xml:space="preserve"> </w:t>
      </w:r>
      <w:r w:rsidRPr="00BD5677">
        <w:rPr>
          <w:rFonts w:ascii="Arial" w:hAnsi="Arial" w:cs="Arial"/>
          <w:sz w:val="20"/>
          <w:szCs w:val="20"/>
          <w:lang w:val="en-AU"/>
        </w:rPr>
        <w:t>application.</w:t>
      </w:r>
    </w:p>
    <w:p w14:paraId="5B07F214" w14:textId="77777777"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apply to wet foliage, for example, early in the morning after a dew or soon after rain.</w:t>
      </w:r>
    </w:p>
    <w:p w14:paraId="5ADEBF22" w14:textId="7DE2D64D"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apply Accede if rain is expected within 6 hours of application. Light rain shortly after application may lead to rewetting and over thinning but heavy rain may lead to wash off and under thinning.</w:t>
      </w:r>
    </w:p>
    <w:p w14:paraId="09688862" w14:textId="63CAD4F0"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apply Accede within 2 days of spraying oil-based products or foliar fertilisers</w:t>
      </w:r>
      <w:r w:rsidR="00390CAB">
        <w:rPr>
          <w:rFonts w:ascii="Arial" w:hAnsi="Arial" w:cs="Arial"/>
          <w:sz w:val="20"/>
          <w:szCs w:val="20"/>
          <w:lang w:val="en-AU"/>
        </w:rPr>
        <w:t xml:space="preserve"> </w:t>
      </w:r>
      <w:r w:rsidR="00390CAB" w:rsidRPr="00390CAB">
        <w:rPr>
          <w:rFonts w:ascii="Arial" w:hAnsi="Arial" w:cs="Arial"/>
          <w:sz w:val="20"/>
          <w:szCs w:val="20"/>
          <w:lang w:val="en-AU"/>
        </w:rPr>
        <w:t>as may cause phytotoxicity</w:t>
      </w:r>
      <w:r w:rsidRPr="00BD5677">
        <w:rPr>
          <w:rFonts w:ascii="Arial" w:hAnsi="Arial" w:cs="Arial"/>
          <w:sz w:val="20"/>
          <w:szCs w:val="20"/>
          <w:lang w:val="en-AU"/>
        </w:rPr>
        <w:t>.</w:t>
      </w:r>
    </w:p>
    <w:p w14:paraId="0F0C8EF6" w14:textId="05955774"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apply to trees younger than 4 years planted in the orchard</w:t>
      </w:r>
      <w:r w:rsidR="00390CAB">
        <w:rPr>
          <w:rFonts w:ascii="Arial" w:hAnsi="Arial" w:cs="Arial"/>
          <w:sz w:val="20"/>
          <w:szCs w:val="20"/>
          <w:lang w:val="en-AU"/>
        </w:rPr>
        <w:t xml:space="preserve"> </w:t>
      </w:r>
      <w:r w:rsidR="00390CAB" w:rsidRPr="00390CAB">
        <w:rPr>
          <w:rFonts w:ascii="Arial" w:hAnsi="Arial" w:cs="Arial"/>
          <w:sz w:val="20"/>
          <w:szCs w:val="20"/>
          <w:lang w:val="en-AU"/>
        </w:rPr>
        <w:t>as may cause phytotoxicity</w:t>
      </w:r>
      <w:r w:rsidRPr="00BD5677">
        <w:rPr>
          <w:rFonts w:ascii="Arial" w:hAnsi="Arial" w:cs="Arial"/>
          <w:sz w:val="20"/>
          <w:szCs w:val="20"/>
          <w:lang w:val="en-AU"/>
        </w:rPr>
        <w:t xml:space="preserve">. </w:t>
      </w:r>
    </w:p>
    <w:p w14:paraId="6FD53DB2" w14:textId="34FBECB9" w:rsidR="000A19DC"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p>
    <w:p w14:paraId="62ACB6B2" w14:textId="77777777" w:rsidR="000A19DC"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b/>
          <w:bCs/>
          <w:sz w:val="20"/>
          <w:szCs w:val="20"/>
        </w:rPr>
      </w:pPr>
    </w:p>
    <w:p w14:paraId="16E9AD33" w14:textId="77777777" w:rsidR="000A19DC" w:rsidRPr="0083596D"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rPr>
        <w:t>SPRAY DRIFT RESTRAINTS</w:t>
      </w:r>
      <w:r w:rsidRPr="00BD5677">
        <w:rPr>
          <w:rFonts w:ascii="Arial" w:hAnsi="Arial" w:cs="Arial"/>
          <w:sz w:val="20"/>
          <w:szCs w:val="20"/>
        </w:rPr>
        <w:t>:</w:t>
      </w:r>
    </w:p>
    <w:p w14:paraId="1DA62B89" w14:textId="77777777" w:rsidR="000A19DC" w:rsidRPr="00BD5677" w:rsidRDefault="000A19DC" w:rsidP="00AB4AB3">
      <w:pPr>
        <w:spacing w:before="40"/>
        <w:ind w:left="142" w:right="282"/>
        <w:jc w:val="both"/>
        <w:rPr>
          <w:rFonts w:cs="Arial"/>
          <w:szCs w:val="20"/>
        </w:rPr>
      </w:pPr>
      <w:r w:rsidRPr="00BD5677">
        <w:rPr>
          <w:rFonts w:cs="Arial"/>
          <w:szCs w:val="20"/>
        </w:rPr>
        <w:t xml:space="preserve">Specific definitions for terms used in this section of the label can be found at apvma.gov.au/spraydrift. </w:t>
      </w:r>
      <w:r w:rsidRPr="00BD5677">
        <w:rPr>
          <w:rFonts w:cs="Arial"/>
          <w:szCs w:val="20"/>
        </w:rPr>
        <w:br/>
      </w:r>
      <w:r w:rsidRPr="00BD5677">
        <w:rPr>
          <w:rFonts w:cs="Arial"/>
          <w:b/>
          <w:bCs/>
          <w:szCs w:val="20"/>
        </w:rPr>
        <w:t>DO NOT</w:t>
      </w:r>
      <w:r w:rsidRPr="00BD5677">
        <w:rPr>
          <w:rFonts w:cs="Arial"/>
          <w:szCs w:val="20"/>
        </w:rPr>
        <w:t xml:space="preserve"> allow bystanders to </w:t>
      </w:r>
      <w:proofErr w:type="gramStart"/>
      <w:r w:rsidRPr="00BD5677">
        <w:rPr>
          <w:rFonts w:cs="Arial"/>
          <w:szCs w:val="20"/>
        </w:rPr>
        <w:t>come into contact with</w:t>
      </w:r>
      <w:proofErr w:type="gramEnd"/>
      <w:r w:rsidRPr="00BD5677">
        <w:rPr>
          <w:rFonts w:cs="Arial"/>
          <w:szCs w:val="20"/>
        </w:rPr>
        <w:t xml:space="preserve"> the spray cloud.</w:t>
      </w:r>
    </w:p>
    <w:p w14:paraId="0AE0EE7B" w14:textId="77777777" w:rsidR="000A19DC" w:rsidRPr="00BD5677" w:rsidRDefault="000A19DC" w:rsidP="00AB4AB3">
      <w:pPr>
        <w:spacing w:before="40"/>
        <w:ind w:left="142" w:right="282"/>
        <w:jc w:val="both"/>
        <w:rPr>
          <w:rFonts w:cs="Arial"/>
          <w:szCs w:val="20"/>
        </w:rPr>
      </w:pPr>
      <w:r w:rsidRPr="00BD5677">
        <w:rPr>
          <w:rFonts w:cs="Arial"/>
          <w:b/>
          <w:bCs/>
          <w:szCs w:val="20"/>
        </w:rPr>
        <w:t>DO NOT</w:t>
      </w:r>
      <w:r w:rsidRPr="00BD5677">
        <w:rPr>
          <w:rFonts w:cs="Arial"/>
          <w:szCs w:val="20"/>
        </w:rPr>
        <w:t xml:space="preserve">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722991A3" w14:textId="77777777" w:rsidR="000A19DC" w:rsidRPr="00BD5677" w:rsidRDefault="000A19DC" w:rsidP="00AB4AB3">
      <w:pPr>
        <w:spacing w:before="40"/>
        <w:ind w:left="142" w:right="282"/>
        <w:jc w:val="both"/>
        <w:rPr>
          <w:rFonts w:cs="Arial"/>
          <w:szCs w:val="20"/>
        </w:rPr>
      </w:pPr>
      <w:r w:rsidRPr="00BD5677">
        <w:rPr>
          <w:rFonts w:cs="Arial"/>
          <w:b/>
          <w:bCs/>
          <w:szCs w:val="20"/>
        </w:rPr>
        <w:t>DO NOT</w:t>
      </w:r>
      <w:r w:rsidRPr="00BD5677">
        <w:rPr>
          <w:rFonts w:cs="Arial"/>
          <w:szCs w:val="20"/>
        </w:rPr>
        <w:t xml:space="preserve"> apply unless the wind speed is between 3 and 20 kilometres per hour at the application site during the time of application.</w:t>
      </w:r>
    </w:p>
    <w:p w14:paraId="3FC519D1" w14:textId="77777777" w:rsidR="000A19DC" w:rsidRPr="00BD5677" w:rsidRDefault="000A19DC" w:rsidP="00AB4AB3">
      <w:pPr>
        <w:spacing w:before="40"/>
        <w:ind w:left="142" w:right="282"/>
        <w:jc w:val="both"/>
        <w:rPr>
          <w:rFonts w:cs="Arial"/>
          <w:szCs w:val="20"/>
        </w:rPr>
      </w:pPr>
      <w:r w:rsidRPr="00BD5677">
        <w:rPr>
          <w:rFonts w:cs="Arial"/>
          <w:b/>
          <w:bCs/>
          <w:szCs w:val="20"/>
        </w:rPr>
        <w:t>DO NOT</w:t>
      </w:r>
      <w:r w:rsidRPr="00BD5677">
        <w:rPr>
          <w:rFonts w:cs="Arial"/>
          <w:szCs w:val="20"/>
        </w:rPr>
        <w:t xml:space="preserve">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077C4DA8" w14:textId="77777777" w:rsidR="000A19DC" w:rsidRPr="00BD5677" w:rsidRDefault="000A19DC" w:rsidP="00AB4AB3">
      <w:pPr>
        <w:spacing w:before="40"/>
        <w:ind w:left="142" w:right="282"/>
        <w:rPr>
          <w:b/>
          <w:szCs w:val="20"/>
        </w:rPr>
      </w:pPr>
    </w:p>
    <w:p w14:paraId="46BBDAA1" w14:textId="77777777" w:rsidR="000A19DC" w:rsidRPr="00BD5677" w:rsidRDefault="000A19DC" w:rsidP="00AB4AB3">
      <w:pPr>
        <w:spacing w:before="40"/>
        <w:ind w:left="142" w:right="282"/>
        <w:rPr>
          <w:rFonts w:cs="Arial"/>
          <w:b/>
          <w:szCs w:val="20"/>
        </w:rPr>
      </w:pPr>
      <w:r w:rsidRPr="00BD5677">
        <w:rPr>
          <w:rFonts w:cs="Arial"/>
          <w:b/>
          <w:szCs w:val="20"/>
        </w:rPr>
        <w:t>Vertical sprayers</w:t>
      </w:r>
    </w:p>
    <w:p w14:paraId="2FBF3FF6" w14:textId="77777777" w:rsidR="000A19DC" w:rsidRPr="00BD5677" w:rsidRDefault="000A19DC" w:rsidP="00AB4AB3">
      <w:pPr>
        <w:ind w:left="142" w:right="282"/>
        <w:rPr>
          <w:rFonts w:cs="Arial"/>
          <w:szCs w:val="20"/>
        </w:rPr>
      </w:pPr>
      <w:r w:rsidRPr="00BD5677">
        <w:rPr>
          <w:rFonts w:cs="Arial"/>
          <w:b/>
          <w:bCs/>
          <w:szCs w:val="20"/>
        </w:rPr>
        <w:t>DO NOT</w:t>
      </w:r>
      <w:r w:rsidRPr="00BD5677">
        <w:rPr>
          <w:rFonts w:cs="Arial"/>
          <w:szCs w:val="20"/>
        </w:rPr>
        <w:t xml:space="preserve"> apply by a vertical sprayer unless the following requirements are met:</w:t>
      </w:r>
    </w:p>
    <w:p w14:paraId="5705824E" w14:textId="77777777" w:rsidR="000A19DC" w:rsidRPr="00BD5677" w:rsidRDefault="000A19DC" w:rsidP="00AB4AB3">
      <w:pPr>
        <w:pStyle w:val="ListParagraph"/>
        <w:numPr>
          <w:ilvl w:val="0"/>
          <w:numId w:val="38"/>
        </w:numPr>
        <w:tabs>
          <w:tab w:val="left" w:pos="881"/>
          <w:tab w:val="left" w:pos="882"/>
        </w:tabs>
        <w:ind w:left="142" w:right="282" w:firstLine="0"/>
        <w:rPr>
          <w:sz w:val="20"/>
          <w:szCs w:val="20"/>
        </w:rPr>
      </w:pPr>
      <w:r w:rsidRPr="00BD5677">
        <w:rPr>
          <w:sz w:val="20"/>
          <w:szCs w:val="20"/>
        </w:rPr>
        <w:t>spray is not directed above the target canopy</w:t>
      </w:r>
    </w:p>
    <w:p w14:paraId="78E0CE5D" w14:textId="44DA1100" w:rsidR="000A19DC" w:rsidRPr="00FD76E9" w:rsidRDefault="000A19DC" w:rsidP="00AB4AB3">
      <w:pPr>
        <w:pStyle w:val="ListParagraph"/>
        <w:numPr>
          <w:ilvl w:val="0"/>
          <w:numId w:val="38"/>
        </w:numPr>
        <w:tabs>
          <w:tab w:val="left" w:pos="993"/>
        </w:tabs>
        <w:spacing w:line="298" w:lineRule="auto"/>
        <w:ind w:left="851" w:right="282" w:hanging="709"/>
        <w:rPr>
          <w:color w:val="52284F"/>
          <w:sz w:val="20"/>
          <w:szCs w:val="20"/>
        </w:rPr>
      </w:pPr>
      <w:r w:rsidRPr="00BD5677">
        <w:rPr>
          <w:sz w:val="20"/>
          <w:szCs w:val="20"/>
        </w:rPr>
        <w:t xml:space="preserve">the outside of the sprayer is turned off when turning at the end of rows and when spraying </w:t>
      </w:r>
      <w:r w:rsidRPr="00FD76E9">
        <w:rPr>
          <w:sz w:val="20"/>
          <w:szCs w:val="20"/>
        </w:rPr>
        <w:t>the outer row</w:t>
      </w:r>
      <w:r w:rsidR="00FD76E9" w:rsidRPr="00FD76E9">
        <w:rPr>
          <w:sz w:val="20"/>
          <w:szCs w:val="20"/>
        </w:rPr>
        <w:t xml:space="preserve"> </w:t>
      </w:r>
      <w:r w:rsidRPr="00FD76E9">
        <w:rPr>
          <w:sz w:val="20"/>
          <w:szCs w:val="20"/>
        </w:rPr>
        <w:t>on each side of the application</w:t>
      </w:r>
      <w:r w:rsidRPr="00FD76E9">
        <w:rPr>
          <w:spacing w:val="-15"/>
          <w:sz w:val="20"/>
          <w:szCs w:val="20"/>
        </w:rPr>
        <w:t xml:space="preserve"> </w:t>
      </w:r>
      <w:r w:rsidRPr="00FD76E9">
        <w:rPr>
          <w:sz w:val="20"/>
          <w:szCs w:val="20"/>
        </w:rPr>
        <w:t>site</w:t>
      </w:r>
    </w:p>
    <w:p w14:paraId="6359B5F3" w14:textId="77777777" w:rsidR="000A19DC" w:rsidRPr="00BD5677" w:rsidRDefault="000A19DC" w:rsidP="00AB4AB3">
      <w:pPr>
        <w:pStyle w:val="ListParagraph"/>
        <w:numPr>
          <w:ilvl w:val="0"/>
          <w:numId w:val="38"/>
        </w:numPr>
        <w:tabs>
          <w:tab w:val="left" w:pos="881"/>
          <w:tab w:val="left" w:pos="882"/>
        </w:tabs>
        <w:spacing w:line="302" w:lineRule="auto"/>
        <w:ind w:left="851" w:right="282" w:hanging="709"/>
        <w:rPr>
          <w:color w:val="52284F"/>
          <w:sz w:val="20"/>
          <w:szCs w:val="20"/>
        </w:rPr>
      </w:pPr>
      <w:r w:rsidRPr="00BD5677">
        <w:rPr>
          <w:sz w:val="20"/>
          <w:szCs w:val="20"/>
        </w:rPr>
        <w:t xml:space="preserve">for </w:t>
      </w:r>
      <w:proofErr w:type="gramStart"/>
      <w:r w:rsidRPr="00BD5677">
        <w:rPr>
          <w:sz w:val="20"/>
          <w:szCs w:val="20"/>
        </w:rPr>
        <w:t>dilute</w:t>
      </w:r>
      <w:proofErr w:type="gramEnd"/>
      <w:r w:rsidRPr="00BD5677">
        <w:rPr>
          <w:sz w:val="20"/>
          <w:szCs w:val="20"/>
        </w:rPr>
        <w:t xml:space="preserve"> water rates up to the maximum listed for each type of canopy specified, minimum distances between the application site and downwind sensitive areas (see ‘Mandatory buffer zones’ section of the following table titled ‘Buffer zones for vertical sprayers’) are</w:t>
      </w:r>
      <w:r w:rsidRPr="00BD5677">
        <w:rPr>
          <w:spacing w:val="-31"/>
          <w:sz w:val="20"/>
          <w:szCs w:val="20"/>
        </w:rPr>
        <w:t xml:space="preserve"> </w:t>
      </w:r>
      <w:r w:rsidRPr="00BD5677">
        <w:rPr>
          <w:sz w:val="20"/>
          <w:szCs w:val="20"/>
        </w:rPr>
        <w:t>observed.</w:t>
      </w:r>
    </w:p>
    <w:p w14:paraId="2DFD5335" w14:textId="77777777" w:rsidR="00A218C7" w:rsidRDefault="00A218C7" w:rsidP="000A19DC">
      <w:pPr>
        <w:pStyle w:val="ListParagraph"/>
        <w:tabs>
          <w:tab w:val="left" w:pos="881"/>
          <w:tab w:val="left" w:pos="882"/>
        </w:tabs>
        <w:spacing w:line="302" w:lineRule="auto"/>
        <w:ind w:left="142" w:right="712"/>
        <w:rPr>
          <w:color w:val="52284F"/>
          <w:sz w:val="20"/>
          <w:szCs w:val="20"/>
        </w:rPr>
      </w:pPr>
    </w:p>
    <w:p w14:paraId="77711D01" w14:textId="77777777" w:rsidR="00AA5A11" w:rsidRDefault="00AA5A11" w:rsidP="000A19DC">
      <w:pPr>
        <w:pStyle w:val="ListParagraph"/>
        <w:tabs>
          <w:tab w:val="left" w:pos="881"/>
          <w:tab w:val="left" w:pos="882"/>
        </w:tabs>
        <w:spacing w:line="302" w:lineRule="auto"/>
        <w:ind w:left="142" w:right="712"/>
        <w:rPr>
          <w:color w:val="52284F"/>
          <w:sz w:val="20"/>
          <w:szCs w:val="20"/>
        </w:rPr>
      </w:pPr>
    </w:p>
    <w:p w14:paraId="4C7EC52F" w14:textId="77777777" w:rsidR="00AA5A11" w:rsidRDefault="00AA5A11" w:rsidP="000A19DC">
      <w:pPr>
        <w:pStyle w:val="ListParagraph"/>
        <w:tabs>
          <w:tab w:val="left" w:pos="881"/>
          <w:tab w:val="left" w:pos="882"/>
        </w:tabs>
        <w:spacing w:line="302" w:lineRule="auto"/>
        <w:ind w:left="142" w:right="712"/>
        <w:rPr>
          <w:color w:val="52284F"/>
          <w:sz w:val="20"/>
          <w:szCs w:val="20"/>
        </w:rPr>
      </w:pPr>
    </w:p>
    <w:p w14:paraId="0A51E01E" w14:textId="77777777" w:rsidR="00AA5A11" w:rsidRDefault="00AA5A11" w:rsidP="000A19DC">
      <w:pPr>
        <w:pStyle w:val="ListParagraph"/>
        <w:tabs>
          <w:tab w:val="left" w:pos="881"/>
          <w:tab w:val="left" w:pos="882"/>
        </w:tabs>
        <w:spacing w:line="302" w:lineRule="auto"/>
        <w:ind w:left="142" w:right="712"/>
        <w:rPr>
          <w:color w:val="52284F"/>
          <w:sz w:val="20"/>
          <w:szCs w:val="20"/>
        </w:rPr>
      </w:pPr>
    </w:p>
    <w:p w14:paraId="2D0180EF" w14:textId="77777777" w:rsidR="00AA5A11" w:rsidRPr="00BD5677" w:rsidRDefault="00AA5A11" w:rsidP="000A19DC">
      <w:pPr>
        <w:pStyle w:val="ListParagraph"/>
        <w:tabs>
          <w:tab w:val="left" w:pos="881"/>
          <w:tab w:val="left" w:pos="882"/>
        </w:tabs>
        <w:spacing w:line="302" w:lineRule="auto"/>
        <w:ind w:left="142" w:right="712"/>
        <w:rPr>
          <w:color w:val="52284F"/>
          <w:sz w:val="20"/>
          <w:szCs w:val="20"/>
        </w:rPr>
      </w:pPr>
    </w:p>
    <w:p w14:paraId="186624CA" w14:textId="77777777" w:rsidR="000A19DC" w:rsidRDefault="000A19DC" w:rsidP="000A19DC">
      <w:pPr>
        <w:ind w:left="142" w:right="145"/>
        <w:rPr>
          <w:rFonts w:cs="Arial"/>
          <w:b/>
          <w:szCs w:val="20"/>
        </w:rPr>
      </w:pPr>
      <w:r w:rsidRPr="00BD5677">
        <w:rPr>
          <w:rFonts w:cs="Arial"/>
          <w:b/>
          <w:szCs w:val="20"/>
        </w:rPr>
        <w:lastRenderedPageBreak/>
        <w:t>Buffer zones for vertical sprayers</w:t>
      </w:r>
    </w:p>
    <w:p w14:paraId="29FB4B8F" w14:textId="77777777" w:rsidR="00274331" w:rsidRPr="00BD5677" w:rsidRDefault="00274331" w:rsidP="000A19DC">
      <w:pPr>
        <w:ind w:left="142" w:right="145"/>
        <w:rPr>
          <w:b/>
          <w:szCs w:val="20"/>
        </w:rPr>
      </w:pPr>
    </w:p>
    <w:tbl>
      <w:tblPr>
        <w:tblW w:w="4534"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2"/>
        <w:gridCol w:w="1013"/>
        <w:gridCol w:w="1013"/>
        <w:gridCol w:w="887"/>
        <w:gridCol w:w="1013"/>
        <w:gridCol w:w="1013"/>
      </w:tblGrid>
      <w:tr w:rsidR="000A19DC" w:rsidRPr="00B31C20" w14:paraId="14F8F59F" w14:textId="77777777" w:rsidTr="0084569A">
        <w:tc>
          <w:tcPr>
            <w:tcW w:w="4253" w:type="dxa"/>
            <w:vMerge w:val="restart"/>
          </w:tcPr>
          <w:p w14:paraId="219E200B" w14:textId="77777777" w:rsidR="000A19DC" w:rsidRPr="00B31C20" w:rsidRDefault="000A19DC" w:rsidP="0084569A">
            <w:pPr>
              <w:spacing w:line="259" w:lineRule="auto"/>
              <w:rPr>
                <w:b/>
                <w:szCs w:val="20"/>
              </w:rPr>
            </w:pPr>
            <w:r w:rsidRPr="00B31C20">
              <w:rPr>
                <w:b/>
                <w:szCs w:val="20"/>
              </w:rPr>
              <w:t>Type of target canopy and dilute water rate</w:t>
            </w:r>
          </w:p>
        </w:tc>
        <w:tc>
          <w:tcPr>
            <w:tcW w:w="5528" w:type="dxa"/>
            <w:gridSpan w:val="5"/>
          </w:tcPr>
          <w:p w14:paraId="4A40047C" w14:textId="77777777" w:rsidR="000A19DC" w:rsidRPr="00B31C20" w:rsidRDefault="000A19DC" w:rsidP="0084569A">
            <w:pPr>
              <w:jc w:val="center"/>
              <w:rPr>
                <w:b/>
                <w:szCs w:val="20"/>
              </w:rPr>
            </w:pPr>
            <w:r w:rsidRPr="00B31C20">
              <w:rPr>
                <w:b/>
                <w:szCs w:val="20"/>
              </w:rPr>
              <w:t>Mandatory buffer zones</w:t>
            </w:r>
          </w:p>
        </w:tc>
      </w:tr>
      <w:tr w:rsidR="000A19DC" w:rsidRPr="00B31C20" w14:paraId="00CC15F4" w14:textId="77777777" w:rsidTr="0084569A">
        <w:tc>
          <w:tcPr>
            <w:tcW w:w="4253" w:type="dxa"/>
            <w:vMerge/>
          </w:tcPr>
          <w:p w14:paraId="2DF38FCF" w14:textId="77777777" w:rsidR="000A19DC" w:rsidRPr="00B31C20" w:rsidRDefault="000A19DC" w:rsidP="0084569A">
            <w:pPr>
              <w:rPr>
                <w:szCs w:val="20"/>
              </w:rPr>
            </w:pPr>
          </w:p>
        </w:tc>
        <w:tc>
          <w:tcPr>
            <w:tcW w:w="1134" w:type="dxa"/>
          </w:tcPr>
          <w:p w14:paraId="73E0B0C4" w14:textId="77777777" w:rsidR="000A19DC" w:rsidRPr="00B31C20" w:rsidRDefault="000A19DC" w:rsidP="0084569A">
            <w:pPr>
              <w:spacing w:line="259" w:lineRule="auto"/>
              <w:jc w:val="center"/>
              <w:rPr>
                <w:b/>
                <w:szCs w:val="20"/>
              </w:rPr>
            </w:pPr>
            <w:r w:rsidRPr="00B31C20">
              <w:rPr>
                <w:b/>
                <w:szCs w:val="20"/>
              </w:rPr>
              <w:t xml:space="preserve">Bystander </w:t>
            </w:r>
            <w:r w:rsidRPr="00B31C20">
              <w:rPr>
                <w:b/>
                <w:szCs w:val="20"/>
              </w:rPr>
              <w:br/>
              <w:t>areas</w:t>
            </w:r>
          </w:p>
        </w:tc>
        <w:tc>
          <w:tcPr>
            <w:tcW w:w="1134" w:type="dxa"/>
          </w:tcPr>
          <w:p w14:paraId="0DEA54BB" w14:textId="77777777" w:rsidR="000A19DC" w:rsidRPr="00B31C20" w:rsidRDefault="000A19DC" w:rsidP="0084569A">
            <w:pPr>
              <w:spacing w:line="259" w:lineRule="auto"/>
              <w:jc w:val="center"/>
              <w:rPr>
                <w:b/>
                <w:szCs w:val="20"/>
              </w:rPr>
            </w:pPr>
            <w:r w:rsidRPr="00B31C20">
              <w:rPr>
                <w:b/>
                <w:szCs w:val="20"/>
              </w:rPr>
              <w:t>Natural aquatic areas</w:t>
            </w:r>
          </w:p>
        </w:tc>
        <w:tc>
          <w:tcPr>
            <w:tcW w:w="992" w:type="dxa"/>
          </w:tcPr>
          <w:p w14:paraId="71C1316B" w14:textId="77777777" w:rsidR="000A19DC" w:rsidRPr="00B31C20" w:rsidRDefault="000A19DC" w:rsidP="0084569A">
            <w:pPr>
              <w:spacing w:line="259" w:lineRule="auto"/>
              <w:jc w:val="center"/>
              <w:rPr>
                <w:b/>
                <w:szCs w:val="20"/>
              </w:rPr>
            </w:pPr>
            <w:r w:rsidRPr="00B31C20">
              <w:rPr>
                <w:b/>
                <w:szCs w:val="20"/>
              </w:rPr>
              <w:t xml:space="preserve">Pollinator </w:t>
            </w:r>
            <w:r w:rsidRPr="00B31C20">
              <w:rPr>
                <w:b/>
                <w:szCs w:val="20"/>
              </w:rPr>
              <w:br/>
              <w:t>areas</w:t>
            </w:r>
          </w:p>
        </w:tc>
        <w:tc>
          <w:tcPr>
            <w:tcW w:w="1134" w:type="dxa"/>
          </w:tcPr>
          <w:p w14:paraId="1B91CB83" w14:textId="77777777" w:rsidR="000A19DC" w:rsidRPr="00B31C20" w:rsidRDefault="000A19DC" w:rsidP="0084569A">
            <w:pPr>
              <w:spacing w:line="259" w:lineRule="auto"/>
              <w:jc w:val="center"/>
              <w:rPr>
                <w:b/>
                <w:szCs w:val="20"/>
              </w:rPr>
            </w:pPr>
            <w:r w:rsidRPr="00B31C20">
              <w:rPr>
                <w:b/>
                <w:szCs w:val="20"/>
              </w:rPr>
              <w:t xml:space="preserve">Vegetation </w:t>
            </w:r>
            <w:r w:rsidRPr="00B31C20">
              <w:rPr>
                <w:b/>
                <w:szCs w:val="20"/>
              </w:rPr>
              <w:br/>
              <w:t>areas</w:t>
            </w:r>
          </w:p>
        </w:tc>
        <w:tc>
          <w:tcPr>
            <w:tcW w:w="1134" w:type="dxa"/>
          </w:tcPr>
          <w:p w14:paraId="43391AF6" w14:textId="77777777" w:rsidR="000A19DC" w:rsidRPr="00B31C20" w:rsidRDefault="000A19DC" w:rsidP="0084569A">
            <w:pPr>
              <w:spacing w:line="259" w:lineRule="auto"/>
              <w:jc w:val="center"/>
              <w:rPr>
                <w:b/>
                <w:szCs w:val="20"/>
              </w:rPr>
            </w:pPr>
            <w:r w:rsidRPr="00B31C20">
              <w:rPr>
                <w:b/>
                <w:szCs w:val="20"/>
              </w:rPr>
              <w:t xml:space="preserve">Livestock </w:t>
            </w:r>
            <w:r w:rsidRPr="00B31C20">
              <w:rPr>
                <w:b/>
                <w:szCs w:val="20"/>
              </w:rPr>
              <w:br/>
              <w:t>areas</w:t>
            </w:r>
          </w:p>
        </w:tc>
      </w:tr>
      <w:tr w:rsidR="000A19DC" w:rsidRPr="00B31C20" w14:paraId="3FD14F7C" w14:textId="77777777" w:rsidTr="0084569A">
        <w:tc>
          <w:tcPr>
            <w:tcW w:w="4253" w:type="dxa"/>
          </w:tcPr>
          <w:p w14:paraId="3072E92A" w14:textId="77777777" w:rsidR="000A19DC" w:rsidRPr="00B31C20" w:rsidRDefault="000A19DC" w:rsidP="0084569A">
            <w:pPr>
              <w:spacing w:line="259" w:lineRule="auto"/>
              <w:rPr>
                <w:bCs/>
                <w:szCs w:val="20"/>
              </w:rPr>
            </w:pPr>
            <w:r w:rsidRPr="00B31C20">
              <w:rPr>
                <w:bCs/>
                <w:szCs w:val="20"/>
              </w:rPr>
              <w:t>2 m tall and shorter, maximum dilute water rate of 1000 L/ha</w:t>
            </w:r>
          </w:p>
        </w:tc>
        <w:tc>
          <w:tcPr>
            <w:tcW w:w="1134" w:type="dxa"/>
          </w:tcPr>
          <w:p w14:paraId="4367BA97" w14:textId="77777777" w:rsidR="000A19DC" w:rsidRPr="00B31C20" w:rsidRDefault="000A19DC" w:rsidP="0084569A">
            <w:pPr>
              <w:jc w:val="center"/>
              <w:rPr>
                <w:bCs/>
                <w:szCs w:val="20"/>
              </w:rPr>
            </w:pPr>
            <w:r w:rsidRPr="00B31C20">
              <w:rPr>
                <w:bCs/>
                <w:szCs w:val="20"/>
              </w:rPr>
              <w:t>0 m</w:t>
            </w:r>
          </w:p>
        </w:tc>
        <w:tc>
          <w:tcPr>
            <w:tcW w:w="1134" w:type="dxa"/>
          </w:tcPr>
          <w:p w14:paraId="7D6DF906" w14:textId="279A8A7E" w:rsidR="000A19DC" w:rsidRPr="00B31C20" w:rsidRDefault="000A19DC" w:rsidP="0084569A">
            <w:pPr>
              <w:jc w:val="center"/>
              <w:rPr>
                <w:bCs/>
                <w:szCs w:val="20"/>
              </w:rPr>
            </w:pPr>
            <w:r w:rsidRPr="00B31C20">
              <w:rPr>
                <w:bCs/>
                <w:szCs w:val="20"/>
              </w:rPr>
              <w:t>5 m</w:t>
            </w:r>
          </w:p>
        </w:tc>
        <w:tc>
          <w:tcPr>
            <w:tcW w:w="992" w:type="dxa"/>
          </w:tcPr>
          <w:p w14:paraId="7EF74C51" w14:textId="77777777" w:rsidR="000A19DC" w:rsidRPr="00B31C20" w:rsidRDefault="000A19DC" w:rsidP="0084569A">
            <w:pPr>
              <w:jc w:val="center"/>
              <w:rPr>
                <w:bCs/>
                <w:szCs w:val="20"/>
              </w:rPr>
            </w:pPr>
            <w:r w:rsidRPr="00B31C20">
              <w:rPr>
                <w:bCs/>
                <w:szCs w:val="20"/>
              </w:rPr>
              <w:t>0 m</w:t>
            </w:r>
          </w:p>
        </w:tc>
        <w:tc>
          <w:tcPr>
            <w:tcW w:w="1134" w:type="dxa"/>
          </w:tcPr>
          <w:p w14:paraId="7037CA6A" w14:textId="3173A1F9" w:rsidR="000A19DC" w:rsidRPr="00B31C20" w:rsidRDefault="000A19DC" w:rsidP="0084569A">
            <w:pPr>
              <w:jc w:val="center"/>
              <w:rPr>
                <w:bCs/>
                <w:szCs w:val="20"/>
              </w:rPr>
            </w:pPr>
            <w:r w:rsidRPr="00B31C20">
              <w:rPr>
                <w:bCs/>
                <w:szCs w:val="20"/>
              </w:rPr>
              <w:t>10 m</w:t>
            </w:r>
          </w:p>
        </w:tc>
        <w:tc>
          <w:tcPr>
            <w:tcW w:w="1134" w:type="dxa"/>
          </w:tcPr>
          <w:p w14:paraId="275D429D" w14:textId="77777777" w:rsidR="000A19DC" w:rsidRPr="00B31C20" w:rsidRDefault="000A19DC" w:rsidP="0084569A">
            <w:pPr>
              <w:jc w:val="center"/>
              <w:rPr>
                <w:bCs/>
                <w:szCs w:val="20"/>
              </w:rPr>
            </w:pPr>
            <w:r w:rsidRPr="00B31C20">
              <w:rPr>
                <w:bCs/>
                <w:szCs w:val="20"/>
              </w:rPr>
              <w:t>0 m</w:t>
            </w:r>
          </w:p>
        </w:tc>
      </w:tr>
      <w:tr w:rsidR="000A19DC" w:rsidRPr="00B31C20" w14:paraId="6FD91577" w14:textId="77777777" w:rsidTr="0084569A">
        <w:tc>
          <w:tcPr>
            <w:tcW w:w="4253" w:type="dxa"/>
          </w:tcPr>
          <w:p w14:paraId="5BE328B4" w14:textId="77777777" w:rsidR="000A19DC" w:rsidRPr="00B31C20" w:rsidRDefault="000A19DC" w:rsidP="0084569A">
            <w:pPr>
              <w:spacing w:line="256" w:lineRule="auto"/>
              <w:rPr>
                <w:bCs/>
                <w:szCs w:val="20"/>
              </w:rPr>
            </w:pPr>
            <w:r w:rsidRPr="00B31C20">
              <w:rPr>
                <w:bCs/>
                <w:szCs w:val="20"/>
              </w:rPr>
              <w:t xml:space="preserve">Taller than 2 m (not </w:t>
            </w:r>
            <w:proofErr w:type="gramStart"/>
            <w:r w:rsidRPr="00B31C20">
              <w:rPr>
                <w:bCs/>
                <w:szCs w:val="20"/>
              </w:rPr>
              <w:t>fully-foliated</w:t>
            </w:r>
            <w:proofErr w:type="gramEnd"/>
            <w:r w:rsidRPr="00B31C20">
              <w:rPr>
                <w:bCs/>
                <w:szCs w:val="20"/>
              </w:rPr>
              <w:t>), maximum dilute water rate of 1000 L/ha</w:t>
            </w:r>
          </w:p>
        </w:tc>
        <w:tc>
          <w:tcPr>
            <w:tcW w:w="1134" w:type="dxa"/>
          </w:tcPr>
          <w:p w14:paraId="349D675E" w14:textId="77777777" w:rsidR="000A19DC" w:rsidRPr="00B31C20" w:rsidRDefault="000A19DC" w:rsidP="0084569A">
            <w:pPr>
              <w:jc w:val="center"/>
              <w:rPr>
                <w:bCs/>
                <w:szCs w:val="20"/>
              </w:rPr>
            </w:pPr>
            <w:r w:rsidRPr="00B31C20">
              <w:rPr>
                <w:bCs/>
                <w:szCs w:val="20"/>
              </w:rPr>
              <w:t>0 m</w:t>
            </w:r>
          </w:p>
        </w:tc>
        <w:tc>
          <w:tcPr>
            <w:tcW w:w="1134" w:type="dxa"/>
          </w:tcPr>
          <w:p w14:paraId="15936328" w14:textId="4C531F02" w:rsidR="000A19DC" w:rsidRPr="00B31C20" w:rsidRDefault="000A19DC" w:rsidP="0084569A">
            <w:pPr>
              <w:jc w:val="center"/>
              <w:rPr>
                <w:bCs/>
                <w:szCs w:val="20"/>
              </w:rPr>
            </w:pPr>
            <w:r w:rsidRPr="00B31C20">
              <w:rPr>
                <w:bCs/>
                <w:szCs w:val="20"/>
              </w:rPr>
              <w:t>20 m</w:t>
            </w:r>
          </w:p>
        </w:tc>
        <w:tc>
          <w:tcPr>
            <w:tcW w:w="992" w:type="dxa"/>
          </w:tcPr>
          <w:p w14:paraId="524FBF7C" w14:textId="77777777" w:rsidR="000A19DC" w:rsidRPr="00B31C20" w:rsidRDefault="000A19DC" w:rsidP="0084569A">
            <w:pPr>
              <w:jc w:val="center"/>
              <w:rPr>
                <w:bCs/>
                <w:szCs w:val="20"/>
              </w:rPr>
            </w:pPr>
            <w:r w:rsidRPr="00B31C20">
              <w:rPr>
                <w:bCs/>
                <w:szCs w:val="20"/>
              </w:rPr>
              <w:t>0 m</w:t>
            </w:r>
          </w:p>
        </w:tc>
        <w:tc>
          <w:tcPr>
            <w:tcW w:w="1134" w:type="dxa"/>
          </w:tcPr>
          <w:p w14:paraId="5871DC99" w14:textId="3AC4735E" w:rsidR="000A19DC" w:rsidRPr="00B31C20" w:rsidRDefault="000A19DC" w:rsidP="0084569A">
            <w:pPr>
              <w:jc w:val="center"/>
              <w:rPr>
                <w:bCs/>
                <w:szCs w:val="20"/>
              </w:rPr>
            </w:pPr>
            <w:r w:rsidRPr="00B31C20">
              <w:rPr>
                <w:bCs/>
                <w:szCs w:val="20"/>
              </w:rPr>
              <w:t>35 m</w:t>
            </w:r>
          </w:p>
        </w:tc>
        <w:tc>
          <w:tcPr>
            <w:tcW w:w="1134" w:type="dxa"/>
          </w:tcPr>
          <w:p w14:paraId="2328D0A5" w14:textId="77777777" w:rsidR="000A19DC" w:rsidRPr="00B31C20" w:rsidRDefault="000A19DC" w:rsidP="0084569A">
            <w:pPr>
              <w:jc w:val="center"/>
              <w:rPr>
                <w:bCs/>
                <w:szCs w:val="20"/>
              </w:rPr>
            </w:pPr>
            <w:r w:rsidRPr="00B31C20">
              <w:rPr>
                <w:bCs/>
                <w:szCs w:val="20"/>
              </w:rPr>
              <w:t>0 m</w:t>
            </w:r>
          </w:p>
        </w:tc>
      </w:tr>
      <w:tr w:rsidR="000A19DC" w:rsidRPr="00B31C20" w14:paraId="431FEAC6" w14:textId="77777777" w:rsidTr="0084569A">
        <w:tc>
          <w:tcPr>
            <w:tcW w:w="4253" w:type="dxa"/>
          </w:tcPr>
          <w:p w14:paraId="76197A07" w14:textId="77777777" w:rsidR="000A19DC" w:rsidRPr="00B31C20" w:rsidRDefault="000A19DC" w:rsidP="0084569A">
            <w:pPr>
              <w:spacing w:line="256" w:lineRule="auto"/>
              <w:rPr>
                <w:bCs/>
                <w:szCs w:val="20"/>
              </w:rPr>
            </w:pPr>
            <w:r w:rsidRPr="00B31C20">
              <w:rPr>
                <w:bCs/>
                <w:szCs w:val="20"/>
              </w:rPr>
              <w:t>Taller than 2 m (</w:t>
            </w:r>
            <w:proofErr w:type="gramStart"/>
            <w:r w:rsidRPr="00B31C20">
              <w:rPr>
                <w:bCs/>
                <w:szCs w:val="20"/>
              </w:rPr>
              <w:t>fully-foliated</w:t>
            </w:r>
            <w:proofErr w:type="gramEnd"/>
            <w:r w:rsidRPr="00B31C20">
              <w:rPr>
                <w:bCs/>
                <w:szCs w:val="20"/>
              </w:rPr>
              <w:t>), maximum dilute water rate of 1000 L/ha</w:t>
            </w:r>
          </w:p>
        </w:tc>
        <w:tc>
          <w:tcPr>
            <w:tcW w:w="1134" w:type="dxa"/>
          </w:tcPr>
          <w:p w14:paraId="4A6B4BDD" w14:textId="77777777" w:rsidR="000A19DC" w:rsidRPr="00B31C20" w:rsidRDefault="000A19DC" w:rsidP="0084569A">
            <w:pPr>
              <w:jc w:val="center"/>
              <w:rPr>
                <w:bCs/>
                <w:szCs w:val="20"/>
              </w:rPr>
            </w:pPr>
            <w:r w:rsidRPr="00B31C20">
              <w:rPr>
                <w:bCs/>
                <w:szCs w:val="20"/>
              </w:rPr>
              <w:t>0 m</w:t>
            </w:r>
          </w:p>
        </w:tc>
        <w:tc>
          <w:tcPr>
            <w:tcW w:w="1134" w:type="dxa"/>
          </w:tcPr>
          <w:p w14:paraId="114A37BA" w14:textId="2BD965F8" w:rsidR="000A19DC" w:rsidRPr="00B31C20" w:rsidRDefault="000A19DC" w:rsidP="0084569A">
            <w:pPr>
              <w:jc w:val="center"/>
              <w:rPr>
                <w:bCs/>
                <w:szCs w:val="20"/>
              </w:rPr>
            </w:pPr>
            <w:r w:rsidRPr="00B31C20">
              <w:rPr>
                <w:bCs/>
                <w:szCs w:val="20"/>
              </w:rPr>
              <w:t>15 m</w:t>
            </w:r>
          </w:p>
        </w:tc>
        <w:tc>
          <w:tcPr>
            <w:tcW w:w="992" w:type="dxa"/>
          </w:tcPr>
          <w:p w14:paraId="67489743" w14:textId="77777777" w:rsidR="000A19DC" w:rsidRPr="00B31C20" w:rsidRDefault="000A19DC" w:rsidP="0084569A">
            <w:pPr>
              <w:jc w:val="center"/>
              <w:rPr>
                <w:bCs/>
                <w:szCs w:val="20"/>
              </w:rPr>
            </w:pPr>
            <w:r w:rsidRPr="00B31C20">
              <w:rPr>
                <w:bCs/>
                <w:szCs w:val="20"/>
              </w:rPr>
              <w:t>0 m</w:t>
            </w:r>
          </w:p>
        </w:tc>
        <w:tc>
          <w:tcPr>
            <w:tcW w:w="1134" w:type="dxa"/>
          </w:tcPr>
          <w:p w14:paraId="66DFC41F" w14:textId="6A451FFD" w:rsidR="000A19DC" w:rsidRPr="00B31C20" w:rsidRDefault="000A19DC" w:rsidP="0084569A">
            <w:pPr>
              <w:jc w:val="center"/>
              <w:rPr>
                <w:bCs/>
                <w:szCs w:val="20"/>
              </w:rPr>
            </w:pPr>
            <w:r w:rsidRPr="00B31C20">
              <w:rPr>
                <w:bCs/>
                <w:szCs w:val="20"/>
              </w:rPr>
              <w:t>25 m</w:t>
            </w:r>
          </w:p>
        </w:tc>
        <w:tc>
          <w:tcPr>
            <w:tcW w:w="1134" w:type="dxa"/>
          </w:tcPr>
          <w:p w14:paraId="3173D0D9" w14:textId="77777777" w:rsidR="000A19DC" w:rsidRPr="00B31C20" w:rsidRDefault="000A19DC" w:rsidP="0084569A">
            <w:pPr>
              <w:jc w:val="center"/>
              <w:rPr>
                <w:bCs/>
                <w:szCs w:val="20"/>
              </w:rPr>
            </w:pPr>
            <w:r w:rsidRPr="00B31C20">
              <w:rPr>
                <w:bCs/>
                <w:szCs w:val="20"/>
              </w:rPr>
              <w:t>0 m</w:t>
            </w:r>
          </w:p>
        </w:tc>
      </w:tr>
    </w:tbl>
    <w:p w14:paraId="3A7E94E2" w14:textId="77777777" w:rsidR="000A19DC" w:rsidRPr="00BD5677" w:rsidRDefault="000A19DC" w:rsidP="000A19DC">
      <w:pPr>
        <w:ind w:left="142"/>
        <w:rPr>
          <w:szCs w:val="20"/>
        </w:rPr>
      </w:pPr>
    </w:p>
    <w:p w14:paraId="25226B9C" w14:textId="77777777" w:rsidR="000A19DC" w:rsidRDefault="000A19DC" w:rsidP="000A19DC">
      <w:pPr>
        <w:ind w:left="142"/>
        <w:rPr>
          <w:szCs w:val="20"/>
        </w:rPr>
      </w:pPr>
    </w:p>
    <w:p w14:paraId="3486FA6B" w14:textId="77777777" w:rsidR="000A19DC" w:rsidRPr="00BD5677" w:rsidRDefault="000A19DC" w:rsidP="000A19DC">
      <w:pPr>
        <w:ind w:left="142"/>
        <w:rPr>
          <w:szCs w:val="20"/>
        </w:rPr>
      </w:pPr>
    </w:p>
    <w:p w14:paraId="39419DEF" w14:textId="77777777" w:rsidR="000A19DC" w:rsidRPr="00E252E4" w:rsidRDefault="000A19DC" w:rsidP="000A19DC">
      <w:pPr>
        <w:ind w:left="142"/>
        <w:outlineLvl w:val="1"/>
        <w:rPr>
          <w:b/>
          <w:bCs/>
          <w:szCs w:val="20"/>
        </w:rPr>
      </w:pPr>
      <w:bookmarkStart w:id="166" w:name="_Toc228527317"/>
      <w:r w:rsidRPr="00B31C20">
        <w:rPr>
          <w:rFonts w:cs="Arial"/>
          <w:b/>
          <w:bCs/>
          <w:szCs w:val="20"/>
        </w:rPr>
        <w:t>DIRECTIONS FOR USE:</w:t>
      </w:r>
      <w:bookmarkEnd w:id="166"/>
    </w:p>
    <w:p w14:paraId="2554A31B" w14:textId="77777777" w:rsidR="000A19DC" w:rsidRDefault="000A19DC" w:rsidP="000A19DC">
      <w:pPr>
        <w:ind w:left="142"/>
        <w:outlineLvl w:val="1"/>
        <w:rPr>
          <w:b/>
          <w:bCs/>
          <w:szCs w:val="20"/>
        </w:rPr>
      </w:pPr>
    </w:p>
    <w:p w14:paraId="3B020F03" w14:textId="77777777" w:rsidR="000A19DC" w:rsidRPr="00B31C20" w:rsidRDefault="000A19DC" w:rsidP="000A19DC">
      <w:pPr>
        <w:ind w:left="142"/>
        <w:outlineLvl w:val="1"/>
        <w:rPr>
          <w:rFonts w:cs="Arial"/>
          <w:b/>
          <w:bCs/>
          <w:sz w:val="22"/>
          <w:szCs w:val="22"/>
        </w:rPr>
      </w:pPr>
      <w:bookmarkStart w:id="167" w:name="_Toc228527318"/>
      <w:r w:rsidRPr="00B31C20">
        <w:rPr>
          <w:rFonts w:cs="Arial"/>
          <w:b/>
          <w:bCs/>
          <w:szCs w:val="20"/>
        </w:rPr>
        <w:t>Read the GENERAL INSTRUCTIONS section carefully before setting up to spray and deciding on a rate.</w:t>
      </w:r>
      <w:bookmarkEnd w:id="167"/>
    </w:p>
    <w:tbl>
      <w:tblPr>
        <w:tblW w:w="46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
        <w:gridCol w:w="1550"/>
        <w:gridCol w:w="1265"/>
        <w:gridCol w:w="2278"/>
        <w:gridCol w:w="2785"/>
      </w:tblGrid>
      <w:tr w:rsidR="000A19DC" w:rsidRPr="00B31C20" w14:paraId="2C58EC21" w14:textId="77777777" w:rsidTr="0084569A">
        <w:trPr>
          <w:cantSplit/>
        </w:trPr>
        <w:tc>
          <w:tcPr>
            <w:tcW w:w="553" w:type="pct"/>
            <w:tcBorders>
              <w:bottom w:val="single" w:sz="4" w:space="0" w:color="auto"/>
            </w:tcBorders>
          </w:tcPr>
          <w:p w14:paraId="5906B583" w14:textId="77777777" w:rsidR="000A19DC" w:rsidRPr="00B31C20" w:rsidRDefault="000A19DC" w:rsidP="0084569A">
            <w:pPr>
              <w:spacing w:before="120" w:after="120"/>
              <w:rPr>
                <w:rFonts w:cs="Arial"/>
                <w:b/>
                <w:bCs/>
                <w:szCs w:val="20"/>
              </w:rPr>
            </w:pPr>
            <w:r w:rsidRPr="00B31C20">
              <w:rPr>
                <w:rFonts w:cs="Arial"/>
                <w:b/>
                <w:bCs/>
                <w:szCs w:val="20"/>
              </w:rPr>
              <w:t>CROP</w:t>
            </w:r>
          </w:p>
        </w:tc>
        <w:tc>
          <w:tcPr>
            <w:tcW w:w="875" w:type="pct"/>
            <w:tcBorders>
              <w:bottom w:val="single" w:sz="4" w:space="0" w:color="auto"/>
            </w:tcBorders>
          </w:tcPr>
          <w:p w14:paraId="716E511B"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spacing w:before="120" w:after="120"/>
              <w:rPr>
                <w:rFonts w:cs="Arial"/>
                <w:b/>
                <w:bCs/>
                <w:szCs w:val="20"/>
              </w:rPr>
            </w:pPr>
            <w:r w:rsidRPr="00B31C20">
              <w:rPr>
                <w:rFonts w:cs="Arial"/>
                <w:b/>
                <w:bCs/>
                <w:szCs w:val="20"/>
              </w:rPr>
              <w:t>VARIETY</w:t>
            </w:r>
          </w:p>
        </w:tc>
        <w:tc>
          <w:tcPr>
            <w:tcW w:w="714" w:type="pct"/>
            <w:tcBorders>
              <w:bottom w:val="single" w:sz="4" w:space="0" w:color="auto"/>
            </w:tcBorders>
          </w:tcPr>
          <w:p w14:paraId="302A75F1" w14:textId="77777777" w:rsidR="000A19DC" w:rsidRPr="00B31C20" w:rsidRDefault="000A19DC" w:rsidP="0084569A">
            <w:pPr>
              <w:spacing w:before="120" w:after="120"/>
              <w:jc w:val="center"/>
              <w:rPr>
                <w:rFonts w:cs="Arial"/>
                <w:b/>
                <w:bCs/>
                <w:szCs w:val="20"/>
              </w:rPr>
            </w:pPr>
            <w:r w:rsidRPr="00B31C20">
              <w:rPr>
                <w:rFonts w:cs="Arial"/>
                <w:b/>
                <w:bCs/>
                <w:szCs w:val="20"/>
              </w:rPr>
              <w:t>TIMING</w:t>
            </w:r>
          </w:p>
        </w:tc>
        <w:tc>
          <w:tcPr>
            <w:tcW w:w="1286" w:type="pct"/>
            <w:tcBorders>
              <w:bottom w:val="single" w:sz="4" w:space="0" w:color="auto"/>
            </w:tcBorders>
          </w:tcPr>
          <w:p w14:paraId="67FB5F36" w14:textId="77777777" w:rsidR="000A19DC" w:rsidRPr="00B31C20" w:rsidRDefault="000A19DC" w:rsidP="0084569A">
            <w:pPr>
              <w:spacing w:before="120" w:after="120"/>
              <w:jc w:val="center"/>
              <w:rPr>
                <w:rFonts w:cs="Arial"/>
                <w:b/>
                <w:bCs/>
                <w:szCs w:val="20"/>
              </w:rPr>
            </w:pPr>
            <w:r w:rsidRPr="00B31C20">
              <w:rPr>
                <w:rFonts w:cs="Arial"/>
                <w:b/>
                <w:bCs/>
                <w:szCs w:val="20"/>
              </w:rPr>
              <w:t>RATE</w:t>
            </w:r>
          </w:p>
        </w:tc>
        <w:tc>
          <w:tcPr>
            <w:tcW w:w="1572" w:type="pct"/>
            <w:tcBorders>
              <w:bottom w:val="single" w:sz="4" w:space="0" w:color="auto"/>
            </w:tcBorders>
          </w:tcPr>
          <w:p w14:paraId="31809174" w14:textId="77777777" w:rsidR="000A19DC" w:rsidRPr="00B31C20" w:rsidRDefault="000A19DC" w:rsidP="0084569A">
            <w:pPr>
              <w:spacing w:before="120" w:after="120"/>
              <w:rPr>
                <w:rFonts w:cs="Arial"/>
                <w:b/>
                <w:bCs/>
                <w:szCs w:val="20"/>
              </w:rPr>
            </w:pPr>
            <w:r w:rsidRPr="00B31C20">
              <w:rPr>
                <w:rFonts w:cs="Arial"/>
                <w:b/>
                <w:bCs/>
                <w:szCs w:val="20"/>
              </w:rPr>
              <w:t>CRITICAL COMMENTS</w:t>
            </w:r>
          </w:p>
        </w:tc>
      </w:tr>
      <w:tr w:rsidR="000A19DC" w:rsidRPr="00B31C20" w14:paraId="1D77285C" w14:textId="77777777" w:rsidTr="0084569A">
        <w:trPr>
          <w:cantSplit/>
        </w:trPr>
        <w:tc>
          <w:tcPr>
            <w:tcW w:w="5000" w:type="pct"/>
            <w:gridSpan w:val="5"/>
            <w:tcBorders>
              <w:bottom w:val="nil"/>
            </w:tcBorders>
          </w:tcPr>
          <w:p w14:paraId="6A67716C" w14:textId="13C06DA5" w:rsidR="000A19DC" w:rsidRPr="00B31C20" w:rsidRDefault="000A19DC" w:rsidP="0084569A">
            <w:pPr>
              <w:spacing w:after="120"/>
              <w:rPr>
                <w:rFonts w:cs="Arial"/>
                <w:b/>
                <w:bCs/>
                <w:szCs w:val="20"/>
              </w:rPr>
            </w:pPr>
            <w:r w:rsidRPr="00B31C20">
              <w:rPr>
                <w:rFonts w:cs="Arial"/>
                <w:b/>
                <w:bCs/>
                <w:szCs w:val="20"/>
              </w:rPr>
              <w:t>APPLES:</w:t>
            </w:r>
          </w:p>
        </w:tc>
      </w:tr>
      <w:tr w:rsidR="000A19DC" w:rsidRPr="00B31C20" w14:paraId="2D24F386" w14:textId="77777777" w:rsidTr="0084569A">
        <w:trPr>
          <w:cantSplit/>
        </w:trPr>
        <w:tc>
          <w:tcPr>
            <w:tcW w:w="5000" w:type="pct"/>
            <w:gridSpan w:val="5"/>
            <w:tcBorders>
              <w:top w:val="nil"/>
            </w:tcBorders>
          </w:tcPr>
          <w:p w14:paraId="7F540904" w14:textId="02444F99" w:rsidR="000A19DC" w:rsidRPr="00B31C20" w:rsidRDefault="000A19DC" w:rsidP="0084569A">
            <w:pPr>
              <w:spacing w:after="120"/>
              <w:rPr>
                <w:rFonts w:cs="Arial"/>
                <w:szCs w:val="20"/>
              </w:rPr>
            </w:pPr>
            <w:r w:rsidRPr="00B31C20">
              <w:rPr>
                <w:rFonts w:cs="Arial"/>
                <w:b/>
                <w:bCs/>
                <w:szCs w:val="20"/>
              </w:rPr>
              <w:t>DO NOT</w:t>
            </w:r>
            <w:r w:rsidRPr="00B31C20">
              <w:rPr>
                <w:rFonts w:cs="Arial"/>
                <w:szCs w:val="20"/>
              </w:rPr>
              <w:t xml:space="preserve"> apply during the heat of the day for the second application on Apple fruitlets. For best results in hot conditions, apply Accede under slow drying conditions, e.g. early in the morning or at night </w:t>
            </w:r>
            <w:proofErr w:type="gramStart"/>
            <w:r w:rsidRPr="00B31C20">
              <w:rPr>
                <w:rFonts w:cs="Arial"/>
                <w:szCs w:val="20"/>
              </w:rPr>
              <w:t>in order to</w:t>
            </w:r>
            <w:proofErr w:type="gramEnd"/>
            <w:r w:rsidRPr="00B31C20">
              <w:rPr>
                <w:rFonts w:cs="Arial"/>
                <w:szCs w:val="20"/>
              </w:rPr>
              <w:t xml:space="preserve"> maximize absorption.</w:t>
            </w:r>
          </w:p>
          <w:p w14:paraId="55EAD61D" w14:textId="77777777" w:rsidR="000A19DC" w:rsidRPr="00B31C20" w:rsidRDefault="000A19DC" w:rsidP="0084569A">
            <w:pPr>
              <w:spacing w:after="120"/>
              <w:rPr>
                <w:rFonts w:cs="Arial"/>
                <w:szCs w:val="20"/>
              </w:rPr>
            </w:pPr>
            <w:r w:rsidRPr="00B31C20">
              <w:rPr>
                <w:rFonts w:cs="Arial"/>
                <w:b/>
                <w:bCs/>
                <w:szCs w:val="20"/>
              </w:rPr>
              <w:t>DO NOT</w:t>
            </w:r>
            <w:r w:rsidRPr="00B31C20">
              <w:rPr>
                <w:rFonts w:cs="Arial"/>
                <w:szCs w:val="20"/>
              </w:rPr>
              <w:t xml:space="preserve"> apply more than two applications of Accede in Apples (Primary and/or secondary thinning) per season.</w:t>
            </w:r>
          </w:p>
        </w:tc>
      </w:tr>
      <w:tr w:rsidR="000A19DC" w:rsidRPr="00B31C20" w14:paraId="2C1C4E39" w14:textId="77777777" w:rsidTr="0084569A">
        <w:trPr>
          <w:cantSplit/>
        </w:trPr>
        <w:tc>
          <w:tcPr>
            <w:tcW w:w="553" w:type="pct"/>
            <w:vMerge w:val="restart"/>
          </w:tcPr>
          <w:p w14:paraId="7D9F1F1D" w14:textId="77777777" w:rsidR="000A19DC" w:rsidRPr="00B31C20" w:rsidRDefault="000A19DC" w:rsidP="0084569A">
            <w:pPr>
              <w:rPr>
                <w:rFonts w:cs="Arial"/>
                <w:szCs w:val="20"/>
              </w:rPr>
            </w:pPr>
            <w:r w:rsidRPr="00B31C20">
              <w:rPr>
                <w:rFonts w:cs="Arial"/>
                <w:szCs w:val="20"/>
              </w:rPr>
              <w:t>APPLE</w:t>
            </w:r>
          </w:p>
        </w:tc>
        <w:tc>
          <w:tcPr>
            <w:tcW w:w="875" w:type="pct"/>
            <w:vMerge w:val="restart"/>
          </w:tcPr>
          <w:p w14:paraId="5C7987A8"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r w:rsidRPr="00B31C20">
              <w:rPr>
                <w:rFonts w:cs="Arial"/>
                <w:szCs w:val="20"/>
              </w:rPr>
              <w:t xml:space="preserve">Gala </w:t>
            </w:r>
            <w:r w:rsidRPr="00B31C20">
              <w:rPr>
                <w:rFonts w:cs="Arial"/>
                <w:szCs w:val="20"/>
              </w:rPr>
              <w:br/>
              <w:t xml:space="preserve">Royal Gala </w:t>
            </w:r>
            <w:r w:rsidRPr="00B31C20">
              <w:rPr>
                <w:rFonts w:cs="Arial"/>
                <w:szCs w:val="20"/>
              </w:rPr>
              <w:br/>
              <w:t>Jazz</w:t>
            </w:r>
          </w:p>
          <w:p w14:paraId="3D561611"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r w:rsidRPr="00B31C20">
              <w:rPr>
                <w:rFonts w:cs="Arial"/>
                <w:szCs w:val="20"/>
              </w:rPr>
              <w:t>Envy and related varieties</w:t>
            </w:r>
          </w:p>
        </w:tc>
        <w:tc>
          <w:tcPr>
            <w:tcW w:w="714" w:type="pct"/>
          </w:tcPr>
          <w:p w14:paraId="2A996271" w14:textId="77777777" w:rsidR="000A19DC" w:rsidRPr="00B31C20" w:rsidRDefault="000A19DC" w:rsidP="0084569A">
            <w:pPr>
              <w:jc w:val="center"/>
              <w:rPr>
                <w:rFonts w:cs="Arial"/>
                <w:b/>
                <w:bCs/>
                <w:szCs w:val="20"/>
              </w:rPr>
            </w:pPr>
            <w:r w:rsidRPr="00B31C20">
              <w:rPr>
                <w:rFonts w:cs="Arial"/>
                <w:szCs w:val="20"/>
              </w:rPr>
              <w:t xml:space="preserve">Primary thinning </w:t>
            </w:r>
            <w:r w:rsidRPr="00B31C20">
              <w:rPr>
                <w:rFonts w:cs="Arial"/>
                <w:szCs w:val="20"/>
              </w:rPr>
              <w:br/>
              <w:t>at 80 – 100% flowering</w:t>
            </w:r>
          </w:p>
        </w:tc>
        <w:tc>
          <w:tcPr>
            <w:tcW w:w="1286" w:type="pct"/>
            <w:vMerge w:val="restart"/>
          </w:tcPr>
          <w:p w14:paraId="596261D7" w14:textId="77777777" w:rsidR="000A19DC" w:rsidRPr="00B31C20" w:rsidRDefault="000A19DC" w:rsidP="0084569A">
            <w:pPr>
              <w:spacing w:after="120"/>
              <w:jc w:val="center"/>
              <w:rPr>
                <w:rFonts w:ascii="Calibri" w:hAnsi="Calibri" w:cs="Calibri"/>
                <w:szCs w:val="20"/>
              </w:rPr>
            </w:pPr>
            <w:r w:rsidRPr="00B31C20">
              <w:rPr>
                <w:rFonts w:ascii="Calibri" w:hAnsi="Calibri" w:cs="Calibri"/>
                <w:b/>
                <w:bCs/>
                <w:szCs w:val="20"/>
              </w:rPr>
              <w:t>Lighter setting warmer regions:</w:t>
            </w:r>
            <w:r w:rsidRPr="00B31C20">
              <w:rPr>
                <w:rFonts w:ascii="Calibri" w:hAnsi="Calibri" w:cs="Calibri"/>
                <w:szCs w:val="20"/>
              </w:rPr>
              <w:br/>
              <w:t xml:space="preserve">50 – 62.5 g/100 L </w:t>
            </w:r>
            <w:r w:rsidRPr="00B31C20">
              <w:rPr>
                <w:rFonts w:ascii="Calibri" w:hAnsi="Calibri" w:cs="Calibri"/>
                <w:szCs w:val="20"/>
              </w:rPr>
              <w:br/>
              <w:t>(200 - 250 ppm)</w:t>
            </w:r>
          </w:p>
          <w:p w14:paraId="2E505850" w14:textId="77777777" w:rsidR="000A19DC" w:rsidRPr="00B31C20" w:rsidRDefault="000A19DC" w:rsidP="0084569A">
            <w:pPr>
              <w:spacing w:after="120"/>
              <w:jc w:val="center"/>
              <w:rPr>
                <w:rFonts w:ascii="Calibri" w:hAnsi="Calibri" w:cs="Calibri"/>
                <w:szCs w:val="20"/>
              </w:rPr>
            </w:pPr>
            <w:r w:rsidRPr="00B31C20">
              <w:rPr>
                <w:rFonts w:ascii="Calibri" w:hAnsi="Calibri" w:cs="Calibri"/>
                <w:b/>
                <w:bCs/>
                <w:szCs w:val="20"/>
              </w:rPr>
              <w:t xml:space="preserve">Heavy setting cooler regions - </w:t>
            </w:r>
            <w:r w:rsidRPr="00B31C20">
              <w:rPr>
                <w:rFonts w:ascii="Calibri" w:hAnsi="Calibri" w:cs="Calibri"/>
                <w:b/>
                <w:bCs/>
                <w:szCs w:val="20"/>
              </w:rPr>
              <w:br/>
              <w:t>like Huon valley Tasmania:</w:t>
            </w:r>
            <w:r w:rsidRPr="00B31C20">
              <w:rPr>
                <w:rFonts w:ascii="Calibri" w:hAnsi="Calibri" w:cs="Calibri"/>
                <w:szCs w:val="20"/>
              </w:rPr>
              <w:br/>
              <w:t xml:space="preserve">62.5 – 75 g/100 L </w:t>
            </w:r>
            <w:r w:rsidRPr="00B31C20">
              <w:rPr>
                <w:rFonts w:ascii="Calibri" w:hAnsi="Calibri" w:cs="Calibri"/>
                <w:szCs w:val="20"/>
              </w:rPr>
              <w:br/>
              <w:t>(250 – 300 ppm)</w:t>
            </w:r>
          </w:p>
        </w:tc>
        <w:tc>
          <w:tcPr>
            <w:tcW w:w="1572" w:type="pct"/>
            <w:vMerge w:val="restart"/>
          </w:tcPr>
          <w:p w14:paraId="5B58BB6B" w14:textId="77777777" w:rsidR="000A19DC" w:rsidRPr="00B31C20" w:rsidRDefault="000A19DC" w:rsidP="0084569A">
            <w:pPr>
              <w:spacing w:after="120"/>
              <w:rPr>
                <w:rFonts w:cs="Arial"/>
                <w:szCs w:val="20"/>
              </w:rPr>
            </w:pPr>
            <w:r w:rsidRPr="00B31C20">
              <w:rPr>
                <w:rFonts w:cs="Arial"/>
                <w:szCs w:val="20"/>
              </w:rPr>
              <w:t>Accede will thin when applied at any stage between 80 % flowering and 25 mm fruitlet size so application timing can be adjusted to avoid poor weather.</w:t>
            </w:r>
          </w:p>
          <w:p w14:paraId="761AE736" w14:textId="77777777" w:rsidR="000A19DC" w:rsidRPr="00B31C20" w:rsidRDefault="000A19DC" w:rsidP="0084569A">
            <w:pPr>
              <w:spacing w:after="120"/>
              <w:rPr>
                <w:rFonts w:cs="Arial"/>
                <w:szCs w:val="20"/>
              </w:rPr>
            </w:pPr>
            <w:r w:rsidRPr="00B31C20">
              <w:rPr>
                <w:rFonts w:cs="Arial"/>
                <w:szCs w:val="20"/>
              </w:rPr>
              <w:t xml:space="preserve">The rate to be used in </w:t>
            </w:r>
            <w:r w:rsidRPr="00B31C20">
              <w:rPr>
                <w:rFonts w:cs="Arial"/>
                <w:szCs w:val="20"/>
                <w:u w:val="single"/>
              </w:rPr>
              <w:t>primary thinning</w:t>
            </w:r>
            <w:r w:rsidRPr="00B31C20">
              <w:rPr>
                <w:rFonts w:cs="Arial"/>
                <w:szCs w:val="20"/>
              </w:rPr>
              <w:t xml:space="preserve"> depends on how heavy the flowering is and the expected influence of factors affecting fruit set under GENERAL APPLICATION INSTUCTIONS.</w:t>
            </w:r>
          </w:p>
          <w:p w14:paraId="0124FFAD" w14:textId="22D180EF" w:rsidR="000A19DC" w:rsidRPr="00B31C20" w:rsidRDefault="000A19DC" w:rsidP="0084569A">
            <w:pPr>
              <w:spacing w:after="120"/>
              <w:rPr>
                <w:rFonts w:cs="Arial"/>
                <w:szCs w:val="20"/>
              </w:rPr>
            </w:pPr>
            <w:r w:rsidRPr="00B31C20">
              <w:rPr>
                <w:rFonts w:cs="Arial"/>
                <w:szCs w:val="20"/>
              </w:rPr>
              <w:t xml:space="preserve">The rate to be used in </w:t>
            </w:r>
            <w:r w:rsidRPr="00B31C20">
              <w:rPr>
                <w:rFonts w:cs="Arial"/>
                <w:szCs w:val="20"/>
                <w:u w:val="single"/>
              </w:rPr>
              <w:t xml:space="preserve">secondary thinning </w:t>
            </w:r>
            <w:r w:rsidRPr="00B31C20">
              <w:rPr>
                <w:rFonts w:cs="Arial"/>
                <w:szCs w:val="20"/>
              </w:rPr>
              <w:t>depends on the level of primary thinning achieved, the target fruit load and weather conditions.</w:t>
            </w:r>
            <w:r w:rsidR="00274331">
              <w:rPr>
                <w:rFonts w:cs="Arial"/>
                <w:szCs w:val="20"/>
              </w:rPr>
              <w:t xml:space="preserve"> </w:t>
            </w:r>
            <w:r w:rsidRPr="00B31C20">
              <w:rPr>
                <w:rFonts w:cs="Arial"/>
                <w:szCs w:val="20"/>
              </w:rPr>
              <w:t xml:space="preserve">Because Accede is active on larger sized fruitlets and primary thinning gives early size increase, wait until the effect of primary thinning is </w:t>
            </w:r>
            <w:r w:rsidRPr="00B31C20">
              <w:rPr>
                <w:rFonts w:cs="Arial"/>
                <w:szCs w:val="20"/>
              </w:rPr>
              <w:lastRenderedPageBreak/>
              <w:t>clear before deciding on the rate and using Accede for secondary thinning. Use the higher rate for greater thinning effect. Generally, the later Accede is applied the greater the thinning effect for a given concentration. If Accede is used as a primary thinner this interval can vary from 3 - 4 weeks for Gala types to 5 – 6 weeks for Pink Lady. If shedding of large fruitlets is expected to cause damage to fruitlets lower in the tree, then the secondary thinner can be applied earlier - once fruitlets reach 15 mm.</w:t>
            </w:r>
          </w:p>
          <w:p w14:paraId="7EF953D5" w14:textId="3BD52B7C" w:rsidR="00166CA5"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spacing w:after="120"/>
              <w:rPr>
                <w:rFonts w:cs="Arial"/>
                <w:szCs w:val="20"/>
              </w:rPr>
            </w:pPr>
            <w:r w:rsidRPr="00B31C20">
              <w:rPr>
                <w:rFonts w:cs="Arial"/>
                <w:szCs w:val="20"/>
              </w:rPr>
              <w:t>Application of Accede as a secondary thinner at rates greater than 62.5 g/100 L (250 ppm), particularly in warmer conditions, may result in minor leaf yellowing and drop</w:t>
            </w:r>
            <w:r w:rsidR="00682283" w:rsidRPr="00682283">
              <w:rPr>
                <w:rFonts w:cs="Arial"/>
                <w:szCs w:val="20"/>
              </w:rPr>
              <w:t xml:space="preserve"> but has no long-term impact on yield or quality</w:t>
            </w:r>
            <w:r w:rsidRPr="00B31C20">
              <w:rPr>
                <w:rFonts w:cs="Arial"/>
                <w:szCs w:val="20"/>
              </w:rPr>
              <w:t>.</w:t>
            </w:r>
            <w:r w:rsidR="00274331">
              <w:rPr>
                <w:rFonts w:cs="Arial"/>
                <w:szCs w:val="20"/>
              </w:rPr>
              <w:t xml:space="preserve"> </w:t>
            </w:r>
            <w:r w:rsidRPr="00B31C20">
              <w:rPr>
                <w:rFonts w:cs="Arial"/>
                <w:szCs w:val="20"/>
              </w:rPr>
              <w:t>Consider reducing the concentration by 50 ppm or changing the day of application if temperatures are expected to exceed 30° on the day of application.</w:t>
            </w:r>
          </w:p>
          <w:p w14:paraId="03714979" w14:textId="6A16AA12" w:rsidR="000A19DC" w:rsidRPr="00166CA5" w:rsidRDefault="00166CA5"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spacing w:after="120"/>
              <w:rPr>
                <w:rFonts w:cs="Arial"/>
                <w:szCs w:val="20"/>
              </w:rPr>
            </w:pPr>
            <w:r w:rsidRPr="00166CA5">
              <w:rPr>
                <w:rFonts w:cs="Arial"/>
                <w:szCs w:val="20"/>
              </w:rPr>
              <w:t>A tree-fruit safe non-ionic surfactant such as Pomade* at 50 mL/100L should be used with all Accede applications.</w:t>
            </w:r>
            <w:r w:rsidR="000A19DC" w:rsidRPr="00166CA5">
              <w:rPr>
                <w:rFonts w:cs="Arial"/>
                <w:szCs w:val="20"/>
              </w:rPr>
              <w:t xml:space="preserve"> </w:t>
            </w:r>
          </w:p>
        </w:tc>
      </w:tr>
      <w:tr w:rsidR="000A19DC" w:rsidRPr="00B31C20" w14:paraId="576D1D88" w14:textId="77777777" w:rsidTr="0084569A">
        <w:trPr>
          <w:cantSplit/>
        </w:trPr>
        <w:tc>
          <w:tcPr>
            <w:tcW w:w="553" w:type="pct"/>
            <w:vMerge/>
          </w:tcPr>
          <w:p w14:paraId="54F1A692" w14:textId="77777777" w:rsidR="000A19DC" w:rsidRPr="00B31C20" w:rsidRDefault="000A19DC" w:rsidP="0084569A">
            <w:pPr>
              <w:rPr>
                <w:rFonts w:cs="Arial"/>
                <w:sz w:val="16"/>
                <w:szCs w:val="16"/>
              </w:rPr>
            </w:pPr>
          </w:p>
        </w:tc>
        <w:tc>
          <w:tcPr>
            <w:tcW w:w="875" w:type="pct"/>
            <w:vMerge/>
          </w:tcPr>
          <w:p w14:paraId="559022FD"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p>
        </w:tc>
        <w:tc>
          <w:tcPr>
            <w:tcW w:w="714" w:type="pct"/>
          </w:tcPr>
          <w:p w14:paraId="159B344E" w14:textId="77777777" w:rsidR="000A19DC" w:rsidRPr="00B31C20" w:rsidRDefault="000A19DC" w:rsidP="0084569A">
            <w:pPr>
              <w:jc w:val="center"/>
              <w:rPr>
                <w:rFonts w:cs="Arial"/>
                <w:szCs w:val="20"/>
              </w:rPr>
            </w:pPr>
            <w:r w:rsidRPr="00B31C20">
              <w:rPr>
                <w:rFonts w:cs="Arial"/>
                <w:szCs w:val="20"/>
              </w:rPr>
              <w:t>Secondary thinning at 15 – 25 mm fruitlet size</w:t>
            </w:r>
          </w:p>
        </w:tc>
        <w:tc>
          <w:tcPr>
            <w:tcW w:w="1286" w:type="pct"/>
            <w:vMerge/>
          </w:tcPr>
          <w:p w14:paraId="7E32597E" w14:textId="77777777" w:rsidR="000A19DC" w:rsidRPr="00B31C20" w:rsidRDefault="000A19DC" w:rsidP="0084569A">
            <w:pPr>
              <w:spacing w:after="120"/>
              <w:jc w:val="center"/>
              <w:rPr>
                <w:rFonts w:ascii="Calibri" w:hAnsi="Calibri" w:cs="Calibri"/>
                <w:szCs w:val="20"/>
              </w:rPr>
            </w:pPr>
          </w:p>
        </w:tc>
        <w:tc>
          <w:tcPr>
            <w:tcW w:w="1572" w:type="pct"/>
            <w:vMerge/>
          </w:tcPr>
          <w:p w14:paraId="6CA029B6" w14:textId="77777777" w:rsidR="000A19DC" w:rsidRPr="00B31C20" w:rsidRDefault="000A19DC" w:rsidP="000A19DC">
            <w:pPr>
              <w:widowControl w:val="0"/>
              <w:numPr>
                <w:ilvl w:val="0"/>
                <w:numId w:val="39"/>
              </w:num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utoSpaceDE w:val="0"/>
              <w:autoSpaceDN w:val="0"/>
              <w:adjustRightInd w:val="0"/>
              <w:spacing w:line="240" w:lineRule="auto"/>
              <w:ind w:left="0" w:firstLine="0"/>
              <w:rPr>
                <w:rFonts w:ascii="Calibri" w:hAnsi="Calibri" w:cs="Calibri"/>
                <w:sz w:val="16"/>
                <w:szCs w:val="16"/>
              </w:rPr>
            </w:pPr>
          </w:p>
        </w:tc>
      </w:tr>
      <w:tr w:rsidR="000A19DC" w:rsidRPr="00B31C20" w14:paraId="21D96A3E" w14:textId="77777777" w:rsidTr="0084569A">
        <w:trPr>
          <w:cantSplit/>
        </w:trPr>
        <w:tc>
          <w:tcPr>
            <w:tcW w:w="553" w:type="pct"/>
            <w:vMerge/>
          </w:tcPr>
          <w:p w14:paraId="1012D256" w14:textId="77777777" w:rsidR="000A19DC" w:rsidRPr="00B31C20" w:rsidRDefault="000A19DC" w:rsidP="0084569A">
            <w:pPr>
              <w:rPr>
                <w:rFonts w:cs="Arial"/>
                <w:sz w:val="16"/>
                <w:szCs w:val="16"/>
              </w:rPr>
            </w:pPr>
          </w:p>
        </w:tc>
        <w:tc>
          <w:tcPr>
            <w:tcW w:w="875" w:type="pct"/>
            <w:vMerge w:val="restart"/>
          </w:tcPr>
          <w:p w14:paraId="3D1BDE3F"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r w:rsidRPr="00B31C20">
              <w:rPr>
                <w:rFonts w:cs="Arial"/>
                <w:szCs w:val="20"/>
              </w:rPr>
              <w:t>Pink lady</w:t>
            </w:r>
          </w:p>
          <w:p w14:paraId="6FD42EF3" w14:textId="7FE3562F" w:rsidR="000A19DC" w:rsidRPr="00B31C20" w:rsidRDefault="000A19DC" w:rsidP="00AA5A11">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r w:rsidRPr="00B31C20">
              <w:rPr>
                <w:rFonts w:cs="Arial"/>
                <w:szCs w:val="20"/>
              </w:rPr>
              <w:t>Fuji</w:t>
            </w:r>
          </w:p>
        </w:tc>
        <w:tc>
          <w:tcPr>
            <w:tcW w:w="714" w:type="pct"/>
          </w:tcPr>
          <w:p w14:paraId="3A1A0881" w14:textId="77777777" w:rsidR="000A19DC" w:rsidRPr="00B31C20" w:rsidRDefault="000A19DC" w:rsidP="0084569A">
            <w:pPr>
              <w:jc w:val="center"/>
              <w:rPr>
                <w:rFonts w:cs="Arial"/>
                <w:szCs w:val="20"/>
              </w:rPr>
            </w:pPr>
            <w:r w:rsidRPr="00B31C20">
              <w:rPr>
                <w:rFonts w:cs="Arial"/>
                <w:szCs w:val="20"/>
              </w:rPr>
              <w:t>Primary thinning</w:t>
            </w:r>
            <w:r w:rsidRPr="00B31C20">
              <w:rPr>
                <w:rFonts w:cs="Arial"/>
                <w:szCs w:val="20"/>
              </w:rPr>
              <w:br/>
              <w:t xml:space="preserve"> at 80 – 100% flowering</w:t>
            </w:r>
          </w:p>
          <w:p w14:paraId="13C509D1" w14:textId="77777777" w:rsidR="000A19DC" w:rsidRPr="00B31C20" w:rsidRDefault="000A19DC" w:rsidP="0084569A">
            <w:pPr>
              <w:jc w:val="center"/>
              <w:rPr>
                <w:rFonts w:cs="Arial"/>
                <w:szCs w:val="20"/>
              </w:rPr>
            </w:pPr>
          </w:p>
        </w:tc>
        <w:tc>
          <w:tcPr>
            <w:tcW w:w="1286" w:type="pct"/>
            <w:vMerge w:val="restart"/>
          </w:tcPr>
          <w:p w14:paraId="09165F4F" w14:textId="77777777" w:rsidR="000A19DC" w:rsidRPr="00B31C20" w:rsidRDefault="000A19DC" w:rsidP="0084569A">
            <w:pPr>
              <w:spacing w:after="120"/>
              <w:jc w:val="center"/>
              <w:rPr>
                <w:rFonts w:ascii="Calibri" w:hAnsi="Calibri" w:cs="Calibri"/>
                <w:szCs w:val="20"/>
              </w:rPr>
            </w:pPr>
            <w:r w:rsidRPr="00B31C20">
              <w:rPr>
                <w:rFonts w:ascii="Calibri" w:hAnsi="Calibri" w:cs="Calibri"/>
                <w:szCs w:val="20"/>
              </w:rPr>
              <w:t xml:space="preserve">62.5 – 75 g/100 L </w:t>
            </w:r>
            <w:r w:rsidRPr="00B31C20">
              <w:rPr>
                <w:rFonts w:ascii="Calibri" w:hAnsi="Calibri" w:cs="Calibri"/>
                <w:szCs w:val="20"/>
              </w:rPr>
              <w:br/>
              <w:t>(250 – 300 ppm)</w:t>
            </w:r>
          </w:p>
        </w:tc>
        <w:tc>
          <w:tcPr>
            <w:tcW w:w="1572" w:type="pct"/>
            <w:vMerge/>
          </w:tcPr>
          <w:p w14:paraId="3A531F02" w14:textId="77777777" w:rsidR="000A19DC" w:rsidRPr="00B31C20" w:rsidRDefault="000A19DC" w:rsidP="000A19DC">
            <w:pPr>
              <w:widowControl w:val="0"/>
              <w:numPr>
                <w:ilvl w:val="0"/>
                <w:numId w:val="39"/>
              </w:num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utoSpaceDE w:val="0"/>
              <w:autoSpaceDN w:val="0"/>
              <w:adjustRightInd w:val="0"/>
              <w:spacing w:line="240" w:lineRule="auto"/>
              <w:ind w:left="0" w:firstLine="0"/>
              <w:rPr>
                <w:rFonts w:ascii="Calibri" w:hAnsi="Calibri" w:cs="Calibri"/>
                <w:sz w:val="16"/>
                <w:szCs w:val="16"/>
              </w:rPr>
            </w:pPr>
          </w:p>
        </w:tc>
      </w:tr>
      <w:tr w:rsidR="000A19DC" w:rsidRPr="00B31C20" w14:paraId="5D66A9C2" w14:textId="77777777" w:rsidTr="0084569A">
        <w:trPr>
          <w:cantSplit/>
        </w:trPr>
        <w:tc>
          <w:tcPr>
            <w:tcW w:w="553" w:type="pct"/>
            <w:vMerge/>
          </w:tcPr>
          <w:p w14:paraId="2CCD902F" w14:textId="77777777" w:rsidR="000A19DC" w:rsidRPr="00B31C20" w:rsidRDefault="000A19DC" w:rsidP="0084569A">
            <w:pPr>
              <w:rPr>
                <w:rFonts w:cs="Arial"/>
                <w:sz w:val="16"/>
                <w:szCs w:val="16"/>
              </w:rPr>
            </w:pPr>
          </w:p>
        </w:tc>
        <w:tc>
          <w:tcPr>
            <w:tcW w:w="875" w:type="pct"/>
            <w:vMerge/>
          </w:tcPr>
          <w:p w14:paraId="652135BC"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p>
        </w:tc>
        <w:tc>
          <w:tcPr>
            <w:tcW w:w="714" w:type="pct"/>
          </w:tcPr>
          <w:p w14:paraId="46176542" w14:textId="77777777" w:rsidR="000A19DC" w:rsidRPr="00B31C20" w:rsidRDefault="000A19DC" w:rsidP="0084569A">
            <w:pPr>
              <w:jc w:val="center"/>
              <w:rPr>
                <w:rFonts w:cs="Arial"/>
                <w:szCs w:val="20"/>
              </w:rPr>
            </w:pPr>
            <w:r w:rsidRPr="00B31C20">
              <w:rPr>
                <w:rFonts w:cs="Arial"/>
                <w:szCs w:val="20"/>
              </w:rPr>
              <w:t>Secondary thinning at 15 – 25 mm fruitlet size</w:t>
            </w:r>
          </w:p>
          <w:p w14:paraId="0A946767" w14:textId="77777777" w:rsidR="000A19DC" w:rsidRPr="00B31C20" w:rsidRDefault="000A19DC" w:rsidP="0084569A">
            <w:pPr>
              <w:jc w:val="center"/>
              <w:rPr>
                <w:rFonts w:cs="Arial"/>
                <w:szCs w:val="20"/>
              </w:rPr>
            </w:pPr>
          </w:p>
        </w:tc>
        <w:tc>
          <w:tcPr>
            <w:tcW w:w="1286" w:type="pct"/>
            <w:vMerge/>
          </w:tcPr>
          <w:p w14:paraId="7A4F8666" w14:textId="77777777" w:rsidR="000A19DC" w:rsidRPr="00B31C20" w:rsidRDefault="000A19DC" w:rsidP="0084569A">
            <w:pPr>
              <w:spacing w:after="120"/>
              <w:jc w:val="center"/>
              <w:rPr>
                <w:rFonts w:ascii="Calibri" w:hAnsi="Calibri" w:cs="Calibri"/>
                <w:szCs w:val="20"/>
              </w:rPr>
            </w:pPr>
          </w:p>
        </w:tc>
        <w:tc>
          <w:tcPr>
            <w:tcW w:w="1572" w:type="pct"/>
            <w:vMerge/>
          </w:tcPr>
          <w:p w14:paraId="57E3E8CB" w14:textId="77777777" w:rsidR="000A19DC" w:rsidRPr="00B31C20" w:rsidRDefault="000A19DC" w:rsidP="000A19DC">
            <w:pPr>
              <w:widowControl w:val="0"/>
              <w:numPr>
                <w:ilvl w:val="0"/>
                <w:numId w:val="39"/>
              </w:num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utoSpaceDE w:val="0"/>
              <w:autoSpaceDN w:val="0"/>
              <w:adjustRightInd w:val="0"/>
              <w:spacing w:line="240" w:lineRule="auto"/>
              <w:ind w:left="0" w:firstLine="0"/>
              <w:rPr>
                <w:rFonts w:ascii="Calibri" w:hAnsi="Calibri" w:cs="Calibri"/>
                <w:sz w:val="16"/>
                <w:szCs w:val="16"/>
              </w:rPr>
            </w:pPr>
          </w:p>
        </w:tc>
      </w:tr>
      <w:tr w:rsidR="000A19DC" w:rsidRPr="00B31C20" w14:paraId="6614A18A" w14:textId="77777777" w:rsidTr="0084569A">
        <w:trPr>
          <w:cantSplit/>
          <w:trHeight w:val="965"/>
        </w:trPr>
        <w:tc>
          <w:tcPr>
            <w:tcW w:w="553" w:type="pct"/>
            <w:vMerge/>
          </w:tcPr>
          <w:p w14:paraId="468B548A" w14:textId="77777777" w:rsidR="000A19DC" w:rsidRPr="00B31C20" w:rsidRDefault="000A19DC" w:rsidP="0084569A">
            <w:pPr>
              <w:rPr>
                <w:rFonts w:cs="Arial"/>
                <w:sz w:val="16"/>
                <w:szCs w:val="16"/>
              </w:rPr>
            </w:pPr>
          </w:p>
        </w:tc>
        <w:tc>
          <w:tcPr>
            <w:tcW w:w="875" w:type="pct"/>
            <w:vMerge w:val="restart"/>
          </w:tcPr>
          <w:p w14:paraId="6A36FC89"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r w:rsidRPr="00B31C20">
              <w:rPr>
                <w:rFonts w:cs="Arial"/>
                <w:szCs w:val="20"/>
              </w:rPr>
              <w:t>Kanzi</w:t>
            </w:r>
          </w:p>
          <w:p w14:paraId="5A82FBC5"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r w:rsidRPr="00B31C20">
              <w:rPr>
                <w:rFonts w:cs="Arial"/>
                <w:szCs w:val="20"/>
              </w:rPr>
              <w:t>Golden delicious</w:t>
            </w:r>
          </w:p>
          <w:p w14:paraId="6E0192E6" w14:textId="77777777" w:rsidR="000A19DC" w:rsidRPr="00B31C20" w:rsidRDefault="000A19DC" w:rsidP="0084569A">
            <w:pPr>
              <w:spacing w:after="120"/>
              <w:rPr>
                <w:rFonts w:cs="Arial"/>
                <w:szCs w:val="20"/>
              </w:rPr>
            </w:pPr>
            <w:r w:rsidRPr="00B31C20">
              <w:rPr>
                <w:rFonts w:cs="Arial"/>
                <w:szCs w:val="20"/>
              </w:rPr>
              <w:t>Granny Smith</w:t>
            </w:r>
          </w:p>
          <w:p w14:paraId="3916CF8A" w14:textId="2C6B2E7F" w:rsidR="000A19DC" w:rsidRPr="00B31C20" w:rsidRDefault="000A19DC" w:rsidP="00AA5A11">
            <w:pPr>
              <w:spacing w:after="120"/>
              <w:rPr>
                <w:rFonts w:cs="Arial"/>
                <w:szCs w:val="20"/>
              </w:rPr>
            </w:pPr>
            <w:r w:rsidRPr="00B31C20">
              <w:rPr>
                <w:rFonts w:cs="Arial"/>
                <w:szCs w:val="20"/>
              </w:rPr>
              <w:lastRenderedPageBreak/>
              <w:t>(only when thinning required)</w:t>
            </w:r>
          </w:p>
        </w:tc>
        <w:tc>
          <w:tcPr>
            <w:tcW w:w="714" w:type="pct"/>
          </w:tcPr>
          <w:p w14:paraId="3B24B7AD" w14:textId="77777777" w:rsidR="000A19DC" w:rsidRPr="00B31C20" w:rsidRDefault="000A19DC" w:rsidP="0084569A">
            <w:pPr>
              <w:jc w:val="center"/>
              <w:rPr>
                <w:rFonts w:cs="Arial"/>
                <w:szCs w:val="20"/>
              </w:rPr>
            </w:pPr>
            <w:r w:rsidRPr="00B31C20">
              <w:rPr>
                <w:rFonts w:cs="Arial"/>
                <w:szCs w:val="20"/>
              </w:rPr>
              <w:lastRenderedPageBreak/>
              <w:t xml:space="preserve">Primary thinning </w:t>
            </w:r>
            <w:r w:rsidRPr="00B31C20">
              <w:rPr>
                <w:rFonts w:cs="Arial"/>
                <w:szCs w:val="20"/>
              </w:rPr>
              <w:br/>
              <w:t>at 80 – 100% flowering</w:t>
            </w:r>
          </w:p>
        </w:tc>
        <w:tc>
          <w:tcPr>
            <w:tcW w:w="1286" w:type="pct"/>
            <w:vMerge w:val="restart"/>
          </w:tcPr>
          <w:p w14:paraId="0AA739D3" w14:textId="77777777" w:rsidR="000A19DC" w:rsidRPr="00B31C20" w:rsidRDefault="000A19DC" w:rsidP="0084569A">
            <w:pPr>
              <w:spacing w:after="120"/>
              <w:jc w:val="center"/>
              <w:rPr>
                <w:rFonts w:ascii="Calibri" w:hAnsi="Calibri" w:cs="Calibri"/>
                <w:szCs w:val="20"/>
              </w:rPr>
            </w:pPr>
            <w:r w:rsidRPr="00B31C20">
              <w:rPr>
                <w:rFonts w:ascii="Calibri" w:hAnsi="Calibri" w:cs="Calibri"/>
                <w:szCs w:val="20"/>
              </w:rPr>
              <w:t xml:space="preserve">50 - 62.5 g/100 L </w:t>
            </w:r>
            <w:r w:rsidRPr="00B31C20">
              <w:rPr>
                <w:rFonts w:ascii="Calibri" w:hAnsi="Calibri" w:cs="Calibri"/>
                <w:szCs w:val="20"/>
              </w:rPr>
              <w:br/>
              <w:t>(200 – 250 ppm)</w:t>
            </w:r>
          </w:p>
        </w:tc>
        <w:tc>
          <w:tcPr>
            <w:tcW w:w="1572" w:type="pct"/>
            <w:vMerge/>
          </w:tcPr>
          <w:p w14:paraId="4C61FC30" w14:textId="77777777" w:rsidR="000A19DC" w:rsidRPr="00B31C20" w:rsidRDefault="000A19DC" w:rsidP="000A19DC">
            <w:pPr>
              <w:widowControl w:val="0"/>
              <w:numPr>
                <w:ilvl w:val="0"/>
                <w:numId w:val="39"/>
              </w:num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utoSpaceDE w:val="0"/>
              <w:autoSpaceDN w:val="0"/>
              <w:adjustRightInd w:val="0"/>
              <w:spacing w:line="240" w:lineRule="auto"/>
              <w:ind w:left="0" w:firstLine="0"/>
              <w:rPr>
                <w:rFonts w:ascii="Calibri" w:hAnsi="Calibri" w:cs="Calibri"/>
                <w:sz w:val="16"/>
                <w:szCs w:val="16"/>
              </w:rPr>
            </w:pPr>
          </w:p>
        </w:tc>
      </w:tr>
      <w:tr w:rsidR="000A19DC" w:rsidRPr="00B31C20" w14:paraId="5703BD3B" w14:textId="77777777" w:rsidTr="0084569A">
        <w:trPr>
          <w:cantSplit/>
          <w:trHeight w:val="979"/>
        </w:trPr>
        <w:tc>
          <w:tcPr>
            <w:tcW w:w="553" w:type="pct"/>
            <w:vMerge/>
          </w:tcPr>
          <w:p w14:paraId="40861EBF"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b/>
                <w:bCs/>
                <w:sz w:val="16"/>
                <w:szCs w:val="16"/>
              </w:rPr>
            </w:pPr>
          </w:p>
        </w:tc>
        <w:tc>
          <w:tcPr>
            <w:tcW w:w="875" w:type="pct"/>
            <w:vMerge/>
          </w:tcPr>
          <w:p w14:paraId="745669A3"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 w:val="18"/>
                <w:szCs w:val="18"/>
              </w:rPr>
            </w:pPr>
          </w:p>
        </w:tc>
        <w:tc>
          <w:tcPr>
            <w:tcW w:w="714" w:type="pct"/>
          </w:tcPr>
          <w:p w14:paraId="321F93C4"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jc w:val="center"/>
              <w:rPr>
                <w:rFonts w:cs="Arial"/>
                <w:sz w:val="18"/>
                <w:szCs w:val="18"/>
              </w:rPr>
            </w:pPr>
            <w:r w:rsidRPr="00B31C20">
              <w:rPr>
                <w:rFonts w:cs="Arial"/>
                <w:szCs w:val="20"/>
              </w:rPr>
              <w:t>Secondary thinning at 15 – 25 mm fruitlet size</w:t>
            </w:r>
          </w:p>
        </w:tc>
        <w:tc>
          <w:tcPr>
            <w:tcW w:w="1286" w:type="pct"/>
            <w:vMerge/>
          </w:tcPr>
          <w:p w14:paraId="0074A24B" w14:textId="77777777" w:rsidR="000A19DC" w:rsidRPr="00B31C20" w:rsidRDefault="000A19DC" w:rsidP="0084569A">
            <w:pPr>
              <w:spacing w:after="120"/>
              <w:rPr>
                <w:rFonts w:ascii="Calibri" w:hAnsi="Calibri" w:cs="Calibri"/>
                <w:sz w:val="16"/>
                <w:szCs w:val="16"/>
              </w:rPr>
            </w:pPr>
          </w:p>
        </w:tc>
        <w:tc>
          <w:tcPr>
            <w:tcW w:w="1572" w:type="pct"/>
            <w:vMerge/>
          </w:tcPr>
          <w:p w14:paraId="1582D3CB"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ascii="Calibri" w:hAnsi="Calibri" w:cs="Calibri"/>
                <w:b/>
                <w:bCs/>
                <w:sz w:val="16"/>
                <w:szCs w:val="16"/>
              </w:rPr>
            </w:pPr>
          </w:p>
        </w:tc>
      </w:tr>
    </w:tbl>
    <w:p w14:paraId="457F6566" w14:textId="77777777" w:rsidR="000A19DC" w:rsidRDefault="000A19DC" w:rsidP="000A19DC"/>
    <w:tbl>
      <w:tblPr>
        <w:tblW w:w="46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1261"/>
        <w:gridCol w:w="1265"/>
        <w:gridCol w:w="2277"/>
        <w:gridCol w:w="2788"/>
      </w:tblGrid>
      <w:tr w:rsidR="000A19DC" w:rsidRPr="00B31C20" w14:paraId="404B9E27" w14:textId="77777777" w:rsidTr="00A218C7">
        <w:trPr>
          <w:cantSplit/>
          <w:tblHeader/>
        </w:trPr>
        <w:tc>
          <w:tcPr>
            <w:tcW w:w="715" w:type="pct"/>
            <w:tcBorders>
              <w:bottom w:val="single" w:sz="4" w:space="0" w:color="auto"/>
            </w:tcBorders>
            <w:vAlign w:val="center"/>
          </w:tcPr>
          <w:p w14:paraId="1C8918AA" w14:textId="77777777" w:rsidR="000A19DC" w:rsidRPr="00B31C20" w:rsidRDefault="000A19DC" w:rsidP="0084569A">
            <w:pPr>
              <w:spacing w:before="120" w:after="120"/>
              <w:rPr>
                <w:rFonts w:cs="Arial"/>
                <w:b/>
                <w:bCs/>
                <w:szCs w:val="20"/>
              </w:rPr>
            </w:pPr>
            <w:r w:rsidRPr="00B31C20">
              <w:rPr>
                <w:rFonts w:cs="Arial"/>
                <w:b/>
                <w:bCs/>
                <w:szCs w:val="20"/>
              </w:rPr>
              <w:lastRenderedPageBreak/>
              <w:t>CROP</w:t>
            </w:r>
          </w:p>
        </w:tc>
        <w:tc>
          <w:tcPr>
            <w:tcW w:w="712" w:type="pct"/>
            <w:tcBorders>
              <w:bottom w:val="single" w:sz="4" w:space="0" w:color="auto"/>
            </w:tcBorders>
            <w:vAlign w:val="center"/>
          </w:tcPr>
          <w:p w14:paraId="52840022" w14:textId="77777777" w:rsidR="000A19DC" w:rsidRPr="00B31C20" w:rsidRDefault="000A19DC" w:rsidP="0084569A">
            <w:pPr>
              <w:spacing w:before="120" w:after="120"/>
              <w:rPr>
                <w:rFonts w:cs="Arial"/>
                <w:b/>
                <w:bCs/>
                <w:szCs w:val="20"/>
              </w:rPr>
            </w:pPr>
            <w:r w:rsidRPr="00B31C20">
              <w:rPr>
                <w:rFonts w:cs="Arial"/>
                <w:b/>
                <w:bCs/>
                <w:szCs w:val="20"/>
              </w:rPr>
              <w:t>VARIETY</w:t>
            </w:r>
          </w:p>
        </w:tc>
        <w:tc>
          <w:tcPr>
            <w:tcW w:w="714" w:type="pct"/>
            <w:tcBorders>
              <w:bottom w:val="single" w:sz="4" w:space="0" w:color="auto"/>
            </w:tcBorders>
            <w:vAlign w:val="center"/>
          </w:tcPr>
          <w:p w14:paraId="2D05F20B" w14:textId="77777777" w:rsidR="000A19DC" w:rsidRPr="00B31C20" w:rsidRDefault="000A19DC" w:rsidP="0084569A">
            <w:pPr>
              <w:spacing w:before="120" w:after="120"/>
              <w:jc w:val="center"/>
              <w:rPr>
                <w:rFonts w:cs="Arial"/>
                <w:b/>
                <w:bCs/>
                <w:szCs w:val="20"/>
              </w:rPr>
            </w:pPr>
            <w:r w:rsidRPr="00B31C20">
              <w:rPr>
                <w:rFonts w:cs="Arial"/>
                <w:b/>
                <w:bCs/>
                <w:szCs w:val="20"/>
              </w:rPr>
              <w:t>TIMING</w:t>
            </w:r>
          </w:p>
        </w:tc>
        <w:tc>
          <w:tcPr>
            <w:tcW w:w="1285" w:type="pct"/>
            <w:tcBorders>
              <w:bottom w:val="single" w:sz="4" w:space="0" w:color="auto"/>
            </w:tcBorders>
            <w:vAlign w:val="center"/>
          </w:tcPr>
          <w:p w14:paraId="582353BB" w14:textId="77777777" w:rsidR="000A19DC" w:rsidRPr="00B31C20" w:rsidRDefault="000A19DC" w:rsidP="0084569A">
            <w:pPr>
              <w:spacing w:before="120" w:after="120"/>
              <w:jc w:val="center"/>
              <w:rPr>
                <w:rFonts w:cs="Arial"/>
                <w:b/>
                <w:bCs/>
                <w:szCs w:val="20"/>
              </w:rPr>
            </w:pPr>
            <w:r w:rsidRPr="00B31C20">
              <w:rPr>
                <w:rFonts w:cs="Arial"/>
                <w:b/>
                <w:bCs/>
                <w:szCs w:val="20"/>
              </w:rPr>
              <w:t>RATE</w:t>
            </w:r>
          </w:p>
        </w:tc>
        <w:tc>
          <w:tcPr>
            <w:tcW w:w="1574" w:type="pct"/>
            <w:tcBorders>
              <w:bottom w:val="single" w:sz="4" w:space="0" w:color="auto"/>
            </w:tcBorders>
            <w:vAlign w:val="center"/>
          </w:tcPr>
          <w:p w14:paraId="5E500E90" w14:textId="77777777" w:rsidR="000A19DC" w:rsidRPr="00B31C20" w:rsidRDefault="000A19DC" w:rsidP="0084569A">
            <w:pPr>
              <w:spacing w:before="120" w:after="120"/>
              <w:rPr>
                <w:rFonts w:cs="Arial"/>
                <w:b/>
                <w:bCs/>
                <w:szCs w:val="20"/>
              </w:rPr>
            </w:pPr>
            <w:r w:rsidRPr="00B31C20">
              <w:rPr>
                <w:rFonts w:cs="Arial"/>
                <w:b/>
                <w:bCs/>
                <w:szCs w:val="20"/>
              </w:rPr>
              <w:t>CRITICAL COMMENTS</w:t>
            </w:r>
          </w:p>
        </w:tc>
      </w:tr>
      <w:tr w:rsidR="000A19DC" w:rsidRPr="00B31C20" w14:paraId="673AA28E" w14:textId="77777777" w:rsidTr="0084569A">
        <w:trPr>
          <w:cantSplit/>
          <w:tblHeader/>
        </w:trPr>
        <w:tc>
          <w:tcPr>
            <w:tcW w:w="5000" w:type="pct"/>
            <w:gridSpan w:val="5"/>
            <w:tcBorders>
              <w:bottom w:val="nil"/>
            </w:tcBorders>
          </w:tcPr>
          <w:p w14:paraId="2FFF10F7" w14:textId="583B1507" w:rsidR="000A19DC" w:rsidRPr="00B31C20" w:rsidRDefault="000A19DC" w:rsidP="0084569A">
            <w:pPr>
              <w:spacing w:after="120"/>
              <w:rPr>
                <w:rFonts w:cs="Arial"/>
                <w:b/>
                <w:bCs/>
                <w:szCs w:val="20"/>
              </w:rPr>
            </w:pPr>
            <w:r w:rsidRPr="00B31C20">
              <w:rPr>
                <w:rFonts w:cs="Arial"/>
                <w:b/>
                <w:bCs/>
                <w:szCs w:val="20"/>
              </w:rPr>
              <w:t>NECTARINES, PEACHES AND PLUMS</w:t>
            </w:r>
          </w:p>
        </w:tc>
      </w:tr>
      <w:tr w:rsidR="000A19DC" w:rsidRPr="00B31C20" w14:paraId="3470A1A5" w14:textId="77777777" w:rsidTr="0084569A">
        <w:trPr>
          <w:cantSplit/>
          <w:tblHeader/>
        </w:trPr>
        <w:tc>
          <w:tcPr>
            <w:tcW w:w="5000" w:type="pct"/>
            <w:gridSpan w:val="5"/>
            <w:tcBorders>
              <w:top w:val="nil"/>
            </w:tcBorders>
          </w:tcPr>
          <w:p w14:paraId="4F7AFEB9" w14:textId="77777777" w:rsidR="000A19DC" w:rsidRPr="00B31C20" w:rsidRDefault="000A19DC" w:rsidP="0084569A">
            <w:pPr>
              <w:spacing w:after="120"/>
              <w:rPr>
                <w:rFonts w:cs="Arial"/>
                <w:szCs w:val="20"/>
              </w:rPr>
            </w:pPr>
            <w:r w:rsidRPr="00B31C20">
              <w:rPr>
                <w:rFonts w:cs="Arial"/>
                <w:b/>
                <w:bCs/>
                <w:szCs w:val="20"/>
              </w:rPr>
              <w:t>DO NOT</w:t>
            </w:r>
            <w:r w:rsidRPr="00B31C20">
              <w:rPr>
                <w:rFonts w:cs="Arial"/>
                <w:szCs w:val="20"/>
              </w:rPr>
              <w:t xml:space="preserve"> apply Accede on Nectarines, Peaches and Plums that are light setting, set only at the tips of branches or biennial bearing (in an off year).</w:t>
            </w:r>
          </w:p>
          <w:p w14:paraId="3C8AD094" w14:textId="45AFBA38" w:rsidR="00AA63A7" w:rsidRPr="00B31C20" w:rsidRDefault="000A19DC" w:rsidP="0084569A">
            <w:pPr>
              <w:spacing w:after="120"/>
              <w:rPr>
                <w:rFonts w:cs="Arial"/>
                <w:szCs w:val="20"/>
              </w:rPr>
            </w:pPr>
            <w:r w:rsidRPr="00B31C20">
              <w:rPr>
                <w:rFonts w:cs="Arial"/>
                <w:b/>
                <w:bCs/>
                <w:szCs w:val="20"/>
              </w:rPr>
              <w:t>DO NOT</w:t>
            </w:r>
            <w:r w:rsidRPr="00B31C20">
              <w:rPr>
                <w:rFonts w:cs="Arial"/>
                <w:szCs w:val="20"/>
              </w:rPr>
              <w:t xml:space="preserve"> apply more than one application of Accede in Nectarines, Peaches and Plums per season</w:t>
            </w:r>
            <w:r w:rsidR="00AA63A7" w:rsidRPr="00AA63A7">
              <w:rPr>
                <w:rFonts w:cs="Arial"/>
                <w:szCs w:val="20"/>
              </w:rPr>
              <w:t>.</w:t>
            </w:r>
          </w:p>
        </w:tc>
      </w:tr>
      <w:tr w:rsidR="000A19DC" w:rsidRPr="00B31C20" w14:paraId="0CB3F1F3" w14:textId="77777777" w:rsidTr="00A218C7">
        <w:trPr>
          <w:cantSplit/>
          <w:trHeight w:val="2269"/>
        </w:trPr>
        <w:tc>
          <w:tcPr>
            <w:tcW w:w="715" w:type="pct"/>
          </w:tcPr>
          <w:p w14:paraId="56F02F02" w14:textId="1BF01351" w:rsidR="000A19DC" w:rsidRPr="00B31C20" w:rsidRDefault="000A19DC" w:rsidP="00AA5A11">
            <w:pPr>
              <w:spacing w:after="120"/>
              <w:rPr>
                <w:rFonts w:cs="Arial"/>
                <w:szCs w:val="20"/>
              </w:rPr>
            </w:pPr>
            <w:r w:rsidRPr="00B31C20">
              <w:rPr>
                <w:rFonts w:cs="Arial"/>
                <w:szCs w:val="20"/>
              </w:rPr>
              <w:t>NECTARINE AND PEACH</w:t>
            </w:r>
          </w:p>
        </w:tc>
        <w:tc>
          <w:tcPr>
            <w:tcW w:w="712" w:type="pct"/>
          </w:tcPr>
          <w:p w14:paraId="574855F6" w14:textId="77777777" w:rsidR="000A19DC" w:rsidRPr="00B31C20" w:rsidRDefault="000A19DC" w:rsidP="0084569A">
            <w:pPr>
              <w:spacing w:after="120"/>
              <w:rPr>
                <w:rFonts w:cs="Arial"/>
                <w:szCs w:val="20"/>
              </w:rPr>
            </w:pPr>
            <w:r w:rsidRPr="00B31C20">
              <w:rPr>
                <w:rFonts w:cs="Arial"/>
                <w:szCs w:val="20"/>
              </w:rPr>
              <w:t>Heavy setting varieties only</w:t>
            </w:r>
          </w:p>
        </w:tc>
        <w:tc>
          <w:tcPr>
            <w:tcW w:w="714" w:type="pct"/>
            <w:vMerge w:val="restart"/>
          </w:tcPr>
          <w:p w14:paraId="0D16B056" w14:textId="77777777" w:rsidR="000A19DC" w:rsidRPr="00B31C20" w:rsidRDefault="000A19DC" w:rsidP="0084569A">
            <w:pPr>
              <w:spacing w:after="120"/>
              <w:jc w:val="center"/>
              <w:rPr>
                <w:rFonts w:cs="Arial"/>
                <w:szCs w:val="20"/>
              </w:rPr>
            </w:pPr>
            <w:r w:rsidRPr="00B31C20">
              <w:rPr>
                <w:rFonts w:cs="Arial"/>
                <w:szCs w:val="20"/>
              </w:rPr>
              <w:t xml:space="preserve">60 – 90% </w:t>
            </w:r>
            <w:r w:rsidRPr="00B31C20">
              <w:rPr>
                <w:rFonts w:cs="Arial"/>
                <w:szCs w:val="20"/>
              </w:rPr>
              <w:br/>
              <w:t>flowering</w:t>
            </w:r>
          </w:p>
        </w:tc>
        <w:tc>
          <w:tcPr>
            <w:tcW w:w="1285" w:type="pct"/>
          </w:tcPr>
          <w:p w14:paraId="3A779149" w14:textId="77777777" w:rsidR="000A19DC" w:rsidRPr="00B31C20" w:rsidRDefault="000A19DC" w:rsidP="0084569A">
            <w:pPr>
              <w:spacing w:after="120"/>
              <w:jc w:val="center"/>
              <w:rPr>
                <w:rFonts w:cs="Arial"/>
                <w:szCs w:val="20"/>
              </w:rPr>
            </w:pPr>
            <w:r w:rsidRPr="00B31C20">
              <w:rPr>
                <w:rFonts w:cs="Arial"/>
                <w:szCs w:val="20"/>
              </w:rPr>
              <w:t xml:space="preserve">75 - 87.5 g/100 L </w:t>
            </w:r>
            <w:r w:rsidRPr="00B31C20">
              <w:rPr>
                <w:rFonts w:cs="Arial"/>
                <w:szCs w:val="20"/>
              </w:rPr>
              <w:br/>
              <w:t>(300 – 350 ppm)</w:t>
            </w:r>
          </w:p>
        </w:tc>
        <w:tc>
          <w:tcPr>
            <w:tcW w:w="1574" w:type="pct"/>
            <w:vMerge w:val="restart"/>
          </w:tcPr>
          <w:p w14:paraId="180D6049" w14:textId="617BB8AB" w:rsidR="000A19DC" w:rsidRPr="00B31C20" w:rsidRDefault="000A19DC" w:rsidP="0084569A">
            <w:pPr>
              <w:spacing w:after="120"/>
              <w:rPr>
                <w:rFonts w:cs="Arial"/>
                <w:szCs w:val="20"/>
              </w:rPr>
            </w:pPr>
            <w:r w:rsidRPr="00B31C20">
              <w:rPr>
                <w:rFonts w:cs="Arial"/>
                <w:szCs w:val="20"/>
              </w:rPr>
              <w:t>Application at higher rates after leaf emergence may lead to significant leaf</w:t>
            </w:r>
            <w:r w:rsidR="00682283">
              <w:rPr>
                <w:rFonts w:cs="Arial"/>
                <w:szCs w:val="20"/>
              </w:rPr>
              <w:t xml:space="preserve"> yellowing and </w:t>
            </w:r>
            <w:r w:rsidRPr="00B31C20">
              <w:rPr>
                <w:rFonts w:cs="Arial"/>
                <w:szCs w:val="20"/>
              </w:rPr>
              <w:t>drop, so only one application at flowering is possible. It is important to carefully consider all factors mentioned under GENERAL INSTRUCTIONS that may affect pollination and fruit set before deciding on the rate and using Accede.</w:t>
            </w:r>
          </w:p>
          <w:p w14:paraId="54337DED" w14:textId="62685DA6" w:rsidR="000A19DC" w:rsidRPr="00B31C20" w:rsidRDefault="000A19DC" w:rsidP="0084569A">
            <w:pPr>
              <w:spacing w:after="120"/>
              <w:rPr>
                <w:rFonts w:cs="Arial"/>
                <w:szCs w:val="20"/>
              </w:rPr>
            </w:pPr>
            <w:r w:rsidRPr="00B31C20">
              <w:rPr>
                <w:rFonts w:cs="Arial"/>
                <w:szCs w:val="20"/>
              </w:rPr>
              <w:t>There are many varieties of Nectarines Peaches and Plums, so it is important that initial applications are done to small trial sections in a block over one or two seasons starting with the lower rate, to determine appropriate timing, rate and likely response before full block treatments are conducted.</w:t>
            </w:r>
          </w:p>
          <w:p w14:paraId="3A6630B8" w14:textId="58DD87DD" w:rsidR="000A19DC" w:rsidRDefault="000A19DC" w:rsidP="0084569A">
            <w:pPr>
              <w:spacing w:after="120"/>
              <w:rPr>
                <w:rFonts w:cs="Arial"/>
                <w:szCs w:val="20"/>
              </w:rPr>
            </w:pPr>
            <w:r w:rsidRPr="00B31C20">
              <w:rPr>
                <w:rFonts w:cs="Arial"/>
                <w:szCs w:val="20"/>
              </w:rPr>
              <w:t>Plums require good pollination with bees to get good fruit set. If this is unlikely to occur, then a lower rate of Accede should be used.</w:t>
            </w:r>
          </w:p>
          <w:p w14:paraId="5672C9C8" w14:textId="6AF64C27" w:rsidR="008A55C9" w:rsidRPr="00B31C20" w:rsidRDefault="008A55C9" w:rsidP="0084569A">
            <w:pPr>
              <w:spacing w:after="120"/>
              <w:rPr>
                <w:rFonts w:ascii="Calibri" w:hAnsi="Calibri" w:cs="Calibri"/>
                <w:szCs w:val="20"/>
              </w:rPr>
            </w:pPr>
            <w:r w:rsidRPr="00AA63A7">
              <w:rPr>
                <w:rFonts w:cs="Arial"/>
                <w:szCs w:val="20"/>
              </w:rPr>
              <w:t>A tree-fruit safe non-ionic surfactant such as Pomade* at 50 mL/100L should be used with all Accede applications</w:t>
            </w:r>
            <w:r w:rsidR="000E52D8">
              <w:rPr>
                <w:rFonts w:cs="Arial"/>
                <w:szCs w:val="20"/>
              </w:rPr>
              <w:t>.</w:t>
            </w:r>
          </w:p>
        </w:tc>
      </w:tr>
      <w:tr w:rsidR="000A19DC" w:rsidRPr="00B31C20" w14:paraId="6FAADA93" w14:textId="77777777" w:rsidTr="00A218C7">
        <w:trPr>
          <w:cantSplit/>
          <w:trHeight w:val="1250"/>
        </w:trPr>
        <w:tc>
          <w:tcPr>
            <w:tcW w:w="715" w:type="pct"/>
          </w:tcPr>
          <w:p w14:paraId="6E55A727" w14:textId="77777777" w:rsidR="000A19DC" w:rsidRPr="00B31C20" w:rsidRDefault="000A19DC" w:rsidP="0084569A">
            <w:pPr>
              <w:spacing w:after="120"/>
              <w:rPr>
                <w:rFonts w:cs="Arial"/>
                <w:szCs w:val="20"/>
              </w:rPr>
            </w:pPr>
            <w:r w:rsidRPr="00B31C20">
              <w:rPr>
                <w:rFonts w:cs="Arial"/>
                <w:szCs w:val="20"/>
              </w:rPr>
              <w:t>PLUM</w:t>
            </w:r>
          </w:p>
        </w:tc>
        <w:tc>
          <w:tcPr>
            <w:tcW w:w="712" w:type="pct"/>
          </w:tcPr>
          <w:p w14:paraId="66FA85FE" w14:textId="77777777" w:rsidR="000A19DC" w:rsidRPr="00B31C20" w:rsidRDefault="000A19DC" w:rsidP="0084569A">
            <w:pPr>
              <w:spacing w:after="120"/>
              <w:rPr>
                <w:rFonts w:cs="Arial"/>
                <w:szCs w:val="20"/>
              </w:rPr>
            </w:pPr>
            <w:r w:rsidRPr="00B31C20">
              <w:rPr>
                <w:rFonts w:cs="Arial"/>
                <w:szCs w:val="20"/>
              </w:rPr>
              <w:t>Queen Garnett</w:t>
            </w:r>
            <w:r w:rsidRPr="00B31C20">
              <w:rPr>
                <w:rFonts w:cs="Arial"/>
                <w:szCs w:val="20"/>
              </w:rPr>
              <w:br/>
              <w:t>only</w:t>
            </w:r>
          </w:p>
        </w:tc>
        <w:tc>
          <w:tcPr>
            <w:tcW w:w="714" w:type="pct"/>
            <w:vMerge/>
          </w:tcPr>
          <w:p w14:paraId="33F340CF" w14:textId="77777777" w:rsidR="000A19DC" w:rsidRPr="00B31C20" w:rsidRDefault="000A19DC" w:rsidP="0084569A">
            <w:pPr>
              <w:spacing w:after="120"/>
              <w:rPr>
                <w:rFonts w:ascii="Calibri" w:hAnsi="Calibri" w:cs="Calibri"/>
                <w:szCs w:val="20"/>
              </w:rPr>
            </w:pPr>
          </w:p>
        </w:tc>
        <w:tc>
          <w:tcPr>
            <w:tcW w:w="1285" w:type="pct"/>
          </w:tcPr>
          <w:p w14:paraId="160A0F62" w14:textId="77777777" w:rsidR="000A19DC" w:rsidRPr="00B31C20" w:rsidRDefault="000A19DC" w:rsidP="0084569A">
            <w:pPr>
              <w:spacing w:after="120"/>
              <w:jc w:val="center"/>
              <w:rPr>
                <w:rFonts w:cs="Arial"/>
                <w:szCs w:val="20"/>
              </w:rPr>
            </w:pPr>
            <w:r w:rsidRPr="00B31C20">
              <w:rPr>
                <w:rFonts w:cs="Arial"/>
                <w:szCs w:val="20"/>
              </w:rPr>
              <w:t xml:space="preserve">37.5 - 50 /100 L </w:t>
            </w:r>
            <w:r w:rsidRPr="00B31C20">
              <w:rPr>
                <w:rFonts w:cs="Arial"/>
                <w:szCs w:val="20"/>
              </w:rPr>
              <w:br/>
              <w:t>(150 – 200 ppm)</w:t>
            </w:r>
          </w:p>
        </w:tc>
        <w:tc>
          <w:tcPr>
            <w:tcW w:w="1574" w:type="pct"/>
            <w:vMerge/>
          </w:tcPr>
          <w:p w14:paraId="1AFCCF56" w14:textId="77777777" w:rsidR="000A19DC" w:rsidRPr="00B31C20" w:rsidRDefault="000A19DC" w:rsidP="0084569A">
            <w:pPr>
              <w:spacing w:after="120"/>
            </w:pPr>
          </w:p>
        </w:tc>
      </w:tr>
    </w:tbl>
    <w:p w14:paraId="08902C6C" w14:textId="77777777" w:rsidR="000A19DC" w:rsidRPr="00B31C20" w:rsidRDefault="000A19DC" w:rsidP="000A19DC">
      <w:pPr>
        <w:spacing w:before="120"/>
        <w:rPr>
          <w:rFonts w:ascii="Calibri" w:hAnsi="Calibri" w:cs="Calibri"/>
        </w:rPr>
      </w:pPr>
    </w:p>
    <w:p w14:paraId="1E04D7D2" w14:textId="4C58A480" w:rsidR="000A19DC" w:rsidRPr="00B31C20" w:rsidRDefault="008A55C9" w:rsidP="008A55C9">
      <w:pPr>
        <w:ind w:left="142" w:right="424"/>
        <w:rPr>
          <w:b/>
          <w:bCs/>
        </w:rPr>
      </w:pPr>
      <w:r w:rsidRPr="008A55C9">
        <w:rPr>
          <w:b/>
          <w:bCs/>
        </w:rPr>
        <w:t>NOT TO BE USED FOR ANY PURPOSE, OR IN ANY MANNER, CONTRARY TO THIS LABEL UNLESS AUTHORISED UNDER APPROPRIATE LEGISLATION.</w:t>
      </w:r>
    </w:p>
    <w:p w14:paraId="15180DDA" w14:textId="77777777" w:rsidR="008A55C9" w:rsidRDefault="008A55C9" w:rsidP="000A19DC">
      <w:pPr>
        <w:spacing w:before="120"/>
        <w:ind w:left="142" w:right="712"/>
        <w:rPr>
          <w:rFonts w:cs="Arial"/>
          <w:b/>
          <w:bCs/>
          <w:szCs w:val="20"/>
        </w:rPr>
      </w:pPr>
    </w:p>
    <w:p w14:paraId="167C4436" w14:textId="77777777" w:rsidR="008A55C9" w:rsidRDefault="008A55C9" w:rsidP="000A19DC">
      <w:pPr>
        <w:spacing w:before="120"/>
        <w:ind w:left="142" w:right="712"/>
        <w:rPr>
          <w:rFonts w:cs="Arial"/>
          <w:b/>
          <w:bCs/>
          <w:szCs w:val="20"/>
        </w:rPr>
      </w:pPr>
    </w:p>
    <w:p w14:paraId="3AD849B0" w14:textId="590E5914" w:rsidR="000A19DC" w:rsidRPr="00E252E4" w:rsidRDefault="000A19DC" w:rsidP="000A19DC">
      <w:pPr>
        <w:spacing w:before="120"/>
        <w:ind w:left="142" w:right="712"/>
        <w:rPr>
          <w:rFonts w:cs="Arial"/>
          <w:b/>
          <w:bCs/>
          <w:szCs w:val="20"/>
        </w:rPr>
      </w:pPr>
      <w:r w:rsidRPr="00E252E4">
        <w:rPr>
          <w:rFonts w:cs="Arial"/>
          <w:b/>
          <w:bCs/>
          <w:szCs w:val="20"/>
        </w:rPr>
        <w:t>GENERAL INSTRUCTIONS</w:t>
      </w:r>
    </w:p>
    <w:p w14:paraId="168FB9D6" w14:textId="77777777" w:rsidR="000A19DC" w:rsidRPr="00F6014C" w:rsidRDefault="000A19DC" w:rsidP="000A19DC">
      <w:pPr>
        <w:spacing w:before="120"/>
        <w:ind w:left="142" w:right="712"/>
        <w:rPr>
          <w:rFonts w:cs="Arial"/>
          <w:b/>
          <w:bCs/>
          <w:szCs w:val="20"/>
        </w:rPr>
      </w:pPr>
    </w:p>
    <w:p w14:paraId="22D8F281" w14:textId="77777777" w:rsidR="000A19DC" w:rsidRPr="00F6014C" w:rsidRDefault="000A19DC" w:rsidP="000A19DC">
      <w:pPr>
        <w:ind w:left="142" w:right="712"/>
        <w:rPr>
          <w:rFonts w:cs="Arial"/>
          <w:szCs w:val="20"/>
        </w:rPr>
      </w:pPr>
      <w:r w:rsidRPr="00F6014C">
        <w:rPr>
          <w:rFonts w:cs="Arial"/>
          <w:szCs w:val="20"/>
        </w:rPr>
        <w:t xml:space="preserve">Accede® Plant Growth Regulator contains 1-AMINOCYCLOPROPANE-1-CARBOXYLIC ACID (ACC), a natural compound responsible for the biosynthesis of ethylene production in tree fruits. It </w:t>
      </w:r>
      <w:r w:rsidRPr="00F6014C">
        <w:rPr>
          <w:rFonts w:cs="Arial"/>
          <w:szCs w:val="20"/>
        </w:rPr>
        <w:lastRenderedPageBreak/>
        <w:t>is ideal for thinning Apples, Nectarines, Peaches and Plums, reducing the need for hand thinning labour and improving fruit quality.</w:t>
      </w:r>
    </w:p>
    <w:p w14:paraId="77DBF555" w14:textId="77777777" w:rsidR="000A19D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4"/>
        <w:rPr>
          <w:rFonts w:ascii="Arial" w:hAnsi="Arial" w:cs="Arial"/>
          <w:b/>
          <w:sz w:val="20"/>
          <w:szCs w:val="20"/>
          <w:lang w:val="en-AU"/>
        </w:rPr>
      </w:pPr>
    </w:p>
    <w:p w14:paraId="4C5FC01B" w14:textId="77777777"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4"/>
        <w:rPr>
          <w:rFonts w:ascii="Arial" w:hAnsi="Arial" w:cs="Arial"/>
          <w:b/>
          <w:bCs/>
          <w:sz w:val="20"/>
          <w:szCs w:val="20"/>
          <w:lang w:val="en-AU"/>
        </w:rPr>
      </w:pPr>
      <w:r w:rsidRPr="00F6014C">
        <w:rPr>
          <w:rFonts w:ascii="Arial" w:hAnsi="Arial" w:cs="Arial"/>
          <w:b/>
          <w:sz w:val="20"/>
          <w:szCs w:val="20"/>
          <w:lang w:val="en-AU"/>
        </w:rPr>
        <w:t xml:space="preserve">IMPORTANT </w:t>
      </w:r>
      <w:r w:rsidRPr="00F6014C">
        <w:rPr>
          <w:rFonts w:ascii="Arial" w:hAnsi="Arial" w:cs="Arial"/>
          <w:b/>
          <w:bCs/>
          <w:sz w:val="20"/>
          <w:szCs w:val="20"/>
          <w:lang w:val="en-AU"/>
        </w:rPr>
        <w:t>FACTORS AFFECTING THINNING AND FRUIT SET</w:t>
      </w:r>
    </w:p>
    <w:p w14:paraId="105999F6" w14:textId="3F89F2B8"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sz w:val="20"/>
          <w:szCs w:val="20"/>
          <w:lang w:val="en-AU"/>
        </w:rPr>
      </w:pPr>
      <w:r w:rsidRPr="00F6014C">
        <w:rPr>
          <w:rFonts w:ascii="Arial" w:hAnsi="Arial" w:cs="Arial"/>
          <w:sz w:val="20"/>
          <w:szCs w:val="20"/>
          <w:lang w:val="en-AU"/>
        </w:rPr>
        <w:t xml:space="preserve">Many factors can influence plant stress level, flowering, fruit set or fruit maturation </w:t>
      </w:r>
      <w:proofErr w:type="gramStart"/>
      <w:r w:rsidRPr="00F6014C">
        <w:rPr>
          <w:rFonts w:ascii="Arial" w:hAnsi="Arial" w:cs="Arial"/>
          <w:sz w:val="20"/>
          <w:szCs w:val="20"/>
          <w:lang w:val="en-AU"/>
        </w:rPr>
        <w:t>during the course of</w:t>
      </w:r>
      <w:proofErr w:type="gramEnd"/>
      <w:r w:rsidRPr="00F6014C">
        <w:rPr>
          <w:rFonts w:ascii="Arial" w:hAnsi="Arial" w:cs="Arial"/>
          <w:sz w:val="20"/>
          <w:szCs w:val="20"/>
          <w:lang w:val="en-AU"/>
        </w:rPr>
        <w:t xml:space="preserve"> the season and therefore response to chemical thinners. For example (elevation, sun exposure, soil texture), tree size, root stock, growing conditions (prevailing or anticipated weather patterns such as high or low temperature extremes, chilling, drought or flood conditions, nutrient levels) or production practices (e.g. crop load, pruning severity, trunk girdling, root pruning). </w:t>
      </w:r>
      <w:proofErr w:type="gramStart"/>
      <w:r w:rsidRPr="00F6014C">
        <w:rPr>
          <w:rFonts w:ascii="Arial" w:hAnsi="Arial" w:cs="Arial"/>
          <w:sz w:val="20"/>
          <w:szCs w:val="20"/>
          <w:lang w:val="en-AU"/>
        </w:rPr>
        <w:t>So</w:t>
      </w:r>
      <w:proofErr w:type="gramEnd"/>
      <w:r w:rsidRPr="00F6014C">
        <w:rPr>
          <w:rFonts w:ascii="Arial" w:hAnsi="Arial" w:cs="Arial"/>
          <w:sz w:val="20"/>
          <w:szCs w:val="20"/>
          <w:lang w:val="en-AU"/>
        </w:rPr>
        <w:t xml:space="preserve"> these must all be carefully considered prior to using Accede. Severe pruning which leaves mostly older wood to set fruit will be harder to thin with ACC. Hail nets may affect thinning effect due to reduction in solar radiation. Waterlogging in stone fruit triggers ethylene production in the tree which will cause fruit drop just as a late frost on fruitlets will do. Note that cool, overcast conditions after application will delay fruitlet growth and flower/fruitlet drop and so it may be necessary to wait an extra one or two weeks to see how much the Accede has reduced fruit set </w:t>
      </w:r>
      <w:proofErr w:type="spellStart"/>
      <w:r w:rsidRPr="00F6014C">
        <w:rPr>
          <w:rFonts w:ascii="Arial" w:hAnsi="Arial" w:cs="Arial"/>
          <w:sz w:val="20"/>
          <w:szCs w:val="20"/>
          <w:lang w:val="en-AU"/>
        </w:rPr>
        <w:t>before hand</w:t>
      </w:r>
      <w:proofErr w:type="spellEnd"/>
      <w:r w:rsidRPr="00F6014C">
        <w:rPr>
          <w:rFonts w:ascii="Arial" w:hAnsi="Arial" w:cs="Arial"/>
          <w:sz w:val="20"/>
          <w:szCs w:val="20"/>
          <w:lang w:val="en-AU"/>
        </w:rPr>
        <w:t xml:space="preserve"> </w:t>
      </w:r>
      <w:proofErr w:type="spellStart"/>
      <w:r w:rsidRPr="00F6014C">
        <w:rPr>
          <w:rFonts w:ascii="Arial" w:hAnsi="Arial" w:cs="Arial"/>
          <w:sz w:val="20"/>
          <w:szCs w:val="20"/>
          <w:lang w:val="en-AU"/>
        </w:rPr>
        <w:t>thinning.A</w:t>
      </w:r>
      <w:proofErr w:type="spellEnd"/>
      <w:r w:rsidRPr="00F6014C">
        <w:rPr>
          <w:rFonts w:ascii="Arial" w:hAnsi="Arial" w:cs="Arial"/>
          <w:sz w:val="20"/>
          <w:szCs w:val="20"/>
          <w:lang w:val="en-AU"/>
        </w:rPr>
        <w:t xml:space="preserve"> proportion of the fruitlets will stop developing and these are ones that will eventually drop or can be taken off during hand thinning.</w:t>
      </w:r>
      <w:r w:rsidR="00AB4AB3">
        <w:rPr>
          <w:rFonts w:ascii="Arial" w:hAnsi="Arial" w:cs="Arial"/>
          <w:sz w:val="20"/>
          <w:szCs w:val="20"/>
          <w:lang w:val="en-AU"/>
        </w:rPr>
        <w:t xml:space="preserve"> </w:t>
      </w:r>
      <w:bookmarkStart w:id="168" w:name="_Hlk131425484"/>
      <w:r w:rsidR="00AB4AB3" w:rsidRPr="00AB4AB3">
        <w:rPr>
          <w:rFonts w:ascii="Arial" w:hAnsi="Arial" w:cs="Arial"/>
          <w:sz w:val="20"/>
          <w:szCs w:val="20"/>
          <w:lang w:val="en-AU"/>
        </w:rPr>
        <w:t>DO NOT</w:t>
      </w:r>
      <w:r w:rsidR="00AB4AB3" w:rsidRPr="00BD5677">
        <w:rPr>
          <w:rFonts w:ascii="Arial" w:hAnsi="Arial" w:cs="Arial"/>
          <w:sz w:val="20"/>
          <w:szCs w:val="20"/>
          <w:lang w:val="en-AU"/>
        </w:rPr>
        <w:t xml:space="preserve"> apply fruit setting agents if using Accede at flowering time.</w:t>
      </w:r>
      <w:bookmarkEnd w:id="168"/>
    </w:p>
    <w:p w14:paraId="58743726" w14:textId="77EFE898"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120"/>
        <w:ind w:left="142" w:right="712"/>
        <w:rPr>
          <w:rFonts w:ascii="Arial" w:hAnsi="Arial" w:cs="Arial"/>
          <w:sz w:val="20"/>
          <w:szCs w:val="20"/>
          <w:lang w:val="en-AU"/>
        </w:rPr>
      </w:pPr>
      <w:r w:rsidRPr="00F6014C">
        <w:rPr>
          <w:rFonts w:ascii="Arial" w:hAnsi="Arial" w:cs="Arial"/>
          <w:sz w:val="20"/>
          <w:szCs w:val="20"/>
          <w:lang w:val="en-AU"/>
        </w:rPr>
        <w:t>Accede is a precursor to ethylene and so varietal response may be different to other apple thinners such as NAA or 6BA. It is recommended that initial applications are on small trial sections in a block over one or two seasons to determine appropriate timing, rate and likely response before full block treatments are conducted.</w:t>
      </w:r>
    </w:p>
    <w:p w14:paraId="7D74A343" w14:textId="77777777" w:rsidR="000A19D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4"/>
        <w:rPr>
          <w:rFonts w:ascii="Arial" w:hAnsi="Arial" w:cs="Arial"/>
          <w:b/>
          <w:bCs/>
          <w:sz w:val="20"/>
          <w:szCs w:val="20"/>
          <w:lang w:val="en-AU"/>
        </w:rPr>
      </w:pPr>
    </w:p>
    <w:p w14:paraId="7EA84835" w14:textId="77777777"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4"/>
        <w:rPr>
          <w:rFonts w:ascii="Arial" w:hAnsi="Arial" w:cs="Arial"/>
          <w:b/>
          <w:bCs/>
          <w:sz w:val="20"/>
          <w:szCs w:val="20"/>
          <w:lang w:val="en-AU"/>
        </w:rPr>
      </w:pPr>
      <w:r w:rsidRPr="00F6014C">
        <w:rPr>
          <w:rFonts w:ascii="Arial" w:hAnsi="Arial" w:cs="Arial"/>
          <w:b/>
          <w:bCs/>
          <w:sz w:val="20"/>
          <w:szCs w:val="20"/>
          <w:lang w:val="en-AU"/>
        </w:rPr>
        <w:t>WATER VOLUME AND SPRAYER SET UP</w:t>
      </w:r>
    </w:p>
    <w:p w14:paraId="18E717A9" w14:textId="0FFA4FEA"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sz w:val="20"/>
          <w:szCs w:val="20"/>
          <w:lang w:val="en-AU"/>
        </w:rPr>
      </w:pPr>
      <w:r w:rsidRPr="00F6014C">
        <w:rPr>
          <w:rFonts w:ascii="Arial" w:hAnsi="Arial" w:cs="Arial"/>
          <w:sz w:val="20"/>
          <w:szCs w:val="20"/>
          <w:lang w:val="en-AU"/>
        </w:rPr>
        <w:t>The amount of water applied per hectare and coverage is as important as the concentration applied. On tree crops, apply Accede in just sufficient water to ensure that flowers and fruits, receive light to moderate coverage using calibrated spray equipment. Adjust water volumes based on plant size and spacing. It is not necessary to wet to the point of runoff. Since low water volumes can be used with Accede, concentrate spraying is not needed. Over wetting, leading to spray drift and drip can lead to overthinning - particularly in the bottom of vase shaped trees.</w:t>
      </w:r>
    </w:p>
    <w:p w14:paraId="7483725A" w14:textId="77777777"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sz w:val="20"/>
          <w:szCs w:val="20"/>
          <w:lang w:val="en-AU"/>
        </w:rPr>
      </w:pPr>
    </w:p>
    <w:p w14:paraId="71C6DD3B" w14:textId="21178F70"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sz w:val="20"/>
          <w:szCs w:val="20"/>
          <w:lang w:val="en-AU"/>
        </w:rPr>
      </w:pPr>
      <w:r w:rsidRPr="00F6014C">
        <w:rPr>
          <w:rFonts w:ascii="Arial" w:hAnsi="Arial" w:cs="Arial"/>
          <w:sz w:val="20"/>
          <w:szCs w:val="20"/>
          <w:lang w:val="en-AU"/>
        </w:rPr>
        <w:t>For higher density, single/dual leader, flat profile pruning systems and trees 2.5 - 4m in height; 500 – 750 L/ha is adequate at flowering; increasing to 750 – 1000 L/ha (apples only) when fruitlets are 20mm in size.</w:t>
      </w:r>
    </w:p>
    <w:p w14:paraId="7522080E" w14:textId="189A74F1"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sz w:val="20"/>
          <w:szCs w:val="20"/>
          <w:lang w:val="en-AU"/>
        </w:rPr>
      </w:pPr>
      <w:r w:rsidRPr="00F6014C">
        <w:rPr>
          <w:rFonts w:ascii="Arial" w:hAnsi="Arial" w:cs="Arial"/>
          <w:sz w:val="20"/>
          <w:szCs w:val="20"/>
          <w:lang w:val="en-AU"/>
        </w:rPr>
        <w:t>For larger vase shaped trees or Tatura trellis systems these rates can be increased by around 20% but then 80% of the spray should be directed into the upper 2/3rd of the tree canopy.</w:t>
      </w:r>
    </w:p>
    <w:p w14:paraId="359C0962" w14:textId="77777777"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sz w:val="20"/>
          <w:szCs w:val="20"/>
          <w:lang w:val="en-AU"/>
        </w:rPr>
      </w:pPr>
    </w:p>
    <w:p w14:paraId="4787903E" w14:textId="787CCD6D" w:rsidR="00274331"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b/>
          <w:bCs/>
          <w:sz w:val="20"/>
          <w:szCs w:val="20"/>
        </w:rPr>
      </w:pPr>
      <w:r w:rsidRPr="00F6014C">
        <w:rPr>
          <w:rFonts w:ascii="Arial" w:hAnsi="Arial" w:cs="Arial"/>
          <w:sz w:val="20"/>
          <w:szCs w:val="20"/>
          <w:lang w:val="en-AU"/>
        </w:rPr>
        <w:t xml:space="preserve">Accede only has a thinning effect on the parts of the tree sprayed. </w:t>
      </w:r>
      <w:r w:rsidRPr="00F6014C">
        <w:rPr>
          <w:rFonts w:ascii="Arial" w:hAnsi="Arial" w:cs="Arial"/>
          <w:b/>
          <w:bCs/>
          <w:sz w:val="20"/>
          <w:szCs w:val="20"/>
          <w:lang w:val="en-AU"/>
        </w:rPr>
        <w:t>DO NOT</w:t>
      </w:r>
      <w:r w:rsidRPr="00F6014C">
        <w:rPr>
          <w:rFonts w:ascii="Arial" w:hAnsi="Arial" w:cs="Arial"/>
          <w:sz w:val="20"/>
          <w:szCs w:val="20"/>
          <w:lang w:val="en-AU"/>
        </w:rPr>
        <w:t xml:space="preserve"> apply to parts of the tree that do not require thinning.</w:t>
      </w:r>
      <w:r w:rsidR="00274331">
        <w:rPr>
          <w:rFonts w:ascii="Arial" w:hAnsi="Arial" w:cs="Arial"/>
          <w:b/>
          <w:bCs/>
          <w:sz w:val="20"/>
          <w:szCs w:val="20"/>
        </w:rPr>
        <w:br w:type="page"/>
      </w:r>
    </w:p>
    <w:p w14:paraId="1DB151D6" w14:textId="7F8FB7B5"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sz w:val="20"/>
          <w:szCs w:val="20"/>
          <w:lang w:val="en-AU"/>
        </w:rPr>
      </w:pPr>
      <w:r w:rsidRPr="00F6014C">
        <w:rPr>
          <w:rFonts w:ascii="Arial" w:hAnsi="Arial" w:cs="Arial"/>
          <w:b/>
          <w:bCs/>
          <w:sz w:val="20"/>
          <w:szCs w:val="20"/>
        </w:rPr>
        <w:lastRenderedPageBreak/>
        <w:t>SPRAY COVERAGE</w:t>
      </w:r>
    </w:p>
    <w:p w14:paraId="369D4E2B" w14:textId="2DF3CDC2" w:rsidR="000A19DC" w:rsidRDefault="000A19DC" w:rsidP="000A19DC">
      <w:pPr>
        <w:spacing w:after="160" w:line="259" w:lineRule="auto"/>
        <w:ind w:left="142" w:right="712"/>
        <w:rPr>
          <w:rFonts w:cs="Arial"/>
          <w:szCs w:val="20"/>
        </w:rPr>
      </w:pPr>
      <w:r w:rsidRPr="00F6014C">
        <w:rPr>
          <w:rFonts w:cs="Arial"/>
          <w:noProof/>
          <w:szCs w:val="20"/>
        </w:rPr>
        <w:drawing>
          <wp:anchor distT="0" distB="0" distL="114300" distR="114300" simplePos="0" relativeHeight="251660288" behindDoc="0" locked="0" layoutInCell="1" allowOverlap="1" wp14:anchorId="6317A444" wp14:editId="1D05B792">
            <wp:simplePos x="0" y="0"/>
            <wp:positionH relativeFrom="column">
              <wp:posOffset>1343660</wp:posOffset>
            </wp:positionH>
            <wp:positionV relativeFrom="paragraph">
              <wp:posOffset>601980</wp:posOffset>
            </wp:positionV>
            <wp:extent cx="3595370" cy="1635760"/>
            <wp:effectExtent l="0" t="0" r="5080" b="2540"/>
            <wp:wrapTopAndBottom/>
            <wp:docPr id="221266975" name="Picture 1" descr="A group of yellow and blue speckled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66975" name="Picture 1" descr="A group of yellow and blue speckled paper&#10;&#10;Description automatically generated"/>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1817" t="20314" r="2875" b="19826"/>
                    <a:stretch/>
                  </pic:blipFill>
                  <pic:spPr bwMode="auto">
                    <a:xfrm>
                      <a:off x="0" y="0"/>
                      <a:ext cx="3595370" cy="163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6014C">
        <w:rPr>
          <w:rFonts w:cs="Arial"/>
          <w:noProof/>
          <w:szCs w:val="20"/>
        </w:rPr>
        <mc:AlternateContent>
          <mc:Choice Requires="wpg">
            <w:drawing>
              <wp:anchor distT="0" distB="0" distL="114300" distR="114300" simplePos="0" relativeHeight="251659264" behindDoc="0" locked="0" layoutInCell="1" allowOverlap="1" wp14:anchorId="7F6020F8" wp14:editId="25DDCE7E">
                <wp:simplePos x="0" y="0"/>
                <wp:positionH relativeFrom="margin">
                  <wp:posOffset>1196340</wp:posOffset>
                </wp:positionH>
                <wp:positionV relativeFrom="paragraph">
                  <wp:posOffset>2232660</wp:posOffset>
                </wp:positionV>
                <wp:extent cx="3734441" cy="257175"/>
                <wp:effectExtent l="0" t="0" r="0" b="9525"/>
                <wp:wrapNone/>
                <wp:docPr id="702023274" name="Group 2"/>
                <wp:cNvGraphicFramePr/>
                <a:graphic xmlns:a="http://schemas.openxmlformats.org/drawingml/2006/main">
                  <a:graphicData uri="http://schemas.microsoft.com/office/word/2010/wordprocessingGroup">
                    <wpg:wgp>
                      <wpg:cNvGrpSpPr/>
                      <wpg:grpSpPr>
                        <a:xfrm>
                          <a:off x="0" y="0"/>
                          <a:ext cx="3734441" cy="257175"/>
                          <a:chOff x="83831" y="-1"/>
                          <a:chExt cx="3734686" cy="385140"/>
                        </a:xfrm>
                      </wpg:grpSpPr>
                      <wps:wsp>
                        <wps:cNvPr id="1144683861" name="Text Box 2"/>
                        <wps:cNvSpPr txBox="1">
                          <a:spLocks noChangeArrowheads="1"/>
                        </wps:cNvSpPr>
                        <wps:spPr bwMode="auto">
                          <a:xfrm>
                            <a:off x="1342825" y="12789"/>
                            <a:ext cx="1272487" cy="358087"/>
                          </a:xfrm>
                          <a:prstGeom prst="rect">
                            <a:avLst/>
                          </a:prstGeom>
                          <a:solidFill>
                            <a:srgbClr val="FFFFFF"/>
                          </a:solidFill>
                          <a:ln w="9525">
                            <a:noFill/>
                            <a:miter lim="800000"/>
                            <a:headEnd/>
                            <a:tailEnd/>
                          </a:ln>
                        </wps:spPr>
                        <wps:txbx>
                          <w:txbxContent>
                            <w:p w14:paraId="2AFEDA61" w14:textId="77777777" w:rsidR="000A19DC" w:rsidRPr="001E0E25" w:rsidRDefault="000A19DC" w:rsidP="000A19DC">
                              <w:pPr>
                                <w:jc w:val="center"/>
                                <w:rPr>
                                  <w:rFonts w:asciiTheme="minorHAnsi" w:hAnsiTheme="minorHAnsi" w:cstheme="minorHAnsi"/>
                                  <w:szCs w:val="20"/>
                                </w:rPr>
                              </w:pPr>
                              <w:r w:rsidRPr="001E0E25">
                                <w:rPr>
                                  <w:rFonts w:asciiTheme="minorHAnsi" w:hAnsiTheme="minorHAnsi" w:cstheme="minorHAnsi"/>
                                  <w:szCs w:val="20"/>
                                </w:rPr>
                                <w:t>Ideal coverage</w:t>
                              </w:r>
                            </w:p>
                          </w:txbxContent>
                        </wps:txbx>
                        <wps:bodyPr rot="0" vert="horz" wrap="square" lIns="91440" tIns="45720" rIns="91440" bIns="45720" anchor="t" anchorCtr="0">
                          <a:noAutofit/>
                        </wps:bodyPr>
                      </wps:wsp>
                      <wps:wsp>
                        <wps:cNvPr id="883178435" name="Text Box 2"/>
                        <wps:cNvSpPr txBox="1">
                          <a:spLocks noChangeArrowheads="1"/>
                        </wps:cNvSpPr>
                        <wps:spPr bwMode="auto">
                          <a:xfrm>
                            <a:off x="2546030" y="-1"/>
                            <a:ext cx="1272487" cy="385140"/>
                          </a:xfrm>
                          <a:prstGeom prst="rect">
                            <a:avLst/>
                          </a:prstGeom>
                          <a:solidFill>
                            <a:srgbClr val="FFFFFF"/>
                          </a:solidFill>
                          <a:ln w="9525">
                            <a:noFill/>
                            <a:miter lim="800000"/>
                            <a:headEnd/>
                            <a:tailEnd/>
                          </a:ln>
                        </wps:spPr>
                        <wps:txbx>
                          <w:txbxContent>
                            <w:p w14:paraId="0E0C78E8" w14:textId="77777777" w:rsidR="000A19DC" w:rsidRPr="001E0E25" w:rsidRDefault="000A19DC" w:rsidP="000A19DC">
                              <w:pPr>
                                <w:jc w:val="center"/>
                                <w:rPr>
                                  <w:rFonts w:asciiTheme="minorHAnsi" w:hAnsiTheme="minorHAnsi" w:cstheme="minorHAnsi"/>
                                  <w:szCs w:val="20"/>
                                </w:rPr>
                              </w:pPr>
                              <w:r>
                                <w:rPr>
                                  <w:rFonts w:asciiTheme="minorHAnsi" w:hAnsiTheme="minorHAnsi" w:cstheme="minorHAnsi"/>
                                  <w:szCs w:val="20"/>
                                </w:rPr>
                                <w:t>Too low</w:t>
                              </w:r>
                            </w:p>
                          </w:txbxContent>
                        </wps:txbx>
                        <wps:bodyPr rot="0" vert="horz" wrap="square" lIns="91440" tIns="45720" rIns="91440" bIns="45720" anchor="t" anchorCtr="0">
                          <a:noAutofit/>
                        </wps:bodyPr>
                      </wps:wsp>
                      <wps:wsp>
                        <wps:cNvPr id="505287494" name="Text Box 2"/>
                        <wps:cNvSpPr txBox="1">
                          <a:spLocks noChangeArrowheads="1"/>
                        </wps:cNvSpPr>
                        <wps:spPr bwMode="auto">
                          <a:xfrm>
                            <a:off x="83831" y="12788"/>
                            <a:ext cx="1272487" cy="358088"/>
                          </a:xfrm>
                          <a:prstGeom prst="rect">
                            <a:avLst/>
                          </a:prstGeom>
                          <a:solidFill>
                            <a:srgbClr val="FFFFFF"/>
                          </a:solidFill>
                          <a:ln w="9525">
                            <a:noFill/>
                            <a:miter lim="800000"/>
                            <a:headEnd/>
                            <a:tailEnd/>
                          </a:ln>
                        </wps:spPr>
                        <wps:txbx>
                          <w:txbxContent>
                            <w:p w14:paraId="0F872291" w14:textId="77777777" w:rsidR="000A19DC" w:rsidRPr="001E0E25" w:rsidRDefault="000A19DC" w:rsidP="000A19DC">
                              <w:pPr>
                                <w:jc w:val="center"/>
                                <w:rPr>
                                  <w:rFonts w:asciiTheme="minorHAnsi" w:hAnsiTheme="minorHAnsi" w:cstheme="minorHAnsi"/>
                                  <w:szCs w:val="20"/>
                                </w:rPr>
                              </w:pPr>
                              <w:r>
                                <w:rPr>
                                  <w:rFonts w:asciiTheme="minorHAnsi" w:hAnsiTheme="minorHAnsi" w:cstheme="minorHAnsi"/>
                                  <w:szCs w:val="20"/>
                                </w:rPr>
                                <w:t>Too high</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F6020F8" id="Group 2" o:spid="_x0000_s1026" style="position:absolute;left:0;text-align:left;margin-left:94.2pt;margin-top:175.8pt;width:294.05pt;height:20.25pt;z-index:251659264;mso-position-horizontal-relative:margin;mso-width-relative:margin;mso-height-relative:margin" coordorigin="838" coordsize="37346,3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">
                <v:shapetype id="_x0000_t202" coordsize="21600,21600" o:spt="202" path="m,l,21600r21600,l21600,xe">
                  <v:stroke joinstyle="miter"/>
                  <v:path gradientshapeok="t" o:connecttype="rect"/>
                </v:shapetype>
                <v:shape id="Text Box 2" o:spid="_x0000_s1027" type="#_x0000_t202" style="position:absolute;left:13428;top:127;width:12725;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" stroked="f">
                  <v:textbox>
                    <w:txbxContent>
                      <w:p w14:paraId="2AFEDA61" w14:textId="77777777" w:rsidR="000A19DC" w:rsidRPr="001E0E25" w:rsidRDefault="000A19DC" w:rsidP="000A19DC">
                        <w:pPr>
                          <w:jc w:val="center"/>
                          <w:rPr>
                            <w:rFonts w:asciiTheme="minorHAnsi" w:hAnsiTheme="minorHAnsi" w:cstheme="minorHAnsi"/>
                            <w:szCs w:val="20"/>
                          </w:rPr>
                        </w:pPr>
                        <w:r w:rsidRPr="001E0E25">
                          <w:rPr>
                            <w:rFonts w:asciiTheme="minorHAnsi" w:hAnsiTheme="minorHAnsi" w:cstheme="minorHAnsi"/>
                            <w:szCs w:val="20"/>
                          </w:rPr>
                          <w:t>Ideal coverage</w:t>
                        </w:r>
                      </w:p>
                    </w:txbxContent>
                  </v:textbox>
                </v:shape>
                <v:shape id="Text Box 2" o:spid="_x0000_s1028" type="#_x0000_t202" style="position:absolute;left:25460;width:12725;height:3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" stroked="f">
                  <v:textbox>
                    <w:txbxContent>
                      <w:p w14:paraId="0E0C78E8" w14:textId="77777777" w:rsidR="000A19DC" w:rsidRPr="001E0E25" w:rsidRDefault="000A19DC" w:rsidP="000A19DC">
                        <w:pPr>
                          <w:jc w:val="center"/>
                          <w:rPr>
                            <w:rFonts w:asciiTheme="minorHAnsi" w:hAnsiTheme="minorHAnsi" w:cstheme="minorHAnsi"/>
                            <w:szCs w:val="20"/>
                          </w:rPr>
                        </w:pPr>
                        <w:r>
                          <w:rPr>
                            <w:rFonts w:asciiTheme="minorHAnsi" w:hAnsiTheme="minorHAnsi" w:cstheme="minorHAnsi"/>
                            <w:szCs w:val="20"/>
                          </w:rPr>
                          <w:t>Too low</w:t>
                        </w:r>
                      </w:p>
                    </w:txbxContent>
                  </v:textbox>
                </v:shape>
                <v:shape id="Text Box 2" o:spid="_x0000_s1029" type="#_x0000_t202" style="position:absolute;left:838;top:127;width:12725;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" stroked="f">
                  <v:textbox>
                    <w:txbxContent>
                      <w:p w14:paraId="0F872291" w14:textId="77777777" w:rsidR="000A19DC" w:rsidRPr="001E0E25" w:rsidRDefault="000A19DC" w:rsidP="000A19DC">
                        <w:pPr>
                          <w:jc w:val="center"/>
                          <w:rPr>
                            <w:rFonts w:asciiTheme="minorHAnsi" w:hAnsiTheme="minorHAnsi" w:cstheme="minorHAnsi"/>
                            <w:szCs w:val="20"/>
                          </w:rPr>
                        </w:pPr>
                        <w:r>
                          <w:rPr>
                            <w:rFonts w:asciiTheme="minorHAnsi" w:hAnsiTheme="minorHAnsi" w:cstheme="minorHAnsi"/>
                            <w:szCs w:val="20"/>
                          </w:rPr>
                          <w:t>Too high</w:t>
                        </w:r>
                      </w:p>
                    </w:txbxContent>
                  </v:textbox>
                </v:shape>
                <w10:wrap anchorx="margin"/>
              </v:group>
            </w:pict>
          </mc:Fallback>
        </mc:AlternateContent>
      </w:r>
      <w:r w:rsidRPr="00F6014C">
        <w:rPr>
          <w:rFonts w:cs="Arial"/>
          <w:szCs w:val="20"/>
        </w:rPr>
        <w:t>The picture below shows potential spray coverage. Whilst the coverage on the left card below may be ideal for a fungicide, ideal coverage for Accede is shown on the middle card, with the coverage on the right card being too light.</w:t>
      </w:r>
    </w:p>
    <w:p w14:paraId="0B67F377" w14:textId="77777777" w:rsidR="00274331" w:rsidRPr="00F6014C" w:rsidRDefault="00274331" w:rsidP="000A19DC">
      <w:pPr>
        <w:spacing w:after="160" w:line="259" w:lineRule="auto"/>
        <w:ind w:left="142" w:right="712"/>
        <w:rPr>
          <w:rFonts w:cs="Arial"/>
          <w:szCs w:val="20"/>
        </w:rPr>
      </w:pPr>
    </w:p>
    <w:p w14:paraId="4BCC8FC7" w14:textId="77777777" w:rsidR="000A19DC" w:rsidRPr="00F6014C" w:rsidRDefault="000A19DC" w:rsidP="000A19DC">
      <w:pPr>
        <w:spacing w:after="160" w:line="259" w:lineRule="auto"/>
        <w:ind w:left="142" w:right="712"/>
        <w:jc w:val="center"/>
        <w:rPr>
          <w:rFonts w:cs="Arial"/>
          <w:b/>
          <w:bCs/>
          <w:szCs w:val="20"/>
        </w:rPr>
      </w:pPr>
    </w:p>
    <w:p w14:paraId="01B49C10" w14:textId="77777777" w:rsidR="000A19DC" w:rsidRPr="00F6014C" w:rsidRDefault="000A19DC" w:rsidP="000A19DC">
      <w:pPr>
        <w:ind w:left="142" w:right="712"/>
        <w:rPr>
          <w:rFonts w:cs="Arial"/>
          <w:szCs w:val="20"/>
        </w:rPr>
      </w:pPr>
    </w:p>
    <w:p w14:paraId="08D3D254" w14:textId="77777777" w:rsidR="000A19DC" w:rsidRDefault="000A19DC" w:rsidP="000A19DC">
      <w:pPr>
        <w:spacing w:before="80"/>
        <w:ind w:left="142" w:right="712"/>
        <w:jc w:val="both"/>
        <w:rPr>
          <w:b/>
          <w:bCs/>
          <w:szCs w:val="20"/>
        </w:rPr>
      </w:pPr>
      <w:r w:rsidRPr="00F6014C">
        <w:rPr>
          <w:rFonts w:cs="Arial"/>
          <w:b/>
          <w:bCs/>
          <w:szCs w:val="20"/>
        </w:rPr>
        <w:t>MIXING</w:t>
      </w:r>
    </w:p>
    <w:p w14:paraId="75A93ADC" w14:textId="77777777" w:rsidR="00D45129" w:rsidRPr="00D45129" w:rsidRDefault="00D45129" w:rsidP="00D45129">
      <w:pPr>
        <w:spacing w:before="80"/>
        <w:ind w:left="142" w:right="712"/>
        <w:jc w:val="both"/>
        <w:rPr>
          <w:rFonts w:cs="Arial"/>
          <w:szCs w:val="20"/>
        </w:rPr>
      </w:pPr>
      <w:r w:rsidRPr="00D45129">
        <w:rPr>
          <w:rFonts w:cs="Arial"/>
          <w:szCs w:val="20"/>
        </w:rPr>
        <w:t xml:space="preserve">This product is suitable for application through conventional spray equipment calibrated to ensure thorough crop coverage. </w:t>
      </w:r>
    </w:p>
    <w:p w14:paraId="7843F6B7" w14:textId="5F0FF7D1" w:rsidR="00D45129" w:rsidRPr="00D45129" w:rsidRDefault="00D45129" w:rsidP="00D45129">
      <w:pPr>
        <w:spacing w:before="80"/>
        <w:ind w:left="142" w:right="712"/>
        <w:jc w:val="both"/>
        <w:rPr>
          <w:rFonts w:cs="Arial"/>
          <w:szCs w:val="20"/>
        </w:rPr>
      </w:pPr>
      <w:r w:rsidRPr="00D45129">
        <w:rPr>
          <w:rFonts w:cs="Arial"/>
          <w:b/>
          <w:bCs/>
          <w:szCs w:val="20"/>
        </w:rPr>
        <w:t>DO NOT</w:t>
      </w:r>
      <w:r w:rsidRPr="00D45129">
        <w:rPr>
          <w:rFonts w:cs="Arial"/>
          <w:szCs w:val="20"/>
        </w:rPr>
        <w:t xml:space="preserve"> pre-mix Accede with water as a concentrate in a small container before adding to the spray tank, as this can cause crystallization.</w:t>
      </w:r>
    </w:p>
    <w:p w14:paraId="625CC0CA" w14:textId="66E1D325" w:rsidR="00D45129" w:rsidRPr="00D45129" w:rsidRDefault="00D45129" w:rsidP="00D45129">
      <w:pPr>
        <w:spacing w:before="80"/>
        <w:ind w:left="142" w:right="712"/>
        <w:jc w:val="both"/>
        <w:rPr>
          <w:rFonts w:cs="Arial"/>
          <w:szCs w:val="20"/>
        </w:rPr>
      </w:pPr>
      <w:r w:rsidRPr="00D45129">
        <w:rPr>
          <w:rFonts w:cs="Arial"/>
          <w:szCs w:val="20"/>
        </w:rPr>
        <w:t>Prepare spray solution by mixing the Accede and non-ionic surfactant with water in a clean, empty spray tank. First nearly fill the spray tank before adding the required amount of Accede and surfactant with the agitator running then complete filling the tank with water. Continue thorough agitation during spraying and after a stoppage.</w:t>
      </w:r>
    </w:p>
    <w:p w14:paraId="1B5CFE65" w14:textId="77777777" w:rsidR="00D45129" w:rsidRPr="00D45129" w:rsidRDefault="00D45129" w:rsidP="00D45129">
      <w:pPr>
        <w:spacing w:before="80"/>
        <w:ind w:left="142" w:right="712"/>
        <w:jc w:val="both"/>
        <w:rPr>
          <w:rFonts w:cs="Arial"/>
          <w:szCs w:val="20"/>
        </w:rPr>
      </w:pPr>
      <w:r w:rsidRPr="00D45129">
        <w:rPr>
          <w:rFonts w:cs="Arial"/>
          <w:szCs w:val="20"/>
        </w:rPr>
        <w:t xml:space="preserve">Maintain the spray solution pH between 5 and 8. </w:t>
      </w:r>
    </w:p>
    <w:p w14:paraId="34D425F2" w14:textId="59982994" w:rsidR="000A19DC" w:rsidRPr="00F6014C" w:rsidRDefault="00D45129" w:rsidP="00D45129">
      <w:pPr>
        <w:spacing w:before="80"/>
        <w:ind w:left="142" w:right="712"/>
        <w:jc w:val="both"/>
        <w:rPr>
          <w:rFonts w:cs="Arial"/>
          <w:szCs w:val="20"/>
        </w:rPr>
      </w:pPr>
      <w:r w:rsidRPr="00D45129">
        <w:rPr>
          <w:rFonts w:cs="Arial"/>
          <w:szCs w:val="20"/>
        </w:rPr>
        <w:t xml:space="preserve">Dispose of any unused spray material at the end of each day. </w:t>
      </w:r>
      <w:r w:rsidRPr="00D45129">
        <w:rPr>
          <w:rFonts w:cs="Arial"/>
          <w:b/>
          <w:bCs/>
          <w:szCs w:val="20"/>
        </w:rPr>
        <w:t>DO NOT</w:t>
      </w:r>
      <w:r w:rsidRPr="00D45129">
        <w:rPr>
          <w:rFonts w:cs="Arial"/>
          <w:szCs w:val="20"/>
        </w:rPr>
        <w:t xml:space="preserve"> let prepared spray solution sit in spray tank overnight.</w:t>
      </w:r>
    </w:p>
    <w:p w14:paraId="49C0859D" w14:textId="77777777" w:rsidR="000A19DC" w:rsidRPr="00F6014C" w:rsidRDefault="000A19DC" w:rsidP="000A19DC">
      <w:pPr>
        <w:spacing w:before="80"/>
        <w:ind w:left="142" w:right="712"/>
        <w:jc w:val="both"/>
        <w:rPr>
          <w:rFonts w:cs="Arial"/>
          <w:szCs w:val="20"/>
        </w:rPr>
      </w:pPr>
    </w:p>
    <w:p w14:paraId="79D2A38F" w14:textId="77777777" w:rsidR="000A19DC" w:rsidRDefault="000A19DC" w:rsidP="000A19DC">
      <w:pPr>
        <w:keepNext/>
        <w:keepLines/>
        <w:spacing w:before="80"/>
        <w:ind w:left="142" w:right="712"/>
        <w:rPr>
          <w:b/>
          <w:bCs/>
          <w:szCs w:val="20"/>
        </w:rPr>
      </w:pPr>
      <w:r w:rsidRPr="00F6014C">
        <w:rPr>
          <w:rFonts w:cs="Arial"/>
          <w:b/>
          <w:bCs/>
          <w:szCs w:val="20"/>
        </w:rPr>
        <w:t>SURFACTANT</w:t>
      </w:r>
    </w:p>
    <w:p w14:paraId="0AF71BED" w14:textId="77777777" w:rsidR="000E52D8" w:rsidRDefault="000A19DC" w:rsidP="000A19DC">
      <w:pPr>
        <w:keepNext/>
        <w:keepLines/>
        <w:spacing w:before="80"/>
        <w:ind w:left="142" w:right="712"/>
        <w:rPr>
          <w:rFonts w:cs="Arial"/>
          <w:szCs w:val="20"/>
        </w:rPr>
      </w:pPr>
      <w:r w:rsidRPr="00F6014C">
        <w:rPr>
          <w:rFonts w:cs="Arial"/>
          <w:szCs w:val="20"/>
        </w:rPr>
        <w:t xml:space="preserve">Use of a tree-fruit safe non-ionic surfactant such as Pomade* at 50 mL/100L is recommended with Accede. </w:t>
      </w:r>
    </w:p>
    <w:p w14:paraId="20D9A8C0" w14:textId="36E504D4" w:rsidR="000A19DC" w:rsidRPr="00F6014C" w:rsidRDefault="000A19DC" w:rsidP="000A19DC">
      <w:pPr>
        <w:keepNext/>
        <w:keepLines/>
        <w:spacing w:before="80"/>
        <w:ind w:left="142" w:right="712"/>
        <w:rPr>
          <w:rFonts w:cs="Arial"/>
          <w:szCs w:val="20"/>
        </w:rPr>
      </w:pPr>
      <w:r w:rsidRPr="00F6014C">
        <w:rPr>
          <w:rFonts w:cs="Arial"/>
          <w:b/>
          <w:bCs/>
          <w:szCs w:val="20"/>
        </w:rPr>
        <w:t>DO NOT</w:t>
      </w:r>
      <w:r w:rsidRPr="00F6014C">
        <w:rPr>
          <w:rFonts w:cs="Arial"/>
          <w:szCs w:val="20"/>
        </w:rPr>
        <w:t xml:space="preserve"> use higher rates of surfactant as this may increase the likelihood of phytotoxicity.</w:t>
      </w:r>
    </w:p>
    <w:p w14:paraId="592B94B5" w14:textId="77777777" w:rsidR="000A19DC" w:rsidRPr="00F6014C" w:rsidRDefault="000A19DC" w:rsidP="000A19DC">
      <w:pPr>
        <w:spacing w:before="80"/>
        <w:ind w:left="142" w:right="712"/>
        <w:jc w:val="both"/>
        <w:rPr>
          <w:rFonts w:cs="Arial"/>
          <w:szCs w:val="20"/>
        </w:rPr>
      </w:pPr>
    </w:p>
    <w:p w14:paraId="77F4BE1D" w14:textId="77777777" w:rsidR="000A19DC" w:rsidRDefault="000A19DC" w:rsidP="000A19DC">
      <w:pPr>
        <w:spacing w:before="80"/>
        <w:ind w:left="142" w:right="712"/>
        <w:jc w:val="both"/>
        <w:rPr>
          <w:b/>
          <w:bCs/>
          <w:szCs w:val="20"/>
        </w:rPr>
      </w:pPr>
      <w:r w:rsidRPr="00F6014C">
        <w:rPr>
          <w:rFonts w:cs="Arial"/>
          <w:b/>
          <w:bCs/>
          <w:szCs w:val="20"/>
        </w:rPr>
        <w:t>COMPATIBILITY</w:t>
      </w:r>
      <w:r>
        <w:rPr>
          <w:b/>
          <w:bCs/>
          <w:szCs w:val="20"/>
        </w:rPr>
        <w:t xml:space="preserve"> WARNING</w:t>
      </w:r>
    </w:p>
    <w:p w14:paraId="33D02811" w14:textId="72BFB031" w:rsidR="003F67BE" w:rsidRDefault="000A19DC" w:rsidP="00AA5A11">
      <w:pPr>
        <w:spacing w:before="80"/>
        <w:ind w:left="142" w:right="712"/>
        <w:jc w:val="both"/>
        <w:sectPr w:rsidR="003F67BE" w:rsidSect="00274331">
          <w:headerReference w:type="default" r:id="rId43"/>
          <w:pgSz w:w="11906" w:h="16838" w:code="9"/>
          <w:pgMar w:top="2835" w:right="1134" w:bottom="1134" w:left="1134" w:header="1701" w:footer="680" w:gutter="0"/>
          <w:cols w:space="708"/>
          <w:docGrid w:linePitch="360"/>
        </w:sectPr>
      </w:pPr>
      <w:r w:rsidRPr="00F6014C">
        <w:rPr>
          <w:rFonts w:cs="Arial"/>
          <w:b/>
          <w:bCs/>
          <w:szCs w:val="20"/>
        </w:rPr>
        <w:t>DO NOT</w:t>
      </w:r>
      <w:r w:rsidRPr="00F6014C">
        <w:rPr>
          <w:rFonts w:cs="Arial"/>
          <w:szCs w:val="20"/>
        </w:rPr>
        <w:t xml:space="preserve"> tank mix Accede with other products unless physical and performance compatibility has been verified.</w:t>
      </w:r>
    </w:p>
    <w:p w14:paraId="539DD3DD" w14:textId="60CCAC74" w:rsidR="009346C3" w:rsidRDefault="00CA5B2B" w:rsidP="009346C3">
      <w:pPr>
        <w:pStyle w:val="APVMAAppendixH1"/>
      </w:pPr>
      <w:bookmarkStart w:id="169" w:name="_Toc228527319"/>
      <w:r>
        <w:lastRenderedPageBreak/>
        <w:t>Acronyms and abbreviations</w:t>
      </w:r>
      <w:bookmarkEnd w:id="169"/>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317"/>
        <w:gridCol w:w="179"/>
      </w:tblGrid>
      <w:tr w:rsidR="00CA5B2B" w14:paraId="4104B89C" w14:textId="77777777" w:rsidTr="00772458">
        <w:trPr>
          <w:tblHeader/>
        </w:trPr>
        <w:tc>
          <w:tcPr>
            <w:tcW w:w="1111" w:type="pct"/>
            <w:shd w:val="clear" w:color="auto" w:fill="00747A"/>
          </w:tcPr>
          <w:p w14:paraId="4E2D1330" w14:textId="56046BEA" w:rsidR="00CA5B2B" w:rsidRDefault="00CA5B2B" w:rsidP="009D0723">
            <w:pPr>
              <w:pStyle w:val="APVMATableHead"/>
            </w:pPr>
            <w:r>
              <w:t>Shortened term</w:t>
            </w:r>
          </w:p>
        </w:tc>
        <w:tc>
          <w:tcPr>
            <w:tcW w:w="3889" w:type="pct"/>
            <w:gridSpan w:val="2"/>
            <w:shd w:val="clear" w:color="auto" w:fill="00747A"/>
          </w:tcPr>
          <w:p w14:paraId="3245F640" w14:textId="0FC73B22" w:rsidR="00CA5B2B" w:rsidRDefault="00CA5B2B" w:rsidP="009D0723">
            <w:pPr>
              <w:pStyle w:val="APVMATableHead"/>
            </w:pPr>
            <w:r>
              <w:t>Full term</w:t>
            </w:r>
          </w:p>
        </w:tc>
      </w:tr>
      <w:tr w:rsidR="009346C3" w14:paraId="0841A030" w14:textId="77777777" w:rsidTr="00772458">
        <w:tc>
          <w:tcPr>
            <w:tcW w:w="1111" w:type="pct"/>
          </w:tcPr>
          <w:p w14:paraId="688B062C" w14:textId="77777777" w:rsidR="009346C3" w:rsidRDefault="009346C3" w:rsidP="00323CDE">
            <w:pPr>
              <w:pStyle w:val="APVMATableText"/>
            </w:pPr>
            <w:r>
              <w:t>ACCS/ACMS</w:t>
            </w:r>
          </w:p>
        </w:tc>
        <w:tc>
          <w:tcPr>
            <w:tcW w:w="3889" w:type="pct"/>
            <w:gridSpan w:val="2"/>
          </w:tcPr>
          <w:p w14:paraId="3878AAEA" w14:textId="77777777" w:rsidR="009346C3" w:rsidRDefault="009346C3" w:rsidP="00323CDE">
            <w:pPr>
              <w:pStyle w:val="APVMATableText"/>
            </w:pPr>
            <w:r>
              <w:t>Advisory Committee for Chemicals Scheduling/Advisory Committee for Medicines Scheduling</w:t>
            </w:r>
          </w:p>
        </w:tc>
      </w:tr>
      <w:tr w:rsidR="009346C3" w14:paraId="43F93192" w14:textId="77777777" w:rsidTr="00772458">
        <w:tc>
          <w:tcPr>
            <w:tcW w:w="1111" w:type="pct"/>
          </w:tcPr>
          <w:p w14:paraId="58AB085C" w14:textId="77777777" w:rsidR="009346C3" w:rsidRDefault="009346C3" w:rsidP="00323CDE">
            <w:pPr>
              <w:pStyle w:val="APVMATableText"/>
            </w:pPr>
            <w:r>
              <w:t>ac</w:t>
            </w:r>
          </w:p>
        </w:tc>
        <w:tc>
          <w:tcPr>
            <w:tcW w:w="3889" w:type="pct"/>
            <w:gridSpan w:val="2"/>
          </w:tcPr>
          <w:p w14:paraId="346C90BB" w14:textId="5A27B9FE" w:rsidR="009346C3" w:rsidRDefault="00B32A6B" w:rsidP="00323CDE">
            <w:pPr>
              <w:pStyle w:val="APVMATableText"/>
            </w:pPr>
            <w:r>
              <w:t xml:space="preserve">Active </w:t>
            </w:r>
            <w:r w:rsidR="009346C3">
              <w:t>constituent</w:t>
            </w:r>
          </w:p>
        </w:tc>
      </w:tr>
      <w:tr w:rsidR="0074652C" w14:paraId="7A18072C" w14:textId="77777777" w:rsidTr="00772458">
        <w:tc>
          <w:tcPr>
            <w:tcW w:w="1111" w:type="pct"/>
          </w:tcPr>
          <w:p w14:paraId="6C21A417" w14:textId="2CD51076" w:rsidR="0074652C" w:rsidRDefault="0074652C" w:rsidP="00323CDE">
            <w:pPr>
              <w:pStyle w:val="APVMATableText"/>
            </w:pPr>
            <w:r>
              <w:t>ACC</w:t>
            </w:r>
          </w:p>
        </w:tc>
        <w:tc>
          <w:tcPr>
            <w:tcW w:w="3889" w:type="pct"/>
            <w:gridSpan w:val="2"/>
          </w:tcPr>
          <w:p w14:paraId="61A10A61" w14:textId="5173820D" w:rsidR="0074652C" w:rsidRDefault="0074652C" w:rsidP="00323CDE">
            <w:pPr>
              <w:pStyle w:val="APVMATableText"/>
            </w:pPr>
            <w:r w:rsidRPr="0074652C">
              <w:t>1-aminocyclpropane-1-carboxylic acid</w:t>
            </w:r>
          </w:p>
        </w:tc>
      </w:tr>
      <w:tr w:rsidR="009346C3" w14:paraId="4EB75F55" w14:textId="77777777" w:rsidTr="00772458">
        <w:tc>
          <w:tcPr>
            <w:tcW w:w="1111" w:type="pct"/>
          </w:tcPr>
          <w:p w14:paraId="49EF8D7F" w14:textId="77777777" w:rsidR="009346C3" w:rsidRDefault="009346C3" w:rsidP="00323CDE">
            <w:pPr>
              <w:pStyle w:val="APVMATableText"/>
            </w:pPr>
            <w:r>
              <w:t>ADI</w:t>
            </w:r>
          </w:p>
        </w:tc>
        <w:tc>
          <w:tcPr>
            <w:tcW w:w="3889" w:type="pct"/>
            <w:gridSpan w:val="2"/>
          </w:tcPr>
          <w:p w14:paraId="06142AB7" w14:textId="4722663F" w:rsidR="009346C3" w:rsidRDefault="009346C3" w:rsidP="00323CDE">
            <w:pPr>
              <w:pStyle w:val="APVMATableText"/>
            </w:pPr>
            <w:r>
              <w:t xml:space="preserve">Acceptable </w:t>
            </w:r>
            <w:r w:rsidR="00B32A6B">
              <w:t xml:space="preserve">daily intake </w:t>
            </w:r>
            <w:r>
              <w:t>(for humans)</w:t>
            </w:r>
          </w:p>
        </w:tc>
      </w:tr>
      <w:tr w:rsidR="009346C3" w14:paraId="2E5E043F" w14:textId="77777777" w:rsidTr="00772458">
        <w:tc>
          <w:tcPr>
            <w:tcW w:w="1111" w:type="pct"/>
          </w:tcPr>
          <w:p w14:paraId="759D288A" w14:textId="77777777" w:rsidR="009346C3" w:rsidRDefault="009346C3" w:rsidP="00323CDE">
            <w:pPr>
              <w:pStyle w:val="APVMATableText"/>
            </w:pPr>
            <w:r>
              <w:t>ai</w:t>
            </w:r>
          </w:p>
        </w:tc>
        <w:tc>
          <w:tcPr>
            <w:tcW w:w="3889" w:type="pct"/>
            <w:gridSpan w:val="2"/>
          </w:tcPr>
          <w:p w14:paraId="29293EE1" w14:textId="74CC10CE" w:rsidR="009346C3" w:rsidRDefault="00B32A6B" w:rsidP="00323CDE">
            <w:pPr>
              <w:pStyle w:val="APVMATableText"/>
            </w:pPr>
            <w:r>
              <w:t xml:space="preserve">Active </w:t>
            </w:r>
            <w:r w:rsidR="009346C3">
              <w:t>ingredient</w:t>
            </w:r>
          </w:p>
        </w:tc>
      </w:tr>
      <w:tr w:rsidR="009346C3" w14:paraId="4C827D2D" w14:textId="77777777" w:rsidTr="00772458">
        <w:tc>
          <w:tcPr>
            <w:tcW w:w="1111" w:type="pct"/>
          </w:tcPr>
          <w:p w14:paraId="67D5BBCD" w14:textId="77777777" w:rsidR="009346C3" w:rsidRDefault="009346C3" w:rsidP="00323CDE">
            <w:pPr>
              <w:pStyle w:val="APVMATableText"/>
            </w:pPr>
            <w:r>
              <w:t>ARfD</w:t>
            </w:r>
          </w:p>
        </w:tc>
        <w:tc>
          <w:tcPr>
            <w:tcW w:w="3889" w:type="pct"/>
            <w:gridSpan w:val="2"/>
          </w:tcPr>
          <w:p w14:paraId="0D929C4A" w14:textId="0200C4CD" w:rsidR="009346C3" w:rsidRDefault="009346C3" w:rsidP="00323CDE">
            <w:pPr>
              <w:pStyle w:val="APVMATableText"/>
            </w:pPr>
            <w:r>
              <w:t xml:space="preserve">Acute </w:t>
            </w:r>
            <w:r w:rsidR="00B32A6B">
              <w:t>reference dose</w:t>
            </w:r>
          </w:p>
        </w:tc>
      </w:tr>
      <w:tr w:rsidR="009346C3" w14:paraId="4B25EDD9" w14:textId="77777777" w:rsidTr="00772458">
        <w:tc>
          <w:tcPr>
            <w:tcW w:w="1111" w:type="pct"/>
          </w:tcPr>
          <w:p w14:paraId="45090D53" w14:textId="77777777" w:rsidR="009346C3" w:rsidRDefault="009346C3" w:rsidP="00323CDE">
            <w:pPr>
              <w:pStyle w:val="APVMATableText"/>
            </w:pPr>
            <w:r>
              <w:t>BBA</w:t>
            </w:r>
          </w:p>
        </w:tc>
        <w:tc>
          <w:tcPr>
            <w:tcW w:w="3889" w:type="pct"/>
            <w:gridSpan w:val="2"/>
          </w:tcPr>
          <w:p w14:paraId="07510B2A" w14:textId="585110DB" w:rsidR="009346C3" w:rsidRDefault="009346C3" w:rsidP="007B74E9">
            <w:pPr>
              <w:pStyle w:val="APVMATableText"/>
            </w:pPr>
            <w:proofErr w:type="spellStart"/>
            <w:r>
              <w:t>Biologische</w:t>
            </w:r>
            <w:proofErr w:type="spellEnd"/>
            <w:r>
              <w:t xml:space="preserve"> </w:t>
            </w:r>
            <w:proofErr w:type="spellStart"/>
            <w:r>
              <w:t>Bundesanalstalt</w:t>
            </w:r>
            <w:proofErr w:type="spellEnd"/>
            <w:r>
              <w:t xml:space="preserve"> fur Land</w:t>
            </w:r>
            <w:r w:rsidR="00B32A6B">
              <w:t xml:space="preserve"> – </w:t>
            </w:r>
            <w:r>
              <w:t xml:space="preserve">und </w:t>
            </w:r>
            <w:proofErr w:type="spellStart"/>
            <w:r>
              <w:t>forstwirschaft</w:t>
            </w:r>
            <w:proofErr w:type="spellEnd"/>
          </w:p>
        </w:tc>
      </w:tr>
      <w:tr w:rsidR="009346C3" w14:paraId="32E7A549" w14:textId="77777777" w:rsidTr="00772458">
        <w:tc>
          <w:tcPr>
            <w:tcW w:w="1111" w:type="pct"/>
          </w:tcPr>
          <w:p w14:paraId="09228264" w14:textId="77777777" w:rsidR="009346C3" w:rsidRDefault="009346C3" w:rsidP="00323CDE">
            <w:pPr>
              <w:pStyle w:val="APVMATableText"/>
            </w:pPr>
            <w:r>
              <w:t>bw</w:t>
            </w:r>
          </w:p>
        </w:tc>
        <w:tc>
          <w:tcPr>
            <w:tcW w:w="3889" w:type="pct"/>
            <w:gridSpan w:val="2"/>
          </w:tcPr>
          <w:p w14:paraId="0BF0E0AB" w14:textId="77777777" w:rsidR="009346C3" w:rsidRDefault="00F84654" w:rsidP="00323CDE">
            <w:pPr>
              <w:pStyle w:val="APVMATableText"/>
            </w:pPr>
            <w:r>
              <w:t>B</w:t>
            </w:r>
            <w:r w:rsidR="009346C3">
              <w:t>odyweight</w:t>
            </w:r>
          </w:p>
        </w:tc>
      </w:tr>
      <w:tr w:rsidR="009346C3" w14:paraId="162E6F03" w14:textId="77777777" w:rsidTr="00772458">
        <w:tc>
          <w:tcPr>
            <w:tcW w:w="1111" w:type="pct"/>
          </w:tcPr>
          <w:p w14:paraId="7BBCBEF4" w14:textId="77777777" w:rsidR="009346C3" w:rsidRDefault="009346C3" w:rsidP="00323CDE">
            <w:pPr>
              <w:pStyle w:val="APVMATableText"/>
            </w:pPr>
            <w:r>
              <w:t>d</w:t>
            </w:r>
          </w:p>
        </w:tc>
        <w:tc>
          <w:tcPr>
            <w:tcW w:w="3889" w:type="pct"/>
            <w:gridSpan w:val="2"/>
          </w:tcPr>
          <w:p w14:paraId="12F683E4" w14:textId="77777777" w:rsidR="009346C3" w:rsidRDefault="00F84654" w:rsidP="00323CDE">
            <w:pPr>
              <w:pStyle w:val="APVMATableText"/>
            </w:pPr>
            <w:r>
              <w:t>D</w:t>
            </w:r>
            <w:r w:rsidR="009346C3">
              <w:t>ay</w:t>
            </w:r>
          </w:p>
        </w:tc>
      </w:tr>
      <w:tr w:rsidR="009346C3" w14:paraId="52FA2517" w14:textId="77777777" w:rsidTr="00772458">
        <w:tc>
          <w:tcPr>
            <w:tcW w:w="1111" w:type="pct"/>
          </w:tcPr>
          <w:p w14:paraId="0E658DE0" w14:textId="77777777" w:rsidR="009346C3" w:rsidRDefault="009346C3" w:rsidP="00323CDE">
            <w:pPr>
              <w:pStyle w:val="APVMATableText"/>
            </w:pPr>
            <w:r>
              <w:t>DAT</w:t>
            </w:r>
          </w:p>
        </w:tc>
        <w:tc>
          <w:tcPr>
            <w:tcW w:w="3889" w:type="pct"/>
            <w:gridSpan w:val="2"/>
          </w:tcPr>
          <w:p w14:paraId="69007E4C" w14:textId="70B0BC82" w:rsidR="009346C3" w:rsidRDefault="009346C3" w:rsidP="00323CDE">
            <w:pPr>
              <w:pStyle w:val="APVMATableText"/>
            </w:pPr>
            <w:r>
              <w:t xml:space="preserve">Days </w:t>
            </w:r>
            <w:r w:rsidR="00B32A6B">
              <w:t>after treatment</w:t>
            </w:r>
          </w:p>
        </w:tc>
      </w:tr>
      <w:tr w:rsidR="009346C3" w14:paraId="4C62CFE3" w14:textId="77777777" w:rsidTr="00772458">
        <w:tc>
          <w:tcPr>
            <w:tcW w:w="1111" w:type="pct"/>
          </w:tcPr>
          <w:p w14:paraId="616DCA61" w14:textId="77777777" w:rsidR="009346C3" w:rsidRDefault="009346C3" w:rsidP="00323CDE">
            <w:pPr>
              <w:pStyle w:val="APVMATableText"/>
            </w:pPr>
            <w:r>
              <w:t>DT</w:t>
            </w:r>
            <w:r>
              <w:rPr>
                <w:vertAlign w:val="subscript"/>
              </w:rPr>
              <w:t>50</w:t>
            </w:r>
          </w:p>
        </w:tc>
        <w:tc>
          <w:tcPr>
            <w:tcW w:w="3889" w:type="pct"/>
            <w:gridSpan w:val="2"/>
          </w:tcPr>
          <w:p w14:paraId="4BF9E213" w14:textId="77777777" w:rsidR="009346C3" w:rsidRDefault="009346C3" w:rsidP="00323CDE">
            <w:pPr>
              <w:pStyle w:val="APVMATableText"/>
            </w:pPr>
            <w:r>
              <w:t>Time taken for 50% of the concentration to dissipate</w:t>
            </w:r>
          </w:p>
        </w:tc>
      </w:tr>
      <w:tr w:rsidR="009346C3" w14:paraId="372ED3D4" w14:textId="77777777" w:rsidTr="00772458">
        <w:tc>
          <w:tcPr>
            <w:tcW w:w="1111" w:type="pct"/>
          </w:tcPr>
          <w:p w14:paraId="05CE2144" w14:textId="77777777" w:rsidR="009346C3" w:rsidRDefault="009346C3" w:rsidP="00323CDE">
            <w:pPr>
              <w:pStyle w:val="APVMATableText"/>
            </w:pPr>
            <w:r>
              <w:t>EA</w:t>
            </w:r>
          </w:p>
        </w:tc>
        <w:tc>
          <w:tcPr>
            <w:tcW w:w="3889" w:type="pct"/>
            <w:gridSpan w:val="2"/>
          </w:tcPr>
          <w:p w14:paraId="4FDEF376" w14:textId="77777777" w:rsidR="009346C3" w:rsidRDefault="009346C3" w:rsidP="00323CDE">
            <w:pPr>
              <w:pStyle w:val="APVMATableText"/>
            </w:pPr>
            <w:r>
              <w:t>Environment Australia</w:t>
            </w:r>
          </w:p>
        </w:tc>
      </w:tr>
      <w:tr w:rsidR="009346C3" w14:paraId="5FF0ED49" w14:textId="77777777" w:rsidTr="00772458">
        <w:tc>
          <w:tcPr>
            <w:tcW w:w="1111" w:type="pct"/>
          </w:tcPr>
          <w:p w14:paraId="1A813D51" w14:textId="77777777" w:rsidR="009346C3" w:rsidRDefault="009346C3" w:rsidP="00323CDE">
            <w:pPr>
              <w:pStyle w:val="APVMATableText"/>
            </w:pPr>
            <w:r>
              <w:t>E</w:t>
            </w:r>
            <w:r>
              <w:rPr>
                <w:vertAlign w:val="subscript"/>
              </w:rPr>
              <w:t>b</w:t>
            </w:r>
            <w:r>
              <w:t>C</w:t>
            </w:r>
            <w:r>
              <w:rPr>
                <w:vertAlign w:val="subscript"/>
              </w:rPr>
              <w:t>50</w:t>
            </w:r>
          </w:p>
        </w:tc>
        <w:tc>
          <w:tcPr>
            <w:tcW w:w="3889" w:type="pct"/>
            <w:gridSpan w:val="2"/>
          </w:tcPr>
          <w:p w14:paraId="6B1A02F9" w14:textId="35AF1CB5" w:rsidR="009346C3" w:rsidRDefault="00B32A6B" w:rsidP="00323CDE">
            <w:pPr>
              <w:pStyle w:val="APVMATableText"/>
            </w:pPr>
            <w:r>
              <w:t xml:space="preserve">Concentration </w:t>
            </w:r>
            <w:r w:rsidR="009346C3">
              <w:t>at which the biomass of 50% of the test population is impacted</w:t>
            </w:r>
          </w:p>
        </w:tc>
      </w:tr>
      <w:tr w:rsidR="009346C3" w14:paraId="1CED134F" w14:textId="77777777" w:rsidTr="00772458">
        <w:tc>
          <w:tcPr>
            <w:tcW w:w="1111" w:type="pct"/>
          </w:tcPr>
          <w:p w14:paraId="38CBF9D6" w14:textId="77777777" w:rsidR="009346C3" w:rsidRDefault="009346C3" w:rsidP="00323CDE">
            <w:pPr>
              <w:pStyle w:val="APVMATableText"/>
            </w:pPr>
            <w:r>
              <w:t>EC</w:t>
            </w:r>
            <w:r>
              <w:rPr>
                <w:vertAlign w:val="subscript"/>
              </w:rPr>
              <w:t>50</w:t>
            </w:r>
          </w:p>
        </w:tc>
        <w:tc>
          <w:tcPr>
            <w:tcW w:w="3889" w:type="pct"/>
            <w:gridSpan w:val="2"/>
          </w:tcPr>
          <w:p w14:paraId="043C6B4D" w14:textId="19C3AB38" w:rsidR="009346C3" w:rsidRDefault="00B32A6B" w:rsidP="00323CDE">
            <w:pPr>
              <w:pStyle w:val="APVMATableText"/>
            </w:pPr>
            <w:r>
              <w:t xml:space="preserve">Concentration </w:t>
            </w:r>
            <w:r w:rsidR="009346C3">
              <w:t>at which 50% of the test population are immobilised</w:t>
            </w:r>
          </w:p>
        </w:tc>
      </w:tr>
      <w:tr w:rsidR="009346C3" w14:paraId="6973691B" w14:textId="77777777" w:rsidTr="00772458">
        <w:tc>
          <w:tcPr>
            <w:tcW w:w="1111" w:type="pct"/>
          </w:tcPr>
          <w:p w14:paraId="4E0A893A" w14:textId="77777777" w:rsidR="009346C3" w:rsidRDefault="009346C3" w:rsidP="00323CDE">
            <w:pPr>
              <w:pStyle w:val="APVMATableText"/>
            </w:pPr>
            <w:r>
              <w:t>EEC</w:t>
            </w:r>
          </w:p>
        </w:tc>
        <w:tc>
          <w:tcPr>
            <w:tcW w:w="3889" w:type="pct"/>
            <w:gridSpan w:val="2"/>
          </w:tcPr>
          <w:p w14:paraId="053F5383" w14:textId="6E84E32B" w:rsidR="009346C3" w:rsidRDefault="009346C3" w:rsidP="00323CDE">
            <w:pPr>
              <w:pStyle w:val="APVMATableText"/>
            </w:pPr>
            <w:r>
              <w:t xml:space="preserve">Estimated </w:t>
            </w:r>
            <w:r w:rsidR="00B32A6B">
              <w:t>environmental concentration</w:t>
            </w:r>
          </w:p>
        </w:tc>
      </w:tr>
      <w:tr w:rsidR="009346C3" w14:paraId="69F3ACA1" w14:textId="77777777" w:rsidTr="00772458">
        <w:tc>
          <w:tcPr>
            <w:tcW w:w="1111" w:type="pct"/>
          </w:tcPr>
          <w:p w14:paraId="0B942A92" w14:textId="77777777" w:rsidR="009346C3" w:rsidRDefault="009346C3" w:rsidP="00323CDE">
            <w:pPr>
              <w:pStyle w:val="APVMATableText"/>
            </w:pPr>
            <w:r>
              <w:t>E</w:t>
            </w:r>
            <w:r>
              <w:rPr>
                <w:vertAlign w:val="subscript"/>
              </w:rPr>
              <w:t>r</w:t>
            </w:r>
            <w:r>
              <w:t>C</w:t>
            </w:r>
            <w:r>
              <w:rPr>
                <w:vertAlign w:val="subscript"/>
              </w:rPr>
              <w:t>50</w:t>
            </w:r>
          </w:p>
        </w:tc>
        <w:tc>
          <w:tcPr>
            <w:tcW w:w="3889" w:type="pct"/>
            <w:gridSpan w:val="2"/>
          </w:tcPr>
          <w:p w14:paraId="4E31DCE2" w14:textId="5708C6C0" w:rsidR="009346C3" w:rsidRDefault="00B32A6B" w:rsidP="00323CDE">
            <w:pPr>
              <w:pStyle w:val="APVMATableText"/>
            </w:pPr>
            <w:r>
              <w:t xml:space="preserve">Concentration </w:t>
            </w:r>
            <w:r w:rsidR="009346C3">
              <w:t>at which the rate of growth of 50% of the test population is impacted</w:t>
            </w:r>
          </w:p>
        </w:tc>
      </w:tr>
      <w:tr w:rsidR="009346C3" w14:paraId="2A3B0ED4" w14:textId="77777777" w:rsidTr="00772458">
        <w:tc>
          <w:tcPr>
            <w:tcW w:w="1111" w:type="pct"/>
          </w:tcPr>
          <w:p w14:paraId="44329739" w14:textId="77777777" w:rsidR="009346C3" w:rsidRDefault="009346C3" w:rsidP="00323CDE">
            <w:pPr>
              <w:pStyle w:val="APVMATableText"/>
            </w:pPr>
            <w:r>
              <w:t>EI</w:t>
            </w:r>
          </w:p>
        </w:tc>
        <w:tc>
          <w:tcPr>
            <w:tcW w:w="3889" w:type="pct"/>
            <w:gridSpan w:val="2"/>
          </w:tcPr>
          <w:p w14:paraId="63E02D69" w14:textId="5825561E" w:rsidR="009346C3" w:rsidRDefault="009346C3" w:rsidP="00323CDE">
            <w:pPr>
              <w:pStyle w:val="APVMATableText"/>
            </w:pPr>
            <w:r>
              <w:t xml:space="preserve">Export </w:t>
            </w:r>
            <w:r w:rsidR="00B32A6B">
              <w:t>interval</w:t>
            </w:r>
          </w:p>
        </w:tc>
      </w:tr>
      <w:tr w:rsidR="009346C3" w14:paraId="776DECB2" w14:textId="77777777" w:rsidTr="00772458">
        <w:tc>
          <w:tcPr>
            <w:tcW w:w="1111" w:type="pct"/>
          </w:tcPr>
          <w:p w14:paraId="36B4B442" w14:textId="77777777" w:rsidR="009346C3" w:rsidRDefault="009346C3" w:rsidP="00323CDE">
            <w:pPr>
              <w:pStyle w:val="APVMATableText"/>
            </w:pPr>
            <w:r>
              <w:t>EGI</w:t>
            </w:r>
          </w:p>
        </w:tc>
        <w:tc>
          <w:tcPr>
            <w:tcW w:w="3889" w:type="pct"/>
            <w:gridSpan w:val="2"/>
          </w:tcPr>
          <w:p w14:paraId="4D740844" w14:textId="495D2421" w:rsidR="009346C3" w:rsidRDefault="009346C3" w:rsidP="00323CDE">
            <w:pPr>
              <w:pStyle w:val="APVMATableText"/>
            </w:pPr>
            <w:r>
              <w:t xml:space="preserve">Export </w:t>
            </w:r>
            <w:r w:rsidR="00B32A6B">
              <w:t>grazing i</w:t>
            </w:r>
            <w:r>
              <w:t>nterval</w:t>
            </w:r>
          </w:p>
        </w:tc>
      </w:tr>
      <w:tr w:rsidR="009346C3" w14:paraId="7C20207F" w14:textId="77777777" w:rsidTr="00772458">
        <w:tc>
          <w:tcPr>
            <w:tcW w:w="1111" w:type="pct"/>
          </w:tcPr>
          <w:p w14:paraId="4F1E5A41" w14:textId="77777777" w:rsidR="009346C3" w:rsidRDefault="009346C3" w:rsidP="00323CDE">
            <w:pPr>
              <w:pStyle w:val="APVMATableText"/>
            </w:pPr>
            <w:r>
              <w:t>ESI</w:t>
            </w:r>
          </w:p>
        </w:tc>
        <w:tc>
          <w:tcPr>
            <w:tcW w:w="3889" w:type="pct"/>
            <w:gridSpan w:val="2"/>
          </w:tcPr>
          <w:p w14:paraId="5A79578A" w14:textId="448C085C" w:rsidR="009346C3" w:rsidRDefault="009346C3" w:rsidP="00323CDE">
            <w:pPr>
              <w:pStyle w:val="APVMATableText"/>
            </w:pPr>
            <w:r>
              <w:t xml:space="preserve">Export </w:t>
            </w:r>
            <w:r w:rsidR="00B32A6B">
              <w:t>slaughter interval</w:t>
            </w:r>
          </w:p>
        </w:tc>
      </w:tr>
      <w:tr w:rsidR="009346C3" w14:paraId="0E622595" w14:textId="77777777" w:rsidTr="00772458">
        <w:tc>
          <w:tcPr>
            <w:tcW w:w="1111" w:type="pct"/>
          </w:tcPr>
          <w:p w14:paraId="72DFB2CB" w14:textId="77777777" w:rsidR="009346C3" w:rsidRDefault="009346C3" w:rsidP="00323CDE">
            <w:pPr>
              <w:pStyle w:val="APVMATableText"/>
            </w:pPr>
            <w:r>
              <w:t>g</w:t>
            </w:r>
          </w:p>
        </w:tc>
        <w:tc>
          <w:tcPr>
            <w:tcW w:w="3889" w:type="pct"/>
            <w:gridSpan w:val="2"/>
          </w:tcPr>
          <w:p w14:paraId="0ADAFE80" w14:textId="77777777" w:rsidR="009346C3" w:rsidRDefault="00F84654" w:rsidP="00323CDE">
            <w:pPr>
              <w:pStyle w:val="APVMATableText"/>
            </w:pPr>
            <w:r>
              <w:t>G</w:t>
            </w:r>
            <w:r w:rsidR="009346C3">
              <w:t>ram</w:t>
            </w:r>
          </w:p>
        </w:tc>
      </w:tr>
      <w:tr w:rsidR="009346C3" w14:paraId="0ED74CFF" w14:textId="77777777" w:rsidTr="00772458">
        <w:tc>
          <w:tcPr>
            <w:tcW w:w="1111" w:type="pct"/>
          </w:tcPr>
          <w:p w14:paraId="664877A1" w14:textId="77777777" w:rsidR="009346C3" w:rsidRDefault="009346C3" w:rsidP="00323CDE">
            <w:pPr>
              <w:pStyle w:val="APVMATableText"/>
            </w:pPr>
            <w:r>
              <w:t>GAP</w:t>
            </w:r>
          </w:p>
        </w:tc>
        <w:tc>
          <w:tcPr>
            <w:tcW w:w="3889" w:type="pct"/>
            <w:gridSpan w:val="2"/>
          </w:tcPr>
          <w:p w14:paraId="052245AA" w14:textId="77777777" w:rsidR="009346C3" w:rsidRDefault="009346C3" w:rsidP="00323CDE">
            <w:pPr>
              <w:pStyle w:val="APVMATableText"/>
            </w:pPr>
            <w:r>
              <w:t>Good Agricultural Practice</w:t>
            </w:r>
          </w:p>
        </w:tc>
      </w:tr>
      <w:tr w:rsidR="009346C3" w14:paraId="642B1AC1" w14:textId="77777777" w:rsidTr="00772458">
        <w:tc>
          <w:tcPr>
            <w:tcW w:w="1111" w:type="pct"/>
          </w:tcPr>
          <w:p w14:paraId="7763BD1D" w14:textId="77777777" w:rsidR="009346C3" w:rsidRDefault="009346C3" w:rsidP="00323CDE">
            <w:pPr>
              <w:pStyle w:val="APVMATableText"/>
            </w:pPr>
            <w:r>
              <w:t>GLP</w:t>
            </w:r>
          </w:p>
        </w:tc>
        <w:tc>
          <w:tcPr>
            <w:tcW w:w="3889" w:type="pct"/>
            <w:gridSpan w:val="2"/>
          </w:tcPr>
          <w:p w14:paraId="485AF30D" w14:textId="77777777" w:rsidR="009346C3" w:rsidRDefault="009346C3" w:rsidP="00323CDE">
            <w:pPr>
              <w:pStyle w:val="APVMATableText"/>
            </w:pPr>
            <w:r>
              <w:t>Good Laboratory Practice</w:t>
            </w:r>
          </w:p>
        </w:tc>
      </w:tr>
      <w:tr w:rsidR="009346C3" w14:paraId="0585004A" w14:textId="77777777" w:rsidTr="00772458">
        <w:tc>
          <w:tcPr>
            <w:tcW w:w="1111" w:type="pct"/>
          </w:tcPr>
          <w:p w14:paraId="72AEFAAE" w14:textId="77777777" w:rsidR="009346C3" w:rsidRDefault="009346C3" w:rsidP="00323CDE">
            <w:pPr>
              <w:pStyle w:val="APVMATableText"/>
            </w:pPr>
            <w:r>
              <w:t>h</w:t>
            </w:r>
          </w:p>
        </w:tc>
        <w:tc>
          <w:tcPr>
            <w:tcW w:w="3889" w:type="pct"/>
            <w:gridSpan w:val="2"/>
          </w:tcPr>
          <w:p w14:paraId="3DD3E856" w14:textId="77777777" w:rsidR="009346C3" w:rsidRDefault="00F84654" w:rsidP="00323CDE">
            <w:pPr>
              <w:pStyle w:val="APVMATableText"/>
            </w:pPr>
            <w:r>
              <w:t>H</w:t>
            </w:r>
            <w:r w:rsidR="009346C3">
              <w:t>our</w:t>
            </w:r>
          </w:p>
        </w:tc>
      </w:tr>
      <w:tr w:rsidR="009346C3" w14:paraId="36F9B009" w14:textId="77777777" w:rsidTr="00772458">
        <w:tc>
          <w:tcPr>
            <w:tcW w:w="1111" w:type="pct"/>
          </w:tcPr>
          <w:p w14:paraId="5A68D094" w14:textId="77777777" w:rsidR="009346C3" w:rsidRDefault="009346C3" w:rsidP="00323CDE">
            <w:pPr>
              <w:pStyle w:val="APVMATableText"/>
            </w:pPr>
            <w:r>
              <w:t>ha</w:t>
            </w:r>
          </w:p>
        </w:tc>
        <w:tc>
          <w:tcPr>
            <w:tcW w:w="3889" w:type="pct"/>
            <w:gridSpan w:val="2"/>
          </w:tcPr>
          <w:p w14:paraId="0216925D" w14:textId="77777777" w:rsidR="009346C3" w:rsidRDefault="00F84654" w:rsidP="00323CDE">
            <w:pPr>
              <w:pStyle w:val="APVMATableText"/>
            </w:pPr>
            <w:r>
              <w:t>H</w:t>
            </w:r>
            <w:r w:rsidR="009346C3">
              <w:t>ectare</w:t>
            </w:r>
          </w:p>
        </w:tc>
      </w:tr>
      <w:tr w:rsidR="009346C3" w14:paraId="4699A373" w14:textId="77777777" w:rsidTr="00772458">
        <w:tc>
          <w:tcPr>
            <w:tcW w:w="1111" w:type="pct"/>
          </w:tcPr>
          <w:p w14:paraId="71494B55" w14:textId="77777777" w:rsidR="009346C3" w:rsidRDefault="009346C3" w:rsidP="00323CDE">
            <w:pPr>
              <w:pStyle w:val="APVMATableText"/>
            </w:pPr>
            <w:r>
              <w:t>HPLC</w:t>
            </w:r>
          </w:p>
        </w:tc>
        <w:tc>
          <w:tcPr>
            <w:tcW w:w="3889" w:type="pct"/>
            <w:gridSpan w:val="2"/>
          </w:tcPr>
          <w:p w14:paraId="23DBE980" w14:textId="6E445819" w:rsidR="009346C3" w:rsidRDefault="009346C3" w:rsidP="00323CDE">
            <w:pPr>
              <w:pStyle w:val="APVMATableText"/>
            </w:pPr>
            <w:r>
              <w:t xml:space="preserve">High </w:t>
            </w:r>
            <w:r w:rsidR="00B32A6B">
              <w:t xml:space="preserve">pressure liquid chromatography </w:t>
            </w:r>
            <w:r>
              <w:rPr>
                <w:i/>
              </w:rPr>
              <w:t>or</w:t>
            </w:r>
            <w:r>
              <w:t xml:space="preserve"> </w:t>
            </w:r>
            <w:proofErr w:type="gramStart"/>
            <w:r w:rsidR="00B32A6B">
              <w:t>high performance</w:t>
            </w:r>
            <w:proofErr w:type="gramEnd"/>
            <w:r w:rsidR="00B32A6B">
              <w:t xml:space="preserve"> liquid chromatography</w:t>
            </w:r>
          </w:p>
        </w:tc>
      </w:tr>
      <w:tr w:rsidR="009346C3" w14:paraId="1D40009E" w14:textId="77777777" w:rsidTr="00772458">
        <w:tc>
          <w:tcPr>
            <w:tcW w:w="1111" w:type="pct"/>
          </w:tcPr>
          <w:p w14:paraId="1765F395" w14:textId="77777777" w:rsidR="009346C3" w:rsidRDefault="009346C3" w:rsidP="00323CDE">
            <w:pPr>
              <w:pStyle w:val="APVMATableText"/>
            </w:pPr>
            <w:r>
              <w:lastRenderedPageBreak/>
              <w:t>IPM</w:t>
            </w:r>
          </w:p>
        </w:tc>
        <w:tc>
          <w:tcPr>
            <w:tcW w:w="3889" w:type="pct"/>
            <w:gridSpan w:val="2"/>
          </w:tcPr>
          <w:p w14:paraId="3D3E61F0" w14:textId="35C8EB04" w:rsidR="009346C3" w:rsidRDefault="009346C3" w:rsidP="00323CDE">
            <w:pPr>
              <w:pStyle w:val="APVMATableText"/>
            </w:pPr>
            <w:r>
              <w:t xml:space="preserve">Integrated </w:t>
            </w:r>
            <w:r w:rsidR="00B32A6B">
              <w:t>pest management</w:t>
            </w:r>
          </w:p>
        </w:tc>
      </w:tr>
      <w:tr w:rsidR="009346C3" w14:paraId="270AEC25" w14:textId="77777777" w:rsidTr="00772458">
        <w:tc>
          <w:tcPr>
            <w:tcW w:w="1111" w:type="pct"/>
          </w:tcPr>
          <w:p w14:paraId="157A749C" w14:textId="77777777" w:rsidR="009346C3" w:rsidRDefault="009346C3" w:rsidP="00323CDE">
            <w:pPr>
              <w:pStyle w:val="APVMATableText"/>
            </w:pPr>
            <w:r>
              <w:t>kg</w:t>
            </w:r>
          </w:p>
        </w:tc>
        <w:tc>
          <w:tcPr>
            <w:tcW w:w="3889" w:type="pct"/>
            <w:gridSpan w:val="2"/>
          </w:tcPr>
          <w:p w14:paraId="15D85393" w14:textId="77777777" w:rsidR="009346C3" w:rsidRDefault="00F84654" w:rsidP="00323CDE">
            <w:pPr>
              <w:pStyle w:val="APVMATableText"/>
            </w:pPr>
            <w:r>
              <w:t>K</w:t>
            </w:r>
            <w:r w:rsidR="009346C3">
              <w:t>ilogram</w:t>
            </w:r>
          </w:p>
        </w:tc>
      </w:tr>
      <w:tr w:rsidR="009346C3" w14:paraId="162558C7" w14:textId="77777777" w:rsidTr="00772458">
        <w:tc>
          <w:tcPr>
            <w:tcW w:w="1111" w:type="pct"/>
          </w:tcPr>
          <w:p w14:paraId="691214B1" w14:textId="77777777" w:rsidR="009346C3" w:rsidRDefault="009346C3" w:rsidP="00323CDE">
            <w:pPr>
              <w:pStyle w:val="APVMATableText"/>
            </w:pPr>
            <w:r>
              <w:t>K</w:t>
            </w:r>
            <w:r w:rsidRPr="009A5578">
              <w:rPr>
                <w:vertAlign w:val="subscript"/>
              </w:rPr>
              <w:t>OC</w:t>
            </w:r>
          </w:p>
        </w:tc>
        <w:tc>
          <w:tcPr>
            <w:tcW w:w="3889" w:type="pct"/>
            <w:gridSpan w:val="2"/>
          </w:tcPr>
          <w:p w14:paraId="75B0AE8D" w14:textId="77777777" w:rsidR="009346C3" w:rsidRDefault="009346C3" w:rsidP="00323CDE">
            <w:pPr>
              <w:pStyle w:val="APVMATableText"/>
            </w:pPr>
            <w:r>
              <w:t>Organic carbon partitioning coefficient</w:t>
            </w:r>
          </w:p>
        </w:tc>
      </w:tr>
      <w:tr w:rsidR="009346C3" w14:paraId="45B02645" w14:textId="77777777" w:rsidTr="00772458">
        <w:tc>
          <w:tcPr>
            <w:tcW w:w="1111" w:type="pct"/>
          </w:tcPr>
          <w:p w14:paraId="31CB8005" w14:textId="77777777" w:rsidR="009346C3" w:rsidRDefault="009346C3" w:rsidP="00323CDE">
            <w:pPr>
              <w:pStyle w:val="APVMATableText"/>
            </w:pPr>
            <w:r>
              <w:t>L</w:t>
            </w:r>
          </w:p>
        </w:tc>
        <w:tc>
          <w:tcPr>
            <w:tcW w:w="3889" w:type="pct"/>
            <w:gridSpan w:val="2"/>
          </w:tcPr>
          <w:p w14:paraId="66FAFC5B" w14:textId="77777777" w:rsidR="009346C3" w:rsidRDefault="009346C3" w:rsidP="00323CDE">
            <w:pPr>
              <w:pStyle w:val="APVMATableText"/>
            </w:pPr>
            <w:r>
              <w:t>Litre</w:t>
            </w:r>
          </w:p>
        </w:tc>
      </w:tr>
      <w:tr w:rsidR="009346C3" w14:paraId="63FDE793" w14:textId="77777777" w:rsidTr="00772458">
        <w:tc>
          <w:tcPr>
            <w:tcW w:w="1111" w:type="pct"/>
          </w:tcPr>
          <w:p w14:paraId="11B8FE89" w14:textId="77777777" w:rsidR="009346C3" w:rsidRDefault="009346C3" w:rsidP="00323CDE">
            <w:pPr>
              <w:pStyle w:val="APVMATableText"/>
              <w:rPr>
                <w:i/>
              </w:rPr>
            </w:pPr>
            <w:r>
              <w:t>LC</w:t>
            </w:r>
            <w:r>
              <w:rPr>
                <w:vertAlign w:val="subscript"/>
              </w:rPr>
              <w:t>50</w:t>
            </w:r>
          </w:p>
        </w:tc>
        <w:tc>
          <w:tcPr>
            <w:tcW w:w="3889" w:type="pct"/>
            <w:gridSpan w:val="2"/>
          </w:tcPr>
          <w:p w14:paraId="01097C9B" w14:textId="58525B7A" w:rsidR="009346C3" w:rsidRDefault="00B32A6B" w:rsidP="00323CDE">
            <w:pPr>
              <w:pStyle w:val="APVMATableText"/>
            </w:pPr>
            <w:r>
              <w:t xml:space="preserve">Concentration </w:t>
            </w:r>
            <w:r w:rsidR="009346C3">
              <w:t>that kills 50% of the test population of organisms</w:t>
            </w:r>
          </w:p>
        </w:tc>
      </w:tr>
      <w:tr w:rsidR="009346C3" w14:paraId="623ACF77" w14:textId="77777777" w:rsidTr="00772458">
        <w:tc>
          <w:tcPr>
            <w:tcW w:w="1111" w:type="pct"/>
          </w:tcPr>
          <w:p w14:paraId="1EA9E51F" w14:textId="77777777" w:rsidR="009346C3" w:rsidRDefault="009346C3" w:rsidP="00323CDE">
            <w:pPr>
              <w:pStyle w:val="APVMATableText"/>
            </w:pPr>
            <w:r>
              <w:t>LD</w:t>
            </w:r>
            <w:r>
              <w:rPr>
                <w:vertAlign w:val="subscript"/>
              </w:rPr>
              <w:t>50</w:t>
            </w:r>
          </w:p>
        </w:tc>
        <w:tc>
          <w:tcPr>
            <w:tcW w:w="3889" w:type="pct"/>
            <w:gridSpan w:val="2"/>
          </w:tcPr>
          <w:p w14:paraId="76C798B8" w14:textId="28939D87" w:rsidR="009346C3" w:rsidRDefault="00B32A6B" w:rsidP="00323CDE">
            <w:pPr>
              <w:pStyle w:val="APVMATableText"/>
            </w:pPr>
            <w:r>
              <w:t xml:space="preserve">Dosage </w:t>
            </w:r>
            <w:r w:rsidR="009346C3">
              <w:t>of chemical that kills 50% of the test population of organisms</w:t>
            </w:r>
          </w:p>
        </w:tc>
      </w:tr>
      <w:tr w:rsidR="009346C3" w14:paraId="39FBE294" w14:textId="77777777" w:rsidTr="00772458">
        <w:tc>
          <w:tcPr>
            <w:tcW w:w="1111" w:type="pct"/>
          </w:tcPr>
          <w:p w14:paraId="0535F58E" w14:textId="77777777" w:rsidR="009346C3" w:rsidRDefault="009346C3" w:rsidP="00323CDE">
            <w:pPr>
              <w:pStyle w:val="APVMATableText"/>
            </w:pPr>
            <w:r>
              <w:t>LOD</w:t>
            </w:r>
          </w:p>
        </w:tc>
        <w:tc>
          <w:tcPr>
            <w:tcW w:w="3889" w:type="pct"/>
            <w:gridSpan w:val="2"/>
          </w:tcPr>
          <w:p w14:paraId="0219FC97" w14:textId="6C3EB905" w:rsidR="009346C3" w:rsidRDefault="007B74E9" w:rsidP="007B74E9">
            <w:pPr>
              <w:pStyle w:val="APVMATableText"/>
            </w:pPr>
            <w:r>
              <w:t xml:space="preserve">Limit of </w:t>
            </w:r>
            <w:r w:rsidR="00B32A6B">
              <w:t xml:space="preserve">detection – </w:t>
            </w:r>
            <w:r w:rsidR="009346C3">
              <w:t>level at which residues can be detected</w:t>
            </w:r>
          </w:p>
        </w:tc>
      </w:tr>
      <w:tr w:rsidR="009346C3" w14:paraId="07CDE3A5" w14:textId="77777777" w:rsidTr="00772458">
        <w:trPr>
          <w:gridAfter w:val="1"/>
          <w:wAfter w:w="93" w:type="pct"/>
        </w:trPr>
        <w:tc>
          <w:tcPr>
            <w:tcW w:w="1111" w:type="pct"/>
          </w:tcPr>
          <w:p w14:paraId="0F302AAD" w14:textId="77777777" w:rsidR="009346C3" w:rsidRDefault="009346C3" w:rsidP="00323CDE">
            <w:pPr>
              <w:pStyle w:val="APVMATableText"/>
            </w:pPr>
            <w:r>
              <w:t>Log K</w:t>
            </w:r>
            <w:r w:rsidRPr="009A5578">
              <w:rPr>
                <w:vertAlign w:val="subscript"/>
              </w:rPr>
              <w:t>OW</w:t>
            </w:r>
          </w:p>
        </w:tc>
        <w:tc>
          <w:tcPr>
            <w:tcW w:w="3796" w:type="pct"/>
          </w:tcPr>
          <w:p w14:paraId="45E1F056" w14:textId="77777777" w:rsidR="009346C3" w:rsidRDefault="009346C3" w:rsidP="00323CDE">
            <w:pPr>
              <w:pStyle w:val="APVMATableText"/>
            </w:pPr>
            <w:r>
              <w:t>Log to base 10 of octanol water partitioning co-efficient, synonym P</w:t>
            </w:r>
            <w:r w:rsidRPr="009A5578">
              <w:rPr>
                <w:vertAlign w:val="subscript"/>
              </w:rPr>
              <w:t>OW</w:t>
            </w:r>
          </w:p>
        </w:tc>
      </w:tr>
      <w:tr w:rsidR="009346C3" w14:paraId="232ACB77" w14:textId="77777777" w:rsidTr="00772458">
        <w:tc>
          <w:tcPr>
            <w:tcW w:w="1111" w:type="pct"/>
          </w:tcPr>
          <w:p w14:paraId="00A2E09A" w14:textId="77777777" w:rsidR="009346C3" w:rsidRDefault="009346C3" w:rsidP="00323CDE">
            <w:pPr>
              <w:pStyle w:val="APVMATableText"/>
            </w:pPr>
            <w:r>
              <w:t>LOQ</w:t>
            </w:r>
          </w:p>
        </w:tc>
        <w:tc>
          <w:tcPr>
            <w:tcW w:w="3889" w:type="pct"/>
            <w:gridSpan w:val="2"/>
          </w:tcPr>
          <w:p w14:paraId="038F1524" w14:textId="27D06621" w:rsidR="009346C3" w:rsidRDefault="009346C3" w:rsidP="007B74E9">
            <w:pPr>
              <w:pStyle w:val="APVMATableText"/>
            </w:pPr>
            <w:r>
              <w:t xml:space="preserve">Limit of </w:t>
            </w:r>
            <w:r w:rsidR="00B32A6B">
              <w:t xml:space="preserve">quantitation – </w:t>
            </w:r>
            <w:r>
              <w:t>level at which residues can be quantified</w:t>
            </w:r>
          </w:p>
        </w:tc>
      </w:tr>
      <w:tr w:rsidR="009346C3" w14:paraId="2B96396C" w14:textId="77777777" w:rsidTr="00772458">
        <w:tc>
          <w:tcPr>
            <w:tcW w:w="1111" w:type="pct"/>
          </w:tcPr>
          <w:p w14:paraId="3BCC5AD9" w14:textId="77777777" w:rsidR="009346C3" w:rsidRDefault="009346C3" w:rsidP="00323CDE">
            <w:pPr>
              <w:pStyle w:val="APVMATableText"/>
            </w:pPr>
            <w:r>
              <w:t>mg</w:t>
            </w:r>
          </w:p>
        </w:tc>
        <w:tc>
          <w:tcPr>
            <w:tcW w:w="3889" w:type="pct"/>
            <w:gridSpan w:val="2"/>
          </w:tcPr>
          <w:p w14:paraId="29C5FD61" w14:textId="77777777" w:rsidR="009346C3" w:rsidRDefault="00F84654" w:rsidP="00323CDE">
            <w:pPr>
              <w:pStyle w:val="APVMATableText"/>
            </w:pPr>
            <w:r>
              <w:t>M</w:t>
            </w:r>
            <w:r w:rsidR="009346C3">
              <w:t>illigram</w:t>
            </w:r>
          </w:p>
        </w:tc>
      </w:tr>
      <w:tr w:rsidR="009346C3" w14:paraId="0ACE5581" w14:textId="77777777" w:rsidTr="00772458">
        <w:tc>
          <w:tcPr>
            <w:tcW w:w="1111" w:type="pct"/>
          </w:tcPr>
          <w:p w14:paraId="3D25AD24" w14:textId="77777777" w:rsidR="009346C3" w:rsidRDefault="009346C3" w:rsidP="00323CDE">
            <w:pPr>
              <w:pStyle w:val="APVMATableText"/>
            </w:pPr>
            <w:r>
              <w:t>mL</w:t>
            </w:r>
          </w:p>
        </w:tc>
        <w:tc>
          <w:tcPr>
            <w:tcW w:w="3889" w:type="pct"/>
            <w:gridSpan w:val="2"/>
          </w:tcPr>
          <w:p w14:paraId="69700DCD" w14:textId="77777777" w:rsidR="009346C3" w:rsidRDefault="00F84654" w:rsidP="00323CDE">
            <w:pPr>
              <w:pStyle w:val="APVMATableText"/>
            </w:pPr>
            <w:r>
              <w:t>M</w:t>
            </w:r>
            <w:r w:rsidR="009346C3">
              <w:t>illilitre</w:t>
            </w:r>
          </w:p>
        </w:tc>
      </w:tr>
      <w:tr w:rsidR="009346C3" w14:paraId="4A85CFBD" w14:textId="77777777" w:rsidTr="00772458">
        <w:tc>
          <w:tcPr>
            <w:tcW w:w="1111" w:type="pct"/>
          </w:tcPr>
          <w:p w14:paraId="28B2FC26" w14:textId="77777777" w:rsidR="009346C3" w:rsidRDefault="009346C3" w:rsidP="00323CDE">
            <w:pPr>
              <w:pStyle w:val="APVMATableText"/>
            </w:pPr>
            <w:r>
              <w:t>MRL</w:t>
            </w:r>
          </w:p>
        </w:tc>
        <w:tc>
          <w:tcPr>
            <w:tcW w:w="3889" w:type="pct"/>
            <w:gridSpan w:val="2"/>
          </w:tcPr>
          <w:p w14:paraId="757FFFD0" w14:textId="77777777" w:rsidR="009346C3" w:rsidRDefault="009346C3" w:rsidP="00323CDE">
            <w:pPr>
              <w:pStyle w:val="APVMATableText"/>
            </w:pPr>
            <w:r>
              <w:t>Maximum Residue Limit</w:t>
            </w:r>
          </w:p>
        </w:tc>
      </w:tr>
      <w:tr w:rsidR="009346C3" w14:paraId="1ABF7811" w14:textId="77777777" w:rsidTr="00772458">
        <w:tc>
          <w:tcPr>
            <w:tcW w:w="1111" w:type="pct"/>
          </w:tcPr>
          <w:p w14:paraId="0A7F6533" w14:textId="146E5E89" w:rsidR="009346C3" w:rsidRDefault="009346C3" w:rsidP="00323CDE">
            <w:pPr>
              <w:pStyle w:val="APVMATableText"/>
            </w:pPr>
            <w:r>
              <w:t>SDS</w:t>
            </w:r>
          </w:p>
        </w:tc>
        <w:tc>
          <w:tcPr>
            <w:tcW w:w="3889" w:type="pct"/>
            <w:gridSpan w:val="2"/>
          </w:tcPr>
          <w:p w14:paraId="5459F958" w14:textId="1D223457" w:rsidR="009346C3" w:rsidRDefault="009346C3" w:rsidP="00323CDE">
            <w:pPr>
              <w:pStyle w:val="APVMATableText"/>
            </w:pPr>
            <w:r>
              <w:t>Safety Data Sheet</w:t>
            </w:r>
          </w:p>
        </w:tc>
      </w:tr>
      <w:tr w:rsidR="009346C3" w14:paraId="06C53B66" w14:textId="77777777" w:rsidTr="00772458">
        <w:tc>
          <w:tcPr>
            <w:tcW w:w="1111" w:type="pct"/>
          </w:tcPr>
          <w:p w14:paraId="3E6DE883" w14:textId="77777777" w:rsidR="009346C3" w:rsidRDefault="009346C3" w:rsidP="00323CDE">
            <w:pPr>
              <w:pStyle w:val="APVMATableText"/>
            </w:pPr>
            <w:r>
              <w:t>NEDI</w:t>
            </w:r>
          </w:p>
        </w:tc>
        <w:tc>
          <w:tcPr>
            <w:tcW w:w="3889" w:type="pct"/>
            <w:gridSpan w:val="2"/>
          </w:tcPr>
          <w:p w14:paraId="197DB63F" w14:textId="77777777" w:rsidR="009346C3" w:rsidRDefault="009346C3" w:rsidP="00323CDE">
            <w:pPr>
              <w:pStyle w:val="APVMATableText"/>
            </w:pPr>
            <w:r>
              <w:t>National Estimated Daily Intake</w:t>
            </w:r>
          </w:p>
        </w:tc>
      </w:tr>
      <w:tr w:rsidR="009346C3" w14:paraId="6FCE0C8F" w14:textId="77777777" w:rsidTr="00772458">
        <w:tc>
          <w:tcPr>
            <w:tcW w:w="1111" w:type="pct"/>
          </w:tcPr>
          <w:p w14:paraId="5784677C" w14:textId="77777777" w:rsidR="009346C3" w:rsidRDefault="009346C3" w:rsidP="00323CDE">
            <w:pPr>
              <w:pStyle w:val="APVMATableText"/>
            </w:pPr>
            <w:r>
              <w:t>NESTI</w:t>
            </w:r>
          </w:p>
        </w:tc>
        <w:tc>
          <w:tcPr>
            <w:tcW w:w="3889" w:type="pct"/>
            <w:gridSpan w:val="2"/>
          </w:tcPr>
          <w:p w14:paraId="0D82D911" w14:textId="00EAC154" w:rsidR="009346C3" w:rsidRDefault="009346C3" w:rsidP="00323CDE">
            <w:pPr>
              <w:pStyle w:val="APVMATableText"/>
            </w:pPr>
            <w:r>
              <w:t xml:space="preserve">National Estimated </w:t>
            </w:r>
            <w:r w:rsidR="00B32A6B">
              <w:t>Short-Term</w:t>
            </w:r>
            <w:r>
              <w:t xml:space="preserve"> Intake</w:t>
            </w:r>
          </w:p>
        </w:tc>
      </w:tr>
      <w:tr w:rsidR="009346C3" w14:paraId="77013A8E" w14:textId="77777777" w:rsidTr="00772458">
        <w:tc>
          <w:tcPr>
            <w:tcW w:w="1111" w:type="pct"/>
          </w:tcPr>
          <w:p w14:paraId="72F453F7" w14:textId="77777777" w:rsidR="009346C3" w:rsidRDefault="009346C3" w:rsidP="00323CDE">
            <w:pPr>
              <w:pStyle w:val="APVMATableText"/>
            </w:pPr>
            <w:r>
              <w:t>NHMRC</w:t>
            </w:r>
          </w:p>
        </w:tc>
        <w:tc>
          <w:tcPr>
            <w:tcW w:w="3889" w:type="pct"/>
            <w:gridSpan w:val="2"/>
          </w:tcPr>
          <w:p w14:paraId="22461E32" w14:textId="77777777" w:rsidR="009346C3" w:rsidRDefault="009346C3" w:rsidP="00323CDE">
            <w:pPr>
              <w:pStyle w:val="APVMATableText"/>
            </w:pPr>
            <w:r>
              <w:t>National Health and Medical Research Council</w:t>
            </w:r>
          </w:p>
        </w:tc>
      </w:tr>
      <w:tr w:rsidR="009346C3" w14:paraId="30C0D04B" w14:textId="77777777" w:rsidTr="00772458">
        <w:tc>
          <w:tcPr>
            <w:tcW w:w="1111" w:type="pct"/>
          </w:tcPr>
          <w:p w14:paraId="053043FD" w14:textId="77777777" w:rsidR="009346C3" w:rsidRDefault="009346C3" w:rsidP="00323CDE">
            <w:pPr>
              <w:pStyle w:val="APVMATableText"/>
            </w:pPr>
            <w:r>
              <w:t>NOEC/NOEL</w:t>
            </w:r>
          </w:p>
        </w:tc>
        <w:tc>
          <w:tcPr>
            <w:tcW w:w="3889" w:type="pct"/>
            <w:gridSpan w:val="2"/>
          </w:tcPr>
          <w:p w14:paraId="27ACF1B1" w14:textId="45E90829" w:rsidR="009346C3" w:rsidRDefault="009346C3" w:rsidP="00323CDE">
            <w:pPr>
              <w:pStyle w:val="APVMATableText"/>
            </w:pPr>
            <w:r>
              <w:t xml:space="preserve">No </w:t>
            </w:r>
            <w:r w:rsidR="00B32A6B">
              <w:t>observable effect concentration level</w:t>
            </w:r>
          </w:p>
        </w:tc>
      </w:tr>
      <w:tr w:rsidR="009346C3" w14:paraId="321D5F3D" w14:textId="77777777" w:rsidTr="00772458">
        <w:tc>
          <w:tcPr>
            <w:tcW w:w="1111" w:type="pct"/>
          </w:tcPr>
          <w:p w14:paraId="7003A18A" w14:textId="77777777" w:rsidR="009346C3" w:rsidRDefault="009346C3" w:rsidP="00323CDE">
            <w:pPr>
              <w:pStyle w:val="APVMATableText"/>
            </w:pPr>
            <w:r>
              <w:t>NOAEL</w:t>
            </w:r>
          </w:p>
        </w:tc>
        <w:tc>
          <w:tcPr>
            <w:tcW w:w="3889" w:type="pct"/>
            <w:gridSpan w:val="2"/>
          </w:tcPr>
          <w:p w14:paraId="5659123C" w14:textId="05FE613B" w:rsidR="009346C3" w:rsidRDefault="009346C3" w:rsidP="00323CDE">
            <w:pPr>
              <w:pStyle w:val="APVMATableText"/>
            </w:pPr>
            <w:r>
              <w:t xml:space="preserve">No </w:t>
            </w:r>
            <w:r w:rsidR="00B32A6B">
              <w:t>observed adverse effect level</w:t>
            </w:r>
          </w:p>
        </w:tc>
      </w:tr>
      <w:tr w:rsidR="009346C3" w14:paraId="78D6754B" w14:textId="77777777" w:rsidTr="00772458">
        <w:tc>
          <w:tcPr>
            <w:tcW w:w="1111" w:type="pct"/>
          </w:tcPr>
          <w:p w14:paraId="2BDB8007" w14:textId="77777777" w:rsidR="009346C3" w:rsidRDefault="009346C3" w:rsidP="00323CDE">
            <w:pPr>
              <w:pStyle w:val="APVMATableText"/>
            </w:pPr>
            <w:r>
              <w:t>OC</w:t>
            </w:r>
          </w:p>
        </w:tc>
        <w:tc>
          <w:tcPr>
            <w:tcW w:w="3889" w:type="pct"/>
            <w:gridSpan w:val="2"/>
          </w:tcPr>
          <w:p w14:paraId="1ECB505B" w14:textId="312355A8" w:rsidR="009346C3" w:rsidRDefault="009346C3" w:rsidP="00323CDE">
            <w:pPr>
              <w:pStyle w:val="APVMATableText"/>
            </w:pPr>
            <w:r>
              <w:t xml:space="preserve">Organic </w:t>
            </w:r>
            <w:r w:rsidR="00B32A6B">
              <w:t>carbon</w:t>
            </w:r>
          </w:p>
        </w:tc>
      </w:tr>
      <w:tr w:rsidR="009346C3" w14:paraId="2B1FDC18" w14:textId="77777777" w:rsidTr="00772458">
        <w:tc>
          <w:tcPr>
            <w:tcW w:w="1111" w:type="pct"/>
          </w:tcPr>
          <w:p w14:paraId="565EADF7" w14:textId="77777777" w:rsidR="009346C3" w:rsidRDefault="009346C3" w:rsidP="00323CDE">
            <w:pPr>
              <w:pStyle w:val="APVMATableText"/>
            </w:pPr>
            <w:r>
              <w:t xml:space="preserve">OM </w:t>
            </w:r>
          </w:p>
        </w:tc>
        <w:tc>
          <w:tcPr>
            <w:tcW w:w="3889" w:type="pct"/>
            <w:gridSpan w:val="2"/>
          </w:tcPr>
          <w:p w14:paraId="0944AFFB" w14:textId="3C05E2BC" w:rsidR="009346C3" w:rsidRDefault="009346C3" w:rsidP="00323CDE">
            <w:pPr>
              <w:pStyle w:val="APVMATableText"/>
            </w:pPr>
            <w:r>
              <w:t xml:space="preserve">Organic </w:t>
            </w:r>
            <w:r w:rsidR="00B32A6B">
              <w:t>matter</w:t>
            </w:r>
          </w:p>
        </w:tc>
      </w:tr>
      <w:tr w:rsidR="009346C3" w14:paraId="5AD8116C" w14:textId="77777777" w:rsidTr="00772458">
        <w:tc>
          <w:tcPr>
            <w:tcW w:w="1111" w:type="pct"/>
          </w:tcPr>
          <w:p w14:paraId="004B4922" w14:textId="77777777" w:rsidR="009346C3" w:rsidRDefault="009346C3" w:rsidP="00323CDE">
            <w:pPr>
              <w:pStyle w:val="APVMATableText"/>
            </w:pPr>
            <w:r>
              <w:t>po</w:t>
            </w:r>
          </w:p>
        </w:tc>
        <w:tc>
          <w:tcPr>
            <w:tcW w:w="3889" w:type="pct"/>
            <w:gridSpan w:val="2"/>
          </w:tcPr>
          <w:p w14:paraId="63414A9B" w14:textId="77777777" w:rsidR="009346C3" w:rsidRDefault="00F84654" w:rsidP="00323CDE">
            <w:pPr>
              <w:pStyle w:val="APVMATableText"/>
            </w:pPr>
            <w:r>
              <w:t>O</w:t>
            </w:r>
            <w:r w:rsidR="009346C3">
              <w:t>ral</w:t>
            </w:r>
          </w:p>
        </w:tc>
      </w:tr>
      <w:tr w:rsidR="009346C3" w14:paraId="63562F28" w14:textId="77777777" w:rsidTr="00772458">
        <w:tc>
          <w:tcPr>
            <w:tcW w:w="1111" w:type="pct"/>
          </w:tcPr>
          <w:p w14:paraId="2E2140CA" w14:textId="77777777" w:rsidR="009346C3" w:rsidRDefault="009346C3" w:rsidP="00323CDE">
            <w:pPr>
              <w:pStyle w:val="APVMATableText"/>
            </w:pPr>
            <w:r>
              <w:t>ppb</w:t>
            </w:r>
          </w:p>
        </w:tc>
        <w:tc>
          <w:tcPr>
            <w:tcW w:w="3889" w:type="pct"/>
            <w:gridSpan w:val="2"/>
          </w:tcPr>
          <w:p w14:paraId="4CBF5615" w14:textId="69D2C41B" w:rsidR="009346C3" w:rsidRDefault="00B32A6B" w:rsidP="00323CDE">
            <w:pPr>
              <w:pStyle w:val="APVMATableText"/>
            </w:pPr>
            <w:r>
              <w:t xml:space="preserve">Parts </w:t>
            </w:r>
            <w:r w:rsidR="009346C3">
              <w:t>per billion</w:t>
            </w:r>
          </w:p>
        </w:tc>
      </w:tr>
      <w:tr w:rsidR="009346C3" w14:paraId="7ADA585D" w14:textId="77777777" w:rsidTr="00772458">
        <w:tc>
          <w:tcPr>
            <w:tcW w:w="1111" w:type="pct"/>
          </w:tcPr>
          <w:p w14:paraId="7C5BEEF7" w14:textId="77777777" w:rsidR="009346C3" w:rsidRDefault="009346C3" w:rsidP="00323CDE">
            <w:pPr>
              <w:pStyle w:val="APVMATableText"/>
            </w:pPr>
            <w:r>
              <w:t>PPE</w:t>
            </w:r>
          </w:p>
        </w:tc>
        <w:tc>
          <w:tcPr>
            <w:tcW w:w="3889" w:type="pct"/>
            <w:gridSpan w:val="2"/>
          </w:tcPr>
          <w:p w14:paraId="6DEB66F9" w14:textId="3CF71A09" w:rsidR="009346C3" w:rsidRDefault="009346C3" w:rsidP="00323CDE">
            <w:pPr>
              <w:pStyle w:val="APVMATableText"/>
            </w:pPr>
            <w:r>
              <w:t xml:space="preserve">Personal </w:t>
            </w:r>
            <w:r w:rsidR="00B32A6B">
              <w:t>protective equipment</w:t>
            </w:r>
          </w:p>
        </w:tc>
      </w:tr>
      <w:tr w:rsidR="009346C3" w14:paraId="20EF15A2" w14:textId="77777777" w:rsidTr="00772458">
        <w:tc>
          <w:tcPr>
            <w:tcW w:w="1111" w:type="pct"/>
          </w:tcPr>
          <w:p w14:paraId="257CD602" w14:textId="77777777" w:rsidR="009346C3" w:rsidRDefault="009346C3" w:rsidP="00323CDE">
            <w:pPr>
              <w:pStyle w:val="APVMATableText"/>
            </w:pPr>
            <w:r>
              <w:t>ppm</w:t>
            </w:r>
          </w:p>
        </w:tc>
        <w:tc>
          <w:tcPr>
            <w:tcW w:w="3889" w:type="pct"/>
            <w:gridSpan w:val="2"/>
          </w:tcPr>
          <w:p w14:paraId="412AC5B2" w14:textId="27927463" w:rsidR="009346C3" w:rsidRDefault="00B32A6B" w:rsidP="00323CDE">
            <w:pPr>
              <w:pStyle w:val="APVMATableText"/>
            </w:pPr>
            <w:r>
              <w:t xml:space="preserve">Parts </w:t>
            </w:r>
            <w:r w:rsidR="009346C3">
              <w:t>per million</w:t>
            </w:r>
          </w:p>
        </w:tc>
      </w:tr>
      <w:tr w:rsidR="0076267D" w14:paraId="69C6D83C" w14:textId="77777777" w:rsidTr="00772458">
        <w:tc>
          <w:tcPr>
            <w:tcW w:w="1111" w:type="pct"/>
          </w:tcPr>
          <w:p w14:paraId="7A80CA46" w14:textId="65D19DC7" w:rsidR="0076267D" w:rsidRDefault="0076267D" w:rsidP="00323CDE">
            <w:pPr>
              <w:pStyle w:val="APVMATableText"/>
            </w:pPr>
            <w:r>
              <w:t>RAL</w:t>
            </w:r>
          </w:p>
        </w:tc>
        <w:tc>
          <w:tcPr>
            <w:tcW w:w="3889" w:type="pct"/>
            <w:gridSpan w:val="2"/>
          </w:tcPr>
          <w:p w14:paraId="39DCE195" w14:textId="220299AE" w:rsidR="0076267D" w:rsidRDefault="0076267D" w:rsidP="00323CDE">
            <w:pPr>
              <w:pStyle w:val="APVMATableText"/>
            </w:pPr>
            <w:r>
              <w:t>Regulatory Acceptable Level</w:t>
            </w:r>
          </w:p>
        </w:tc>
      </w:tr>
      <w:tr w:rsidR="009346C3" w14:paraId="5D0BB1C2" w14:textId="77777777" w:rsidTr="00772458">
        <w:tc>
          <w:tcPr>
            <w:tcW w:w="1111" w:type="pct"/>
          </w:tcPr>
          <w:p w14:paraId="6E12571C" w14:textId="77777777" w:rsidR="009346C3" w:rsidRDefault="009346C3" w:rsidP="00323CDE">
            <w:pPr>
              <w:pStyle w:val="APVMATableText"/>
            </w:pPr>
            <w:r>
              <w:t>REI</w:t>
            </w:r>
          </w:p>
        </w:tc>
        <w:tc>
          <w:tcPr>
            <w:tcW w:w="3889" w:type="pct"/>
            <w:gridSpan w:val="2"/>
          </w:tcPr>
          <w:p w14:paraId="50A4CAFA" w14:textId="32F50764" w:rsidR="009346C3" w:rsidRDefault="009346C3" w:rsidP="00323CDE">
            <w:pPr>
              <w:pStyle w:val="APVMATableText"/>
            </w:pPr>
            <w:r>
              <w:t>Re-</w:t>
            </w:r>
            <w:r w:rsidR="00B32A6B">
              <w:t>entry interval</w:t>
            </w:r>
          </w:p>
        </w:tc>
      </w:tr>
      <w:tr w:rsidR="009346C3" w14:paraId="50B2FE78" w14:textId="77777777" w:rsidTr="00772458">
        <w:tc>
          <w:tcPr>
            <w:tcW w:w="1111" w:type="pct"/>
          </w:tcPr>
          <w:p w14:paraId="24AF509F" w14:textId="77777777" w:rsidR="009346C3" w:rsidRDefault="009346C3" w:rsidP="00323CDE">
            <w:pPr>
              <w:pStyle w:val="APVMATableText"/>
            </w:pPr>
            <w:r>
              <w:t>s</w:t>
            </w:r>
          </w:p>
        </w:tc>
        <w:tc>
          <w:tcPr>
            <w:tcW w:w="3889" w:type="pct"/>
            <w:gridSpan w:val="2"/>
          </w:tcPr>
          <w:p w14:paraId="74B4A1E0" w14:textId="77777777" w:rsidR="009346C3" w:rsidRDefault="00F84654" w:rsidP="00323CDE">
            <w:pPr>
              <w:pStyle w:val="APVMATableText"/>
            </w:pPr>
            <w:r>
              <w:t>S</w:t>
            </w:r>
            <w:r w:rsidR="009346C3">
              <w:t>econd</w:t>
            </w:r>
          </w:p>
        </w:tc>
      </w:tr>
      <w:tr w:rsidR="0076267D" w14:paraId="7D4ACA06" w14:textId="77777777" w:rsidTr="00772458">
        <w:tc>
          <w:tcPr>
            <w:tcW w:w="1111" w:type="pct"/>
          </w:tcPr>
          <w:p w14:paraId="22C6CCDA" w14:textId="43A34825" w:rsidR="0076267D" w:rsidRDefault="0076267D" w:rsidP="00323CDE">
            <w:pPr>
              <w:pStyle w:val="APVMATableText"/>
            </w:pPr>
            <w:r>
              <w:lastRenderedPageBreak/>
              <w:t>SDMT</w:t>
            </w:r>
          </w:p>
        </w:tc>
        <w:tc>
          <w:tcPr>
            <w:tcW w:w="3889" w:type="pct"/>
            <w:gridSpan w:val="2"/>
          </w:tcPr>
          <w:p w14:paraId="3FAD7ABF" w14:textId="5178A59F" w:rsidR="0076267D" w:rsidRDefault="0076267D" w:rsidP="00323CDE">
            <w:pPr>
              <w:pStyle w:val="APVMATableText"/>
            </w:pPr>
            <w:r>
              <w:t>Spray Drift Management Tool</w:t>
            </w:r>
          </w:p>
        </w:tc>
      </w:tr>
      <w:tr w:rsidR="0076267D" w14:paraId="1EF3877D" w14:textId="77777777" w:rsidTr="00772458">
        <w:tc>
          <w:tcPr>
            <w:tcW w:w="1111" w:type="pct"/>
          </w:tcPr>
          <w:p w14:paraId="5275476E" w14:textId="607EE235" w:rsidR="0076267D" w:rsidRDefault="0076267D" w:rsidP="00323CDE">
            <w:pPr>
              <w:pStyle w:val="APVMATableText"/>
            </w:pPr>
            <w:r>
              <w:t>SDRAT</w:t>
            </w:r>
          </w:p>
        </w:tc>
        <w:tc>
          <w:tcPr>
            <w:tcW w:w="3889" w:type="pct"/>
            <w:gridSpan w:val="2"/>
          </w:tcPr>
          <w:p w14:paraId="784234E1" w14:textId="5481BF43" w:rsidR="0076267D" w:rsidRDefault="0076267D" w:rsidP="00323CDE">
            <w:pPr>
              <w:pStyle w:val="APVMATableText"/>
            </w:pPr>
            <w:r>
              <w:t>Spray Drift Risk Assessment Tool</w:t>
            </w:r>
          </w:p>
        </w:tc>
      </w:tr>
      <w:tr w:rsidR="009346C3" w14:paraId="52AF17FA" w14:textId="77777777" w:rsidTr="00772458">
        <w:tc>
          <w:tcPr>
            <w:tcW w:w="1111" w:type="pct"/>
          </w:tcPr>
          <w:p w14:paraId="17C73379" w14:textId="77777777" w:rsidR="009346C3" w:rsidRDefault="009346C3" w:rsidP="00323CDE">
            <w:pPr>
              <w:pStyle w:val="APVMATableText"/>
            </w:pPr>
            <w:r>
              <w:t>SUSMP</w:t>
            </w:r>
          </w:p>
        </w:tc>
        <w:tc>
          <w:tcPr>
            <w:tcW w:w="3889" w:type="pct"/>
            <w:gridSpan w:val="2"/>
          </w:tcPr>
          <w:p w14:paraId="500E6114" w14:textId="77777777" w:rsidR="009346C3" w:rsidRDefault="009346C3" w:rsidP="00323CDE">
            <w:pPr>
              <w:pStyle w:val="APVMATableText"/>
            </w:pPr>
            <w:r>
              <w:t>Standard for the Uniform Scheduling of Medicines and Poisons</w:t>
            </w:r>
          </w:p>
        </w:tc>
      </w:tr>
      <w:tr w:rsidR="009346C3" w14:paraId="0B929733" w14:textId="77777777" w:rsidTr="00772458">
        <w:tc>
          <w:tcPr>
            <w:tcW w:w="1111" w:type="pct"/>
          </w:tcPr>
          <w:p w14:paraId="2237B840" w14:textId="77777777" w:rsidR="009346C3" w:rsidRDefault="009346C3" w:rsidP="00323CDE">
            <w:pPr>
              <w:pStyle w:val="APVMATableText"/>
            </w:pPr>
            <w:r>
              <w:t>TGA</w:t>
            </w:r>
          </w:p>
        </w:tc>
        <w:tc>
          <w:tcPr>
            <w:tcW w:w="3889" w:type="pct"/>
            <w:gridSpan w:val="2"/>
          </w:tcPr>
          <w:p w14:paraId="4EA42E57" w14:textId="77777777" w:rsidR="009346C3" w:rsidRDefault="009346C3" w:rsidP="00323CDE">
            <w:pPr>
              <w:pStyle w:val="APVMATableText"/>
            </w:pPr>
            <w:r>
              <w:t>Therapeutic Goods Administration</w:t>
            </w:r>
          </w:p>
        </w:tc>
      </w:tr>
      <w:tr w:rsidR="009346C3" w14:paraId="05EFE4BF" w14:textId="77777777" w:rsidTr="00772458">
        <w:tc>
          <w:tcPr>
            <w:tcW w:w="1111" w:type="pct"/>
          </w:tcPr>
          <w:p w14:paraId="11BF3FF8" w14:textId="77777777" w:rsidR="009346C3" w:rsidRDefault="009346C3" w:rsidP="00323CDE">
            <w:pPr>
              <w:pStyle w:val="APVMATableText"/>
            </w:pPr>
            <w:r>
              <w:t>TGAC</w:t>
            </w:r>
          </w:p>
        </w:tc>
        <w:tc>
          <w:tcPr>
            <w:tcW w:w="3889" w:type="pct"/>
            <w:gridSpan w:val="2"/>
          </w:tcPr>
          <w:p w14:paraId="7105C8A9" w14:textId="77777777" w:rsidR="009346C3" w:rsidRDefault="009346C3" w:rsidP="00323CDE">
            <w:pPr>
              <w:pStyle w:val="APVMATableText"/>
            </w:pPr>
            <w:r>
              <w:t>Technical grade active constituent</w:t>
            </w:r>
          </w:p>
        </w:tc>
      </w:tr>
      <w:tr w:rsidR="009346C3" w14:paraId="6A28F386" w14:textId="77777777" w:rsidTr="00772458">
        <w:tc>
          <w:tcPr>
            <w:tcW w:w="1111" w:type="pct"/>
          </w:tcPr>
          <w:p w14:paraId="5F2735D9" w14:textId="77777777" w:rsidR="009346C3" w:rsidRDefault="009346C3" w:rsidP="00323CDE">
            <w:pPr>
              <w:pStyle w:val="APVMATableText"/>
            </w:pPr>
            <w:r>
              <w:rPr>
                <w:bCs/>
              </w:rPr>
              <w:t>µ</w:t>
            </w:r>
            <w:r>
              <w:t>g</w:t>
            </w:r>
          </w:p>
        </w:tc>
        <w:tc>
          <w:tcPr>
            <w:tcW w:w="3889" w:type="pct"/>
            <w:gridSpan w:val="2"/>
          </w:tcPr>
          <w:p w14:paraId="7E49A417" w14:textId="77777777" w:rsidR="009346C3" w:rsidRDefault="00F84654" w:rsidP="00323CDE">
            <w:pPr>
              <w:pStyle w:val="APVMATableText"/>
            </w:pPr>
            <w:r>
              <w:t>M</w:t>
            </w:r>
            <w:r w:rsidR="009346C3">
              <w:t>icrogram</w:t>
            </w:r>
          </w:p>
        </w:tc>
      </w:tr>
      <w:tr w:rsidR="009346C3" w14:paraId="654377E2" w14:textId="77777777" w:rsidTr="00772458">
        <w:tc>
          <w:tcPr>
            <w:tcW w:w="1111" w:type="pct"/>
          </w:tcPr>
          <w:p w14:paraId="3E8CD2EC" w14:textId="77777777" w:rsidR="009346C3" w:rsidRDefault="009346C3" w:rsidP="00323CDE">
            <w:pPr>
              <w:pStyle w:val="APVMATableText"/>
            </w:pPr>
            <w:r>
              <w:t>WG</w:t>
            </w:r>
          </w:p>
        </w:tc>
        <w:tc>
          <w:tcPr>
            <w:tcW w:w="3889" w:type="pct"/>
            <w:gridSpan w:val="2"/>
          </w:tcPr>
          <w:p w14:paraId="3B848086" w14:textId="75CE1FBB" w:rsidR="009346C3" w:rsidRDefault="009346C3" w:rsidP="00323CDE">
            <w:pPr>
              <w:pStyle w:val="APVMATableText"/>
            </w:pPr>
            <w:r>
              <w:t xml:space="preserve">Water </w:t>
            </w:r>
            <w:r w:rsidR="00B32A6B">
              <w:t>dispersible granule</w:t>
            </w:r>
          </w:p>
        </w:tc>
      </w:tr>
      <w:tr w:rsidR="009346C3" w14:paraId="6EB8758B" w14:textId="77777777" w:rsidTr="00772458">
        <w:tc>
          <w:tcPr>
            <w:tcW w:w="1111" w:type="pct"/>
          </w:tcPr>
          <w:p w14:paraId="685B05D2" w14:textId="77777777" w:rsidR="009346C3" w:rsidRDefault="009346C3" w:rsidP="00323CDE">
            <w:pPr>
              <w:pStyle w:val="APVMATableText"/>
              <w:rPr>
                <w:lang w:val="en-GB"/>
              </w:rPr>
            </w:pPr>
            <w:r>
              <w:rPr>
                <w:lang w:val="en-GB"/>
              </w:rPr>
              <w:t>WHP</w:t>
            </w:r>
          </w:p>
        </w:tc>
        <w:tc>
          <w:tcPr>
            <w:tcW w:w="3889" w:type="pct"/>
            <w:gridSpan w:val="2"/>
          </w:tcPr>
          <w:p w14:paraId="06FB38A3" w14:textId="79BCD53F" w:rsidR="009346C3" w:rsidRDefault="009346C3" w:rsidP="00323CDE">
            <w:pPr>
              <w:pStyle w:val="APVMATableText"/>
            </w:pPr>
            <w:r>
              <w:rPr>
                <w:lang w:val="en-GB"/>
              </w:rPr>
              <w:t xml:space="preserve">Withholding </w:t>
            </w:r>
            <w:r w:rsidR="00B32A6B">
              <w:rPr>
                <w:lang w:val="en-GB"/>
              </w:rPr>
              <w:t>period</w:t>
            </w:r>
          </w:p>
        </w:tc>
      </w:tr>
    </w:tbl>
    <w:p w14:paraId="35823568" w14:textId="77777777" w:rsidR="009346C3" w:rsidRDefault="009346C3" w:rsidP="00772458">
      <w:pPr>
        <w:pStyle w:val="APVMAText"/>
        <w:sectPr w:rsidR="009346C3">
          <w:headerReference w:type="default" r:id="rId44"/>
          <w:pgSz w:w="11906" w:h="16838" w:code="9"/>
          <w:pgMar w:top="2835" w:right="1134" w:bottom="1134" w:left="1134" w:header="1701" w:footer="680" w:gutter="0"/>
          <w:cols w:space="708"/>
          <w:docGrid w:linePitch="360"/>
        </w:sectPr>
      </w:pPr>
    </w:p>
    <w:p w14:paraId="5F479D70" w14:textId="77777777" w:rsidR="009346C3" w:rsidRDefault="009346C3" w:rsidP="009346C3">
      <w:pPr>
        <w:pStyle w:val="APVMAAppendixH1"/>
      </w:pPr>
      <w:bookmarkStart w:id="170" w:name="_Toc531181110"/>
      <w:bookmarkStart w:id="171" w:name="_Toc7561296"/>
      <w:bookmarkStart w:id="172" w:name="_Toc228527320"/>
      <w:r>
        <w:rPr>
          <w:lang w:val="en-GB"/>
        </w:rPr>
        <w:lastRenderedPageBreak/>
        <w:t>Glossary</w:t>
      </w:r>
      <w:bookmarkEnd w:id="170"/>
      <w:bookmarkEnd w:id="171"/>
      <w:bookmarkEnd w:id="172"/>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CA5B2B" w14:paraId="6CCAE66D" w14:textId="77777777" w:rsidTr="00772458">
        <w:tc>
          <w:tcPr>
            <w:tcW w:w="1132" w:type="pct"/>
            <w:shd w:val="clear" w:color="auto" w:fill="00747A"/>
          </w:tcPr>
          <w:p w14:paraId="33B1E2B5" w14:textId="5313452F" w:rsidR="00CA5B2B" w:rsidRPr="00CA5B2B" w:rsidRDefault="00CA5B2B" w:rsidP="009D0723">
            <w:pPr>
              <w:pStyle w:val="APVMATableHead"/>
            </w:pPr>
            <w:r>
              <w:t>Term</w:t>
            </w:r>
          </w:p>
        </w:tc>
        <w:tc>
          <w:tcPr>
            <w:tcW w:w="3868" w:type="pct"/>
            <w:shd w:val="clear" w:color="auto" w:fill="00747A"/>
          </w:tcPr>
          <w:p w14:paraId="4A52FD44" w14:textId="61551732" w:rsidR="00CA5B2B" w:rsidRPr="00CA5B2B" w:rsidRDefault="00CA5B2B" w:rsidP="009D0723">
            <w:pPr>
              <w:pStyle w:val="APVMATableHead"/>
            </w:pPr>
            <w:r>
              <w:t>Description</w:t>
            </w:r>
          </w:p>
        </w:tc>
      </w:tr>
      <w:tr w:rsidR="00CA5B2B" w14:paraId="6C741B0B" w14:textId="77777777" w:rsidTr="00772458">
        <w:tc>
          <w:tcPr>
            <w:tcW w:w="1132" w:type="pct"/>
          </w:tcPr>
          <w:p w14:paraId="2DBAB8B5" w14:textId="77777777" w:rsidR="00CA5B2B" w:rsidRDefault="00CA5B2B" w:rsidP="00CA5B2B">
            <w:pPr>
              <w:pStyle w:val="APVMATableText"/>
            </w:pPr>
            <w:r>
              <w:t>Active constituent</w:t>
            </w:r>
          </w:p>
        </w:tc>
        <w:tc>
          <w:tcPr>
            <w:tcW w:w="3868" w:type="pct"/>
          </w:tcPr>
          <w:p w14:paraId="6F4CB2CB" w14:textId="77777777" w:rsidR="00CA5B2B" w:rsidRDefault="00CA5B2B" w:rsidP="00CA5B2B">
            <w:pPr>
              <w:pStyle w:val="APVMATableText"/>
            </w:pPr>
            <w:r>
              <w:t>The substance that is primarily responsible for the effect produced by a chemical product</w:t>
            </w:r>
          </w:p>
        </w:tc>
      </w:tr>
      <w:tr w:rsidR="00CA5B2B" w14:paraId="6F6F18E5" w14:textId="77777777" w:rsidTr="00772458">
        <w:tc>
          <w:tcPr>
            <w:tcW w:w="1132" w:type="pct"/>
          </w:tcPr>
          <w:p w14:paraId="3D3E543B" w14:textId="77777777" w:rsidR="00CA5B2B" w:rsidRDefault="00CA5B2B" w:rsidP="00CA5B2B">
            <w:pPr>
              <w:pStyle w:val="APVMATableText"/>
            </w:pPr>
            <w:r>
              <w:t>Acute</w:t>
            </w:r>
          </w:p>
        </w:tc>
        <w:tc>
          <w:tcPr>
            <w:tcW w:w="3868" w:type="pct"/>
          </w:tcPr>
          <w:p w14:paraId="1B32302E" w14:textId="77777777" w:rsidR="00CA5B2B" w:rsidRDefault="00CA5B2B" w:rsidP="00CA5B2B">
            <w:pPr>
              <w:pStyle w:val="APVMATableText"/>
            </w:pPr>
            <w:r>
              <w:t>Having rapid onset and of short duration</w:t>
            </w:r>
          </w:p>
        </w:tc>
      </w:tr>
      <w:tr w:rsidR="00CA5B2B" w14:paraId="20CAA1A1" w14:textId="77777777" w:rsidTr="00772458">
        <w:tc>
          <w:tcPr>
            <w:tcW w:w="1132" w:type="pct"/>
          </w:tcPr>
          <w:p w14:paraId="141AEE46" w14:textId="77777777" w:rsidR="00CA5B2B" w:rsidRDefault="00CA5B2B" w:rsidP="00CA5B2B">
            <w:pPr>
              <w:pStyle w:val="APVMATableText"/>
            </w:pPr>
            <w:r>
              <w:t>Carcinogenicity</w:t>
            </w:r>
          </w:p>
        </w:tc>
        <w:tc>
          <w:tcPr>
            <w:tcW w:w="3868" w:type="pct"/>
          </w:tcPr>
          <w:p w14:paraId="6833A841" w14:textId="77777777" w:rsidR="00CA5B2B" w:rsidRDefault="00CA5B2B" w:rsidP="00CA5B2B">
            <w:pPr>
              <w:pStyle w:val="APVMATableText"/>
            </w:pPr>
            <w:r>
              <w:t>The ability to cause cancer</w:t>
            </w:r>
          </w:p>
        </w:tc>
      </w:tr>
      <w:tr w:rsidR="00CA5B2B" w14:paraId="02F60EC0" w14:textId="77777777" w:rsidTr="00772458">
        <w:tc>
          <w:tcPr>
            <w:tcW w:w="1132" w:type="pct"/>
          </w:tcPr>
          <w:p w14:paraId="18A75311" w14:textId="77777777" w:rsidR="00CA5B2B" w:rsidRDefault="00CA5B2B" w:rsidP="00CA5B2B">
            <w:pPr>
              <w:pStyle w:val="APVMATableText"/>
            </w:pPr>
            <w:r>
              <w:t>Chronic</w:t>
            </w:r>
          </w:p>
        </w:tc>
        <w:tc>
          <w:tcPr>
            <w:tcW w:w="3868" w:type="pct"/>
          </w:tcPr>
          <w:p w14:paraId="662A61C7" w14:textId="77777777" w:rsidR="00CA5B2B" w:rsidRDefault="00CA5B2B" w:rsidP="00CA5B2B">
            <w:pPr>
              <w:pStyle w:val="APVMATableText"/>
            </w:pPr>
            <w:r>
              <w:t>Of long duration</w:t>
            </w:r>
          </w:p>
        </w:tc>
      </w:tr>
      <w:tr w:rsidR="00CA5B2B" w14:paraId="39C8B60E" w14:textId="77777777" w:rsidTr="00772458">
        <w:tc>
          <w:tcPr>
            <w:tcW w:w="1132" w:type="pct"/>
          </w:tcPr>
          <w:p w14:paraId="34A08E1A" w14:textId="77777777" w:rsidR="00CA5B2B" w:rsidRDefault="00CA5B2B" w:rsidP="00CA5B2B">
            <w:pPr>
              <w:pStyle w:val="APVMATableText"/>
            </w:pPr>
            <w:r>
              <w:t xml:space="preserve">Codex MRL </w:t>
            </w:r>
          </w:p>
        </w:tc>
        <w:tc>
          <w:tcPr>
            <w:tcW w:w="3868" w:type="pct"/>
          </w:tcPr>
          <w:p w14:paraId="0E7857B0" w14:textId="77777777" w:rsidR="00CA5B2B" w:rsidRDefault="00CA5B2B" w:rsidP="00CA5B2B">
            <w:pPr>
              <w:pStyle w:val="APVMATableText"/>
            </w:pPr>
            <w:r>
              <w:t>Internationally published standard maximum residue limit</w:t>
            </w:r>
          </w:p>
        </w:tc>
      </w:tr>
      <w:tr w:rsidR="00CA5B2B" w14:paraId="4921685A" w14:textId="77777777" w:rsidTr="00772458">
        <w:tc>
          <w:tcPr>
            <w:tcW w:w="1132" w:type="pct"/>
          </w:tcPr>
          <w:p w14:paraId="63FD1CFD" w14:textId="77777777" w:rsidR="00CA5B2B" w:rsidRDefault="00CA5B2B" w:rsidP="00CA5B2B">
            <w:pPr>
              <w:pStyle w:val="APVMATableText"/>
            </w:pPr>
            <w:r>
              <w:t>Desorption</w:t>
            </w:r>
          </w:p>
        </w:tc>
        <w:tc>
          <w:tcPr>
            <w:tcW w:w="3868" w:type="pct"/>
          </w:tcPr>
          <w:p w14:paraId="004DF0F4" w14:textId="77777777" w:rsidR="00CA5B2B" w:rsidRDefault="00CA5B2B" w:rsidP="00CA5B2B">
            <w:pPr>
              <w:pStyle w:val="APVMATableText"/>
            </w:pPr>
            <w:r>
              <w:t>Removal of a material from or through a surface</w:t>
            </w:r>
          </w:p>
        </w:tc>
      </w:tr>
      <w:tr w:rsidR="00CA5B2B" w14:paraId="7FA0A785" w14:textId="77777777" w:rsidTr="00772458">
        <w:tc>
          <w:tcPr>
            <w:tcW w:w="1132" w:type="pct"/>
          </w:tcPr>
          <w:p w14:paraId="21AD28E1" w14:textId="77777777" w:rsidR="00CA5B2B" w:rsidRDefault="00CA5B2B" w:rsidP="00CA5B2B">
            <w:pPr>
              <w:pStyle w:val="APVMATableText"/>
            </w:pPr>
            <w:r>
              <w:t>Efficacy</w:t>
            </w:r>
          </w:p>
        </w:tc>
        <w:tc>
          <w:tcPr>
            <w:tcW w:w="3868" w:type="pct"/>
          </w:tcPr>
          <w:p w14:paraId="0B05FBFC" w14:textId="77777777" w:rsidR="00CA5B2B" w:rsidRDefault="00CA5B2B" w:rsidP="00CA5B2B">
            <w:pPr>
              <w:pStyle w:val="APVMATableText"/>
            </w:pPr>
            <w:r>
              <w:t>Production of the desired effect</w:t>
            </w:r>
          </w:p>
        </w:tc>
      </w:tr>
      <w:tr w:rsidR="00CA5B2B" w14:paraId="36F32D84" w14:textId="77777777" w:rsidTr="00772458">
        <w:tc>
          <w:tcPr>
            <w:tcW w:w="1132" w:type="pct"/>
          </w:tcPr>
          <w:p w14:paraId="51478344" w14:textId="77777777" w:rsidR="00CA5B2B" w:rsidRDefault="00CA5B2B" w:rsidP="00CA5B2B">
            <w:pPr>
              <w:pStyle w:val="APVMATableText"/>
            </w:pPr>
            <w:r>
              <w:t>Formulation</w:t>
            </w:r>
          </w:p>
        </w:tc>
        <w:tc>
          <w:tcPr>
            <w:tcW w:w="3868" w:type="pct"/>
          </w:tcPr>
          <w:p w14:paraId="3F839B8C" w14:textId="77777777" w:rsidR="00CA5B2B" w:rsidRDefault="00CA5B2B" w:rsidP="00CA5B2B">
            <w:pPr>
              <w:pStyle w:val="APVMATableText"/>
            </w:pPr>
            <w:r>
              <w:t>A combination of both active and inactive constituents to form the end use product</w:t>
            </w:r>
          </w:p>
        </w:tc>
      </w:tr>
      <w:tr w:rsidR="00CA5B2B" w14:paraId="5D66D0A8" w14:textId="77777777" w:rsidTr="00772458">
        <w:tc>
          <w:tcPr>
            <w:tcW w:w="1132" w:type="pct"/>
          </w:tcPr>
          <w:p w14:paraId="2A25EAC2" w14:textId="77777777" w:rsidR="00CA5B2B" w:rsidRDefault="00CA5B2B" w:rsidP="00CA5B2B">
            <w:pPr>
              <w:pStyle w:val="APVMATableText"/>
            </w:pPr>
            <w:r>
              <w:t>Genotoxicity</w:t>
            </w:r>
          </w:p>
        </w:tc>
        <w:tc>
          <w:tcPr>
            <w:tcW w:w="3868" w:type="pct"/>
          </w:tcPr>
          <w:p w14:paraId="0BABEB19" w14:textId="77777777" w:rsidR="00CA5B2B" w:rsidRDefault="00CA5B2B" w:rsidP="00CA5B2B">
            <w:pPr>
              <w:pStyle w:val="APVMATableText"/>
            </w:pPr>
            <w:r>
              <w:t>The ability to damage genetic material</w:t>
            </w:r>
          </w:p>
        </w:tc>
      </w:tr>
      <w:tr w:rsidR="00CA5B2B" w14:paraId="2AD6F9CC" w14:textId="77777777" w:rsidTr="00772458">
        <w:tc>
          <w:tcPr>
            <w:tcW w:w="1132" w:type="pct"/>
          </w:tcPr>
          <w:p w14:paraId="67CE640F" w14:textId="77777777" w:rsidR="00CA5B2B" w:rsidRDefault="00CA5B2B" w:rsidP="00CA5B2B">
            <w:pPr>
              <w:pStyle w:val="APVMATableText"/>
            </w:pPr>
            <w:r>
              <w:t>Metabolism</w:t>
            </w:r>
          </w:p>
        </w:tc>
        <w:tc>
          <w:tcPr>
            <w:tcW w:w="3868" w:type="pct"/>
          </w:tcPr>
          <w:p w14:paraId="73E171C8" w14:textId="77777777" w:rsidR="00CA5B2B" w:rsidRDefault="00CA5B2B" w:rsidP="00CA5B2B">
            <w:pPr>
              <w:pStyle w:val="APVMATableText"/>
            </w:pPr>
            <w:r>
              <w:t>The chemical processes that maintain living organisms</w:t>
            </w:r>
          </w:p>
        </w:tc>
      </w:tr>
      <w:tr w:rsidR="00CA5B2B" w14:paraId="16D69C09" w14:textId="77777777" w:rsidTr="00772458">
        <w:tc>
          <w:tcPr>
            <w:tcW w:w="1132" w:type="pct"/>
          </w:tcPr>
          <w:p w14:paraId="1439CF91" w14:textId="77777777" w:rsidR="00CA5B2B" w:rsidRDefault="00CA5B2B" w:rsidP="00CA5B2B">
            <w:pPr>
              <w:pStyle w:val="APVMATableText"/>
            </w:pPr>
            <w:r>
              <w:t>Photodegradation</w:t>
            </w:r>
          </w:p>
        </w:tc>
        <w:tc>
          <w:tcPr>
            <w:tcW w:w="3868" w:type="pct"/>
          </w:tcPr>
          <w:p w14:paraId="08DCB9F5" w14:textId="77777777" w:rsidR="00CA5B2B" w:rsidRDefault="00CA5B2B" w:rsidP="00CA5B2B">
            <w:pPr>
              <w:pStyle w:val="APVMATableText"/>
            </w:pPr>
            <w:r>
              <w:t>Breakdown of chemicals due to the action of light</w:t>
            </w:r>
          </w:p>
        </w:tc>
      </w:tr>
      <w:tr w:rsidR="00CA5B2B" w14:paraId="13A107AE" w14:textId="77777777" w:rsidTr="00772458">
        <w:tc>
          <w:tcPr>
            <w:tcW w:w="1132" w:type="pct"/>
          </w:tcPr>
          <w:p w14:paraId="422CC94E" w14:textId="77777777" w:rsidR="00CA5B2B" w:rsidRDefault="00CA5B2B" w:rsidP="00CA5B2B">
            <w:pPr>
              <w:pStyle w:val="APVMATableText"/>
            </w:pPr>
            <w:r>
              <w:t>Photolysis</w:t>
            </w:r>
          </w:p>
        </w:tc>
        <w:tc>
          <w:tcPr>
            <w:tcW w:w="3868" w:type="pct"/>
          </w:tcPr>
          <w:p w14:paraId="4B338C7A" w14:textId="77777777" w:rsidR="00CA5B2B" w:rsidRDefault="00CA5B2B" w:rsidP="00CA5B2B">
            <w:pPr>
              <w:pStyle w:val="APVMATableText"/>
            </w:pPr>
            <w:r>
              <w:t>Breakdown of chemicals due to the action of light</w:t>
            </w:r>
          </w:p>
        </w:tc>
      </w:tr>
      <w:tr w:rsidR="00CA5B2B" w14:paraId="50303712" w14:textId="77777777" w:rsidTr="00772458">
        <w:tc>
          <w:tcPr>
            <w:tcW w:w="1132" w:type="pct"/>
          </w:tcPr>
          <w:p w14:paraId="06DA7702" w14:textId="77777777" w:rsidR="00CA5B2B" w:rsidRDefault="00CA5B2B" w:rsidP="00CA5B2B">
            <w:pPr>
              <w:pStyle w:val="APVMATableText"/>
            </w:pPr>
            <w:r>
              <w:t>Toxicology</w:t>
            </w:r>
          </w:p>
        </w:tc>
        <w:tc>
          <w:tcPr>
            <w:tcW w:w="3868" w:type="pct"/>
          </w:tcPr>
          <w:p w14:paraId="0614348A" w14:textId="77777777" w:rsidR="00CA5B2B" w:rsidRDefault="00CA5B2B" w:rsidP="00CA5B2B">
            <w:pPr>
              <w:pStyle w:val="APVMATableText"/>
            </w:pPr>
            <w:r>
              <w:t>The study of the nature and effects of poisons</w:t>
            </w:r>
          </w:p>
        </w:tc>
      </w:tr>
    </w:tbl>
    <w:p w14:paraId="64BD9C6E" w14:textId="77777777" w:rsidR="009346C3" w:rsidRDefault="009346C3" w:rsidP="00772458">
      <w:pPr>
        <w:pStyle w:val="APVMAText"/>
        <w:sectPr w:rsidR="009346C3">
          <w:headerReference w:type="default" r:id="rId45"/>
          <w:pgSz w:w="11906" w:h="16838" w:code="9"/>
          <w:pgMar w:top="2835" w:right="1134" w:bottom="1134" w:left="1134" w:header="1701" w:footer="680" w:gutter="0"/>
          <w:cols w:space="708"/>
          <w:docGrid w:linePitch="360"/>
        </w:sectPr>
      </w:pPr>
    </w:p>
    <w:p w14:paraId="59272191" w14:textId="18D9D898" w:rsidR="003329CF" w:rsidRDefault="003329CF" w:rsidP="003329CF">
      <w:pPr>
        <w:pStyle w:val="APVMAAppendixH1"/>
      </w:pPr>
      <w:bookmarkStart w:id="173" w:name="_Toc231963196"/>
      <w:bookmarkStart w:id="174" w:name="_Toc531181111"/>
      <w:bookmarkStart w:id="175" w:name="_Toc7561297"/>
      <w:bookmarkStart w:id="176" w:name="_Toc228527321"/>
      <w:r>
        <w:lastRenderedPageBreak/>
        <w:t>References</w:t>
      </w:r>
      <w:bookmarkEnd w:id="173"/>
      <w:bookmarkEnd w:id="174"/>
      <w:bookmarkEnd w:id="175"/>
      <w:bookmarkEnd w:id="176"/>
    </w:p>
    <w:p w14:paraId="4B7AA211" w14:textId="77777777" w:rsidR="00D47B71" w:rsidRPr="00D47B71" w:rsidRDefault="00D47B71" w:rsidP="00D47B71">
      <w:pPr>
        <w:pStyle w:val="InstructionalText"/>
        <w:rPr>
          <w:bCs/>
          <w:color w:val="auto"/>
          <w:sz w:val="20"/>
          <w:szCs w:val="20"/>
        </w:rPr>
      </w:pPr>
      <w:r w:rsidRPr="00D47B71">
        <w:rPr>
          <w:bCs/>
          <w:i/>
          <w:color w:val="auto"/>
          <w:sz w:val="20"/>
          <w:szCs w:val="20"/>
        </w:rPr>
        <w:t>Agricultural and Veterinary Chemicals Code Act</w:t>
      </w:r>
      <w:r w:rsidRPr="00D47B71">
        <w:rPr>
          <w:bCs/>
          <w:color w:val="auto"/>
          <w:sz w:val="20"/>
          <w:szCs w:val="20"/>
        </w:rPr>
        <w:t xml:space="preserve"> (1994) (Cth)</w:t>
      </w:r>
    </w:p>
    <w:p w14:paraId="3AA8408A" w14:textId="77777777" w:rsidR="00D47B71" w:rsidRPr="00D47B71" w:rsidRDefault="00D47B71" w:rsidP="00D47B71">
      <w:pPr>
        <w:pStyle w:val="InstructionalText"/>
        <w:rPr>
          <w:bCs/>
          <w:sz w:val="20"/>
          <w:szCs w:val="20"/>
        </w:rPr>
      </w:pPr>
      <w:r w:rsidRPr="00D47B71">
        <w:rPr>
          <w:bCs/>
          <w:color w:val="auto"/>
          <w:sz w:val="20"/>
          <w:szCs w:val="20"/>
        </w:rPr>
        <w:t>APVMA (2018). Spray Drift Risk Assessment Tool (SDRAT) – Version 1.0. Australian Pesticides and Veterinary Medicines Authority.</w:t>
      </w:r>
      <w:r w:rsidRPr="00D47B71">
        <w:rPr>
          <w:bCs/>
          <w:sz w:val="20"/>
          <w:szCs w:val="20"/>
        </w:rPr>
        <w:t xml:space="preserve"> </w:t>
      </w:r>
      <w:hyperlink r:id="rId46" w:history="1">
        <w:r w:rsidRPr="00D47B71">
          <w:rPr>
            <w:rStyle w:val="Hyperlink"/>
            <w:bCs/>
            <w:sz w:val="20"/>
            <w:szCs w:val="20"/>
          </w:rPr>
          <w:t>https://apvma.gov.au/node/28086</w:t>
        </w:r>
      </w:hyperlink>
      <w:r w:rsidRPr="00D47B71">
        <w:rPr>
          <w:bCs/>
          <w:sz w:val="20"/>
          <w:szCs w:val="20"/>
        </w:rPr>
        <w:t xml:space="preserve">. </w:t>
      </w:r>
    </w:p>
    <w:p w14:paraId="63C0CA38" w14:textId="77777777" w:rsidR="00D47B71" w:rsidRPr="00D47B71" w:rsidRDefault="00D47B71" w:rsidP="00D47B71">
      <w:pPr>
        <w:pStyle w:val="InstructionalText"/>
        <w:rPr>
          <w:bCs/>
          <w:sz w:val="20"/>
          <w:szCs w:val="20"/>
          <w:u w:val="single"/>
        </w:rPr>
      </w:pPr>
      <w:r w:rsidRPr="00D47B71">
        <w:rPr>
          <w:bCs/>
          <w:color w:val="auto"/>
          <w:sz w:val="20"/>
          <w:szCs w:val="20"/>
        </w:rPr>
        <w:t xml:space="preserve">APVMA (2024). FAISD Handbook. </w:t>
      </w:r>
      <w:hyperlink r:id="rId47" w:history="1">
        <w:r w:rsidRPr="00D47B71">
          <w:rPr>
            <w:rStyle w:val="Hyperlink"/>
            <w:bCs/>
            <w:sz w:val="20"/>
            <w:szCs w:val="20"/>
          </w:rPr>
          <w:t>https://apvma.gov.au/node/26586</w:t>
        </w:r>
      </w:hyperlink>
      <w:r w:rsidRPr="00D47B71">
        <w:rPr>
          <w:bCs/>
          <w:sz w:val="20"/>
          <w:szCs w:val="20"/>
          <w:u w:val="single"/>
        </w:rPr>
        <w:t>.</w:t>
      </w:r>
    </w:p>
    <w:p w14:paraId="37994240" w14:textId="5EBF418B" w:rsidR="000F61C3" w:rsidRDefault="000F61C3" w:rsidP="00D47B71">
      <w:pPr>
        <w:pStyle w:val="InstructionalText"/>
        <w:rPr>
          <w:bCs/>
          <w:color w:val="auto"/>
          <w:sz w:val="20"/>
          <w:szCs w:val="20"/>
        </w:rPr>
      </w:pPr>
      <w:r w:rsidRPr="000F61C3">
        <w:rPr>
          <w:bCs/>
          <w:color w:val="auto"/>
          <w:sz w:val="20"/>
          <w:szCs w:val="20"/>
        </w:rPr>
        <w:t>Dorling, S. J.; McManus, M. T.; The Fate of ACC in Higher Plants; Annual Plant Reviews (2012), 44, 83-115.</w:t>
      </w:r>
    </w:p>
    <w:p w14:paraId="660835BE" w14:textId="754372D5" w:rsidR="00D47B71" w:rsidRPr="00D47B71" w:rsidRDefault="00D47B71" w:rsidP="00D47B71">
      <w:pPr>
        <w:pStyle w:val="InstructionalText"/>
        <w:rPr>
          <w:bCs/>
          <w:sz w:val="20"/>
          <w:szCs w:val="20"/>
        </w:rPr>
      </w:pPr>
      <w:r w:rsidRPr="00D47B71">
        <w:rPr>
          <w:bCs/>
          <w:color w:val="auto"/>
          <w:sz w:val="20"/>
          <w:szCs w:val="20"/>
        </w:rPr>
        <w:t>Health (2024). Standard for the Uniform Scheduling of Medicines and Poisons (SUSMP). Legislative Instrument - The Poisons Standard. Australian Federal Government Department of Health and Aged Care. (</w:t>
      </w:r>
      <w:hyperlink r:id="rId48" w:history="1">
        <w:r w:rsidRPr="00D47B71">
          <w:rPr>
            <w:rStyle w:val="Hyperlink"/>
            <w:bCs/>
            <w:sz w:val="20"/>
            <w:szCs w:val="20"/>
          </w:rPr>
          <w:t>https://www.tga.gov.au/publication/poisons-standard-susmp</w:t>
        </w:r>
      </w:hyperlink>
      <w:r w:rsidRPr="00D47B71">
        <w:rPr>
          <w:bCs/>
          <w:color w:val="auto"/>
          <w:sz w:val="20"/>
          <w:szCs w:val="20"/>
        </w:rPr>
        <w:t>)</w:t>
      </w:r>
    </w:p>
    <w:sectPr w:rsidR="00D47B71" w:rsidRPr="00D47B71">
      <w:headerReference w:type="default" r:id="rId49"/>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38A2" w14:textId="77777777" w:rsidR="00B53825" w:rsidRDefault="00B53825">
      <w:r>
        <w:separator/>
      </w:r>
    </w:p>
    <w:p w14:paraId="1506400C" w14:textId="77777777" w:rsidR="00B53825" w:rsidRDefault="00B53825"/>
    <w:p w14:paraId="2BD3D1BF" w14:textId="77777777" w:rsidR="00B53825" w:rsidRDefault="00B53825"/>
    <w:p w14:paraId="78224781" w14:textId="77777777" w:rsidR="00B53825" w:rsidRDefault="00B53825"/>
  </w:endnote>
  <w:endnote w:type="continuationSeparator" w:id="0">
    <w:p w14:paraId="58D00B3D" w14:textId="77777777" w:rsidR="00B53825" w:rsidRDefault="00B53825">
      <w:r>
        <w:continuationSeparator/>
      </w:r>
    </w:p>
    <w:p w14:paraId="404C1799" w14:textId="77777777" w:rsidR="00B53825" w:rsidRDefault="00B53825"/>
    <w:p w14:paraId="42322CC3" w14:textId="77777777" w:rsidR="00B53825" w:rsidRDefault="00B53825"/>
    <w:p w14:paraId="19EC0910" w14:textId="77777777" w:rsidR="00B53825" w:rsidRDefault="00B53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F6BF" w14:textId="77777777" w:rsidR="00C22447" w:rsidRDefault="00C22447">
    <w:pPr>
      <w:pStyle w:val="Footer"/>
    </w:pPr>
  </w:p>
  <w:p w14:paraId="2A31A066" w14:textId="77777777" w:rsidR="00843899" w:rsidRDefault="008438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8454" w14:textId="77777777" w:rsidR="000A19DC" w:rsidRDefault="000A19DC">
    <w:pPr>
      <w:pStyle w:val="BodyText0"/>
      <w:spacing w:before="0"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4A10" w14:textId="77777777" w:rsidR="00B53825" w:rsidRDefault="00B53825">
      <w:r>
        <w:separator/>
      </w:r>
    </w:p>
    <w:p w14:paraId="066B2028" w14:textId="77777777" w:rsidR="00B53825" w:rsidRDefault="00B53825"/>
  </w:footnote>
  <w:footnote w:type="continuationSeparator" w:id="0">
    <w:p w14:paraId="38E2FE2F" w14:textId="77777777" w:rsidR="00B53825" w:rsidRDefault="00B53825">
      <w:pPr>
        <w:spacing w:line="180" w:lineRule="exact"/>
        <w:rPr>
          <w:sz w:val="16"/>
        </w:rPr>
      </w:pPr>
      <w:r>
        <w:rPr>
          <w:sz w:val="16"/>
        </w:rPr>
        <w:continuationSeparator/>
      </w:r>
    </w:p>
    <w:p w14:paraId="773E17CE" w14:textId="77777777" w:rsidR="00B53825" w:rsidRDefault="00B53825"/>
    <w:p w14:paraId="242425A9" w14:textId="77777777" w:rsidR="00B53825" w:rsidRDefault="00B53825"/>
    <w:p w14:paraId="19C5868F" w14:textId="77777777" w:rsidR="00B53825" w:rsidRDefault="00B53825"/>
  </w:footnote>
  <w:footnote w:type="continuationNotice" w:id="1">
    <w:p w14:paraId="13A96089" w14:textId="77777777" w:rsidR="00B53825" w:rsidRDefault="00B53825"/>
    <w:p w14:paraId="63E932B2" w14:textId="77777777" w:rsidR="00B53825" w:rsidRDefault="00B53825"/>
    <w:p w14:paraId="044AC915" w14:textId="77777777" w:rsidR="00B53825" w:rsidRDefault="00B53825"/>
    <w:p w14:paraId="4410EC1E" w14:textId="77777777" w:rsidR="00B53825" w:rsidRDefault="00B53825"/>
  </w:footnote>
  <w:footnote w:id="2">
    <w:p w14:paraId="28217D15" w14:textId="7EF57208" w:rsidR="00181A72" w:rsidRPr="004B7ED7" w:rsidRDefault="00181A72">
      <w:pPr>
        <w:pStyle w:val="FootnoteText"/>
        <w:rPr>
          <w:i/>
          <w:iCs/>
        </w:rPr>
      </w:pPr>
      <w:r>
        <w:rPr>
          <w:rStyle w:val="FootnoteReference"/>
        </w:rPr>
        <w:footnoteRef/>
      </w:r>
      <w:r>
        <w:t xml:space="preserve"> Dorling, S. J.; McManus, M. T.</w:t>
      </w:r>
      <w:r w:rsidR="004B7ED7">
        <w:t xml:space="preserve">; The Fate of ACC in Higher Plants; </w:t>
      </w:r>
      <w:r w:rsidR="004B7ED7">
        <w:rPr>
          <w:i/>
          <w:iCs/>
        </w:rPr>
        <w:t xml:space="preserve">Annual Plant Reviews </w:t>
      </w:r>
      <w:r w:rsidR="004B7ED7" w:rsidRPr="004B7ED7">
        <w:t>(2012), 44, 83-115</w:t>
      </w:r>
      <w:r w:rsidR="004B7ED7">
        <w:rPr>
          <w:i/>
          <w:iCs/>
        </w:rPr>
        <w:t>.</w:t>
      </w:r>
    </w:p>
  </w:footnote>
  <w:footnote w:id="3">
    <w:p w14:paraId="29C9D8AE" w14:textId="167B344F" w:rsidR="002D3DF8" w:rsidRDefault="002D3DF8">
      <w:pPr>
        <w:pStyle w:val="FootnoteText"/>
      </w:pPr>
      <w:r>
        <w:rPr>
          <w:rStyle w:val="FootnoteReference"/>
        </w:rPr>
        <w:footnoteRef/>
      </w:r>
      <w:r>
        <w:t xml:space="preserve"> </w:t>
      </w:r>
      <w:r w:rsidRPr="002D3DF8">
        <w:t>The abbreviation BBCH derives from Biologische Bundesanstalt, Bundessortenamt and CHemical industry</w:t>
      </w:r>
      <w:r>
        <w:t xml:space="preserve">. </w:t>
      </w:r>
      <w:r w:rsidRPr="002D3DF8">
        <w:t>The BBCH-scale is used to identify the phenological development stages of plants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D72C" w14:textId="0094DCBD" w:rsidR="00CC5161" w:rsidRDefault="00CC5161">
    <w:pPr>
      <w:pStyle w:val="APVMAOddHeader"/>
    </w:pPr>
    <w:r>
      <w:tab/>
    </w:r>
    <w:r w:rsidR="00CA5B2B">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15</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8B9B" w14:textId="185573AA" w:rsidR="00BF436A" w:rsidRDefault="006D5D6C">
    <w:pPr>
      <w:pStyle w:val="APVMAOddHeader"/>
    </w:pPr>
    <w:r>
      <w:tab/>
      <w:t>W</w:t>
    </w:r>
    <w:r w:rsidR="00BF436A">
      <w:t>ork health and safety assessment</w:t>
    </w:r>
    <w:r w:rsidR="00BF436A">
      <w:tab/>
    </w:r>
    <w:r w:rsidR="00BF436A">
      <w:rPr>
        <w:rStyle w:val="PageNumber"/>
        <w:rFonts w:cs="Times New Roman"/>
        <w:b w:val="0"/>
        <w:bCs w:val="0"/>
        <w:caps/>
        <w:szCs w:val="24"/>
      </w:rPr>
      <w:fldChar w:fldCharType="begin"/>
    </w:r>
    <w:r w:rsidR="00BF436A">
      <w:rPr>
        <w:rStyle w:val="PageNumber"/>
        <w:rFonts w:cs="Times New Roman"/>
        <w:bCs w:val="0"/>
        <w:szCs w:val="24"/>
      </w:rPr>
      <w:instrText xml:space="preserve"> PAGE </w:instrText>
    </w:r>
    <w:r w:rsidR="00BF436A">
      <w:rPr>
        <w:rStyle w:val="PageNumber"/>
        <w:rFonts w:cs="Times New Roman"/>
        <w:b w:val="0"/>
        <w:bCs w:val="0"/>
        <w:caps/>
        <w:szCs w:val="24"/>
      </w:rPr>
      <w:fldChar w:fldCharType="separate"/>
    </w:r>
    <w:r w:rsidR="0076267D">
      <w:rPr>
        <w:rStyle w:val="PageNumber"/>
        <w:rFonts w:cs="Times New Roman"/>
        <w:bCs w:val="0"/>
        <w:noProof/>
        <w:szCs w:val="24"/>
      </w:rPr>
      <w:t>15</w:t>
    </w:r>
    <w:r w:rsidR="00BF436A">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1705" w14:textId="20A5851F" w:rsidR="00CC5161" w:rsidRDefault="00CC5161">
    <w:pPr>
      <w:pStyle w:val="APVMAOddHeader"/>
    </w:pPr>
    <w:r>
      <w:tab/>
    </w:r>
    <w:r w:rsidR="00CA5B2B">
      <w:t>Environmental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17</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67AD" w14:textId="3CFEDB58" w:rsidR="00CC5161" w:rsidRDefault="00CC5161">
    <w:pPr>
      <w:pStyle w:val="APVMAOddHeader"/>
    </w:pPr>
    <w:r>
      <w:tab/>
    </w:r>
    <w:r w:rsidR="00CA5B2B">
      <w:t>Efficacy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19</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BD43" w14:textId="4700D6E1" w:rsidR="00BF436A" w:rsidRDefault="00BF436A">
    <w:pPr>
      <w:pStyle w:val="APVMAOddHeader"/>
    </w:pPr>
    <w:r>
      <w:tab/>
    </w:r>
    <w:r w:rsidR="00772458">
      <w:t>Spray drift</w:t>
    </w:r>
    <w:r>
      <w:t xml:space="preserve"> </w:t>
    </w:r>
    <w:r w:rsidR="00E013E8">
      <w:t>assessment</w:t>
    </w:r>
    <w:r w:rsidR="00E013E8">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19</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F944" w14:textId="77777777" w:rsidR="00274331" w:rsidRDefault="00274331" w:rsidP="00274331">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24</w:t>
    </w:r>
    <w:r>
      <w:rPr>
        <w:rStyle w:val="PageNumber"/>
        <w:b w:val="0"/>
        <w:caps/>
        <w:szCs w:val="24"/>
      </w:rPr>
      <w:fldChar w:fldCharType="end"/>
    </w:r>
    <w:r>
      <w:tab/>
      <w:t>PRS on the evaluation of the new active 1-aminocycloprane-1-carboxylic acid</w:t>
    </w: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73FB" w14:textId="7C987078" w:rsidR="00CC5161" w:rsidRDefault="00CC5161">
    <w:pPr>
      <w:pStyle w:val="APVMAOddHeader"/>
    </w:pPr>
    <w:r>
      <w:tab/>
    </w:r>
    <w:r w:rsidR="00CA5B2B" w:rsidRPr="00CA5B2B">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21</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41E" w14:textId="15B8E822" w:rsidR="00CC5161" w:rsidRDefault="00CC5161">
    <w:pPr>
      <w:pStyle w:val="APVMAOddHeader"/>
    </w:pPr>
    <w:r>
      <w:tab/>
    </w:r>
    <w:r w:rsidR="00CA5B2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23</w:t>
    </w:r>
    <w:r>
      <w:rPr>
        <w:rStyle w:val="PageNumber"/>
        <w:rFonts w:cs="Times New Roman"/>
        <w:b w:val="0"/>
        <w:bCs w:val="0"/>
        <w:caps/>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7A11" w14:textId="3B2231CB" w:rsidR="00CC5161" w:rsidRDefault="00CC5161">
    <w:pPr>
      <w:pStyle w:val="APVMAOddHeader"/>
    </w:pPr>
    <w:r>
      <w:tab/>
    </w:r>
    <w:r w:rsidR="00CA5B2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25</w:t>
    </w:r>
    <w:r>
      <w:rPr>
        <w:rStyle w:val="PageNumber"/>
        <w:rFonts w:cs="Times New Roman"/>
        <w:b w:val="0"/>
        <w:bCs w:val="0"/>
        <w:caps/>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AACF" w14:textId="37C973E0"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76267D">
      <w:rPr>
        <w:rStyle w:val="PageNumber"/>
        <w:rFonts w:cs="Times New Roman"/>
        <w:bCs w:val="0"/>
        <w:noProof/>
        <w:szCs w:val="24"/>
      </w:rPr>
      <w:t>27</w:t>
    </w:r>
    <w:r w:rsidR="000C1518">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0BDE" w14:textId="77777777" w:rsidR="00CD4C9F" w:rsidRPr="00CD4C9F" w:rsidRDefault="00CD4C9F" w:rsidP="00CD4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2CA4" w14:textId="480C01CA" w:rsidR="00274331" w:rsidRDefault="00274331" w:rsidP="00274331">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24</w:t>
    </w:r>
    <w:r>
      <w:rPr>
        <w:rStyle w:val="PageNumber"/>
        <w:b w:val="0"/>
        <w:caps/>
        <w:szCs w:val="24"/>
      </w:rPr>
      <w:fldChar w:fldCharType="end"/>
    </w:r>
    <w:r>
      <w:tab/>
      <w:t xml:space="preserve">PRS on the evaluation of the new active </w:t>
    </w:r>
    <w:r w:rsidR="00CD4C9F" w:rsidRPr="00CD4C9F">
      <w:t>1-aminocyclopropane-1-carboxylic acid</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9E98" w14:textId="099904F8" w:rsidR="00843899" w:rsidRDefault="00CC5161" w:rsidP="007F6D92">
    <w:pPr>
      <w:pStyle w:val="APVMAOddHeader"/>
    </w:pPr>
    <w:r>
      <w:tab/>
    </w:r>
    <w:r w:rsidR="00424637">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0AE5" w14:textId="2F74E477" w:rsidR="00424637" w:rsidRDefault="00424637" w:rsidP="007F6D92">
    <w:pPr>
      <w:pStyle w:val="APVMA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3</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BF40" w14:textId="6E988489" w:rsidR="00843899" w:rsidRDefault="00CC5161" w:rsidP="007F6D92">
    <w:pPr>
      <w:pStyle w:val="APVMAOddHeader"/>
    </w:pPr>
    <w:r>
      <w:tab/>
    </w:r>
    <w:r w:rsidR="00CA5B2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5</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F9E2" w14:textId="388D8DF6" w:rsidR="00CC5161" w:rsidRDefault="00CC5161" w:rsidP="00AB659C">
    <w:pPr>
      <w:pStyle w:val="APVMAOddHeader"/>
    </w:pPr>
    <w:r>
      <w:tab/>
    </w:r>
    <w:r w:rsidR="00CA5B2B">
      <w:t>C</w:t>
    </w:r>
    <w:r w:rsidR="00BF436A">
      <w:t>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7</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974F" w14:textId="22F93871" w:rsidR="00CC5161" w:rsidRDefault="00CC5161">
    <w:pPr>
      <w:pStyle w:val="APVMAOddHeader"/>
    </w:pPr>
    <w:r>
      <w:tab/>
    </w:r>
    <w:r w:rsidR="00CA5B2B">
      <w:t>Toxicological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9</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04DF" w14:textId="19C3B2F9" w:rsidR="00843899" w:rsidRDefault="00CC5161" w:rsidP="00CA5B2B">
    <w:pPr>
      <w:pStyle w:val="APVMAOddHeader"/>
    </w:pPr>
    <w:r>
      <w:tab/>
    </w:r>
    <w:r w:rsidR="00CA5B2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13</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CE7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E850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425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9A72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6A3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90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CEE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267D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3E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26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693621"/>
    <w:multiLevelType w:val="hybridMultilevel"/>
    <w:tmpl w:val="B282AA98"/>
    <w:lvl w:ilvl="0" w:tplc="9D7E5BE0">
      <w:start w:val="1"/>
      <w:numFmt w:val="bullet"/>
      <w:lvlText w:val=""/>
      <w:lvlJc w:val="left"/>
      <w:pPr>
        <w:tabs>
          <w:tab w:val="num" w:pos="684"/>
        </w:tabs>
        <w:ind w:left="684"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06D84301"/>
    <w:multiLevelType w:val="hybridMultilevel"/>
    <w:tmpl w:val="D1CE4470"/>
    <w:lvl w:ilvl="0" w:tplc="FB5E0226">
      <w:start w:val="1"/>
      <w:numFmt w:val="bullet"/>
      <w:pStyle w:val="APVMA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3305251"/>
    <w:multiLevelType w:val="hybridMultilevel"/>
    <w:tmpl w:val="F7F05C88"/>
    <w:lvl w:ilvl="0" w:tplc="0C090001">
      <w:start w:val="1"/>
      <w:numFmt w:val="bullet"/>
      <w:lvlText w:val=""/>
      <w:lvlJc w:val="left"/>
      <w:pPr>
        <w:ind w:left="360" w:hanging="360"/>
      </w:pPr>
      <w:rPr>
        <w:rFonts w:ascii="Symbol" w:hAnsi="Symbol" w:hint="default"/>
        <w:w w:val="99"/>
      </w:rPr>
    </w:lvl>
    <w:lvl w:ilvl="1" w:tplc="0C090003" w:tentative="1">
      <w:start w:val="1"/>
      <w:numFmt w:val="bullet"/>
      <w:lvlText w:val="o"/>
      <w:lvlJc w:val="left"/>
      <w:pPr>
        <w:ind w:left="959" w:hanging="360"/>
      </w:pPr>
      <w:rPr>
        <w:rFonts w:ascii="Courier New" w:hAnsi="Courier New" w:cs="Courier New" w:hint="default"/>
      </w:rPr>
    </w:lvl>
    <w:lvl w:ilvl="2" w:tplc="0C090005" w:tentative="1">
      <w:start w:val="1"/>
      <w:numFmt w:val="bullet"/>
      <w:lvlText w:val=""/>
      <w:lvlJc w:val="left"/>
      <w:pPr>
        <w:ind w:left="1679" w:hanging="360"/>
      </w:pPr>
      <w:rPr>
        <w:rFonts w:ascii="Wingdings" w:hAnsi="Wingdings" w:hint="default"/>
      </w:rPr>
    </w:lvl>
    <w:lvl w:ilvl="3" w:tplc="0C090001" w:tentative="1">
      <w:start w:val="1"/>
      <w:numFmt w:val="bullet"/>
      <w:lvlText w:val=""/>
      <w:lvlJc w:val="left"/>
      <w:pPr>
        <w:ind w:left="2399" w:hanging="360"/>
      </w:pPr>
      <w:rPr>
        <w:rFonts w:ascii="Symbol" w:hAnsi="Symbol" w:hint="default"/>
      </w:rPr>
    </w:lvl>
    <w:lvl w:ilvl="4" w:tplc="0C090003" w:tentative="1">
      <w:start w:val="1"/>
      <w:numFmt w:val="bullet"/>
      <w:lvlText w:val="o"/>
      <w:lvlJc w:val="left"/>
      <w:pPr>
        <w:ind w:left="3119" w:hanging="360"/>
      </w:pPr>
      <w:rPr>
        <w:rFonts w:ascii="Courier New" w:hAnsi="Courier New" w:cs="Courier New" w:hint="default"/>
      </w:rPr>
    </w:lvl>
    <w:lvl w:ilvl="5" w:tplc="0C090005" w:tentative="1">
      <w:start w:val="1"/>
      <w:numFmt w:val="bullet"/>
      <w:lvlText w:val=""/>
      <w:lvlJc w:val="left"/>
      <w:pPr>
        <w:ind w:left="3839" w:hanging="360"/>
      </w:pPr>
      <w:rPr>
        <w:rFonts w:ascii="Wingdings" w:hAnsi="Wingdings" w:hint="default"/>
      </w:rPr>
    </w:lvl>
    <w:lvl w:ilvl="6" w:tplc="0C090001" w:tentative="1">
      <w:start w:val="1"/>
      <w:numFmt w:val="bullet"/>
      <w:lvlText w:val=""/>
      <w:lvlJc w:val="left"/>
      <w:pPr>
        <w:ind w:left="4559" w:hanging="360"/>
      </w:pPr>
      <w:rPr>
        <w:rFonts w:ascii="Symbol" w:hAnsi="Symbol" w:hint="default"/>
      </w:rPr>
    </w:lvl>
    <w:lvl w:ilvl="7" w:tplc="0C090003" w:tentative="1">
      <w:start w:val="1"/>
      <w:numFmt w:val="bullet"/>
      <w:lvlText w:val="o"/>
      <w:lvlJc w:val="left"/>
      <w:pPr>
        <w:ind w:left="5279" w:hanging="360"/>
      </w:pPr>
      <w:rPr>
        <w:rFonts w:ascii="Courier New" w:hAnsi="Courier New" w:cs="Courier New" w:hint="default"/>
      </w:rPr>
    </w:lvl>
    <w:lvl w:ilvl="8" w:tplc="0C090005" w:tentative="1">
      <w:start w:val="1"/>
      <w:numFmt w:val="bullet"/>
      <w:lvlText w:val=""/>
      <w:lvlJc w:val="left"/>
      <w:pPr>
        <w:ind w:left="5999" w:hanging="360"/>
      </w:pPr>
      <w:rPr>
        <w:rFonts w:ascii="Wingdings" w:hAnsi="Wingdings" w:hint="default"/>
      </w:rPr>
    </w:lvl>
  </w:abstractNum>
  <w:abstractNum w:abstractNumId="17"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61E70"/>
    <w:multiLevelType w:val="hybridMultilevel"/>
    <w:tmpl w:val="C64E5236"/>
    <w:lvl w:ilvl="0" w:tplc="EDEC1B50">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6"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7"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6052009">
    <w:abstractNumId w:val="22"/>
  </w:num>
  <w:num w:numId="2" w16cid:durableId="1847817366">
    <w:abstractNumId w:val="22"/>
  </w:num>
  <w:num w:numId="3" w16cid:durableId="628050759">
    <w:abstractNumId w:val="19"/>
  </w:num>
  <w:num w:numId="4" w16cid:durableId="604269072">
    <w:abstractNumId w:val="20"/>
  </w:num>
  <w:num w:numId="5" w16cid:durableId="647785159">
    <w:abstractNumId w:val="19"/>
  </w:num>
  <w:num w:numId="6" w16cid:durableId="955450296">
    <w:abstractNumId w:val="25"/>
  </w:num>
  <w:num w:numId="7" w16cid:durableId="295457348">
    <w:abstractNumId w:val="21"/>
  </w:num>
  <w:num w:numId="8" w16cid:durableId="1343507694">
    <w:abstractNumId w:val="12"/>
  </w:num>
  <w:num w:numId="9" w16cid:durableId="1686057297">
    <w:abstractNumId w:val="10"/>
  </w:num>
  <w:num w:numId="10" w16cid:durableId="1851598727">
    <w:abstractNumId w:val="14"/>
  </w:num>
  <w:num w:numId="11" w16cid:durableId="1106190607">
    <w:abstractNumId w:val="18"/>
  </w:num>
  <w:num w:numId="12" w16cid:durableId="1346205001">
    <w:abstractNumId w:val="25"/>
  </w:num>
  <w:num w:numId="13" w16cid:durableId="661276574">
    <w:abstractNumId w:val="25"/>
  </w:num>
  <w:num w:numId="14" w16cid:durableId="714548653">
    <w:abstractNumId w:val="19"/>
  </w:num>
  <w:num w:numId="15" w16cid:durableId="799765265">
    <w:abstractNumId w:val="12"/>
  </w:num>
  <w:num w:numId="16" w16cid:durableId="1633704688">
    <w:abstractNumId w:val="20"/>
  </w:num>
  <w:num w:numId="17" w16cid:durableId="783810623">
    <w:abstractNumId w:val="10"/>
  </w:num>
  <w:num w:numId="18" w16cid:durableId="921639575">
    <w:abstractNumId w:val="14"/>
  </w:num>
  <w:num w:numId="19" w16cid:durableId="552737622">
    <w:abstractNumId w:val="22"/>
  </w:num>
  <w:num w:numId="20" w16cid:durableId="1700619928">
    <w:abstractNumId w:val="26"/>
  </w:num>
  <w:num w:numId="21" w16cid:durableId="362511644">
    <w:abstractNumId w:val="13"/>
  </w:num>
  <w:num w:numId="22" w16cid:durableId="2122407760">
    <w:abstractNumId w:val="27"/>
  </w:num>
  <w:num w:numId="23" w16cid:durableId="972710519">
    <w:abstractNumId w:val="17"/>
  </w:num>
  <w:num w:numId="24" w16cid:durableId="1108230682">
    <w:abstractNumId w:val="9"/>
  </w:num>
  <w:num w:numId="25" w16cid:durableId="2098213734">
    <w:abstractNumId w:val="7"/>
  </w:num>
  <w:num w:numId="26" w16cid:durableId="1503550829">
    <w:abstractNumId w:val="6"/>
  </w:num>
  <w:num w:numId="27" w16cid:durableId="1721320190">
    <w:abstractNumId w:val="5"/>
  </w:num>
  <w:num w:numId="28" w16cid:durableId="76024552">
    <w:abstractNumId w:val="4"/>
  </w:num>
  <w:num w:numId="29" w16cid:durableId="784806434">
    <w:abstractNumId w:val="8"/>
  </w:num>
  <w:num w:numId="30" w16cid:durableId="939531888">
    <w:abstractNumId w:val="3"/>
  </w:num>
  <w:num w:numId="31" w16cid:durableId="1534616703">
    <w:abstractNumId w:val="2"/>
  </w:num>
  <w:num w:numId="32" w16cid:durableId="2043894185">
    <w:abstractNumId w:val="1"/>
  </w:num>
  <w:num w:numId="33" w16cid:durableId="176431912">
    <w:abstractNumId w:val="0"/>
  </w:num>
  <w:num w:numId="34" w16cid:durableId="1861091328">
    <w:abstractNumId w:val="24"/>
  </w:num>
  <w:num w:numId="35" w16cid:durableId="1058287549">
    <w:abstractNumId w:val="15"/>
  </w:num>
  <w:num w:numId="36" w16cid:durableId="796065988">
    <w:abstractNumId w:val="25"/>
  </w:num>
  <w:num w:numId="37" w16cid:durableId="221795795">
    <w:abstractNumId w:val="23"/>
  </w:num>
  <w:num w:numId="38" w16cid:durableId="1818953470">
    <w:abstractNumId w:val="16"/>
  </w:num>
  <w:num w:numId="39" w16cid:durableId="3733080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4F9C"/>
    <w:rsid w:val="000124F2"/>
    <w:rsid w:val="00017CE2"/>
    <w:rsid w:val="00032787"/>
    <w:rsid w:val="00043C5D"/>
    <w:rsid w:val="0004611A"/>
    <w:rsid w:val="00047D62"/>
    <w:rsid w:val="000518D6"/>
    <w:rsid w:val="00054B48"/>
    <w:rsid w:val="000642F7"/>
    <w:rsid w:val="00067056"/>
    <w:rsid w:val="00067828"/>
    <w:rsid w:val="000765C1"/>
    <w:rsid w:val="0008350E"/>
    <w:rsid w:val="00083C54"/>
    <w:rsid w:val="00096163"/>
    <w:rsid w:val="000A19DC"/>
    <w:rsid w:val="000A7EF6"/>
    <w:rsid w:val="000B0CF5"/>
    <w:rsid w:val="000B5E64"/>
    <w:rsid w:val="000C1518"/>
    <w:rsid w:val="000C2C1B"/>
    <w:rsid w:val="000C5EB1"/>
    <w:rsid w:val="000D124E"/>
    <w:rsid w:val="000D49ED"/>
    <w:rsid w:val="000D4B2C"/>
    <w:rsid w:val="000E0F2D"/>
    <w:rsid w:val="000E52D8"/>
    <w:rsid w:val="000E7D12"/>
    <w:rsid w:val="000F61C3"/>
    <w:rsid w:val="00102636"/>
    <w:rsid w:val="0011280D"/>
    <w:rsid w:val="00120E00"/>
    <w:rsid w:val="001320D9"/>
    <w:rsid w:val="001358FB"/>
    <w:rsid w:val="001467C0"/>
    <w:rsid w:val="001534D8"/>
    <w:rsid w:val="00161FB5"/>
    <w:rsid w:val="00162023"/>
    <w:rsid w:val="0016652E"/>
    <w:rsid w:val="00166CA5"/>
    <w:rsid w:val="00167BB3"/>
    <w:rsid w:val="00174413"/>
    <w:rsid w:val="00174E15"/>
    <w:rsid w:val="00177D1E"/>
    <w:rsid w:val="00181A72"/>
    <w:rsid w:val="00184190"/>
    <w:rsid w:val="0018440A"/>
    <w:rsid w:val="00192BCD"/>
    <w:rsid w:val="00193533"/>
    <w:rsid w:val="00193BCC"/>
    <w:rsid w:val="001B335C"/>
    <w:rsid w:val="001B7360"/>
    <w:rsid w:val="001B78EA"/>
    <w:rsid w:val="001C6607"/>
    <w:rsid w:val="001D0B2F"/>
    <w:rsid w:val="001D3257"/>
    <w:rsid w:val="001F229A"/>
    <w:rsid w:val="001F5221"/>
    <w:rsid w:val="001F5D05"/>
    <w:rsid w:val="002010DC"/>
    <w:rsid w:val="00210B9D"/>
    <w:rsid w:val="0024289A"/>
    <w:rsid w:val="002549D3"/>
    <w:rsid w:val="002630B2"/>
    <w:rsid w:val="0026493F"/>
    <w:rsid w:val="00266633"/>
    <w:rsid w:val="00270319"/>
    <w:rsid w:val="00273344"/>
    <w:rsid w:val="00274331"/>
    <w:rsid w:val="00280720"/>
    <w:rsid w:val="00282A32"/>
    <w:rsid w:val="002834DF"/>
    <w:rsid w:val="002853BD"/>
    <w:rsid w:val="002A1761"/>
    <w:rsid w:val="002A1B36"/>
    <w:rsid w:val="002A69DD"/>
    <w:rsid w:val="002B20E7"/>
    <w:rsid w:val="002B4618"/>
    <w:rsid w:val="002B5703"/>
    <w:rsid w:val="002C6204"/>
    <w:rsid w:val="002D3DF8"/>
    <w:rsid w:val="002D5CEC"/>
    <w:rsid w:val="002D7779"/>
    <w:rsid w:val="002E20AC"/>
    <w:rsid w:val="002E2D1D"/>
    <w:rsid w:val="002E49F4"/>
    <w:rsid w:val="002F2F98"/>
    <w:rsid w:val="002F4591"/>
    <w:rsid w:val="002F5D1B"/>
    <w:rsid w:val="002F7868"/>
    <w:rsid w:val="0030255E"/>
    <w:rsid w:val="00302D38"/>
    <w:rsid w:val="00311C54"/>
    <w:rsid w:val="0031487D"/>
    <w:rsid w:val="003207F2"/>
    <w:rsid w:val="00323CDE"/>
    <w:rsid w:val="003300BA"/>
    <w:rsid w:val="003329CF"/>
    <w:rsid w:val="00334254"/>
    <w:rsid w:val="00342452"/>
    <w:rsid w:val="00347883"/>
    <w:rsid w:val="003506C5"/>
    <w:rsid w:val="00361222"/>
    <w:rsid w:val="0036328C"/>
    <w:rsid w:val="00364192"/>
    <w:rsid w:val="00381544"/>
    <w:rsid w:val="00390CAB"/>
    <w:rsid w:val="00393FE3"/>
    <w:rsid w:val="003A1BD7"/>
    <w:rsid w:val="003A2363"/>
    <w:rsid w:val="003A558F"/>
    <w:rsid w:val="003B36F6"/>
    <w:rsid w:val="003C0891"/>
    <w:rsid w:val="003D1B7D"/>
    <w:rsid w:val="003F67BE"/>
    <w:rsid w:val="004000DA"/>
    <w:rsid w:val="00401F04"/>
    <w:rsid w:val="004070E1"/>
    <w:rsid w:val="0041228F"/>
    <w:rsid w:val="00416646"/>
    <w:rsid w:val="0042177C"/>
    <w:rsid w:val="00424637"/>
    <w:rsid w:val="00424BBE"/>
    <w:rsid w:val="00444045"/>
    <w:rsid w:val="00452430"/>
    <w:rsid w:val="004616C8"/>
    <w:rsid w:val="00461D26"/>
    <w:rsid w:val="0046400B"/>
    <w:rsid w:val="00467D35"/>
    <w:rsid w:val="00470304"/>
    <w:rsid w:val="004708AB"/>
    <w:rsid w:val="004902A7"/>
    <w:rsid w:val="004B1C65"/>
    <w:rsid w:val="004B7ED7"/>
    <w:rsid w:val="004C1064"/>
    <w:rsid w:val="004D2C4F"/>
    <w:rsid w:val="004E4CD7"/>
    <w:rsid w:val="004F3F03"/>
    <w:rsid w:val="004F66B0"/>
    <w:rsid w:val="005064D5"/>
    <w:rsid w:val="005117E9"/>
    <w:rsid w:val="0051454B"/>
    <w:rsid w:val="005148C0"/>
    <w:rsid w:val="00520963"/>
    <w:rsid w:val="0052189B"/>
    <w:rsid w:val="00522E27"/>
    <w:rsid w:val="0052368C"/>
    <w:rsid w:val="005527B9"/>
    <w:rsid w:val="00556804"/>
    <w:rsid w:val="00560E83"/>
    <w:rsid w:val="005614A4"/>
    <w:rsid w:val="00563297"/>
    <w:rsid w:val="00566590"/>
    <w:rsid w:val="00572412"/>
    <w:rsid w:val="005823A5"/>
    <w:rsid w:val="005958BC"/>
    <w:rsid w:val="00596F1D"/>
    <w:rsid w:val="005A2957"/>
    <w:rsid w:val="005A691A"/>
    <w:rsid w:val="005B001F"/>
    <w:rsid w:val="005B5AD2"/>
    <w:rsid w:val="005C33B9"/>
    <w:rsid w:val="005D00D1"/>
    <w:rsid w:val="005D1A47"/>
    <w:rsid w:val="006110AE"/>
    <w:rsid w:val="00612742"/>
    <w:rsid w:val="0062466B"/>
    <w:rsid w:val="006273D2"/>
    <w:rsid w:val="0063456D"/>
    <w:rsid w:val="00636490"/>
    <w:rsid w:val="00643052"/>
    <w:rsid w:val="00657A28"/>
    <w:rsid w:val="00657F37"/>
    <w:rsid w:val="006616B9"/>
    <w:rsid w:val="00674F85"/>
    <w:rsid w:val="0068153E"/>
    <w:rsid w:val="00682283"/>
    <w:rsid w:val="00695B61"/>
    <w:rsid w:val="006A5315"/>
    <w:rsid w:val="006A7B67"/>
    <w:rsid w:val="006A7E63"/>
    <w:rsid w:val="006C08BC"/>
    <w:rsid w:val="006D0FC8"/>
    <w:rsid w:val="006D36C8"/>
    <w:rsid w:val="006D5D6C"/>
    <w:rsid w:val="006E33F7"/>
    <w:rsid w:val="006E40DF"/>
    <w:rsid w:val="006F1E3F"/>
    <w:rsid w:val="00700C27"/>
    <w:rsid w:val="00702B7D"/>
    <w:rsid w:val="00703BDD"/>
    <w:rsid w:val="00704C88"/>
    <w:rsid w:val="00705195"/>
    <w:rsid w:val="0071715C"/>
    <w:rsid w:val="007275CF"/>
    <w:rsid w:val="00731659"/>
    <w:rsid w:val="00732A46"/>
    <w:rsid w:val="0074111B"/>
    <w:rsid w:val="0074652C"/>
    <w:rsid w:val="00753ED8"/>
    <w:rsid w:val="00754320"/>
    <w:rsid w:val="007606C6"/>
    <w:rsid w:val="0076267D"/>
    <w:rsid w:val="00765735"/>
    <w:rsid w:val="00770B96"/>
    <w:rsid w:val="00772458"/>
    <w:rsid w:val="00783112"/>
    <w:rsid w:val="0079626E"/>
    <w:rsid w:val="0079772A"/>
    <w:rsid w:val="007B322A"/>
    <w:rsid w:val="007B74E9"/>
    <w:rsid w:val="007C379F"/>
    <w:rsid w:val="007C63AA"/>
    <w:rsid w:val="007D21DE"/>
    <w:rsid w:val="007F0146"/>
    <w:rsid w:val="007F06E3"/>
    <w:rsid w:val="007F6D92"/>
    <w:rsid w:val="00800CE6"/>
    <w:rsid w:val="008058FF"/>
    <w:rsid w:val="00806C31"/>
    <w:rsid w:val="00807E27"/>
    <w:rsid w:val="00813BA3"/>
    <w:rsid w:val="008164D5"/>
    <w:rsid w:val="00817D79"/>
    <w:rsid w:val="0082639B"/>
    <w:rsid w:val="00832D38"/>
    <w:rsid w:val="008362F6"/>
    <w:rsid w:val="00836556"/>
    <w:rsid w:val="008366A3"/>
    <w:rsid w:val="00843899"/>
    <w:rsid w:val="00847050"/>
    <w:rsid w:val="00860B66"/>
    <w:rsid w:val="00860F6C"/>
    <w:rsid w:val="008612BD"/>
    <w:rsid w:val="00862E63"/>
    <w:rsid w:val="00863E57"/>
    <w:rsid w:val="00877845"/>
    <w:rsid w:val="00883BCE"/>
    <w:rsid w:val="00892292"/>
    <w:rsid w:val="008A55C9"/>
    <w:rsid w:val="008B2E83"/>
    <w:rsid w:val="008C0089"/>
    <w:rsid w:val="008C5C0D"/>
    <w:rsid w:val="008C6B9D"/>
    <w:rsid w:val="008F14C4"/>
    <w:rsid w:val="00913600"/>
    <w:rsid w:val="00926803"/>
    <w:rsid w:val="00930B7A"/>
    <w:rsid w:val="009346C3"/>
    <w:rsid w:val="0095647E"/>
    <w:rsid w:val="00966603"/>
    <w:rsid w:val="00972247"/>
    <w:rsid w:val="00977CAF"/>
    <w:rsid w:val="009A4448"/>
    <w:rsid w:val="009A7614"/>
    <w:rsid w:val="009A7A8F"/>
    <w:rsid w:val="009B4441"/>
    <w:rsid w:val="009B6ACE"/>
    <w:rsid w:val="009C0E87"/>
    <w:rsid w:val="009D0723"/>
    <w:rsid w:val="009D0E59"/>
    <w:rsid w:val="009D452E"/>
    <w:rsid w:val="009D4B0C"/>
    <w:rsid w:val="009E2BE8"/>
    <w:rsid w:val="009E6ABF"/>
    <w:rsid w:val="009F16FF"/>
    <w:rsid w:val="00A03801"/>
    <w:rsid w:val="00A11221"/>
    <w:rsid w:val="00A20159"/>
    <w:rsid w:val="00A218C7"/>
    <w:rsid w:val="00A23729"/>
    <w:rsid w:val="00A2448D"/>
    <w:rsid w:val="00A25290"/>
    <w:rsid w:val="00A5136D"/>
    <w:rsid w:val="00A60041"/>
    <w:rsid w:val="00A60905"/>
    <w:rsid w:val="00A6283D"/>
    <w:rsid w:val="00A6683A"/>
    <w:rsid w:val="00A77CE7"/>
    <w:rsid w:val="00A81500"/>
    <w:rsid w:val="00A83864"/>
    <w:rsid w:val="00A87101"/>
    <w:rsid w:val="00A87145"/>
    <w:rsid w:val="00A91D9F"/>
    <w:rsid w:val="00AA442C"/>
    <w:rsid w:val="00AA4C64"/>
    <w:rsid w:val="00AA5A11"/>
    <w:rsid w:val="00AA63A7"/>
    <w:rsid w:val="00AA68EC"/>
    <w:rsid w:val="00AB45F4"/>
    <w:rsid w:val="00AB4AB3"/>
    <w:rsid w:val="00AB659C"/>
    <w:rsid w:val="00AC096A"/>
    <w:rsid w:val="00AC6409"/>
    <w:rsid w:val="00AC64AB"/>
    <w:rsid w:val="00AC781E"/>
    <w:rsid w:val="00AE396F"/>
    <w:rsid w:val="00AF232A"/>
    <w:rsid w:val="00AF7046"/>
    <w:rsid w:val="00B15647"/>
    <w:rsid w:val="00B23286"/>
    <w:rsid w:val="00B27254"/>
    <w:rsid w:val="00B27675"/>
    <w:rsid w:val="00B32A6B"/>
    <w:rsid w:val="00B50074"/>
    <w:rsid w:val="00B5185A"/>
    <w:rsid w:val="00B53275"/>
    <w:rsid w:val="00B53825"/>
    <w:rsid w:val="00B56F61"/>
    <w:rsid w:val="00B622BA"/>
    <w:rsid w:val="00B63914"/>
    <w:rsid w:val="00B6416F"/>
    <w:rsid w:val="00BA0F29"/>
    <w:rsid w:val="00BA67F0"/>
    <w:rsid w:val="00BB3FFF"/>
    <w:rsid w:val="00BC5423"/>
    <w:rsid w:val="00BD021C"/>
    <w:rsid w:val="00BD1363"/>
    <w:rsid w:val="00BD2289"/>
    <w:rsid w:val="00BD55DB"/>
    <w:rsid w:val="00BD70E8"/>
    <w:rsid w:val="00BD74AF"/>
    <w:rsid w:val="00BF436A"/>
    <w:rsid w:val="00C01FCE"/>
    <w:rsid w:val="00C0349C"/>
    <w:rsid w:val="00C055EA"/>
    <w:rsid w:val="00C056BC"/>
    <w:rsid w:val="00C2197F"/>
    <w:rsid w:val="00C22447"/>
    <w:rsid w:val="00C26FC9"/>
    <w:rsid w:val="00C521E0"/>
    <w:rsid w:val="00C5294C"/>
    <w:rsid w:val="00C53C96"/>
    <w:rsid w:val="00C61E0B"/>
    <w:rsid w:val="00C63B9D"/>
    <w:rsid w:val="00C72FA3"/>
    <w:rsid w:val="00C73D24"/>
    <w:rsid w:val="00C8482F"/>
    <w:rsid w:val="00C95323"/>
    <w:rsid w:val="00C9656F"/>
    <w:rsid w:val="00CA0A44"/>
    <w:rsid w:val="00CA17DC"/>
    <w:rsid w:val="00CA5746"/>
    <w:rsid w:val="00CA5B2B"/>
    <w:rsid w:val="00CC5161"/>
    <w:rsid w:val="00CD11DC"/>
    <w:rsid w:val="00CD4C9F"/>
    <w:rsid w:val="00CD6650"/>
    <w:rsid w:val="00CE456A"/>
    <w:rsid w:val="00CE6C51"/>
    <w:rsid w:val="00D022DC"/>
    <w:rsid w:val="00D10F59"/>
    <w:rsid w:val="00D12C25"/>
    <w:rsid w:val="00D12C57"/>
    <w:rsid w:val="00D21782"/>
    <w:rsid w:val="00D22CCB"/>
    <w:rsid w:val="00D36361"/>
    <w:rsid w:val="00D4143D"/>
    <w:rsid w:val="00D45129"/>
    <w:rsid w:val="00D47B71"/>
    <w:rsid w:val="00D505AD"/>
    <w:rsid w:val="00D51E52"/>
    <w:rsid w:val="00D62132"/>
    <w:rsid w:val="00D652F5"/>
    <w:rsid w:val="00D66889"/>
    <w:rsid w:val="00D67788"/>
    <w:rsid w:val="00D705E7"/>
    <w:rsid w:val="00D7163E"/>
    <w:rsid w:val="00D75DA9"/>
    <w:rsid w:val="00D81C23"/>
    <w:rsid w:val="00D874AA"/>
    <w:rsid w:val="00D90D30"/>
    <w:rsid w:val="00D9318E"/>
    <w:rsid w:val="00D942C8"/>
    <w:rsid w:val="00D951A7"/>
    <w:rsid w:val="00D9750C"/>
    <w:rsid w:val="00DB39ED"/>
    <w:rsid w:val="00DB3BF5"/>
    <w:rsid w:val="00DE3FBE"/>
    <w:rsid w:val="00DE6361"/>
    <w:rsid w:val="00E0015C"/>
    <w:rsid w:val="00E013E8"/>
    <w:rsid w:val="00E014E7"/>
    <w:rsid w:val="00E1009B"/>
    <w:rsid w:val="00E16F2E"/>
    <w:rsid w:val="00E23C5B"/>
    <w:rsid w:val="00E318E3"/>
    <w:rsid w:val="00E35DE7"/>
    <w:rsid w:val="00E3761B"/>
    <w:rsid w:val="00E41FED"/>
    <w:rsid w:val="00E42CD4"/>
    <w:rsid w:val="00E52B1F"/>
    <w:rsid w:val="00E70840"/>
    <w:rsid w:val="00E830F0"/>
    <w:rsid w:val="00E96FA8"/>
    <w:rsid w:val="00E97570"/>
    <w:rsid w:val="00EA50DD"/>
    <w:rsid w:val="00EA7005"/>
    <w:rsid w:val="00EB1B04"/>
    <w:rsid w:val="00EC24B6"/>
    <w:rsid w:val="00EC2DE0"/>
    <w:rsid w:val="00EC72D3"/>
    <w:rsid w:val="00ED42E3"/>
    <w:rsid w:val="00ED5564"/>
    <w:rsid w:val="00EE0D34"/>
    <w:rsid w:val="00EE297E"/>
    <w:rsid w:val="00EE5B09"/>
    <w:rsid w:val="00EE6B92"/>
    <w:rsid w:val="00F01CB5"/>
    <w:rsid w:val="00F02476"/>
    <w:rsid w:val="00F14F96"/>
    <w:rsid w:val="00F2357D"/>
    <w:rsid w:val="00F30BDA"/>
    <w:rsid w:val="00F312C7"/>
    <w:rsid w:val="00F51AA7"/>
    <w:rsid w:val="00F56C76"/>
    <w:rsid w:val="00F61242"/>
    <w:rsid w:val="00F63952"/>
    <w:rsid w:val="00F6733A"/>
    <w:rsid w:val="00F7230A"/>
    <w:rsid w:val="00F81727"/>
    <w:rsid w:val="00F836A5"/>
    <w:rsid w:val="00F84654"/>
    <w:rsid w:val="00F9551B"/>
    <w:rsid w:val="00F95D43"/>
    <w:rsid w:val="00FA78E0"/>
    <w:rsid w:val="00FC09D2"/>
    <w:rsid w:val="00FC18D6"/>
    <w:rsid w:val="00FC198C"/>
    <w:rsid w:val="00FC580F"/>
    <w:rsid w:val="00FD344F"/>
    <w:rsid w:val="00FD3DA1"/>
    <w:rsid w:val="00FD66D4"/>
    <w:rsid w:val="00FD76E9"/>
    <w:rsid w:val="00FE54CA"/>
    <w:rsid w:val="00FF5C41"/>
    <w:rsid w:val="00FF7B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B14D"/>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424637"/>
    <w:pPr>
      <w:spacing w:line="240" w:lineRule="atLeast"/>
    </w:pPr>
    <w:rPr>
      <w:rFonts w:ascii="Arial" w:hAnsi="Arial"/>
      <w:szCs w:val="24"/>
      <w:lang w:eastAsia="en-US"/>
    </w:rPr>
  </w:style>
  <w:style w:type="paragraph" w:styleId="Heading1">
    <w:name w:val="heading 1"/>
    <w:aliases w:val="APVMA_H1"/>
    <w:basedOn w:val="NormalText"/>
    <w:next w:val="NormalText"/>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424637"/>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9D0723"/>
    <w:pPr>
      <w:keepNext/>
      <w:keepLines/>
      <w:spacing w:before="60" w:after="60" w:line="240" w:lineRule="exact"/>
    </w:pPr>
    <w:rPr>
      <w:rFonts w:ascii="Franklin Gothic Medium" w:hAnsi="Franklin Gothic Medium"/>
      <w:bCs/>
      <w:color w:val="F8F8F8"/>
      <w:sz w:val="18"/>
      <w:lang w:val="en-GB"/>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link w:val="APVMABullet1Char"/>
    <w:qFormat/>
    <w:rsid w:val="00731659"/>
    <w:pPr>
      <w:numPr>
        <w:numId w:val="14"/>
      </w:numPr>
      <w:spacing w:before="120" w:after="120"/>
    </w:pPr>
  </w:style>
  <w:style w:type="paragraph" w:customStyle="1" w:styleId="APVMATableHeadRight">
    <w:name w:val="APVMA_TableHead_Right"/>
    <w:basedOn w:val="APVMATableHead"/>
    <w:rsid w:val="009D0723"/>
    <w:pPr>
      <w:jc w:val="right"/>
    </w:pPr>
  </w:style>
  <w:style w:type="paragraph" w:customStyle="1" w:styleId="APVMABullet2">
    <w:name w:val="APVMA_Bullet2"/>
    <w:basedOn w:val="APVMABullet1"/>
    <w:link w:val="APVMABullet2Char"/>
    <w:qFormat/>
    <w:rsid w:val="00EA50DD"/>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rsid w:val="009D0723"/>
    <w:pPr>
      <w:jc w:val="right"/>
    </w:pPr>
  </w:style>
  <w:style w:type="paragraph" w:styleId="Caption">
    <w:name w:val="caption"/>
    <w:aliases w:val="Table caption"/>
    <w:basedOn w:val="Normal"/>
    <w:next w:val="NormalText"/>
    <w:link w:val="CaptionChar"/>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F95D43"/>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character" w:customStyle="1" w:styleId="NormalTextChar">
    <w:name w:val="Normal Text Char"/>
    <w:basedOn w:val="DefaultParagraphFont"/>
    <w:link w:val="NormalText"/>
    <w:rsid w:val="00705195"/>
    <w:rPr>
      <w:rFonts w:ascii="Arial" w:hAnsi="Arial" w:cs="Arial"/>
      <w:kern w:val="20"/>
      <w:sz w:val="19"/>
      <w:szCs w:val="24"/>
      <w:u w:color="000000"/>
      <w:lang w:eastAsia="en-US"/>
    </w:rPr>
  </w:style>
  <w:style w:type="paragraph" w:customStyle="1" w:styleId="BODYTEXT">
    <w:name w:val="BODYTEXT"/>
    <w:rsid w:val="00705195"/>
    <w:rPr>
      <w:sz w:val="24"/>
      <w:lang w:eastAsia="en-US"/>
    </w:rPr>
  </w:style>
  <w:style w:type="paragraph" w:customStyle="1" w:styleId="Default">
    <w:name w:val="Default"/>
    <w:rsid w:val="00705195"/>
    <w:pPr>
      <w:autoSpaceDE w:val="0"/>
      <w:autoSpaceDN w:val="0"/>
      <w:adjustRightInd w:val="0"/>
    </w:pPr>
    <w:rPr>
      <w:rFonts w:ascii="Calibri" w:eastAsiaTheme="minorEastAsia" w:hAnsi="Calibri" w:cs="Calibri"/>
      <w:color w:val="000000"/>
      <w:sz w:val="24"/>
      <w:szCs w:val="24"/>
      <w:lang w:eastAsia="en-US"/>
    </w:rPr>
  </w:style>
  <w:style w:type="paragraph" w:styleId="Revision">
    <w:name w:val="Revision"/>
    <w:hidden/>
    <w:uiPriority w:val="99"/>
    <w:semiHidden/>
    <w:rsid w:val="00424BBE"/>
    <w:rPr>
      <w:rFonts w:ascii="Arial" w:hAnsi="Arial"/>
      <w:szCs w:val="24"/>
      <w:lang w:eastAsia="en-US"/>
    </w:rPr>
  </w:style>
  <w:style w:type="character" w:customStyle="1" w:styleId="UnresolvedMention1">
    <w:name w:val="Unresolved Mention1"/>
    <w:basedOn w:val="DefaultParagraphFont"/>
    <w:uiPriority w:val="99"/>
    <w:semiHidden/>
    <w:unhideWhenUsed/>
    <w:rsid w:val="00772458"/>
    <w:rPr>
      <w:color w:val="605E5C"/>
      <w:shd w:val="clear" w:color="auto" w:fill="E1DFDD"/>
    </w:rPr>
  </w:style>
  <w:style w:type="paragraph" w:customStyle="1" w:styleId="Bulletendash">
    <w:name w:val="Bullet en dash"/>
    <w:basedOn w:val="APVMABullet2"/>
    <w:link w:val="BulletendashChar"/>
    <w:uiPriority w:val="4"/>
    <w:rsid w:val="00674F85"/>
    <w:pPr>
      <w:numPr>
        <w:numId w:val="37"/>
      </w:numPr>
      <w:spacing w:before="1440"/>
      <w:jc w:val="center"/>
    </w:pPr>
    <w:rPr>
      <w:noProof/>
      <w:sz w:val="28"/>
      <w:szCs w:val="28"/>
      <w:lang w:eastAsia="en-AU"/>
    </w:rPr>
  </w:style>
  <w:style w:type="character" w:customStyle="1" w:styleId="APVMABullet1Char">
    <w:name w:val="APVMA_Bullet1 Char"/>
    <w:basedOn w:val="NormalTextChar"/>
    <w:link w:val="APVMABullet1"/>
    <w:rsid w:val="00674F85"/>
    <w:rPr>
      <w:rFonts w:ascii="Arial" w:hAnsi="Arial" w:cs="Arial"/>
      <w:kern w:val="20"/>
      <w:sz w:val="19"/>
      <w:szCs w:val="24"/>
      <w:u w:color="000000"/>
      <w:lang w:eastAsia="en-US"/>
    </w:rPr>
  </w:style>
  <w:style w:type="character" w:customStyle="1" w:styleId="APVMABullet2Char">
    <w:name w:val="APVMA_Bullet2 Char"/>
    <w:basedOn w:val="APVMABullet1Char"/>
    <w:link w:val="APVMABullet2"/>
    <w:rsid w:val="00674F85"/>
    <w:rPr>
      <w:rFonts w:ascii="Arial" w:hAnsi="Arial" w:cs="Arial"/>
      <w:kern w:val="20"/>
      <w:sz w:val="19"/>
      <w:szCs w:val="24"/>
      <w:u w:color="000000"/>
      <w:lang w:eastAsia="en-US"/>
    </w:rPr>
  </w:style>
  <w:style w:type="character" w:customStyle="1" w:styleId="BulletendashChar">
    <w:name w:val="Bullet en dash Char"/>
    <w:basedOn w:val="APVMABullet2Char"/>
    <w:link w:val="Bulletendash"/>
    <w:uiPriority w:val="4"/>
    <w:rsid w:val="00674F85"/>
    <w:rPr>
      <w:rFonts w:ascii="Arial" w:hAnsi="Arial" w:cs="Arial"/>
      <w:noProof/>
      <w:kern w:val="20"/>
      <w:sz w:val="28"/>
      <w:szCs w:val="28"/>
      <w:u w:color="000000"/>
      <w:lang w:eastAsia="en-US"/>
    </w:rPr>
  </w:style>
  <w:style w:type="paragraph" w:customStyle="1" w:styleId="Figurecaption">
    <w:name w:val="Figure caption"/>
    <w:basedOn w:val="Caption"/>
    <w:link w:val="FigurecaptionChar"/>
    <w:uiPriority w:val="4"/>
    <w:qFormat/>
    <w:rsid w:val="00AF7046"/>
    <w:rPr>
      <w:szCs w:val="20"/>
    </w:rPr>
  </w:style>
  <w:style w:type="character" w:customStyle="1" w:styleId="CaptionChar">
    <w:name w:val="Caption Char"/>
    <w:aliases w:val="Table caption Char"/>
    <w:basedOn w:val="DefaultParagraphFont"/>
    <w:link w:val="Caption"/>
    <w:rsid w:val="00AF7046"/>
    <w:rPr>
      <w:rFonts w:ascii="Franklin Gothic Medium" w:hAnsi="Franklin Gothic Medium"/>
      <w:color w:val="00747A" w:themeColor="background2"/>
      <w:szCs w:val="24"/>
      <w:lang w:eastAsia="en-US"/>
    </w:rPr>
  </w:style>
  <w:style w:type="character" w:customStyle="1" w:styleId="FigurecaptionChar">
    <w:name w:val="Figure caption Char"/>
    <w:basedOn w:val="CaptionChar"/>
    <w:link w:val="Figurecaption"/>
    <w:uiPriority w:val="4"/>
    <w:rsid w:val="00AF7046"/>
    <w:rPr>
      <w:rFonts w:ascii="Franklin Gothic Medium" w:hAnsi="Franklin Gothic Medium"/>
      <w:color w:val="00747A" w:themeColor="background2"/>
      <w:szCs w:val="24"/>
      <w:lang w:eastAsia="en-US"/>
    </w:rPr>
  </w:style>
  <w:style w:type="character" w:styleId="UnresolvedMention">
    <w:name w:val="Unresolved Mention"/>
    <w:basedOn w:val="DefaultParagraphFont"/>
    <w:uiPriority w:val="99"/>
    <w:semiHidden/>
    <w:unhideWhenUsed/>
    <w:rsid w:val="00D47B71"/>
    <w:rPr>
      <w:color w:val="605E5C"/>
      <w:shd w:val="clear" w:color="auto" w:fill="E1DFDD"/>
    </w:rPr>
  </w:style>
  <w:style w:type="character" w:customStyle="1" w:styleId="APVMATextChar">
    <w:name w:val="APVMA_Text Char"/>
    <w:basedOn w:val="DefaultParagraphFont"/>
    <w:link w:val="APVMAText"/>
    <w:rsid w:val="00D022DC"/>
    <w:rPr>
      <w:rFonts w:ascii="Arial" w:hAnsi="Arial" w:cs="Arial"/>
      <w:szCs w:val="24"/>
      <w:u w:color="000000"/>
      <w:lang w:eastAsia="en-US"/>
    </w:rPr>
  </w:style>
  <w:style w:type="paragraph" w:styleId="BodyText0">
    <w:name w:val="Body Text"/>
    <w:basedOn w:val="Normal"/>
    <w:link w:val="BodyTextChar"/>
    <w:uiPriority w:val="1"/>
    <w:qFormat/>
    <w:rsid w:val="000A19DC"/>
    <w:pPr>
      <w:widowControl w:val="0"/>
      <w:autoSpaceDE w:val="0"/>
      <w:autoSpaceDN w:val="0"/>
      <w:spacing w:before="160" w:line="240" w:lineRule="auto"/>
    </w:pPr>
    <w:rPr>
      <w:rFonts w:eastAsia="Arial" w:cs="Arial"/>
      <w:szCs w:val="20"/>
      <w:lang w:val="en-US"/>
    </w:rPr>
  </w:style>
  <w:style w:type="character" w:customStyle="1" w:styleId="BodyTextChar">
    <w:name w:val="Body Text Char"/>
    <w:basedOn w:val="DefaultParagraphFont"/>
    <w:link w:val="BodyText0"/>
    <w:uiPriority w:val="1"/>
    <w:rsid w:val="000A19DC"/>
    <w:rPr>
      <w:rFonts w:ascii="Arial" w:eastAsia="Arial" w:hAnsi="Arial" w:cs="Arial"/>
      <w:lang w:val="en-US" w:eastAsia="en-US"/>
    </w:rPr>
  </w:style>
  <w:style w:type="paragraph" w:styleId="ListParagraph">
    <w:name w:val="List Paragraph"/>
    <w:basedOn w:val="Normal"/>
    <w:uiPriority w:val="1"/>
    <w:qFormat/>
    <w:rsid w:val="000A19DC"/>
    <w:pPr>
      <w:widowControl w:val="0"/>
      <w:autoSpaceDE w:val="0"/>
      <w:autoSpaceDN w:val="0"/>
      <w:spacing w:line="240" w:lineRule="auto"/>
    </w:pPr>
    <w:rPr>
      <w:rFonts w:eastAsia="Arial" w:cs="Arial"/>
      <w:sz w:val="22"/>
      <w:szCs w:val="22"/>
      <w:lang w:val="en-US"/>
    </w:rPr>
  </w:style>
  <w:style w:type="paragraph" w:customStyle="1" w:styleId="TableParagraph">
    <w:name w:val="Table Paragraph"/>
    <w:basedOn w:val="Normal"/>
    <w:uiPriority w:val="1"/>
    <w:qFormat/>
    <w:rsid w:val="000A19DC"/>
    <w:pPr>
      <w:widowControl w:val="0"/>
      <w:autoSpaceDE w:val="0"/>
      <w:autoSpaceDN w:val="0"/>
      <w:spacing w:before="64" w:line="240" w:lineRule="auto"/>
      <w:ind w:left="204"/>
    </w:pPr>
    <w:rPr>
      <w:rFonts w:eastAsia="Arial" w:cs="Arial"/>
      <w:sz w:val="22"/>
      <w:szCs w:val="22"/>
      <w:lang w:val="en-US"/>
    </w:rPr>
  </w:style>
  <w:style w:type="paragraph" w:customStyle="1" w:styleId="DefaultText">
    <w:name w:val="Default Text"/>
    <w:basedOn w:val="Normal"/>
    <w:uiPriority w:val="99"/>
    <w:rsid w:val="000A19DC"/>
    <w:pPr>
      <w:autoSpaceDE w:val="0"/>
      <w:autoSpaceDN w:val="0"/>
      <w:adjustRightInd w:val="0"/>
      <w:spacing w:line="240" w:lineRule="auto"/>
    </w:pPr>
    <w:rPr>
      <w:rFonts w:ascii="Times New Roman" w:hAnsi="Times New Roman"/>
      <w:sz w:val="24"/>
      <w:lang w:val="en-US"/>
    </w:rPr>
  </w:style>
  <w:style w:type="character" w:customStyle="1" w:styleId="Heading3Char">
    <w:name w:val="Heading 3 Char"/>
    <w:aliases w:val="APVMA_H3 Char"/>
    <w:basedOn w:val="DefaultParagraphFont"/>
    <w:link w:val="Heading3"/>
    <w:uiPriority w:val="3"/>
    <w:rsid w:val="00F14F96"/>
    <w:rPr>
      <w:rFonts w:ascii="Franklin Gothic Medium" w:hAnsi="Franklin Gothic Medium" w:cs="Arial"/>
      <w:color w:val="00747A" w:themeColor="background2"/>
      <w:sz w:val="24"/>
      <w:szCs w:val="26"/>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mailto:communications@apvma.gov.au" TargetMode="External" Id="rId18" /><Relationship Type="http://schemas.openxmlformats.org/officeDocument/2006/relationships/hyperlink" Target="mailto:casemanagement@apvma.gov.au" TargetMode="External" Id="rId26" /><Relationship Type="http://schemas.openxmlformats.org/officeDocument/2006/relationships/header" Target="header14.xml" Id="rId39" /><Relationship Type="http://schemas.openxmlformats.org/officeDocument/2006/relationships/header" Target="header3.xml" Id="rId21" /><Relationship Type="http://schemas.openxmlformats.org/officeDocument/2006/relationships/header" Target="header9.xml" Id="rId34" /><Relationship Type="http://schemas.openxmlformats.org/officeDocument/2006/relationships/image" Target="media/image6.jpeg" Id="rId42" /><Relationship Type="http://schemas.openxmlformats.org/officeDocument/2006/relationships/hyperlink" Target="https://apvma.gov.au/node/26586" TargetMode="External" Id="rId47" /><Relationship Type="http://schemas.openxmlformats.org/officeDocument/2006/relationships/fontTable" Target="fontTable.xml" Id="rId50" /><Relationship Type="http://schemas.openxmlformats.org/officeDocument/2006/relationships/footnotes" Target="footnotes.xml" Id="rId7" /><Relationship Type="http://schemas.openxmlformats.org/officeDocument/2006/relationships/hyperlink" Target="https://creativecommons.org/licenses/by/4.0/legalcode" TargetMode="External" Id="rId16" /><Relationship Type="http://schemas.openxmlformats.org/officeDocument/2006/relationships/header" Target="header6.xml" Id="rId29" /><Relationship Type="http://schemas.openxmlformats.org/officeDocument/2006/relationships/header" Target="header1.xml" Id="rId11" /><Relationship Type="http://schemas.openxmlformats.org/officeDocument/2006/relationships/hyperlink" Target="https://apvma.gov.au/node/72856" TargetMode="External" Id="rId24" /><Relationship Type="http://schemas.openxmlformats.org/officeDocument/2006/relationships/header" Target="header7.xml" Id="rId32" /><Relationship Type="http://schemas.openxmlformats.org/officeDocument/2006/relationships/header" Target="header12.xml" Id="rId37" /><Relationship Type="http://schemas.openxmlformats.org/officeDocument/2006/relationships/header" Target="header15.xml" Id="rId40" /><Relationship Type="http://schemas.openxmlformats.org/officeDocument/2006/relationships/header" Target="header18.xml" Id="rId45" /><Relationship Type="http://schemas.openxmlformats.org/officeDocument/2006/relationships/settings" Target="settings.xml" Id="rId5" /><Relationship Type="http://schemas.openxmlformats.org/officeDocument/2006/relationships/hyperlink" Target="https://creativecommons.org/licenses/by/4.0/" TargetMode="External" Id="rId15" /><Relationship Type="http://schemas.openxmlformats.org/officeDocument/2006/relationships/hyperlink" Target="https://apvma.gov.au/" TargetMode="External" Id="rId23" /><Relationship Type="http://schemas.openxmlformats.org/officeDocument/2006/relationships/hyperlink" Target="https://apvma.gov.au/" TargetMode="External" Id="rId28" /><Relationship Type="http://schemas.openxmlformats.org/officeDocument/2006/relationships/header" Target="header11.xml" Id="rId36" /><Relationship Type="http://schemas.openxmlformats.org/officeDocument/2006/relationships/header" Target="header19.xml" Id="rId49" /><Relationship Type="http://schemas.openxmlformats.org/officeDocument/2006/relationships/image" Target="media/image2.png" Id="rId10" /><Relationship Type="http://schemas.openxmlformats.org/officeDocument/2006/relationships/header" Target="header2.xml" Id="rId19" /><Relationship Type="http://schemas.microsoft.com/office/2007/relationships/hdphoto" Target="media/hdphoto1.wdp" Id="rId31" /><Relationship Type="http://schemas.openxmlformats.org/officeDocument/2006/relationships/header" Target="header17.xml" Id="rId44"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4.png" Id="rId14" /><Relationship Type="http://schemas.openxmlformats.org/officeDocument/2006/relationships/header" Target="header4.xml" Id="rId22" /><Relationship Type="http://schemas.openxmlformats.org/officeDocument/2006/relationships/header" Target="header5.xml" Id="rId27" /><Relationship Type="http://schemas.openxmlformats.org/officeDocument/2006/relationships/image" Target="media/image5.png" Id="rId30" /><Relationship Type="http://schemas.openxmlformats.org/officeDocument/2006/relationships/header" Target="header10.xml" Id="rId35" /><Relationship Type="http://schemas.openxmlformats.org/officeDocument/2006/relationships/header" Target="header16.xml" Id="rId43" /><Relationship Type="http://schemas.openxmlformats.org/officeDocument/2006/relationships/hyperlink" Target="https://www.tga.gov.au/publication/poisons-standard-susmp" TargetMode="External" Id="rId48" /><Relationship Type="http://schemas.openxmlformats.org/officeDocument/2006/relationships/endnotes" Target="endnotes.xml" Id="rId8" /><Relationship Type="http://schemas.openxmlformats.org/officeDocument/2006/relationships/theme" Target="theme/theme1.xml" Id="rId51" /><Relationship Type="http://schemas.openxmlformats.org/officeDocument/2006/relationships/numbering" Target="numbering.xml" Id="rId3" /><Relationship Type="http://schemas.openxmlformats.org/officeDocument/2006/relationships/footer" Target="footer1.xml" Id="rId12" /><Relationship Type="http://schemas.openxmlformats.org/officeDocument/2006/relationships/hyperlink" Target="https://www.pmc.gov.au/honours-and-symbols/commonwealth-coat-arms" TargetMode="External" Id="rId17" /><Relationship Type="http://schemas.openxmlformats.org/officeDocument/2006/relationships/hyperlink" Target="https://apvma.gov.au/node/72856" TargetMode="External" Id="rId25" /><Relationship Type="http://schemas.openxmlformats.org/officeDocument/2006/relationships/header" Target="header8.xml" Id="rId33" /><Relationship Type="http://schemas.openxmlformats.org/officeDocument/2006/relationships/header" Target="header13.xml" Id="rId38" /><Relationship Type="http://schemas.openxmlformats.org/officeDocument/2006/relationships/hyperlink" Target="https://apvma.gov.au/node/28086" TargetMode="External" Id="rId46" /><Relationship Type="http://schemas.openxmlformats.org/officeDocument/2006/relationships/hyperlink" Target="http://www.apvma.gov.au" TargetMode="External" Id="rId20"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e2ad72ebccdc4b4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A3400982</value>
    </field>
    <field name="Objective-Title">
      <value order="0">94490 - 142575 - Accede Plant Growth Regulator - Public Release Summary</value>
    </field>
    <field name="Objective-Description">
      <value order="0"/>
    </field>
    <field name="Objective-CreationStamp">
      <value order="0">2024-11-11T23:33:56Z</value>
    </field>
    <field name="Objective-IsApproved">
      <value order="0">false</value>
    </field>
    <field name="Objective-IsPublished">
      <value order="0">false</value>
    </field>
    <field name="Objective-DatePublished">
      <value order="0"/>
    </field>
    <field name="Objective-ModificationStamp">
      <value order="0">2026-05-01T01:28:48Z</value>
    </field>
    <field name="Objective-Owner">
      <value order="0">Ken Robinson</value>
    </field>
    <field name="Objective-Path">
      <value order="0">APVMA:REGISTRATION:Registration - Product, Permit and Active Files:Product, Permit and Active Files 92500 - 94999:94490 - Accede SG Plant Growth Regulator:94490 - 142575 - Accede Plant Growth Regulator:06-Evaluation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vA5751851</value>
    </field>
    <field name="Objective-Version">
      <value order="0">0.24</value>
    </field>
    <field name="Objective-VersionNumber">
      <value order="0">24</value>
    </field>
    <field name="Objective-VersionComment">
      <value order="0"/>
    </field>
    <field name="Objective-FileNumber">
      <value order="0">qA496942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23D27-0D7B-4C09-AF30-FADBDD3B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743</TotalTime>
  <Pages>42</Pages>
  <Words>11201</Words>
  <Characters>61049</Characters>
  <Application>Microsoft Office Word</Application>
  <DocSecurity>0</DocSecurity>
  <Lines>1565</Lines>
  <Paragraphs>963</Paragraphs>
  <ScaleCrop>false</ScaleCrop>
  <HeadingPairs>
    <vt:vector size="2" baseType="variant">
      <vt:variant>
        <vt:lpstr>Title</vt:lpstr>
      </vt:variant>
      <vt:variant>
        <vt:i4>1</vt:i4>
      </vt:variant>
    </vt:vector>
  </HeadingPairs>
  <TitlesOfParts>
    <vt:vector size="1" baseType="lpstr">
      <vt:lpstr>APVMA Public Release Summary</vt:lpstr>
    </vt:vector>
  </TitlesOfParts>
  <Manager/>
  <Company>Australian Pesticides and Veterinary Medicines Authority</Company>
  <LinksUpToDate>false</LinksUpToDate>
  <CharactersWithSpaces>71287</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 Release Summary</dc:title>
  <dc:subject/>
  <dc:creator>APVMA</dc:creator>
  <cp:keywords/>
  <dc:description/>
  <cp:lastModifiedBy>GRIFFIN, Jordanna</cp:lastModifiedBy>
  <cp:revision>66</cp:revision>
  <cp:lastPrinted>2019-04-25T12:55:00Z</cp:lastPrinted>
  <dcterms:created xsi:type="dcterms:W3CDTF">2024-11-11T22:33:00Z</dcterms:created>
  <dcterms:modified xsi:type="dcterms:W3CDTF">2026-05-01T01:28:00Z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A3400982</vt:lpwstr>
  </property>
  <property fmtid="{D5CDD505-2E9C-101B-9397-08002B2CF9AE}" pid="4" name="Objective-Title">
    <vt:lpwstr>94490 - 142575 - Accede Plant Growth Regulator - Public Release Summary</vt:lpwstr>
  </property>
  <property fmtid="{D5CDD505-2E9C-101B-9397-08002B2CF9AE}" pid="5" name="Objective-Comment">
    <vt:lpwstr/>
  </property>
  <property fmtid="{D5CDD505-2E9C-101B-9397-08002B2CF9AE}" pid="6" name="Objective-CreationStamp">
    <vt:filetime>2024-11-11T23:33:56Z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2026-05-01T01:28:48Z</vt:filetime>
  </property>
  <property fmtid="{D5CDD505-2E9C-101B-9397-08002B2CF9AE}" pid="11" name="Objective-Owner">
    <vt:lpwstr>Ken Robinson</vt:lpwstr>
  </property>
  <property fmtid="{D5CDD505-2E9C-101B-9397-08002B2CF9AE}" pid="12" name="Objective-Path">
    <vt:lpwstr>APVMA:REGISTRATION:Registration - Product, Permit and Active Files:Product, Permit and Active Files 92500 - 94999:94490 - Accede SG Plant Growth Regulator:94490 - 142575 - Accede Plant Growth Regulator:06-Evaluation and Determination:Evaluation and Determination - Public Consultation:</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0.24</vt:lpwstr>
  </property>
  <property fmtid="{D5CDD505-2E9C-101B-9397-08002B2CF9AE}" pid="16" name="Objective-VersionNumber">
    <vt:r8>24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vA5751851</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ies>
</file>