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859" w14:textId="24C812CA" w:rsidR="002F4591" w:rsidRDefault="002F4591" w:rsidP="009D0723">
      <w:pPr>
        <w:pStyle w:val="APVMACoverTitle"/>
        <w:spacing w:before="1440"/>
        <w:jc w:val="center"/>
      </w:pPr>
      <w:bookmarkStart w:id="0" w:name="_Toc168724484"/>
      <w:r w:rsidRPr="005D1A47">
        <w:rPr>
          <w:noProof/>
        </w:rPr>
        <w:drawing>
          <wp:inline distT="0" distB="0" distL="0" distR="0" wp14:anchorId="5C6E37C0" wp14:editId="37E0D1A5">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76DBBE27"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r w:rsidR="00A73602">
        <w:t>1,4-dimethylnaphthalene</w:t>
      </w:r>
      <w:r w:rsidR="006D36C8">
        <w:t xml:space="preserve"> in the product </w:t>
      </w:r>
      <w:r w:rsidR="00A73602">
        <w:t>1,4</w:t>
      </w:r>
      <w:r w:rsidR="004E304C">
        <w:t xml:space="preserve"> </w:t>
      </w:r>
      <w:r w:rsidR="00486730">
        <w:t>SIGHT</w:t>
      </w:r>
      <w:r w:rsidR="004E304C">
        <w:t xml:space="preserve"> </w:t>
      </w:r>
      <w:r w:rsidR="00A73602">
        <w:t>Potato Dormancy Enhancer</w:t>
      </w:r>
    </w:p>
    <w:p w14:paraId="522BA979" w14:textId="06D3B0C4" w:rsidR="006D36C8" w:rsidRDefault="006D36C8" w:rsidP="00193533">
      <w:pPr>
        <w:pStyle w:val="APVMACoverSubtitle"/>
        <w:jc w:val="center"/>
      </w:pPr>
      <w:r>
        <w:t xml:space="preserve">APVMA product number </w:t>
      </w:r>
      <w:r w:rsidR="00A73602">
        <w:t>94460</w:t>
      </w:r>
    </w:p>
    <w:p w14:paraId="69337BD1" w14:textId="6DEE359F" w:rsidR="00193533" w:rsidRPr="00E41FED" w:rsidRDefault="00720A6F" w:rsidP="007F6D92">
      <w:pPr>
        <w:pStyle w:val="APVMACoverSubtitle"/>
        <w:jc w:val="center"/>
        <w:sectPr w:rsidR="00193533" w:rsidRPr="00E41FED" w:rsidSect="008C5C0D">
          <w:headerReference w:type="first" r:id="rId14"/>
          <w:footerReference w:type="first" r:id="rId15"/>
          <w:pgSz w:w="11906" w:h="16838" w:code="9"/>
          <w:pgMar w:top="2127" w:right="1134" w:bottom="1134" w:left="1134" w:header="1701" w:footer="450" w:gutter="0"/>
          <w:pgNumType w:fmt="lowerRoman"/>
          <w:cols w:space="708"/>
          <w:docGrid w:linePitch="360"/>
        </w:sectPr>
      </w:pPr>
      <w:r w:rsidRPr="001874CC">
        <w:t>Ma</w:t>
      </w:r>
      <w:r w:rsidR="00883F2B" w:rsidRPr="001874CC">
        <w:t>y</w:t>
      </w:r>
      <w:r w:rsidRPr="001874CC">
        <w:t xml:space="preserve"> </w:t>
      </w:r>
      <w:r w:rsidR="00A73602" w:rsidRPr="001874CC">
        <w:t>202</w:t>
      </w:r>
      <w:r w:rsidRPr="001874CC">
        <w:t>6</w:t>
      </w:r>
    </w:p>
    <w:p w14:paraId="7721F955" w14:textId="39E7257A" w:rsidR="00862E63" w:rsidRPr="005C0ACC" w:rsidRDefault="00862E63" w:rsidP="00CA5B2B">
      <w:pPr>
        <w:pStyle w:val="Copyrightpage"/>
      </w:pPr>
      <w:r w:rsidRPr="005C0ACC">
        <w:lastRenderedPageBreak/>
        <w:t xml:space="preserve">© Australian Pesticides and Veterinary Medicines Authority </w:t>
      </w:r>
      <w:r w:rsidR="00864686" w:rsidRPr="00864686">
        <w:t>2026</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8" w:history="1">
        <w:r w:rsidRPr="008545E1">
          <w:rPr>
            <w:rStyle w:val="Hyperlink"/>
          </w:rPr>
          <w:t>summary of the licence terms</w:t>
        </w:r>
      </w:hyperlink>
      <w:r>
        <w:t xml:space="preserve"> and </w:t>
      </w:r>
      <w:hyperlink r:id="rId19"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In referencing this document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20"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39CE564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r w:rsidR="004973C0" w:rsidRPr="005C0ACC">
        <w:t>APVMA or</w:t>
      </w:r>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63B52533"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1F5D05">
        <w:t xml:space="preserve">GPO Box </w:t>
      </w:r>
      <w:r w:rsidR="007924ED">
        <w:t>574</w:t>
      </w:r>
      <w:r w:rsidR="00CA5B2B">
        <w:br/>
      </w:r>
      <w:r w:rsidR="007924ED">
        <w:t>Canberra</w:t>
      </w:r>
      <w:r w:rsidR="001F5D05">
        <w:t xml:space="preserve"> </w:t>
      </w:r>
      <w:r w:rsidR="007924ED">
        <w:t xml:space="preserve">ACT </w:t>
      </w:r>
      <w:r w:rsidR="001F5D05">
        <w:t>2</w:t>
      </w:r>
      <w:r w:rsidR="007924ED">
        <w:t>6</w:t>
      </w:r>
      <w:r w:rsidR="001F5D05">
        <w:t>01</w:t>
      </w:r>
      <w:r w:rsidR="00862E63" w:rsidRPr="005C0ACC">
        <w:t xml:space="preserve"> Australia</w:t>
      </w:r>
    </w:p>
    <w:p w14:paraId="3BFC4D2F" w14:textId="73D319B2" w:rsidR="00862E63" w:rsidRPr="005C0ACC" w:rsidRDefault="006110AE" w:rsidP="00CA5B2B">
      <w:pPr>
        <w:pStyle w:val="Copyrightpage"/>
        <w:rPr>
          <w:color w:val="0000FF"/>
          <w:u w:val="single"/>
        </w:rPr>
      </w:pPr>
      <w:r>
        <w:t xml:space="preserve">Telephone: +61 2 </w:t>
      </w:r>
      <w:r w:rsidR="001F5D05">
        <w:t>6770 2300</w:t>
      </w:r>
      <w:r w:rsidR="002C79F1">
        <w:br/>
      </w:r>
      <w:r w:rsidR="00862E63" w:rsidRPr="005C0ACC">
        <w:t xml:space="preserve">Email: </w:t>
      </w:r>
      <w:hyperlink r:id="rId21" w:history="1">
        <w:r w:rsidR="00862E63" w:rsidRPr="005C0ACC">
          <w:rPr>
            <w:color w:val="0000FF"/>
            <w:u w:val="single"/>
          </w:rPr>
          <w:t>communications@apvma.gov.au</w:t>
        </w:r>
      </w:hyperlink>
      <w:r w:rsidR="00862E63">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22"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323BD251" w14:textId="16C0ECCF" w:rsidR="001E4011"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29751381" w:history="1">
        <w:r w:rsidR="001E4011" w:rsidRPr="00601DED">
          <w:rPr>
            <w:rStyle w:val="Hyperlink"/>
          </w:rPr>
          <w:t>Preface</w:t>
        </w:r>
        <w:r w:rsidR="001E4011">
          <w:rPr>
            <w:webHidden/>
          </w:rPr>
          <w:tab/>
        </w:r>
        <w:r w:rsidR="001E4011">
          <w:rPr>
            <w:webHidden/>
          </w:rPr>
          <w:fldChar w:fldCharType="begin"/>
        </w:r>
        <w:r w:rsidR="001E4011">
          <w:rPr>
            <w:webHidden/>
          </w:rPr>
          <w:instrText xml:space="preserve"> PAGEREF _Toc229751381 \h </w:instrText>
        </w:r>
        <w:r w:rsidR="001E4011">
          <w:rPr>
            <w:webHidden/>
          </w:rPr>
        </w:r>
        <w:r w:rsidR="001E4011">
          <w:rPr>
            <w:webHidden/>
          </w:rPr>
          <w:fldChar w:fldCharType="separate"/>
        </w:r>
        <w:r w:rsidR="001E4011">
          <w:rPr>
            <w:webHidden/>
          </w:rPr>
          <w:t>1</w:t>
        </w:r>
        <w:r w:rsidR="001E4011">
          <w:rPr>
            <w:webHidden/>
          </w:rPr>
          <w:fldChar w:fldCharType="end"/>
        </w:r>
      </w:hyperlink>
    </w:p>
    <w:p w14:paraId="3C004D8F" w14:textId="588C3151"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82" w:history="1">
        <w:r w:rsidRPr="00601DED">
          <w:rPr>
            <w:rStyle w:val="Hyperlink"/>
          </w:rPr>
          <w:t>About this document</w:t>
        </w:r>
        <w:r>
          <w:rPr>
            <w:webHidden/>
          </w:rPr>
          <w:tab/>
        </w:r>
        <w:r>
          <w:rPr>
            <w:webHidden/>
          </w:rPr>
          <w:fldChar w:fldCharType="begin"/>
        </w:r>
        <w:r>
          <w:rPr>
            <w:webHidden/>
          </w:rPr>
          <w:instrText xml:space="preserve"> PAGEREF _Toc229751382 \h </w:instrText>
        </w:r>
        <w:r>
          <w:rPr>
            <w:webHidden/>
          </w:rPr>
        </w:r>
        <w:r>
          <w:rPr>
            <w:webHidden/>
          </w:rPr>
          <w:fldChar w:fldCharType="separate"/>
        </w:r>
        <w:r>
          <w:rPr>
            <w:webHidden/>
          </w:rPr>
          <w:t>1</w:t>
        </w:r>
        <w:r>
          <w:rPr>
            <w:webHidden/>
          </w:rPr>
          <w:fldChar w:fldCharType="end"/>
        </w:r>
      </w:hyperlink>
    </w:p>
    <w:p w14:paraId="72AC4282" w14:textId="42006CF3"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83" w:history="1">
        <w:r w:rsidRPr="00601DED">
          <w:rPr>
            <w:rStyle w:val="Hyperlink"/>
          </w:rPr>
          <w:t>Making a submission</w:t>
        </w:r>
        <w:r>
          <w:rPr>
            <w:webHidden/>
          </w:rPr>
          <w:tab/>
        </w:r>
        <w:r>
          <w:rPr>
            <w:webHidden/>
          </w:rPr>
          <w:fldChar w:fldCharType="begin"/>
        </w:r>
        <w:r>
          <w:rPr>
            <w:webHidden/>
          </w:rPr>
          <w:instrText xml:space="preserve"> PAGEREF _Toc229751383 \h </w:instrText>
        </w:r>
        <w:r>
          <w:rPr>
            <w:webHidden/>
          </w:rPr>
        </w:r>
        <w:r>
          <w:rPr>
            <w:webHidden/>
          </w:rPr>
          <w:fldChar w:fldCharType="separate"/>
        </w:r>
        <w:r>
          <w:rPr>
            <w:webHidden/>
          </w:rPr>
          <w:t>1</w:t>
        </w:r>
        <w:r>
          <w:rPr>
            <w:webHidden/>
          </w:rPr>
          <w:fldChar w:fldCharType="end"/>
        </w:r>
      </w:hyperlink>
    </w:p>
    <w:p w14:paraId="55807414" w14:textId="0333C429"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84" w:history="1">
        <w:r w:rsidRPr="00601DED">
          <w:rPr>
            <w:rStyle w:val="Hyperlink"/>
          </w:rPr>
          <w:t>Further information</w:t>
        </w:r>
        <w:r>
          <w:rPr>
            <w:webHidden/>
          </w:rPr>
          <w:tab/>
        </w:r>
        <w:r>
          <w:rPr>
            <w:webHidden/>
          </w:rPr>
          <w:fldChar w:fldCharType="begin"/>
        </w:r>
        <w:r>
          <w:rPr>
            <w:webHidden/>
          </w:rPr>
          <w:instrText xml:space="preserve"> PAGEREF _Toc229751384 \h </w:instrText>
        </w:r>
        <w:r>
          <w:rPr>
            <w:webHidden/>
          </w:rPr>
        </w:r>
        <w:r>
          <w:rPr>
            <w:webHidden/>
          </w:rPr>
          <w:fldChar w:fldCharType="separate"/>
        </w:r>
        <w:r>
          <w:rPr>
            <w:webHidden/>
          </w:rPr>
          <w:t>2</w:t>
        </w:r>
        <w:r>
          <w:rPr>
            <w:webHidden/>
          </w:rPr>
          <w:fldChar w:fldCharType="end"/>
        </w:r>
      </w:hyperlink>
    </w:p>
    <w:p w14:paraId="3BF21109" w14:textId="327F3FA8"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385" w:history="1">
        <w:r w:rsidRPr="00601DED">
          <w:rPr>
            <w:rStyle w:val="Hyperlink"/>
          </w:rPr>
          <w:t>Introduction</w:t>
        </w:r>
        <w:r>
          <w:rPr>
            <w:webHidden/>
          </w:rPr>
          <w:tab/>
        </w:r>
        <w:r>
          <w:rPr>
            <w:webHidden/>
          </w:rPr>
          <w:fldChar w:fldCharType="begin"/>
        </w:r>
        <w:r>
          <w:rPr>
            <w:webHidden/>
          </w:rPr>
          <w:instrText xml:space="preserve"> PAGEREF _Toc229751385 \h </w:instrText>
        </w:r>
        <w:r>
          <w:rPr>
            <w:webHidden/>
          </w:rPr>
        </w:r>
        <w:r>
          <w:rPr>
            <w:webHidden/>
          </w:rPr>
          <w:fldChar w:fldCharType="separate"/>
        </w:r>
        <w:r>
          <w:rPr>
            <w:webHidden/>
          </w:rPr>
          <w:t>3</w:t>
        </w:r>
        <w:r>
          <w:rPr>
            <w:webHidden/>
          </w:rPr>
          <w:fldChar w:fldCharType="end"/>
        </w:r>
      </w:hyperlink>
    </w:p>
    <w:p w14:paraId="50846414" w14:textId="31FB07F7"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86" w:history="1">
        <w:r w:rsidRPr="00601DED">
          <w:rPr>
            <w:rStyle w:val="Hyperlink"/>
          </w:rPr>
          <w:t>Applicant</w:t>
        </w:r>
        <w:r>
          <w:rPr>
            <w:webHidden/>
          </w:rPr>
          <w:tab/>
        </w:r>
        <w:r>
          <w:rPr>
            <w:webHidden/>
          </w:rPr>
          <w:fldChar w:fldCharType="begin"/>
        </w:r>
        <w:r>
          <w:rPr>
            <w:webHidden/>
          </w:rPr>
          <w:instrText xml:space="preserve"> PAGEREF _Toc229751386 \h </w:instrText>
        </w:r>
        <w:r>
          <w:rPr>
            <w:webHidden/>
          </w:rPr>
        </w:r>
        <w:r>
          <w:rPr>
            <w:webHidden/>
          </w:rPr>
          <w:fldChar w:fldCharType="separate"/>
        </w:r>
        <w:r>
          <w:rPr>
            <w:webHidden/>
          </w:rPr>
          <w:t>3</w:t>
        </w:r>
        <w:r>
          <w:rPr>
            <w:webHidden/>
          </w:rPr>
          <w:fldChar w:fldCharType="end"/>
        </w:r>
      </w:hyperlink>
    </w:p>
    <w:p w14:paraId="02003CFE" w14:textId="2D1548F0"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87" w:history="1">
        <w:r w:rsidRPr="00601DED">
          <w:rPr>
            <w:rStyle w:val="Hyperlink"/>
          </w:rPr>
          <w:t>Purpose of application</w:t>
        </w:r>
        <w:r>
          <w:rPr>
            <w:webHidden/>
          </w:rPr>
          <w:tab/>
        </w:r>
        <w:r>
          <w:rPr>
            <w:webHidden/>
          </w:rPr>
          <w:fldChar w:fldCharType="begin"/>
        </w:r>
        <w:r>
          <w:rPr>
            <w:webHidden/>
          </w:rPr>
          <w:instrText xml:space="preserve"> PAGEREF _Toc229751387 \h </w:instrText>
        </w:r>
        <w:r>
          <w:rPr>
            <w:webHidden/>
          </w:rPr>
        </w:r>
        <w:r>
          <w:rPr>
            <w:webHidden/>
          </w:rPr>
          <w:fldChar w:fldCharType="separate"/>
        </w:r>
        <w:r>
          <w:rPr>
            <w:webHidden/>
          </w:rPr>
          <w:t>3</w:t>
        </w:r>
        <w:r>
          <w:rPr>
            <w:webHidden/>
          </w:rPr>
          <w:fldChar w:fldCharType="end"/>
        </w:r>
      </w:hyperlink>
    </w:p>
    <w:p w14:paraId="5E309B10" w14:textId="0D8DE027"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88" w:history="1">
        <w:r w:rsidRPr="00601DED">
          <w:rPr>
            <w:rStyle w:val="Hyperlink"/>
          </w:rPr>
          <w:t>Proposed claims and use pattern</w:t>
        </w:r>
        <w:r>
          <w:rPr>
            <w:webHidden/>
          </w:rPr>
          <w:tab/>
        </w:r>
        <w:r>
          <w:rPr>
            <w:webHidden/>
          </w:rPr>
          <w:fldChar w:fldCharType="begin"/>
        </w:r>
        <w:r>
          <w:rPr>
            <w:webHidden/>
          </w:rPr>
          <w:instrText xml:space="preserve"> PAGEREF _Toc229751388 \h </w:instrText>
        </w:r>
        <w:r>
          <w:rPr>
            <w:webHidden/>
          </w:rPr>
        </w:r>
        <w:r>
          <w:rPr>
            <w:webHidden/>
          </w:rPr>
          <w:fldChar w:fldCharType="separate"/>
        </w:r>
        <w:r>
          <w:rPr>
            <w:webHidden/>
          </w:rPr>
          <w:t>3</w:t>
        </w:r>
        <w:r>
          <w:rPr>
            <w:webHidden/>
          </w:rPr>
          <w:fldChar w:fldCharType="end"/>
        </w:r>
      </w:hyperlink>
    </w:p>
    <w:p w14:paraId="09B996E6" w14:textId="32BC3C76"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89" w:history="1">
        <w:r w:rsidRPr="00601DED">
          <w:rPr>
            <w:rStyle w:val="Hyperlink"/>
          </w:rPr>
          <w:t>Mode of action</w:t>
        </w:r>
        <w:r>
          <w:rPr>
            <w:webHidden/>
          </w:rPr>
          <w:tab/>
        </w:r>
        <w:r>
          <w:rPr>
            <w:webHidden/>
          </w:rPr>
          <w:fldChar w:fldCharType="begin"/>
        </w:r>
        <w:r>
          <w:rPr>
            <w:webHidden/>
          </w:rPr>
          <w:instrText xml:space="preserve"> PAGEREF _Toc229751389 \h </w:instrText>
        </w:r>
        <w:r>
          <w:rPr>
            <w:webHidden/>
          </w:rPr>
        </w:r>
        <w:r>
          <w:rPr>
            <w:webHidden/>
          </w:rPr>
          <w:fldChar w:fldCharType="separate"/>
        </w:r>
        <w:r>
          <w:rPr>
            <w:webHidden/>
          </w:rPr>
          <w:t>3</w:t>
        </w:r>
        <w:r>
          <w:rPr>
            <w:webHidden/>
          </w:rPr>
          <w:fldChar w:fldCharType="end"/>
        </w:r>
      </w:hyperlink>
    </w:p>
    <w:p w14:paraId="2FDEB71E" w14:textId="0E7281D8"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90" w:history="1">
        <w:r w:rsidRPr="00601DED">
          <w:rPr>
            <w:rStyle w:val="Hyperlink"/>
          </w:rPr>
          <w:t>Overseas registrations</w:t>
        </w:r>
        <w:r>
          <w:rPr>
            <w:webHidden/>
          </w:rPr>
          <w:tab/>
        </w:r>
        <w:r>
          <w:rPr>
            <w:webHidden/>
          </w:rPr>
          <w:fldChar w:fldCharType="begin"/>
        </w:r>
        <w:r>
          <w:rPr>
            <w:webHidden/>
          </w:rPr>
          <w:instrText xml:space="preserve"> PAGEREF _Toc229751390 \h </w:instrText>
        </w:r>
        <w:r>
          <w:rPr>
            <w:webHidden/>
          </w:rPr>
        </w:r>
        <w:r>
          <w:rPr>
            <w:webHidden/>
          </w:rPr>
          <w:fldChar w:fldCharType="separate"/>
        </w:r>
        <w:r>
          <w:rPr>
            <w:webHidden/>
          </w:rPr>
          <w:t>3</w:t>
        </w:r>
        <w:r>
          <w:rPr>
            <w:webHidden/>
          </w:rPr>
          <w:fldChar w:fldCharType="end"/>
        </w:r>
      </w:hyperlink>
    </w:p>
    <w:p w14:paraId="0E23D145" w14:textId="4CFAF769"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391" w:history="1">
        <w:r w:rsidRPr="00601DED">
          <w:rPr>
            <w:rStyle w:val="Hyperlink"/>
          </w:rPr>
          <w:t>Chemistry and manufacture</w:t>
        </w:r>
        <w:r>
          <w:rPr>
            <w:webHidden/>
          </w:rPr>
          <w:tab/>
        </w:r>
        <w:r>
          <w:rPr>
            <w:webHidden/>
          </w:rPr>
          <w:fldChar w:fldCharType="begin"/>
        </w:r>
        <w:r>
          <w:rPr>
            <w:webHidden/>
          </w:rPr>
          <w:instrText xml:space="preserve"> PAGEREF _Toc229751391 \h </w:instrText>
        </w:r>
        <w:r>
          <w:rPr>
            <w:webHidden/>
          </w:rPr>
        </w:r>
        <w:r>
          <w:rPr>
            <w:webHidden/>
          </w:rPr>
          <w:fldChar w:fldCharType="separate"/>
        </w:r>
        <w:r>
          <w:rPr>
            <w:webHidden/>
          </w:rPr>
          <w:t>4</w:t>
        </w:r>
        <w:r>
          <w:rPr>
            <w:webHidden/>
          </w:rPr>
          <w:fldChar w:fldCharType="end"/>
        </w:r>
      </w:hyperlink>
    </w:p>
    <w:p w14:paraId="0F1FEF9A" w14:textId="366CD5F6"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92" w:history="1">
        <w:r w:rsidRPr="00601DED">
          <w:rPr>
            <w:rStyle w:val="Hyperlink"/>
          </w:rPr>
          <w:t>Active constituent</w:t>
        </w:r>
        <w:r>
          <w:rPr>
            <w:webHidden/>
          </w:rPr>
          <w:tab/>
        </w:r>
        <w:r>
          <w:rPr>
            <w:webHidden/>
          </w:rPr>
          <w:fldChar w:fldCharType="begin"/>
        </w:r>
        <w:r>
          <w:rPr>
            <w:webHidden/>
          </w:rPr>
          <w:instrText xml:space="preserve"> PAGEREF _Toc229751392 \h </w:instrText>
        </w:r>
        <w:r>
          <w:rPr>
            <w:webHidden/>
          </w:rPr>
        </w:r>
        <w:r>
          <w:rPr>
            <w:webHidden/>
          </w:rPr>
          <w:fldChar w:fldCharType="separate"/>
        </w:r>
        <w:r>
          <w:rPr>
            <w:webHidden/>
          </w:rPr>
          <w:t>4</w:t>
        </w:r>
        <w:r>
          <w:rPr>
            <w:webHidden/>
          </w:rPr>
          <w:fldChar w:fldCharType="end"/>
        </w:r>
      </w:hyperlink>
    </w:p>
    <w:p w14:paraId="5737AEE0" w14:textId="590EA872"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93" w:history="1">
        <w:r w:rsidRPr="00601DED">
          <w:rPr>
            <w:rStyle w:val="Hyperlink"/>
          </w:rPr>
          <w:t>Formulated product</w:t>
        </w:r>
        <w:r>
          <w:rPr>
            <w:webHidden/>
          </w:rPr>
          <w:tab/>
        </w:r>
        <w:r>
          <w:rPr>
            <w:webHidden/>
          </w:rPr>
          <w:fldChar w:fldCharType="begin"/>
        </w:r>
        <w:r>
          <w:rPr>
            <w:webHidden/>
          </w:rPr>
          <w:instrText xml:space="preserve"> PAGEREF _Toc229751393 \h </w:instrText>
        </w:r>
        <w:r>
          <w:rPr>
            <w:webHidden/>
          </w:rPr>
        </w:r>
        <w:r>
          <w:rPr>
            <w:webHidden/>
          </w:rPr>
          <w:fldChar w:fldCharType="separate"/>
        </w:r>
        <w:r>
          <w:rPr>
            <w:webHidden/>
          </w:rPr>
          <w:t>5</w:t>
        </w:r>
        <w:r>
          <w:rPr>
            <w:webHidden/>
          </w:rPr>
          <w:fldChar w:fldCharType="end"/>
        </w:r>
      </w:hyperlink>
    </w:p>
    <w:p w14:paraId="0E3CAF9B" w14:textId="0194D544"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94" w:history="1">
        <w:r w:rsidRPr="00601DED">
          <w:rPr>
            <w:rStyle w:val="Hyperlink"/>
          </w:rPr>
          <w:t>Recommendations</w:t>
        </w:r>
        <w:r>
          <w:rPr>
            <w:webHidden/>
          </w:rPr>
          <w:tab/>
        </w:r>
        <w:r>
          <w:rPr>
            <w:webHidden/>
          </w:rPr>
          <w:fldChar w:fldCharType="begin"/>
        </w:r>
        <w:r>
          <w:rPr>
            <w:webHidden/>
          </w:rPr>
          <w:instrText xml:space="preserve"> PAGEREF _Toc229751394 \h </w:instrText>
        </w:r>
        <w:r>
          <w:rPr>
            <w:webHidden/>
          </w:rPr>
        </w:r>
        <w:r>
          <w:rPr>
            <w:webHidden/>
          </w:rPr>
          <w:fldChar w:fldCharType="separate"/>
        </w:r>
        <w:r>
          <w:rPr>
            <w:webHidden/>
          </w:rPr>
          <w:t>6</w:t>
        </w:r>
        <w:r>
          <w:rPr>
            <w:webHidden/>
          </w:rPr>
          <w:fldChar w:fldCharType="end"/>
        </w:r>
      </w:hyperlink>
    </w:p>
    <w:p w14:paraId="492973D2" w14:textId="62084B01"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395" w:history="1">
        <w:r w:rsidRPr="00601DED">
          <w:rPr>
            <w:rStyle w:val="Hyperlink"/>
          </w:rPr>
          <w:t>Toxicological assessment</w:t>
        </w:r>
        <w:r>
          <w:rPr>
            <w:webHidden/>
          </w:rPr>
          <w:tab/>
        </w:r>
        <w:r>
          <w:rPr>
            <w:webHidden/>
          </w:rPr>
          <w:fldChar w:fldCharType="begin"/>
        </w:r>
        <w:r>
          <w:rPr>
            <w:webHidden/>
          </w:rPr>
          <w:instrText xml:space="preserve"> PAGEREF _Toc229751395 \h </w:instrText>
        </w:r>
        <w:r>
          <w:rPr>
            <w:webHidden/>
          </w:rPr>
        </w:r>
        <w:r>
          <w:rPr>
            <w:webHidden/>
          </w:rPr>
          <w:fldChar w:fldCharType="separate"/>
        </w:r>
        <w:r>
          <w:rPr>
            <w:webHidden/>
          </w:rPr>
          <w:t>7</w:t>
        </w:r>
        <w:r>
          <w:rPr>
            <w:webHidden/>
          </w:rPr>
          <w:fldChar w:fldCharType="end"/>
        </w:r>
      </w:hyperlink>
    </w:p>
    <w:p w14:paraId="564D2710" w14:textId="6B618C08"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96" w:history="1">
        <w:r w:rsidRPr="00601DED">
          <w:rPr>
            <w:rStyle w:val="Hyperlink"/>
          </w:rPr>
          <w:t>Evaluation of toxicology</w:t>
        </w:r>
        <w:r>
          <w:rPr>
            <w:webHidden/>
          </w:rPr>
          <w:tab/>
        </w:r>
        <w:r>
          <w:rPr>
            <w:webHidden/>
          </w:rPr>
          <w:fldChar w:fldCharType="begin"/>
        </w:r>
        <w:r>
          <w:rPr>
            <w:webHidden/>
          </w:rPr>
          <w:instrText xml:space="preserve"> PAGEREF _Toc229751396 \h </w:instrText>
        </w:r>
        <w:r>
          <w:rPr>
            <w:webHidden/>
          </w:rPr>
        </w:r>
        <w:r>
          <w:rPr>
            <w:webHidden/>
          </w:rPr>
          <w:fldChar w:fldCharType="separate"/>
        </w:r>
        <w:r>
          <w:rPr>
            <w:webHidden/>
          </w:rPr>
          <w:t>7</w:t>
        </w:r>
        <w:r>
          <w:rPr>
            <w:webHidden/>
          </w:rPr>
          <w:fldChar w:fldCharType="end"/>
        </w:r>
      </w:hyperlink>
    </w:p>
    <w:p w14:paraId="68E0809A" w14:textId="516B462E"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97" w:history="1">
        <w:r w:rsidRPr="00601DED">
          <w:rPr>
            <w:rStyle w:val="Hyperlink"/>
          </w:rPr>
          <w:t>Health-based guidance values and poisons scheduling</w:t>
        </w:r>
        <w:r>
          <w:rPr>
            <w:webHidden/>
          </w:rPr>
          <w:tab/>
        </w:r>
        <w:r>
          <w:rPr>
            <w:webHidden/>
          </w:rPr>
          <w:fldChar w:fldCharType="begin"/>
        </w:r>
        <w:r>
          <w:rPr>
            <w:webHidden/>
          </w:rPr>
          <w:instrText xml:space="preserve"> PAGEREF _Toc229751397 \h </w:instrText>
        </w:r>
        <w:r>
          <w:rPr>
            <w:webHidden/>
          </w:rPr>
        </w:r>
        <w:r>
          <w:rPr>
            <w:webHidden/>
          </w:rPr>
          <w:fldChar w:fldCharType="separate"/>
        </w:r>
        <w:r>
          <w:rPr>
            <w:webHidden/>
          </w:rPr>
          <w:t>9</w:t>
        </w:r>
        <w:r>
          <w:rPr>
            <w:webHidden/>
          </w:rPr>
          <w:fldChar w:fldCharType="end"/>
        </w:r>
      </w:hyperlink>
    </w:p>
    <w:p w14:paraId="07B29473" w14:textId="3886D91D"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398" w:history="1">
        <w:r w:rsidRPr="00601DED">
          <w:rPr>
            <w:rStyle w:val="Hyperlink"/>
          </w:rPr>
          <w:t>Recommendations</w:t>
        </w:r>
        <w:r>
          <w:rPr>
            <w:webHidden/>
          </w:rPr>
          <w:tab/>
        </w:r>
        <w:r>
          <w:rPr>
            <w:webHidden/>
          </w:rPr>
          <w:fldChar w:fldCharType="begin"/>
        </w:r>
        <w:r>
          <w:rPr>
            <w:webHidden/>
          </w:rPr>
          <w:instrText xml:space="preserve"> PAGEREF _Toc229751398 \h </w:instrText>
        </w:r>
        <w:r>
          <w:rPr>
            <w:webHidden/>
          </w:rPr>
        </w:r>
        <w:r>
          <w:rPr>
            <w:webHidden/>
          </w:rPr>
          <w:fldChar w:fldCharType="separate"/>
        </w:r>
        <w:r>
          <w:rPr>
            <w:webHidden/>
          </w:rPr>
          <w:t>9</w:t>
        </w:r>
        <w:r>
          <w:rPr>
            <w:webHidden/>
          </w:rPr>
          <w:fldChar w:fldCharType="end"/>
        </w:r>
      </w:hyperlink>
    </w:p>
    <w:p w14:paraId="68F5C6F5" w14:textId="51D68256"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399" w:history="1">
        <w:r w:rsidRPr="00601DED">
          <w:rPr>
            <w:rStyle w:val="Hyperlink"/>
            <w:lang w:val="en-GB"/>
          </w:rPr>
          <w:t>Residues assessment</w:t>
        </w:r>
        <w:r>
          <w:rPr>
            <w:webHidden/>
          </w:rPr>
          <w:tab/>
        </w:r>
        <w:r>
          <w:rPr>
            <w:webHidden/>
          </w:rPr>
          <w:fldChar w:fldCharType="begin"/>
        </w:r>
        <w:r>
          <w:rPr>
            <w:webHidden/>
          </w:rPr>
          <w:instrText xml:space="preserve"> PAGEREF _Toc229751399 \h </w:instrText>
        </w:r>
        <w:r>
          <w:rPr>
            <w:webHidden/>
          </w:rPr>
        </w:r>
        <w:r>
          <w:rPr>
            <w:webHidden/>
          </w:rPr>
          <w:fldChar w:fldCharType="separate"/>
        </w:r>
        <w:r>
          <w:rPr>
            <w:webHidden/>
          </w:rPr>
          <w:t>10</w:t>
        </w:r>
        <w:r>
          <w:rPr>
            <w:webHidden/>
          </w:rPr>
          <w:fldChar w:fldCharType="end"/>
        </w:r>
      </w:hyperlink>
    </w:p>
    <w:p w14:paraId="37DE9446" w14:textId="623419EE"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00" w:history="1">
        <w:r w:rsidRPr="00601DED">
          <w:rPr>
            <w:rStyle w:val="Hyperlink"/>
            <w:lang w:val="en-GB"/>
          </w:rPr>
          <w:t>Metabolism</w:t>
        </w:r>
        <w:r>
          <w:rPr>
            <w:webHidden/>
          </w:rPr>
          <w:tab/>
        </w:r>
        <w:r>
          <w:rPr>
            <w:webHidden/>
          </w:rPr>
          <w:fldChar w:fldCharType="begin"/>
        </w:r>
        <w:r>
          <w:rPr>
            <w:webHidden/>
          </w:rPr>
          <w:instrText xml:space="preserve"> PAGEREF _Toc229751400 \h </w:instrText>
        </w:r>
        <w:r>
          <w:rPr>
            <w:webHidden/>
          </w:rPr>
        </w:r>
        <w:r>
          <w:rPr>
            <w:webHidden/>
          </w:rPr>
          <w:fldChar w:fldCharType="separate"/>
        </w:r>
        <w:r>
          <w:rPr>
            <w:webHidden/>
          </w:rPr>
          <w:t>10</w:t>
        </w:r>
        <w:r>
          <w:rPr>
            <w:webHidden/>
          </w:rPr>
          <w:fldChar w:fldCharType="end"/>
        </w:r>
      </w:hyperlink>
    </w:p>
    <w:p w14:paraId="70EB1127" w14:textId="698CFB0B"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01" w:history="1">
        <w:r w:rsidRPr="00601DED">
          <w:rPr>
            <w:rStyle w:val="Hyperlink"/>
            <w:lang w:val="en-GB"/>
          </w:rPr>
          <w:t>Analytical methods and storage stability</w:t>
        </w:r>
        <w:r>
          <w:rPr>
            <w:webHidden/>
          </w:rPr>
          <w:tab/>
        </w:r>
        <w:r>
          <w:rPr>
            <w:webHidden/>
          </w:rPr>
          <w:fldChar w:fldCharType="begin"/>
        </w:r>
        <w:r>
          <w:rPr>
            <w:webHidden/>
          </w:rPr>
          <w:instrText xml:space="preserve"> PAGEREF _Toc229751401 \h </w:instrText>
        </w:r>
        <w:r>
          <w:rPr>
            <w:webHidden/>
          </w:rPr>
        </w:r>
        <w:r>
          <w:rPr>
            <w:webHidden/>
          </w:rPr>
          <w:fldChar w:fldCharType="separate"/>
        </w:r>
        <w:r>
          <w:rPr>
            <w:webHidden/>
          </w:rPr>
          <w:t>14</w:t>
        </w:r>
        <w:r>
          <w:rPr>
            <w:webHidden/>
          </w:rPr>
          <w:fldChar w:fldCharType="end"/>
        </w:r>
      </w:hyperlink>
    </w:p>
    <w:p w14:paraId="04FDE934" w14:textId="5652B3F7"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02" w:history="1">
        <w:r w:rsidRPr="00601DED">
          <w:rPr>
            <w:rStyle w:val="Hyperlink"/>
            <w:lang w:val="en-GB"/>
          </w:rPr>
          <w:t>Residue definition</w:t>
        </w:r>
        <w:r>
          <w:rPr>
            <w:webHidden/>
          </w:rPr>
          <w:tab/>
        </w:r>
        <w:r>
          <w:rPr>
            <w:webHidden/>
          </w:rPr>
          <w:fldChar w:fldCharType="begin"/>
        </w:r>
        <w:r>
          <w:rPr>
            <w:webHidden/>
          </w:rPr>
          <w:instrText xml:space="preserve"> PAGEREF _Toc229751402 \h </w:instrText>
        </w:r>
        <w:r>
          <w:rPr>
            <w:webHidden/>
          </w:rPr>
        </w:r>
        <w:r>
          <w:rPr>
            <w:webHidden/>
          </w:rPr>
          <w:fldChar w:fldCharType="separate"/>
        </w:r>
        <w:r>
          <w:rPr>
            <w:webHidden/>
          </w:rPr>
          <w:t>16</w:t>
        </w:r>
        <w:r>
          <w:rPr>
            <w:webHidden/>
          </w:rPr>
          <w:fldChar w:fldCharType="end"/>
        </w:r>
      </w:hyperlink>
    </w:p>
    <w:p w14:paraId="1BE80FE3" w14:textId="46E112AA"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03" w:history="1">
        <w:r w:rsidRPr="00601DED">
          <w:rPr>
            <w:rStyle w:val="Hyperlink"/>
            <w:lang w:val="en-GB"/>
          </w:rPr>
          <w:t>Residues in food and animal feeds</w:t>
        </w:r>
        <w:r>
          <w:rPr>
            <w:webHidden/>
          </w:rPr>
          <w:tab/>
        </w:r>
        <w:r>
          <w:rPr>
            <w:webHidden/>
          </w:rPr>
          <w:fldChar w:fldCharType="begin"/>
        </w:r>
        <w:r>
          <w:rPr>
            <w:webHidden/>
          </w:rPr>
          <w:instrText xml:space="preserve"> PAGEREF _Toc229751403 \h </w:instrText>
        </w:r>
        <w:r>
          <w:rPr>
            <w:webHidden/>
          </w:rPr>
        </w:r>
        <w:r>
          <w:rPr>
            <w:webHidden/>
          </w:rPr>
          <w:fldChar w:fldCharType="separate"/>
        </w:r>
        <w:r>
          <w:rPr>
            <w:webHidden/>
          </w:rPr>
          <w:t>17</w:t>
        </w:r>
        <w:r>
          <w:rPr>
            <w:webHidden/>
          </w:rPr>
          <w:fldChar w:fldCharType="end"/>
        </w:r>
      </w:hyperlink>
    </w:p>
    <w:p w14:paraId="30B64072" w14:textId="695451E1"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04" w:history="1">
        <w:r w:rsidRPr="00601DED">
          <w:rPr>
            <w:rStyle w:val="Hyperlink"/>
            <w:lang w:val="en-GB"/>
          </w:rPr>
          <w:t>Residues in animal commodities</w:t>
        </w:r>
        <w:r>
          <w:rPr>
            <w:webHidden/>
          </w:rPr>
          <w:tab/>
        </w:r>
        <w:r>
          <w:rPr>
            <w:webHidden/>
          </w:rPr>
          <w:fldChar w:fldCharType="begin"/>
        </w:r>
        <w:r>
          <w:rPr>
            <w:webHidden/>
          </w:rPr>
          <w:instrText xml:space="preserve"> PAGEREF _Toc229751404 \h </w:instrText>
        </w:r>
        <w:r>
          <w:rPr>
            <w:webHidden/>
          </w:rPr>
        </w:r>
        <w:r>
          <w:rPr>
            <w:webHidden/>
          </w:rPr>
          <w:fldChar w:fldCharType="separate"/>
        </w:r>
        <w:r>
          <w:rPr>
            <w:webHidden/>
          </w:rPr>
          <w:t>19</w:t>
        </w:r>
        <w:r>
          <w:rPr>
            <w:webHidden/>
          </w:rPr>
          <w:fldChar w:fldCharType="end"/>
        </w:r>
      </w:hyperlink>
    </w:p>
    <w:p w14:paraId="5AD32C1B" w14:textId="48E74AAB"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05" w:history="1">
        <w:r w:rsidRPr="00601DED">
          <w:rPr>
            <w:rStyle w:val="Hyperlink"/>
            <w:lang w:val="en-GB"/>
          </w:rPr>
          <w:t>Dietary risk assessment</w:t>
        </w:r>
        <w:r>
          <w:rPr>
            <w:webHidden/>
          </w:rPr>
          <w:tab/>
        </w:r>
        <w:r>
          <w:rPr>
            <w:webHidden/>
          </w:rPr>
          <w:fldChar w:fldCharType="begin"/>
        </w:r>
        <w:r>
          <w:rPr>
            <w:webHidden/>
          </w:rPr>
          <w:instrText xml:space="preserve"> PAGEREF _Toc229751405 \h </w:instrText>
        </w:r>
        <w:r>
          <w:rPr>
            <w:webHidden/>
          </w:rPr>
        </w:r>
        <w:r>
          <w:rPr>
            <w:webHidden/>
          </w:rPr>
          <w:fldChar w:fldCharType="separate"/>
        </w:r>
        <w:r>
          <w:rPr>
            <w:webHidden/>
          </w:rPr>
          <w:t>20</w:t>
        </w:r>
        <w:r>
          <w:rPr>
            <w:webHidden/>
          </w:rPr>
          <w:fldChar w:fldCharType="end"/>
        </w:r>
      </w:hyperlink>
    </w:p>
    <w:p w14:paraId="724FE7B7" w14:textId="61EFAE76"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06" w:history="1">
        <w:r w:rsidRPr="00601DED">
          <w:rPr>
            <w:rStyle w:val="Hyperlink"/>
          </w:rPr>
          <w:t>Recommendations</w:t>
        </w:r>
        <w:r>
          <w:rPr>
            <w:webHidden/>
          </w:rPr>
          <w:tab/>
        </w:r>
        <w:r>
          <w:rPr>
            <w:webHidden/>
          </w:rPr>
          <w:fldChar w:fldCharType="begin"/>
        </w:r>
        <w:r>
          <w:rPr>
            <w:webHidden/>
          </w:rPr>
          <w:instrText xml:space="preserve"> PAGEREF _Toc229751406 \h </w:instrText>
        </w:r>
        <w:r>
          <w:rPr>
            <w:webHidden/>
          </w:rPr>
        </w:r>
        <w:r>
          <w:rPr>
            <w:webHidden/>
          </w:rPr>
          <w:fldChar w:fldCharType="separate"/>
        </w:r>
        <w:r>
          <w:rPr>
            <w:webHidden/>
          </w:rPr>
          <w:t>21</w:t>
        </w:r>
        <w:r>
          <w:rPr>
            <w:webHidden/>
          </w:rPr>
          <w:fldChar w:fldCharType="end"/>
        </w:r>
      </w:hyperlink>
    </w:p>
    <w:p w14:paraId="7E79447F" w14:textId="2BB84D87"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407" w:history="1">
        <w:r w:rsidRPr="00601DED">
          <w:rPr>
            <w:rStyle w:val="Hyperlink"/>
          </w:rPr>
          <w:t>Assessment of overseas trade aspects of residues in food</w:t>
        </w:r>
        <w:r>
          <w:rPr>
            <w:webHidden/>
          </w:rPr>
          <w:tab/>
        </w:r>
        <w:r>
          <w:rPr>
            <w:webHidden/>
          </w:rPr>
          <w:fldChar w:fldCharType="begin"/>
        </w:r>
        <w:r>
          <w:rPr>
            <w:webHidden/>
          </w:rPr>
          <w:instrText xml:space="preserve"> PAGEREF _Toc229751407 \h </w:instrText>
        </w:r>
        <w:r>
          <w:rPr>
            <w:webHidden/>
          </w:rPr>
        </w:r>
        <w:r>
          <w:rPr>
            <w:webHidden/>
          </w:rPr>
          <w:fldChar w:fldCharType="separate"/>
        </w:r>
        <w:r>
          <w:rPr>
            <w:webHidden/>
          </w:rPr>
          <w:t>22</w:t>
        </w:r>
        <w:r>
          <w:rPr>
            <w:webHidden/>
          </w:rPr>
          <w:fldChar w:fldCharType="end"/>
        </w:r>
      </w:hyperlink>
    </w:p>
    <w:p w14:paraId="0D45C76F" w14:textId="3206DED5"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08" w:history="1">
        <w:r w:rsidRPr="00601DED">
          <w:rPr>
            <w:rStyle w:val="Hyperlink"/>
          </w:rPr>
          <w:t>Commodities exported and main destinations</w:t>
        </w:r>
        <w:r>
          <w:rPr>
            <w:webHidden/>
          </w:rPr>
          <w:tab/>
        </w:r>
        <w:r>
          <w:rPr>
            <w:webHidden/>
          </w:rPr>
          <w:fldChar w:fldCharType="begin"/>
        </w:r>
        <w:r>
          <w:rPr>
            <w:webHidden/>
          </w:rPr>
          <w:instrText xml:space="preserve"> PAGEREF _Toc229751408 \h </w:instrText>
        </w:r>
        <w:r>
          <w:rPr>
            <w:webHidden/>
          </w:rPr>
        </w:r>
        <w:r>
          <w:rPr>
            <w:webHidden/>
          </w:rPr>
          <w:fldChar w:fldCharType="separate"/>
        </w:r>
        <w:r>
          <w:rPr>
            <w:webHidden/>
          </w:rPr>
          <w:t>22</w:t>
        </w:r>
        <w:r>
          <w:rPr>
            <w:webHidden/>
          </w:rPr>
          <w:fldChar w:fldCharType="end"/>
        </w:r>
      </w:hyperlink>
    </w:p>
    <w:p w14:paraId="49009436" w14:textId="1A401C43"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09" w:history="1">
        <w:r w:rsidRPr="00601DED">
          <w:rPr>
            <w:rStyle w:val="Hyperlink"/>
          </w:rPr>
          <w:t>Overseas registrations and approved label instructions</w:t>
        </w:r>
        <w:r>
          <w:rPr>
            <w:webHidden/>
          </w:rPr>
          <w:tab/>
        </w:r>
        <w:r>
          <w:rPr>
            <w:webHidden/>
          </w:rPr>
          <w:fldChar w:fldCharType="begin"/>
        </w:r>
        <w:r>
          <w:rPr>
            <w:webHidden/>
          </w:rPr>
          <w:instrText xml:space="preserve"> PAGEREF _Toc229751409 \h </w:instrText>
        </w:r>
        <w:r>
          <w:rPr>
            <w:webHidden/>
          </w:rPr>
        </w:r>
        <w:r>
          <w:rPr>
            <w:webHidden/>
          </w:rPr>
          <w:fldChar w:fldCharType="separate"/>
        </w:r>
        <w:r>
          <w:rPr>
            <w:webHidden/>
          </w:rPr>
          <w:t>22</w:t>
        </w:r>
        <w:r>
          <w:rPr>
            <w:webHidden/>
          </w:rPr>
          <w:fldChar w:fldCharType="end"/>
        </w:r>
      </w:hyperlink>
    </w:p>
    <w:p w14:paraId="3642BFDF" w14:textId="27848857"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10" w:history="1">
        <w:r w:rsidRPr="00601DED">
          <w:rPr>
            <w:rStyle w:val="Hyperlink"/>
          </w:rPr>
          <w:t>Comparison of Australian MRLs with Codex and international MRLs</w:t>
        </w:r>
        <w:r>
          <w:rPr>
            <w:webHidden/>
          </w:rPr>
          <w:tab/>
        </w:r>
        <w:r>
          <w:rPr>
            <w:webHidden/>
          </w:rPr>
          <w:fldChar w:fldCharType="begin"/>
        </w:r>
        <w:r>
          <w:rPr>
            <w:webHidden/>
          </w:rPr>
          <w:instrText xml:space="preserve"> PAGEREF _Toc229751410 \h </w:instrText>
        </w:r>
        <w:r>
          <w:rPr>
            <w:webHidden/>
          </w:rPr>
        </w:r>
        <w:r>
          <w:rPr>
            <w:webHidden/>
          </w:rPr>
          <w:fldChar w:fldCharType="separate"/>
        </w:r>
        <w:r>
          <w:rPr>
            <w:webHidden/>
          </w:rPr>
          <w:t>22</w:t>
        </w:r>
        <w:r>
          <w:rPr>
            <w:webHidden/>
          </w:rPr>
          <w:fldChar w:fldCharType="end"/>
        </w:r>
      </w:hyperlink>
    </w:p>
    <w:p w14:paraId="39C7A933" w14:textId="2160B517"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11" w:history="1">
        <w:r w:rsidRPr="00601DED">
          <w:rPr>
            <w:rStyle w:val="Hyperlink"/>
          </w:rPr>
          <w:t>Potential risk to trade</w:t>
        </w:r>
        <w:r>
          <w:rPr>
            <w:webHidden/>
          </w:rPr>
          <w:tab/>
        </w:r>
        <w:r>
          <w:rPr>
            <w:webHidden/>
          </w:rPr>
          <w:fldChar w:fldCharType="begin"/>
        </w:r>
        <w:r>
          <w:rPr>
            <w:webHidden/>
          </w:rPr>
          <w:instrText xml:space="preserve"> PAGEREF _Toc229751411 \h </w:instrText>
        </w:r>
        <w:r>
          <w:rPr>
            <w:webHidden/>
          </w:rPr>
        </w:r>
        <w:r>
          <w:rPr>
            <w:webHidden/>
          </w:rPr>
          <w:fldChar w:fldCharType="separate"/>
        </w:r>
        <w:r>
          <w:rPr>
            <w:webHidden/>
          </w:rPr>
          <w:t>26</w:t>
        </w:r>
        <w:r>
          <w:rPr>
            <w:webHidden/>
          </w:rPr>
          <w:fldChar w:fldCharType="end"/>
        </w:r>
      </w:hyperlink>
    </w:p>
    <w:p w14:paraId="3BB2E58A" w14:textId="7DAC6D4D"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12" w:history="1">
        <w:r w:rsidRPr="00601DED">
          <w:rPr>
            <w:rStyle w:val="Hyperlink"/>
          </w:rPr>
          <w:t>Recommendations</w:t>
        </w:r>
        <w:r>
          <w:rPr>
            <w:webHidden/>
          </w:rPr>
          <w:tab/>
        </w:r>
        <w:r>
          <w:rPr>
            <w:webHidden/>
          </w:rPr>
          <w:fldChar w:fldCharType="begin"/>
        </w:r>
        <w:r>
          <w:rPr>
            <w:webHidden/>
          </w:rPr>
          <w:instrText xml:space="preserve"> PAGEREF _Toc229751412 \h </w:instrText>
        </w:r>
        <w:r>
          <w:rPr>
            <w:webHidden/>
          </w:rPr>
        </w:r>
        <w:r>
          <w:rPr>
            <w:webHidden/>
          </w:rPr>
          <w:fldChar w:fldCharType="separate"/>
        </w:r>
        <w:r>
          <w:rPr>
            <w:webHidden/>
          </w:rPr>
          <w:t>26</w:t>
        </w:r>
        <w:r>
          <w:rPr>
            <w:webHidden/>
          </w:rPr>
          <w:fldChar w:fldCharType="end"/>
        </w:r>
      </w:hyperlink>
    </w:p>
    <w:p w14:paraId="591CBB12" w14:textId="64F23478"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413" w:history="1">
        <w:r w:rsidRPr="00601DED">
          <w:rPr>
            <w:rStyle w:val="Hyperlink"/>
          </w:rPr>
          <w:t>Work health and safety assessment</w:t>
        </w:r>
        <w:r>
          <w:rPr>
            <w:webHidden/>
          </w:rPr>
          <w:tab/>
        </w:r>
        <w:r>
          <w:rPr>
            <w:webHidden/>
          </w:rPr>
          <w:fldChar w:fldCharType="begin"/>
        </w:r>
        <w:r>
          <w:rPr>
            <w:webHidden/>
          </w:rPr>
          <w:instrText xml:space="preserve"> PAGEREF _Toc229751413 \h </w:instrText>
        </w:r>
        <w:r>
          <w:rPr>
            <w:webHidden/>
          </w:rPr>
        </w:r>
        <w:r>
          <w:rPr>
            <w:webHidden/>
          </w:rPr>
          <w:fldChar w:fldCharType="separate"/>
        </w:r>
        <w:r>
          <w:rPr>
            <w:webHidden/>
          </w:rPr>
          <w:t>27</w:t>
        </w:r>
        <w:r>
          <w:rPr>
            <w:webHidden/>
          </w:rPr>
          <w:fldChar w:fldCharType="end"/>
        </w:r>
      </w:hyperlink>
    </w:p>
    <w:p w14:paraId="3E417682" w14:textId="6B859A91"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14" w:history="1">
        <w:r w:rsidRPr="00601DED">
          <w:rPr>
            <w:rStyle w:val="Hyperlink"/>
          </w:rPr>
          <w:t>Health hazards</w:t>
        </w:r>
        <w:r>
          <w:rPr>
            <w:webHidden/>
          </w:rPr>
          <w:tab/>
        </w:r>
        <w:r>
          <w:rPr>
            <w:webHidden/>
          </w:rPr>
          <w:fldChar w:fldCharType="begin"/>
        </w:r>
        <w:r>
          <w:rPr>
            <w:webHidden/>
          </w:rPr>
          <w:instrText xml:space="preserve"> PAGEREF _Toc229751414 \h </w:instrText>
        </w:r>
        <w:r>
          <w:rPr>
            <w:webHidden/>
          </w:rPr>
        </w:r>
        <w:r>
          <w:rPr>
            <w:webHidden/>
          </w:rPr>
          <w:fldChar w:fldCharType="separate"/>
        </w:r>
        <w:r>
          <w:rPr>
            <w:webHidden/>
          </w:rPr>
          <w:t>27</w:t>
        </w:r>
        <w:r>
          <w:rPr>
            <w:webHidden/>
          </w:rPr>
          <w:fldChar w:fldCharType="end"/>
        </w:r>
      </w:hyperlink>
    </w:p>
    <w:p w14:paraId="706C3250" w14:textId="0FB00B91"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15" w:history="1">
        <w:r w:rsidRPr="00601DED">
          <w:rPr>
            <w:rStyle w:val="Hyperlink"/>
          </w:rPr>
          <w:t>Occupational exposure</w:t>
        </w:r>
        <w:r>
          <w:rPr>
            <w:webHidden/>
          </w:rPr>
          <w:tab/>
        </w:r>
        <w:r>
          <w:rPr>
            <w:webHidden/>
          </w:rPr>
          <w:fldChar w:fldCharType="begin"/>
        </w:r>
        <w:r>
          <w:rPr>
            <w:webHidden/>
          </w:rPr>
          <w:instrText xml:space="preserve"> PAGEREF _Toc229751415 \h </w:instrText>
        </w:r>
        <w:r>
          <w:rPr>
            <w:webHidden/>
          </w:rPr>
        </w:r>
        <w:r>
          <w:rPr>
            <w:webHidden/>
          </w:rPr>
          <w:fldChar w:fldCharType="separate"/>
        </w:r>
        <w:r>
          <w:rPr>
            <w:webHidden/>
          </w:rPr>
          <w:t>27</w:t>
        </w:r>
        <w:r>
          <w:rPr>
            <w:webHidden/>
          </w:rPr>
          <w:fldChar w:fldCharType="end"/>
        </w:r>
      </w:hyperlink>
    </w:p>
    <w:p w14:paraId="01D32625" w14:textId="0F68D80D"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16" w:history="1">
        <w:r w:rsidRPr="00601DED">
          <w:rPr>
            <w:rStyle w:val="Hyperlink"/>
          </w:rPr>
          <w:t>Public exposure</w:t>
        </w:r>
        <w:r>
          <w:rPr>
            <w:webHidden/>
          </w:rPr>
          <w:tab/>
        </w:r>
        <w:r>
          <w:rPr>
            <w:webHidden/>
          </w:rPr>
          <w:fldChar w:fldCharType="begin"/>
        </w:r>
        <w:r>
          <w:rPr>
            <w:webHidden/>
          </w:rPr>
          <w:instrText xml:space="preserve"> PAGEREF _Toc229751416 \h </w:instrText>
        </w:r>
        <w:r>
          <w:rPr>
            <w:webHidden/>
          </w:rPr>
        </w:r>
        <w:r>
          <w:rPr>
            <w:webHidden/>
          </w:rPr>
          <w:fldChar w:fldCharType="separate"/>
        </w:r>
        <w:r>
          <w:rPr>
            <w:webHidden/>
          </w:rPr>
          <w:t>28</w:t>
        </w:r>
        <w:r>
          <w:rPr>
            <w:webHidden/>
          </w:rPr>
          <w:fldChar w:fldCharType="end"/>
        </w:r>
      </w:hyperlink>
    </w:p>
    <w:p w14:paraId="1C6B0F51" w14:textId="485533D9"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17" w:history="1">
        <w:r w:rsidRPr="00601DED">
          <w:rPr>
            <w:rStyle w:val="Hyperlink"/>
          </w:rPr>
          <w:t>Recommendations</w:t>
        </w:r>
        <w:r>
          <w:rPr>
            <w:webHidden/>
          </w:rPr>
          <w:tab/>
        </w:r>
        <w:r>
          <w:rPr>
            <w:webHidden/>
          </w:rPr>
          <w:fldChar w:fldCharType="begin"/>
        </w:r>
        <w:r>
          <w:rPr>
            <w:webHidden/>
          </w:rPr>
          <w:instrText xml:space="preserve"> PAGEREF _Toc229751417 \h </w:instrText>
        </w:r>
        <w:r>
          <w:rPr>
            <w:webHidden/>
          </w:rPr>
        </w:r>
        <w:r>
          <w:rPr>
            <w:webHidden/>
          </w:rPr>
          <w:fldChar w:fldCharType="separate"/>
        </w:r>
        <w:r>
          <w:rPr>
            <w:webHidden/>
          </w:rPr>
          <w:t>28</w:t>
        </w:r>
        <w:r>
          <w:rPr>
            <w:webHidden/>
          </w:rPr>
          <w:fldChar w:fldCharType="end"/>
        </w:r>
      </w:hyperlink>
    </w:p>
    <w:p w14:paraId="523760E8" w14:textId="77D969DB"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418" w:history="1">
        <w:r w:rsidRPr="00601DED">
          <w:rPr>
            <w:rStyle w:val="Hyperlink"/>
          </w:rPr>
          <w:t>Environmental assessment</w:t>
        </w:r>
        <w:r>
          <w:rPr>
            <w:webHidden/>
          </w:rPr>
          <w:tab/>
        </w:r>
        <w:r>
          <w:rPr>
            <w:webHidden/>
          </w:rPr>
          <w:fldChar w:fldCharType="begin"/>
        </w:r>
        <w:r>
          <w:rPr>
            <w:webHidden/>
          </w:rPr>
          <w:instrText xml:space="preserve"> PAGEREF _Toc229751418 \h </w:instrText>
        </w:r>
        <w:r>
          <w:rPr>
            <w:webHidden/>
          </w:rPr>
        </w:r>
        <w:r>
          <w:rPr>
            <w:webHidden/>
          </w:rPr>
          <w:fldChar w:fldCharType="separate"/>
        </w:r>
        <w:r>
          <w:rPr>
            <w:webHidden/>
          </w:rPr>
          <w:t>30</w:t>
        </w:r>
        <w:r>
          <w:rPr>
            <w:webHidden/>
          </w:rPr>
          <w:fldChar w:fldCharType="end"/>
        </w:r>
      </w:hyperlink>
    </w:p>
    <w:p w14:paraId="318D83E4" w14:textId="3B01E91B"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19" w:history="1">
        <w:r w:rsidRPr="00601DED">
          <w:rPr>
            <w:rStyle w:val="Hyperlink"/>
            <w:lang w:val="en-GB"/>
          </w:rPr>
          <w:t>Fate and behaviour in the environment</w:t>
        </w:r>
        <w:r>
          <w:rPr>
            <w:webHidden/>
          </w:rPr>
          <w:tab/>
        </w:r>
        <w:r>
          <w:rPr>
            <w:webHidden/>
          </w:rPr>
          <w:fldChar w:fldCharType="begin"/>
        </w:r>
        <w:r>
          <w:rPr>
            <w:webHidden/>
          </w:rPr>
          <w:instrText xml:space="preserve"> PAGEREF _Toc229751419 \h </w:instrText>
        </w:r>
        <w:r>
          <w:rPr>
            <w:webHidden/>
          </w:rPr>
        </w:r>
        <w:r>
          <w:rPr>
            <w:webHidden/>
          </w:rPr>
          <w:fldChar w:fldCharType="separate"/>
        </w:r>
        <w:r>
          <w:rPr>
            <w:webHidden/>
          </w:rPr>
          <w:t>30</w:t>
        </w:r>
        <w:r>
          <w:rPr>
            <w:webHidden/>
          </w:rPr>
          <w:fldChar w:fldCharType="end"/>
        </w:r>
      </w:hyperlink>
    </w:p>
    <w:p w14:paraId="1D0992FA" w14:textId="047E8E7E"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20" w:history="1">
        <w:r w:rsidRPr="00601DED">
          <w:rPr>
            <w:rStyle w:val="Hyperlink"/>
            <w:lang w:val="en-GB"/>
          </w:rPr>
          <w:t>Effects and associated risks to non-target species</w:t>
        </w:r>
        <w:r>
          <w:rPr>
            <w:webHidden/>
          </w:rPr>
          <w:tab/>
        </w:r>
        <w:r>
          <w:rPr>
            <w:webHidden/>
          </w:rPr>
          <w:fldChar w:fldCharType="begin"/>
        </w:r>
        <w:r>
          <w:rPr>
            <w:webHidden/>
          </w:rPr>
          <w:instrText xml:space="preserve"> PAGEREF _Toc229751420 \h </w:instrText>
        </w:r>
        <w:r>
          <w:rPr>
            <w:webHidden/>
          </w:rPr>
        </w:r>
        <w:r>
          <w:rPr>
            <w:webHidden/>
          </w:rPr>
          <w:fldChar w:fldCharType="separate"/>
        </w:r>
        <w:r>
          <w:rPr>
            <w:webHidden/>
          </w:rPr>
          <w:t>30</w:t>
        </w:r>
        <w:r>
          <w:rPr>
            <w:webHidden/>
          </w:rPr>
          <w:fldChar w:fldCharType="end"/>
        </w:r>
      </w:hyperlink>
    </w:p>
    <w:p w14:paraId="13584FCC" w14:textId="0DEF6747"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21" w:history="1">
        <w:r w:rsidRPr="00601DED">
          <w:rPr>
            <w:rStyle w:val="Hyperlink"/>
            <w:lang w:val="en-GB"/>
          </w:rPr>
          <w:t>Recommendations</w:t>
        </w:r>
        <w:r>
          <w:rPr>
            <w:webHidden/>
          </w:rPr>
          <w:tab/>
        </w:r>
        <w:r>
          <w:rPr>
            <w:webHidden/>
          </w:rPr>
          <w:fldChar w:fldCharType="begin"/>
        </w:r>
        <w:r>
          <w:rPr>
            <w:webHidden/>
          </w:rPr>
          <w:instrText xml:space="preserve"> PAGEREF _Toc229751421 \h </w:instrText>
        </w:r>
        <w:r>
          <w:rPr>
            <w:webHidden/>
          </w:rPr>
        </w:r>
        <w:r>
          <w:rPr>
            <w:webHidden/>
          </w:rPr>
          <w:fldChar w:fldCharType="separate"/>
        </w:r>
        <w:r>
          <w:rPr>
            <w:webHidden/>
          </w:rPr>
          <w:t>30</w:t>
        </w:r>
        <w:r>
          <w:rPr>
            <w:webHidden/>
          </w:rPr>
          <w:fldChar w:fldCharType="end"/>
        </w:r>
      </w:hyperlink>
    </w:p>
    <w:p w14:paraId="3DFA09D2" w14:textId="7516A4DC"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422" w:history="1">
        <w:r w:rsidRPr="00601DED">
          <w:rPr>
            <w:rStyle w:val="Hyperlink"/>
          </w:rPr>
          <w:t>Efficacy and safety assessment</w:t>
        </w:r>
        <w:r>
          <w:rPr>
            <w:webHidden/>
          </w:rPr>
          <w:tab/>
        </w:r>
        <w:r>
          <w:rPr>
            <w:webHidden/>
          </w:rPr>
          <w:fldChar w:fldCharType="begin"/>
        </w:r>
        <w:r>
          <w:rPr>
            <w:webHidden/>
          </w:rPr>
          <w:instrText xml:space="preserve"> PAGEREF _Toc229751422 \h </w:instrText>
        </w:r>
        <w:r>
          <w:rPr>
            <w:webHidden/>
          </w:rPr>
        </w:r>
        <w:r>
          <w:rPr>
            <w:webHidden/>
          </w:rPr>
          <w:fldChar w:fldCharType="separate"/>
        </w:r>
        <w:r>
          <w:rPr>
            <w:webHidden/>
          </w:rPr>
          <w:t>31</w:t>
        </w:r>
        <w:r>
          <w:rPr>
            <w:webHidden/>
          </w:rPr>
          <w:fldChar w:fldCharType="end"/>
        </w:r>
      </w:hyperlink>
    </w:p>
    <w:p w14:paraId="3C57866B" w14:textId="506F4DC9"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23" w:history="1">
        <w:r w:rsidRPr="00601DED">
          <w:rPr>
            <w:rStyle w:val="Hyperlink"/>
          </w:rPr>
          <w:t>Proposed product use pattern</w:t>
        </w:r>
        <w:r>
          <w:rPr>
            <w:webHidden/>
          </w:rPr>
          <w:tab/>
        </w:r>
        <w:r>
          <w:rPr>
            <w:webHidden/>
          </w:rPr>
          <w:fldChar w:fldCharType="begin"/>
        </w:r>
        <w:r>
          <w:rPr>
            <w:webHidden/>
          </w:rPr>
          <w:instrText xml:space="preserve"> PAGEREF _Toc229751423 \h </w:instrText>
        </w:r>
        <w:r>
          <w:rPr>
            <w:webHidden/>
          </w:rPr>
        </w:r>
        <w:r>
          <w:rPr>
            <w:webHidden/>
          </w:rPr>
          <w:fldChar w:fldCharType="separate"/>
        </w:r>
        <w:r>
          <w:rPr>
            <w:webHidden/>
          </w:rPr>
          <w:t>31</w:t>
        </w:r>
        <w:r>
          <w:rPr>
            <w:webHidden/>
          </w:rPr>
          <w:fldChar w:fldCharType="end"/>
        </w:r>
      </w:hyperlink>
    </w:p>
    <w:p w14:paraId="04CC9B81" w14:textId="234BE5BD"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24" w:history="1">
        <w:r w:rsidRPr="00601DED">
          <w:rPr>
            <w:rStyle w:val="Hyperlink"/>
          </w:rPr>
          <w:t>Efficacy and target crop/animal safety</w:t>
        </w:r>
        <w:r>
          <w:rPr>
            <w:webHidden/>
          </w:rPr>
          <w:tab/>
        </w:r>
        <w:r>
          <w:rPr>
            <w:webHidden/>
          </w:rPr>
          <w:fldChar w:fldCharType="begin"/>
        </w:r>
        <w:r>
          <w:rPr>
            <w:webHidden/>
          </w:rPr>
          <w:instrText xml:space="preserve"> PAGEREF _Toc229751424 \h </w:instrText>
        </w:r>
        <w:r>
          <w:rPr>
            <w:webHidden/>
          </w:rPr>
        </w:r>
        <w:r>
          <w:rPr>
            <w:webHidden/>
          </w:rPr>
          <w:fldChar w:fldCharType="separate"/>
        </w:r>
        <w:r>
          <w:rPr>
            <w:webHidden/>
          </w:rPr>
          <w:t>31</w:t>
        </w:r>
        <w:r>
          <w:rPr>
            <w:webHidden/>
          </w:rPr>
          <w:fldChar w:fldCharType="end"/>
        </w:r>
      </w:hyperlink>
    </w:p>
    <w:p w14:paraId="3876552B" w14:textId="2AFABA93" w:rsidR="001E4011" w:rsidRDefault="001E4011">
      <w:pPr>
        <w:pStyle w:val="TOC2"/>
        <w:rPr>
          <w:rFonts w:asciiTheme="minorHAnsi" w:eastAsiaTheme="minorEastAsia" w:hAnsiTheme="minorHAnsi" w:cstheme="minorBidi"/>
          <w:b w:val="0"/>
          <w:color w:val="auto"/>
          <w:kern w:val="2"/>
          <w:sz w:val="24"/>
          <w:lang w:eastAsia="en-AU"/>
          <w14:ligatures w14:val="standardContextual"/>
        </w:rPr>
      </w:pPr>
      <w:hyperlink w:anchor="_Toc229751425" w:history="1">
        <w:r w:rsidRPr="00601DED">
          <w:rPr>
            <w:rStyle w:val="Hyperlink"/>
          </w:rPr>
          <w:t>Recommendations</w:t>
        </w:r>
        <w:r>
          <w:rPr>
            <w:webHidden/>
          </w:rPr>
          <w:tab/>
        </w:r>
        <w:r>
          <w:rPr>
            <w:webHidden/>
          </w:rPr>
          <w:fldChar w:fldCharType="begin"/>
        </w:r>
        <w:r>
          <w:rPr>
            <w:webHidden/>
          </w:rPr>
          <w:instrText xml:space="preserve"> PAGEREF _Toc229751425 \h </w:instrText>
        </w:r>
        <w:r>
          <w:rPr>
            <w:webHidden/>
          </w:rPr>
        </w:r>
        <w:r>
          <w:rPr>
            <w:webHidden/>
          </w:rPr>
          <w:fldChar w:fldCharType="separate"/>
        </w:r>
        <w:r>
          <w:rPr>
            <w:webHidden/>
          </w:rPr>
          <w:t>32</w:t>
        </w:r>
        <w:r>
          <w:rPr>
            <w:webHidden/>
          </w:rPr>
          <w:fldChar w:fldCharType="end"/>
        </w:r>
      </w:hyperlink>
    </w:p>
    <w:p w14:paraId="2EAE1A07" w14:textId="447861A5"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426" w:history="1">
        <w:r w:rsidRPr="00601DED">
          <w:rPr>
            <w:rStyle w:val="Hyperlink"/>
          </w:rPr>
          <w:t>Labelling requirements</w:t>
        </w:r>
        <w:r>
          <w:rPr>
            <w:webHidden/>
          </w:rPr>
          <w:tab/>
        </w:r>
        <w:r>
          <w:rPr>
            <w:webHidden/>
          </w:rPr>
          <w:fldChar w:fldCharType="begin"/>
        </w:r>
        <w:r>
          <w:rPr>
            <w:webHidden/>
          </w:rPr>
          <w:instrText xml:space="preserve"> PAGEREF _Toc229751426 \h </w:instrText>
        </w:r>
        <w:r>
          <w:rPr>
            <w:webHidden/>
          </w:rPr>
        </w:r>
        <w:r>
          <w:rPr>
            <w:webHidden/>
          </w:rPr>
          <w:fldChar w:fldCharType="separate"/>
        </w:r>
        <w:r>
          <w:rPr>
            <w:webHidden/>
          </w:rPr>
          <w:t>33</w:t>
        </w:r>
        <w:r>
          <w:rPr>
            <w:webHidden/>
          </w:rPr>
          <w:fldChar w:fldCharType="end"/>
        </w:r>
      </w:hyperlink>
    </w:p>
    <w:p w14:paraId="68295C5A" w14:textId="0B0F6DFD"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427" w:history="1">
        <w:r w:rsidRPr="00601DED">
          <w:rPr>
            <w:rStyle w:val="Hyperlink"/>
          </w:rPr>
          <w:t>Acronyms and abbreviations</w:t>
        </w:r>
        <w:r>
          <w:rPr>
            <w:webHidden/>
          </w:rPr>
          <w:tab/>
        </w:r>
        <w:r>
          <w:rPr>
            <w:webHidden/>
          </w:rPr>
          <w:fldChar w:fldCharType="begin"/>
        </w:r>
        <w:r>
          <w:rPr>
            <w:webHidden/>
          </w:rPr>
          <w:instrText xml:space="preserve"> PAGEREF _Toc229751427 \h </w:instrText>
        </w:r>
        <w:r>
          <w:rPr>
            <w:webHidden/>
          </w:rPr>
        </w:r>
        <w:r>
          <w:rPr>
            <w:webHidden/>
          </w:rPr>
          <w:fldChar w:fldCharType="separate"/>
        </w:r>
        <w:r>
          <w:rPr>
            <w:webHidden/>
          </w:rPr>
          <w:t>37</w:t>
        </w:r>
        <w:r>
          <w:rPr>
            <w:webHidden/>
          </w:rPr>
          <w:fldChar w:fldCharType="end"/>
        </w:r>
      </w:hyperlink>
    </w:p>
    <w:p w14:paraId="15C8D26C" w14:textId="6733F0AF" w:rsidR="001E4011" w:rsidRDefault="001E4011">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9751428" w:history="1">
        <w:r w:rsidRPr="00601DED">
          <w:rPr>
            <w:rStyle w:val="Hyperlink"/>
            <w:lang w:val="en-GB"/>
          </w:rPr>
          <w:t>Glossary</w:t>
        </w:r>
        <w:r>
          <w:rPr>
            <w:webHidden/>
          </w:rPr>
          <w:tab/>
        </w:r>
        <w:r>
          <w:rPr>
            <w:webHidden/>
          </w:rPr>
          <w:fldChar w:fldCharType="begin"/>
        </w:r>
        <w:r>
          <w:rPr>
            <w:webHidden/>
          </w:rPr>
          <w:instrText xml:space="preserve"> PAGEREF _Toc229751428 \h </w:instrText>
        </w:r>
        <w:r>
          <w:rPr>
            <w:webHidden/>
          </w:rPr>
        </w:r>
        <w:r>
          <w:rPr>
            <w:webHidden/>
          </w:rPr>
          <w:fldChar w:fldCharType="separate"/>
        </w:r>
        <w:r>
          <w:rPr>
            <w:webHidden/>
          </w:rPr>
          <w:t>39</w:t>
        </w:r>
        <w:r>
          <w:rPr>
            <w:webHidden/>
          </w:rPr>
          <w:fldChar w:fldCharType="end"/>
        </w:r>
      </w:hyperlink>
    </w:p>
    <w:p w14:paraId="47BAD96A" w14:textId="543D3806" w:rsidR="002C6204" w:rsidRDefault="000D124E" w:rsidP="002C6204">
      <w:pPr>
        <w:pStyle w:val="ToCH1"/>
        <w:spacing w:before="500"/>
        <w:rPr>
          <w:noProof/>
        </w:rPr>
      </w:pPr>
      <w:r>
        <w:rPr>
          <w:sz w:val="16"/>
          <w:szCs w:val="16"/>
          <w:lang w:eastAsia="en-AU"/>
        </w:rPr>
        <w:fldChar w:fldCharType="end"/>
      </w:r>
      <w:r w:rsidR="002C6204">
        <w:rPr>
          <w:noProof/>
        </w:rPr>
        <w:t>List of tables</w:t>
      </w:r>
    </w:p>
    <w:p w14:paraId="63FC3C70" w14:textId="4A5AEFC8" w:rsidR="001E4011"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229751429" w:history="1">
        <w:r w:rsidR="001E4011" w:rsidRPr="00456061">
          <w:rPr>
            <w:rStyle w:val="Hyperlink"/>
          </w:rPr>
          <w:t>Table 1: Nomenclature and structural formula of 1,4-dimethylnaphthalene</w:t>
        </w:r>
        <w:r w:rsidR="001E4011">
          <w:rPr>
            <w:webHidden/>
          </w:rPr>
          <w:tab/>
        </w:r>
        <w:r w:rsidR="001E4011">
          <w:rPr>
            <w:webHidden/>
          </w:rPr>
          <w:fldChar w:fldCharType="begin"/>
        </w:r>
        <w:r w:rsidR="001E4011">
          <w:rPr>
            <w:webHidden/>
          </w:rPr>
          <w:instrText xml:space="preserve"> PAGEREF _Toc229751429 \h </w:instrText>
        </w:r>
        <w:r w:rsidR="001E4011">
          <w:rPr>
            <w:webHidden/>
          </w:rPr>
        </w:r>
        <w:r w:rsidR="001E4011">
          <w:rPr>
            <w:webHidden/>
          </w:rPr>
          <w:fldChar w:fldCharType="separate"/>
        </w:r>
        <w:r w:rsidR="001E4011">
          <w:rPr>
            <w:webHidden/>
          </w:rPr>
          <w:t>4</w:t>
        </w:r>
        <w:r w:rsidR="001E4011">
          <w:rPr>
            <w:webHidden/>
          </w:rPr>
          <w:fldChar w:fldCharType="end"/>
        </w:r>
      </w:hyperlink>
    </w:p>
    <w:p w14:paraId="5EA77EA2" w14:textId="2984CCE1" w:rsidR="001E4011" w:rsidRDefault="001E4011">
      <w:pPr>
        <w:pStyle w:val="TableofFigures"/>
        <w:rPr>
          <w:rFonts w:asciiTheme="minorHAnsi" w:eastAsiaTheme="minorEastAsia" w:hAnsiTheme="minorHAnsi" w:cstheme="minorBidi"/>
          <w:kern w:val="2"/>
          <w:sz w:val="24"/>
          <w:lang w:eastAsia="en-AU"/>
          <w14:ligatures w14:val="standardContextual"/>
        </w:rPr>
      </w:pPr>
      <w:hyperlink w:anchor="_Toc229751430" w:history="1">
        <w:r w:rsidRPr="00456061">
          <w:rPr>
            <w:rStyle w:val="Hyperlink"/>
          </w:rPr>
          <w:t>Table 2: Key physicochemical properties of 1,4-dimethylnaphthalene</w:t>
        </w:r>
        <w:r>
          <w:rPr>
            <w:webHidden/>
          </w:rPr>
          <w:tab/>
        </w:r>
        <w:r>
          <w:rPr>
            <w:webHidden/>
          </w:rPr>
          <w:fldChar w:fldCharType="begin"/>
        </w:r>
        <w:r>
          <w:rPr>
            <w:webHidden/>
          </w:rPr>
          <w:instrText xml:space="preserve"> PAGEREF _Toc229751430 \h </w:instrText>
        </w:r>
        <w:r>
          <w:rPr>
            <w:webHidden/>
          </w:rPr>
        </w:r>
        <w:r>
          <w:rPr>
            <w:webHidden/>
          </w:rPr>
          <w:fldChar w:fldCharType="separate"/>
        </w:r>
        <w:r>
          <w:rPr>
            <w:webHidden/>
          </w:rPr>
          <w:t>5</w:t>
        </w:r>
        <w:r>
          <w:rPr>
            <w:webHidden/>
          </w:rPr>
          <w:fldChar w:fldCharType="end"/>
        </w:r>
      </w:hyperlink>
    </w:p>
    <w:p w14:paraId="5AB206E9" w14:textId="3AC4ABD6" w:rsidR="001E4011" w:rsidRDefault="001E4011">
      <w:pPr>
        <w:pStyle w:val="TableofFigures"/>
        <w:rPr>
          <w:rFonts w:asciiTheme="minorHAnsi" w:eastAsiaTheme="minorEastAsia" w:hAnsiTheme="minorHAnsi" w:cstheme="minorBidi"/>
          <w:kern w:val="2"/>
          <w:sz w:val="24"/>
          <w:lang w:eastAsia="en-AU"/>
          <w14:ligatures w14:val="standardContextual"/>
        </w:rPr>
      </w:pPr>
      <w:hyperlink w:anchor="_Toc229751431" w:history="1">
        <w:r w:rsidRPr="00456061">
          <w:rPr>
            <w:rStyle w:val="Hyperlink"/>
          </w:rPr>
          <w:t>Table 3: Key aspects of the formulation of the product 1,4SIGHT Potato Dormancy Enhancer</w:t>
        </w:r>
        <w:r>
          <w:rPr>
            <w:webHidden/>
          </w:rPr>
          <w:tab/>
        </w:r>
        <w:r>
          <w:rPr>
            <w:webHidden/>
          </w:rPr>
          <w:fldChar w:fldCharType="begin"/>
        </w:r>
        <w:r>
          <w:rPr>
            <w:webHidden/>
          </w:rPr>
          <w:instrText xml:space="preserve"> PAGEREF _Toc229751431 \h </w:instrText>
        </w:r>
        <w:r>
          <w:rPr>
            <w:webHidden/>
          </w:rPr>
        </w:r>
        <w:r>
          <w:rPr>
            <w:webHidden/>
          </w:rPr>
          <w:fldChar w:fldCharType="separate"/>
        </w:r>
        <w:r>
          <w:rPr>
            <w:webHidden/>
          </w:rPr>
          <w:t>6</w:t>
        </w:r>
        <w:r>
          <w:rPr>
            <w:webHidden/>
          </w:rPr>
          <w:fldChar w:fldCharType="end"/>
        </w:r>
      </w:hyperlink>
    </w:p>
    <w:p w14:paraId="7ABFEE5C" w14:textId="11954114" w:rsidR="001E4011" w:rsidRDefault="001E4011">
      <w:pPr>
        <w:pStyle w:val="TableofFigures"/>
        <w:rPr>
          <w:rFonts w:asciiTheme="minorHAnsi" w:eastAsiaTheme="minorEastAsia" w:hAnsiTheme="minorHAnsi" w:cstheme="minorBidi"/>
          <w:kern w:val="2"/>
          <w:sz w:val="24"/>
          <w:lang w:eastAsia="en-AU"/>
          <w14:ligatures w14:val="standardContextual"/>
        </w:rPr>
      </w:pPr>
      <w:hyperlink w:anchor="_Toc229751432" w:history="1">
        <w:r w:rsidRPr="00456061">
          <w:rPr>
            <w:rStyle w:val="Hyperlink"/>
          </w:rPr>
          <w:t>Table 4: Physicochemical properties of the product 1,4SIGHT Potato Dormancy Enhancer</w:t>
        </w:r>
        <w:r>
          <w:rPr>
            <w:webHidden/>
          </w:rPr>
          <w:tab/>
        </w:r>
        <w:r>
          <w:rPr>
            <w:webHidden/>
          </w:rPr>
          <w:fldChar w:fldCharType="begin"/>
        </w:r>
        <w:r>
          <w:rPr>
            <w:webHidden/>
          </w:rPr>
          <w:instrText xml:space="preserve"> PAGEREF _Toc229751432 \h </w:instrText>
        </w:r>
        <w:r>
          <w:rPr>
            <w:webHidden/>
          </w:rPr>
        </w:r>
        <w:r>
          <w:rPr>
            <w:webHidden/>
          </w:rPr>
          <w:fldChar w:fldCharType="separate"/>
        </w:r>
        <w:r>
          <w:rPr>
            <w:webHidden/>
          </w:rPr>
          <w:t>6</w:t>
        </w:r>
        <w:r>
          <w:rPr>
            <w:webHidden/>
          </w:rPr>
          <w:fldChar w:fldCharType="end"/>
        </w:r>
      </w:hyperlink>
    </w:p>
    <w:p w14:paraId="302837D5" w14:textId="44C6230E" w:rsidR="001E4011" w:rsidRDefault="001E4011">
      <w:pPr>
        <w:pStyle w:val="TableofFigures"/>
        <w:rPr>
          <w:rFonts w:asciiTheme="minorHAnsi" w:eastAsiaTheme="minorEastAsia" w:hAnsiTheme="minorHAnsi" w:cstheme="minorBidi"/>
          <w:kern w:val="2"/>
          <w:sz w:val="24"/>
          <w:lang w:eastAsia="en-AU"/>
          <w14:ligatures w14:val="standardContextual"/>
        </w:rPr>
      </w:pPr>
      <w:hyperlink w:anchor="_Toc229751433" w:history="1">
        <w:r w:rsidRPr="00456061">
          <w:rPr>
            <w:rStyle w:val="Hyperlink"/>
          </w:rPr>
          <w:t xml:space="preserve">Table 5: Amendments to the APVMA </w:t>
        </w:r>
        <w:r w:rsidRPr="00456061">
          <w:rPr>
            <w:rStyle w:val="Hyperlink"/>
            <w:bCs/>
          </w:rPr>
          <w:t>MRL Standard</w:t>
        </w:r>
        <w:r>
          <w:rPr>
            <w:webHidden/>
          </w:rPr>
          <w:tab/>
        </w:r>
        <w:r>
          <w:rPr>
            <w:webHidden/>
          </w:rPr>
          <w:fldChar w:fldCharType="begin"/>
        </w:r>
        <w:r>
          <w:rPr>
            <w:webHidden/>
          </w:rPr>
          <w:instrText xml:space="preserve"> PAGEREF _Toc229751433 \h </w:instrText>
        </w:r>
        <w:r>
          <w:rPr>
            <w:webHidden/>
          </w:rPr>
        </w:r>
        <w:r>
          <w:rPr>
            <w:webHidden/>
          </w:rPr>
          <w:fldChar w:fldCharType="separate"/>
        </w:r>
        <w:r>
          <w:rPr>
            <w:webHidden/>
          </w:rPr>
          <w:t>21</w:t>
        </w:r>
        <w:r>
          <w:rPr>
            <w:webHidden/>
          </w:rPr>
          <w:fldChar w:fldCharType="end"/>
        </w:r>
      </w:hyperlink>
    </w:p>
    <w:p w14:paraId="11F2BC53" w14:textId="0B23C416" w:rsidR="001E4011" w:rsidRDefault="001E4011">
      <w:pPr>
        <w:pStyle w:val="TableofFigures"/>
        <w:rPr>
          <w:rFonts w:asciiTheme="minorHAnsi" w:eastAsiaTheme="minorEastAsia" w:hAnsiTheme="minorHAnsi" w:cstheme="minorBidi"/>
          <w:kern w:val="2"/>
          <w:sz w:val="24"/>
          <w:lang w:eastAsia="en-AU"/>
          <w14:ligatures w14:val="standardContextual"/>
        </w:rPr>
      </w:pPr>
      <w:hyperlink w:anchor="_Toc229751434" w:history="1">
        <w:r w:rsidRPr="00456061">
          <w:rPr>
            <w:rStyle w:val="Hyperlink"/>
          </w:rPr>
          <w:t>Table 6: Proposed Australian and current international MRLs for 1,4-dimethylnaphthalene</w:t>
        </w:r>
        <w:r>
          <w:rPr>
            <w:webHidden/>
          </w:rPr>
          <w:tab/>
        </w:r>
        <w:r>
          <w:rPr>
            <w:webHidden/>
          </w:rPr>
          <w:fldChar w:fldCharType="begin"/>
        </w:r>
        <w:r>
          <w:rPr>
            <w:webHidden/>
          </w:rPr>
          <w:instrText xml:space="preserve"> PAGEREF _Toc229751434 \h </w:instrText>
        </w:r>
        <w:r>
          <w:rPr>
            <w:webHidden/>
          </w:rPr>
        </w:r>
        <w:r>
          <w:rPr>
            <w:webHidden/>
          </w:rPr>
          <w:fldChar w:fldCharType="separate"/>
        </w:r>
        <w:r>
          <w:rPr>
            <w:webHidden/>
          </w:rPr>
          <w:t>23</w:t>
        </w:r>
        <w:r>
          <w:rPr>
            <w:webHidden/>
          </w:rPr>
          <w:fldChar w:fldCharType="end"/>
        </w:r>
      </w:hyperlink>
    </w:p>
    <w:p w14:paraId="7E66E09D" w14:textId="282F7CBE" w:rsidR="00424637" w:rsidRDefault="002C6204" w:rsidP="002C6204">
      <w:pPr>
        <w:pStyle w:val="ToCH1"/>
        <w:spacing w:before="500"/>
        <w:rPr>
          <w:caps/>
          <w:noProof/>
        </w:rPr>
        <w:sectPr w:rsidR="00424637" w:rsidSect="00424637">
          <w:headerReference w:type="even" r:id="rId23"/>
          <w:headerReference w:type="default" r:id="rId24"/>
          <w:pgSz w:w="11906" w:h="16838" w:code="9"/>
          <w:pgMar w:top="2835" w:right="1134" w:bottom="1134" w:left="1134" w:header="1701" w:footer="680" w:gutter="0"/>
          <w:pgNumType w:fmt="lowerRoman"/>
          <w:cols w:space="708"/>
          <w:docGrid w:linePitch="360"/>
        </w:sectPr>
      </w:pPr>
      <w:r>
        <w:rPr>
          <w:caps/>
          <w:noProof/>
        </w:rPr>
        <w:fldChar w:fldCharType="end"/>
      </w:r>
      <w:bookmarkStart w:id="1" w:name="_Toc234063054"/>
      <w:bookmarkStart w:id="2" w:name="_Toc414373831"/>
      <w:bookmarkStart w:id="3" w:name="_Toc7561213"/>
    </w:p>
    <w:p w14:paraId="0A1F4403" w14:textId="1024FCBE" w:rsidR="002E20AC" w:rsidRPr="00424637" w:rsidRDefault="002E20AC" w:rsidP="00424637">
      <w:pPr>
        <w:pStyle w:val="Heading1"/>
      </w:pPr>
      <w:bookmarkStart w:id="4" w:name="_Toc229751381"/>
      <w:r w:rsidRPr="00424637">
        <w:lastRenderedPageBreak/>
        <w:t>Preface</w:t>
      </w:r>
      <w:bookmarkEnd w:id="1"/>
      <w:bookmarkEnd w:id="2"/>
      <w:bookmarkEnd w:id="3"/>
      <w:bookmarkEnd w:id="4"/>
    </w:p>
    <w:p w14:paraId="6C80D611" w14:textId="01B4540A" w:rsidR="002F5D1B" w:rsidRDefault="002F5D1B" w:rsidP="002F5D1B">
      <w:pPr>
        <w:pStyle w:val="APVMAText"/>
      </w:pPr>
      <w:bookmarkStart w:id="5"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5"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2C79F1">
      <w:pPr>
        <w:pStyle w:val="Heading2"/>
      </w:pPr>
      <w:bookmarkStart w:id="6" w:name="_Toc7561214"/>
      <w:bookmarkStart w:id="7" w:name="_Toc229751382"/>
      <w:r>
        <w:t>About this document</w:t>
      </w:r>
      <w:bookmarkEnd w:id="5"/>
      <w:bookmarkEnd w:id="6"/>
      <w:bookmarkEnd w:id="7"/>
    </w:p>
    <w:p w14:paraId="4B18BC02" w14:textId="77777777" w:rsidR="002F5D1B" w:rsidRDefault="002853BD" w:rsidP="002F5D1B">
      <w:pPr>
        <w:pStyle w:val="APVMAText"/>
        <w:tabs>
          <w:tab w:val="left" w:pos="1361"/>
        </w:tabs>
      </w:pPr>
      <w:r>
        <w:t>This P</w:t>
      </w:r>
      <w:r>
        <w:rPr>
          <w:lang w:val="en-GB"/>
        </w:rPr>
        <w:t>ublic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2C79F1">
      <w:pPr>
        <w:pStyle w:val="Heading2"/>
      </w:pPr>
      <w:bookmarkStart w:id="8" w:name="_Toc7561215"/>
      <w:bookmarkStart w:id="9" w:name="_Toc229751383"/>
      <w:r>
        <w:t>Making a submission</w:t>
      </w:r>
      <w:bookmarkEnd w:id="8"/>
      <w:bookmarkEnd w:id="9"/>
    </w:p>
    <w:p w14:paraId="618C111D" w14:textId="5BB6F482"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CA5B2B">
        <w:t xml:space="preserve">[Product Name(s)] </w:t>
      </w:r>
      <w:r w:rsidR="00D81C23">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70B3224F" w:rsidR="002F5D1B" w:rsidRDefault="002F5D1B" w:rsidP="002F5D1B">
      <w:pPr>
        <w:pStyle w:val="APVMAText"/>
      </w:pPr>
      <w:r>
        <w:lastRenderedPageBreak/>
        <w:t xml:space="preserve">Submissions must be received by the APVMA by close of business on </w:t>
      </w:r>
      <w:r w:rsidR="0077608E" w:rsidRPr="0077608E">
        <w:t>16</w:t>
      </w:r>
      <w:r w:rsidR="00930B7A" w:rsidRPr="0077608E">
        <w:t xml:space="preserve"> </w:t>
      </w:r>
      <w:r w:rsidR="0077608E">
        <w:t>June 2026</w:t>
      </w:r>
      <w:r w:rsidR="00CA5B2B">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6"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7"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1F837EDF" w14:textId="6EC86B8A" w:rsidR="006D36C8" w:rsidRDefault="00705195" w:rsidP="005148C0">
      <w:pPr>
        <w:pStyle w:val="APVMAAddress"/>
        <w:tabs>
          <w:tab w:val="clear" w:pos="1361"/>
          <w:tab w:val="left" w:pos="851"/>
        </w:tabs>
        <w:ind w:left="0"/>
      </w:pPr>
      <w:r>
        <w:t xml:space="preserve">Case Management Team </w:t>
      </w:r>
      <w:r w:rsidR="00772458">
        <w:t>–</w:t>
      </w:r>
      <w:r>
        <w:t xml:space="preserve"> Pesticides</w:t>
      </w:r>
      <w:r w:rsidR="0077608E">
        <w:br/>
      </w:r>
      <w:r w:rsidR="006D36C8">
        <w:t>Australian Pesticides and Veterinary Medicines Authority</w:t>
      </w:r>
      <w:r w:rsidR="0077608E">
        <w:br/>
      </w:r>
      <w:r w:rsidR="00913600">
        <w:t>G</w:t>
      </w:r>
      <w:r w:rsidR="006D36C8">
        <w:t xml:space="preserve">PO Box </w:t>
      </w:r>
      <w:r w:rsidR="0077608E">
        <w:t>574</w:t>
      </w:r>
      <w:r w:rsidR="0077608E">
        <w:br/>
        <w:t>Canberra ACT</w:t>
      </w:r>
      <w:r w:rsidR="00913600">
        <w:t xml:space="preserve"> 2</w:t>
      </w:r>
      <w:r w:rsidR="0077608E">
        <w:t>6</w:t>
      </w:r>
      <w:r w:rsidR="00913600">
        <w:t>01</w:t>
      </w:r>
    </w:p>
    <w:p w14:paraId="2847B932" w14:textId="5BFFD0F4" w:rsidR="006D36C8" w:rsidRPr="006D36C8" w:rsidRDefault="006D36C8" w:rsidP="002C79F1">
      <w:pPr>
        <w:pStyle w:val="APVMAAddress"/>
        <w:tabs>
          <w:tab w:val="clear" w:pos="1361"/>
          <w:tab w:val="left" w:pos="851"/>
        </w:tabs>
        <w:spacing w:before="240"/>
        <w:ind w:left="0"/>
      </w:pPr>
      <w:r>
        <w:rPr>
          <w:b/>
        </w:rPr>
        <w:t>Phone:</w:t>
      </w:r>
      <w:r>
        <w:tab/>
        <w:t xml:space="preserve">+61 2 </w:t>
      </w:r>
      <w:r w:rsidR="00913600">
        <w:t>6770 2300</w:t>
      </w:r>
      <w:r w:rsidR="002C79F1">
        <w:br/>
      </w:r>
      <w:r>
        <w:rPr>
          <w:b/>
        </w:rPr>
        <w:t>Email:</w:t>
      </w:r>
      <w:r>
        <w:tab/>
      </w:r>
      <w:hyperlink r:id="rId28" w:history="1">
        <w:r w:rsidR="00705195" w:rsidRPr="00772458">
          <w:rPr>
            <w:rStyle w:val="Hyperlink"/>
          </w:rPr>
          <w:t>casemanagement@apvma.gov.au</w:t>
        </w:r>
      </w:hyperlink>
      <w:r>
        <w:t>.</w:t>
      </w:r>
    </w:p>
    <w:p w14:paraId="62987759" w14:textId="77777777" w:rsidR="006D36C8" w:rsidRDefault="006D36C8" w:rsidP="00692A9B">
      <w:pPr>
        <w:pStyle w:val="Heading2"/>
      </w:pPr>
      <w:bookmarkStart w:id="10" w:name="_Toc2243844"/>
      <w:bookmarkStart w:id="11" w:name="_Toc7561216"/>
      <w:bookmarkStart w:id="12" w:name="_Toc229751384"/>
      <w:r>
        <w:t>Further information</w:t>
      </w:r>
      <w:bookmarkEnd w:id="10"/>
      <w:bookmarkEnd w:id="11"/>
      <w:bookmarkEnd w:id="12"/>
    </w:p>
    <w:p w14:paraId="0E27766A" w14:textId="77777777" w:rsidR="002F5D1B" w:rsidRDefault="002F5D1B" w:rsidP="002F5D1B">
      <w:pPr>
        <w:pStyle w:val="APVMAText"/>
      </w:pPr>
      <w:r>
        <w:t>Further information can be obtained via the contact details provided above.</w:t>
      </w:r>
    </w:p>
    <w:p w14:paraId="3CA7B1E0" w14:textId="31A7919F" w:rsidR="00D22CCB" w:rsidRDefault="00E1009B" w:rsidP="00EA7005">
      <w:pPr>
        <w:pStyle w:val="APVMAText"/>
        <w:sectPr w:rsidR="00D22CCB" w:rsidSect="00424637">
          <w:headerReference w:type="default" r:id="rId29"/>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30"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3" w:name="_Toc7561217"/>
      <w:bookmarkStart w:id="14" w:name="_Toc229751385"/>
      <w:r>
        <w:lastRenderedPageBreak/>
        <w:t>I</w:t>
      </w:r>
      <w:r w:rsidR="006D36C8">
        <w:t>ntroduction</w:t>
      </w:r>
      <w:bookmarkEnd w:id="13"/>
      <w:bookmarkEnd w:id="14"/>
    </w:p>
    <w:p w14:paraId="0DF95F9D" w14:textId="3A85A113" w:rsidR="005A2957" w:rsidRDefault="005A2957" w:rsidP="005A2957">
      <w:pPr>
        <w:pStyle w:val="APVMAText"/>
      </w:pPr>
      <w:r>
        <w:t>This publication provides a summary of the data reviewed and an outline of the regulatory considerations for the proposed registration of</w:t>
      </w:r>
      <w:r w:rsidR="00D5160C">
        <w:t xml:space="preserve"> </w:t>
      </w:r>
      <w:r w:rsidR="00D5160C" w:rsidRPr="00D5160C">
        <w:t>1,4</w:t>
      </w:r>
      <w:r w:rsidR="007870E9">
        <w:t>SIGHT</w:t>
      </w:r>
      <w:r w:rsidR="00D5160C" w:rsidRPr="00D5160C">
        <w:t>Potato Dormancy Enhancer</w:t>
      </w:r>
      <w:r>
        <w:t xml:space="preserve">, and approval of the new active constituent, </w:t>
      </w:r>
      <w:r w:rsidR="00D5160C" w:rsidRPr="00D5160C">
        <w:t>1,4-DIMETHYLNAPTHALENE</w:t>
      </w:r>
      <w:r>
        <w:t>.</w:t>
      </w:r>
    </w:p>
    <w:p w14:paraId="32D5C8FA" w14:textId="77777777" w:rsidR="005A2957" w:rsidRDefault="005A2957" w:rsidP="005A2957">
      <w:pPr>
        <w:pStyle w:val="Heading2"/>
        <w:ind w:left="907" w:hanging="907"/>
      </w:pPr>
      <w:bookmarkStart w:id="15" w:name="_Toc461366927"/>
      <w:bookmarkStart w:id="16" w:name="_Toc531181066"/>
      <w:bookmarkStart w:id="17" w:name="_Toc7561218"/>
      <w:bookmarkStart w:id="18" w:name="_Toc229751386"/>
      <w:r>
        <w:t>Applicant</w:t>
      </w:r>
      <w:bookmarkEnd w:id="15"/>
      <w:bookmarkEnd w:id="16"/>
      <w:bookmarkEnd w:id="17"/>
      <w:bookmarkEnd w:id="18"/>
    </w:p>
    <w:p w14:paraId="702201A4" w14:textId="64DB08AA" w:rsidR="00720A6F" w:rsidRDefault="00720A6F" w:rsidP="009B5C17">
      <w:pPr>
        <w:pStyle w:val="APVMAText"/>
      </w:pPr>
      <w:bookmarkStart w:id="19" w:name="_Toc531181067"/>
      <w:bookmarkStart w:id="20" w:name="_Toc7561219"/>
      <w:r w:rsidRPr="00720A6F">
        <w:t>1,4GROUP, INC.</w:t>
      </w:r>
    </w:p>
    <w:p w14:paraId="68625900" w14:textId="5D5A66AE" w:rsidR="005A2957" w:rsidRPr="00002B5B" w:rsidRDefault="005A2957" w:rsidP="005A2957">
      <w:pPr>
        <w:pStyle w:val="Heading2"/>
        <w:ind w:left="907" w:hanging="907"/>
      </w:pPr>
      <w:bookmarkStart w:id="21" w:name="_Toc229751387"/>
      <w:r>
        <w:t>Purpose of application</w:t>
      </w:r>
      <w:bookmarkEnd w:id="19"/>
      <w:bookmarkEnd w:id="20"/>
      <w:bookmarkEnd w:id="21"/>
    </w:p>
    <w:p w14:paraId="1FFD362F" w14:textId="338C237E" w:rsidR="005A2957" w:rsidRDefault="00720A6F" w:rsidP="005A2957">
      <w:pPr>
        <w:pStyle w:val="APVMAText"/>
      </w:pPr>
      <w:r w:rsidRPr="00201970">
        <w:t xml:space="preserve">1,4GROUP, INC. </w:t>
      </w:r>
      <w:r w:rsidR="005A2957" w:rsidRPr="00201970">
        <w:t xml:space="preserve">has applied to the APVMA for registration of the new product </w:t>
      </w:r>
      <w:r w:rsidRPr="00201970">
        <w:t>1,4</w:t>
      </w:r>
      <w:r w:rsidR="007870E9">
        <w:t>SIGHT</w:t>
      </w:r>
      <w:r w:rsidRPr="00201970">
        <w:t>Potato Dormancy Enhancer</w:t>
      </w:r>
      <w:r w:rsidR="005A2957" w:rsidRPr="00201970">
        <w:t xml:space="preserve">, containing </w:t>
      </w:r>
      <w:r w:rsidRPr="00201970">
        <w:t>980 g/</w:t>
      </w:r>
      <w:r w:rsidR="00D57C21">
        <w:t>kg</w:t>
      </w:r>
      <w:r w:rsidR="005A2957" w:rsidRPr="00201970">
        <w:t>, as a</w:t>
      </w:r>
      <w:r w:rsidR="0068336C">
        <w:t>n</w:t>
      </w:r>
      <w:r w:rsidRPr="00201970">
        <w:t xml:space="preserve"> </w:t>
      </w:r>
      <w:r w:rsidR="0068336C">
        <w:t>‘</w:t>
      </w:r>
      <w:r w:rsidRPr="00201970">
        <w:t>Other liquids to be applied undiluted</w:t>
      </w:r>
      <w:r w:rsidR="0068336C">
        <w:t>’</w:t>
      </w:r>
      <w:r w:rsidRPr="00201970">
        <w:t xml:space="preserve"> (AL)</w:t>
      </w:r>
      <w:r w:rsidR="005A2957" w:rsidRPr="00201970">
        <w:t xml:space="preserve"> formulation of the new active constituent</w:t>
      </w:r>
      <w:r w:rsidR="00201970" w:rsidRPr="00201970">
        <w:t xml:space="preserve"> 1,4-DIMETHYLNAPTHALENE</w:t>
      </w:r>
      <w:r w:rsidR="005A2957" w:rsidRPr="00201970">
        <w:t>.</w:t>
      </w:r>
    </w:p>
    <w:p w14:paraId="5014731A" w14:textId="56B7C869" w:rsidR="005A2957" w:rsidRDefault="005A2957" w:rsidP="005A2957">
      <w:pPr>
        <w:pStyle w:val="APVMAText"/>
      </w:pPr>
      <w:r>
        <w:rPr>
          <w:szCs w:val="20"/>
        </w:rPr>
        <w:t xml:space="preserve">This publication provides a summary of the data reviewed and an outline of the regulatory considerations for the proposed registration of the product </w:t>
      </w:r>
      <w:r w:rsidR="00201970" w:rsidRPr="00201970">
        <w:t>1,4</w:t>
      </w:r>
      <w:r w:rsidR="00D61BA3">
        <w:t xml:space="preserve">SIGHT </w:t>
      </w:r>
      <w:r w:rsidR="00201970" w:rsidRPr="00201970">
        <w:t>Potato Dormancy Enhancer</w:t>
      </w:r>
      <w:r>
        <w:rPr>
          <w:szCs w:val="20"/>
        </w:rPr>
        <w:t xml:space="preserve">, and approval of the new active constituent </w:t>
      </w:r>
      <w:r w:rsidR="00201970" w:rsidRPr="00201970">
        <w:rPr>
          <w:iCs/>
        </w:rPr>
        <w:t>1,4-DIMETHYLNAPTHALENE</w:t>
      </w:r>
      <w:r>
        <w:rPr>
          <w:szCs w:val="20"/>
        </w:rPr>
        <w:t>.</w:t>
      </w:r>
    </w:p>
    <w:p w14:paraId="3B9097F8" w14:textId="77777777" w:rsidR="005A2957" w:rsidRDefault="005A2957" w:rsidP="005A2957">
      <w:pPr>
        <w:pStyle w:val="Heading2"/>
        <w:ind w:left="907" w:hanging="907"/>
      </w:pPr>
      <w:bookmarkStart w:id="22" w:name="_Toc531181068"/>
      <w:bookmarkStart w:id="23" w:name="_Toc7561220"/>
      <w:bookmarkStart w:id="24" w:name="_Toc229751388"/>
      <w:bookmarkStart w:id="25" w:name="_Toc461366929"/>
      <w:r>
        <w:t>Proposed claims and use pattern</w:t>
      </w:r>
      <w:bookmarkEnd w:id="22"/>
      <w:bookmarkEnd w:id="23"/>
      <w:bookmarkEnd w:id="24"/>
    </w:p>
    <w:p w14:paraId="3522D1AC" w14:textId="455DBBA8" w:rsidR="005A2957" w:rsidRPr="00F77DED" w:rsidRDefault="00BF1E12" w:rsidP="005A2957">
      <w:pPr>
        <w:pStyle w:val="APVMAText"/>
      </w:pPr>
      <w:r>
        <w:t>T</w:t>
      </w:r>
      <w:r w:rsidRPr="00BF1E12">
        <w:t>o enhance dormancy of potatoes in storage</w:t>
      </w:r>
      <w:r w:rsidR="00CA5B2B">
        <w:t>.</w:t>
      </w:r>
    </w:p>
    <w:p w14:paraId="13D27F64" w14:textId="77777777" w:rsidR="005A2957" w:rsidRDefault="005A2957" w:rsidP="005A2957">
      <w:pPr>
        <w:pStyle w:val="Heading2"/>
        <w:ind w:left="907" w:hanging="907"/>
      </w:pPr>
      <w:bookmarkStart w:id="26" w:name="_Toc531181069"/>
      <w:bookmarkStart w:id="27" w:name="_Toc7561221"/>
      <w:bookmarkStart w:id="28" w:name="_Toc229751389"/>
      <w:r>
        <w:t>Mode of action</w:t>
      </w:r>
      <w:bookmarkEnd w:id="26"/>
      <w:bookmarkEnd w:id="27"/>
      <w:bookmarkEnd w:id="28"/>
    </w:p>
    <w:p w14:paraId="0D6DD2E2" w14:textId="79E2FEDC" w:rsidR="005A2957" w:rsidRPr="00C73E9F" w:rsidRDefault="0068336C" w:rsidP="005A2957">
      <w:pPr>
        <w:pStyle w:val="APVMAText"/>
      </w:pPr>
      <w:r>
        <w:t>Plant growth regulator</w:t>
      </w:r>
      <w:r w:rsidR="009B5C17">
        <w:t>.</w:t>
      </w:r>
    </w:p>
    <w:p w14:paraId="493FDA61" w14:textId="77777777" w:rsidR="005A2957" w:rsidRDefault="005A2957" w:rsidP="005A2957">
      <w:pPr>
        <w:pStyle w:val="Heading2"/>
        <w:ind w:left="907" w:hanging="907"/>
      </w:pPr>
      <w:bookmarkStart w:id="29" w:name="_Toc531181070"/>
      <w:bookmarkStart w:id="30" w:name="_Toc7561222"/>
      <w:bookmarkStart w:id="31" w:name="_Toc229751390"/>
      <w:r>
        <w:t>Overseas registrations</w:t>
      </w:r>
      <w:bookmarkEnd w:id="25"/>
      <w:bookmarkEnd w:id="29"/>
      <w:bookmarkEnd w:id="30"/>
      <w:bookmarkEnd w:id="31"/>
    </w:p>
    <w:p w14:paraId="50D16B96" w14:textId="77777777" w:rsidR="00692A9B" w:rsidRDefault="00364739" w:rsidP="005A2957">
      <w:pPr>
        <w:pStyle w:val="APVMAText"/>
        <w:sectPr w:rsidR="00692A9B">
          <w:headerReference w:type="default" r:id="rId31"/>
          <w:pgSz w:w="11906" w:h="16838" w:code="9"/>
          <w:pgMar w:top="2835" w:right="1134" w:bottom="1134" w:left="1134" w:header="1701" w:footer="680" w:gutter="0"/>
          <w:cols w:space="708"/>
          <w:docGrid w:linePitch="360"/>
        </w:sectPr>
      </w:pPr>
      <w:r w:rsidRPr="00364739">
        <w:t xml:space="preserve">1,4-DMN is currently registered and used as a sprout inhibitor to extend potato storage in USA, Canada, Kenya, Mexico, UK </w:t>
      </w:r>
      <w:r w:rsidR="009B5C17">
        <w:t>and</w:t>
      </w:r>
      <w:r w:rsidRPr="00364739">
        <w:t xml:space="preserve"> several European countries (Netherlands, Austria, Belgium, Germany, France, Ireland &amp; Poland)</w:t>
      </w:r>
      <w:r w:rsidR="00285F2A">
        <w:t>.</w:t>
      </w:r>
    </w:p>
    <w:p w14:paraId="5141A89F" w14:textId="5698D8E9" w:rsidR="006D36C8" w:rsidRDefault="00CA5B2B" w:rsidP="00032787">
      <w:pPr>
        <w:pStyle w:val="Heading1"/>
      </w:pPr>
      <w:bookmarkStart w:id="32" w:name="_Toc229751391"/>
      <w:r>
        <w:lastRenderedPageBreak/>
        <w:t>C</w:t>
      </w:r>
      <w:r w:rsidR="000C1518">
        <w:t>hemistry and manufacture</w:t>
      </w:r>
      <w:bookmarkEnd w:id="32"/>
    </w:p>
    <w:p w14:paraId="080FB73B" w14:textId="77777777" w:rsidR="006D36C8" w:rsidRDefault="000C1518" w:rsidP="00032787">
      <w:pPr>
        <w:pStyle w:val="Heading2"/>
      </w:pPr>
      <w:bookmarkStart w:id="33" w:name="_Toc229751392"/>
      <w:r>
        <w:t>Active constituent</w:t>
      </w:r>
      <w:bookmarkEnd w:id="33"/>
    </w:p>
    <w:p w14:paraId="5DF50DC6" w14:textId="176315BF" w:rsidR="005A2957" w:rsidRDefault="005A2957" w:rsidP="005A2957">
      <w:pPr>
        <w:pStyle w:val="APVMAText"/>
        <w:rPr>
          <w:szCs w:val="20"/>
        </w:rPr>
      </w:pPr>
      <w:r>
        <w:t xml:space="preserve">The active constituent </w:t>
      </w:r>
      <w:r w:rsidR="00A73602">
        <w:t>1,4-dimethylnaphthalene</w:t>
      </w:r>
      <w:r w:rsidR="00CA5B2B">
        <w:t xml:space="preserve"> is manufactured overseas</w:t>
      </w:r>
      <w:r>
        <w:t xml:space="preserve">. </w:t>
      </w:r>
      <w:r>
        <w:rPr>
          <w:szCs w:val="20"/>
        </w:rPr>
        <w:t xml:space="preserve">Details of the chemical name, structure, and physicochemical properties of </w:t>
      </w:r>
      <w:r w:rsidR="00A73602">
        <w:rPr>
          <w:szCs w:val="20"/>
        </w:rPr>
        <w:t>1,4-dimethylnaphthalene</w:t>
      </w:r>
      <w:r>
        <w:rPr>
          <w:szCs w:val="20"/>
        </w:rPr>
        <w:t xml:space="preserve"> are</w:t>
      </w:r>
      <w:r w:rsidR="00CA5B2B">
        <w:rPr>
          <w:szCs w:val="20"/>
        </w:rPr>
        <w:t xml:space="preserve"> listed below </w:t>
      </w:r>
      <w:r w:rsidR="00772458">
        <w:rPr>
          <w:szCs w:val="20"/>
        </w:rPr>
        <w:t xml:space="preserve">in </w:t>
      </w:r>
      <w:r w:rsidR="00CA5B2B">
        <w:rPr>
          <w:szCs w:val="20"/>
        </w:rPr>
        <w:t xml:space="preserve">Tables 1 </w:t>
      </w:r>
      <w:r w:rsidR="00A73602">
        <w:rPr>
          <w:szCs w:val="20"/>
        </w:rPr>
        <w:t>and</w:t>
      </w:r>
      <w:r w:rsidR="00CA5B2B">
        <w:rPr>
          <w:szCs w:val="20"/>
        </w:rPr>
        <w:t xml:space="preserve"> </w:t>
      </w:r>
      <w:r>
        <w:rPr>
          <w:szCs w:val="20"/>
        </w:rPr>
        <w:t>2.</w:t>
      </w:r>
    </w:p>
    <w:p w14:paraId="314BA456" w14:textId="0B8BC884" w:rsidR="006D36C8" w:rsidRDefault="00772458" w:rsidP="00772458">
      <w:pPr>
        <w:pStyle w:val="Caption"/>
      </w:pPr>
      <w:bookmarkStart w:id="34" w:name="_Toc252955166"/>
      <w:bookmarkStart w:id="35" w:name="_Toc56686265"/>
      <w:bookmarkStart w:id="36" w:name="_Toc56686278"/>
      <w:bookmarkStart w:id="37" w:name="_Toc229751429"/>
      <w:r>
        <w:t xml:space="preserve">Table </w:t>
      </w:r>
      <w:fldSimple w:instr=" SEQ Table \* ARABIC ">
        <w:r>
          <w:rPr>
            <w:noProof/>
          </w:rPr>
          <w:t>1</w:t>
        </w:r>
      </w:fldSimple>
      <w:r w:rsidR="006D36C8">
        <w:t>:</w:t>
      </w:r>
      <w:bookmarkEnd w:id="34"/>
      <w:r w:rsidR="007B322A">
        <w:t xml:space="preserve"> </w:t>
      </w:r>
      <w:r w:rsidR="005A2957">
        <w:t xml:space="preserve">Nomenclature and structural formula of </w:t>
      </w:r>
      <w:bookmarkEnd w:id="35"/>
      <w:bookmarkEnd w:id="36"/>
      <w:r w:rsidR="00A73602">
        <w:t>1,4-dimethylnaphthalene</w:t>
      </w:r>
      <w:bookmarkEnd w:id="37"/>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7DB0AE23" w:rsidR="005A2957" w:rsidRDefault="00A73602" w:rsidP="005A2957">
            <w:pPr>
              <w:pStyle w:val="APVMATableText"/>
            </w:pPr>
            <w:r>
              <w:t>1,4-dimethylnaphthalene</w:t>
            </w:r>
          </w:p>
        </w:tc>
      </w:tr>
      <w:tr w:rsidR="005A2957" w14:paraId="053B54BC" w14:textId="77777777" w:rsidTr="00424637">
        <w:trPr>
          <w:tblHeader/>
        </w:trPr>
        <w:tc>
          <w:tcPr>
            <w:tcW w:w="1580" w:type="pct"/>
            <w:shd w:val="clear" w:color="auto" w:fill="00747A" w:themeFill="background2"/>
          </w:tcPr>
          <w:p w14:paraId="271DBC38" w14:textId="77777777" w:rsidR="005A2957" w:rsidRDefault="005A2957" w:rsidP="00424637">
            <w:pPr>
              <w:pStyle w:val="APVMATableHead"/>
            </w:pPr>
            <w:r>
              <w:t>IUPAC name:</w:t>
            </w:r>
          </w:p>
        </w:tc>
        <w:tc>
          <w:tcPr>
            <w:tcW w:w="3420" w:type="pct"/>
          </w:tcPr>
          <w:p w14:paraId="3ACA7D72" w14:textId="187C5EB1" w:rsidR="005A2957" w:rsidRDefault="00A73602" w:rsidP="005A2957">
            <w:pPr>
              <w:pStyle w:val="APVMATableText"/>
            </w:pPr>
            <w:r>
              <w:t>1,4-dimethylnaphthalene</w:t>
            </w:r>
          </w:p>
        </w:tc>
      </w:tr>
      <w:tr w:rsidR="005A2957" w14:paraId="7BD90356" w14:textId="77777777" w:rsidTr="00424637">
        <w:trPr>
          <w:tblHeader/>
        </w:trPr>
        <w:tc>
          <w:tcPr>
            <w:tcW w:w="1580" w:type="pct"/>
            <w:shd w:val="clear" w:color="auto" w:fill="00747A" w:themeFill="background2"/>
          </w:tcPr>
          <w:p w14:paraId="502E6D5D" w14:textId="77777777" w:rsidR="005A2957" w:rsidRDefault="005A2957" w:rsidP="00424637">
            <w:pPr>
              <w:pStyle w:val="APVMATableHead"/>
            </w:pPr>
            <w:r>
              <w:t>CAS registry number:</w:t>
            </w:r>
          </w:p>
        </w:tc>
        <w:tc>
          <w:tcPr>
            <w:tcW w:w="3420" w:type="pct"/>
          </w:tcPr>
          <w:p w14:paraId="2026640D" w14:textId="032BDFB0" w:rsidR="005A2957" w:rsidRDefault="00A73602" w:rsidP="005A2957">
            <w:pPr>
              <w:pStyle w:val="APVMATableText"/>
            </w:pPr>
            <w:r>
              <w:t>571-58-4</w:t>
            </w:r>
          </w:p>
        </w:tc>
      </w:tr>
      <w:tr w:rsidR="005A2957" w14:paraId="73492F55" w14:textId="77777777" w:rsidTr="00424637">
        <w:trPr>
          <w:tblHeader/>
        </w:trPr>
        <w:tc>
          <w:tcPr>
            <w:tcW w:w="1580" w:type="pct"/>
            <w:shd w:val="clear" w:color="auto" w:fill="00747A" w:themeFill="background2"/>
          </w:tcPr>
          <w:p w14:paraId="4F61F86C" w14:textId="77777777" w:rsidR="005A2957" w:rsidRDefault="005A2957" w:rsidP="00424637">
            <w:pPr>
              <w:pStyle w:val="APVMATableHead"/>
            </w:pPr>
            <w:r>
              <w:t>Molecular formula:</w:t>
            </w:r>
          </w:p>
        </w:tc>
        <w:tc>
          <w:tcPr>
            <w:tcW w:w="3420" w:type="pct"/>
          </w:tcPr>
          <w:p w14:paraId="7C841C93" w14:textId="0C98A212" w:rsidR="005A2957" w:rsidRDefault="00A73602" w:rsidP="005A2957">
            <w:pPr>
              <w:pStyle w:val="APVMATableText"/>
            </w:pPr>
            <w:r>
              <w:t>C</w:t>
            </w:r>
            <w:r w:rsidRPr="00A73602">
              <w:rPr>
                <w:vertAlign w:val="subscript"/>
              </w:rPr>
              <w:t>12</w:t>
            </w:r>
            <w:r>
              <w:t>H</w:t>
            </w:r>
            <w:r w:rsidRPr="00A73602">
              <w:rPr>
                <w:vertAlign w:val="subscript"/>
              </w:rPr>
              <w:t>12</w:t>
            </w:r>
          </w:p>
        </w:tc>
      </w:tr>
      <w:tr w:rsidR="005A2957" w14:paraId="343F2DB9" w14:textId="77777777" w:rsidTr="00424637">
        <w:trPr>
          <w:tblHeader/>
        </w:trPr>
        <w:tc>
          <w:tcPr>
            <w:tcW w:w="1580" w:type="pct"/>
            <w:shd w:val="clear" w:color="auto" w:fill="00747A" w:themeFill="background2"/>
          </w:tcPr>
          <w:p w14:paraId="59A9BA80" w14:textId="77777777" w:rsidR="005A2957" w:rsidRDefault="005A2957" w:rsidP="00424637">
            <w:pPr>
              <w:pStyle w:val="APVMATableHead"/>
            </w:pPr>
            <w:r>
              <w:t>Molecular weight:</w:t>
            </w:r>
          </w:p>
        </w:tc>
        <w:tc>
          <w:tcPr>
            <w:tcW w:w="3420" w:type="pct"/>
          </w:tcPr>
          <w:p w14:paraId="5F64AC9F" w14:textId="0D710D8F" w:rsidR="005A2957" w:rsidRDefault="00A73602" w:rsidP="005A2957">
            <w:pPr>
              <w:pStyle w:val="APVMATableText"/>
            </w:pPr>
            <w:r>
              <w:t>156.23 gmol</w:t>
            </w:r>
            <w:r w:rsidRPr="00A73602">
              <w:rPr>
                <w:vertAlign w:val="superscript"/>
              </w:rPr>
              <w:t>-1</w:t>
            </w:r>
          </w:p>
        </w:tc>
      </w:tr>
      <w:tr w:rsidR="005A2957" w14:paraId="6B3C96C2" w14:textId="77777777" w:rsidTr="00424637">
        <w:trPr>
          <w:tblHeader/>
        </w:trPr>
        <w:tc>
          <w:tcPr>
            <w:tcW w:w="1580" w:type="pct"/>
            <w:shd w:val="clear" w:color="auto" w:fill="00747A" w:themeFill="background2"/>
          </w:tcPr>
          <w:p w14:paraId="76C9E380" w14:textId="77777777" w:rsidR="005A2957" w:rsidRDefault="005A2957" w:rsidP="00424637">
            <w:pPr>
              <w:pStyle w:val="APVMATableHead"/>
            </w:pPr>
            <w:r>
              <w:t>Structural formula:</w:t>
            </w:r>
          </w:p>
        </w:tc>
        <w:tc>
          <w:tcPr>
            <w:tcW w:w="3420" w:type="pct"/>
          </w:tcPr>
          <w:p w14:paraId="3A29A8C6" w14:textId="2A88F488" w:rsidR="005A2957" w:rsidRDefault="00A73602" w:rsidP="005A2957">
            <w:pPr>
              <w:pStyle w:val="APVMATableText"/>
            </w:pPr>
            <w:r w:rsidRPr="00A767D2">
              <w:rPr>
                <w:noProof/>
              </w:rPr>
              <w:drawing>
                <wp:anchor distT="0" distB="0" distL="114300" distR="114300" simplePos="0" relativeHeight="251658240" behindDoc="0" locked="0" layoutInCell="1" allowOverlap="1" wp14:anchorId="6319C3A2" wp14:editId="6E730536">
                  <wp:simplePos x="0" y="0"/>
                  <wp:positionH relativeFrom="column">
                    <wp:posOffset>-1905</wp:posOffset>
                  </wp:positionH>
                  <wp:positionV relativeFrom="paragraph">
                    <wp:posOffset>294005</wp:posOffset>
                  </wp:positionV>
                  <wp:extent cx="1924319" cy="1714739"/>
                  <wp:effectExtent l="0" t="0" r="0" b="0"/>
                  <wp:wrapSquare wrapText="bothSides"/>
                  <wp:docPr id="194058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8978" name=""/>
                          <pic:cNvPicPr/>
                        </pic:nvPicPr>
                        <pic:blipFill>
                          <a:blip r:embed="rId32">
                            <a:extLst>
                              <a:ext uri="{28A0092B-C50C-407E-A947-70E740481C1C}">
                                <a14:useLocalDpi xmlns:a14="http://schemas.microsoft.com/office/drawing/2010/main" val="0"/>
                              </a:ext>
                            </a:extLst>
                          </a:blip>
                          <a:stretch>
                            <a:fillRect/>
                          </a:stretch>
                        </pic:blipFill>
                        <pic:spPr>
                          <a:xfrm>
                            <a:off x="0" y="0"/>
                            <a:ext cx="1924319" cy="1714739"/>
                          </a:xfrm>
                          <a:prstGeom prst="rect">
                            <a:avLst/>
                          </a:prstGeom>
                        </pic:spPr>
                      </pic:pic>
                    </a:graphicData>
                  </a:graphic>
                </wp:anchor>
              </w:drawing>
            </w:r>
          </w:p>
        </w:tc>
      </w:tr>
    </w:tbl>
    <w:p w14:paraId="672FE812" w14:textId="0D192FE3" w:rsidR="005A2957" w:rsidRDefault="00DE4DB3" w:rsidP="00772458">
      <w:pPr>
        <w:pStyle w:val="APVMAText"/>
      </w:pPr>
      <w:bookmarkStart w:id="38" w:name="_Toc252955167"/>
      <w:r>
        <w:t>1,4-Dimethylnaphthalene is a liquid at room temperature, with a</w:t>
      </w:r>
      <w:r w:rsidR="004D3BE1">
        <w:t xml:space="preserve"> moderate vapour pressure (2.5 Pa at 25 C).</w:t>
      </w:r>
      <w:r>
        <w:t xml:space="preserve"> </w:t>
      </w:r>
      <w:r w:rsidR="004D3BE1">
        <w:t>It has low aqueous solubility, while being highly soluble in polar and aliphatic and aromatic non-polar organic compounds. Therefore, it has a high partition coefficient at 4.37 and is likely to be fat soluble. 1,4-Dimethylnaphthalene is not oxidising, explosive or classified as a flammable liquid.</w:t>
      </w:r>
      <w:r w:rsidR="005A2957">
        <w:br w:type="page"/>
      </w:r>
    </w:p>
    <w:p w14:paraId="33E6F1E7" w14:textId="768BEF66" w:rsidR="006D36C8" w:rsidRDefault="00772458" w:rsidP="00772458">
      <w:pPr>
        <w:pStyle w:val="Caption"/>
      </w:pPr>
      <w:bookmarkStart w:id="39" w:name="_Toc56686266"/>
      <w:bookmarkStart w:id="40" w:name="_Toc56686279"/>
      <w:bookmarkStart w:id="41" w:name="_Toc229751430"/>
      <w:r>
        <w:lastRenderedPageBreak/>
        <w:t xml:space="preserve">Table </w:t>
      </w:r>
      <w:fldSimple w:instr=" SEQ Table \* ARABIC ">
        <w:r>
          <w:rPr>
            <w:noProof/>
          </w:rPr>
          <w:t>2</w:t>
        </w:r>
      </w:fldSimple>
      <w:r w:rsidR="006D36C8">
        <w:t>:</w:t>
      </w:r>
      <w:bookmarkEnd w:id="38"/>
      <w:r w:rsidR="007B322A">
        <w:t xml:space="preserve"> </w:t>
      </w:r>
      <w:r w:rsidR="005A2957">
        <w:t xml:space="preserve">Key physicochemical properties of </w:t>
      </w:r>
      <w:bookmarkEnd w:id="39"/>
      <w:bookmarkEnd w:id="40"/>
      <w:r w:rsidR="00A73602">
        <w:t>1,4-dimethylnaphthalene</w:t>
      </w:r>
      <w:bookmarkEnd w:id="41"/>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5A2957" w14:paraId="5B019962" w14:textId="77777777" w:rsidTr="00424637">
        <w:trPr>
          <w:tblHeader/>
        </w:trPr>
        <w:tc>
          <w:tcPr>
            <w:tcW w:w="1580" w:type="pct"/>
            <w:shd w:val="clear" w:color="auto" w:fill="00747A" w:themeFill="background2"/>
          </w:tcPr>
          <w:p w14:paraId="3DDAEBF5" w14:textId="77777777" w:rsidR="005A2957" w:rsidRDefault="005A2957" w:rsidP="00424637">
            <w:pPr>
              <w:pStyle w:val="APVMATableHead"/>
            </w:pPr>
            <w:r>
              <w:t>Physical form:</w:t>
            </w:r>
          </w:p>
        </w:tc>
        <w:tc>
          <w:tcPr>
            <w:tcW w:w="3420" w:type="pct"/>
          </w:tcPr>
          <w:p w14:paraId="129AE2F5" w14:textId="5BDCBF84" w:rsidR="005A2957" w:rsidRDefault="00A371F8" w:rsidP="00CE67B6">
            <w:pPr>
              <w:pStyle w:val="APVMATableText"/>
            </w:pPr>
            <w:r>
              <w:t>Clear liquid</w:t>
            </w:r>
          </w:p>
        </w:tc>
      </w:tr>
      <w:tr w:rsidR="005A2957" w14:paraId="5A415293" w14:textId="77777777" w:rsidTr="00424637">
        <w:trPr>
          <w:tblHeader/>
        </w:trPr>
        <w:tc>
          <w:tcPr>
            <w:tcW w:w="1580" w:type="pct"/>
            <w:shd w:val="clear" w:color="auto" w:fill="00747A" w:themeFill="background2"/>
          </w:tcPr>
          <w:p w14:paraId="67663045" w14:textId="77777777" w:rsidR="005A2957" w:rsidRDefault="005A2957" w:rsidP="00424637">
            <w:pPr>
              <w:pStyle w:val="APVMATableHead"/>
            </w:pPr>
            <w:r>
              <w:t>Colour:</w:t>
            </w:r>
          </w:p>
        </w:tc>
        <w:tc>
          <w:tcPr>
            <w:tcW w:w="3420" w:type="pct"/>
          </w:tcPr>
          <w:p w14:paraId="5656C7F1" w14:textId="4F2139B9" w:rsidR="005A2957" w:rsidRDefault="00A371F8" w:rsidP="00CE67B6">
            <w:pPr>
              <w:pStyle w:val="APVMATableText"/>
            </w:pPr>
            <w:r>
              <w:t>Pale yellow</w:t>
            </w:r>
          </w:p>
        </w:tc>
      </w:tr>
      <w:tr w:rsidR="005A2957" w14:paraId="4621535A" w14:textId="77777777" w:rsidTr="00424637">
        <w:trPr>
          <w:tblHeader/>
        </w:trPr>
        <w:tc>
          <w:tcPr>
            <w:tcW w:w="1580" w:type="pct"/>
            <w:shd w:val="clear" w:color="auto" w:fill="00747A" w:themeFill="background2"/>
          </w:tcPr>
          <w:p w14:paraId="1709AC12" w14:textId="77777777" w:rsidR="005A2957" w:rsidRDefault="005A2957" w:rsidP="00424637">
            <w:pPr>
              <w:pStyle w:val="APVMATableHead"/>
            </w:pPr>
            <w:r>
              <w:t>Odour:</w:t>
            </w:r>
          </w:p>
        </w:tc>
        <w:tc>
          <w:tcPr>
            <w:tcW w:w="3420" w:type="pct"/>
          </w:tcPr>
          <w:p w14:paraId="691AD9C5" w14:textId="06472603" w:rsidR="005A2957" w:rsidRDefault="00A371F8" w:rsidP="00CE67B6">
            <w:pPr>
              <w:pStyle w:val="APVMATableText"/>
            </w:pPr>
            <w:r>
              <w:t>Slight odour of petroleum distillate</w:t>
            </w:r>
          </w:p>
        </w:tc>
      </w:tr>
      <w:tr w:rsidR="005A2957" w14:paraId="0999E561" w14:textId="77777777" w:rsidTr="00424637">
        <w:trPr>
          <w:tblHeader/>
        </w:trPr>
        <w:tc>
          <w:tcPr>
            <w:tcW w:w="1580" w:type="pct"/>
            <w:shd w:val="clear" w:color="auto" w:fill="00747A" w:themeFill="background2"/>
          </w:tcPr>
          <w:p w14:paraId="0787760C" w14:textId="77777777" w:rsidR="005A2957" w:rsidRDefault="005A2957" w:rsidP="00424637">
            <w:pPr>
              <w:pStyle w:val="APVMATableHead"/>
            </w:pPr>
            <w:r>
              <w:t>Melting point:</w:t>
            </w:r>
          </w:p>
        </w:tc>
        <w:tc>
          <w:tcPr>
            <w:tcW w:w="3420" w:type="pct"/>
          </w:tcPr>
          <w:p w14:paraId="72C84F5F" w14:textId="007C4900" w:rsidR="005A2957" w:rsidRDefault="004602E2" w:rsidP="00CE67B6">
            <w:pPr>
              <w:pStyle w:val="APVMATableText"/>
            </w:pPr>
            <w:r>
              <w:t xml:space="preserve">7.6 </w:t>
            </w:r>
            <w:r w:rsidR="005A2957">
              <w:t>°C</w:t>
            </w:r>
          </w:p>
        </w:tc>
      </w:tr>
      <w:tr w:rsidR="005A2957" w14:paraId="186E1016" w14:textId="77777777" w:rsidTr="00424637">
        <w:trPr>
          <w:tblHeader/>
        </w:trPr>
        <w:tc>
          <w:tcPr>
            <w:tcW w:w="1580" w:type="pct"/>
            <w:shd w:val="clear" w:color="auto" w:fill="00747A" w:themeFill="background2"/>
          </w:tcPr>
          <w:p w14:paraId="70016312" w14:textId="77777777" w:rsidR="005A2957" w:rsidRDefault="005A2957" w:rsidP="00424637">
            <w:pPr>
              <w:pStyle w:val="APVMATableHead"/>
            </w:pPr>
            <w:r>
              <w:t>Boiling point:</w:t>
            </w:r>
          </w:p>
        </w:tc>
        <w:tc>
          <w:tcPr>
            <w:tcW w:w="3420" w:type="pct"/>
          </w:tcPr>
          <w:p w14:paraId="0042A985" w14:textId="5D7E2C76" w:rsidR="005A2957" w:rsidRDefault="00A371F8" w:rsidP="00CE67B6">
            <w:pPr>
              <w:pStyle w:val="APVMATableText"/>
            </w:pPr>
            <w:r>
              <w:t xml:space="preserve">264 </w:t>
            </w:r>
            <w:r w:rsidR="005A2957">
              <w:t>°C</w:t>
            </w:r>
            <w:r>
              <w:t xml:space="preserve"> (at 744 mm Hg/99.2 kPa)</w:t>
            </w:r>
          </w:p>
        </w:tc>
      </w:tr>
      <w:tr w:rsidR="005A2957" w14:paraId="7E10FDED" w14:textId="77777777" w:rsidTr="00424637">
        <w:trPr>
          <w:tblHeader/>
        </w:trPr>
        <w:tc>
          <w:tcPr>
            <w:tcW w:w="1580" w:type="pct"/>
            <w:shd w:val="clear" w:color="auto" w:fill="00747A" w:themeFill="background2"/>
          </w:tcPr>
          <w:p w14:paraId="516BDB62" w14:textId="4C7C878E" w:rsidR="005A2957" w:rsidRDefault="005A2957" w:rsidP="00424637">
            <w:pPr>
              <w:pStyle w:val="APVMATableHead"/>
            </w:pPr>
            <w:r>
              <w:t>Specific gravity</w:t>
            </w:r>
          </w:p>
        </w:tc>
        <w:tc>
          <w:tcPr>
            <w:tcW w:w="3420" w:type="pct"/>
          </w:tcPr>
          <w:p w14:paraId="31CC1A12" w14:textId="3C21B8E5" w:rsidR="005A2957" w:rsidRPr="00EA7005" w:rsidRDefault="00A371F8" w:rsidP="00CE67B6">
            <w:pPr>
              <w:pStyle w:val="APVMATableText"/>
            </w:pPr>
            <w:r>
              <w:t>1.014 (25 °C)</w:t>
            </w:r>
          </w:p>
        </w:tc>
      </w:tr>
      <w:tr w:rsidR="005A2957" w14:paraId="35671A5B" w14:textId="77777777" w:rsidTr="00424637">
        <w:trPr>
          <w:trHeight w:val="613"/>
          <w:tblHeader/>
        </w:trPr>
        <w:tc>
          <w:tcPr>
            <w:tcW w:w="1580" w:type="pct"/>
            <w:tcBorders>
              <w:bottom w:val="single" w:sz="4" w:space="0" w:color="auto"/>
            </w:tcBorders>
            <w:shd w:val="clear" w:color="auto" w:fill="00747A" w:themeFill="background2"/>
          </w:tcPr>
          <w:p w14:paraId="6CEA61AF" w14:textId="77777777" w:rsidR="005A2957" w:rsidRDefault="005A2957" w:rsidP="00424637">
            <w:pPr>
              <w:pStyle w:val="APVMATableHead"/>
            </w:pPr>
            <w:r>
              <w:t>Stability:</w:t>
            </w:r>
          </w:p>
        </w:tc>
        <w:tc>
          <w:tcPr>
            <w:tcW w:w="3420" w:type="pct"/>
          </w:tcPr>
          <w:p w14:paraId="76B268B0" w14:textId="7A892BBD" w:rsidR="005A2957" w:rsidRPr="00EA7005" w:rsidRDefault="00745BC4" w:rsidP="00CE67B6">
            <w:pPr>
              <w:pStyle w:val="APVMATableText"/>
            </w:pPr>
            <w:r>
              <w:t>Expected to remain within specification when stored for at least 2 years under normal conditions</w:t>
            </w:r>
          </w:p>
        </w:tc>
      </w:tr>
      <w:tr w:rsidR="005A2957" w14:paraId="4DA5E8E2" w14:textId="77777777" w:rsidTr="00424637">
        <w:trPr>
          <w:tblHeader/>
        </w:trPr>
        <w:tc>
          <w:tcPr>
            <w:tcW w:w="1580" w:type="pct"/>
            <w:tcBorders>
              <w:bottom w:val="single" w:sz="4" w:space="0" w:color="auto"/>
            </w:tcBorders>
            <w:shd w:val="clear" w:color="auto" w:fill="00747A" w:themeFill="background2"/>
          </w:tcPr>
          <w:p w14:paraId="4F6AD69F" w14:textId="77777777" w:rsidR="005A2957" w:rsidRDefault="005A2957" w:rsidP="00424637">
            <w:pPr>
              <w:pStyle w:val="APVMATableHead"/>
            </w:pPr>
            <w:r>
              <w:t>Safety properties:</w:t>
            </w:r>
          </w:p>
        </w:tc>
        <w:tc>
          <w:tcPr>
            <w:tcW w:w="3420" w:type="pct"/>
          </w:tcPr>
          <w:p w14:paraId="06D41F0C" w14:textId="77777777" w:rsidR="005A2957" w:rsidRDefault="00745BC4" w:rsidP="00CE67B6">
            <w:pPr>
              <w:pStyle w:val="APVMATableText"/>
            </w:pPr>
            <w:r>
              <w:t>Not oxidising</w:t>
            </w:r>
          </w:p>
          <w:p w14:paraId="3C7324B9" w14:textId="77777777" w:rsidR="00745BC4" w:rsidRDefault="00745BC4" w:rsidP="00CE67B6">
            <w:pPr>
              <w:pStyle w:val="APVMATableText"/>
            </w:pPr>
            <w:r>
              <w:t>Not explosive</w:t>
            </w:r>
          </w:p>
          <w:p w14:paraId="50B86921" w14:textId="6D80871B" w:rsidR="00745BC4" w:rsidRPr="00EA7005" w:rsidRDefault="00745BC4" w:rsidP="00CE67B6">
            <w:pPr>
              <w:pStyle w:val="APVMATableText"/>
            </w:pPr>
            <w:r>
              <w:t>Flash point (760 mm Hg, i.e. 1 atm): 122 °C</w:t>
            </w:r>
            <w:r w:rsidR="004D3BE1">
              <w:t>, therefore not classified as a flammable liquid under the Dangerous Goods Code</w:t>
            </w:r>
          </w:p>
        </w:tc>
      </w:tr>
      <w:tr w:rsidR="005A2957" w14:paraId="0FB35A53" w14:textId="77777777" w:rsidTr="00424637">
        <w:trPr>
          <w:tblHeader/>
        </w:trPr>
        <w:tc>
          <w:tcPr>
            <w:tcW w:w="1580" w:type="pct"/>
            <w:tcBorders>
              <w:top w:val="single" w:sz="4" w:space="0" w:color="auto"/>
            </w:tcBorders>
            <w:shd w:val="clear" w:color="auto" w:fill="00747A" w:themeFill="background2"/>
          </w:tcPr>
          <w:p w14:paraId="70E41465" w14:textId="77777777" w:rsidR="005A2957" w:rsidRDefault="005A2957" w:rsidP="00424637">
            <w:pPr>
              <w:pStyle w:val="APVMATableHead"/>
            </w:pPr>
            <w:r>
              <w:t>Solubility in water:</w:t>
            </w:r>
          </w:p>
        </w:tc>
        <w:tc>
          <w:tcPr>
            <w:tcW w:w="3420" w:type="pct"/>
          </w:tcPr>
          <w:p w14:paraId="78EF4EEA" w14:textId="121987D4" w:rsidR="005A2957" w:rsidRPr="00EA7005" w:rsidRDefault="00A371F8" w:rsidP="00CE67B6">
            <w:pPr>
              <w:pStyle w:val="APVMATableText"/>
            </w:pPr>
            <w:r>
              <w:t>5.1 mg/L (25 °C)</w:t>
            </w:r>
          </w:p>
        </w:tc>
      </w:tr>
      <w:tr w:rsidR="005A2957" w:rsidRPr="00486730" w14:paraId="1DD2F6D2" w14:textId="77777777" w:rsidTr="00424637">
        <w:trPr>
          <w:tblHeader/>
        </w:trPr>
        <w:tc>
          <w:tcPr>
            <w:tcW w:w="1580" w:type="pct"/>
            <w:shd w:val="clear" w:color="auto" w:fill="00747A" w:themeFill="background2"/>
          </w:tcPr>
          <w:p w14:paraId="6E9CEA9B" w14:textId="26B8FDFF" w:rsidR="005A2957" w:rsidRDefault="005A2957" w:rsidP="00424637">
            <w:pPr>
              <w:pStyle w:val="APVMATableHead"/>
            </w:pPr>
            <w:r>
              <w:t>Organic solvent solubility</w:t>
            </w:r>
            <w:r w:rsidR="00A371F8">
              <w:t xml:space="preserve"> (20 °C)</w:t>
            </w:r>
            <w:r>
              <w:t>:</w:t>
            </w:r>
          </w:p>
        </w:tc>
        <w:tc>
          <w:tcPr>
            <w:tcW w:w="3420" w:type="pct"/>
          </w:tcPr>
          <w:p w14:paraId="08208825" w14:textId="77777777" w:rsidR="00A371F8" w:rsidRPr="00A371F8" w:rsidRDefault="00A371F8" w:rsidP="00CE67B6">
            <w:pPr>
              <w:pStyle w:val="APVMATableText"/>
              <w:rPr>
                <w:szCs w:val="17"/>
              </w:rPr>
            </w:pPr>
            <w:r w:rsidRPr="00A371F8">
              <w:rPr>
                <w:szCs w:val="17"/>
              </w:rPr>
              <w:t>methanol: &gt; 250 g/L</w:t>
            </w:r>
          </w:p>
          <w:p w14:paraId="631398E7" w14:textId="77777777" w:rsidR="00A371F8" w:rsidRPr="00A371F8" w:rsidRDefault="00A371F8" w:rsidP="00CE67B6">
            <w:pPr>
              <w:pStyle w:val="APVMATableText"/>
              <w:rPr>
                <w:szCs w:val="17"/>
              </w:rPr>
            </w:pPr>
            <w:r w:rsidRPr="00A371F8">
              <w:rPr>
                <w:szCs w:val="17"/>
              </w:rPr>
              <w:t>ethyl acetate: &gt; 250 g L/L</w:t>
            </w:r>
          </w:p>
          <w:p w14:paraId="01DDCF3B" w14:textId="77777777" w:rsidR="00A371F8" w:rsidRPr="00486730" w:rsidRDefault="00A371F8" w:rsidP="00CE67B6">
            <w:pPr>
              <w:pStyle w:val="APVMATableText"/>
              <w:rPr>
                <w:szCs w:val="17"/>
                <w:lang w:val="de-DE"/>
              </w:rPr>
            </w:pPr>
            <w:r w:rsidRPr="00486730">
              <w:rPr>
                <w:szCs w:val="17"/>
                <w:lang w:val="de-DE"/>
              </w:rPr>
              <w:t>acetone: &gt; 250 g/L</w:t>
            </w:r>
          </w:p>
          <w:p w14:paraId="3563C0D5" w14:textId="77777777" w:rsidR="00A371F8" w:rsidRPr="00486730" w:rsidRDefault="00A371F8" w:rsidP="00CE67B6">
            <w:pPr>
              <w:pStyle w:val="APVMATableText"/>
              <w:rPr>
                <w:szCs w:val="17"/>
                <w:lang w:val="de-DE"/>
              </w:rPr>
            </w:pPr>
            <w:r w:rsidRPr="00486730">
              <w:rPr>
                <w:szCs w:val="17"/>
                <w:lang w:val="de-DE"/>
              </w:rPr>
              <w:t>n-heptane: 239 g/L</w:t>
            </w:r>
          </w:p>
          <w:p w14:paraId="4EE98046" w14:textId="77777777" w:rsidR="00A371F8" w:rsidRPr="00486730" w:rsidRDefault="00A371F8" w:rsidP="00CE67B6">
            <w:pPr>
              <w:pStyle w:val="APVMATableText"/>
              <w:rPr>
                <w:szCs w:val="17"/>
                <w:lang w:val="de-DE"/>
              </w:rPr>
            </w:pPr>
            <w:r w:rsidRPr="00486730">
              <w:rPr>
                <w:szCs w:val="17"/>
                <w:lang w:val="de-DE"/>
              </w:rPr>
              <w:t>1,2-dichloroethane: 248 g/L</w:t>
            </w:r>
          </w:p>
          <w:p w14:paraId="14E12EF4" w14:textId="6EEAE68D" w:rsidR="005A2957" w:rsidRPr="00486730" w:rsidRDefault="00A371F8" w:rsidP="00CE67B6">
            <w:pPr>
              <w:pStyle w:val="APVMATableText"/>
              <w:rPr>
                <w:lang w:val="de-DE"/>
              </w:rPr>
            </w:pPr>
            <w:r w:rsidRPr="00486730">
              <w:rPr>
                <w:szCs w:val="17"/>
                <w:lang w:val="de-DE"/>
              </w:rPr>
              <w:t>xylene: 248 g/L</w:t>
            </w:r>
          </w:p>
        </w:tc>
      </w:tr>
      <w:tr w:rsidR="005A2957" w14:paraId="3C4FC544" w14:textId="77777777" w:rsidTr="00424637">
        <w:trPr>
          <w:tblHeader/>
        </w:trPr>
        <w:tc>
          <w:tcPr>
            <w:tcW w:w="1580" w:type="pct"/>
            <w:shd w:val="clear" w:color="auto" w:fill="00747A" w:themeFill="background2"/>
          </w:tcPr>
          <w:p w14:paraId="4153A843" w14:textId="51AE3118" w:rsidR="005A2957" w:rsidRDefault="007B74E9" w:rsidP="00424637">
            <w:pPr>
              <w:pStyle w:val="APVMATableHead"/>
            </w:pPr>
            <w:r>
              <w:t>Dissociation constant (</w:t>
            </w:r>
            <w:r w:rsidR="00A371F8">
              <w:t>p</w:t>
            </w:r>
            <w:r>
              <w:t>K</w:t>
            </w:r>
            <w:r w:rsidR="005A2957" w:rsidRPr="00B75B0D">
              <w:rPr>
                <w:vertAlign w:val="subscript"/>
              </w:rPr>
              <w:t>a</w:t>
            </w:r>
            <w:r w:rsidR="005A2957" w:rsidRPr="009A5578">
              <w:t>)</w:t>
            </w:r>
            <w:r w:rsidR="005A2957">
              <w:t>:</w:t>
            </w:r>
          </w:p>
        </w:tc>
        <w:tc>
          <w:tcPr>
            <w:tcW w:w="3420" w:type="pct"/>
          </w:tcPr>
          <w:p w14:paraId="416AE13D" w14:textId="4601E37B" w:rsidR="005A2957" w:rsidRPr="00EA7005" w:rsidRDefault="00745BC4" w:rsidP="00CE67B6">
            <w:pPr>
              <w:pStyle w:val="APVMATableText"/>
            </w:pPr>
            <w:r>
              <w:t>Does not dissociate</w:t>
            </w:r>
          </w:p>
        </w:tc>
      </w:tr>
      <w:tr w:rsidR="005A2957" w14:paraId="32AACE61" w14:textId="77777777" w:rsidTr="00424637">
        <w:trPr>
          <w:tblHeader/>
        </w:trPr>
        <w:tc>
          <w:tcPr>
            <w:tcW w:w="1580" w:type="pct"/>
            <w:shd w:val="clear" w:color="auto" w:fill="00747A" w:themeFill="background2"/>
          </w:tcPr>
          <w:p w14:paraId="5B4F8EF4" w14:textId="77777777" w:rsidR="005A2957" w:rsidRDefault="005A2957" w:rsidP="00424637">
            <w:pPr>
              <w:pStyle w:val="APVMATableHead"/>
            </w:pPr>
            <w:r>
              <w:t>PH:</w:t>
            </w:r>
          </w:p>
        </w:tc>
        <w:tc>
          <w:tcPr>
            <w:tcW w:w="3420" w:type="pct"/>
          </w:tcPr>
          <w:p w14:paraId="162C0AE6" w14:textId="1FED4CFE" w:rsidR="005A2957" w:rsidRPr="00EA7005" w:rsidRDefault="00745BC4" w:rsidP="00CE67B6">
            <w:pPr>
              <w:pStyle w:val="APVMATableText"/>
            </w:pPr>
            <w:r>
              <w:t>5.9 (1% dilution, CIPAC MT 75.3)</w:t>
            </w:r>
          </w:p>
        </w:tc>
      </w:tr>
      <w:tr w:rsidR="005A2957" w14:paraId="5CA72068" w14:textId="77777777" w:rsidTr="00424637">
        <w:trPr>
          <w:tblHeader/>
        </w:trPr>
        <w:tc>
          <w:tcPr>
            <w:tcW w:w="1580" w:type="pct"/>
            <w:shd w:val="clear" w:color="auto" w:fill="00747A" w:themeFill="background2"/>
          </w:tcPr>
          <w:p w14:paraId="5DBC3B40" w14:textId="3BB4FDA1" w:rsidR="005A2957" w:rsidRDefault="005A2957" w:rsidP="00424637">
            <w:pPr>
              <w:pStyle w:val="APVMATableHead"/>
            </w:pPr>
            <w:r>
              <w:t>Octanol/water partition coefficient (Log K</w:t>
            </w:r>
            <w:r w:rsidRPr="00B75B0D">
              <w:rPr>
                <w:vertAlign w:val="subscript"/>
              </w:rPr>
              <w:t>ow</w:t>
            </w:r>
            <w:r>
              <w:t>):</w:t>
            </w:r>
          </w:p>
        </w:tc>
        <w:tc>
          <w:tcPr>
            <w:tcW w:w="3420" w:type="pct"/>
          </w:tcPr>
          <w:p w14:paraId="1939E231" w14:textId="76D3EDF0" w:rsidR="005A2957" w:rsidRPr="00EA7005" w:rsidRDefault="004602E2" w:rsidP="00CE67B6">
            <w:pPr>
              <w:pStyle w:val="APVMATableText"/>
            </w:pPr>
            <w:r>
              <w:t>4.37</w:t>
            </w:r>
            <w:r w:rsidR="00DE4DB3">
              <w:t xml:space="preserve"> (calculated)</w:t>
            </w:r>
          </w:p>
        </w:tc>
      </w:tr>
      <w:tr w:rsidR="005A2957" w14:paraId="71B510CE" w14:textId="77777777" w:rsidTr="00424637">
        <w:trPr>
          <w:tblHeader/>
        </w:trPr>
        <w:tc>
          <w:tcPr>
            <w:tcW w:w="1580" w:type="pct"/>
            <w:shd w:val="clear" w:color="auto" w:fill="00747A" w:themeFill="background2"/>
          </w:tcPr>
          <w:p w14:paraId="12930EE0" w14:textId="7D08779E" w:rsidR="005A2957" w:rsidRDefault="005A2957" w:rsidP="00424637">
            <w:pPr>
              <w:pStyle w:val="APVMATableHead"/>
            </w:pPr>
            <w:r>
              <w:t>Vapour pressure</w:t>
            </w:r>
            <w:r w:rsidR="00745BC4">
              <w:t xml:space="preserve"> (95.1% purity)</w:t>
            </w:r>
            <w:r>
              <w:t>:</w:t>
            </w:r>
          </w:p>
        </w:tc>
        <w:tc>
          <w:tcPr>
            <w:tcW w:w="3420" w:type="pct"/>
          </w:tcPr>
          <w:p w14:paraId="177B63FD" w14:textId="77777777" w:rsidR="00745BC4" w:rsidRPr="00486730" w:rsidRDefault="00745BC4" w:rsidP="00CE67B6">
            <w:pPr>
              <w:pStyle w:val="APVMATableText"/>
              <w:rPr>
                <w:szCs w:val="17"/>
                <w:lang w:val="de-DE"/>
              </w:rPr>
            </w:pPr>
            <w:r w:rsidRPr="00486730">
              <w:rPr>
                <w:szCs w:val="17"/>
                <w:lang w:val="de-DE"/>
              </w:rPr>
              <w:t>25 °C: 1.88 × 10</w:t>
            </w:r>
            <w:r w:rsidRPr="00486730">
              <w:rPr>
                <w:szCs w:val="17"/>
                <w:vertAlign w:val="superscript"/>
                <w:lang w:val="de-DE"/>
              </w:rPr>
              <w:t xml:space="preserve">-2 </w:t>
            </w:r>
            <w:r w:rsidRPr="00486730">
              <w:rPr>
                <w:szCs w:val="17"/>
                <w:lang w:val="de-DE"/>
              </w:rPr>
              <w:t>mm Hg (2.50 Pa)</w:t>
            </w:r>
          </w:p>
          <w:p w14:paraId="73B78FF6" w14:textId="77777777" w:rsidR="00745BC4" w:rsidRPr="00486730" w:rsidRDefault="00745BC4" w:rsidP="00CE67B6">
            <w:pPr>
              <w:pStyle w:val="APVMATableText"/>
              <w:rPr>
                <w:szCs w:val="17"/>
                <w:lang w:val="de-DE"/>
              </w:rPr>
            </w:pPr>
            <w:r w:rsidRPr="00486730">
              <w:rPr>
                <w:szCs w:val="17"/>
                <w:lang w:val="de-DE"/>
              </w:rPr>
              <w:t>35 °C: 3.64 × 10</w:t>
            </w:r>
            <w:r w:rsidRPr="00486730">
              <w:rPr>
                <w:szCs w:val="17"/>
                <w:vertAlign w:val="superscript"/>
                <w:lang w:val="de-DE"/>
              </w:rPr>
              <w:t xml:space="preserve">-2 </w:t>
            </w:r>
            <w:r w:rsidRPr="00486730">
              <w:rPr>
                <w:szCs w:val="17"/>
                <w:lang w:val="de-DE"/>
              </w:rPr>
              <w:t>mm Hg (4.85 Pa)</w:t>
            </w:r>
          </w:p>
          <w:p w14:paraId="2EAE59BA" w14:textId="641AD344" w:rsidR="005A2957" w:rsidRPr="00745BC4" w:rsidRDefault="00745BC4" w:rsidP="00CE67B6">
            <w:pPr>
              <w:pStyle w:val="APVMATableText"/>
              <w:rPr>
                <w:szCs w:val="17"/>
              </w:rPr>
            </w:pPr>
            <w:r w:rsidRPr="00745BC4">
              <w:rPr>
                <w:szCs w:val="17"/>
              </w:rPr>
              <w:t>45 °C: 8.75 × 10</w:t>
            </w:r>
            <w:r w:rsidRPr="00745BC4">
              <w:rPr>
                <w:szCs w:val="17"/>
                <w:vertAlign w:val="superscript"/>
              </w:rPr>
              <w:t xml:space="preserve">-2 </w:t>
            </w:r>
            <w:r w:rsidRPr="00745BC4">
              <w:rPr>
                <w:szCs w:val="17"/>
              </w:rPr>
              <w:t>mm Hg (11.7 Pa)</w:t>
            </w:r>
          </w:p>
        </w:tc>
      </w:tr>
      <w:tr w:rsidR="005A2957" w14:paraId="381351E2" w14:textId="77777777" w:rsidTr="00424637">
        <w:trPr>
          <w:trHeight w:val="613"/>
          <w:tblHeader/>
        </w:trPr>
        <w:tc>
          <w:tcPr>
            <w:tcW w:w="1580" w:type="pct"/>
            <w:shd w:val="clear" w:color="auto" w:fill="00747A" w:themeFill="background2"/>
          </w:tcPr>
          <w:p w14:paraId="4A529FAD" w14:textId="77777777" w:rsidR="005A2957" w:rsidRDefault="005A2957" w:rsidP="00C72FA3">
            <w:pPr>
              <w:pStyle w:val="APVMATableHead"/>
            </w:pPr>
            <w:r>
              <w:t>Henry’s law constant:</w:t>
            </w:r>
          </w:p>
        </w:tc>
        <w:tc>
          <w:tcPr>
            <w:tcW w:w="3420" w:type="pct"/>
          </w:tcPr>
          <w:p w14:paraId="5EC49EF7" w14:textId="7411C24F" w:rsidR="005A2957" w:rsidRPr="00745BC4" w:rsidRDefault="00745BC4" w:rsidP="00CE67B6">
            <w:pPr>
              <w:pStyle w:val="APVMATableText"/>
              <w:rPr>
                <w:szCs w:val="17"/>
              </w:rPr>
            </w:pPr>
            <w:r w:rsidRPr="00745BC4">
              <w:rPr>
                <w:iCs/>
                <w:szCs w:val="17"/>
              </w:rPr>
              <w:t>76.7 Pa m</w:t>
            </w:r>
            <w:r w:rsidRPr="00745BC4">
              <w:rPr>
                <w:iCs/>
                <w:szCs w:val="17"/>
                <w:vertAlign w:val="superscript"/>
              </w:rPr>
              <w:t xml:space="preserve">3 </w:t>
            </w:r>
            <w:r w:rsidRPr="00745BC4">
              <w:rPr>
                <w:iCs/>
                <w:szCs w:val="17"/>
              </w:rPr>
              <w:t xml:space="preserve">/mol </w:t>
            </w:r>
            <w:r w:rsidRPr="00745BC4">
              <w:rPr>
                <w:b/>
                <w:szCs w:val="17"/>
              </w:rPr>
              <w:t>(</w:t>
            </w:r>
            <w:r w:rsidRPr="00745BC4">
              <w:rPr>
                <w:szCs w:val="17"/>
              </w:rPr>
              <w:t>25 °C)</w:t>
            </w:r>
          </w:p>
        </w:tc>
      </w:tr>
    </w:tbl>
    <w:p w14:paraId="7917E5D9" w14:textId="77777777" w:rsidR="006D36C8" w:rsidRDefault="005A2957" w:rsidP="00032787">
      <w:pPr>
        <w:pStyle w:val="Heading2"/>
      </w:pPr>
      <w:bookmarkStart w:id="42" w:name="_Toc7561225"/>
      <w:bookmarkStart w:id="43" w:name="_Toc229751393"/>
      <w:r>
        <w:t>Formulated product</w:t>
      </w:r>
      <w:bookmarkEnd w:id="42"/>
      <w:bookmarkEnd w:id="43"/>
    </w:p>
    <w:p w14:paraId="24D9BBE1" w14:textId="63904FF7" w:rsidR="005A2957" w:rsidRDefault="005A2957" w:rsidP="005A2957">
      <w:pPr>
        <w:pStyle w:val="APVMAText"/>
      </w:pPr>
      <w:r>
        <w:t xml:space="preserve">The product </w:t>
      </w:r>
      <w:r w:rsidR="00A371F8">
        <w:t>1,4</w:t>
      </w:r>
      <w:r w:rsidR="00D61BA3">
        <w:t>SIGHT</w:t>
      </w:r>
      <w:r w:rsidR="00A371F8">
        <w:t xml:space="preserve"> Potato Dormancy Enhancer </w:t>
      </w:r>
      <w:r w:rsidR="00CA5B2B">
        <w:t>will be manufactured overseas</w:t>
      </w:r>
      <w:r>
        <w:t>. Tables 3 and 4 outline some key aspects of the formulation and physicochemical properties of the product.</w:t>
      </w:r>
    </w:p>
    <w:p w14:paraId="0996AB7C" w14:textId="32589F2F" w:rsidR="006D36C8" w:rsidRDefault="00772458" w:rsidP="00772458">
      <w:pPr>
        <w:pStyle w:val="Caption"/>
      </w:pPr>
      <w:bookmarkStart w:id="44" w:name="_Toc252955168"/>
      <w:bookmarkStart w:id="45" w:name="_Toc56686267"/>
      <w:bookmarkStart w:id="46" w:name="_Toc56686280"/>
      <w:bookmarkStart w:id="47" w:name="_Toc229751431"/>
      <w:r>
        <w:lastRenderedPageBreak/>
        <w:t xml:space="preserve">Table </w:t>
      </w:r>
      <w:fldSimple w:instr=" SEQ Table \* ARABIC ">
        <w:r>
          <w:rPr>
            <w:noProof/>
          </w:rPr>
          <w:t>3</w:t>
        </w:r>
      </w:fldSimple>
      <w:r w:rsidR="006D36C8">
        <w:t>:</w:t>
      </w:r>
      <w:bookmarkEnd w:id="44"/>
      <w:r w:rsidR="007B322A">
        <w:t xml:space="preserve"> </w:t>
      </w:r>
      <w:r w:rsidR="005A2957">
        <w:t xml:space="preserve">Key aspects of the formulation of the product </w:t>
      </w:r>
      <w:bookmarkEnd w:id="45"/>
      <w:bookmarkEnd w:id="46"/>
      <w:r w:rsidR="00A371F8">
        <w:t>1,4</w:t>
      </w:r>
      <w:r w:rsidR="00D61BA3">
        <w:t>SIGHT</w:t>
      </w:r>
      <w:r w:rsidR="00A371F8">
        <w:t xml:space="preserve"> Potato Dormancy Enhancer</w:t>
      </w:r>
      <w:bookmarkEnd w:id="47"/>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5C33B9" w14:paraId="3062EE28" w14:textId="77777777" w:rsidTr="00424637">
        <w:trPr>
          <w:tblHeader/>
        </w:trPr>
        <w:tc>
          <w:tcPr>
            <w:tcW w:w="1579" w:type="pct"/>
            <w:shd w:val="clear" w:color="auto" w:fill="00747A" w:themeFill="background2"/>
          </w:tcPr>
          <w:p w14:paraId="743D7A07" w14:textId="77777777" w:rsidR="005C33B9" w:rsidRDefault="005C33B9" w:rsidP="00424637">
            <w:pPr>
              <w:pStyle w:val="APVMATableHead"/>
            </w:pPr>
            <w:r>
              <w:t>Distinguishing name:</w:t>
            </w:r>
          </w:p>
        </w:tc>
        <w:tc>
          <w:tcPr>
            <w:tcW w:w="3421" w:type="pct"/>
          </w:tcPr>
          <w:p w14:paraId="757F5168" w14:textId="0CDF897F" w:rsidR="005C33B9" w:rsidRDefault="004D3BE1" w:rsidP="00323CDE">
            <w:pPr>
              <w:pStyle w:val="APVMATableText"/>
            </w:pPr>
            <w:r>
              <w:t>1,4</w:t>
            </w:r>
            <w:r w:rsidR="00D61BA3">
              <w:t>SIGHT</w:t>
            </w:r>
            <w:r>
              <w:t xml:space="preserve"> Potato Dormancy Enhancer</w:t>
            </w:r>
          </w:p>
        </w:tc>
      </w:tr>
      <w:tr w:rsidR="005C33B9" w14:paraId="418C7C0B" w14:textId="77777777" w:rsidTr="00424637">
        <w:trPr>
          <w:tblHeader/>
        </w:trPr>
        <w:tc>
          <w:tcPr>
            <w:tcW w:w="1579" w:type="pct"/>
            <w:shd w:val="clear" w:color="auto" w:fill="00747A" w:themeFill="background2"/>
          </w:tcPr>
          <w:p w14:paraId="5E57333F" w14:textId="77777777" w:rsidR="005C33B9" w:rsidRDefault="005C33B9" w:rsidP="00424637">
            <w:pPr>
              <w:pStyle w:val="APVMATableHead"/>
            </w:pPr>
            <w:r>
              <w:t>Formulation type:</w:t>
            </w:r>
          </w:p>
        </w:tc>
        <w:tc>
          <w:tcPr>
            <w:tcW w:w="3421" w:type="pct"/>
          </w:tcPr>
          <w:p w14:paraId="5255D300" w14:textId="53E8D938" w:rsidR="005C33B9" w:rsidRDefault="00923A7A" w:rsidP="00323CDE">
            <w:pPr>
              <w:pStyle w:val="APVMATableText"/>
            </w:pPr>
            <w:r>
              <w:t>Other liquids to be applied undiluted (AL)</w:t>
            </w:r>
          </w:p>
        </w:tc>
      </w:tr>
      <w:tr w:rsidR="005C33B9" w14:paraId="54B4AAD2" w14:textId="77777777" w:rsidTr="00424637">
        <w:trPr>
          <w:tblHeader/>
        </w:trPr>
        <w:tc>
          <w:tcPr>
            <w:tcW w:w="1579" w:type="pct"/>
            <w:shd w:val="clear" w:color="auto" w:fill="00747A" w:themeFill="background2"/>
          </w:tcPr>
          <w:p w14:paraId="457F920E" w14:textId="4B779B68" w:rsidR="005C33B9" w:rsidRDefault="005C33B9" w:rsidP="00424637">
            <w:pPr>
              <w:pStyle w:val="APVMATableHead"/>
            </w:pPr>
            <w:r>
              <w:t>Active constituent concentration:</w:t>
            </w:r>
          </w:p>
        </w:tc>
        <w:tc>
          <w:tcPr>
            <w:tcW w:w="3421" w:type="pct"/>
          </w:tcPr>
          <w:p w14:paraId="4A12F7AE" w14:textId="6EF5D6C5" w:rsidR="005C33B9" w:rsidRDefault="00A80837" w:rsidP="00323CDE">
            <w:pPr>
              <w:pStyle w:val="APVMATableText"/>
            </w:pPr>
            <w:r>
              <w:t>980 g/</w:t>
            </w:r>
            <w:r w:rsidR="00923A7A">
              <w:t>kg</w:t>
            </w:r>
          </w:p>
        </w:tc>
      </w:tr>
    </w:tbl>
    <w:p w14:paraId="320A279C" w14:textId="76AA822F" w:rsidR="005C33B9" w:rsidRDefault="00772458" w:rsidP="00772458">
      <w:pPr>
        <w:pStyle w:val="Caption"/>
      </w:pPr>
      <w:bookmarkStart w:id="48" w:name="_Toc523995125"/>
      <w:bookmarkStart w:id="49" w:name="_Toc56686268"/>
      <w:bookmarkStart w:id="50" w:name="_Toc56686281"/>
      <w:bookmarkStart w:id="51" w:name="_Toc229751432"/>
      <w:r>
        <w:t xml:space="preserve">Table </w:t>
      </w:r>
      <w:fldSimple w:instr=" SEQ Table \* ARABIC ">
        <w:r>
          <w:rPr>
            <w:noProof/>
          </w:rPr>
          <w:t>4</w:t>
        </w:r>
      </w:fldSimple>
      <w:r w:rsidR="005C33B9">
        <w:t xml:space="preserve">: Physicochemical properties of the product </w:t>
      </w:r>
      <w:bookmarkEnd w:id="48"/>
      <w:bookmarkEnd w:id="49"/>
      <w:bookmarkEnd w:id="50"/>
      <w:r w:rsidR="00A73602">
        <w:t>1,4</w:t>
      </w:r>
      <w:r w:rsidR="00D61BA3">
        <w:t>SIGHT</w:t>
      </w:r>
      <w:r w:rsidR="00A73602">
        <w:t xml:space="preserve"> Potato Dormancy Enhancer</w:t>
      </w:r>
      <w:bookmarkEnd w:id="51"/>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5C33B9" w14:paraId="2CCDDCF7" w14:textId="77777777" w:rsidTr="00424637">
        <w:trPr>
          <w:tblHeader/>
        </w:trPr>
        <w:tc>
          <w:tcPr>
            <w:tcW w:w="1579" w:type="pct"/>
            <w:shd w:val="clear" w:color="auto" w:fill="00747A" w:themeFill="background2"/>
          </w:tcPr>
          <w:p w14:paraId="4A9E6609" w14:textId="77777777" w:rsidR="005C33B9" w:rsidRDefault="005C33B9" w:rsidP="00424637">
            <w:pPr>
              <w:pStyle w:val="APVMATableHead"/>
            </w:pPr>
            <w:r>
              <w:t>Physical form:</w:t>
            </w:r>
          </w:p>
        </w:tc>
        <w:tc>
          <w:tcPr>
            <w:tcW w:w="3421" w:type="pct"/>
          </w:tcPr>
          <w:p w14:paraId="39BD435B" w14:textId="55D18ECA" w:rsidR="005C33B9" w:rsidRDefault="00A80837" w:rsidP="00323CDE">
            <w:pPr>
              <w:pStyle w:val="APVMATableText"/>
            </w:pPr>
            <w:r>
              <w:t>Clear pale yellow l</w:t>
            </w:r>
            <w:r w:rsidR="00A73602">
              <w:t>iquid</w:t>
            </w:r>
          </w:p>
        </w:tc>
      </w:tr>
      <w:tr w:rsidR="005C33B9" w14:paraId="0161F7C8" w14:textId="77777777" w:rsidTr="00424637">
        <w:trPr>
          <w:tblHeader/>
        </w:trPr>
        <w:tc>
          <w:tcPr>
            <w:tcW w:w="1579" w:type="pct"/>
            <w:shd w:val="clear" w:color="auto" w:fill="00747A" w:themeFill="background2"/>
          </w:tcPr>
          <w:p w14:paraId="70A2C093" w14:textId="77777777" w:rsidR="005C33B9" w:rsidRDefault="005C33B9" w:rsidP="00424637">
            <w:pPr>
              <w:pStyle w:val="APVMATableHead"/>
            </w:pPr>
            <w:r>
              <w:t>PH:</w:t>
            </w:r>
          </w:p>
        </w:tc>
        <w:tc>
          <w:tcPr>
            <w:tcW w:w="3421" w:type="pct"/>
          </w:tcPr>
          <w:p w14:paraId="2EC2C73B" w14:textId="6AB730D2" w:rsidR="005C33B9" w:rsidRPr="00EA7005" w:rsidRDefault="00A80837" w:rsidP="00EA7005">
            <w:pPr>
              <w:pStyle w:val="APVMATableText"/>
            </w:pPr>
            <w:r>
              <w:t>5.9 (1% dilution, CIPAC MT 75.3)</w:t>
            </w:r>
          </w:p>
        </w:tc>
      </w:tr>
      <w:tr w:rsidR="005C33B9" w14:paraId="59FD184D" w14:textId="77777777" w:rsidTr="00424637">
        <w:trPr>
          <w:tblHeader/>
        </w:trPr>
        <w:tc>
          <w:tcPr>
            <w:tcW w:w="1579" w:type="pct"/>
            <w:shd w:val="clear" w:color="auto" w:fill="00747A" w:themeFill="background2"/>
          </w:tcPr>
          <w:p w14:paraId="266B62DD" w14:textId="6DF98C5D" w:rsidR="005C33B9" w:rsidRDefault="00A80837" w:rsidP="00424637">
            <w:pPr>
              <w:pStyle w:val="APVMATableHead"/>
            </w:pPr>
            <w:r>
              <w:t>D</w:t>
            </w:r>
            <w:r w:rsidR="005C33B9">
              <w:t>ensity:</w:t>
            </w:r>
          </w:p>
        </w:tc>
        <w:tc>
          <w:tcPr>
            <w:tcW w:w="3421" w:type="pct"/>
          </w:tcPr>
          <w:p w14:paraId="00BC7C66" w14:textId="04438852" w:rsidR="005C33B9" w:rsidRPr="00EA7005" w:rsidRDefault="00A80837" w:rsidP="00EA7005">
            <w:pPr>
              <w:pStyle w:val="APVMATableText"/>
            </w:pPr>
            <w:r>
              <w:t>1.0149 – 1.0167 g/mL</w:t>
            </w:r>
          </w:p>
        </w:tc>
      </w:tr>
      <w:tr w:rsidR="00AF6F18" w14:paraId="26D9D517" w14:textId="77777777" w:rsidTr="00424637">
        <w:trPr>
          <w:trHeight w:val="423"/>
          <w:tblHeader/>
        </w:trPr>
        <w:tc>
          <w:tcPr>
            <w:tcW w:w="1579" w:type="pct"/>
            <w:shd w:val="clear" w:color="auto" w:fill="00747A" w:themeFill="background2"/>
          </w:tcPr>
          <w:p w14:paraId="5D9A2FDB" w14:textId="4C361937" w:rsidR="00AF6F18" w:rsidRDefault="00AF6F18" w:rsidP="00AF6F18">
            <w:pPr>
              <w:pStyle w:val="APVMATableHead"/>
            </w:pPr>
            <w:r>
              <w:t>Viscosity:</w:t>
            </w:r>
          </w:p>
        </w:tc>
        <w:tc>
          <w:tcPr>
            <w:tcW w:w="3421" w:type="pct"/>
          </w:tcPr>
          <w:p w14:paraId="7F2AC523" w14:textId="2609C0D1" w:rsidR="00AF6F18" w:rsidRPr="00AF6F18" w:rsidRDefault="00AF6F18" w:rsidP="00AF6F18">
            <w:pPr>
              <w:pStyle w:val="APVMATableText"/>
              <w:rPr>
                <w:szCs w:val="17"/>
              </w:rPr>
            </w:pPr>
            <w:r w:rsidRPr="00AF6F18">
              <w:rPr>
                <w:szCs w:val="17"/>
              </w:rPr>
              <w:t>6 cps at 12 rpm and 6 cps at 30 rpm.</w:t>
            </w:r>
          </w:p>
        </w:tc>
      </w:tr>
      <w:tr w:rsidR="00AF6F18" w14:paraId="7A84510E" w14:textId="77777777" w:rsidTr="00424637">
        <w:trPr>
          <w:trHeight w:val="435"/>
          <w:tblHeader/>
        </w:trPr>
        <w:tc>
          <w:tcPr>
            <w:tcW w:w="1579" w:type="pct"/>
            <w:shd w:val="clear" w:color="auto" w:fill="00747A" w:themeFill="background2"/>
          </w:tcPr>
          <w:p w14:paraId="0DB4A0BA" w14:textId="77777777" w:rsidR="00AF6F18" w:rsidRDefault="00AF6F18" w:rsidP="00AF6F18">
            <w:pPr>
              <w:pStyle w:val="APVMATableHead"/>
            </w:pPr>
            <w:r>
              <w:t>Safety properties:</w:t>
            </w:r>
          </w:p>
        </w:tc>
        <w:tc>
          <w:tcPr>
            <w:tcW w:w="3421" w:type="pct"/>
          </w:tcPr>
          <w:p w14:paraId="43F877DE" w14:textId="77777777" w:rsidR="00AF6F18" w:rsidRDefault="00AF6F18" w:rsidP="00AF6F18">
            <w:pPr>
              <w:pStyle w:val="APVMATableText"/>
            </w:pPr>
            <w:r>
              <w:t>Not oxidising</w:t>
            </w:r>
          </w:p>
          <w:p w14:paraId="2E1B6ADF" w14:textId="77777777" w:rsidR="00AF6F18" w:rsidRDefault="00AF6F18" w:rsidP="00AF6F18">
            <w:pPr>
              <w:pStyle w:val="APVMATableText"/>
            </w:pPr>
            <w:r>
              <w:t>Not explosive</w:t>
            </w:r>
          </w:p>
          <w:p w14:paraId="6586AC13" w14:textId="6CDFC413" w:rsidR="00AF6F18" w:rsidRPr="00EA7005" w:rsidRDefault="00AF6F18" w:rsidP="00AF6F18">
            <w:pPr>
              <w:pStyle w:val="APVMATableText"/>
            </w:pPr>
            <w:r>
              <w:t>Flash point (760 mm Hg, i.e. 1 atm): 122 °C, therefore not classified as a flammable liquid under the Dangerous Goods Code</w:t>
            </w:r>
          </w:p>
        </w:tc>
      </w:tr>
      <w:tr w:rsidR="00AF6F18" w14:paraId="5468122D" w14:textId="77777777" w:rsidTr="00424637">
        <w:trPr>
          <w:trHeight w:val="435"/>
          <w:tblHeader/>
        </w:trPr>
        <w:tc>
          <w:tcPr>
            <w:tcW w:w="1579" w:type="pct"/>
            <w:shd w:val="clear" w:color="auto" w:fill="00747A" w:themeFill="background2"/>
          </w:tcPr>
          <w:p w14:paraId="41268577" w14:textId="77777777" w:rsidR="00AF6F18" w:rsidRDefault="00AF6F18" w:rsidP="00AF6F18">
            <w:pPr>
              <w:pStyle w:val="APVMATableHead"/>
            </w:pPr>
            <w:r>
              <w:t>Storage stability:</w:t>
            </w:r>
          </w:p>
        </w:tc>
        <w:tc>
          <w:tcPr>
            <w:tcW w:w="3421" w:type="pct"/>
          </w:tcPr>
          <w:p w14:paraId="7DDAF7F9" w14:textId="38D3AF47" w:rsidR="00AF6F18" w:rsidRDefault="00AF6F18" w:rsidP="00AF6F18">
            <w:pPr>
              <w:pStyle w:val="APVMATableText"/>
              <w:rPr>
                <w:noProof/>
                <w:lang w:eastAsia="en-AU"/>
              </w:rPr>
            </w:pPr>
            <w:r>
              <w:t>Expected to remain within specification when stored for at least 2 years under normal conditions</w:t>
            </w:r>
          </w:p>
        </w:tc>
      </w:tr>
    </w:tbl>
    <w:p w14:paraId="378E38F7" w14:textId="77777777" w:rsidR="005C33B9" w:rsidRDefault="00783112" w:rsidP="00032787">
      <w:pPr>
        <w:pStyle w:val="Heading2"/>
      </w:pPr>
      <w:bookmarkStart w:id="52" w:name="_Toc7561226"/>
      <w:bookmarkStart w:id="53" w:name="_Toc229751394"/>
      <w:r>
        <w:t>Recommendations</w:t>
      </w:r>
      <w:bookmarkEnd w:id="52"/>
      <w:bookmarkEnd w:id="53"/>
    </w:p>
    <w:p w14:paraId="662C35CB" w14:textId="065135FF" w:rsidR="008C0089" w:rsidRDefault="008C0089" w:rsidP="008C0089">
      <w:pPr>
        <w:pStyle w:val="APVMAText"/>
        <w:rPr>
          <w:szCs w:val="20"/>
        </w:rPr>
      </w:pPr>
      <w:r w:rsidRPr="00AF1470">
        <w:t xml:space="preserve">The </w:t>
      </w:r>
      <w:r>
        <w:t>APVMA h</w:t>
      </w:r>
      <w:r w:rsidRPr="00AF1470">
        <w:t xml:space="preserve">as evaluated the chemistry of </w:t>
      </w:r>
      <w:r>
        <w:t xml:space="preserve">the </w:t>
      </w:r>
      <w:r w:rsidRPr="00AF1470">
        <w:t xml:space="preserve">active constituent </w:t>
      </w:r>
      <w:r w:rsidR="00A73602">
        <w:rPr>
          <w:szCs w:val="20"/>
        </w:rPr>
        <w:t>1,4-dimethylnaphthalene</w:t>
      </w:r>
      <w:r>
        <w:rPr>
          <w:szCs w:val="20"/>
        </w:rPr>
        <w:t xml:space="preserve"> </w:t>
      </w:r>
      <w:r>
        <w:t xml:space="preserve">and </w:t>
      </w:r>
      <w:r w:rsidR="00551E3F">
        <w:t xml:space="preserve">the </w:t>
      </w:r>
      <w:r>
        <w:t xml:space="preserve">associated product </w:t>
      </w:r>
      <w:r w:rsidR="00A73602">
        <w:t>1,4</w:t>
      </w:r>
      <w:r w:rsidR="00A61B9C">
        <w:t>SIGHT</w:t>
      </w:r>
      <w:r w:rsidR="00A73602">
        <w:t xml:space="preserve"> Potato Dormancy Enhancer</w:t>
      </w:r>
      <w:r>
        <w:t>,</w:t>
      </w:r>
      <w:r w:rsidRPr="00AF1470">
        <w:t xml:space="preserve"> </w:t>
      </w:r>
      <w:r>
        <w:t xml:space="preserve">including the </w:t>
      </w:r>
      <w:r w:rsidRPr="00AF1470">
        <w:t xml:space="preserve">manufacturing process, quality control procedures, </w:t>
      </w:r>
      <w:r>
        <w:t xml:space="preserve">stability, </w:t>
      </w:r>
      <w:r w:rsidRPr="00AF1470">
        <w:t>batch analysis results and analytical methods</w:t>
      </w:r>
      <w:r>
        <w:t>,</w:t>
      </w:r>
      <w:r w:rsidRPr="00AF1470">
        <w:t xml:space="preserve"> and found them to be acceptable.</w:t>
      </w:r>
      <w:r>
        <w:t xml:space="preserve"> </w:t>
      </w:r>
      <w:r>
        <w:rPr>
          <w:szCs w:val="20"/>
        </w:rPr>
        <w:t xml:space="preserve">The available storage stability data indicate that the formulated product is expected to remain stable for at least </w:t>
      </w:r>
      <w:r w:rsidR="00A73602">
        <w:rPr>
          <w:szCs w:val="20"/>
        </w:rPr>
        <w:t>2</w:t>
      </w:r>
      <w:r w:rsidR="00CA5B2B">
        <w:rPr>
          <w:szCs w:val="20"/>
        </w:rPr>
        <w:t xml:space="preserve"> </w:t>
      </w:r>
      <w:r>
        <w:rPr>
          <w:szCs w:val="20"/>
        </w:rPr>
        <w:t>years when stored under normal conditions.</w:t>
      </w:r>
    </w:p>
    <w:p w14:paraId="4ED8A42E" w14:textId="749120EB" w:rsidR="006D36C8" w:rsidRDefault="008C0089" w:rsidP="00EA7005">
      <w:pPr>
        <w:pStyle w:val="APVMAText"/>
        <w:sectPr w:rsidR="006D36C8">
          <w:headerReference w:type="default" r:id="rId33"/>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r w:rsidR="00A73602">
        <w:t>1,4</w:t>
      </w:r>
      <w:r w:rsidR="004F6764">
        <w:t>SIGHT</w:t>
      </w:r>
      <w:r w:rsidR="00A73602">
        <w:t xml:space="preserve"> Potato Dormancy Enhancer</w:t>
      </w:r>
      <w:r>
        <w:t>,</w:t>
      </w:r>
      <w:r>
        <w:rPr>
          <w:szCs w:val="20"/>
        </w:rPr>
        <w:t xml:space="preserve"> and approval of the active constituent </w:t>
      </w:r>
      <w:r w:rsidR="00A73602">
        <w:rPr>
          <w:szCs w:val="20"/>
        </w:rPr>
        <w:t>1,4-dimethylnaphthalene</w:t>
      </w:r>
      <w:r>
        <w:rPr>
          <w:szCs w:val="20"/>
        </w:rPr>
        <w:t>, are supported from a chemistry perspective.</w:t>
      </w:r>
    </w:p>
    <w:p w14:paraId="681F480F" w14:textId="3886A71C" w:rsidR="002E20AC" w:rsidRDefault="00CA5B2B" w:rsidP="00692A9B">
      <w:pPr>
        <w:pStyle w:val="Heading1"/>
      </w:pPr>
      <w:bookmarkStart w:id="54" w:name="_Toc7561227"/>
      <w:bookmarkStart w:id="55" w:name="_Toc229751395"/>
      <w:r>
        <w:lastRenderedPageBreak/>
        <w:t>T</w:t>
      </w:r>
      <w:r w:rsidR="008C0089">
        <w:t>oxicological assessment</w:t>
      </w:r>
      <w:bookmarkEnd w:id="54"/>
      <w:bookmarkEnd w:id="55"/>
    </w:p>
    <w:p w14:paraId="131C4F01" w14:textId="0DF7530F" w:rsidR="002E20AC" w:rsidRDefault="007B4AF6" w:rsidP="00692A9B">
      <w:pPr>
        <w:pStyle w:val="APVMAText"/>
      </w:pPr>
      <w:r w:rsidRPr="007B4AF6">
        <w:t>A full package of toxicological data for</w:t>
      </w:r>
      <w:r w:rsidR="00FE6D67">
        <w:t xml:space="preserve"> </w:t>
      </w:r>
      <w:r w:rsidR="00FE6D67" w:rsidRPr="00FE6D67">
        <w:t>1,4-dimethylnaphthalene (hereafter referred to as 1,4-DMN)</w:t>
      </w:r>
      <w:r w:rsidR="00FE6D67">
        <w:t xml:space="preserve"> </w:t>
      </w:r>
      <w:r w:rsidRPr="007B4AF6">
        <w:t xml:space="preserve">was submitted by the applicant, which was sufficient to assess the toxicity of </w:t>
      </w:r>
      <w:r w:rsidRPr="006A2191">
        <w:t>1,4-DMN</w:t>
      </w:r>
      <w:r w:rsidR="001C56CC">
        <w:t>.</w:t>
      </w:r>
    </w:p>
    <w:p w14:paraId="400F8DE3" w14:textId="77777777" w:rsidR="008C0089" w:rsidRDefault="008C0089" w:rsidP="00692A9B">
      <w:pPr>
        <w:pStyle w:val="Heading2"/>
        <w:ind w:left="907" w:hanging="907"/>
      </w:pPr>
      <w:bookmarkStart w:id="56" w:name="_Toc531181076"/>
      <w:bookmarkStart w:id="57" w:name="_Toc7561228"/>
      <w:bookmarkStart w:id="58" w:name="_Toc229751396"/>
      <w:r>
        <w:t>Evaluation of toxicology</w:t>
      </w:r>
      <w:bookmarkEnd w:id="56"/>
      <w:bookmarkEnd w:id="57"/>
      <w:bookmarkEnd w:id="58"/>
    </w:p>
    <w:p w14:paraId="6C47A726" w14:textId="77777777" w:rsidR="008C0089" w:rsidRDefault="008C0089" w:rsidP="00692A9B">
      <w:pPr>
        <w:pStyle w:val="Heading3"/>
      </w:pPr>
      <w:bookmarkStart w:id="59" w:name="_Toc7561229"/>
      <w:r>
        <w:t>Chemical class</w:t>
      </w:r>
      <w:bookmarkEnd w:id="59"/>
    </w:p>
    <w:p w14:paraId="13E456A4" w14:textId="0558B377" w:rsidR="008C0089" w:rsidRPr="00C876F1" w:rsidRDefault="00FE6D67" w:rsidP="00692A9B">
      <w:pPr>
        <w:pStyle w:val="APVMAText"/>
      </w:pPr>
      <w:r w:rsidRPr="00FE6D67">
        <w:t>1,4-DMN (CAS No. 571-58-4) belongs to the chemical family of alkylated naphthalenes and acts as a plant growth regulator preventing sprouting of potato tubers. Besides being synthetically produced, it also occurs naturally in different plant species (for example potato, rhubarb, and poppy). 1,4-DMN acts by enhancing dormancy, a natural event triggered by biochemical substances found within the potato</w:t>
      </w:r>
      <w:r>
        <w:t>.</w:t>
      </w:r>
    </w:p>
    <w:p w14:paraId="39DC928B" w14:textId="77777777" w:rsidR="008C0089" w:rsidRDefault="008C0089" w:rsidP="00692A9B">
      <w:pPr>
        <w:pStyle w:val="Heading3"/>
      </w:pPr>
      <w:bookmarkStart w:id="60" w:name="_Toc7561230"/>
      <w:r>
        <w:t>Pharmacokinetics</w:t>
      </w:r>
      <w:bookmarkEnd w:id="60"/>
    </w:p>
    <w:p w14:paraId="5DEEA47A" w14:textId="5D560120" w:rsidR="008C0089" w:rsidRPr="00C876F1" w:rsidRDefault="00FE6D67" w:rsidP="00692A9B">
      <w:pPr>
        <w:pStyle w:val="APVMAText"/>
      </w:pPr>
      <w:r w:rsidRPr="00FE6D67">
        <w:t>1,4-DMN excretion was rapid and almost completed within 48 hours with urine being the primary route</w:t>
      </w:r>
      <w:r w:rsidR="00BE4EC5">
        <w:t xml:space="preserve"> and fa</w:t>
      </w:r>
      <w:r w:rsidR="001C56CC">
        <w:t>e</w:t>
      </w:r>
      <w:r w:rsidR="00BE4EC5">
        <w:t>ces being a secondary route</w:t>
      </w:r>
      <w:r w:rsidRPr="00FE6D67">
        <w:t xml:space="preserve"> of excretion. The parent molecule (1,4-DMN) was detected in urine only in trace amounts. 1,4-DMN metabolism was complex, and a diverse range of metabolites were generated by rats primarily via oxidation, hydroxylation, conjugation, and epoxidation of 1,4-DMN. The major metabolites identified in rat metabolism study are 1-hydroxymethyl-4- methylnaphthalene and 4-methyl-1-naphthoic acid.</w:t>
      </w:r>
      <w:r w:rsidR="00BE4EC5" w:rsidRPr="00BE4EC5">
        <w:t xml:space="preserve"> In an </w:t>
      </w:r>
      <w:r w:rsidR="00BE4EC5" w:rsidRPr="00BE4EC5">
        <w:rPr>
          <w:i/>
          <w:iCs/>
        </w:rPr>
        <w:t>in vitro</w:t>
      </w:r>
      <w:r w:rsidR="00BE4EC5" w:rsidRPr="00BE4EC5">
        <w:t xml:space="preserve"> study, the mean total percutaneous absorption of 1,4-DMN through human skin was 2.5 %.</w:t>
      </w:r>
    </w:p>
    <w:p w14:paraId="2728CF30" w14:textId="77777777" w:rsidR="008C0089" w:rsidRDefault="008C0089" w:rsidP="00692A9B">
      <w:pPr>
        <w:pStyle w:val="Heading3"/>
      </w:pPr>
      <w:bookmarkStart w:id="61" w:name="_Toc7561231"/>
      <w:r>
        <w:t>Acute toxicity (active constituent)</w:t>
      </w:r>
      <w:bookmarkEnd w:id="61"/>
    </w:p>
    <w:p w14:paraId="63A1295F" w14:textId="1579C272" w:rsidR="008C0089" w:rsidRPr="001C56CC" w:rsidRDefault="00BE4EC5" w:rsidP="00692A9B">
      <w:pPr>
        <w:pStyle w:val="APVMAText"/>
      </w:pPr>
      <w:r w:rsidRPr="001C56CC">
        <w:t>The acute toxicity of 1,4-DMN in rats is low (oral LD</w:t>
      </w:r>
      <w:r w:rsidRPr="001C56CC">
        <w:rPr>
          <w:vertAlign w:val="subscript"/>
        </w:rPr>
        <w:t>50</w:t>
      </w:r>
      <w:r w:rsidRPr="001C56CC">
        <w:t>&gt;2000 mg/kg bw; dermal LD</w:t>
      </w:r>
      <w:r w:rsidRPr="001C56CC">
        <w:rPr>
          <w:vertAlign w:val="subscript"/>
        </w:rPr>
        <w:t>50</w:t>
      </w:r>
      <w:r w:rsidRPr="001C56CC">
        <w:t>&gt;2000 mg/kg bw and inhalation LC</w:t>
      </w:r>
      <w:r w:rsidRPr="001C56CC">
        <w:rPr>
          <w:vertAlign w:val="subscript"/>
        </w:rPr>
        <w:t>50</w:t>
      </w:r>
      <w:r w:rsidRPr="001C56CC">
        <w:t xml:space="preserve">&gt;4.16 mg/L. 1,4-DMN was moderate eye irritant and </w:t>
      </w:r>
      <w:r w:rsidR="00D42472" w:rsidRPr="001C56CC">
        <w:t>moderate skin irritant</w:t>
      </w:r>
      <w:r w:rsidRPr="001C56CC">
        <w:t xml:space="preserve"> in rabbits. 1,4-DMN was not a skin sensitiser in guinea pigs (Buehler method)</w:t>
      </w:r>
      <w:r w:rsidR="00D42472" w:rsidRPr="001C56CC">
        <w:t xml:space="preserve"> and mouse local lymph node assay (LLNA)</w:t>
      </w:r>
      <w:r w:rsidRPr="001C56CC">
        <w:t>.</w:t>
      </w:r>
    </w:p>
    <w:p w14:paraId="38BCFF8C" w14:textId="77777777" w:rsidR="008C0089" w:rsidRPr="002C36C4" w:rsidRDefault="008C0089" w:rsidP="00692A9B">
      <w:pPr>
        <w:pStyle w:val="Heading3"/>
      </w:pPr>
      <w:bookmarkStart w:id="62" w:name="_Toc7561232"/>
      <w:r>
        <w:t>Acute toxicity (product)</w:t>
      </w:r>
      <w:bookmarkEnd w:id="62"/>
    </w:p>
    <w:p w14:paraId="45A47620" w14:textId="2EDE8EAA" w:rsidR="008C0089" w:rsidRPr="00C876F1" w:rsidRDefault="00BE4EC5" w:rsidP="00692A9B">
      <w:pPr>
        <w:pStyle w:val="APVMAText"/>
      </w:pPr>
      <w:r>
        <w:t>1</w:t>
      </w:r>
      <w:r w:rsidRPr="00BE4EC5">
        <w:t>,4</w:t>
      </w:r>
      <w:r w:rsidR="00A61B9C">
        <w:t>SIGHT</w:t>
      </w:r>
      <w:r w:rsidRPr="00BE4EC5">
        <w:t xml:space="preserve"> Potato Dormancy Enhancer</w:t>
      </w:r>
      <w:r>
        <w:t xml:space="preserve"> was of</w:t>
      </w:r>
      <w:r w:rsidRPr="00D07CDD">
        <w:t xml:space="preserve"> low acute toxicity by</w:t>
      </w:r>
      <w:r>
        <w:t xml:space="preserve"> </w:t>
      </w:r>
      <w:r w:rsidRPr="00D07CDD">
        <w:t>oral</w:t>
      </w:r>
      <w:r w:rsidR="009C3DE6">
        <w:t xml:space="preserve">, </w:t>
      </w:r>
      <w:r w:rsidRPr="00D07CDD">
        <w:t xml:space="preserve">dermal </w:t>
      </w:r>
      <w:r w:rsidR="009C3DE6">
        <w:t xml:space="preserve">and inhalation </w:t>
      </w:r>
      <w:r w:rsidRPr="00D07CDD">
        <w:t>route in rats</w:t>
      </w:r>
      <w:r>
        <w:t xml:space="preserve">. </w:t>
      </w:r>
      <w:r w:rsidRPr="00BE4EC5">
        <w:t>1,4</w:t>
      </w:r>
      <w:r w:rsidR="00A61B9C">
        <w:t>SIGHT</w:t>
      </w:r>
      <w:r w:rsidRPr="00BE4EC5">
        <w:t xml:space="preserve"> Potato Dormancy Enhancer</w:t>
      </w:r>
      <w:r>
        <w:t xml:space="preserve"> </w:t>
      </w:r>
      <w:r w:rsidRPr="00BE4EC5">
        <w:t>was moderate</w:t>
      </w:r>
      <w:r w:rsidRPr="001C56CC">
        <w:t xml:space="preserve"> eye irritant and </w:t>
      </w:r>
      <w:r w:rsidR="00D42472" w:rsidRPr="001C56CC">
        <w:t xml:space="preserve">moderate skin irritant </w:t>
      </w:r>
      <w:r w:rsidRPr="001C56CC">
        <w:t>in rabbits. It was not a skin sensitiser in guinea pigs</w:t>
      </w:r>
      <w:r w:rsidR="00D42472" w:rsidRPr="001C56CC">
        <w:t xml:space="preserve"> and mouse LLNA</w:t>
      </w:r>
      <w:r>
        <w:t>.</w:t>
      </w:r>
    </w:p>
    <w:p w14:paraId="5154826A" w14:textId="77777777" w:rsidR="008C0089" w:rsidRDefault="008C0089" w:rsidP="00692A9B">
      <w:pPr>
        <w:pStyle w:val="Heading3"/>
      </w:pPr>
      <w:bookmarkStart w:id="63" w:name="_Toc7561233"/>
      <w:r>
        <w:t>Repeat-dose toxicity</w:t>
      </w:r>
      <w:bookmarkEnd w:id="63"/>
    </w:p>
    <w:p w14:paraId="321BFFB7" w14:textId="44BE4D1F" w:rsidR="008C0089" w:rsidRPr="00C876F1" w:rsidRDefault="00BE4EC5" w:rsidP="00692A9B">
      <w:pPr>
        <w:pStyle w:val="APVMAText"/>
      </w:pPr>
      <w:r>
        <w:t xml:space="preserve">There were no short-term repeat dose toxicity studies submitted by the applicant. </w:t>
      </w:r>
      <w:r w:rsidRPr="00BE4EC5">
        <w:t xml:space="preserve">In repeat dose (sub-chronic and long-term) toxicity studies in rats, kidney was identified as the target organ on histopathological examination with the key effects being chronic progressive nephropathy (CPN), basophilic tubules, mononuclear cell infiltration, karyomegaly of the cortical tubules, proteinosis in the tubules of the papilla, and papillary necrosis. CPN is a kidney alteration that has been repeatedly shown to occur spontaneously in aging rats and is not considered relevant for humans when assessing human health risk associated with exposure to 1,4-DMN. The other effects tending to set NOAELs in repeat dose studies were reduction in </w:t>
      </w:r>
      <w:r w:rsidRPr="00BE4EC5">
        <w:lastRenderedPageBreak/>
        <w:t>food consumption and lower body weights or weight gains – a largely non-specific indicator of toxicity or general malaise.</w:t>
      </w:r>
    </w:p>
    <w:p w14:paraId="772DD5D6" w14:textId="77777777" w:rsidR="008C0089" w:rsidRPr="00C876F1" w:rsidRDefault="008C0089" w:rsidP="00692A9B">
      <w:pPr>
        <w:pStyle w:val="Heading3"/>
      </w:pPr>
      <w:bookmarkStart w:id="64" w:name="_Toc7561234"/>
      <w:r w:rsidRPr="00C876F1">
        <w:t>Chronic toxicity and carcinogenicity</w:t>
      </w:r>
      <w:bookmarkEnd w:id="64"/>
    </w:p>
    <w:p w14:paraId="76A7698A" w14:textId="54A8D5C5" w:rsidR="00E74C7A" w:rsidRPr="00E97DEA" w:rsidRDefault="00E74C7A" w:rsidP="00692A9B">
      <w:pPr>
        <w:pStyle w:val="APVMAText"/>
      </w:pPr>
      <w:r w:rsidRPr="00E97DEA">
        <w:t>There was no evidence of carcinogenicity</w:t>
      </w:r>
      <w:r w:rsidRPr="00E74C7A">
        <w:t xml:space="preserve"> </w:t>
      </w:r>
      <w:r>
        <w:t>in</w:t>
      </w:r>
      <w:r w:rsidRPr="00E97DEA">
        <w:t xml:space="preserve"> rats, based on the absence of any neoplasia, at dietary concentrations of up to </w:t>
      </w:r>
      <w:r w:rsidRPr="00E74C7A">
        <w:t>3750 ppm</w:t>
      </w:r>
      <w:r w:rsidRPr="00E97DEA">
        <w:t xml:space="preserve"> (</w:t>
      </w:r>
      <w:r w:rsidRPr="00E74C7A">
        <w:t>equal to 208 mg/kg bw/d), the highest dose tested</w:t>
      </w:r>
      <w:r w:rsidRPr="00E97DEA">
        <w:t xml:space="preserve">. </w:t>
      </w:r>
      <w:r w:rsidR="001C56CC">
        <w:t>I</w:t>
      </w:r>
      <w:r w:rsidRPr="00E97DEA">
        <w:t xml:space="preserve">t can be concluded that </w:t>
      </w:r>
      <w:r w:rsidRPr="00E74C7A">
        <w:t>1,4-DMN</w:t>
      </w:r>
      <w:r w:rsidRPr="00E97DEA">
        <w:t xml:space="preserve"> is not carcinogenic</w:t>
      </w:r>
      <w:r>
        <w:t xml:space="preserve"> in rats</w:t>
      </w:r>
      <w:r w:rsidRPr="00E97DEA">
        <w:t>.</w:t>
      </w:r>
    </w:p>
    <w:p w14:paraId="7CCCBCD5" w14:textId="77777777" w:rsidR="008C0089" w:rsidRDefault="008C0089" w:rsidP="00692A9B">
      <w:pPr>
        <w:pStyle w:val="Heading3"/>
      </w:pPr>
      <w:bookmarkStart w:id="65" w:name="_Toc7561235"/>
      <w:r>
        <w:t>Reproductive and developmental toxicity</w:t>
      </w:r>
      <w:bookmarkEnd w:id="65"/>
    </w:p>
    <w:p w14:paraId="5F40F635" w14:textId="4181DDE9" w:rsidR="005C44F8" w:rsidRDefault="005C44F8" w:rsidP="00692A9B">
      <w:pPr>
        <w:pStyle w:val="APVMAText"/>
      </w:pPr>
      <w:r w:rsidRPr="00E74C7A">
        <w:t>1,4-DMN</w:t>
      </w:r>
      <w:r w:rsidR="00E74C7A" w:rsidRPr="00E74C7A">
        <w:t xml:space="preserve"> was not a </w:t>
      </w:r>
      <w:r w:rsidRPr="00E74C7A">
        <w:t xml:space="preserve">reproductive </w:t>
      </w:r>
      <w:r>
        <w:t xml:space="preserve">or </w:t>
      </w:r>
      <w:r w:rsidRPr="00E74C7A">
        <w:t>developmental toxicant</w:t>
      </w:r>
      <w:r w:rsidR="00E74C7A" w:rsidRPr="00E74C7A">
        <w:t xml:space="preserve"> in a</w:t>
      </w:r>
      <w:r>
        <w:t>n</w:t>
      </w:r>
      <w:r w:rsidRPr="005C44F8">
        <w:t xml:space="preserve"> extended one-generation reproductive toxicity study in rats</w:t>
      </w:r>
      <w:r>
        <w:t xml:space="preserve"> and </w:t>
      </w:r>
      <w:r w:rsidRPr="005C44F8">
        <w:t>oral developmental toxicity in rabbits</w:t>
      </w:r>
      <w:r>
        <w:t>.</w:t>
      </w:r>
    </w:p>
    <w:p w14:paraId="0A21E0A4" w14:textId="77777777" w:rsidR="008C0089" w:rsidRDefault="008C0089" w:rsidP="00692A9B">
      <w:pPr>
        <w:pStyle w:val="Heading3"/>
      </w:pPr>
      <w:bookmarkStart w:id="66" w:name="_Toc7561236"/>
      <w:r>
        <w:t>Genotoxicity</w:t>
      </w:r>
      <w:bookmarkEnd w:id="66"/>
    </w:p>
    <w:p w14:paraId="50B39A64" w14:textId="39C93416" w:rsidR="008C0089" w:rsidRDefault="00E74C7A" w:rsidP="00692A9B">
      <w:pPr>
        <w:pStyle w:val="APVMAText"/>
      </w:pPr>
      <w:r w:rsidRPr="00E74C7A">
        <w:t xml:space="preserve">Based on </w:t>
      </w:r>
      <w:r>
        <w:t xml:space="preserve">the negative results in </w:t>
      </w:r>
      <w:r w:rsidRPr="00E74C7A">
        <w:t xml:space="preserve">an adequate array of genotoxicity studies both </w:t>
      </w:r>
      <w:r w:rsidRPr="00E74C7A">
        <w:rPr>
          <w:i/>
          <w:iCs/>
        </w:rPr>
        <w:t>in vitro</w:t>
      </w:r>
      <w:r w:rsidRPr="00E74C7A">
        <w:t xml:space="preserve"> and in </w:t>
      </w:r>
      <w:r w:rsidR="005C44F8" w:rsidRPr="00E74C7A">
        <w:rPr>
          <w:i/>
          <w:iCs/>
        </w:rPr>
        <w:t>vivo</w:t>
      </w:r>
      <w:r w:rsidR="005C44F8">
        <w:rPr>
          <w:i/>
          <w:iCs/>
        </w:rPr>
        <w:t>,</w:t>
      </w:r>
      <w:r w:rsidRPr="00E74C7A">
        <w:t xml:space="preserve"> it can be concluded that 1,4-DMN is unlikely to have any genotoxic potential</w:t>
      </w:r>
      <w:r>
        <w:t>.</w:t>
      </w:r>
    </w:p>
    <w:p w14:paraId="1536CB9E" w14:textId="77777777" w:rsidR="008C0089" w:rsidRDefault="008C0089" w:rsidP="00692A9B">
      <w:pPr>
        <w:pStyle w:val="Heading3"/>
      </w:pPr>
      <w:bookmarkStart w:id="67" w:name="_Toc7561237"/>
      <w:r>
        <w:t>Neurotoxicity/immunotoxicity</w:t>
      </w:r>
      <w:bookmarkEnd w:id="67"/>
    </w:p>
    <w:p w14:paraId="722E2557" w14:textId="49B846B4" w:rsidR="008C0089" w:rsidRPr="008D75F3" w:rsidRDefault="005C44F8" w:rsidP="00692A9B">
      <w:pPr>
        <w:pStyle w:val="APVMAText"/>
      </w:pPr>
      <w:r w:rsidRPr="005C44F8">
        <w:t>The applicant did not submit any acute or repeated dose neurotoxicity</w:t>
      </w:r>
      <w:r>
        <w:t>/immunotoxicity</w:t>
      </w:r>
      <w:r w:rsidRPr="005C44F8">
        <w:t xml:space="preserve"> study</w:t>
      </w:r>
      <w:r>
        <w:t>. However, there was no</w:t>
      </w:r>
      <w:r w:rsidRPr="005C44F8">
        <w:t xml:space="preserve"> evidence of neurotoxicity or immunotoxicity observed in repeat dose toxicity stud</w:t>
      </w:r>
      <w:r>
        <w:t>y</w:t>
      </w:r>
      <w:r w:rsidRPr="005C44F8">
        <w:t xml:space="preserve"> in rats</w:t>
      </w:r>
      <w:r>
        <w:t>.</w:t>
      </w:r>
    </w:p>
    <w:p w14:paraId="6F5B7C9A" w14:textId="77777777" w:rsidR="008C0089" w:rsidRPr="00162654" w:rsidRDefault="008C0089" w:rsidP="00692A9B">
      <w:pPr>
        <w:pStyle w:val="Heading3"/>
      </w:pPr>
      <w:bookmarkStart w:id="68" w:name="_Toc7561238"/>
      <w:r>
        <w:t>Mode of action (toxicology)</w:t>
      </w:r>
      <w:bookmarkEnd w:id="68"/>
    </w:p>
    <w:p w14:paraId="23C825D8" w14:textId="21DFCA02" w:rsidR="008C0089" w:rsidRPr="008D75F3" w:rsidRDefault="005C44F8" w:rsidP="00692A9B">
      <w:pPr>
        <w:pStyle w:val="APVMAText"/>
      </w:pPr>
      <w:r w:rsidRPr="005C44F8">
        <w:t xml:space="preserve">No mode of action or investigative studies on </w:t>
      </w:r>
      <w:r w:rsidRPr="00E74C7A">
        <w:t>1,4-DMN</w:t>
      </w:r>
      <w:r w:rsidRPr="005C44F8">
        <w:t xml:space="preserve"> were provided by the applicant.</w:t>
      </w:r>
    </w:p>
    <w:p w14:paraId="506099B9" w14:textId="77777777" w:rsidR="008C0089" w:rsidRDefault="008C0089" w:rsidP="00692A9B">
      <w:pPr>
        <w:pStyle w:val="Heading3"/>
      </w:pPr>
      <w:bookmarkStart w:id="69" w:name="_Toc7561239"/>
      <w:r>
        <w:t>Toxicity of metabolites and/or impurities</w:t>
      </w:r>
      <w:bookmarkEnd w:id="69"/>
    </w:p>
    <w:p w14:paraId="24F62846" w14:textId="4105978E" w:rsidR="008C0089" w:rsidRDefault="005C44F8" w:rsidP="00692A9B">
      <w:pPr>
        <w:pStyle w:val="APVMAText"/>
      </w:pPr>
      <w:r w:rsidRPr="005C44F8">
        <w:t>The applicant did not submit any toxicological studies on any metabolites</w:t>
      </w:r>
      <w:r>
        <w:t xml:space="preserve"> and/or impurities. </w:t>
      </w:r>
      <w:r w:rsidR="0009598D" w:rsidRPr="0009598D">
        <w:t>The major metabolites identified in rat metabolism study are 1-hydroxymethyl-4- methylnaphthalene and 4-methyl-1-naphthoic acid. It is concluded that these metabolites contribute substantially to the toxicological profile of 1,4-DMN. Overall, it is considered that the toxicity profile of metabolites is not greater than the parent compound, 1,4-DMN.</w:t>
      </w:r>
    </w:p>
    <w:p w14:paraId="1273C5A5" w14:textId="77777777" w:rsidR="008C0089" w:rsidRDefault="008C0089" w:rsidP="00692A9B">
      <w:pPr>
        <w:pStyle w:val="Heading3"/>
      </w:pPr>
      <w:bookmarkStart w:id="70" w:name="_Toc7561240"/>
      <w:r>
        <w:t>Reports related to human toxicity</w:t>
      </w:r>
      <w:bookmarkEnd w:id="70"/>
    </w:p>
    <w:p w14:paraId="7E7217F7" w14:textId="5B073248" w:rsidR="008C0089" w:rsidRPr="0024667B" w:rsidRDefault="0024667B" w:rsidP="00692A9B">
      <w:pPr>
        <w:pStyle w:val="APVMAText"/>
      </w:pPr>
      <w:r w:rsidRPr="0024667B">
        <w:t>No specific data have been provided. The APVMA concluded that the existing database on 1,4-DMN was adequate to characterize the potential hazards to the general population, including foetuses, infants, and children. In addition, search of the scientific literature was conducted by the APVMA using the United States National Library of Medicine (https://www.ncbi.nlm.nih.gov/pubmed) on the potential of 1,4-DMN for adverse effects (skin sensitisation and allergy) arising from occupational exposure. No relevant literature or studies were found.</w:t>
      </w:r>
    </w:p>
    <w:p w14:paraId="7A0E5471" w14:textId="77777777" w:rsidR="008C0089" w:rsidRDefault="008C0089" w:rsidP="00692A9B">
      <w:pPr>
        <w:pStyle w:val="Heading3"/>
      </w:pPr>
      <w:bookmarkStart w:id="71" w:name="_Toc7561241"/>
      <w:r>
        <w:lastRenderedPageBreak/>
        <w:t>Microbiological properties</w:t>
      </w:r>
      <w:bookmarkEnd w:id="71"/>
    </w:p>
    <w:p w14:paraId="12CA5AAE" w14:textId="4A979701" w:rsidR="008C0089" w:rsidRPr="008221D8" w:rsidRDefault="00C92C44" w:rsidP="00692A9B">
      <w:pPr>
        <w:pStyle w:val="APVMAText"/>
      </w:pPr>
      <w:r w:rsidRPr="00C92C44">
        <w:t>Not applicable</w:t>
      </w:r>
      <w:r w:rsidR="00CE67B6">
        <w:t>.</w:t>
      </w:r>
    </w:p>
    <w:p w14:paraId="780580C7" w14:textId="77777777" w:rsidR="008C0089" w:rsidRDefault="008C0089" w:rsidP="00692A9B">
      <w:pPr>
        <w:pStyle w:val="Heading3"/>
      </w:pPr>
      <w:bookmarkStart w:id="72" w:name="_Toc7561242"/>
      <w:r>
        <w:t>Infectivity/pathogenicity</w:t>
      </w:r>
      <w:bookmarkEnd w:id="72"/>
    </w:p>
    <w:p w14:paraId="062A3BA5" w14:textId="3488ED30" w:rsidR="008C0089" w:rsidRDefault="00C92C44" w:rsidP="00692A9B">
      <w:pPr>
        <w:pStyle w:val="APVMAText"/>
      </w:pPr>
      <w:r w:rsidRPr="00C92C44">
        <w:t>Not applicable</w:t>
      </w:r>
      <w:r w:rsidR="00CE67B6">
        <w:t>.</w:t>
      </w:r>
    </w:p>
    <w:p w14:paraId="1D3EEB68" w14:textId="77777777" w:rsidR="008C0089" w:rsidRPr="00D061A9" w:rsidRDefault="008C0089" w:rsidP="00692A9B">
      <w:pPr>
        <w:pStyle w:val="Heading3"/>
      </w:pPr>
      <w:bookmarkStart w:id="73" w:name="_Toc7561243"/>
      <w:r>
        <w:t>Sensitisation potential</w:t>
      </w:r>
      <w:bookmarkEnd w:id="73"/>
    </w:p>
    <w:p w14:paraId="11D9ACAE" w14:textId="585684CF" w:rsidR="008C0089" w:rsidRDefault="00C92C44" w:rsidP="00692A9B">
      <w:pPr>
        <w:pStyle w:val="APVMAText"/>
      </w:pPr>
      <w:r w:rsidRPr="00C92C44">
        <w:t xml:space="preserve">Neither </w:t>
      </w:r>
      <w:r w:rsidRPr="00BE4EC5">
        <w:t>1,4-DMN</w:t>
      </w:r>
      <w:r w:rsidRPr="00C92C44">
        <w:t xml:space="preserve"> nor the product demonstrated skin sensitisation potential in animal stud</w:t>
      </w:r>
      <w:r w:rsidR="00264A74">
        <w:t>y</w:t>
      </w:r>
      <w:r w:rsidRPr="00C92C44">
        <w:t>.</w:t>
      </w:r>
    </w:p>
    <w:p w14:paraId="66C25604" w14:textId="77777777" w:rsidR="008C0089" w:rsidRDefault="008C0089" w:rsidP="00692A9B">
      <w:pPr>
        <w:pStyle w:val="Heading2"/>
        <w:ind w:left="907" w:hanging="907"/>
      </w:pPr>
      <w:bookmarkStart w:id="74" w:name="_Toc531181077"/>
      <w:bookmarkStart w:id="75" w:name="_Toc7561244"/>
      <w:bookmarkStart w:id="76" w:name="_Toc229751397"/>
      <w:r>
        <w:t>Health-based guidance values and poisons scheduling</w:t>
      </w:r>
      <w:bookmarkEnd w:id="74"/>
      <w:bookmarkEnd w:id="75"/>
      <w:bookmarkEnd w:id="76"/>
    </w:p>
    <w:p w14:paraId="486ACA3E" w14:textId="265CEE4E" w:rsidR="008C0089" w:rsidRDefault="00CA5B2B" w:rsidP="00692A9B">
      <w:pPr>
        <w:pStyle w:val="Heading3"/>
      </w:pPr>
      <w:bookmarkStart w:id="77" w:name="_Toc7561245"/>
      <w:r>
        <w:t>Poisons S</w:t>
      </w:r>
      <w:r w:rsidR="008C0089">
        <w:t>tandard</w:t>
      </w:r>
      <w:bookmarkEnd w:id="77"/>
    </w:p>
    <w:p w14:paraId="43DD90DA" w14:textId="43DA5D7F" w:rsidR="008C0089" w:rsidRDefault="00B64B06" w:rsidP="00692A9B">
      <w:pPr>
        <w:pStyle w:val="APVMAText"/>
      </w:pPr>
      <w:r w:rsidRPr="00B64B06">
        <w:t>1,4-dimethylnaphthalene</w:t>
      </w:r>
      <w:r w:rsidR="00925FD3">
        <w:t xml:space="preserve"> (</w:t>
      </w:r>
      <w:r w:rsidR="00925FD3" w:rsidRPr="00925FD3">
        <w:t>1,4-DMN</w:t>
      </w:r>
      <w:r w:rsidR="00925FD3">
        <w:t>)</w:t>
      </w:r>
      <w:r>
        <w:t xml:space="preserve"> </w:t>
      </w:r>
      <w:r w:rsidRPr="00B64B06">
        <w:t>is included in Schedule 5 of the Standard for the Uniform Scheduling of Medicines and Poisons (SUSMP)</w:t>
      </w:r>
      <w:r>
        <w:t xml:space="preserve"> </w:t>
      </w:r>
      <w:r w:rsidR="00D42472" w:rsidRPr="00D42472">
        <w:t>with no concentration cut-off or exceptions to other schedules</w:t>
      </w:r>
      <w:r>
        <w:t>.</w:t>
      </w:r>
    </w:p>
    <w:p w14:paraId="260ADD5A" w14:textId="77777777" w:rsidR="008C0089" w:rsidRDefault="008C0089" w:rsidP="00692A9B">
      <w:pPr>
        <w:pStyle w:val="Heading3"/>
      </w:pPr>
      <w:bookmarkStart w:id="78" w:name="_Toc7561246"/>
      <w:r>
        <w:t>Health-based guidance values</w:t>
      </w:r>
      <w:bookmarkEnd w:id="78"/>
    </w:p>
    <w:p w14:paraId="09DA9D97" w14:textId="505FB7DC" w:rsidR="008C0089" w:rsidRDefault="008C0089" w:rsidP="00692A9B">
      <w:pPr>
        <w:pStyle w:val="Heading4"/>
      </w:pPr>
      <w:r>
        <w:t xml:space="preserve">Acceptable </w:t>
      </w:r>
      <w:r w:rsidR="007F6D92">
        <w:t xml:space="preserve">daily </w:t>
      </w:r>
      <w:r w:rsidR="007F6D92" w:rsidRPr="00424637">
        <w:t>intake</w:t>
      </w:r>
    </w:p>
    <w:p w14:paraId="22DC5FCE" w14:textId="0D69233C" w:rsidR="008C0089" w:rsidRDefault="00925FD3" w:rsidP="00692A9B">
      <w:pPr>
        <w:pStyle w:val="APVMAText"/>
      </w:pPr>
      <w:r w:rsidRPr="00893888">
        <w:t xml:space="preserve">An Acceptable Daily Intake (ADI) for </w:t>
      </w:r>
      <w:r w:rsidRPr="00925FD3">
        <w:t xml:space="preserve">1,4-DMN </w:t>
      </w:r>
      <w:r w:rsidRPr="00893888">
        <w:t xml:space="preserve">was established at </w:t>
      </w:r>
      <w:r w:rsidRPr="00925FD3">
        <w:t>0.1 mg/kg bw/d, based on a No Observed Adverse Effect Level (NOAEL) of 11 mg/kg bw/d in a combined chronic toxicity/carcinogenicity study in rats based on histopathological changes in the kidney of female rats at the next higher dose. A safety factor of 100 was applied to the NOAEL value to establish the ADI.</w:t>
      </w:r>
    </w:p>
    <w:p w14:paraId="7B543348" w14:textId="4D0D0055" w:rsidR="008C0089" w:rsidRDefault="008C0089" w:rsidP="00692A9B">
      <w:pPr>
        <w:pStyle w:val="Heading4"/>
      </w:pPr>
      <w:r>
        <w:t xml:space="preserve">Acute </w:t>
      </w:r>
      <w:r w:rsidR="007F6D92">
        <w:t>reference dose</w:t>
      </w:r>
    </w:p>
    <w:p w14:paraId="68403C00" w14:textId="505F6919" w:rsidR="008C0089" w:rsidRDefault="00925FD3" w:rsidP="00692A9B">
      <w:pPr>
        <w:pStyle w:val="APVMAText"/>
      </w:pPr>
      <w:r w:rsidRPr="00925FD3">
        <w:t>An acute reference dose (ARfD) for 1,4-DMN is considered to be unnecessary due to its low acute oral toxicity, the lack of evidence for any neurological effects in repeat dose toxicity study, or developmental toxicity that might be attributable to a single dose or exposure.</w:t>
      </w:r>
    </w:p>
    <w:p w14:paraId="4184E3F8" w14:textId="77777777" w:rsidR="008C0089" w:rsidRDefault="008C0089" w:rsidP="00692A9B">
      <w:pPr>
        <w:pStyle w:val="Heading2"/>
        <w:ind w:left="907" w:hanging="907"/>
      </w:pPr>
      <w:bookmarkStart w:id="79" w:name="_Toc531181078"/>
      <w:bookmarkStart w:id="80" w:name="_Toc7561247"/>
      <w:bookmarkStart w:id="81" w:name="_Toc229751398"/>
      <w:r>
        <w:t>Recommendations</w:t>
      </w:r>
      <w:bookmarkEnd w:id="79"/>
      <w:bookmarkEnd w:id="80"/>
      <w:bookmarkEnd w:id="81"/>
    </w:p>
    <w:p w14:paraId="1C940CAA" w14:textId="3AC48966" w:rsidR="00275A1A" w:rsidRDefault="00275A1A" w:rsidP="00692A9B">
      <w:pPr>
        <w:pStyle w:val="APVMAText"/>
      </w:pPr>
      <w:r>
        <w:t>There are no objections on human health grounds to the approval of a new active constituent 1,4-DMN.</w:t>
      </w:r>
    </w:p>
    <w:p w14:paraId="67AB3702" w14:textId="2B13DF68" w:rsidR="00275A1A" w:rsidRPr="00275A1A" w:rsidRDefault="00275A1A" w:rsidP="00692A9B">
      <w:pPr>
        <w:pStyle w:val="APVMAText"/>
        <w:sectPr w:rsidR="00275A1A" w:rsidRPr="00275A1A">
          <w:headerReference w:type="default" r:id="rId34"/>
          <w:pgSz w:w="11906" w:h="16838" w:code="9"/>
          <w:pgMar w:top="2835" w:right="1134" w:bottom="1134" w:left="1134" w:header="1701" w:footer="680" w:gutter="0"/>
          <w:cols w:space="708"/>
          <w:docGrid w:linePitch="360"/>
        </w:sectPr>
      </w:pPr>
      <w:r>
        <w:t>There are no objections on human health grounds to the registration of the product 1,4</w:t>
      </w:r>
      <w:r w:rsidR="00D14AA0">
        <w:t>SIGHT</w:t>
      </w:r>
      <w:r>
        <w:t xml:space="preserve"> Potato Dormancy Enhancer, containing 980 g/L 1,4-DMN </w:t>
      </w:r>
      <w:r w:rsidRPr="00275A1A">
        <w:t>when the product is used as directed on the label safety directions and appropriate PPE are worn.</w:t>
      </w:r>
    </w:p>
    <w:p w14:paraId="2E6A3C65" w14:textId="77777777" w:rsidR="00302D38" w:rsidRDefault="00302D38" w:rsidP="00692A9B">
      <w:pPr>
        <w:pStyle w:val="Heading1"/>
        <w:tabs>
          <w:tab w:val="num" w:pos="907"/>
        </w:tabs>
        <w:ind w:left="907" w:hanging="907"/>
        <w:rPr>
          <w:lang w:val="en-GB"/>
        </w:rPr>
      </w:pPr>
      <w:bookmarkStart w:id="82" w:name="_Toc231963188"/>
      <w:bookmarkStart w:id="83" w:name="_Toc531181079"/>
      <w:bookmarkStart w:id="84" w:name="_Toc7561248"/>
      <w:bookmarkStart w:id="85" w:name="_Toc229751399"/>
      <w:r>
        <w:rPr>
          <w:lang w:val="en-GB"/>
        </w:rPr>
        <w:lastRenderedPageBreak/>
        <w:t>Residues assessment</w:t>
      </w:r>
      <w:bookmarkEnd w:id="82"/>
      <w:bookmarkEnd w:id="83"/>
      <w:bookmarkEnd w:id="84"/>
      <w:bookmarkEnd w:id="85"/>
    </w:p>
    <w:p w14:paraId="3C0A81E0" w14:textId="7C30C6B4" w:rsidR="00302D38" w:rsidRPr="00732E88" w:rsidRDefault="00732E88" w:rsidP="00692A9B">
      <w:pPr>
        <w:pStyle w:val="APVMAText"/>
      </w:pPr>
      <w:r w:rsidRPr="00732E88">
        <w:t>Metabolism, analytical methodology, residue trial data, fate in storage and trade aspects have been considered for 1,4-</w:t>
      </w:r>
      <w:r w:rsidR="00B07BA6">
        <w:t>d</w:t>
      </w:r>
      <w:r w:rsidRPr="00732E88">
        <w:t>imethylnaphthalene.</w:t>
      </w:r>
    </w:p>
    <w:p w14:paraId="7A255074" w14:textId="77777777" w:rsidR="00302D38" w:rsidRDefault="00302D38" w:rsidP="00692A9B">
      <w:pPr>
        <w:pStyle w:val="Heading2"/>
        <w:ind w:left="907" w:hanging="907"/>
        <w:rPr>
          <w:lang w:val="en-GB"/>
        </w:rPr>
      </w:pPr>
      <w:bookmarkStart w:id="86" w:name="_Toc531181080"/>
      <w:bookmarkStart w:id="87" w:name="_Toc7561249"/>
      <w:bookmarkStart w:id="88" w:name="_Toc229751400"/>
      <w:r>
        <w:rPr>
          <w:lang w:val="en-GB"/>
        </w:rPr>
        <w:t>Metabolism</w:t>
      </w:r>
      <w:bookmarkEnd w:id="86"/>
      <w:bookmarkEnd w:id="87"/>
      <w:bookmarkEnd w:id="88"/>
    </w:p>
    <w:p w14:paraId="6811BCB8" w14:textId="52E1A758" w:rsidR="00B07BA6" w:rsidRDefault="00B07BA6" w:rsidP="00692A9B">
      <w:pPr>
        <w:pStyle w:val="APVMAText"/>
      </w:pPr>
      <w:r w:rsidRPr="00B07BA6">
        <w:t xml:space="preserve">Metabolism, distribution, and expression of residues of 1,4-dimethylnaphthalene in </w:t>
      </w:r>
      <w:r>
        <w:t xml:space="preserve">plants (potato) and </w:t>
      </w:r>
      <w:r w:rsidRPr="00B07BA6">
        <w:t xml:space="preserve">livestock (hen, goat) was investigated using </w:t>
      </w:r>
      <w:r w:rsidRPr="00B07BA6">
        <w:rPr>
          <w:vertAlign w:val="superscript"/>
        </w:rPr>
        <w:t>14</w:t>
      </w:r>
      <w:r w:rsidRPr="00B07BA6">
        <w:t>C-radiolabelled 1,4-DMN (parent). In addition to the parent, two major metabolites were</w:t>
      </w:r>
      <w:r w:rsidR="002E6760">
        <w:t xml:space="preserve"> </w:t>
      </w:r>
      <w:r w:rsidR="00ED6C1D">
        <w:t>found</w:t>
      </w:r>
      <w:r w:rsidR="00ED6C1D" w:rsidRPr="00B07BA6">
        <w:t xml:space="preserve"> </w:t>
      </w:r>
      <w:r w:rsidR="002E6760">
        <w:t>in livestock</w:t>
      </w:r>
      <w:r w:rsidRPr="00B07BA6">
        <w:t>, characterized as 1-hydroxymethyl-4-methylnaphthalene (M21) and 4-methyl-1-naphthoic acid (M23).</w:t>
      </w:r>
    </w:p>
    <w:p w14:paraId="4DCBDC43" w14:textId="3A067B1E" w:rsidR="003327EA" w:rsidRPr="003327EA" w:rsidRDefault="003327EA" w:rsidP="00692A9B">
      <w:pPr>
        <w:pStyle w:val="Heading3"/>
        <w:numPr>
          <w:ilvl w:val="0"/>
          <w:numId w:val="0"/>
        </w:numPr>
        <w:tabs>
          <w:tab w:val="num" w:pos="907"/>
        </w:tabs>
      </w:pPr>
      <w:r w:rsidRPr="003327EA">
        <w:t>Animal metabolism</w:t>
      </w:r>
    </w:p>
    <w:p w14:paraId="072E5173" w14:textId="6D9D7CDB" w:rsidR="00B07BA6" w:rsidRPr="00692A9B" w:rsidRDefault="00B07BA6" w:rsidP="00692A9B">
      <w:pPr>
        <w:pStyle w:val="Heading4"/>
      </w:pPr>
      <w:r w:rsidRPr="00692A9B">
        <w:t>Lactating goat</w:t>
      </w:r>
    </w:p>
    <w:p w14:paraId="3F4095BB" w14:textId="7643DF59" w:rsidR="00B07BA6" w:rsidRPr="003327EA" w:rsidRDefault="00B07BA6" w:rsidP="00692A9B">
      <w:pPr>
        <w:pStyle w:val="APVMAText"/>
      </w:pPr>
      <w:r w:rsidRPr="003327EA">
        <w:t xml:space="preserve">One lactating goat was orally administered </w:t>
      </w:r>
      <w:r w:rsidRPr="003327EA">
        <w:rPr>
          <w:vertAlign w:val="superscript"/>
          <w:lang w:val="en-US"/>
        </w:rPr>
        <w:t>14</w:t>
      </w:r>
      <w:r w:rsidRPr="003327EA">
        <w:rPr>
          <w:lang w:val="en-US"/>
        </w:rPr>
        <w:t>C-labelled 1,4-DMN</w:t>
      </w:r>
      <w:r w:rsidRPr="003327EA">
        <w:t xml:space="preserve"> once daily for 7 consecutive days at 12.52 ppm (0.39 mg/kg bw day). Milk was collected twice a day, and excreta (urine and faeces), blood, and plasma samples were collected once a day throughout the study period. Tissue samples were collected after sacrifice, which occurred 16 hours after the last dose. Samples collected at sacrifice included blood, bile, liver, kidney, forequarter muscle, hindquarter muscle, tenderloin muscle, omental fat, subcutaneous fat, and renal fat.</w:t>
      </w:r>
    </w:p>
    <w:p w14:paraId="024D3CAB" w14:textId="24DC5DBB" w:rsidR="00B07BA6" w:rsidRPr="003327EA" w:rsidRDefault="00B07BA6" w:rsidP="00692A9B">
      <w:pPr>
        <w:pStyle w:val="APVMAText"/>
      </w:pPr>
      <w:r w:rsidRPr="003327EA">
        <w:t xml:space="preserve">The majority (91.94 %) of the administered </w:t>
      </w:r>
      <w:r w:rsidRPr="003327EA">
        <w:rPr>
          <w:vertAlign w:val="superscript"/>
        </w:rPr>
        <w:t>14</w:t>
      </w:r>
      <w:r w:rsidRPr="003327EA">
        <w:t>C1,4-DMN was recovered from excreta, milk, and tissues. Urine, faeces, and cage wash contained 75.78 %, 14.09 % and 1.50 % of the total administered dose, respectively. Liver and kidney contained 0.18 % and 0.02 % of the administered dose, respectively. The Total Radioactive Residues (TRR) in liver, kidney, muscle (average) and fat (average) were 0.241 mg/kg, 0.277 mg/kg, 0.017 mg/kg and 0.018 mg/kg, respectively.</w:t>
      </w:r>
    </w:p>
    <w:p w14:paraId="681D2211" w14:textId="77777777" w:rsidR="00B07BA6" w:rsidRPr="008803B7" w:rsidRDefault="00B07BA6" w:rsidP="00692A9B">
      <w:pPr>
        <w:pStyle w:val="NormalText"/>
        <w:rPr>
          <w:sz w:val="20"/>
          <w:szCs w:val="20"/>
        </w:rPr>
      </w:pPr>
      <w:r w:rsidRPr="008803B7">
        <w:rPr>
          <w:rStyle w:val="APVMATextChar"/>
          <w:sz w:val="20"/>
          <w:szCs w:val="20"/>
        </w:rPr>
        <w:t>It is postulated that biotransformation occurred by carboxylation of one of the methyl groups, which was subsequently conjugated with glycine. Although the study does not provide direct evidence that hydroxylation and dihydroxylation would have occurred, the hypothesis is based on retention time comparison of peaks detected in urine with hydroxylated reference standards which did not contain the methyl moiety</w:t>
      </w:r>
      <w:r w:rsidRPr="008803B7">
        <w:rPr>
          <w:sz w:val="20"/>
          <w:szCs w:val="20"/>
        </w:rPr>
        <w:t>.</w:t>
      </w:r>
    </w:p>
    <w:p w14:paraId="4A332246" w14:textId="5D2FDA55" w:rsidR="00372E19" w:rsidRDefault="002E6760" w:rsidP="00692A9B">
      <w:pPr>
        <w:pStyle w:val="APVMAText"/>
      </w:pPr>
      <w:r w:rsidRPr="002E6760">
        <w:t xml:space="preserve">Parent 1,4-DMN was only detected as a minor residue in muscle at 4.7% TRR (0.001 mg/kg). </w:t>
      </w:r>
      <w:r w:rsidR="00B07BA6" w:rsidRPr="003327EA">
        <w:t>The major metabolite was identified as conjugated M23, accounting for 17.7 and 16.6 % TRR in milk and in kidney (0.006 mg/kg and 0.05 mg/kg respectively). Although the study was performed using the 1,4-dimethylnaphthalene, whereas M21 is also present in potato tubers at levels similar to the parent, it is however concluded that this study is sufficient to address the metabolism in ruminants since M21 is the precursor of the metabolite M23, which was found as a major component in goat tissues</w:t>
      </w:r>
      <w:r w:rsidR="00B07BA6">
        <w:t>.</w:t>
      </w:r>
    </w:p>
    <w:p w14:paraId="716CF4B0" w14:textId="298B47CF" w:rsidR="00372E19" w:rsidRPr="00AF7046" w:rsidRDefault="00F02476" w:rsidP="008803B7">
      <w:pPr>
        <w:pStyle w:val="Figurecaption"/>
      </w:pPr>
      <w:bookmarkStart w:id="89" w:name="_Toc56686269"/>
      <w:bookmarkStart w:id="90" w:name="_Toc56686282"/>
      <w:bookmarkStart w:id="91" w:name="_Toc102553614"/>
      <w:bookmarkStart w:id="92" w:name="_Toc102555137"/>
      <w:r w:rsidRPr="00AF7046">
        <w:lastRenderedPageBreak/>
        <w:t xml:space="preserve">Figure </w:t>
      </w:r>
      <w:fldSimple w:instr=" SEQ Figure \* ARABIC ">
        <w:r w:rsidRPr="00AF7046">
          <w:t>1</w:t>
        </w:r>
      </w:fldSimple>
      <w:r w:rsidRPr="00AF7046">
        <w:t>:</w:t>
      </w:r>
      <w:bookmarkEnd w:id="89"/>
      <w:bookmarkEnd w:id="90"/>
      <w:bookmarkEnd w:id="91"/>
      <w:bookmarkEnd w:id="92"/>
      <w:r w:rsidR="00B07BA6">
        <w:t xml:space="preserve"> Proposed metabolic pathway of 1,4-dimethylnaphthalene in lactating goat</w:t>
      </w:r>
    </w:p>
    <w:p w14:paraId="11D00BDE" w14:textId="3483F0D5" w:rsidR="00F02476" w:rsidRDefault="00900979" w:rsidP="00372E19">
      <w:pPr>
        <w:pStyle w:val="APVMAText"/>
        <w:spacing w:line="600" w:lineRule="auto"/>
        <w:rPr>
          <w:lang w:val="en-GB"/>
        </w:rPr>
      </w:pPr>
      <w:r w:rsidRPr="00900979">
        <w:rPr>
          <w:rFonts w:ascii="Franklin Gothic Medium" w:hAnsi="Franklin Gothic Medium"/>
          <w:noProof/>
          <w:color w:val="00747A" w:themeColor="background2"/>
          <w:szCs w:val="20"/>
        </w:rPr>
        <w:drawing>
          <wp:inline distT="0" distB="0" distL="0" distR="0" wp14:anchorId="44BAEC27" wp14:editId="7C8A4048">
            <wp:extent cx="4132053" cy="5142983"/>
            <wp:effectExtent l="0" t="0" r="1905" b="635"/>
            <wp:docPr id="132368254" name="Picture 6" descr="A diagram of a chemica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8254" name="Picture 6" descr="A diagram of a chemical structure&#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33383" cy="5144638"/>
                    </a:xfrm>
                    <a:prstGeom prst="rect">
                      <a:avLst/>
                    </a:prstGeom>
                    <a:noFill/>
                    <a:ln>
                      <a:noFill/>
                    </a:ln>
                  </pic:spPr>
                </pic:pic>
              </a:graphicData>
            </a:graphic>
          </wp:inline>
        </w:drawing>
      </w:r>
    </w:p>
    <w:p w14:paraId="5B2EB7A6" w14:textId="45225680" w:rsidR="00372E19" w:rsidRDefault="00372E19" w:rsidP="00372E19">
      <w:pPr>
        <w:pStyle w:val="Heading4"/>
        <w:numPr>
          <w:ilvl w:val="0"/>
          <w:numId w:val="0"/>
        </w:numPr>
        <w:tabs>
          <w:tab w:val="num" w:pos="907"/>
        </w:tabs>
        <w:rPr>
          <w:lang w:val="en-GB"/>
        </w:rPr>
      </w:pPr>
      <w:r>
        <w:rPr>
          <w:lang w:val="en-GB"/>
        </w:rPr>
        <w:t xml:space="preserve">Laying </w:t>
      </w:r>
      <w:r w:rsidRPr="00372E19">
        <w:t>hen</w:t>
      </w:r>
    </w:p>
    <w:p w14:paraId="2CB75D64" w14:textId="6A3123FF" w:rsidR="0052004C" w:rsidRPr="003327EA" w:rsidRDefault="0052004C" w:rsidP="008803B7">
      <w:pPr>
        <w:pStyle w:val="APVMAText"/>
        <w:rPr>
          <w:szCs w:val="20"/>
        </w:rPr>
      </w:pPr>
      <w:r w:rsidRPr="008803B7">
        <w:rPr>
          <w:rStyle w:val="APVMATextChar"/>
        </w:rPr>
        <w:t>A metabolism study with laying hens was performed with 14C-labelled 1,4-DMN. The compound was administered orally once daily after the morning collection of eggs and excreta for 7 consecutive days to 10 laying hens at 10 ppm (0.82 mg/kg bw day). Eggs were collected twice daily, while excreta samples were collected once a day. Samples of breast muscle, thigh muscle, abdominal and subcutaneous fat and liver were collected after sacrifice, which occurred 6 hours after the last dose</w:t>
      </w:r>
      <w:r w:rsidRPr="003327EA">
        <w:rPr>
          <w:szCs w:val="20"/>
        </w:rPr>
        <w:t>.</w:t>
      </w:r>
    </w:p>
    <w:p w14:paraId="5FC0E2D8" w14:textId="3EDAC7D6" w:rsidR="00900979" w:rsidRPr="003327EA" w:rsidRDefault="00900979" w:rsidP="008803B7">
      <w:pPr>
        <w:pStyle w:val="APVMAText"/>
        <w:rPr>
          <w:szCs w:val="20"/>
        </w:rPr>
      </w:pPr>
      <w:r w:rsidRPr="003327EA">
        <w:rPr>
          <w:szCs w:val="20"/>
        </w:rPr>
        <w:t>The majority of the administered dose was eliminated in the excreta, accounting for 99.3 %AD. A plateau was reached in egg whites after day one with residues ranging from 0.015 – 0.021 mg/kg throughout the study. Residues in egg yolks were higher compared with egg whites (0.153-0.187 mg/kg vs. 0.015–0.021 mg/kg) at Day 5 and Day 6 of the study. Whole egg TRR values were calculated from the weighted averages of yolk and white values with a calculated highest TRR at ~ 0.07 mg/kg.</w:t>
      </w:r>
    </w:p>
    <w:p w14:paraId="05CB517D" w14:textId="59155E96" w:rsidR="00900979" w:rsidRPr="003327EA" w:rsidRDefault="00900979" w:rsidP="00D11D3C">
      <w:pPr>
        <w:pStyle w:val="APVMAText"/>
      </w:pPr>
      <w:r w:rsidRPr="003327EA">
        <w:lastRenderedPageBreak/>
        <w:t>In muscle tissue, residue levels accounted for 0.038 mg/kg (breast) and 0.092 mg/kg (thigh). Residues in the fat fractions were higher (0.495–0.520 mg/kg) and attributed to lipophilicity of 1,4-DMN, which was the only identified and predominant compound in fat. Residues in liver samples accounted for 0.178 mg/kg, with the liver containing 0.06% of the administered dose. In all tissue samples residues &gt; 0.01 mg/kg were determined.</w:t>
      </w:r>
    </w:p>
    <w:p w14:paraId="6401D3CB" w14:textId="28F33CF0" w:rsidR="00900979" w:rsidRPr="003327EA" w:rsidRDefault="00D66474" w:rsidP="00D11D3C">
      <w:pPr>
        <w:pStyle w:val="APVMAText"/>
      </w:pPr>
      <w:r>
        <w:t>P</w:t>
      </w:r>
      <w:r w:rsidRPr="00D66474">
        <w:t xml:space="preserve">arent 1,4-DMN was detected as a major residue in whole egg, egg yolk, fat (subcutaneous </w:t>
      </w:r>
      <w:r w:rsidR="00D11D3C">
        <w:t>and</w:t>
      </w:r>
      <w:r w:rsidRPr="00D66474">
        <w:t xml:space="preserve"> abdominal) and thigh muscle (29–94% TRR). In addition, 1,4-DMN was detected as a minor residue in poultry breast muscle and liver (up to 7.9% TRR)</w:t>
      </w:r>
      <w:r>
        <w:t xml:space="preserve">. </w:t>
      </w:r>
      <w:r w:rsidR="00900979" w:rsidRPr="003327EA">
        <w:t xml:space="preserve">The metabolic pathway of 1,4-DMN in poultry proceeds via oxidation of one methyl group to a carboxylic acid, resulting in 4-methyl-1-naphthoic acid (M23). </w:t>
      </w:r>
      <w:r w:rsidR="00B12726" w:rsidRPr="00B12726">
        <w:t>This compound constituted 53.9% of the TRR in liver (present at 0.110 mg/kg) and was also found in egg (0.017 mg/kg, 26.2% TRR) and muscle (0.018- 0.024 mg/kg). M23 was not detected in fat.</w:t>
      </w:r>
      <w:r w:rsidR="00B12726">
        <w:t xml:space="preserve"> </w:t>
      </w:r>
      <w:r w:rsidR="00900979" w:rsidRPr="003327EA">
        <w:t xml:space="preserve">An N-benzoyl ornithine conjugate of 4-methyl-1-naphthoic acid (orn-M23) was detected in egg </w:t>
      </w:r>
      <w:r w:rsidR="00B12726" w:rsidRPr="00B12726">
        <w:t xml:space="preserve">(0.008 mg/kg, 12.3% TRR) </w:t>
      </w:r>
      <w:r w:rsidR="00900979" w:rsidRPr="003327EA">
        <w:t>and liver samples</w:t>
      </w:r>
      <w:r w:rsidR="00B12726">
        <w:t xml:space="preserve"> </w:t>
      </w:r>
      <w:r w:rsidR="00B12726" w:rsidRPr="00B12726">
        <w:t>(0.013 mg/kg, 6.4% TRR)</w:t>
      </w:r>
      <w:r w:rsidR="00900979" w:rsidRPr="003327EA">
        <w:t>. orn-M23 was not detected in fat or muscle tissue. Small amounts of 1,4-naphthalenedicarboxylic acid (M14) were observed in muscle and liver samples, which is formed by the oxidation of both methyl groups to carboxylic acids.</w:t>
      </w:r>
    </w:p>
    <w:p w14:paraId="23C0A6D8" w14:textId="52BB3AC8" w:rsidR="00900979" w:rsidRDefault="00900979" w:rsidP="00900979">
      <w:pPr>
        <w:pStyle w:val="Figurecaption"/>
      </w:pPr>
      <w:r w:rsidRPr="00AF7046">
        <w:lastRenderedPageBreak/>
        <w:t xml:space="preserve">Figure </w:t>
      </w:r>
      <w:fldSimple w:instr=" SEQ Figure \* ARABIC ">
        <w:r>
          <w:rPr>
            <w:noProof/>
          </w:rPr>
          <w:t>2</w:t>
        </w:r>
      </w:fldSimple>
      <w:r w:rsidRPr="00AF7046">
        <w:t>:</w:t>
      </w:r>
      <w:r>
        <w:t xml:space="preserve"> Proposed metabolic pathway of 1,4-dimethylnaphthalene in laying hen</w:t>
      </w:r>
    </w:p>
    <w:p w14:paraId="47D72958" w14:textId="2CCDE8FB" w:rsidR="003F7737" w:rsidRPr="003F7737" w:rsidRDefault="003F7737" w:rsidP="003F7737">
      <w:pPr>
        <w:pStyle w:val="APVMAText"/>
        <w:spacing w:line="600" w:lineRule="auto"/>
      </w:pPr>
      <w:r w:rsidRPr="003F7737">
        <w:rPr>
          <w:noProof/>
        </w:rPr>
        <w:drawing>
          <wp:inline distT="0" distB="0" distL="0" distR="0" wp14:anchorId="5C230DD9" wp14:editId="24AEC788">
            <wp:extent cx="4023141" cy="5201728"/>
            <wp:effectExtent l="0" t="0" r="0" b="0"/>
            <wp:docPr id="608265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28567" cy="5208743"/>
                    </a:xfrm>
                    <a:prstGeom prst="rect">
                      <a:avLst/>
                    </a:prstGeom>
                    <a:noFill/>
                    <a:ln>
                      <a:noFill/>
                    </a:ln>
                  </pic:spPr>
                </pic:pic>
              </a:graphicData>
            </a:graphic>
          </wp:inline>
        </w:drawing>
      </w:r>
    </w:p>
    <w:p w14:paraId="0B3CEF84" w14:textId="77C113D2" w:rsidR="003327EA" w:rsidRPr="003327EA" w:rsidRDefault="003327EA" w:rsidP="00692A9B">
      <w:pPr>
        <w:pStyle w:val="Heading3"/>
        <w:numPr>
          <w:ilvl w:val="1"/>
          <w:numId w:val="0"/>
        </w:numPr>
        <w:tabs>
          <w:tab w:val="num" w:pos="907"/>
        </w:tabs>
      </w:pPr>
      <w:bookmarkStart w:id="93" w:name="_Toc531181081"/>
      <w:bookmarkStart w:id="94" w:name="_Toc7561250"/>
      <w:r w:rsidRPr="003327EA">
        <w:t>Plant metabolism</w:t>
      </w:r>
    </w:p>
    <w:p w14:paraId="2EB40807" w14:textId="3CE70D5B" w:rsidR="00606DB8" w:rsidRDefault="00606DB8" w:rsidP="00692A9B">
      <w:pPr>
        <w:pStyle w:val="APVMAText"/>
      </w:pPr>
      <w:r w:rsidRPr="00606DB8">
        <w:t xml:space="preserve">A metabolism study in post-harvest potato (Solanum tuberosum, variety Russet Burbank) was conducted with 1,4-DMN </w:t>
      </w:r>
      <w:r w:rsidR="006C27D1" w:rsidRPr="00606DB8">
        <w:t>labelled</w:t>
      </w:r>
      <w:r w:rsidRPr="00606DB8">
        <w:t xml:space="preserve"> with </w:t>
      </w:r>
      <w:r w:rsidRPr="006C27D1">
        <w:rPr>
          <w:vertAlign w:val="superscript"/>
        </w:rPr>
        <w:t>14</w:t>
      </w:r>
      <w:r w:rsidRPr="00606DB8">
        <w:t>C.</w:t>
      </w:r>
    </w:p>
    <w:p w14:paraId="53E58841" w14:textId="06F83AEC" w:rsidR="003327EA" w:rsidRPr="003327EA" w:rsidRDefault="003327EA" w:rsidP="00692A9B">
      <w:pPr>
        <w:pStyle w:val="APVMAText"/>
      </w:pPr>
      <w:r w:rsidRPr="003327EA">
        <w:t>In plant metabolism studies conducted on potatoes and from a processing study with potatoes using radiolabelled 1,4-DMN, the predominant residue was parent 1,4-DMN, accounting for 27–97 percent TRR in whole potatoes.</w:t>
      </w:r>
    </w:p>
    <w:p w14:paraId="27A91868" w14:textId="7BF9218F" w:rsidR="003327EA" w:rsidRPr="003327EA" w:rsidRDefault="003327EA" w:rsidP="00692A9B">
      <w:pPr>
        <w:pStyle w:val="APVMAText"/>
      </w:pPr>
      <w:r w:rsidRPr="003327EA">
        <w:t>Metabolite M21 was identified at major proportions in all potato matrices from 30 days after treatment (DAT) accounting for 41-65% TRR.</w:t>
      </w:r>
    </w:p>
    <w:p w14:paraId="1D1A0BC0" w14:textId="1F896323" w:rsidR="003327EA" w:rsidRPr="003327EA" w:rsidRDefault="003327EA" w:rsidP="00692A9B">
      <w:pPr>
        <w:pStyle w:val="APVMAText"/>
      </w:pPr>
      <w:r w:rsidRPr="003327EA">
        <w:lastRenderedPageBreak/>
        <w:t>Metabolite M23 was identified in metabolism studies with potatoes as a minor metabolite (&lt;10 percent TRR), at levels approximately 50 times lower than the parent. The metabolite was detected frequently in potatoes from supervised trials, but always about one order in magnitude lower, compared to parent.</w:t>
      </w:r>
    </w:p>
    <w:p w14:paraId="19B55B08" w14:textId="42F9FBC8" w:rsidR="00302D38" w:rsidRDefault="00302D38" w:rsidP="00692A9B">
      <w:pPr>
        <w:pStyle w:val="Heading2"/>
        <w:ind w:left="907" w:hanging="907"/>
        <w:rPr>
          <w:lang w:val="en-GB"/>
        </w:rPr>
      </w:pPr>
      <w:bookmarkStart w:id="95" w:name="_Toc229751401"/>
      <w:r>
        <w:rPr>
          <w:lang w:val="en-GB"/>
        </w:rPr>
        <w:t>Analytical methods and storage stability</w:t>
      </w:r>
      <w:bookmarkEnd w:id="93"/>
      <w:bookmarkEnd w:id="94"/>
      <w:bookmarkEnd w:id="95"/>
    </w:p>
    <w:p w14:paraId="5D7212FA" w14:textId="270A226A" w:rsidR="00302D38" w:rsidRDefault="00606DB8" w:rsidP="00692A9B">
      <w:pPr>
        <w:pStyle w:val="APVMAText"/>
      </w:pPr>
      <w:r w:rsidRPr="00606DB8">
        <w:t>A number of suitable analytical methods and validations for the analysis of 1,4-DMN and its metabolites in animal and plant matrices were submitted. The performance of the methods were verified by concurrent recoveries, which were generally within the boundaries of 70-110%.</w:t>
      </w:r>
    </w:p>
    <w:p w14:paraId="543845D2" w14:textId="77777777" w:rsidR="00547981" w:rsidRPr="00606DB8" w:rsidRDefault="00547981" w:rsidP="00692A9B">
      <w:pPr>
        <w:pStyle w:val="Heading3"/>
        <w:rPr>
          <w:lang w:val="en-GB"/>
        </w:rPr>
      </w:pPr>
      <w:r w:rsidRPr="00606DB8">
        <w:rPr>
          <w:lang w:val="en-GB"/>
        </w:rPr>
        <w:t>Animal commodities</w:t>
      </w:r>
    </w:p>
    <w:p w14:paraId="0DDB6501" w14:textId="01380134" w:rsidR="00547981" w:rsidRPr="00606DB8" w:rsidRDefault="00547981" w:rsidP="00692A9B">
      <w:pPr>
        <w:pStyle w:val="APVMAText"/>
        <w:rPr>
          <w:lang w:val="en-GB"/>
        </w:rPr>
      </w:pPr>
      <w:r w:rsidRPr="00606DB8">
        <w:rPr>
          <w:lang w:val="en-GB"/>
        </w:rPr>
        <w:t>In the dairy cattle feeding study: Samples were analysed using method 1 for animal matrices with an LOQ of 0.01 mg/kg for 1,4-DMN, M23 (except liver) and Gly-M23, 0.04 mg/kg for M23 in liver and 0.06 mg/kg for M21. Procedural recoveries for all matrices and analytes ranged mostly between 70-120% with a few samples outside of this range (low as 62% and high as 146%). However, recoveries for M23 in fat where with few exception recoveries &lt;70%.</w:t>
      </w:r>
    </w:p>
    <w:p w14:paraId="26C72C36" w14:textId="3E9CC74C" w:rsidR="00547981" w:rsidRDefault="00547981" w:rsidP="00692A9B">
      <w:pPr>
        <w:pStyle w:val="APVMAText"/>
      </w:pPr>
      <w:r w:rsidRPr="00606DB8">
        <w:rPr>
          <w:lang w:val="en-GB"/>
        </w:rPr>
        <w:t>In the laying hen feeding study: Samples were analysed using method 1 and 3 for animal matrices with an LOQ of 0.01 mg/kg for 1,4-DMN, M23 and Orn-M23, and 0.06 mg/kg for M21. Egg yolk samples were analy</w:t>
      </w:r>
      <w:r>
        <w:rPr>
          <w:lang w:val="en-GB"/>
        </w:rPr>
        <w:t>s</w:t>
      </w:r>
      <w:r w:rsidRPr="00606DB8">
        <w:rPr>
          <w:lang w:val="en-GB"/>
        </w:rPr>
        <w:t>ed for Orn-M23 using method 2 with an LOQ of 0.01 mg/kg. Procedural recoveries for all matrices and analytes ranged mostly between 70-120% with a few samples below this range (low as 63%).</w:t>
      </w:r>
    </w:p>
    <w:p w14:paraId="51B2900D" w14:textId="7638AFE6" w:rsidR="00606DB8" w:rsidRDefault="0016087F" w:rsidP="00692A9B">
      <w:pPr>
        <w:pStyle w:val="Heading3"/>
        <w:rPr>
          <w:lang w:val="en-GB"/>
        </w:rPr>
      </w:pPr>
      <w:r>
        <w:rPr>
          <w:lang w:val="en-GB"/>
        </w:rPr>
        <w:t>P</w:t>
      </w:r>
      <w:r w:rsidR="00606DB8">
        <w:rPr>
          <w:lang w:val="en-GB"/>
        </w:rPr>
        <w:t>lant commodities</w:t>
      </w:r>
    </w:p>
    <w:p w14:paraId="0B5F81FE" w14:textId="0E4D5000" w:rsidR="00606DB8" w:rsidRPr="00606DB8" w:rsidRDefault="00606DB8" w:rsidP="00692A9B">
      <w:pPr>
        <w:pStyle w:val="Heading4"/>
        <w:numPr>
          <w:ilvl w:val="0"/>
          <w:numId w:val="0"/>
        </w:numPr>
        <w:tabs>
          <w:tab w:val="num" w:pos="907"/>
        </w:tabs>
        <w:rPr>
          <w:lang w:val="en-GB"/>
        </w:rPr>
      </w:pPr>
      <w:r>
        <w:rPr>
          <w:lang w:val="en-GB"/>
        </w:rPr>
        <w:t>P</w:t>
      </w:r>
      <w:r w:rsidRPr="00606DB8">
        <w:rPr>
          <w:lang w:val="en-GB"/>
        </w:rPr>
        <w:t xml:space="preserve">otato – residue decline </w:t>
      </w:r>
      <w:r w:rsidRPr="00606DB8">
        <w:t>study</w:t>
      </w:r>
      <w:r w:rsidRPr="00606DB8">
        <w:rPr>
          <w:lang w:val="en-GB"/>
        </w:rPr>
        <w:t xml:space="preserve"> (2014)</w:t>
      </w:r>
    </w:p>
    <w:p w14:paraId="6A0A92A9" w14:textId="0A03D0B6" w:rsidR="00606DB8" w:rsidRPr="00606DB8" w:rsidRDefault="00606DB8" w:rsidP="00692A9B">
      <w:pPr>
        <w:pStyle w:val="APVMAText"/>
        <w:rPr>
          <w:lang w:val="en-GB"/>
        </w:rPr>
      </w:pPr>
      <w:r w:rsidRPr="00606DB8">
        <w:rPr>
          <w:lang w:val="en-GB"/>
        </w:rPr>
        <w:t>Residues of 1,4-DMN and metabolites M21 and M23 in peel and pulp were determined using the (unbuffered) QuEChERS method and HPLC-FD with a validated limit of quantification in peel and pulp of 0.05 mg/kg for all analytes, except 1,4-DMN in 0.94 mg/kg in peel. Procedural recoveries: 1,4-DMN: 94-108% at 0.074-47 mg/kg (n=18), M21: 93-137% at 0.096-4.8 mg/kg (n=18), M23: 99-113% at 0.095-4.7 mg/kg (n=16)</w:t>
      </w:r>
      <w:r w:rsidR="00D11D3C">
        <w:rPr>
          <w:lang w:val="en-GB"/>
        </w:rPr>
        <w:t>.</w:t>
      </w:r>
    </w:p>
    <w:p w14:paraId="32A94FBC" w14:textId="36365CF7" w:rsidR="00606DB8" w:rsidRPr="00606DB8" w:rsidRDefault="00606DB8" w:rsidP="00692A9B">
      <w:pPr>
        <w:pStyle w:val="Heading4"/>
        <w:numPr>
          <w:ilvl w:val="0"/>
          <w:numId w:val="0"/>
        </w:numPr>
        <w:tabs>
          <w:tab w:val="num" w:pos="907"/>
        </w:tabs>
        <w:rPr>
          <w:lang w:val="en-GB"/>
        </w:rPr>
      </w:pPr>
      <w:r w:rsidRPr="00606DB8">
        <w:rPr>
          <w:lang w:val="en-GB"/>
        </w:rPr>
        <w:t>Potato – residue decline study (2016)</w:t>
      </w:r>
    </w:p>
    <w:p w14:paraId="2464C02E" w14:textId="2AB90847" w:rsidR="00606DB8" w:rsidRPr="00606DB8" w:rsidRDefault="00606DB8" w:rsidP="00692A9B">
      <w:pPr>
        <w:pStyle w:val="APVMAText"/>
        <w:rPr>
          <w:lang w:val="en-GB"/>
        </w:rPr>
      </w:pPr>
      <w:r w:rsidRPr="00606DB8">
        <w:rPr>
          <w:lang w:val="en-GB"/>
        </w:rPr>
        <w:t>For plant matrices, a multi-residue modified method QuEChERS was used. The method was validated (method validation study – S15-06158). In potato and its processed commodities, residues of 1,4-DMN and M21 were analysed using GC-MSD, and residues of M23 were analysed using LC-MS/MS. The limit of quantification of the analytical method was 0.05 mg/kg for each analyte and each matrix with a limit of detection set at 0.015 mg/kg.</w:t>
      </w:r>
    </w:p>
    <w:p w14:paraId="482D793B" w14:textId="1E868C17" w:rsidR="00606DB8" w:rsidRPr="00606DB8" w:rsidRDefault="00606DB8" w:rsidP="00692A9B">
      <w:pPr>
        <w:pStyle w:val="APVMAText"/>
        <w:rPr>
          <w:lang w:val="en-GB"/>
        </w:rPr>
      </w:pPr>
      <w:r w:rsidRPr="00606DB8">
        <w:rPr>
          <w:lang w:val="en-GB"/>
        </w:rPr>
        <w:t>Procedural recoveries 1,4-DMN and its metabolites M21 and M23 in the RAC and all processed commodities fortified at 0.05–50 mg/kg ranged between 71-111%</w:t>
      </w:r>
      <w:r w:rsidR="00D11D3C">
        <w:rPr>
          <w:lang w:val="en-GB"/>
        </w:rPr>
        <w:t>.</w:t>
      </w:r>
    </w:p>
    <w:p w14:paraId="1390A214" w14:textId="6E3D14D2" w:rsidR="00606DB8" w:rsidRPr="00606DB8" w:rsidRDefault="00606DB8" w:rsidP="00692A9B">
      <w:pPr>
        <w:pStyle w:val="Heading4"/>
        <w:numPr>
          <w:ilvl w:val="0"/>
          <w:numId w:val="0"/>
        </w:numPr>
        <w:tabs>
          <w:tab w:val="num" w:pos="907"/>
        </w:tabs>
        <w:rPr>
          <w:lang w:val="en-GB"/>
        </w:rPr>
      </w:pPr>
      <w:r>
        <w:rPr>
          <w:lang w:val="en-GB"/>
        </w:rPr>
        <w:lastRenderedPageBreak/>
        <w:t>P</w:t>
      </w:r>
      <w:r w:rsidRPr="00606DB8">
        <w:rPr>
          <w:lang w:val="en-GB"/>
        </w:rPr>
        <w:t>rocessing study (2012</w:t>
      </w:r>
      <w:r>
        <w:rPr>
          <w:lang w:val="en-GB"/>
        </w:rPr>
        <w:t>)</w:t>
      </w:r>
    </w:p>
    <w:p w14:paraId="2EA6A458" w14:textId="41A97F54" w:rsidR="00606DB8" w:rsidRPr="00606DB8" w:rsidRDefault="00606DB8" w:rsidP="00692A9B">
      <w:pPr>
        <w:pStyle w:val="APVMAText"/>
        <w:rPr>
          <w:lang w:val="en-GB"/>
        </w:rPr>
      </w:pPr>
      <w:r w:rsidRPr="00606DB8">
        <w:rPr>
          <w:lang w:val="en-GB"/>
        </w:rPr>
        <w:t>Raw and processed samples were homogenized in a blender and residues of 1,4-DMN and metabolite M21 were determined using the QuEChERS method with GC-MS detection and a validated LOQ of 0.07 mg/kg for fried potatoes and 0.03 mg/kg for all other matrices.</w:t>
      </w:r>
    </w:p>
    <w:p w14:paraId="49FB9DF5" w14:textId="4843DA53" w:rsidR="00606DB8" w:rsidRPr="00606DB8" w:rsidRDefault="00606DB8" w:rsidP="00692A9B">
      <w:pPr>
        <w:pStyle w:val="APVMAText"/>
        <w:rPr>
          <w:lang w:val="en-GB"/>
        </w:rPr>
      </w:pPr>
      <w:r w:rsidRPr="00606DB8">
        <w:rPr>
          <w:lang w:val="en-GB"/>
        </w:rPr>
        <w:t>Procedural recoveries (n=32) for both analytes in the RAC and all processed commodities fortified at 0.03-10 mg/kg ranged between 78-110%.</w:t>
      </w:r>
    </w:p>
    <w:p w14:paraId="54E79F9D" w14:textId="54EB4D36" w:rsidR="00606DB8" w:rsidRPr="00606DB8" w:rsidRDefault="00606DB8" w:rsidP="00692A9B">
      <w:pPr>
        <w:pStyle w:val="Heading4"/>
        <w:numPr>
          <w:ilvl w:val="0"/>
          <w:numId w:val="0"/>
        </w:numPr>
        <w:tabs>
          <w:tab w:val="num" w:pos="907"/>
        </w:tabs>
        <w:rPr>
          <w:lang w:val="en-GB"/>
        </w:rPr>
      </w:pPr>
      <w:r w:rsidRPr="00606DB8">
        <w:rPr>
          <w:lang w:val="en-GB"/>
        </w:rPr>
        <w:t>Potato and processed commodities (2022)</w:t>
      </w:r>
    </w:p>
    <w:p w14:paraId="54E31B2E" w14:textId="6E1B8D26" w:rsidR="00606DB8" w:rsidRPr="00606DB8" w:rsidRDefault="00606DB8" w:rsidP="00692A9B">
      <w:pPr>
        <w:pStyle w:val="APVMAText"/>
        <w:rPr>
          <w:lang w:val="en-GB"/>
        </w:rPr>
      </w:pPr>
      <w:r w:rsidRPr="00606DB8">
        <w:rPr>
          <w:lang w:val="en-GB"/>
        </w:rPr>
        <w:t>Residues were determined using the QuEChERS method with GC-MS detection for 1,4-DMN and LC-MS/MS detection for metabolite M21 and M23. The validated LOQ for all analytes and matrices was equal to 0.05 mg/kg.</w:t>
      </w:r>
    </w:p>
    <w:p w14:paraId="2796A90D" w14:textId="3202D355" w:rsidR="00606DB8" w:rsidRPr="00606DB8" w:rsidRDefault="00606DB8" w:rsidP="00692A9B">
      <w:pPr>
        <w:pStyle w:val="APVMAText"/>
        <w:rPr>
          <w:lang w:val="en-GB"/>
        </w:rPr>
      </w:pPr>
      <w:r w:rsidRPr="00606DB8">
        <w:rPr>
          <w:lang w:val="en-GB"/>
        </w:rPr>
        <w:t>Procedural recoveries (n=182) for all analytes in processed commodities fortified at 0.05-25 mg/kg ranged between 63-128%.</w:t>
      </w:r>
    </w:p>
    <w:p w14:paraId="59E01C6E" w14:textId="3DA67BA0" w:rsidR="00606DB8" w:rsidRPr="00606DB8" w:rsidRDefault="00606DB8" w:rsidP="00692A9B">
      <w:pPr>
        <w:pStyle w:val="Heading4"/>
        <w:numPr>
          <w:ilvl w:val="0"/>
          <w:numId w:val="0"/>
        </w:numPr>
        <w:tabs>
          <w:tab w:val="num" w:pos="907"/>
        </w:tabs>
        <w:rPr>
          <w:lang w:val="en-GB"/>
        </w:rPr>
      </w:pPr>
      <w:r w:rsidRPr="00606DB8">
        <w:rPr>
          <w:lang w:val="en-GB"/>
        </w:rPr>
        <w:t>Potato processing study (2022)</w:t>
      </w:r>
    </w:p>
    <w:p w14:paraId="05AF9775" w14:textId="31722657" w:rsidR="00606DB8" w:rsidRPr="00606DB8" w:rsidRDefault="00606DB8" w:rsidP="00692A9B">
      <w:pPr>
        <w:pStyle w:val="APVMAText"/>
        <w:rPr>
          <w:lang w:val="en-GB"/>
        </w:rPr>
      </w:pPr>
      <w:r w:rsidRPr="00606DB8">
        <w:rPr>
          <w:lang w:val="en-GB"/>
        </w:rPr>
        <w:t>Residues were determined using the QuEChERS method with GC-MS detection for 1,4-DMN and LC-MS/MS detection for metabolite M21 and M23. The validated LOQ for all analytes and matrices was equal to 0.05 mg/kg.</w:t>
      </w:r>
    </w:p>
    <w:p w14:paraId="3C5221C5" w14:textId="0335B5DF" w:rsidR="00606DB8" w:rsidRPr="00606DB8" w:rsidRDefault="00606DB8" w:rsidP="00692A9B">
      <w:pPr>
        <w:pStyle w:val="APVMAText"/>
        <w:rPr>
          <w:lang w:val="en-GB"/>
        </w:rPr>
      </w:pPr>
      <w:r w:rsidRPr="00606DB8">
        <w:rPr>
          <w:lang w:val="en-GB"/>
        </w:rPr>
        <w:t>Procedural recoveries (n=64) for all analytes in potato (RAC), water starch and oil fortified at 0.05-60 mg/kg ranged between 66-114%.</w:t>
      </w:r>
    </w:p>
    <w:p w14:paraId="637B2EEF" w14:textId="77777777" w:rsidR="00ED160D" w:rsidRPr="00ED160D" w:rsidRDefault="00ED160D" w:rsidP="00692A9B">
      <w:pPr>
        <w:pStyle w:val="Heading3"/>
        <w:numPr>
          <w:ilvl w:val="0"/>
          <w:numId w:val="0"/>
        </w:numPr>
        <w:tabs>
          <w:tab w:val="num" w:pos="907"/>
        </w:tabs>
      </w:pPr>
      <w:r w:rsidRPr="00ED160D">
        <w:t>Stability of residues in stored analytical samples</w:t>
      </w:r>
    </w:p>
    <w:p w14:paraId="07C4774C" w14:textId="074670F0" w:rsidR="00ED160D" w:rsidRPr="00ED160D" w:rsidRDefault="00ED160D" w:rsidP="00692A9B">
      <w:pPr>
        <w:pStyle w:val="APVMAText"/>
        <w:rPr>
          <w:lang w:val="en-GB"/>
        </w:rPr>
      </w:pPr>
      <w:r w:rsidRPr="00ED160D">
        <w:rPr>
          <w:lang w:val="en-GB"/>
        </w:rPr>
        <w:t xml:space="preserve">In the residue trials submitted, all samples were maintained under freezer conditions, (i.e.–18 </w:t>
      </w:r>
      <w:r w:rsidR="00E96AF7">
        <w:rPr>
          <w:lang w:val="en-GB"/>
        </w:rPr>
        <w:t>°</w:t>
      </w:r>
      <w:r w:rsidRPr="00ED160D">
        <w:rPr>
          <w:lang w:val="en-GB"/>
        </w:rPr>
        <w:t>C) prior to analysis and tested within 7 months of collection.</w:t>
      </w:r>
    </w:p>
    <w:p w14:paraId="17214460" w14:textId="0CABA9E0" w:rsidR="00ED160D" w:rsidRPr="00ED160D" w:rsidRDefault="00ED160D" w:rsidP="00692A9B">
      <w:pPr>
        <w:pStyle w:val="APVMAText"/>
        <w:rPr>
          <w:lang w:val="en-GB"/>
        </w:rPr>
      </w:pPr>
      <w:r w:rsidRPr="00ED160D">
        <w:rPr>
          <w:lang w:val="en-GB"/>
        </w:rPr>
        <w:t xml:space="preserve">Residues of 1,4-DMN were demonstrated to be stable during frozen storage in potato tubers and processed commodity samples, including potato starch and frying oil, stored at ≤ –18 </w:t>
      </w:r>
      <w:r w:rsidR="009917F4">
        <w:rPr>
          <w:lang w:val="en-GB"/>
        </w:rPr>
        <w:t>°</w:t>
      </w:r>
      <w:r w:rsidRPr="00ED160D">
        <w:rPr>
          <w:lang w:val="en-GB"/>
        </w:rPr>
        <w:t>C, up to ~13 months (400 days) which is considered acceptable.</w:t>
      </w:r>
    </w:p>
    <w:p w14:paraId="7248DF54" w14:textId="77777777" w:rsidR="00ED160D" w:rsidRPr="00ED160D" w:rsidRDefault="00ED160D" w:rsidP="00692A9B">
      <w:pPr>
        <w:pStyle w:val="APVMAText"/>
        <w:rPr>
          <w:lang w:val="en-GB"/>
        </w:rPr>
      </w:pPr>
      <w:r w:rsidRPr="00ED160D">
        <w:rPr>
          <w:lang w:val="en-GB"/>
        </w:rPr>
        <w:t>For animal matrices, the Meeting received information on the storage stability of 1,4-DMN as well as its metabolites M21, M23 and Gly-M23 in ruminant matrices and of 1,4-DMN as well as its metabolites M21, M23 and Orn-M23 in poultry matrices stored at -20 °C.</w:t>
      </w:r>
    </w:p>
    <w:p w14:paraId="70AC8C27" w14:textId="77777777" w:rsidR="00ED160D" w:rsidRPr="00ED160D" w:rsidRDefault="00ED160D" w:rsidP="00692A9B">
      <w:pPr>
        <w:pStyle w:val="APVMAText"/>
        <w:rPr>
          <w:lang w:val="en-GB"/>
        </w:rPr>
      </w:pPr>
      <w:r w:rsidRPr="00ED160D">
        <w:rPr>
          <w:lang w:val="en-GB"/>
        </w:rPr>
        <w:t>Analytes in ruminant matrices were stable for at least 27–29 days (~1 month) in milk (whole milk, skim milk, and cream), egg white, egg yolk, liver, kidney and fat. In muscle, analytes were stable for at least 56 days (~2 months) and in whole eggs for at least 49 days (~1.5 months).</w:t>
      </w:r>
    </w:p>
    <w:p w14:paraId="7C334967" w14:textId="2689B113" w:rsidR="00ED160D" w:rsidRPr="00642A09" w:rsidRDefault="00ED160D" w:rsidP="00692A9B">
      <w:pPr>
        <w:pStyle w:val="APVMAText"/>
        <w:rPr>
          <w:lang w:val="en-GB"/>
        </w:rPr>
      </w:pPr>
      <w:r w:rsidRPr="00ED160D">
        <w:rPr>
          <w:lang w:val="en-GB"/>
        </w:rPr>
        <w:t>All samples from feeding studies were analysed within the tested storage stability time. This is acceptable for the purposes of the current application.</w:t>
      </w:r>
    </w:p>
    <w:p w14:paraId="7C4EEF30" w14:textId="77777777" w:rsidR="00302D38" w:rsidRDefault="00302D38" w:rsidP="00692A9B">
      <w:pPr>
        <w:pStyle w:val="Heading2"/>
        <w:ind w:left="907" w:hanging="907"/>
        <w:rPr>
          <w:lang w:val="en-GB"/>
        </w:rPr>
      </w:pPr>
      <w:bookmarkStart w:id="96" w:name="_Toc531181082"/>
      <w:bookmarkStart w:id="97" w:name="_Toc7561251"/>
      <w:bookmarkStart w:id="98" w:name="_Toc229751402"/>
      <w:r>
        <w:rPr>
          <w:lang w:val="en-GB"/>
        </w:rPr>
        <w:lastRenderedPageBreak/>
        <w:t>Residue definition</w:t>
      </w:r>
      <w:bookmarkEnd w:id="96"/>
      <w:bookmarkEnd w:id="97"/>
      <w:bookmarkEnd w:id="98"/>
    </w:p>
    <w:p w14:paraId="7B3AF3A1" w14:textId="021D61CB" w:rsidR="00302D38" w:rsidRDefault="00ED160D" w:rsidP="00692A9B">
      <w:pPr>
        <w:pStyle w:val="APVMAText"/>
      </w:pPr>
      <w:r w:rsidRPr="00ED160D">
        <w:t xml:space="preserve">Toxicological evaluation of 1,4-DMN by the APVMA’s Health Assessment Team (HAT) identified that the major metabolites identified in rat metabolism study were 1-hydroxymethyl-4- methylnaphthalene (M21) and 4-methyl-1-naphthoic acid (M23). The </w:t>
      </w:r>
      <w:r w:rsidR="00522F56">
        <w:t>APVMA health</w:t>
      </w:r>
      <w:r w:rsidRPr="00ED160D">
        <w:t xml:space="preserve"> evaluation concluded that these metabolites contribute substantially to the toxicological profile of 1,4-DMN. It was considered that the toxicity profile of metabolites is not greater than the parent compound, 1,4-DMN.</w:t>
      </w:r>
    </w:p>
    <w:p w14:paraId="49081D0C" w14:textId="047E2406" w:rsidR="00ED160D" w:rsidRDefault="00ED160D" w:rsidP="00692A9B">
      <w:pPr>
        <w:pStyle w:val="Heading3"/>
      </w:pPr>
      <w:r>
        <w:t xml:space="preserve">Animal </w:t>
      </w:r>
      <w:r w:rsidRPr="00843CD7">
        <w:rPr>
          <w:lang w:val="en-GB"/>
        </w:rPr>
        <w:t>commodities</w:t>
      </w:r>
    </w:p>
    <w:p w14:paraId="0561B1F3" w14:textId="0553E63B" w:rsidR="006C27D1" w:rsidRDefault="006C27D1" w:rsidP="00692A9B">
      <w:pPr>
        <w:pStyle w:val="APVMAText"/>
      </w:pPr>
      <w:r w:rsidRPr="006C27D1">
        <w:t xml:space="preserve">In animal metabolism studies performed with laying hens, parent 1,4-DMN was detected as a major residue in whole egg, egg yolk, fat (subcutaneous </w:t>
      </w:r>
      <w:r w:rsidR="004C4825">
        <w:t>and</w:t>
      </w:r>
      <w:r w:rsidRPr="006C27D1">
        <w:t xml:space="preserve"> abdominal) and thigh muscle (29–94% TRR). In the poultry metabolism, M23 was the major identified metabolite in egg matrices, muscle and liver, accounting for 13–71 percent TRR, while in the ruminant metabolism M23 was not detected except in kidney at 1.3 percent TRR.</w:t>
      </w:r>
    </w:p>
    <w:p w14:paraId="0C7E937C" w14:textId="7EB41FF3" w:rsidR="006C27D1" w:rsidRDefault="006C27D1" w:rsidP="00692A9B">
      <w:pPr>
        <w:pStyle w:val="APVMAText"/>
      </w:pPr>
      <w:r w:rsidRPr="006C27D1">
        <w:t>In the ruminant metabolism, Gly-M23 was the major identified metabolite in milk and kidney, accounting for 17–18 percent TRR, while in the poultry metabolism Gly-M23 was not detected. In a ruminant feeding study, residues of Gly-M23 were detected above LOQ at the relevant feeding levels in whole milk (up to 0.027 mg/kg), in liver (up to 0. 019 mg/kg), in kidney (up to 0.1 mg/kg) and in fat (up to 0.013 mg/kg).</w:t>
      </w:r>
    </w:p>
    <w:p w14:paraId="032DB58E" w14:textId="3FD44272" w:rsidR="006C27D1" w:rsidRPr="006C27D1" w:rsidRDefault="006C27D1" w:rsidP="00692A9B">
      <w:pPr>
        <w:pStyle w:val="APVMAText"/>
      </w:pPr>
      <w:r w:rsidRPr="006C27D1">
        <w:t>In muscle and fat tissues of all animals investigated, residue concentrations of the sum of 1,4-DMN and metabolite M23 were ~5–26 times higher in fat compared to muscle. Similarly, levels in egg yolk compared to egg white were ~2–7 times higher.</w:t>
      </w:r>
    </w:p>
    <w:p w14:paraId="59CA1831" w14:textId="6D990F21" w:rsidR="006C27D1" w:rsidRDefault="006C27D1" w:rsidP="00692A9B">
      <w:pPr>
        <w:pStyle w:val="APVMAText"/>
      </w:pPr>
      <w:r w:rsidRPr="006C27D1">
        <w:t>Metabolite Orn-M23 occurred only in a poultry metabolism study (egg yolk at 16% TRR, whole egg 12% TRR and liver 6.4% TRR), at similar or lower proportions as 1,4-DMN and M23. Therefore, Orn-M23 is covered by the toxicological reference value of the parent and does not significantly contribute to the dietary exposure.</w:t>
      </w:r>
    </w:p>
    <w:p w14:paraId="796870DB" w14:textId="23E65276" w:rsidR="00843CD7" w:rsidRPr="007E3305" w:rsidRDefault="00843CD7" w:rsidP="00692A9B">
      <w:pPr>
        <w:pStyle w:val="APVMAText"/>
      </w:pPr>
      <w:r w:rsidRPr="007E3305">
        <w:t>It is concluded that for dietary exposure purposes for animal commodities, based on the results of the animal metabolism and feeding studies, parent 1,4-DMN as well as metabolites M23 and Gly-M23 be included in the residue definition for animal matrices.</w:t>
      </w:r>
    </w:p>
    <w:p w14:paraId="36BE7480" w14:textId="77777777" w:rsidR="00843CD7" w:rsidRPr="007E3305" w:rsidRDefault="00843CD7" w:rsidP="00692A9B">
      <w:pPr>
        <w:pStyle w:val="APVMAText"/>
      </w:pPr>
      <w:r w:rsidRPr="007E3305">
        <w:t>Definition of the residue for compliance with the MRL for animal commodities, except milk:</w:t>
      </w:r>
    </w:p>
    <w:p w14:paraId="43881E8D" w14:textId="55F63AE1" w:rsidR="00843CD7" w:rsidRPr="007E3305" w:rsidRDefault="00843CD7" w:rsidP="00692A9B">
      <w:pPr>
        <w:pStyle w:val="APVMAText"/>
      </w:pPr>
      <w:r w:rsidRPr="007E3305">
        <w:t>sum of 1,4-dimethylnaphthalene and metabolite 4-methyl-1-naphthoic acid (M23), expressed as 1,4-dimethylnaphthalene.</w:t>
      </w:r>
    </w:p>
    <w:p w14:paraId="5808EF12" w14:textId="623DA48D" w:rsidR="00843CD7" w:rsidRPr="007E3305" w:rsidRDefault="00843CD7" w:rsidP="00692A9B">
      <w:pPr>
        <w:pStyle w:val="APVMAText"/>
      </w:pPr>
      <w:r w:rsidRPr="007E3305">
        <w:t>Definition of the residue for compliance with the MRL for milk:</w:t>
      </w:r>
    </w:p>
    <w:p w14:paraId="69C87C4C" w14:textId="77777777" w:rsidR="00843CD7" w:rsidRPr="007E3305" w:rsidRDefault="00843CD7" w:rsidP="00692A9B">
      <w:pPr>
        <w:pStyle w:val="APVMAText"/>
      </w:pPr>
      <w:r w:rsidRPr="007E3305">
        <w:t>glycine conjugate of 4-methyl-1-naphthoic acid (Gly-M23)</w:t>
      </w:r>
    </w:p>
    <w:p w14:paraId="4B556BFD" w14:textId="71DE94C1" w:rsidR="00843CD7" w:rsidRPr="007E3305" w:rsidRDefault="00843CD7" w:rsidP="00692A9B">
      <w:pPr>
        <w:pStyle w:val="APVMAText"/>
      </w:pPr>
      <w:r w:rsidRPr="007E3305">
        <w:t>Definition of the residue for dietary risk assessment for animal commodities:</w:t>
      </w:r>
    </w:p>
    <w:p w14:paraId="3DB53C2D" w14:textId="19EBCE8D" w:rsidR="00843CD7" w:rsidRPr="007E3305" w:rsidRDefault="00843CD7" w:rsidP="00692A9B">
      <w:pPr>
        <w:pStyle w:val="APVMAText"/>
      </w:pPr>
      <w:r w:rsidRPr="007E3305">
        <w:t>sum of 1,4-dimethylnaphthalene, metabolite 4-methyl-1-naphthoic acid (M23), and its glycine conjugate 4-methyl-1-naphthoic acid (Gly-M23) expressed as 1,4-dimethylnaphthalene.</w:t>
      </w:r>
    </w:p>
    <w:p w14:paraId="605FBFD4" w14:textId="6AA985C7" w:rsidR="00843CD7" w:rsidRPr="00843CD7" w:rsidRDefault="00843CD7" w:rsidP="00692A9B">
      <w:pPr>
        <w:pStyle w:val="Heading3"/>
      </w:pPr>
      <w:r>
        <w:lastRenderedPageBreak/>
        <w:t xml:space="preserve">Plant </w:t>
      </w:r>
      <w:r w:rsidRPr="00843CD7">
        <w:rPr>
          <w:lang w:val="en-GB"/>
        </w:rPr>
        <w:t>commodities</w:t>
      </w:r>
    </w:p>
    <w:p w14:paraId="479ECA3F" w14:textId="313C7FAE" w:rsidR="00843CD7" w:rsidRPr="007E3305" w:rsidRDefault="00843CD7" w:rsidP="00692A9B">
      <w:pPr>
        <w:pStyle w:val="APVMAText"/>
      </w:pPr>
      <w:r w:rsidRPr="007E3305">
        <w:t>In plant metabolism studies conducted on potatoes and from a processing study with potatoes using radiolabelled 1,4-DMN, the predominant residue was parent 1,4-DMN, accounting for 27–97 percent TRR in whole potatoes.</w:t>
      </w:r>
    </w:p>
    <w:p w14:paraId="31C19BCB" w14:textId="78FB07CE" w:rsidR="00843CD7" w:rsidRPr="007E3305" w:rsidRDefault="00843CD7" w:rsidP="00692A9B">
      <w:pPr>
        <w:pStyle w:val="APVMAText"/>
      </w:pPr>
      <w:r w:rsidRPr="007E3305">
        <w:t>Metabolite M21 was identified at major proportions in all potato matrices from 30 days after treatment (DAT) accounting for 41-65% TRR.</w:t>
      </w:r>
    </w:p>
    <w:p w14:paraId="6B828A78" w14:textId="5167629F" w:rsidR="00843CD7" w:rsidRPr="007E3305" w:rsidRDefault="00843CD7" w:rsidP="00692A9B">
      <w:pPr>
        <w:pStyle w:val="APVMAText"/>
      </w:pPr>
      <w:r w:rsidRPr="007E3305">
        <w:t>Metabolite M23 was identified in metabolism studies with potatoes as a minor metabolite (&lt;10 percent TRR), at levels approximately 50 times lower than the parent. The metabolite was detected frequently in potatoes from supervised trials, but always about one order in magnitude lower, compared to parent.</w:t>
      </w:r>
    </w:p>
    <w:p w14:paraId="0A0701A0" w14:textId="58B01FAC" w:rsidR="00843CD7" w:rsidRPr="007E3305" w:rsidRDefault="00843CD7" w:rsidP="00692A9B">
      <w:pPr>
        <w:pStyle w:val="APVMAText"/>
      </w:pPr>
      <w:r w:rsidRPr="007E3305">
        <w:t xml:space="preserve">The ADI established by the APVMA applies to the major metabolites, 1-hydroxymethyl-4- methylnaphthalene (M21) and 4-methyl-1-naphthoic acid (M23). However, M23 contributes insignificantly to the dietary exposure and does not need to be included into the residue definition for plant commodities. </w:t>
      </w:r>
      <w:r w:rsidR="00F3215A" w:rsidRPr="00F3215A">
        <w:t>M21 however, adds significantly to the dietary exposure and should be included into the residue definition for risk assessment.</w:t>
      </w:r>
    </w:p>
    <w:p w14:paraId="49D61D7B" w14:textId="063F401D" w:rsidR="00843CD7" w:rsidRPr="007E3305" w:rsidRDefault="00843CD7" w:rsidP="00692A9B">
      <w:pPr>
        <w:pStyle w:val="APVMAText"/>
      </w:pPr>
      <w:r w:rsidRPr="007E3305">
        <w:t>The residue definition of 1,4-dimethylnaphthalene for MRL enforcement for plant commodities is recommended as:</w:t>
      </w:r>
    </w:p>
    <w:p w14:paraId="3635E707" w14:textId="77777777" w:rsidR="00843CD7" w:rsidRPr="007E3305" w:rsidRDefault="00843CD7" w:rsidP="00692A9B">
      <w:pPr>
        <w:pStyle w:val="APVMAText"/>
      </w:pPr>
      <w:r w:rsidRPr="007E3305">
        <w:t>Definition of the residue for plant commodities for MRL enforcement: 1,4-dimethylnaphthalene</w:t>
      </w:r>
    </w:p>
    <w:p w14:paraId="1A14F609" w14:textId="1B155F9E" w:rsidR="00ED160D" w:rsidRPr="007E3305" w:rsidRDefault="00843CD7" w:rsidP="00692A9B">
      <w:pPr>
        <w:pStyle w:val="APVMAText"/>
        <w:rPr>
          <w:lang w:val="en-GB"/>
        </w:rPr>
      </w:pPr>
      <w:r w:rsidRPr="007E3305">
        <w:t>Definition of the residue for dietary risk assessment for plant commodities: sum of 1,4-dimethylnaphthalene and metabolite 1-hydroxymethyl-4-methylnaphthalene (M21), expressed as 1,4-dimethylnaphthalene</w:t>
      </w:r>
      <w:r w:rsidR="00633190">
        <w:t>.</w:t>
      </w:r>
    </w:p>
    <w:p w14:paraId="1FA1569C" w14:textId="77777777" w:rsidR="00302D38" w:rsidRDefault="00302D38" w:rsidP="00692A9B">
      <w:pPr>
        <w:pStyle w:val="Heading2"/>
        <w:ind w:left="907" w:hanging="907"/>
        <w:rPr>
          <w:lang w:val="en-GB"/>
        </w:rPr>
      </w:pPr>
      <w:bookmarkStart w:id="99" w:name="_Toc531181083"/>
      <w:bookmarkStart w:id="100" w:name="_Toc7561252"/>
      <w:bookmarkStart w:id="101" w:name="_Toc229751403"/>
      <w:r>
        <w:rPr>
          <w:lang w:val="en-GB"/>
        </w:rPr>
        <w:t>Residues in food and animal feeds</w:t>
      </w:r>
      <w:bookmarkEnd w:id="99"/>
      <w:bookmarkEnd w:id="100"/>
      <w:bookmarkEnd w:id="101"/>
    </w:p>
    <w:p w14:paraId="5DB307D8" w14:textId="2231C6EF" w:rsidR="00ED160D" w:rsidRPr="00ED160D" w:rsidRDefault="00ED160D" w:rsidP="00692A9B">
      <w:pPr>
        <w:pStyle w:val="Heading3"/>
        <w:rPr>
          <w:lang w:val="en-GB"/>
        </w:rPr>
      </w:pPr>
      <w:r w:rsidRPr="00ED160D">
        <w:rPr>
          <w:lang w:val="en-GB"/>
        </w:rPr>
        <w:t>Stored potato – MRL risk assessment</w:t>
      </w:r>
    </w:p>
    <w:p w14:paraId="3840DEA8" w14:textId="1E01F795" w:rsidR="00ED160D" w:rsidRPr="00ED160D" w:rsidRDefault="00ED160D" w:rsidP="00692A9B">
      <w:pPr>
        <w:pStyle w:val="APVMAText"/>
        <w:rPr>
          <w:lang w:val="en-GB"/>
        </w:rPr>
      </w:pPr>
      <w:r w:rsidRPr="00ED160D">
        <w:rPr>
          <w:lang w:val="en-GB"/>
        </w:rPr>
        <w:t>In 2015 residue decline EU trials, parent 1,4-DMN residues in whole potatoes following 6 applications at ~1× the maximum proposed rate, applied at 28-35 days re-treatment interval at 2 – 15 days after the last application, in rank order, were: 4.0, 4.3, 5.6, 5.9, 6.3, 7.8, 8.0, 8.2, 8.4 and 8.7 mg/kg (n=10).</w:t>
      </w:r>
    </w:p>
    <w:p w14:paraId="2BAAB02B" w14:textId="4C83D809" w:rsidR="00ED160D" w:rsidRPr="00ED160D" w:rsidRDefault="00ED160D" w:rsidP="00692A9B">
      <w:pPr>
        <w:pStyle w:val="APVMAText"/>
        <w:rPr>
          <w:lang w:val="en-GB"/>
        </w:rPr>
      </w:pPr>
      <w:r w:rsidRPr="00ED160D">
        <w:rPr>
          <w:lang w:val="en-GB"/>
        </w:rPr>
        <w:t>In two residue decline studies conducted in the Netherlands in 2011, parent 1,4-DMN residues in whole potatoes following 6 applications at 19.93 g ai/1000 kg (~1× the proposed rate), applied at 28-29 days interval and 3 days after last application, in rank order, were: 9.6 and 10.9 mg/kg (n=2).</w:t>
      </w:r>
    </w:p>
    <w:p w14:paraId="4E3532FE" w14:textId="7903A0FD" w:rsidR="00ED160D" w:rsidRPr="00ED160D" w:rsidRDefault="00ED160D" w:rsidP="00692A9B">
      <w:pPr>
        <w:pStyle w:val="APVMAText"/>
        <w:rPr>
          <w:lang w:val="en-GB"/>
        </w:rPr>
      </w:pPr>
      <w:r w:rsidRPr="00ED160D">
        <w:rPr>
          <w:lang w:val="en-GB"/>
        </w:rPr>
        <w:t>The combined dataset suitable for MRL estimation is, in rank order, 4.0, 4.3, 5.6, 5.9, 6.3, 7.8, 8.0, 8.2, 8.4, 8.7, 9.6 and 10.9 mg/kg (n=12).   The STMR was 7.9 mg/kg.  The OECD MRL calculator estimates an MRL of 30 mg/kg. (Unrounded MRL = 21.9 mg/kg).</w:t>
      </w:r>
    </w:p>
    <w:p w14:paraId="69F21E27" w14:textId="1B44144E" w:rsidR="00ED160D" w:rsidRPr="00ED160D" w:rsidRDefault="00ED160D" w:rsidP="00692A9B">
      <w:pPr>
        <w:pStyle w:val="APVMAText"/>
        <w:rPr>
          <w:lang w:val="en-GB"/>
        </w:rPr>
      </w:pPr>
      <w:r w:rsidRPr="00ED160D">
        <w:rPr>
          <w:lang w:val="en-GB"/>
        </w:rPr>
        <w:t>Based on the available information, a 1,4-dimethylnaphthalene MRL of 20 mg/kg for [VR 0589] Potato is recommended to cover 1,4-DMN residues arising in stored potatoes as a result of the proposed use.</w:t>
      </w:r>
    </w:p>
    <w:p w14:paraId="7E744D37" w14:textId="1A9D2FFD" w:rsidR="00ED160D" w:rsidRPr="00ED160D" w:rsidRDefault="00ED160D" w:rsidP="00692A9B">
      <w:pPr>
        <w:pStyle w:val="Heading3"/>
        <w:rPr>
          <w:lang w:val="en-GB"/>
        </w:rPr>
      </w:pPr>
      <w:r w:rsidRPr="00ED160D">
        <w:rPr>
          <w:lang w:val="en-GB"/>
        </w:rPr>
        <w:lastRenderedPageBreak/>
        <w:t>Stored potato - dietary exposure risk assessment</w:t>
      </w:r>
    </w:p>
    <w:p w14:paraId="093E2DFF" w14:textId="1DCBBAB2" w:rsidR="00ED160D" w:rsidRPr="00ED160D" w:rsidRDefault="00ED160D" w:rsidP="00692A9B">
      <w:pPr>
        <w:pStyle w:val="APVMAText"/>
        <w:rPr>
          <w:lang w:val="en-GB"/>
        </w:rPr>
      </w:pPr>
      <w:r w:rsidRPr="00ED160D">
        <w:rPr>
          <w:lang w:val="en-GB"/>
        </w:rPr>
        <w:t>In the 2015 EU trials, total 1,4-DMN (sum of parent 1,4-DMN and metabolite 21) residues following 6 applications at ~1× the proposed rate, applied at 28-35 days re-treatment intervals at 2-30 days after the last application, in rank order, were:</w:t>
      </w:r>
    </w:p>
    <w:p w14:paraId="31774357" w14:textId="2BC607A5" w:rsidR="00ED160D" w:rsidRPr="00ED160D" w:rsidRDefault="00ED160D" w:rsidP="00692A9B">
      <w:pPr>
        <w:pStyle w:val="APVMAText"/>
        <w:rPr>
          <w:lang w:val="en-GB"/>
        </w:rPr>
      </w:pPr>
      <w:r w:rsidRPr="00ED160D">
        <w:rPr>
          <w:lang w:val="en-GB"/>
        </w:rPr>
        <w:t>Whole potatoes: 5.82, 6.75, 8.94, 9.62, 10.61, 10.66, 11.85, 12.74, 13.95 and 17.29 mg/kg (n=10).</w:t>
      </w:r>
    </w:p>
    <w:p w14:paraId="475F20D2" w14:textId="67201BA2" w:rsidR="00ED160D" w:rsidRPr="00ED160D" w:rsidRDefault="00ED160D" w:rsidP="00692A9B">
      <w:pPr>
        <w:pStyle w:val="APVMAText"/>
        <w:rPr>
          <w:lang w:val="en-GB"/>
        </w:rPr>
      </w:pPr>
      <w:r w:rsidRPr="00ED160D">
        <w:rPr>
          <w:lang w:val="en-GB"/>
        </w:rPr>
        <w:t>Potato peel: 23.81, 26.27, 29.17, 36.99, 36.71, 37.72, 53.62, 54.62, 54.79 and 55.8 mg/kg (n=10).</w:t>
      </w:r>
    </w:p>
    <w:p w14:paraId="277AE551" w14:textId="55D0F5C2" w:rsidR="00ED160D" w:rsidRPr="00ED160D" w:rsidRDefault="00ED160D" w:rsidP="00692A9B">
      <w:pPr>
        <w:pStyle w:val="APVMAText"/>
        <w:rPr>
          <w:lang w:val="en-GB"/>
        </w:rPr>
      </w:pPr>
      <w:r w:rsidRPr="00ED160D">
        <w:rPr>
          <w:lang w:val="en-GB"/>
        </w:rPr>
        <w:t>Potato pulp: 1.41, 1.81, 1.87, 1.88, 2.06, 2.21, 2.40, 2.63, 3.42 and 3.74 mg/kg (n=10).</w:t>
      </w:r>
    </w:p>
    <w:p w14:paraId="30BC23C7" w14:textId="4C71007F" w:rsidR="00ED160D" w:rsidRPr="00ED160D" w:rsidRDefault="00ED160D" w:rsidP="00692A9B">
      <w:pPr>
        <w:pStyle w:val="APVMAText"/>
        <w:rPr>
          <w:lang w:val="en-GB"/>
        </w:rPr>
      </w:pPr>
      <w:r w:rsidRPr="00ED160D">
        <w:rPr>
          <w:lang w:val="en-GB"/>
        </w:rPr>
        <w:t>In the 2011 trials, total 1,4-DMN residues following 6 applications at 1× the proposed rate, applied at 28-29 days interval and 3 days after last application, in rank order, were:</w:t>
      </w:r>
    </w:p>
    <w:p w14:paraId="3CB54A7B" w14:textId="262CECFE" w:rsidR="00ED160D" w:rsidRPr="00ED160D" w:rsidRDefault="00ED160D" w:rsidP="00692A9B">
      <w:pPr>
        <w:pStyle w:val="APVMAText"/>
        <w:rPr>
          <w:lang w:val="en-GB"/>
        </w:rPr>
      </w:pPr>
      <w:r w:rsidRPr="00ED160D">
        <w:rPr>
          <w:lang w:val="en-GB"/>
        </w:rPr>
        <w:t>Whole potatoes: 11.4 and 14.2 mg/kg (n=2).</w:t>
      </w:r>
    </w:p>
    <w:p w14:paraId="11F72B93" w14:textId="248C927C" w:rsidR="00ED160D" w:rsidRPr="00ED160D" w:rsidRDefault="00ED160D" w:rsidP="00692A9B">
      <w:pPr>
        <w:pStyle w:val="APVMAText"/>
        <w:rPr>
          <w:lang w:val="en-GB"/>
        </w:rPr>
      </w:pPr>
      <w:r w:rsidRPr="00ED160D">
        <w:rPr>
          <w:lang w:val="en-GB"/>
        </w:rPr>
        <w:t>Potato peel: 70.5 and 95.7 mg/kg (n=2).</w:t>
      </w:r>
    </w:p>
    <w:p w14:paraId="524F668A" w14:textId="3FDC5A17" w:rsidR="00ED160D" w:rsidRPr="00ED160D" w:rsidRDefault="00ED160D" w:rsidP="00692A9B">
      <w:pPr>
        <w:pStyle w:val="APVMAText"/>
        <w:rPr>
          <w:lang w:val="en-GB"/>
        </w:rPr>
      </w:pPr>
      <w:r w:rsidRPr="00ED160D">
        <w:rPr>
          <w:lang w:val="en-GB"/>
        </w:rPr>
        <w:t>Potato pulp: 2.46 and 4.46 mg/kg (n=2).</w:t>
      </w:r>
    </w:p>
    <w:p w14:paraId="4B1DA88E" w14:textId="0379034B" w:rsidR="00ED160D" w:rsidRPr="00ED160D" w:rsidRDefault="00ED160D" w:rsidP="00692A9B">
      <w:pPr>
        <w:pStyle w:val="APVMAText"/>
        <w:rPr>
          <w:lang w:val="en-GB"/>
        </w:rPr>
      </w:pPr>
      <w:r w:rsidRPr="00ED160D">
        <w:rPr>
          <w:lang w:val="en-GB"/>
        </w:rPr>
        <w:t>The combined dataset for whole potatoes, in rank order, is: 5.82, 6.75, 8.94, 9.62, 10.61, 10.66, 11.4, 11.85, 12.74, 13.95, 14.2 and 17.29 mg/kg (n=12). STMR = 11.03 mg/kg.</w:t>
      </w:r>
    </w:p>
    <w:p w14:paraId="4BD8230E" w14:textId="1C817511" w:rsidR="00ED160D" w:rsidRPr="00ED160D" w:rsidRDefault="00ED160D" w:rsidP="00692A9B">
      <w:pPr>
        <w:pStyle w:val="APVMAText"/>
        <w:rPr>
          <w:lang w:val="en-GB"/>
        </w:rPr>
      </w:pPr>
      <w:r w:rsidRPr="00ED160D">
        <w:rPr>
          <w:lang w:val="en-GB"/>
        </w:rPr>
        <w:t>The combined dataset for potato peel, in rank order, is: 23.81, 26.27, 29.17, 36.99, 36.71, 37.72, 53.62, 54.62, 54.79, 55.8, 70.5 and 95.7 mg/kg (n=12). STMR = 45.67 mg/kg</w:t>
      </w:r>
      <w:r w:rsidR="00EC5A65">
        <w:rPr>
          <w:lang w:val="en-GB"/>
        </w:rPr>
        <w:t>.</w:t>
      </w:r>
    </w:p>
    <w:p w14:paraId="3DC5B743" w14:textId="4F812CB2" w:rsidR="00ED160D" w:rsidRPr="00ED160D" w:rsidRDefault="00ED160D" w:rsidP="00692A9B">
      <w:pPr>
        <w:pStyle w:val="APVMAText"/>
        <w:rPr>
          <w:lang w:val="en-GB"/>
        </w:rPr>
      </w:pPr>
      <w:r w:rsidRPr="00ED160D">
        <w:rPr>
          <w:lang w:val="en-GB"/>
        </w:rPr>
        <w:t>The combined dataset for potato pulp, in rank order, is: 1.41, 1.81, 1.87, 1.88, 2.06, 2.21, 2.40, 2.46 2.63, 3.42, 3.74 and 4.46 mg/kg (n=12). STMR = 2.30 mg/kg.</w:t>
      </w:r>
    </w:p>
    <w:p w14:paraId="651463BF" w14:textId="765B289B" w:rsidR="00ED160D" w:rsidRDefault="00ED160D" w:rsidP="00692A9B">
      <w:pPr>
        <w:pStyle w:val="Heading3"/>
        <w:rPr>
          <w:lang w:val="en-GB"/>
        </w:rPr>
      </w:pPr>
      <w:r w:rsidRPr="00ED160D">
        <w:rPr>
          <w:lang w:val="en-GB"/>
        </w:rPr>
        <w:t>Processing studies</w:t>
      </w:r>
    </w:p>
    <w:p w14:paraId="5A43917E" w14:textId="2D74C4B3" w:rsidR="00ED160D" w:rsidRPr="00ED160D" w:rsidRDefault="00ED160D" w:rsidP="00692A9B">
      <w:pPr>
        <w:pStyle w:val="APVMAText"/>
        <w:rPr>
          <w:lang w:val="en-GB"/>
        </w:rPr>
      </w:pPr>
      <w:r w:rsidRPr="00ED160D">
        <w:rPr>
          <w:lang w:val="en-GB"/>
        </w:rPr>
        <w:t>The submitted processing studies showed that total 1,4-DMN (parent 1,4-DMN or the metabolite M21) residues didn’t concentrate in peeled or unpeeled baked, boiled, microwaved, fried or canned potatoes.</w:t>
      </w:r>
    </w:p>
    <w:p w14:paraId="6D317952" w14:textId="73AAD15A" w:rsidR="00ED160D" w:rsidRPr="00ED160D" w:rsidRDefault="00ED160D" w:rsidP="00692A9B">
      <w:pPr>
        <w:pStyle w:val="APVMAText"/>
        <w:rPr>
          <w:lang w:val="en-GB"/>
        </w:rPr>
      </w:pPr>
      <w:r w:rsidRPr="00ED160D">
        <w:rPr>
          <w:lang w:val="en-GB"/>
        </w:rPr>
        <w:t>A median processing factor for total 1,4-DMN in dry pulp was calculated at 3.2× the total 1,4-DMN residues in RAC. Taking the HR of 17.29 mg/kg (STMR = 11.03 mg/kg) in whole potatoes and processing factor of 3.2×, the estimated total residues of 1,4-DMN in dried pulp equates to 55.33 mg/kg (STMR-P = 35.30 mg/kg).</w:t>
      </w:r>
    </w:p>
    <w:p w14:paraId="1E0823DF" w14:textId="77777777" w:rsidR="00ED160D" w:rsidRPr="00ED160D" w:rsidRDefault="00ED160D" w:rsidP="00692A9B">
      <w:pPr>
        <w:pStyle w:val="APVMAText"/>
        <w:rPr>
          <w:lang w:val="en-GB"/>
        </w:rPr>
      </w:pPr>
      <w:r w:rsidRPr="00ED160D">
        <w:rPr>
          <w:lang w:val="en-GB"/>
        </w:rPr>
        <w:t>Total 1,4-DMN (parent 1,4-DMN or the metabolite M21) residues didn’t concentrate in potato process waste (median Pf = 0.28×). HR-P is estimated at 4.84 m/kg and STMR-P is estimated at 3.09 mg/kg.</w:t>
      </w:r>
    </w:p>
    <w:p w14:paraId="05D5D8FE" w14:textId="77777777" w:rsidR="00ED160D" w:rsidRDefault="00ED160D" w:rsidP="00692A9B">
      <w:pPr>
        <w:pStyle w:val="Heading2"/>
        <w:ind w:left="907" w:hanging="907"/>
        <w:rPr>
          <w:lang w:val="en-GB"/>
        </w:rPr>
      </w:pPr>
      <w:bookmarkStart w:id="102" w:name="_Toc531181085"/>
      <w:bookmarkStart w:id="103" w:name="_Toc7561254"/>
      <w:bookmarkStart w:id="104" w:name="_Toc229751404"/>
      <w:r>
        <w:rPr>
          <w:lang w:val="en-GB"/>
        </w:rPr>
        <w:lastRenderedPageBreak/>
        <w:t>Residues in animal commodities</w:t>
      </w:r>
      <w:bookmarkEnd w:id="102"/>
      <w:bookmarkEnd w:id="103"/>
      <w:bookmarkEnd w:id="104"/>
    </w:p>
    <w:p w14:paraId="3954D6D6" w14:textId="71AB361F" w:rsidR="00ED160D" w:rsidRPr="00ED160D" w:rsidRDefault="00ED160D" w:rsidP="00692A9B">
      <w:pPr>
        <w:pStyle w:val="Heading3"/>
        <w:rPr>
          <w:lang w:val="en-GB"/>
        </w:rPr>
      </w:pPr>
      <w:r w:rsidRPr="00ED160D">
        <w:rPr>
          <w:lang w:val="en-GB"/>
        </w:rPr>
        <w:t xml:space="preserve">Animal commodities </w:t>
      </w:r>
      <w:r w:rsidR="00692A9B">
        <w:rPr>
          <w:lang w:val="en-GB"/>
        </w:rPr>
        <w:t>and</w:t>
      </w:r>
      <w:r w:rsidRPr="00ED160D">
        <w:rPr>
          <w:lang w:val="en-GB"/>
        </w:rPr>
        <w:t xml:space="preserve"> MRLs</w:t>
      </w:r>
    </w:p>
    <w:p w14:paraId="06C2ABC2" w14:textId="42421101" w:rsidR="00ED160D" w:rsidRPr="00ED160D" w:rsidRDefault="00ED160D" w:rsidP="00692A9B">
      <w:pPr>
        <w:pStyle w:val="APVMAText"/>
        <w:rPr>
          <w:lang w:val="en-GB"/>
        </w:rPr>
      </w:pPr>
      <w:r w:rsidRPr="00ED160D">
        <w:rPr>
          <w:lang w:val="en-GB"/>
        </w:rPr>
        <w:t>According to the OECD feed calculator, potato culls and dried potato pulp may be fed to beef and dairy cattle at up to 10% and 5% in Australia. Potato process waste may be fed to beef cattle at up to 5% of the diet.</w:t>
      </w:r>
    </w:p>
    <w:p w14:paraId="7543E70C" w14:textId="77777777" w:rsidR="00ED160D" w:rsidRPr="00ED160D" w:rsidRDefault="00ED160D" w:rsidP="00692A9B">
      <w:pPr>
        <w:pStyle w:val="APVMAText"/>
        <w:rPr>
          <w:lang w:val="en-GB"/>
        </w:rPr>
      </w:pPr>
      <w:r w:rsidRPr="00ED160D">
        <w:rPr>
          <w:lang w:val="en-GB"/>
        </w:rPr>
        <w:t>The estimated maximum dietary burden for beef and dairy cattle as a result of the proposed use in stored potatoes is calculated at 10.7 mg/kg.</w:t>
      </w:r>
    </w:p>
    <w:p w14:paraId="4903B2B1" w14:textId="77777777" w:rsidR="00ED160D" w:rsidRDefault="00ED160D" w:rsidP="00692A9B">
      <w:pPr>
        <w:pStyle w:val="APVMAText"/>
        <w:rPr>
          <w:lang w:val="en-GB"/>
        </w:rPr>
      </w:pPr>
      <w:r w:rsidRPr="00ED160D">
        <w:rPr>
          <w:lang w:val="en-GB"/>
        </w:rPr>
        <w:t>Note: The total residue of parent + M21 has been used to calculate the livestock dietary burden. While M21 is not in the residue definition for 1,4-DMN in animal commodities it is a likely intermediate in the formation of M23 and Gly-M23 which are in the animal commodity definitions.</w:t>
      </w:r>
    </w:p>
    <w:p w14:paraId="57134DDB" w14:textId="737D8955" w:rsidR="00F3215A" w:rsidRDefault="00F3215A" w:rsidP="00692A9B">
      <w:pPr>
        <w:pStyle w:val="APVMAText"/>
        <w:rPr>
          <w:lang w:val="en-GB"/>
        </w:rPr>
      </w:pPr>
      <w:r>
        <w:rPr>
          <w:lang w:val="en-GB"/>
        </w:rPr>
        <w:t>Mammalian commodity MRLs are estimated below based on extrapolation from a submitted dairy cattle animal transfer study:</w:t>
      </w:r>
    </w:p>
    <w:p w14:paraId="248800EE" w14:textId="504838AC" w:rsidR="00F3215A" w:rsidRPr="00692A9B" w:rsidRDefault="00F3215A" w:rsidP="00692A9B">
      <w:pPr>
        <w:pStyle w:val="APVMAText"/>
        <w:rPr>
          <w:rFonts w:eastAsiaTheme="minorEastAsia"/>
          <w:i/>
          <w:iCs/>
        </w:rPr>
      </w:pPr>
      <w:r w:rsidRPr="00692A9B">
        <w:rPr>
          <w:rFonts w:eastAsiaTheme="minorEastAsia"/>
          <w:i/>
          <w:iCs/>
        </w:rPr>
        <w:t>Cattle</w:t>
      </w:r>
    </w:p>
    <w:tbl>
      <w:tblPr>
        <w:tblW w:w="0" w:type="auto"/>
        <w:tblLayout w:type="fixed"/>
        <w:tblLook w:val="00A0" w:firstRow="1" w:lastRow="0" w:firstColumn="1" w:lastColumn="0" w:noHBand="0" w:noVBand="0"/>
      </w:tblPr>
      <w:tblGrid>
        <w:gridCol w:w="2657"/>
        <w:gridCol w:w="1366"/>
        <w:gridCol w:w="1366"/>
        <w:gridCol w:w="1366"/>
        <w:gridCol w:w="1368"/>
        <w:gridCol w:w="1372"/>
      </w:tblGrid>
      <w:tr w:rsidR="00F3215A" w:rsidRPr="00B26DA1" w14:paraId="3DA1FFF5" w14:textId="77777777" w:rsidTr="00F437B8">
        <w:trPr>
          <w:trHeight w:val="255"/>
          <w:tblHeader/>
        </w:trPr>
        <w:tc>
          <w:tcPr>
            <w:tcW w:w="2657" w:type="dxa"/>
            <w:vMerge w:val="restart"/>
            <w:tcBorders>
              <w:top w:val="single" w:sz="4" w:space="0" w:color="auto"/>
              <w:left w:val="single" w:sz="4" w:space="0" w:color="auto"/>
            </w:tcBorders>
            <w:shd w:val="clear" w:color="auto" w:fill="00747A" w:themeFill="background2"/>
            <w:vAlign w:val="center"/>
          </w:tcPr>
          <w:p w14:paraId="10986369" w14:textId="77777777" w:rsidR="00F3215A" w:rsidRPr="00426763" w:rsidRDefault="00F3215A" w:rsidP="00F437B8">
            <w:pPr>
              <w:pStyle w:val="BODYTEXT"/>
              <w:rPr>
                <w:rFonts w:ascii="Franklin Gothic Medium" w:hAnsi="Franklin Gothic Medium" w:cs="Arial"/>
                <w:color w:val="F0F4F5" w:themeColor="accent1" w:themeTint="33"/>
                <w:sz w:val="20"/>
              </w:rPr>
            </w:pPr>
            <w:r w:rsidRPr="00426763">
              <w:rPr>
                <w:rFonts w:ascii="Franklin Gothic Medium" w:hAnsi="Franklin Gothic Medium" w:cs="Arial"/>
                <w:color w:val="F0F4F5" w:themeColor="accent1" w:themeTint="33"/>
                <w:sz w:val="20"/>
              </w:rPr>
              <w:t>Feeding level (ppm)</w:t>
            </w:r>
          </w:p>
        </w:tc>
        <w:tc>
          <w:tcPr>
            <w:tcW w:w="1366" w:type="dxa"/>
            <w:tcBorders>
              <w:top w:val="single" w:sz="4" w:space="0" w:color="auto"/>
            </w:tcBorders>
            <w:shd w:val="clear" w:color="auto" w:fill="00747A" w:themeFill="background2"/>
          </w:tcPr>
          <w:p w14:paraId="412A686B" w14:textId="77777777" w:rsidR="00F3215A" w:rsidRPr="00426763" w:rsidRDefault="00F3215A" w:rsidP="00F437B8">
            <w:pPr>
              <w:pStyle w:val="BODYTEXT"/>
              <w:jc w:val="center"/>
              <w:rPr>
                <w:rFonts w:ascii="Franklin Gothic Medium" w:hAnsi="Franklin Gothic Medium" w:cs="Arial"/>
                <w:color w:val="F0F4F5" w:themeColor="accent1" w:themeTint="33"/>
                <w:sz w:val="20"/>
              </w:rPr>
            </w:pPr>
            <w:r w:rsidRPr="00426763">
              <w:rPr>
                <w:rFonts w:ascii="Franklin Gothic Medium" w:hAnsi="Franklin Gothic Medium" w:cs="Arial"/>
                <w:color w:val="F0F4F5" w:themeColor="accent1" w:themeTint="33"/>
                <w:sz w:val="20"/>
              </w:rPr>
              <w:t>Milk</w:t>
            </w:r>
          </w:p>
        </w:tc>
        <w:tc>
          <w:tcPr>
            <w:tcW w:w="1366" w:type="dxa"/>
            <w:tcBorders>
              <w:top w:val="single" w:sz="4" w:space="0" w:color="auto"/>
            </w:tcBorders>
            <w:shd w:val="clear" w:color="auto" w:fill="00747A" w:themeFill="background2"/>
          </w:tcPr>
          <w:p w14:paraId="12F4B055" w14:textId="77777777" w:rsidR="00F3215A" w:rsidRPr="00426763" w:rsidRDefault="00F3215A" w:rsidP="00F437B8">
            <w:pPr>
              <w:pStyle w:val="BODYTEXT"/>
              <w:jc w:val="center"/>
              <w:rPr>
                <w:rFonts w:ascii="Franklin Gothic Medium" w:hAnsi="Franklin Gothic Medium" w:cs="Arial"/>
                <w:color w:val="F0F4F5" w:themeColor="accent1" w:themeTint="33"/>
                <w:sz w:val="20"/>
              </w:rPr>
            </w:pPr>
            <w:r w:rsidRPr="00426763">
              <w:rPr>
                <w:rFonts w:ascii="Franklin Gothic Medium" w:hAnsi="Franklin Gothic Medium" w:cs="Arial"/>
                <w:color w:val="F0F4F5" w:themeColor="accent1" w:themeTint="33"/>
                <w:sz w:val="20"/>
              </w:rPr>
              <w:t>Muscle</w:t>
            </w:r>
          </w:p>
        </w:tc>
        <w:tc>
          <w:tcPr>
            <w:tcW w:w="1366" w:type="dxa"/>
            <w:tcBorders>
              <w:top w:val="single" w:sz="4" w:space="0" w:color="auto"/>
            </w:tcBorders>
            <w:shd w:val="clear" w:color="auto" w:fill="00747A" w:themeFill="background2"/>
          </w:tcPr>
          <w:p w14:paraId="501D7017" w14:textId="77777777" w:rsidR="00F3215A" w:rsidRPr="00426763" w:rsidRDefault="00F3215A" w:rsidP="00F437B8">
            <w:pPr>
              <w:pStyle w:val="BODYTEXT"/>
              <w:jc w:val="center"/>
              <w:rPr>
                <w:rFonts w:ascii="Franklin Gothic Medium" w:hAnsi="Franklin Gothic Medium" w:cs="Arial"/>
                <w:color w:val="F0F4F5" w:themeColor="accent1" w:themeTint="33"/>
                <w:sz w:val="20"/>
              </w:rPr>
            </w:pPr>
            <w:r w:rsidRPr="00426763">
              <w:rPr>
                <w:rFonts w:ascii="Franklin Gothic Medium" w:hAnsi="Franklin Gothic Medium" w:cs="Arial"/>
                <w:color w:val="F0F4F5" w:themeColor="accent1" w:themeTint="33"/>
                <w:sz w:val="20"/>
              </w:rPr>
              <w:t>Liver</w:t>
            </w:r>
          </w:p>
        </w:tc>
        <w:tc>
          <w:tcPr>
            <w:tcW w:w="1368" w:type="dxa"/>
            <w:tcBorders>
              <w:top w:val="single" w:sz="4" w:space="0" w:color="auto"/>
            </w:tcBorders>
            <w:shd w:val="clear" w:color="auto" w:fill="00747A" w:themeFill="background2"/>
          </w:tcPr>
          <w:p w14:paraId="1461F993" w14:textId="77777777" w:rsidR="00F3215A" w:rsidRPr="00426763" w:rsidRDefault="00F3215A" w:rsidP="00F437B8">
            <w:pPr>
              <w:pStyle w:val="BODYTEXT"/>
              <w:jc w:val="center"/>
              <w:rPr>
                <w:rFonts w:ascii="Franklin Gothic Medium" w:hAnsi="Franklin Gothic Medium" w:cs="Arial"/>
                <w:color w:val="F0F4F5" w:themeColor="accent1" w:themeTint="33"/>
                <w:sz w:val="20"/>
              </w:rPr>
            </w:pPr>
            <w:r w:rsidRPr="00426763">
              <w:rPr>
                <w:rFonts w:ascii="Franklin Gothic Medium" w:hAnsi="Franklin Gothic Medium" w:cs="Arial"/>
                <w:color w:val="F0F4F5" w:themeColor="accent1" w:themeTint="33"/>
                <w:sz w:val="20"/>
              </w:rPr>
              <w:t>Kidney</w:t>
            </w:r>
          </w:p>
        </w:tc>
        <w:tc>
          <w:tcPr>
            <w:tcW w:w="1372" w:type="dxa"/>
            <w:tcBorders>
              <w:top w:val="single" w:sz="4" w:space="0" w:color="auto"/>
              <w:right w:val="single" w:sz="4" w:space="0" w:color="auto"/>
            </w:tcBorders>
            <w:shd w:val="clear" w:color="auto" w:fill="00747A" w:themeFill="background2"/>
          </w:tcPr>
          <w:p w14:paraId="0DB0405E" w14:textId="77777777" w:rsidR="00F3215A" w:rsidRPr="00426763" w:rsidRDefault="00F3215A" w:rsidP="00F437B8">
            <w:pPr>
              <w:pStyle w:val="BODYTEXT"/>
              <w:jc w:val="center"/>
              <w:rPr>
                <w:rFonts w:ascii="Franklin Gothic Medium" w:hAnsi="Franklin Gothic Medium" w:cs="Arial"/>
                <w:color w:val="F0F4F5" w:themeColor="accent1" w:themeTint="33"/>
                <w:sz w:val="20"/>
              </w:rPr>
            </w:pPr>
            <w:r w:rsidRPr="00426763">
              <w:rPr>
                <w:rFonts w:ascii="Franklin Gothic Medium" w:hAnsi="Franklin Gothic Medium" w:cs="Arial"/>
                <w:color w:val="F0F4F5" w:themeColor="accent1" w:themeTint="33"/>
                <w:sz w:val="20"/>
              </w:rPr>
              <w:t>Fat</w:t>
            </w:r>
          </w:p>
        </w:tc>
      </w:tr>
      <w:tr w:rsidR="00F3215A" w:rsidRPr="00B26DA1" w14:paraId="507103B9" w14:textId="77777777" w:rsidTr="00F437B8">
        <w:trPr>
          <w:trHeight w:val="255"/>
          <w:tblHeader/>
        </w:trPr>
        <w:tc>
          <w:tcPr>
            <w:tcW w:w="2657" w:type="dxa"/>
            <w:vMerge/>
            <w:tcBorders>
              <w:top w:val="single" w:sz="4" w:space="0" w:color="auto"/>
              <w:left w:val="single" w:sz="4" w:space="0" w:color="auto"/>
            </w:tcBorders>
            <w:shd w:val="clear" w:color="auto" w:fill="00747A" w:themeFill="background2"/>
            <w:vAlign w:val="center"/>
          </w:tcPr>
          <w:p w14:paraId="0AE5417C" w14:textId="77777777" w:rsidR="00F3215A" w:rsidRPr="00432CD6" w:rsidRDefault="00F3215A" w:rsidP="00F437B8">
            <w:pPr>
              <w:pStyle w:val="BODYTEXT"/>
              <w:rPr>
                <w:rFonts w:ascii="Franklin Gothic Medium" w:hAnsi="Franklin Gothic Medium" w:cs="Arial"/>
                <w:color w:val="F0F4F5" w:themeColor="accent1" w:themeTint="33"/>
                <w:sz w:val="20"/>
              </w:rPr>
            </w:pPr>
          </w:p>
        </w:tc>
        <w:tc>
          <w:tcPr>
            <w:tcW w:w="1366" w:type="dxa"/>
            <w:tcBorders>
              <w:top w:val="single" w:sz="4" w:space="0" w:color="auto"/>
            </w:tcBorders>
            <w:shd w:val="clear" w:color="auto" w:fill="00747A" w:themeFill="background2"/>
          </w:tcPr>
          <w:p w14:paraId="180DDF9B" w14:textId="77777777" w:rsidR="00F3215A" w:rsidRPr="00432CD6" w:rsidRDefault="00F3215A" w:rsidP="00F437B8">
            <w:pPr>
              <w:pStyle w:val="BODYTEXT"/>
              <w:jc w:val="center"/>
              <w:rPr>
                <w:rFonts w:ascii="Franklin Gothic Medium" w:hAnsi="Franklin Gothic Medium" w:cs="Arial"/>
                <w:color w:val="F0F4F5" w:themeColor="accent1" w:themeTint="33"/>
                <w:sz w:val="20"/>
              </w:rPr>
            </w:pPr>
            <w:r w:rsidRPr="00432CD6">
              <w:rPr>
                <w:rFonts w:ascii="Franklin Gothic Medium" w:hAnsi="Franklin Gothic Medium" w:cs="Arial"/>
                <w:color w:val="F0F4F5" w:themeColor="accent1" w:themeTint="33"/>
                <w:sz w:val="20"/>
              </w:rPr>
              <w:t>(Gly-M23)</w:t>
            </w:r>
          </w:p>
        </w:tc>
        <w:tc>
          <w:tcPr>
            <w:tcW w:w="5472" w:type="dxa"/>
            <w:gridSpan w:val="4"/>
            <w:tcBorders>
              <w:top w:val="single" w:sz="4" w:space="0" w:color="auto"/>
              <w:right w:val="single" w:sz="4" w:space="0" w:color="auto"/>
            </w:tcBorders>
            <w:shd w:val="clear" w:color="auto" w:fill="00747A" w:themeFill="background2"/>
          </w:tcPr>
          <w:p w14:paraId="67480191" w14:textId="77777777" w:rsidR="00F3215A" w:rsidRPr="00432CD6" w:rsidRDefault="00F3215A" w:rsidP="00F437B8">
            <w:pPr>
              <w:pStyle w:val="BODYTEXT"/>
              <w:jc w:val="center"/>
              <w:rPr>
                <w:rFonts w:ascii="Franklin Gothic Medium" w:hAnsi="Franklin Gothic Medium" w:cs="Arial"/>
                <w:color w:val="F0F4F5" w:themeColor="accent1" w:themeTint="33"/>
                <w:sz w:val="20"/>
              </w:rPr>
            </w:pPr>
            <w:r w:rsidRPr="00432CD6">
              <w:rPr>
                <w:rFonts w:ascii="Franklin Gothic Medium" w:hAnsi="Franklin Gothic Medium" w:cs="Arial"/>
                <w:color w:val="F0F4F5" w:themeColor="accent1" w:themeTint="33"/>
                <w:sz w:val="20"/>
              </w:rPr>
              <w:t>(MRL enforcement: Sum of 1,4-DMN and metabolite M23)</w:t>
            </w:r>
          </w:p>
        </w:tc>
      </w:tr>
      <w:tr w:rsidR="00F3215A" w:rsidRPr="00B26DA1" w14:paraId="064D3474" w14:textId="77777777" w:rsidTr="00F437B8">
        <w:trPr>
          <w:trHeight w:val="163"/>
          <w:tblHeader/>
        </w:trPr>
        <w:tc>
          <w:tcPr>
            <w:tcW w:w="2657" w:type="dxa"/>
            <w:vMerge/>
            <w:tcBorders>
              <w:left w:val="single" w:sz="4" w:space="0" w:color="auto"/>
              <w:bottom w:val="single" w:sz="6" w:space="0" w:color="000000"/>
            </w:tcBorders>
            <w:shd w:val="clear" w:color="auto" w:fill="00747A" w:themeFill="background2"/>
          </w:tcPr>
          <w:p w14:paraId="1AA8A734" w14:textId="77777777" w:rsidR="00F3215A" w:rsidRPr="00582BBC" w:rsidRDefault="00F3215A" w:rsidP="00F437B8">
            <w:pPr>
              <w:keepNext/>
              <w:keepLines/>
              <w:suppressAutoHyphens/>
              <w:spacing w:before="60" w:after="60" w:line="240" w:lineRule="exact"/>
              <w:rPr>
                <w:rFonts w:ascii="Franklin Gothic Medium" w:hAnsi="Franklin Gothic Medium" w:cs="Arial"/>
                <w:b/>
                <w:bCs/>
                <w:caps/>
                <w:color w:val="F0F4F5" w:themeColor="accent1" w:themeTint="33"/>
                <w:spacing w:val="6"/>
                <w:szCs w:val="20"/>
                <w:u w:color="000000"/>
              </w:rPr>
            </w:pPr>
          </w:p>
        </w:tc>
        <w:tc>
          <w:tcPr>
            <w:tcW w:w="6838" w:type="dxa"/>
            <w:gridSpan w:val="5"/>
            <w:tcBorders>
              <w:bottom w:val="single" w:sz="6" w:space="0" w:color="000000"/>
              <w:right w:val="single" w:sz="4" w:space="0" w:color="auto"/>
            </w:tcBorders>
            <w:shd w:val="clear" w:color="auto" w:fill="00747A" w:themeFill="background2"/>
          </w:tcPr>
          <w:p w14:paraId="532324F2" w14:textId="77777777" w:rsidR="00F3215A" w:rsidRPr="00426763" w:rsidRDefault="00F3215A" w:rsidP="00F437B8">
            <w:pPr>
              <w:pStyle w:val="BODYTEXT"/>
              <w:jc w:val="center"/>
              <w:rPr>
                <w:rFonts w:ascii="Franklin Gothic Medium" w:hAnsi="Franklin Gothic Medium" w:cs="Arial"/>
                <w:color w:val="F0F4F5" w:themeColor="accent1" w:themeTint="33"/>
                <w:sz w:val="20"/>
              </w:rPr>
            </w:pPr>
            <w:r w:rsidRPr="00426763">
              <w:rPr>
                <w:rFonts w:ascii="Franklin Gothic Medium" w:hAnsi="Franklin Gothic Medium" w:cs="Arial"/>
                <w:color w:val="F0F4F5" w:themeColor="accent1" w:themeTint="33"/>
                <w:sz w:val="20"/>
              </w:rPr>
              <w:t>1,4-DMN residue (mg/kg)</w:t>
            </w:r>
          </w:p>
        </w:tc>
      </w:tr>
      <w:tr w:rsidR="00F3215A" w:rsidRPr="00B26DA1" w14:paraId="0859E237" w14:textId="77777777" w:rsidTr="00F437B8">
        <w:trPr>
          <w:trHeight w:val="387"/>
        </w:trPr>
        <w:tc>
          <w:tcPr>
            <w:tcW w:w="2657" w:type="dxa"/>
            <w:tcBorders>
              <w:left w:val="single" w:sz="4" w:space="0" w:color="auto"/>
            </w:tcBorders>
          </w:tcPr>
          <w:p w14:paraId="5AE20621" w14:textId="4FBEE660" w:rsidR="00F3215A" w:rsidRPr="00426763" w:rsidRDefault="00F3215A" w:rsidP="00F437B8">
            <w:pPr>
              <w:suppressAutoHyphens/>
              <w:spacing w:before="120" w:line="210" w:lineRule="exact"/>
              <w:jc w:val="both"/>
              <w:rPr>
                <w:rFonts w:cs="Arial"/>
                <w:spacing w:val="6"/>
                <w:sz w:val="18"/>
                <w:szCs w:val="18"/>
                <w:u w:color="000000"/>
                <w:lang w:val="en-GB"/>
              </w:rPr>
            </w:pPr>
            <w:r w:rsidRPr="00426763">
              <w:rPr>
                <w:rFonts w:cs="Arial"/>
                <w:spacing w:val="6"/>
                <w:sz w:val="18"/>
                <w:szCs w:val="18"/>
                <w:u w:color="000000"/>
                <w:lang w:val="en-GB"/>
              </w:rPr>
              <w:t>38.7 (actual)</w:t>
            </w:r>
          </w:p>
        </w:tc>
        <w:tc>
          <w:tcPr>
            <w:tcW w:w="1366" w:type="dxa"/>
          </w:tcPr>
          <w:p w14:paraId="2C11FE79"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0.027</w:t>
            </w:r>
          </w:p>
        </w:tc>
        <w:tc>
          <w:tcPr>
            <w:tcW w:w="1366" w:type="dxa"/>
          </w:tcPr>
          <w:p w14:paraId="495C43AB"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&lt;0.02</w:t>
            </w:r>
          </w:p>
        </w:tc>
        <w:tc>
          <w:tcPr>
            <w:tcW w:w="1366" w:type="dxa"/>
          </w:tcPr>
          <w:p w14:paraId="739CDD8C"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0.378</w:t>
            </w:r>
          </w:p>
        </w:tc>
        <w:tc>
          <w:tcPr>
            <w:tcW w:w="1368" w:type="dxa"/>
          </w:tcPr>
          <w:p w14:paraId="63EC294F"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0.216</w:t>
            </w:r>
          </w:p>
        </w:tc>
        <w:tc>
          <w:tcPr>
            <w:tcW w:w="1372" w:type="dxa"/>
            <w:tcBorders>
              <w:right w:val="single" w:sz="4" w:space="0" w:color="auto"/>
            </w:tcBorders>
          </w:tcPr>
          <w:p w14:paraId="75F9B9CD"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0.024</w:t>
            </w:r>
          </w:p>
        </w:tc>
      </w:tr>
      <w:tr w:rsidR="00F3215A" w:rsidRPr="00B26DA1" w14:paraId="7C38C547" w14:textId="77777777" w:rsidTr="00F437B8">
        <w:trPr>
          <w:trHeight w:val="385"/>
        </w:trPr>
        <w:tc>
          <w:tcPr>
            <w:tcW w:w="2657" w:type="dxa"/>
            <w:tcBorders>
              <w:left w:val="single" w:sz="4" w:space="0" w:color="auto"/>
            </w:tcBorders>
          </w:tcPr>
          <w:p w14:paraId="7B480B74" w14:textId="77777777" w:rsidR="00F3215A" w:rsidRPr="00426763" w:rsidRDefault="00F3215A" w:rsidP="00F437B8">
            <w:pPr>
              <w:suppressAutoHyphens/>
              <w:spacing w:before="120" w:line="210" w:lineRule="exact"/>
              <w:rPr>
                <w:rFonts w:cs="Arial"/>
                <w:spacing w:val="6"/>
                <w:sz w:val="18"/>
                <w:szCs w:val="18"/>
                <w:u w:color="000000"/>
                <w:lang w:val="en-GB"/>
              </w:rPr>
            </w:pPr>
            <w:r w:rsidRPr="00426763">
              <w:rPr>
                <w:rFonts w:cs="Arial"/>
                <w:spacing w:val="6"/>
                <w:sz w:val="18"/>
                <w:szCs w:val="18"/>
                <w:u w:color="000000"/>
                <w:lang w:val="en-GB"/>
              </w:rPr>
              <w:t>10.7 – beef, estimated burden</w:t>
            </w:r>
          </w:p>
        </w:tc>
        <w:tc>
          <w:tcPr>
            <w:tcW w:w="1366" w:type="dxa"/>
          </w:tcPr>
          <w:p w14:paraId="15EC592E"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w:t>
            </w:r>
          </w:p>
        </w:tc>
        <w:tc>
          <w:tcPr>
            <w:tcW w:w="1366" w:type="dxa"/>
          </w:tcPr>
          <w:p w14:paraId="2725ECE4"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&lt;0.02</w:t>
            </w:r>
          </w:p>
        </w:tc>
        <w:tc>
          <w:tcPr>
            <w:tcW w:w="1366" w:type="dxa"/>
          </w:tcPr>
          <w:p w14:paraId="74FD9CA0"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0.105</w:t>
            </w:r>
          </w:p>
        </w:tc>
        <w:tc>
          <w:tcPr>
            <w:tcW w:w="1368" w:type="dxa"/>
          </w:tcPr>
          <w:p w14:paraId="406E9000"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0.06</w:t>
            </w:r>
          </w:p>
        </w:tc>
        <w:tc>
          <w:tcPr>
            <w:tcW w:w="1372" w:type="dxa"/>
            <w:tcBorders>
              <w:right w:val="single" w:sz="4" w:space="0" w:color="auto"/>
            </w:tcBorders>
          </w:tcPr>
          <w:p w14:paraId="6C971CCD"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0.007</w:t>
            </w:r>
          </w:p>
        </w:tc>
      </w:tr>
      <w:tr w:rsidR="00F3215A" w:rsidRPr="00B26DA1" w14:paraId="126A8EBA" w14:textId="77777777" w:rsidTr="00F437B8">
        <w:trPr>
          <w:trHeight w:val="385"/>
        </w:trPr>
        <w:tc>
          <w:tcPr>
            <w:tcW w:w="2657" w:type="dxa"/>
            <w:tcBorders>
              <w:left w:val="single" w:sz="4" w:space="0" w:color="auto"/>
            </w:tcBorders>
          </w:tcPr>
          <w:p w14:paraId="28F528B5" w14:textId="77777777" w:rsidR="00F3215A" w:rsidRPr="00426763" w:rsidRDefault="00F3215A" w:rsidP="00F437B8">
            <w:pPr>
              <w:suppressAutoHyphens/>
              <w:spacing w:before="120" w:line="210" w:lineRule="exact"/>
              <w:rPr>
                <w:rFonts w:cs="Arial"/>
                <w:spacing w:val="6"/>
                <w:sz w:val="18"/>
                <w:szCs w:val="18"/>
                <w:u w:color="000000"/>
                <w:lang w:val="en-GB"/>
              </w:rPr>
            </w:pPr>
            <w:r w:rsidRPr="00426763">
              <w:rPr>
                <w:rFonts w:cs="Arial"/>
                <w:spacing w:val="6"/>
                <w:sz w:val="18"/>
                <w:szCs w:val="18"/>
                <w:u w:color="000000"/>
                <w:lang w:val="en-GB"/>
              </w:rPr>
              <w:t>10.7 – dairy, estimated burden</w:t>
            </w:r>
          </w:p>
        </w:tc>
        <w:tc>
          <w:tcPr>
            <w:tcW w:w="1366" w:type="dxa"/>
          </w:tcPr>
          <w:p w14:paraId="60278197"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0.007</w:t>
            </w:r>
          </w:p>
        </w:tc>
        <w:tc>
          <w:tcPr>
            <w:tcW w:w="1366" w:type="dxa"/>
          </w:tcPr>
          <w:p w14:paraId="66A375E3"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w:t>
            </w:r>
          </w:p>
        </w:tc>
        <w:tc>
          <w:tcPr>
            <w:tcW w:w="1366" w:type="dxa"/>
          </w:tcPr>
          <w:p w14:paraId="27EE8538"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w:t>
            </w:r>
          </w:p>
        </w:tc>
        <w:tc>
          <w:tcPr>
            <w:tcW w:w="1368" w:type="dxa"/>
          </w:tcPr>
          <w:p w14:paraId="04798393"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w:t>
            </w:r>
          </w:p>
        </w:tc>
        <w:tc>
          <w:tcPr>
            <w:tcW w:w="1372" w:type="dxa"/>
            <w:tcBorders>
              <w:right w:val="single" w:sz="4" w:space="0" w:color="auto"/>
            </w:tcBorders>
          </w:tcPr>
          <w:p w14:paraId="44B943CB"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w:t>
            </w:r>
          </w:p>
        </w:tc>
      </w:tr>
      <w:tr w:rsidR="00F3215A" w:rsidRPr="00B26DA1" w14:paraId="07655653" w14:textId="77777777" w:rsidTr="00F437B8">
        <w:trPr>
          <w:trHeight w:val="385"/>
        </w:trPr>
        <w:tc>
          <w:tcPr>
            <w:tcW w:w="2657" w:type="dxa"/>
            <w:tcBorders>
              <w:top w:val="dotted" w:sz="4" w:space="0" w:color="auto"/>
              <w:left w:val="single" w:sz="4" w:space="0" w:color="auto"/>
              <w:bottom w:val="single" w:sz="4" w:space="0" w:color="auto"/>
            </w:tcBorders>
          </w:tcPr>
          <w:p w14:paraId="1CF23017" w14:textId="77777777" w:rsidR="00F3215A" w:rsidRPr="00426763" w:rsidRDefault="00F3215A" w:rsidP="00F437B8">
            <w:pPr>
              <w:suppressAutoHyphens/>
              <w:spacing w:before="120" w:line="210" w:lineRule="exact"/>
              <w:jc w:val="both"/>
              <w:rPr>
                <w:rFonts w:cs="Arial"/>
                <w:spacing w:val="6"/>
                <w:sz w:val="18"/>
                <w:szCs w:val="18"/>
                <w:u w:color="000000"/>
                <w:lang w:val="en-GB"/>
              </w:rPr>
            </w:pPr>
            <w:r w:rsidRPr="00426763">
              <w:rPr>
                <w:rFonts w:cs="Arial"/>
                <w:spacing w:val="6"/>
                <w:sz w:val="18"/>
                <w:szCs w:val="18"/>
                <w:u w:color="000000"/>
                <w:lang w:val="en-GB"/>
              </w:rPr>
              <w:t>Recommended MRLs</w:t>
            </w:r>
          </w:p>
        </w:tc>
        <w:tc>
          <w:tcPr>
            <w:tcW w:w="1366" w:type="dxa"/>
            <w:tcBorders>
              <w:top w:val="dotted" w:sz="4" w:space="0" w:color="auto"/>
              <w:bottom w:val="single" w:sz="4" w:space="0" w:color="auto"/>
            </w:tcBorders>
          </w:tcPr>
          <w:p w14:paraId="122BB6E1"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*0.02</w:t>
            </w:r>
          </w:p>
        </w:tc>
        <w:tc>
          <w:tcPr>
            <w:tcW w:w="1366" w:type="dxa"/>
            <w:tcBorders>
              <w:top w:val="dotted" w:sz="4" w:space="0" w:color="auto"/>
              <w:bottom w:val="single" w:sz="4" w:space="0" w:color="auto"/>
            </w:tcBorders>
          </w:tcPr>
          <w:p w14:paraId="32138505"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*0.02</w:t>
            </w:r>
          </w:p>
        </w:tc>
        <w:tc>
          <w:tcPr>
            <w:tcW w:w="2734" w:type="dxa"/>
            <w:gridSpan w:val="2"/>
            <w:tcBorders>
              <w:top w:val="dotted" w:sz="4" w:space="0" w:color="auto"/>
              <w:bottom w:val="single" w:sz="4" w:space="0" w:color="auto"/>
            </w:tcBorders>
          </w:tcPr>
          <w:p w14:paraId="31E2DBE5"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0.2</w:t>
            </w:r>
          </w:p>
        </w:tc>
        <w:tc>
          <w:tcPr>
            <w:tcW w:w="1372" w:type="dxa"/>
            <w:tcBorders>
              <w:top w:val="dotted" w:sz="4" w:space="0" w:color="auto"/>
              <w:bottom w:val="single" w:sz="4" w:space="0" w:color="auto"/>
              <w:right w:val="single" w:sz="4" w:space="0" w:color="auto"/>
            </w:tcBorders>
          </w:tcPr>
          <w:p w14:paraId="671ABA2E" w14:textId="77777777" w:rsidR="00F3215A" w:rsidRPr="00426763" w:rsidRDefault="00F3215A" w:rsidP="00F437B8">
            <w:pPr>
              <w:suppressAutoHyphens/>
              <w:spacing w:before="120" w:line="210" w:lineRule="exact"/>
              <w:jc w:val="center"/>
              <w:rPr>
                <w:rFonts w:cs="Arial"/>
                <w:spacing w:val="6"/>
                <w:sz w:val="18"/>
                <w:szCs w:val="18"/>
                <w:u w:color="000000"/>
                <w:lang w:val="en-GB"/>
              </w:rPr>
            </w:pPr>
            <w:r w:rsidRPr="00426763">
              <w:rPr>
                <w:rFonts w:cs="Arial"/>
                <w:spacing w:val="6"/>
                <w:sz w:val="18"/>
                <w:szCs w:val="18"/>
                <w:u w:color="000000"/>
                <w:lang w:val="en-GB"/>
              </w:rPr>
              <w:t>*0.02</w:t>
            </w:r>
          </w:p>
        </w:tc>
      </w:tr>
    </w:tbl>
    <w:p w14:paraId="2DEB098B" w14:textId="77777777" w:rsidR="00ED160D" w:rsidRPr="00ED160D" w:rsidRDefault="00ED160D" w:rsidP="00ED160D">
      <w:pPr>
        <w:pStyle w:val="APVMAText"/>
        <w:rPr>
          <w:lang w:val="en-GB"/>
        </w:rPr>
      </w:pPr>
      <w:r w:rsidRPr="00ED160D">
        <w:rPr>
          <w:lang w:val="en-GB"/>
        </w:rPr>
        <w:t>It is recommended that the following 1,4-DMN MRLs for animal commodities be established in the MRL Standard.</w:t>
      </w:r>
    </w:p>
    <w:p w14:paraId="2CD9D9C9" w14:textId="38D354C8" w:rsidR="00ED160D" w:rsidRPr="00ED160D" w:rsidRDefault="00ED160D" w:rsidP="00ED160D">
      <w:pPr>
        <w:pStyle w:val="APVMAText"/>
        <w:contextualSpacing/>
        <w:rPr>
          <w:lang w:val="en-GB"/>
        </w:rPr>
      </w:pPr>
      <w:r w:rsidRPr="00ED160D">
        <w:rPr>
          <w:lang w:val="en-GB"/>
        </w:rPr>
        <w:t>Edible offal (mammalian)</w:t>
      </w:r>
      <w:r w:rsidRPr="00ED160D">
        <w:rPr>
          <w:lang w:val="en-GB"/>
        </w:rPr>
        <w:tab/>
      </w:r>
      <w:r w:rsidRPr="00ED160D">
        <w:rPr>
          <w:lang w:val="en-GB"/>
        </w:rPr>
        <w:tab/>
        <w:t xml:space="preserve">           0.2 mg/kg</w:t>
      </w:r>
    </w:p>
    <w:p w14:paraId="3C84C804" w14:textId="77777777" w:rsidR="00ED160D" w:rsidRPr="00ED160D" w:rsidRDefault="00ED160D" w:rsidP="00ED160D">
      <w:pPr>
        <w:pStyle w:val="APVMAText"/>
        <w:contextualSpacing/>
        <w:rPr>
          <w:lang w:val="en-GB"/>
        </w:rPr>
      </w:pPr>
      <w:r w:rsidRPr="00ED160D">
        <w:rPr>
          <w:lang w:val="en-GB"/>
        </w:rPr>
        <w:t>Meat (mammalian) [in the fat]</w:t>
      </w:r>
      <w:r w:rsidRPr="00ED160D">
        <w:rPr>
          <w:lang w:val="en-GB"/>
        </w:rPr>
        <w:tab/>
        <w:t xml:space="preserve">   </w:t>
      </w:r>
      <w:r w:rsidRPr="00ED160D">
        <w:rPr>
          <w:lang w:val="en-GB"/>
        </w:rPr>
        <w:tab/>
        <w:t>*0.02 mg/kg</w:t>
      </w:r>
    </w:p>
    <w:p w14:paraId="4CFA0CAE" w14:textId="77777777" w:rsidR="00ED160D" w:rsidRPr="00ED160D" w:rsidRDefault="00ED160D" w:rsidP="00ED160D">
      <w:pPr>
        <w:pStyle w:val="APVMAText"/>
        <w:contextualSpacing/>
        <w:rPr>
          <w:lang w:val="en-GB"/>
        </w:rPr>
      </w:pPr>
      <w:r w:rsidRPr="00ED160D">
        <w:rPr>
          <w:lang w:val="en-GB"/>
        </w:rPr>
        <w:t xml:space="preserve">Milks </w:t>
      </w:r>
      <w:r w:rsidRPr="00ED160D">
        <w:rPr>
          <w:lang w:val="en-GB"/>
        </w:rPr>
        <w:tab/>
      </w:r>
      <w:r w:rsidRPr="00ED160D">
        <w:rPr>
          <w:lang w:val="en-GB"/>
        </w:rPr>
        <w:tab/>
      </w:r>
      <w:r w:rsidRPr="00ED160D">
        <w:rPr>
          <w:lang w:val="en-GB"/>
        </w:rPr>
        <w:tab/>
      </w:r>
      <w:r w:rsidRPr="00ED160D">
        <w:rPr>
          <w:lang w:val="en-GB"/>
        </w:rPr>
        <w:tab/>
      </w:r>
      <w:r w:rsidRPr="00ED160D">
        <w:rPr>
          <w:lang w:val="en-GB"/>
        </w:rPr>
        <w:tab/>
      </w:r>
      <w:r w:rsidRPr="00ED160D">
        <w:rPr>
          <w:lang w:val="en-GB"/>
        </w:rPr>
        <w:tab/>
        <w:t>*0.02 mg/kg</w:t>
      </w:r>
    </w:p>
    <w:p w14:paraId="2FC55723" w14:textId="1EBA7C0D" w:rsidR="00ED160D" w:rsidRDefault="00ED160D" w:rsidP="00ED160D">
      <w:pPr>
        <w:pStyle w:val="Heading3"/>
        <w:rPr>
          <w:lang w:val="en-GB"/>
        </w:rPr>
      </w:pPr>
      <w:r w:rsidRPr="00ED160D">
        <w:rPr>
          <w:lang w:val="en-GB"/>
        </w:rPr>
        <w:t>Poultry livestock burden</w:t>
      </w:r>
    </w:p>
    <w:p w14:paraId="40ACB115" w14:textId="1D81085A" w:rsidR="00ED160D" w:rsidRPr="00ED160D" w:rsidRDefault="00ED160D" w:rsidP="00ED160D">
      <w:pPr>
        <w:pStyle w:val="APVMAText"/>
        <w:rPr>
          <w:lang w:val="en-GB"/>
        </w:rPr>
      </w:pPr>
      <w:r w:rsidRPr="00ED160D">
        <w:rPr>
          <w:lang w:val="en-GB"/>
        </w:rPr>
        <w:t>Potato or potato processed products are not fed to poultry in Australia. Therefore, 1,4-DMN residues are not expected in poultry commodities as a result of the proposed use in stored potatoes.</w:t>
      </w:r>
    </w:p>
    <w:p w14:paraId="3C124487" w14:textId="7A2A3564" w:rsidR="00ED160D" w:rsidRPr="00ED160D" w:rsidRDefault="00ED160D" w:rsidP="00ED160D">
      <w:pPr>
        <w:pStyle w:val="APVMAText"/>
        <w:rPr>
          <w:lang w:val="en-GB"/>
        </w:rPr>
      </w:pPr>
      <w:r w:rsidRPr="00ED160D">
        <w:rPr>
          <w:lang w:val="en-GB"/>
        </w:rPr>
        <w:t>It is recommended to establish the following poultry MRLs in the MRL Standard.</w:t>
      </w:r>
    </w:p>
    <w:p w14:paraId="23DBB6FA" w14:textId="404F2F38" w:rsidR="00ED160D" w:rsidRPr="00ED160D" w:rsidRDefault="00ED160D" w:rsidP="00ED160D">
      <w:pPr>
        <w:pStyle w:val="APVMAText"/>
        <w:contextualSpacing/>
        <w:rPr>
          <w:lang w:val="en-GB"/>
        </w:rPr>
      </w:pPr>
      <w:r w:rsidRPr="00ED160D">
        <w:rPr>
          <w:lang w:val="en-GB"/>
        </w:rPr>
        <w:t xml:space="preserve">Eggs </w:t>
      </w:r>
      <w:r w:rsidRPr="00ED160D">
        <w:rPr>
          <w:lang w:val="en-GB"/>
        </w:rPr>
        <w:tab/>
        <w:t xml:space="preserve"> </w:t>
      </w:r>
      <w:r w:rsidRPr="00ED160D">
        <w:rPr>
          <w:lang w:val="en-GB"/>
        </w:rPr>
        <w:tab/>
      </w:r>
      <w:r w:rsidRPr="00ED160D">
        <w:rPr>
          <w:lang w:val="en-GB"/>
        </w:rPr>
        <w:tab/>
      </w:r>
      <w:r w:rsidRPr="00ED160D">
        <w:rPr>
          <w:lang w:val="en-GB"/>
        </w:rPr>
        <w:tab/>
        <w:t xml:space="preserve">                     *0.02 mg/kg</w:t>
      </w:r>
    </w:p>
    <w:p w14:paraId="3F0756AF" w14:textId="76048342" w:rsidR="00ED160D" w:rsidRPr="00ED160D" w:rsidRDefault="00ED160D" w:rsidP="00ED160D">
      <w:pPr>
        <w:pStyle w:val="APVMAText"/>
        <w:contextualSpacing/>
        <w:rPr>
          <w:lang w:val="en-GB"/>
        </w:rPr>
      </w:pPr>
      <w:r w:rsidRPr="00ED160D">
        <w:rPr>
          <w:lang w:val="en-GB"/>
        </w:rPr>
        <w:t xml:space="preserve">Poultry meat [in the fat]          </w:t>
      </w:r>
      <w:r w:rsidRPr="00ED160D">
        <w:rPr>
          <w:lang w:val="en-GB"/>
        </w:rPr>
        <w:tab/>
      </w:r>
      <w:r w:rsidRPr="00ED160D">
        <w:rPr>
          <w:lang w:val="en-GB"/>
        </w:rPr>
        <w:tab/>
        <w:t>*0.02 mg/kg</w:t>
      </w:r>
    </w:p>
    <w:p w14:paraId="17954474" w14:textId="77777777" w:rsidR="00ED160D" w:rsidRPr="00ED160D" w:rsidRDefault="00ED160D" w:rsidP="00ED160D">
      <w:pPr>
        <w:pStyle w:val="APVMAText"/>
        <w:contextualSpacing/>
        <w:rPr>
          <w:lang w:val="en-GB"/>
        </w:rPr>
      </w:pPr>
      <w:r w:rsidRPr="00ED160D">
        <w:rPr>
          <w:lang w:val="en-GB"/>
        </w:rPr>
        <w:t xml:space="preserve">Poultry, edible offal of </w:t>
      </w:r>
      <w:r w:rsidRPr="00ED160D">
        <w:rPr>
          <w:lang w:val="en-GB"/>
        </w:rPr>
        <w:tab/>
      </w:r>
      <w:r w:rsidRPr="00ED160D">
        <w:rPr>
          <w:lang w:val="en-GB"/>
        </w:rPr>
        <w:tab/>
      </w:r>
      <w:r w:rsidRPr="00ED160D">
        <w:rPr>
          <w:lang w:val="en-GB"/>
        </w:rPr>
        <w:tab/>
        <w:t>*0.05 mg/kg</w:t>
      </w:r>
    </w:p>
    <w:p w14:paraId="1C872D21" w14:textId="77777777" w:rsidR="00302D38" w:rsidRDefault="00302D38" w:rsidP="00302D38">
      <w:pPr>
        <w:pStyle w:val="Heading2"/>
        <w:ind w:left="907" w:hanging="907"/>
        <w:rPr>
          <w:lang w:val="en-GB"/>
        </w:rPr>
      </w:pPr>
      <w:bookmarkStart w:id="105" w:name="_Toc531181087"/>
      <w:bookmarkStart w:id="106" w:name="_Toc7561256"/>
      <w:bookmarkStart w:id="107" w:name="_Toc229751405"/>
      <w:r>
        <w:rPr>
          <w:lang w:val="en-GB"/>
        </w:rPr>
        <w:lastRenderedPageBreak/>
        <w:t>Dietary risk assessment</w:t>
      </w:r>
      <w:bookmarkEnd w:id="105"/>
      <w:bookmarkEnd w:id="106"/>
      <w:bookmarkEnd w:id="107"/>
    </w:p>
    <w:p w14:paraId="795D9230" w14:textId="032077C2" w:rsidR="00ED160D" w:rsidRPr="00ED160D" w:rsidRDefault="00ED160D" w:rsidP="00ED160D">
      <w:pPr>
        <w:pStyle w:val="APVMAText"/>
        <w:rPr>
          <w:lang w:val="en-GB"/>
        </w:rPr>
      </w:pPr>
      <w:bookmarkStart w:id="108" w:name="_Toc531181088"/>
      <w:bookmarkStart w:id="109" w:name="_Toc7561257"/>
      <w:r w:rsidRPr="00ED160D">
        <w:rPr>
          <w:lang w:val="en-GB"/>
        </w:rPr>
        <w:t>The chronic dietary exposure to 1,4-dimethylnaphthalene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w:t>
      </w:r>
    </w:p>
    <w:p w14:paraId="15BE3F50" w14:textId="0F9EED79" w:rsidR="00ED160D" w:rsidRPr="00ED160D" w:rsidRDefault="00ED160D" w:rsidP="00ED160D">
      <w:pPr>
        <w:pStyle w:val="APVMAText"/>
        <w:rPr>
          <w:lang w:val="en-GB"/>
        </w:rPr>
      </w:pPr>
      <w:r w:rsidRPr="00ED160D">
        <w:rPr>
          <w:lang w:val="en-GB"/>
        </w:rPr>
        <w:t>The NEDI for 1,4-dimethylnaphthalene is &lt;15% of the ADI. It is concluded that the chronic dietary exposure to 1,4-dimethylnaphthalene is acceptable.</w:t>
      </w:r>
    </w:p>
    <w:p w14:paraId="3E8FADEA" w14:textId="5F0903F0" w:rsidR="00ED160D" w:rsidRPr="00ED160D" w:rsidRDefault="00ED160D" w:rsidP="00ED160D">
      <w:pPr>
        <w:pStyle w:val="APVMAText"/>
        <w:rPr>
          <w:lang w:val="en-GB"/>
        </w:rPr>
      </w:pPr>
      <w:r w:rsidRPr="00ED160D">
        <w:rPr>
          <w:lang w:val="en-GB"/>
        </w:rPr>
        <w:t>The acute dietary exposure is estimated by the National Estimated Short-Term Intake (NESTI) calculation. The NESTI calculations are made in accordance with the deterministic method used by the JMPR with 97.5th percentile food consumption data derived primarily from the 2011-12 National Nutritional and Physical Activity Survey. NESTI calculations are conservative estimates of short-term exposure (24-hour period) to chemical residues in food.</w:t>
      </w:r>
    </w:p>
    <w:p w14:paraId="7ABF1EFF" w14:textId="7335CED1" w:rsidR="00ED160D" w:rsidRPr="00C2266E" w:rsidRDefault="00ED160D" w:rsidP="00692A9B">
      <w:pPr>
        <w:pStyle w:val="APVMAText"/>
        <w:rPr>
          <w:lang w:val="en-GB"/>
        </w:rPr>
      </w:pPr>
      <w:r w:rsidRPr="00ED160D">
        <w:rPr>
          <w:lang w:val="en-GB"/>
        </w:rPr>
        <w:t>An ARfD was considered unnecessary by the APVMA and the JMPR. Therefore, acute dietary exposure assessment is not required.</w:t>
      </w:r>
      <w:r w:rsidR="00C2266E">
        <w:rPr>
          <w:lang w:val="en-GB"/>
        </w:rPr>
        <w:br w:type="page"/>
      </w:r>
    </w:p>
    <w:p w14:paraId="58911CAA" w14:textId="77777777" w:rsidR="00302D38" w:rsidRDefault="00302D38" w:rsidP="00302D38">
      <w:pPr>
        <w:pStyle w:val="Heading2"/>
        <w:ind w:left="907" w:hanging="907"/>
      </w:pPr>
      <w:bookmarkStart w:id="110" w:name="_Toc229751406"/>
      <w:r>
        <w:lastRenderedPageBreak/>
        <w:t>Recommendations</w:t>
      </w:r>
      <w:bookmarkEnd w:id="108"/>
      <w:bookmarkEnd w:id="109"/>
      <w:bookmarkEnd w:id="110"/>
    </w:p>
    <w:p w14:paraId="52057C86" w14:textId="77777777" w:rsidR="00302D38" w:rsidRDefault="00302D38" w:rsidP="00302D38">
      <w:pPr>
        <w:pStyle w:val="APVMAText"/>
      </w:pPr>
      <w:r>
        <w:rPr>
          <w:szCs w:val="20"/>
        </w:rPr>
        <w:t>The following amendments are required to be made to the APVMA MRL Standard (Table 5).</w:t>
      </w:r>
    </w:p>
    <w:p w14:paraId="3787078F" w14:textId="19DAAA34" w:rsidR="00302D38" w:rsidRDefault="00772458" w:rsidP="00772458">
      <w:pPr>
        <w:pStyle w:val="Caption"/>
      </w:pPr>
      <w:bookmarkStart w:id="111" w:name="_Toc523995126"/>
      <w:bookmarkStart w:id="112" w:name="_Toc56686270"/>
      <w:bookmarkStart w:id="113" w:name="_Toc56686283"/>
      <w:bookmarkStart w:id="114" w:name="_Toc229751433"/>
      <w:r>
        <w:t xml:space="preserve">Table </w:t>
      </w:r>
      <w:fldSimple w:instr=" SEQ Table \* ARABIC ">
        <w:r>
          <w:rPr>
            <w:noProof/>
          </w:rPr>
          <w:t>5</w:t>
        </w:r>
      </w:fldSimple>
      <w:r w:rsidR="00302D38">
        <w:t>:</w:t>
      </w:r>
      <w:r w:rsidR="00302D38" w:rsidRPr="001D4D17">
        <w:t xml:space="preserve"> </w:t>
      </w:r>
      <w:r w:rsidR="00302D38">
        <w:t xml:space="preserve">Amendments to the APVMA </w:t>
      </w:r>
      <w:r w:rsidR="00302D38">
        <w:rPr>
          <w:bCs/>
        </w:rPr>
        <w:t>MRL Standard</w:t>
      </w:r>
      <w:bookmarkEnd w:id="111"/>
      <w:bookmarkEnd w:id="112"/>
      <w:bookmarkEnd w:id="113"/>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D90D30" w14:paraId="0BDA6947" w14:textId="77777777" w:rsidTr="00424637">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5239BB7C" w14:textId="77777777" w:rsidR="00D90D30" w:rsidRDefault="00D90D30" w:rsidP="009D0723">
            <w:pPr>
              <w:pStyle w:val="APVMATableHead"/>
            </w:pPr>
            <w:r>
              <w:t>Amendments to Table 1</w:t>
            </w:r>
          </w:p>
        </w:tc>
      </w:tr>
      <w:tr w:rsidR="00D90D30" w14:paraId="0EC12A1D"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55058B7A" w14:textId="77777777" w:rsidR="00D90D30" w:rsidRDefault="00D90D30" w:rsidP="009D0723">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50C4BA7C" w14:textId="77777777" w:rsidR="00D90D30" w:rsidRDefault="00D90D30" w:rsidP="009D0723">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263307DB" w14:textId="77777777" w:rsidR="00D90D30" w:rsidRDefault="00D90D30" w:rsidP="009D0723">
            <w:pPr>
              <w:pStyle w:val="APVMATableHeadRight"/>
            </w:pPr>
            <w:r>
              <w:t>MRL (mg/kg)</w:t>
            </w:r>
          </w:p>
        </w:tc>
      </w:tr>
      <w:tr w:rsidR="00D90D30" w14:paraId="7FAFBAE3" w14:textId="77777777" w:rsidTr="00424637">
        <w:tc>
          <w:tcPr>
            <w:tcW w:w="5000" w:type="pct"/>
            <w:gridSpan w:val="3"/>
            <w:tcBorders>
              <w:top w:val="single" w:sz="4" w:space="0" w:color="auto"/>
              <w:left w:val="nil"/>
              <w:bottom w:val="nil"/>
              <w:right w:val="nil"/>
            </w:tcBorders>
          </w:tcPr>
          <w:p w14:paraId="23794DF0" w14:textId="396E33B4" w:rsidR="00D90D30" w:rsidRPr="00FF6B28" w:rsidRDefault="00480C1F" w:rsidP="00EA7005">
            <w:pPr>
              <w:pStyle w:val="APVMATableText"/>
              <w:rPr>
                <w:szCs w:val="17"/>
              </w:rPr>
            </w:pPr>
            <w:r w:rsidRPr="00FF6B28">
              <w:rPr>
                <w:szCs w:val="17"/>
              </w:rPr>
              <w:t xml:space="preserve">Add: </w:t>
            </w:r>
          </w:p>
        </w:tc>
      </w:tr>
      <w:tr w:rsidR="00D90D30" w14:paraId="4A971EE0" w14:textId="77777777" w:rsidTr="00424637">
        <w:tc>
          <w:tcPr>
            <w:tcW w:w="1613" w:type="pct"/>
            <w:tcBorders>
              <w:top w:val="nil"/>
              <w:left w:val="nil"/>
              <w:bottom w:val="nil"/>
              <w:right w:val="nil"/>
            </w:tcBorders>
          </w:tcPr>
          <w:p w14:paraId="13A19A57" w14:textId="574AD0B2" w:rsidR="00D90D30" w:rsidRPr="00FF6B28" w:rsidRDefault="00480C1F" w:rsidP="00424637">
            <w:pPr>
              <w:pStyle w:val="MRLActiveName"/>
              <w:rPr>
                <w:rFonts w:ascii="Arial" w:hAnsi="Arial" w:cs="Arial"/>
                <w:sz w:val="17"/>
                <w:szCs w:val="17"/>
              </w:rPr>
            </w:pPr>
            <w:r w:rsidRPr="00FF6B28">
              <w:rPr>
                <w:rFonts w:ascii="Arial" w:hAnsi="Arial" w:cs="Arial"/>
                <w:sz w:val="17"/>
                <w:szCs w:val="17"/>
              </w:rPr>
              <w:t>1,4-dimethylnaphthalene</w:t>
            </w:r>
          </w:p>
        </w:tc>
        <w:tc>
          <w:tcPr>
            <w:tcW w:w="2392" w:type="pct"/>
            <w:tcBorders>
              <w:top w:val="nil"/>
              <w:left w:val="nil"/>
              <w:bottom w:val="nil"/>
              <w:right w:val="nil"/>
            </w:tcBorders>
          </w:tcPr>
          <w:p w14:paraId="39AAC975" w14:textId="77777777" w:rsidR="00D90D30" w:rsidRPr="00FF6B28" w:rsidRDefault="00D90D30" w:rsidP="00EA7005">
            <w:pPr>
              <w:pStyle w:val="APVMATableText"/>
              <w:rPr>
                <w:szCs w:val="17"/>
              </w:rPr>
            </w:pPr>
          </w:p>
        </w:tc>
        <w:tc>
          <w:tcPr>
            <w:tcW w:w="995" w:type="pct"/>
            <w:tcBorders>
              <w:top w:val="nil"/>
              <w:left w:val="nil"/>
              <w:bottom w:val="nil"/>
              <w:right w:val="nil"/>
            </w:tcBorders>
          </w:tcPr>
          <w:p w14:paraId="67FF5CC7" w14:textId="77777777" w:rsidR="00D90D30" w:rsidRPr="00FF6B28" w:rsidRDefault="00D90D30" w:rsidP="00424637">
            <w:pPr>
              <w:pStyle w:val="APVMATableTextRight"/>
              <w:rPr>
                <w:szCs w:val="17"/>
              </w:rPr>
            </w:pPr>
          </w:p>
        </w:tc>
      </w:tr>
      <w:tr w:rsidR="00480C1F" w14:paraId="6A3067AA" w14:textId="77777777" w:rsidTr="00424637">
        <w:tc>
          <w:tcPr>
            <w:tcW w:w="1613" w:type="pct"/>
            <w:tcBorders>
              <w:top w:val="nil"/>
              <w:left w:val="nil"/>
              <w:bottom w:val="nil"/>
              <w:right w:val="nil"/>
            </w:tcBorders>
          </w:tcPr>
          <w:p w14:paraId="22885663" w14:textId="6C4EAC31" w:rsidR="00480C1F" w:rsidRPr="00FF6B28" w:rsidRDefault="00480C1F" w:rsidP="00480C1F">
            <w:pPr>
              <w:pStyle w:val="APVMATableText"/>
              <w:rPr>
                <w:szCs w:val="17"/>
              </w:rPr>
            </w:pPr>
            <w:r w:rsidRPr="00FF6B28">
              <w:rPr>
                <w:color w:val="353735" w:themeColor="text1"/>
                <w:szCs w:val="17"/>
              </w:rPr>
              <w:t>MO 0105</w:t>
            </w:r>
          </w:p>
        </w:tc>
        <w:tc>
          <w:tcPr>
            <w:tcW w:w="2392" w:type="pct"/>
            <w:tcBorders>
              <w:top w:val="nil"/>
              <w:left w:val="nil"/>
              <w:bottom w:val="nil"/>
              <w:right w:val="nil"/>
            </w:tcBorders>
          </w:tcPr>
          <w:p w14:paraId="6366D3BA" w14:textId="68E04081" w:rsidR="00480C1F" w:rsidRPr="00FF6B28" w:rsidRDefault="00480C1F" w:rsidP="00480C1F">
            <w:pPr>
              <w:pStyle w:val="APVMATableText"/>
              <w:rPr>
                <w:szCs w:val="17"/>
              </w:rPr>
            </w:pPr>
            <w:r w:rsidRPr="00FF6B28">
              <w:rPr>
                <w:color w:val="353735" w:themeColor="text1"/>
                <w:szCs w:val="17"/>
              </w:rPr>
              <w:t>Edible offal (mammalian)</w:t>
            </w:r>
          </w:p>
        </w:tc>
        <w:tc>
          <w:tcPr>
            <w:tcW w:w="995" w:type="pct"/>
            <w:tcBorders>
              <w:top w:val="nil"/>
              <w:left w:val="nil"/>
              <w:bottom w:val="nil"/>
              <w:right w:val="nil"/>
            </w:tcBorders>
          </w:tcPr>
          <w:p w14:paraId="7AD57683" w14:textId="68B8EA9D" w:rsidR="00480C1F" w:rsidRPr="00FF6B28" w:rsidRDefault="00480C1F" w:rsidP="00480C1F">
            <w:pPr>
              <w:pStyle w:val="APVMATableTextRight"/>
              <w:rPr>
                <w:szCs w:val="17"/>
              </w:rPr>
            </w:pPr>
            <w:r w:rsidRPr="00FF6B28">
              <w:rPr>
                <w:color w:val="353735" w:themeColor="text1"/>
                <w:szCs w:val="17"/>
              </w:rPr>
              <w:t xml:space="preserve">0.2 </w:t>
            </w:r>
          </w:p>
        </w:tc>
      </w:tr>
      <w:tr w:rsidR="00480C1F" w14:paraId="18B8ABF3" w14:textId="77777777" w:rsidTr="00424637">
        <w:tc>
          <w:tcPr>
            <w:tcW w:w="1613" w:type="pct"/>
            <w:tcBorders>
              <w:top w:val="nil"/>
              <w:left w:val="nil"/>
              <w:bottom w:val="nil"/>
              <w:right w:val="nil"/>
            </w:tcBorders>
          </w:tcPr>
          <w:p w14:paraId="4A32B985" w14:textId="7BF6DA9F" w:rsidR="00480C1F" w:rsidRPr="00FF6B28" w:rsidRDefault="00480C1F" w:rsidP="00480C1F">
            <w:pPr>
              <w:pStyle w:val="APVMATableText"/>
              <w:rPr>
                <w:szCs w:val="17"/>
              </w:rPr>
            </w:pPr>
            <w:r w:rsidRPr="00FF6B28">
              <w:rPr>
                <w:color w:val="353735" w:themeColor="text1"/>
                <w:szCs w:val="17"/>
              </w:rPr>
              <w:t>PE 0112</w:t>
            </w:r>
          </w:p>
        </w:tc>
        <w:tc>
          <w:tcPr>
            <w:tcW w:w="2392" w:type="pct"/>
            <w:tcBorders>
              <w:top w:val="nil"/>
              <w:left w:val="nil"/>
              <w:bottom w:val="nil"/>
              <w:right w:val="nil"/>
            </w:tcBorders>
          </w:tcPr>
          <w:p w14:paraId="1703EEFF" w14:textId="482E0849" w:rsidR="00480C1F" w:rsidRPr="00FF6B28" w:rsidRDefault="00480C1F" w:rsidP="00480C1F">
            <w:pPr>
              <w:pStyle w:val="APVMATableText"/>
              <w:rPr>
                <w:szCs w:val="17"/>
              </w:rPr>
            </w:pPr>
            <w:r w:rsidRPr="00FF6B28">
              <w:rPr>
                <w:color w:val="353735" w:themeColor="text1"/>
                <w:szCs w:val="17"/>
              </w:rPr>
              <w:t xml:space="preserve">Eggs </w:t>
            </w:r>
          </w:p>
        </w:tc>
        <w:tc>
          <w:tcPr>
            <w:tcW w:w="995" w:type="pct"/>
            <w:tcBorders>
              <w:top w:val="nil"/>
              <w:left w:val="nil"/>
              <w:bottom w:val="nil"/>
              <w:right w:val="nil"/>
            </w:tcBorders>
          </w:tcPr>
          <w:p w14:paraId="0CF471A6" w14:textId="2900C28B" w:rsidR="00480C1F" w:rsidRPr="00FF6B28" w:rsidRDefault="00480C1F" w:rsidP="00480C1F">
            <w:pPr>
              <w:pStyle w:val="APVMATableTextRight"/>
              <w:rPr>
                <w:szCs w:val="17"/>
              </w:rPr>
            </w:pPr>
            <w:r w:rsidRPr="00FF6B28">
              <w:rPr>
                <w:color w:val="353735" w:themeColor="text1"/>
                <w:szCs w:val="17"/>
              </w:rPr>
              <w:t xml:space="preserve">*0.02 </w:t>
            </w:r>
          </w:p>
        </w:tc>
      </w:tr>
      <w:tr w:rsidR="00480C1F" w14:paraId="04146A19" w14:textId="77777777" w:rsidTr="00424637">
        <w:tc>
          <w:tcPr>
            <w:tcW w:w="1613" w:type="pct"/>
            <w:tcBorders>
              <w:top w:val="nil"/>
              <w:left w:val="nil"/>
              <w:bottom w:val="nil"/>
              <w:right w:val="nil"/>
            </w:tcBorders>
          </w:tcPr>
          <w:p w14:paraId="306323B4" w14:textId="1D342929" w:rsidR="00480C1F" w:rsidRPr="00FF6B28" w:rsidRDefault="00480C1F" w:rsidP="00480C1F">
            <w:pPr>
              <w:pStyle w:val="APVMATableText"/>
              <w:rPr>
                <w:szCs w:val="17"/>
              </w:rPr>
            </w:pPr>
            <w:r w:rsidRPr="00FF6B28">
              <w:rPr>
                <w:color w:val="353735" w:themeColor="text1"/>
                <w:szCs w:val="17"/>
              </w:rPr>
              <w:t>MM 0095</w:t>
            </w:r>
          </w:p>
        </w:tc>
        <w:tc>
          <w:tcPr>
            <w:tcW w:w="2392" w:type="pct"/>
            <w:tcBorders>
              <w:top w:val="nil"/>
              <w:left w:val="nil"/>
              <w:bottom w:val="nil"/>
              <w:right w:val="nil"/>
            </w:tcBorders>
          </w:tcPr>
          <w:p w14:paraId="665D7300" w14:textId="751BDB7D" w:rsidR="00480C1F" w:rsidRPr="00FF6B28" w:rsidRDefault="00480C1F" w:rsidP="00480C1F">
            <w:pPr>
              <w:pStyle w:val="APVMATableText"/>
              <w:rPr>
                <w:szCs w:val="17"/>
              </w:rPr>
            </w:pPr>
            <w:r w:rsidRPr="00FF6B28">
              <w:rPr>
                <w:color w:val="353735" w:themeColor="text1"/>
                <w:szCs w:val="17"/>
              </w:rPr>
              <w:t>Meat (mammalian) [in the fat]</w:t>
            </w:r>
          </w:p>
        </w:tc>
        <w:tc>
          <w:tcPr>
            <w:tcW w:w="995" w:type="pct"/>
            <w:tcBorders>
              <w:top w:val="nil"/>
              <w:left w:val="nil"/>
              <w:bottom w:val="nil"/>
              <w:right w:val="nil"/>
            </w:tcBorders>
          </w:tcPr>
          <w:p w14:paraId="2A11B333" w14:textId="48C04332" w:rsidR="00480C1F" w:rsidRPr="00FF6B28" w:rsidRDefault="00480C1F" w:rsidP="00480C1F">
            <w:pPr>
              <w:pStyle w:val="APVMATableTextRight"/>
              <w:rPr>
                <w:szCs w:val="17"/>
              </w:rPr>
            </w:pPr>
            <w:r w:rsidRPr="00FF6B28">
              <w:rPr>
                <w:color w:val="353735" w:themeColor="text1"/>
                <w:szCs w:val="17"/>
              </w:rPr>
              <w:t>*0.02</w:t>
            </w:r>
          </w:p>
        </w:tc>
      </w:tr>
      <w:tr w:rsidR="00480C1F" w14:paraId="0782FFDA" w14:textId="77777777" w:rsidTr="00424637">
        <w:tc>
          <w:tcPr>
            <w:tcW w:w="1613" w:type="pct"/>
            <w:tcBorders>
              <w:top w:val="nil"/>
              <w:left w:val="nil"/>
              <w:bottom w:val="nil"/>
              <w:right w:val="nil"/>
            </w:tcBorders>
          </w:tcPr>
          <w:p w14:paraId="74CBC81F" w14:textId="12DEA783" w:rsidR="00480C1F" w:rsidRPr="00FF6B28" w:rsidRDefault="00480C1F" w:rsidP="00480C1F">
            <w:pPr>
              <w:pStyle w:val="APVMATableText"/>
              <w:rPr>
                <w:szCs w:val="17"/>
              </w:rPr>
            </w:pPr>
            <w:r w:rsidRPr="00FF6B28">
              <w:rPr>
                <w:color w:val="353735" w:themeColor="text1"/>
                <w:szCs w:val="17"/>
              </w:rPr>
              <w:t>ML 0106</w:t>
            </w:r>
          </w:p>
        </w:tc>
        <w:tc>
          <w:tcPr>
            <w:tcW w:w="2392" w:type="pct"/>
            <w:tcBorders>
              <w:top w:val="nil"/>
              <w:left w:val="nil"/>
              <w:bottom w:val="nil"/>
              <w:right w:val="nil"/>
            </w:tcBorders>
          </w:tcPr>
          <w:p w14:paraId="48C95315" w14:textId="02CD17F9" w:rsidR="00480C1F" w:rsidRPr="00FF6B28" w:rsidRDefault="00480C1F" w:rsidP="00480C1F">
            <w:pPr>
              <w:pStyle w:val="APVMATableText"/>
              <w:rPr>
                <w:szCs w:val="17"/>
              </w:rPr>
            </w:pPr>
            <w:r w:rsidRPr="00FF6B28">
              <w:rPr>
                <w:color w:val="353735" w:themeColor="text1"/>
                <w:szCs w:val="17"/>
              </w:rPr>
              <w:t>Milks</w:t>
            </w:r>
          </w:p>
        </w:tc>
        <w:tc>
          <w:tcPr>
            <w:tcW w:w="995" w:type="pct"/>
            <w:tcBorders>
              <w:top w:val="nil"/>
              <w:left w:val="nil"/>
              <w:bottom w:val="nil"/>
              <w:right w:val="nil"/>
            </w:tcBorders>
          </w:tcPr>
          <w:p w14:paraId="6E85365A" w14:textId="111D5499" w:rsidR="00480C1F" w:rsidRPr="00FF6B28" w:rsidRDefault="00480C1F" w:rsidP="00480C1F">
            <w:pPr>
              <w:pStyle w:val="APVMATableTextRight"/>
              <w:rPr>
                <w:szCs w:val="17"/>
              </w:rPr>
            </w:pPr>
            <w:r w:rsidRPr="00FF6B28">
              <w:rPr>
                <w:color w:val="353735" w:themeColor="text1"/>
                <w:szCs w:val="17"/>
              </w:rPr>
              <w:t>*0.02</w:t>
            </w:r>
          </w:p>
        </w:tc>
      </w:tr>
      <w:tr w:rsidR="00480C1F" w14:paraId="43D2DD8F" w14:textId="77777777" w:rsidTr="00424637">
        <w:tc>
          <w:tcPr>
            <w:tcW w:w="1613" w:type="pct"/>
            <w:tcBorders>
              <w:top w:val="nil"/>
              <w:left w:val="nil"/>
              <w:bottom w:val="nil"/>
              <w:right w:val="nil"/>
            </w:tcBorders>
          </w:tcPr>
          <w:p w14:paraId="17440286" w14:textId="2D431A59" w:rsidR="00480C1F" w:rsidRPr="00FF6B28" w:rsidRDefault="00480C1F" w:rsidP="00480C1F">
            <w:pPr>
              <w:pStyle w:val="APVMATableText"/>
              <w:rPr>
                <w:szCs w:val="17"/>
              </w:rPr>
            </w:pPr>
            <w:r w:rsidRPr="00FF6B28">
              <w:rPr>
                <w:color w:val="353735" w:themeColor="text1"/>
                <w:szCs w:val="17"/>
              </w:rPr>
              <w:t>VR 0589</w:t>
            </w:r>
          </w:p>
        </w:tc>
        <w:tc>
          <w:tcPr>
            <w:tcW w:w="2392" w:type="pct"/>
            <w:tcBorders>
              <w:top w:val="nil"/>
              <w:left w:val="nil"/>
              <w:bottom w:val="nil"/>
              <w:right w:val="nil"/>
            </w:tcBorders>
          </w:tcPr>
          <w:p w14:paraId="27217FE9" w14:textId="02568B9F" w:rsidR="00480C1F" w:rsidRPr="00FF6B28" w:rsidRDefault="00480C1F" w:rsidP="00480C1F">
            <w:pPr>
              <w:pStyle w:val="APVMATableText"/>
              <w:rPr>
                <w:szCs w:val="17"/>
              </w:rPr>
            </w:pPr>
            <w:r w:rsidRPr="00FF6B28">
              <w:rPr>
                <w:color w:val="353735" w:themeColor="text1"/>
                <w:szCs w:val="17"/>
              </w:rPr>
              <w:t>Potato</w:t>
            </w:r>
          </w:p>
        </w:tc>
        <w:tc>
          <w:tcPr>
            <w:tcW w:w="995" w:type="pct"/>
            <w:tcBorders>
              <w:top w:val="nil"/>
              <w:left w:val="nil"/>
              <w:bottom w:val="nil"/>
              <w:right w:val="nil"/>
            </w:tcBorders>
          </w:tcPr>
          <w:p w14:paraId="4B34CE15" w14:textId="4D370A95" w:rsidR="00480C1F" w:rsidRPr="00FF6B28" w:rsidRDefault="00480C1F" w:rsidP="00480C1F">
            <w:pPr>
              <w:pStyle w:val="APVMATableTextRight"/>
              <w:rPr>
                <w:szCs w:val="17"/>
              </w:rPr>
            </w:pPr>
            <w:r w:rsidRPr="00FF6B28">
              <w:rPr>
                <w:color w:val="353735" w:themeColor="text1"/>
                <w:szCs w:val="17"/>
              </w:rPr>
              <w:t>20</w:t>
            </w:r>
          </w:p>
        </w:tc>
      </w:tr>
      <w:tr w:rsidR="00480C1F" w14:paraId="6934BBD0" w14:textId="77777777" w:rsidTr="00424637">
        <w:tc>
          <w:tcPr>
            <w:tcW w:w="1613" w:type="pct"/>
            <w:tcBorders>
              <w:top w:val="nil"/>
              <w:left w:val="nil"/>
              <w:bottom w:val="nil"/>
              <w:right w:val="nil"/>
            </w:tcBorders>
          </w:tcPr>
          <w:p w14:paraId="5E05CA22" w14:textId="6A1A906D" w:rsidR="00480C1F" w:rsidRPr="00FF6B28" w:rsidRDefault="00480C1F" w:rsidP="00480C1F">
            <w:pPr>
              <w:pStyle w:val="APVMATableText"/>
              <w:rPr>
                <w:szCs w:val="17"/>
              </w:rPr>
            </w:pPr>
            <w:r w:rsidRPr="00FF6B28">
              <w:rPr>
                <w:color w:val="353735" w:themeColor="text1"/>
                <w:szCs w:val="17"/>
              </w:rPr>
              <w:t>PM 0110</w:t>
            </w:r>
          </w:p>
        </w:tc>
        <w:tc>
          <w:tcPr>
            <w:tcW w:w="2392" w:type="pct"/>
            <w:tcBorders>
              <w:top w:val="nil"/>
              <w:left w:val="nil"/>
              <w:bottom w:val="nil"/>
              <w:right w:val="nil"/>
            </w:tcBorders>
          </w:tcPr>
          <w:p w14:paraId="1F287157" w14:textId="2AC4B956" w:rsidR="00480C1F" w:rsidRPr="00FF6B28" w:rsidRDefault="00480C1F" w:rsidP="00480C1F">
            <w:pPr>
              <w:pStyle w:val="APVMATableText"/>
              <w:rPr>
                <w:szCs w:val="17"/>
              </w:rPr>
            </w:pPr>
            <w:r w:rsidRPr="00FF6B28">
              <w:rPr>
                <w:color w:val="353735" w:themeColor="text1"/>
                <w:szCs w:val="17"/>
              </w:rPr>
              <w:t xml:space="preserve">Poultry meat [in the fat] </w:t>
            </w:r>
          </w:p>
        </w:tc>
        <w:tc>
          <w:tcPr>
            <w:tcW w:w="995" w:type="pct"/>
            <w:tcBorders>
              <w:top w:val="nil"/>
              <w:left w:val="nil"/>
              <w:bottom w:val="nil"/>
              <w:right w:val="nil"/>
            </w:tcBorders>
          </w:tcPr>
          <w:p w14:paraId="6D90DB2A" w14:textId="1A8B0372" w:rsidR="00480C1F" w:rsidRPr="00FF6B28" w:rsidRDefault="00480C1F" w:rsidP="00480C1F">
            <w:pPr>
              <w:pStyle w:val="APVMATableTextRight"/>
              <w:rPr>
                <w:szCs w:val="17"/>
              </w:rPr>
            </w:pPr>
            <w:r w:rsidRPr="00FF6B28">
              <w:rPr>
                <w:color w:val="353735" w:themeColor="text1"/>
                <w:szCs w:val="17"/>
              </w:rPr>
              <w:t>*0.02</w:t>
            </w:r>
          </w:p>
        </w:tc>
      </w:tr>
      <w:tr w:rsidR="00480C1F" w14:paraId="51C0AD85" w14:textId="77777777" w:rsidTr="00424637">
        <w:tc>
          <w:tcPr>
            <w:tcW w:w="1613" w:type="pct"/>
            <w:tcBorders>
              <w:top w:val="nil"/>
              <w:left w:val="nil"/>
              <w:bottom w:val="nil"/>
              <w:right w:val="nil"/>
            </w:tcBorders>
          </w:tcPr>
          <w:p w14:paraId="27160796" w14:textId="180CA87C" w:rsidR="00480C1F" w:rsidRPr="00FF6B28" w:rsidRDefault="00480C1F" w:rsidP="00480C1F">
            <w:pPr>
              <w:pStyle w:val="APVMATableText"/>
              <w:rPr>
                <w:szCs w:val="17"/>
              </w:rPr>
            </w:pPr>
            <w:r w:rsidRPr="00FF6B28">
              <w:rPr>
                <w:color w:val="353735" w:themeColor="text1"/>
                <w:szCs w:val="17"/>
              </w:rPr>
              <w:t>PO 0111</w:t>
            </w:r>
          </w:p>
        </w:tc>
        <w:tc>
          <w:tcPr>
            <w:tcW w:w="2392" w:type="pct"/>
            <w:tcBorders>
              <w:top w:val="nil"/>
              <w:left w:val="nil"/>
              <w:bottom w:val="nil"/>
              <w:right w:val="nil"/>
            </w:tcBorders>
          </w:tcPr>
          <w:p w14:paraId="132DC3FC" w14:textId="2B627F26" w:rsidR="00480C1F" w:rsidRPr="00FF6B28" w:rsidRDefault="00480C1F" w:rsidP="00480C1F">
            <w:pPr>
              <w:pStyle w:val="APVMATableText"/>
              <w:rPr>
                <w:szCs w:val="17"/>
              </w:rPr>
            </w:pPr>
            <w:r w:rsidRPr="00FF6B28">
              <w:rPr>
                <w:color w:val="353735" w:themeColor="text1"/>
                <w:szCs w:val="17"/>
              </w:rPr>
              <w:t>Poultry, edible offal of</w:t>
            </w:r>
          </w:p>
        </w:tc>
        <w:tc>
          <w:tcPr>
            <w:tcW w:w="995" w:type="pct"/>
            <w:tcBorders>
              <w:top w:val="nil"/>
              <w:left w:val="nil"/>
              <w:bottom w:val="nil"/>
              <w:right w:val="nil"/>
            </w:tcBorders>
          </w:tcPr>
          <w:p w14:paraId="5DC460C1" w14:textId="368C306E" w:rsidR="00480C1F" w:rsidRPr="00FF6B28" w:rsidRDefault="00480C1F" w:rsidP="00480C1F">
            <w:pPr>
              <w:pStyle w:val="APVMATableTextRight"/>
              <w:rPr>
                <w:szCs w:val="17"/>
              </w:rPr>
            </w:pPr>
            <w:r w:rsidRPr="00FF6B28">
              <w:rPr>
                <w:color w:val="353735" w:themeColor="text1"/>
                <w:szCs w:val="17"/>
              </w:rPr>
              <w:t>*0.05</w:t>
            </w:r>
          </w:p>
        </w:tc>
      </w:tr>
      <w:tr w:rsidR="00D90D30" w14:paraId="576FC468" w14:textId="77777777" w:rsidTr="00424637">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67CDA640" w14:textId="77777777" w:rsidR="00D90D30" w:rsidRDefault="00D90D30" w:rsidP="009D0723">
            <w:pPr>
              <w:pStyle w:val="APVMATableHead"/>
            </w:pPr>
            <w:r>
              <w:t>Amendments to Table 3</w:t>
            </w:r>
          </w:p>
        </w:tc>
      </w:tr>
      <w:tr w:rsidR="00D90D30" w14:paraId="56C52D72" w14:textId="77777777" w:rsidTr="00424637">
        <w:trPr>
          <w:tblHeader/>
        </w:trPr>
        <w:tc>
          <w:tcPr>
            <w:tcW w:w="1613" w:type="pct"/>
            <w:tcBorders>
              <w:top w:val="single" w:sz="4" w:space="0" w:color="auto"/>
              <w:left w:val="nil"/>
              <w:bottom w:val="single" w:sz="4" w:space="0" w:color="auto"/>
              <w:right w:val="nil"/>
            </w:tcBorders>
            <w:shd w:val="clear" w:color="auto" w:fill="00747A" w:themeFill="background2"/>
          </w:tcPr>
          <w:p w14:paraId="75CEBDD8" w14:textId="77777777" w:rsidR="00D90D30" w:rsidRDefault="00D90D30" w:rsidP="009D0723">
            <w:pPr>
              <w:pStyle w:val="APVMATableHead"/>
            </w:pPr>
            <w:r>
              <w:t>Compound</w:t>
            </w:r>
          </w:p>
        </w:tc>
        <w:tc>
          <w:tcPr>
            <w:tcW w:w="3387" w:type="pct"/>
            <w:gridSpan w:val="2"/>
            <w:tcBorders>
              <w:top w:val="single" w:sz="4" w:space="0" w:color="auto"/>
              <w:left w:val="nil"/>
              <w:bottom w:val="single" w:sz="4" w:space="0" w:color="auto"/>
              <w:right w:val="nil"/>
            </w:tcBorders>
            <w:shd w:val="clear" w:color="auto" w:fill="00747A" w:themeFill="background2"/>
          </w:tcPr>
          <w:p w14:paraId="1755EF2C" w14:textId="77777777" w:rsidR="00D90D30" w:rsidRDefault="00D90D30" w:rsidP="009D0723">
            <w:pPr>
              <w:pStyle w:val="APVMATableHead"/>
            </w:pPr>
            <w:r>
              <w:t>Residue</w:t>
            </w:r>
          </w:p>
        </w:tc>
      </w:tr>
      <w:tr w:rsidR="00D90D30" w14:paraId="2D234FA8" w14:textId="77777777" w:rsidTr="00424637">
        <w:tc>
          <w:tcPr>
            <w:tcW w:w="5000" w:type="pct"/>
            <w:gridSpan w:val="3"/>
            <w:tcBorders>
              <w:top w:val="single" w:sz="4" w:space="0" w:color="auto"/>
              <w:left w:val="nil"/>
              <w:bottom w:val="nil"/>
              <w:right w:val="nil"/>
            </w:tcBorders>
          </w:tcPr>
          <w:p w14:paraId="656D4CAC" w14:textId="69529E1C" w:rsidR="00D90D30" w:rsidRPr="00FF6B28" w:rsidRDefault="00CA5B2B" w:rsidP="00EA7005">
            <w:pPr>
              <w:pStyle w:val="APVMATableText"/>
              <w:rPr>
                <w:szCs w:val="17"/>
              </w:rPr>
            </w:pPr>
            <w:r w:rsidRPr="00FF6B28">
              <w:rPr>
                <w:szCs w:val="17"/>
              </w:rPr>
              <w:t>Add</w:t>
            </w:r>
            <w:r w:rsidR="00D90D30" w:rsidRPr="00FF6B28">
              <w:rPr>
                <w:szCs w:val="17"/>
              </w:rPr>
              <w:t>:</w:t>
            </w:r>
          </w:p>
        </w:tc>
      </w:tr>
      <w:tr w:rsidR="00D90D30" w14:paraId="2E501589" w14:textId="77777777" w:rsidTr="00424637">
        <w:tc>
          <w:tcPr>
            <w:tcW w:w="1613" w:type="pct"/>
            <w:tcBorders>
              <w:top w:val="nil"/>
              <w:left w:val="nil"/>
              <w:bottom w:val="single" w:sz="4" w:space="0" w:color="auto"/>
              <w:right w:val="nil"/>
            </w:tcBorders>
          </w:tcPr>
          <w:p w14:paraId="0347F233" w14:textId="77777777" w:rsidR="00D90D30" w:rsidRPr="00FF6B28" w:rsidRDefault="00480C1F" w:rsidP="00424637">
            <w:pPr>
              <w:pStyle w:val="MRLActiveName"/>
              <w:rPr>
                <w:rFonts w:ascii="Arial" w:hAnsi="Arial" w:cs="Arial"/>
                <w:sz w:val="17"/>
                <w:szCs w:val="17"/>
              </w:rPr>
            </w:pPr>
            <w:r w:rsidRPr="00FF6B28">
              <w:rPr>
                <w:rFonts w:ascii="Arial" w:hAnsi="Arial" w:cs="Arial"/>
                <w:sz w:val="17"/>
                <w:szCs w:val="17"/>
              </w:rPr>
              <w:t>1,4-dimethylnaphthalene</w:t>
            </w:r>
          </w:p>
          <w:p w14:paraId="3EB3AC75" w14:textId="11542F96" w:rsidR="00480C1F" w:rsidRPr="00FF6B28" w:rsidRDefault="00480C1F" w:rsidP="00424637">
            <w:pPr>
              <w:pStyle w:val="MRLActiveName"/>
              <w:rPr>
                <w:rFonts w:ascii="Arial" w:hAnsi="Arial" w:cs="Arial"/>
                <w:sz w:val="17"/>
                <w:szCs w:val="17"/>
              </w:rPr>
            </w:pPr>
          </w:p>
        </w:tc>
        <w:tc>
          <w:tcPr>
            <w:tcW w:w="3387" w:type="pct"/>
            <w:gridSpan w:val="2"/>
            <w:tcBorders>
              <w:top w:val="nil"/>
              <w:left w:val="nil"/>
              <w:bottom w:val="single" w:sz="4" w:space="0" w:color="auto"/>
              <w:right w:val="nil"/>
            </w:tcBorders>
          </w:tcPr>
          <w:p w14:paraId="453B40A4" w14:textId="77777777" w:rsidR="00480C1F" w:rsidRPr="00FF6B28" w:rsidRDefault="00480C1F" w:rsidP="00480C1F">
            <w:pPr>
              <w:pStyle w:val="APVMATableText"/>
              <w:rPr>
                <w:szCs w:val="17"/>
              </w:rPr>
            </w:pPr>
            <w:r w:rsidRPr="00FF6B28">
              <w:rPr>
                <w:szCs w:val="17"/>
              </w:rPr>
              <w:t>Commodities of plant origin for MRL enforcement: 1,4-dimethylnaphthalene.</w:t>
            </w:r>
          </w:p>
          <w:p w14:paraId="0D2B9D9C" w14:textId="77777777" w:rsidR="00480C1F" w:rsidRPr="00FF6B28" w:rsidRDefault="00480C1F" w:rsidP="00480C1F">
            <w:pPr>
              <w:pStyle w:val="APVMATableText"/>
              <w:rPr>
                <w:szCs w:val="17"/>
              </w:rPr>
            </w:pPr>
            <w:r w:rsidRPr="00FF6B28">
              <w:rPr>
                <w:szCs w:val="17"/>
              </w:rPr>
              <w:t>Commodities of plant origin for dietary exposure: sum of 1,4-dimethylnaphthalene and metabolite 1-hydroxymethyl-4-methylnaphthalene (M21), expressed as 1,4-dimethylnaphthalene.</w:t>
            </w:r>
          </w:p>
          <w:p w14:paraId="5D4A2ED4" w14:textId="77777777" w:rsidR="00480C1F" w:rsidRPr="00FF6B28" w:rsidRDefault="00480C1F" w:rsidP="00480C1F">
            <w:pPr>
              <w:pStyle w:val="APVMATableText"/>
              <w:rPr>
                <w:szCs w:val="17"/>
              </w:rPr>
            </w:pPr>
            <w:r w:rsidRPr="00FF6B28">
              <w:rPr>
                <w:szCs w:val="17"/>
              </w:rPr>
              <w:t xml:space="preserve">Commodities of animal origin, except milk: sum of 1,4-dimethylnaphthalene and metabolite 4-methyl-1-naphthoic acid (M23), expressed as 1,4-dimethylnaphthalene. </w:t>
            </w:r>
          </w:p>
          <w:p w14:paraId="01F36DF6" w14:textId="77777777" w:rsidR="00480C1F" w:rsidRPr="00FF6B28" w:rsidRDefault="00480C1F" w:rsidP="00480C1F">
            <w:pPr>
              <w:pStyle w:val="APVMATableText"/>
              <w:rPr>
                <w:szCs w:val="17"/>
              </w:rPr>
            </w:pPr>
            <w:r w:rsidRPr="00FF6B28">
              <w:rPr>
                <w:szCs w:val="17"/>
              </w:rPr>
              <w:t xml:space="preserve">Milk: glycine conjugate of 4-methyl-1-naphthoic acid (Gly-M23). </w:t>
            </w:r>
          </w:p>
          <w:p w14:paraId="0DEBE8D6" w14:textId="72CE1BE7" w:rsidR="00D90D30" w:rsidRPr="00FF6B28" w:rsidRDefault="00480C1F" w:rsidP="00480C1F">
            <w:pPr>
              <w:pStyle w:val="APVMATableText"/>
              <w:rPr>
                <w:szCs w:val="17"/>
              </w:rPr>
            </w:pPr>
            <w:r w:rsidRPr="00FF6B28">
              <w:rPr>
                <w:szCs w:val="17"/>
              </w:rPr>
              <w:t>Commodities of animal origin for dietary exposure: sum of 1,4-dimethylnaphthalene, metabolite 4-methyl-1-naphthoic acid (M23), and its glycine conjugate 4-methyl-1-naphthoic acid (Gly-M23) expressed as 1,4-dimethylnaphthalene.</w:t>
            </w:r>
          </w:p>
        </w:tc>
      </w:tr>
    </w:tbl>
    <w:p w14:paraId="1D040B9E" w14:textId="77777777" w:rsidR="00D90D30" w:rsidRDefault="00D90D30" w:rsidP="00772458">
      <w:pPr>
        <w:pStyle w:val="APVMAText"/>
        <w:sectPr w:rsidR="00D90D30">
          <w:headerReference w:type="default" r:id="rId37"/>
          <w:pgSz w:w="11906" w:h="16838" w:code="9"/>
          <w:pgMar w:top="2835" w:right="1134" w:bottom="1134" w:left="1134" w:header="1701" w:footer="680" w:gutter="0"/>
          <w:cols w:space="708"/>
          <w:docGrid w:linePitch="360"/>
        </w:sectPr>
      </w:pPr>
    </w:p>
    <w:p w14:paraId="3F3E6917" w14:textId="77777777" w:rsidR="00D90D30" w:rsidRPr="00C50D46" w:rsidRDefault="00D90D30" w:rsidP="00C50D46">
      <w:pPr>
        <w:pStyle w:val="Heading1"/>
      </w:pPr>
      <w:bookmarkStart w:id="115" w:name="_Toc531181089"/>
      <w:bookmarkStart w:id="116" w:name="_Toc7561258"/>
      <w:bookmarkStart w:id="117" w:name="_Toc229751407"/>
      <w:r w:rsidRPr="00C50D46">
        <w:lastRenderedPageBreak/>
        <w:t>Assessment of overseas trade aspects of residues in food</w:t>
      </w:r>
      <w:bookmarkEnd w:id="115"/>
      <w:bookmarkEnd w:id="116"/>
      <w:bookmarkEnd w:id="117"/>
    </w:p>
    <w:p w14:paraId="6896A3EA" w14:textId="77777777" w:rsidR="00D90D30" w:rsidRDefault="00D90D30" w:rsidP="00D90D30">
      <w:pPr>
        <w:pStyle w:val="Heading2"/>
        <w:ind w:left="907" w:hanging="907"/>
      </w:pPr>
      <w:bookmarkStart w:id="118" w:name="_Toc531181090"/>
      <w:bookmarkStart w:id="119" w:name="_Toc7561259"/>
      <w:bookmarkStart w:id="120" w:name="_Toc229751408"/>
      <w:r>
        <w:t>Commodities exported and main destinations</w:t>
      </w:r>
      <w:bookmarkEnd w:id="118"/>
      <w:bookmarkEnd w:id="119"/>
      <w:bookmarkEnd w:id="120"/>
    </w:p>
    <w:p w14:paraId="761B2F08" w14:textId="048C929D" w:rsidR="00D90D30" w:rsidRDefault="00ED160D" w:rsidP="00D90D30">
      <w:pPr>
        <w:pStyle w:val="APVMAText"/>
      </w:pPr>
      <w:r w:rsidRPr="00ED160D">
        <w:t>Potatoes are not considered a major export commodity. However, commodities of animal origin, such as meat, offal and dairy products are considered major export commodity, which may be derived from livestock fed feeds produced from treated potatoes. Residues in these commodities resulting from the use of 1,4</w:t>
      </w:r>
      <w:r w:rsidR="00D14AA0">
        <w:t>SIGHT</w:t>
      </w:r>
      <w:r w:rsidRPr="00ED160D">
        <w:t xml:space="preserve"> Potato Dormancy Enhancer may have the potential to unduly prejudice trade.</w:t>
      </w:r>
    </w:p>
    <w:p w14:paraId="0BE83CBF" w14:textId="77777777" w:rsidR="00D90D30" w:rsidRDefault="00D90D30" w:rsidP="00D90D30">
      <w:pPr>
        <w:pStyle w:val="Heading2"/>
        <w:ind w:left="907" w:hanging="907"/>
      </w:pPr>
      <w:bookmarkStart w:id="121" w:name="_Toc531181091"/>
      <w:bookmarkStart w:id="122" w:name="_Toc7561260"/>
      <w:bookmarkStart w:id="123" w:name="_Toc229751409"/>
      <w:r>
        <w:t>Overseas registrations and approved label instructions</w:t>
      </w:r>
      <w:bookmarkEnd w:id="121"/>
      <w:bookmarkEnd w:id="122"/>
      <w:bookmarkEnd w:id="123"/>
    </w:p>
    <w:p w14:paraId="676F2228" w14:textId="0B102346" w:rsidR="00D90D30" w:rsidRPr="00D90D30" w:rsidRDefault="006138B1" w:rsidP="00D90D30">
      <w:pPr>
        <w:pStyle w:val="APVMAText"/>
      </w:pPr>
      <w:r w:rsidRPr="006138B1">
        <w:t>The applicant indicated that 1,4-dimethylnaphthalene is exempt from the requirement of tolerance for residues on potatoes, root and tuber crops when treated post-harvest in the United States of America and that an MRL of 15 mg/kg (now 20 mg/kg) is set for 1,4-DMN on potatoes in the EU in conjunction with a 30 days interval between application and storage unloading.</w:t>
      </w:r>
    </w:p>
    <w:p w14:paraId="2D7E5045" w14:textId="77777777" w:rsidR="00D90D30" w:rsidRDefault="00D90D30" w:rsidP="00D90D30">
      <w:pPr>
        <w:pStyle w:val="Heading2"/>
        <w:ind w:left="907" w:hanging="907"/>
      </w:pPr>
      <w:bookmarkStart w:id="124" w:name="_Toc531181092"/>
      <w:bookmarkStart w:id="125" w:name="_Toc7561261"/>
      <w:bookmarkStart w:id="126" w:name="_Toc229751410"/>
      <w:r>
        <w:t>Comparison of Australian MRLs with Codex and international MRLs</w:t>
      </w:r>
      <w:bookmarkEnd w:id="124"/>
      <w:bookmarkEnd w:id="125"/>
      <w:bookmarkEnd w:id="126"/>
    </w:p>
    <w:p w14:paraId="5134C6AF" w14:textId="10B7ABFF" w:rsidR="00A82E1B" w:rsidRDefault="00D90D30" w:rsidP="00D90D30">
      <w:pPr>
        <w:pStyle w:val="APVMAText"/>
        <w:rPr>
          <w:szCs w:val="20"/>
        </w:rPr>
        <w:sectPr w:rsidR="00A82E1B">
          <w:headerReference w:type="default" r:id="rId38"/>
          <w:pgSz w:w="11906" w:h="16838" w:code="9"/>
          <w:pgMar w:top="2835" w:right="1134" w:bottom="1134" w:left="1134" w:header="1701" w:footer="680" w:gutter="0"/>
          <w:cols w:space="708"/>
          <w:docGrid w:linePitch="360"/>
        </w:sectPr>
      </w:pPr>
      <w:r>
        <w:rPr>
          <w:szCs w:val="20"/>
        </w:rPr>
        <w:t xml:space="preserve">The Codex Alimentarius Commission (Codex) is responsible for establishing Codex Maximum Residue Limits (CXLs) for pesticides. CXLs are primarily intended to facilitate international </w:t>
      </w:r>
      <w:r w:rsidR="00772458">
        <w:rPr>
          <w:szCs w:val="20"/>
        </w:rPr>
        <w:t>trade and</w:t>
      </w:r>
      <w:r>
        <w:rPr>
          <w:szCs w:val="20"/>
        </w:rPr>
        <w:t xml:space="preserve"> accommodate differences in Good Agricultural Practice (GAP) employed by various countries. Some countries may accept Codex CXLs when importing foods. </w:t>
      </w:r>
      <w:r w:rsidR="00A82E1B" w:rsidRPr="00A82E1B">
        <w:rPr>
          <w:szCs w:val="20"/>
        </w:rPr>
        <w:t xml:space="preserve">1,4-DMN has been considered by Codex.  The following relevant Codex CXLs and international MRLs have been established for 1,4-DMN. </w:t>
      </w:r>
    </w:p>
    <w:p w14:paraId="05EC5EA1" w14:textId="267638C0" w:rsidR="00A82E1B" w:rsidRDefault="00A82E1B" w:rsidP="00A82E1B">
      <w:pPr>
        <w:pStyle w:val="Caption"/>
      </w:pPr>
      <w:bookmarkStart w:id="127" w:name="_Toc229751434"/>
      <w:r>
        <w:lastRenderedPageBreak/>
        <w:t xml:space="preserve">Table </w:t>
      </w:r>
      <w:fldSimple w:instr=" SEQ Table \* ARABIC ">
        <w:r>
          <w:rPr>
            <w:noProof/>
          </w:rPr>
          <w:t>6</w:t>
        </w:r>
      </w:fldSimple>
      <w:r>
        <w:t>:</w:t>
      </w:r>
      <w:r w:rsidRPr="001D4D17">
        <w:t xml:space="preserve"> </w:t>
      </w:r>
      <w:r>
        <w:t>Proposed Australian and current international MRLs for 1,4-dimethylnaphthalene</w:t>
      </w:r>
      <w:bookmarkEnd w:id="12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2039"/>
        <w:gridCol w:w="2050"/>
        <w:gridCol w:w="1482"/>
        <w:gridCol w:w="1494"/>
        <w:gridCol w:w="1491"/>
        <w:gridCol w:w="1492"/>
        <w:gridCol w:w="1489"/>
        <w:gridCol w:w="1807"/>
      </w:tblGrid>
      <w:tr w:rsidR="00A82E1B" w:rsidRPr="00E45A14" w14:paraId="2D42C0C7" w14:textId="77777777" w:rsidTr="008761B6">
        <w:trPr>
          <w:trHeight w:val="454"/>
          <w:tblHeader/>
        </w:trPr>
        <w:tc>
          <w:tcPr>
            <w:tcW w:w="428"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3B573F7E" w14:textId="77777777" w:rsidR="00A82E1B" w:rsidRPr="00A82E1B" w:rsidRDefault="00A82E1B" w:rsidP="00A82E1B">
            <w:pPr>
              <w:pStyle w:val="APVMATableHead"/>
              <w:rPr>
                <w:rFonts w:cstheme="minorHAnsi"/>
                <w:szCs w:val="18"/>
              </w:rPr>
            </w:pPr>
            <w:bookmarkStart w:id="128" w:name="_Hlk196994371"/>
            <w:r w:rsidRPr="00A82E1B">
              <w:rPr>
                <w:szCs w:val="18"/>
                <w:lang w:val="en-AU"/>
              </w:rPr>
              <w:t>Commodity</w:t>
            </w:r>
          </w:p>
        </w:tc>
        <w:tc>
          <w:tcPr>
            <w:tcW w:w="4572" w:type="pct"/>
            <w:gridSpan w:val="8"/>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1D2B9D6B" w14:textId="77777777" w:rsidR="00A82E1B" w:rsidRPr="00A82E1B" w:rsidRDefault="00A82E1B" w:rsidP="00A82E1B">
            <w:pPr>
              <w:pStyle w:val="APVMATableHead"/>
              <w:jc w:val="center"/>
              <w:rPr>
                <w:szCs w:val="18"/>
                <w:lang w:val="en-AU"/>
              </w:rPr>
            </w:pPr>
            <w:r w:rsidRPr="00A82E1B">
              <w:rPr>
                <w:szCs w:val="18"/>
                <w:lang w:val="en-AU"/>
              </w:rPr>
              <w:t>Tolerance for residues arising from the use of chlorantraniliprole (mg/kg)</w:t>
            </w:r>
          </w:p>
        </w:tc>
      </w:tr>
      <w:tr w:rsidR="00A82E1B" w:rsidRPr="00E45A14" w14:paraId="420871AB" w14:textId="77777777" w:rsidTr="008761B6">
        <w:trPr>
          <w:trHeight w:val="145"/>
          <w:tblHeader/>
        </w:trPr>
        <w:tc>
          <w:tcPr>
            <w:tcW w:w="428" w:type="pct"/>
            <w:vMerge/>
            <w:tcBorders>
              <w:top w:val="single" w:sz="4" w:space="0" w:color="291427" w:themeColor="accent5" w:themeShade="80"/>
              <w:left w:val="single" w:sz="4" w:space="0" w:color="auto"/>
              <w:bottom w:val="single" w:sz="4" w:space="0" w:color="auto"/>
              <w:right w:val="nil"/>
            </w:tcBorders>
            <w:shd w:val="clear" w:color="auto" w:fill="00686E" w:themeFill="background2" w:themeFillShade="E6"/>
          </w:tcPr>
          <w:p w14:paraId="74EA60E4" w14:textId="77777777" w:rsidR="00A82E1B" w:rsidRPr="00A82E1B" w:rsidRDefault="00A82E1B" w:rsidP="004E26A5">
            <w:pPr>
              <w:pStyle w:val="APVMATableText"/>
              <w:rPr>
                <w:rFonts w:ascii="Franklin Gothic Medium" w:hAnsi="Franklin Gothic Medium" w:cstheme="minorHAnsi"/>
                <w:sz w:val="18"/>
                <w:szCs w:val="18"/>
              </w:rPr>
            </w:pPr>
          </w:p>
        </w:tc>
        <w:tc>
          <w:tcPr>
            <w:tcW w:w="716" w:type="pct"/>
            <w:tcBorders>
              <w:top w:val="single" w:sz="4" w:space="0" w:color="291427" w:themeColor="accent5" w:themeShade="80"/>
              <w:left w:val="nil"/>
              <w:bottom w:val="single" w:sz="4" w:space="0" w:color="auto"/>
              <w:right w:val="nil"/>
            </w:tcBorders>
            <w:shd w:val="clear" w:color="auto" w:fill="00686E" w:themeFill="background2" w:themeFillShade="E6"/>
          </w:tcPr>
          <w:p w14:paraId="5E93F96C" w14:textId="77777777" w:rsidR="00A82E1B" w:rsidRPr="00A82E1B" w:rsidRDefault="00A82E1B" w:rsidP="004E26A5">
            <w:pPr>
              <w:pStyle w:val="APVMATableText"/>
              <w:rPr>
                <w:rFonts w:ascii="Franklin Gothic Medium" w:hAnsi="Franklin Gothic Medium" w:cstheme="minorHAnsi"/>
                <w:color w:val="F0F4F5" w:themeColor="accent1" w:themeTint="33"/>
                <w:sz w:val="18"/>
                <w:szCs w:val="18"/>
              </w:rPr>
            </w:pPr>
            <w:r w:rsidRPr="00A82E1B">
              <w:rPr>
                <w:rFonts w:ascii="Franklin Gothic Medium" w:hAnsi="Franklin Gothic Medium" w:cstheme="minorHAnsi"/>
                <w:color w:val="F0F4F5" w:themeColor="accent1" w:themeTint="33"/>
                <w:sz w:val="18"/>
                <w:szCs w:val="18"/>
              </w:rPr>
              <w:t>Australia (</w:t>
            </w:r>
            <w:r w:rsidRPr="00A82E1B">
              <w:rPr>
                <w:rFonts w:ascii="Franklin Gothic Medium" w:hAnsi="Franklin Gothic Medium" w:cstheme="minorHAnsi"/>
                <w:caps/>
                <w:color w:val="F0F4F5" w:themeColor="accent1" w:themeTint="33"/>
                <w:sz w:val="18"/>
                <w:szCs w:val="18"/>
              </w:rPr>
              <w:t>proposed</w:t>
            </w:r>
            <w:r w:rsidRPr="00A82E1B">
              <w:rPr>
                <w:rFonts w:ascii="Franklin Gothic Medium" w:hAnsi="Franklin Gothic Medium" w:cstheme="minorHAnsi"/>
                <w:color w:val="F0F4F5" w:themeColor="accent1" w:themeTint="33"/>
                <w:sz w:val="18"/>
                <w:szCs w:val="18"/>
              </w:rPr>
              <w:t>)</w:t>
            </w:r>
          </w:p>
        </w:tc>
        <w:tc>
          <w:tcPr>
            <w:tcW w:w="717" w:type="pct"/>
            <w:tcBorders>
              <w:top w:val="single" w:sz="4" w:space="0" w:color="291427" w:themeColor="accent5" w:themeShade="80"/>
              <w:left w:val="nil"/>
              <w:bottom w:val="single" w:sz="4" w:space="0" w:color="auto"/>
              <w:right w:val="nil"/>
            </w:tcBorders>
            <w:shd w:val="clear" w:color="auto" w:fill="00686E" w:themeFill="background2" w:themeFillShade="E6"/>
          </w:tcPr>
          <w:p w14:paraId="6DD481F8" w14:textId="77777777" w:rsidR="00A82E1B" w:rsidRPr="00A82E1B" w:rsidRDefault="00A82E1B" w:rsidP="004E26A5">
            <w:pPr>
              <w:pStyle w:val="APVMATableText"/>
              <w:rPr>
                <w:rFonts w:ascii="Franklin Gothic Medium" w:hAnsi="Franklin Gothic Medium" w:cstheme="minorHAnsi"/>
                <w:color w:val="F0F4F5" w:themeColor="accent1" w:themeTint="33"/>
                <w:sz w:val="18"/>
                <w:szCs w:val="18"/>
              </w:rPr>
            </w:pPr>
            <w:r w:rsidRPr="00A82E1B">
              <w:rPr>
                <w:rFonts w:ascii="Franklin Gothic Medium" w:hAnsi="Franklin Gothic Medium" w:cstheme="minorHAnsi"/>
                <w:color w:val="F0F4F5" w:themeColor="accent1" w:themeTint="33"/>
                <w:sz w:val="18"/>
                <w:szCs w:val="18"/>
              </w:rPr>
              <w:t>Codex</w:t>
            </w:r>
            <w:r w:rsidRPr="00A82E1B">
              <w:rPr>
                <w:rStyle w:val="FootnoteReference"/>
                <w:rFonts w:ascii="Franklin Gothic Medium" w:hAnsi="Franklin Gothic Medium" w:cstheme="minorHAnsi"/>
                <w:color w:val="F0F4F5" w:themeColor="accent1" w:themeTint="33"/>
                <w:sz w:val="18"/>
                <w:szCs w:val="18"/>
              </w:rPr>
              <w:footnoteReference w:id="2"/>
            </w:r>
          </w:p>
        </w:tc>
        <w:tc>
          <w:tcPr>
            <w:tcW w:w="522" w:type="pct"/>
            <w:tcBorders>
              <w:top w:val="single" w:sz="4" w:space="0" w:color="291427" w:themeColor="accent5" w:themeShade="80"/>
              <w:left w:val="nil"/>
              <w:bottom w:val="single" w:sz="4" w:space="0" w:color="auto"/>
              <w:right w:val="nil"/>
            </w:tcBorders>
            <w:shd w:val="clear" w:color="auto" w:fill="00686E" w:themeFill="background2" w:themeFillShade="E6"/>
          </w:tcPr>
          <w:p w14:paraId="0C8AE9DA" w14:textId="77777777" w:rsidR="00A82E1B" w:rsidRPr="00A82E1B" w:rsidRDefault="00A82E1B" w:rsidP="004E26A5">
            <w:pPr>
              <w:pStyle w:val="APVMATableText"/>
              <w:rPr>
                <w:rFonts w:ascii="Franklin Gothic Medium" w:hAnsi="Franklin Gothic Medium" w:cstheme="minorHAnsi"/>
                <w:color w:val="F0F4F5" w:themeColor="accent1" w:themeTint="33"/>
                <w:sz w:val="18"/>
                <w:szCs w:val="18"/>
              </w:rPr>
            </w:pPr>
            <w:r w:rsidRPr="00A82E1B">
              <w:rPr>
                <w:rFonts w:ascii="Franklin Gothic Medium" w:hAnsi="Franklin Gothic Medium" w:cstheme="minorHAnsi"/>
                <w:color w:val="F0F4F5" w:themeColor="accent1" w:themeTint="33"/>
                <w:sz w:val="18"/>
                <w:szCs w:val="18"/>
              </w:rPr>
              <w:t>EU</w:t>
            </w:r>
            <w:r w:rsidRPr="00A82E1B">
              <w:rPr>
                <w:rStyle w:val="FootnoteReference"/>
                <w:rFonts w:ascii="Franklin Gothic Medium" w:hAnsi="Franklin Gothic Medium" w:cstheme="minorHAnsi"/>
                <w:color w:val="F0F4F5" w:themeColor="accent1" w:themeTint="33"/>
                <w:sz w:val="18"/>
                <w:szCs w:val="18"/>
              </w:rPr>
              <w:footnoteReference w:id="3"/>
            </w:r>
          </w:p>
        </w:tc>
        <w:tc>
          <w:tcPr>
            <w:tcW w:w="526" w:type="pct"/>
            <w:tcBorders>
              <w:top w:val="single" w:sz="4" w:space="0" w:color="291427" w:themeColor="accent5" w:themeShade="80"/>
              <w:left w:val="nil"/>
              <w:bottom w:val="single" w:sz="4" w:space="0" w:color="auto"/>
              <w:right w:val="nil"/>
            </w:tcBorders>
            <w:shd w:val="clear" w:color="auto" w:fill="00686E" w:themeFill="background2" w:themeFillShade="E6"/>
          </w:tcPr>
          <w:p w14:paraId="483A1342" w14:textId="77777777" w:rsidR="00A82E1B" w:rsidRPr="00A82E1B" w:rsidRDefault="00A82E1B" w:rsidP="004E26A5">
            <w:pPr>
              <w:pStyle w:val="APVMATableText"/>
              <w:rPr>
                <w:rFonts w:ascii="Franklin Gothic Medium" w:hAnsi="Franklin Gothic Medium" w:cstheme="minorHAnsi"/>
                <w:color w:val="F0F4F5" w:themeColor="accent1" w:themeTint="33"/>
                <w:sz w:val="18"/>
                <w:szCs w:val="18"/>
              </w:rPr>
            </w:pPr>
            <w:r w:rsidRPr="00A82E1B">
              <w:rPr>
                <w:rFonts w:ascii="Franklin Gothic Medium" w:hAnsi="Franklin Gothic Medium" w:cstheme="minorHAnsi"/>
                <w:color w:val="F0F4F5" w:themeColor="accent1" w:themeTint="33"/>
                <w:sz w:val="18"/>
                <w:szCs w:val="18"/>
              </w:rPr>
              <w:t>China</w:t>
            </w:r>
            <w:r w:rsidRPr="00A82E1B">
              <w:rPr>
                <w:rStyle w:val="FootnoteReference"/>
                <w:rFonts w:ascii="Franklin Gothic Medium" w:hAnsi="Franklin Gothic Medium" w:cstheme="minorHAnsi"/>
                <w:color w:val="F0F4F5" w:themeColor="accent1" w:themeTint="33"/>
                <w:sz w:val="18"/>
                <w:szCs w:val="18"/>
              </w:rPr>
              <w:footnoteReference w:id="4"/>
            </w:r>
            <w:r w:rsidRPr="00A82E1B">
              <w:rPr>
                <w:rFonts w:ascii="Franklin Gothic Medium" w:hAnsi="Franklin Gothic Medium" w:cstheme="minorHAnsi"/>
                <w:color w:val="F0F4F5" w:themeColor="accent1" w:themeTint="33"/>
                <w:sz w:val="18"/>
                <w:szCs w:val="18"/>
              </w:rPr>
              <w:t xml:space="preserve"> </w:t>
            </w:r>
          </w:p>
        </w:tc>
        <w:tc>
          <w:tcPr>
            <w:tcW w:w="525" w:type="pct"/>
            <w:tcBorders>
              <w:top w:val="single" w:sz="4" w:space="0" w:color="291427" w:themeColor="accent5" w:themeShade="80"/>
              <w:left w:val="nil"/>
              <w:bottom w:val="single" w:sz="4" w:space="0" w:color="auto"/>
              <w:right w:val="nil"/>
            </w:tcBorders>
            <w:shd w:val="clear" w:color="auto" w:fill="00686E" w:themeFill="background2" w:themeFillShade="E6"/>
          </w:tcPr>
          <w:p w14:paraId="77019441" w14:textId="77777777" w:rsidR="00A82E1B" w:rsidRPr="00A82E1B" w:rsidRDefault="00A82E1B" w:rsidP="004E26A5">
            <w:pPr>
              <w:pStyle w:val="APVMATableText"/>
              <w:rPr>
                <w:rFonts w:ascii="Franklin Gothic Medium" w:hAnsi="Franklin Gothic Medium" w:cstheme="minorHAnsi"/>
                <w:color w:val="F0F4F5" w:themeColor="accent1" w:themeTint="33"/>
                <w:sz w:val="18"/>
                <w:szCs w:val="18"/>
              </w:rPr>
            </w:pPr>
            <w:r w:rsidRPr="00A82E1B">
              <w:rPr>
                <w:rFonts w:ascii="Franklin Gothic Medium" w:hAnsi="Franklin Gothic Medium" w:cstheme="minorHAnsi"/>
                <w:color w:val="F0F4F5" w:themeColor="accent1" w:themeTint="33"/>
                <w:sz w:val="18"/>
                <w:szCs w:val="18"/>
              </w:rPr>
              <w:t>Japan</w:t>
            </w:r>
            <w:r w:rsidRPr="00A82E1B">
              <w:rPr>
                <w:rStyle w:val="FootnoteReference"/>
                <w:rFonts w:ascii="Franklin Gothic Medium" w:hAnsi="Franklin Gothic Medium" w:cstheme="minorHAnsi"/>
                <w:color w:val="F0F4F5" w:themeColor="accent1" w:themeTint="33"/>
                <w:sz w:val="18"/>
                <w:szCs w:val="18"/>
              </w:rPr>
              <w:footnoteReference w:id="5"/>
            </w:r>
          </w:p>
        </w:tc>
        <w:tc>
          <w:tcPr>
            <w:tcW w:w="525" w:type="pct"/>
            <w:tcBorders>
              <w:top w:val="single" w:sz="4" w:space="0" w:color="291427" w:themeColor="accent5" w:themeShade="80"/>
              <w:left w:val="nil"/>
              <w:bottom w:val="single" w:sz="4" w:space="0" w:color="auto"/>
              <w:right w:val="nil"/>
            </w:tcBorders>
            <w:shd w:val="clear" w:color="auto" w:fill="00686E" w:themeFill="background2" w:themeFillShade="E6"/>
          </w:tcPr>
          <w:p w14:paraId="12A1742F" w14:textId="77777777" w:rsidR="00A82E1B" w:rsidRPr="00A82E1B" w:rsidRDefault="00A82E1B" w:rsidP="004E26A5">
            <w:pPr>
              <w:pStyle w:val="APVMATableText"/>
              <w:rPr>
                <w:rFonts w:ascii="Franklin Gothic Medium" w:hAnsi="Franklin Gothic Medium" w:cstheme="minorHAnsi"/>
                <w:color w:val="F0F4F5" w:themeColor="accent1" w:themeTint="33"/>
                <w:sz w:val="18"/>
                <w:szCs w:val="18"/>
              </w:rPr>
            </w:pPr>
            <w:r w:rsidRPr="00A82E1B">
              <w:rPr>
                <w:rFonts w:ascii="Franklin Gothic Medium" w:hAnsi="Franklin Gothic Medium" w:cstheme="minorHAnsi"/>
                <w:color w:val="F0F4F5" w:themeColor="accent1" w:themeTint="33"/>
                <w:sz w:val="18"/>
                <w:szCs w:val="18"/>
              </w:rPr>
              <w:t>South Korea</w:t>
            </w:r>
            <w:r w:rsidRPr="00A82E1B">
              <w:rPr>
                <w:rStyle w:val="FootnoteReference"/>
                <w:rFonts w:ascii="Franklin Gothic Medium" w:hAnsi="Franklin Gothic Medium" w:cstheme="minorHAnsi"/>
                <w:color w:val="F0F4F5" w:themeColor="accent1" w:themeTint="33"/>
                <w:sz w:val="18"/>
                <w:szCs w:val="18"/>
              </w:rPr>
              <w:footnoteReference w:id="6"/>
            </w:r>
          </w:p>
        </w:tc>
        <w:tc>
          <w:tcPr>
            <w:tcW w:w="524" w:type="pct"/>
            <w:tcBorders>
              <w:top w:val="single" w:sz="4" w:space="0" w:color="291427" w:themeColor="accent5" w:themeShade="80"/>
              <w:left w:val="nil"/>
              <w:bottom w:val="single" w:sz="4" w:space="0" w:color="auto"/>
              <w:right w:val="nil"/>
            </w:tcBorders>
            <w:shd w:val="clear" w:color="auto" w:fill="00686E" w:themeFill="background2" w:themeFillShade="E6"/>
          </w:tcPr>
          <w:p w14:paraId="56F2D835" w14:textId="77777777" w:rsidR="00A82E1B" w:rsidRPr="00A82E1B" w:rsidRDefault="00A82E1B" w:rsidP="004E26A5">
            <w:pPr>
              <w:pStyle w:val="APVMATableText"/>
              <w:rPr>
                <w:rFonts w:ascii="Franklin Gothic Medium" w:hAnsi="Franklin Gothic Medium" w:cstheme="minorHAnsi"/>
                <w:color w:val="F0F4F5" w:themeColor="accent1" w:themeTint="33"/>
                <w:sz w:val="18"/>
                <w:szCs w:val="18"/>
              </w:rPr>
            </w:pPr>
            <w:r w:rsidRPr="00A82E1B">
              <w:rPr>
                <w:rFonts w:ascii="Franklin Gothic Medium" w:hAnsi="Franklin Gothic Medium" w:cstheme="minorHAnsi"/>
                <w:color w:val="F0F4F5" w:themeColor="accent1" w:themeTint="33"/>
                <w:sz w:val="18"/>
                <w:szCs w:val="18"/>
              </w:rPr>
              <w:t>Taiwan</w:t>
            </w:r>
            <w:r w:rsidRPr="00A82E1B">
              <w:rPr>
                <w:rStyle w:val="FootnoteReference"/>
                <w:rFonts w:ascii="Franklin Gothic Medium" w:hAnsi="Franklin Gothic Medium" w:cstheme="minorHAnsi"/>
                <w:color w:val="F0F4F5" w:themeColor="accent1" w:themeTint="33"/>
                <w:sz w:val="18"/>
                <w:szCs w:val="18"/>
              </w:rPr>
              <w:footnoteReference w:id="7"/>
            </w:r>
          </w:p>
        </w:tc>
        <w:tc>
          <w:tcPr>
            <w:tcW w:w="517" w:type="pct"/>
            <w:tcBorders>
              <w:top w:val="single" w:sz="4" w:space="0" w:color="291427" w:themeColor="accent5" w:themeShade="80"/>
              <w:left w:val="nil"/>
              <w:bottom w:val="single" w:sz="4" w:space="0" w:color="auto"/>
              <w:right w:val="single" w:sz="4" w:space="0" w:color="auto"/>
            </w:tcBorders>
            <w:shd w:val="clear" w:color="auto" w:fill="00686E" w:themeFill="background2" w:themeFillShade="E6"/>
          </w:tcPr>
          <w:p w14:paraId="3D5D5EBE" w14:textId="77777777" w:rsidR="00A82E1B" w:rsidRPr="00A82E1B" w:rsidRDefault="00A82E1B" w:rsidP="004E26A5">
            <w:pPr>
              <w:pStyle w:val="APVMATableText"/>
              <w:rPr>
                <w:rFonts w:ascii="Franklin Gothic Medium" w:hAnsi="Franklin Gothic Medium" w:cstheme="minorHAnsi"/>
                <w:color w:val="F0F4F5" w:themeColor="accent1" w:themeTint="33"/>
                <w:sz w:val="18"/>
                <w:szCs w:val="18"/>
              </w:rPr>
            </w:pPr>
            <w:r w:rsidRPr="00A82E1B">
              <w:rPr>
                <w:rFonts w:ascii="Franklin Gothic Medium" w:hAnsi="Franklin Gothic Medium" w:cstheme="minorHAnsi"/>
                <w:color w:val="F0F4F5" w:themeColor="accent1" w:themeTint="33"/>
                <w:sz w:val="18"/>
                <w:szCs w:val="18"/>
              </w:rPr>
              <w:t>USA</w:t>
            </w:r>
            <w:r w:rsidRPr="00A82E1B">
              <w:rPr>
                <w:rStyle w:val="FootnoteReference"/>
                <w:rFonts w:ascii="Franklin Gothic Medium" w:hAnsi="Franklin Gothic Medium" w:cstheme="minorHAnsi"/>
                <w:color w:val="F0F4F5" w:themeColor="accent1" w:themeTint="33"/>
                <w:sz w:val="18"/>
                <w:szCs w:val="18"/>
              </w:rPr>
              <w:footnoteReference w:id="8"/>
            </w:r>
          </w:p>
        </w:tc>
      </w:tr>
      <w:tr w:rsidR="00A82E1B" w:rsidRPr="007C08D1" w14:paraId="6C8415E5" w14:textId="77777777" w:rsidTr="008761B6">
        <w:trPr>
          <w:trHeight w:val="741"/>
        </w:trPr>
        <w:tc>
          <w:tcPr>
            <w:tcW w:w="428" w:type="pct"/>
            <w:tcBorders>
              <w:top w:val="single" w:sz="4" w:space="0" w:color="auto"/>
              <w:left w:val="single" w:sz="4" w:space="0" w:color="auto"/>
              <w:bottom w:val="single" w:sz="4" w:space="0" w:color="291427" w:themeColor="accent5" w:themeShade="80"/>
              <w:right w:val="nil"/>
            </w:tcBorders>
          </w:tcPr>
          <w:p w14:paraId="1331E5E5" w14:textId="0A31715F" w:rsidR="00A82E1B" w:rsidRPr="00C7218C" w:rsidRDefault="00A82E1B" w:rsidP="001E4011">
            <w:pPr>
              <w:pStyle w:val="APVMATableText"/>
              <w:rPr>
                <w:sz w:val="16"/>
                <w:szCs w:val="16"/>
              </w:rPr>
            </w:pPr>
            <w:r w:rsidRPr="00C7218C">
              <w:rPr>
                <w:sz w:val="16"/>
                <w:szCs w:val="16"/>
              </w:rPr>
              <w:t>Residue Definition</w:t>
            </w:r>
          </w:p>
        </w:tc>
        <w:tc>
          <w:tcPr>
            <w:tcW w:w="716" w:type="pct"/>
            <w:tcBorders>
              <w:top w:val="single" w:sz="4" w:space="0" w:color="auto"/>
              <w:left w:val="nil"/>
              <w:bottom w:val="single" w:sz="4" w:space="0" w:color="291427" w:themeColor="accent5" w:themeShade="80"/>
              <w:right w:val="nil"/>
            </w:tcBorders>
          </w:tcPr>
          <w:p w14:paraId="7C4D2C73" w14:textId="42CB720F" w:rsidR="00A82E1B" w:rsidRDefault="00A82E1B" w:rsidP="004E26A5">
            <w:pPr>
              <w:pStyle w:val="APVMATableText"/>
              <w:rPr>
                <w:sz w:val="16"/>
                <w:szCs w:val="16"/>
              </w:rPr>
            </w:pPr>
            <w:r w:rsidRPr="00E56706">
              <w:rPr>
                <w:sz w:val="16"/>
                <w:szCs w:val="16"/>
              </w:rPr>
              <w:t>For compliance with the MRL for plant commodities: 1,4-</w:t>
            </w:r>
            <w:r>
              <w:rPr>
                <w:sz w:val="16"/>
                <w:szCs w:val="16"/>
              </w:rPr>
              <w:t>DMN</w:t>
            </w:r>
          </w:p>
          <w:p w14:paraId="37AF22B3" w14:textId="77777777" w:rsidR="00A82E1B" w:rsidRDefault="00A82E1B" w:rsidP="004E26A5">
            <w:pPr>
              <w:pStyle w:val="APVMATableText"/>
              <w:rPr>
                <w:sz w:val="16"/>
                <w:szCs w:val="16"/>
              </w:rPr>
            </w:pPr>
            <w:r w:rsidRPr="00E56706">
              <w:rPr>
                <w:sz w:val="16"/>
                <w:szCs w:val="16"/>
              </w:rPr>
              <w:t>For dietary risk assessment for plant commodities: Sum of 1,4-</w:t>
            </w:r>
            <w:r>
              <w:rPr>
                <w:sz w:val="16"/>
                <w:szCs w:val="16"/>
              </w:rPr>
              <w:t xml:space="preserve">DMN and its metabolite </w:t>
            </w:r>
            <w:r w:rsidRPr="00E56706">
              <w:rPr>
                <w:sz w:val="16"/>
                <w:szCs w:val="16"/>
              </w:rPr>
              <w:t>M21, expressed as 1,4-</w:t>
            </w:r>
            <w:r>
              <w:rPr>
                <w:sz w:val="16"/>
                <w:szCs w:val="16"/>
              </w:rPr>
              <w:t>DMN</w:t>
            </w:r>
          </w:p>
          <w:p w14:paraId="54D30EA8" w14:textId="77777777" w:rsidR="00A82E1B" w:rsidRDefault="00A82E1B" w:rsidP="004E26A5">
            <w:pPr>
              <w:pStyle w:val="APVMATableText"/>
              <w:rPr>
                <w:sz w:val="16"/>
                <w:szCs w:val="16"/>
              </w:rPr>
            </w:pPr>
            <w:r w:rsidRPr="00E56706">
              <w:rPr>
                <w:sz w:val="16"/>
                <w:szCs w:val="16"/>
              </w:rPr>
              <w:t>For compliance with the MRL for animal commodities, except milk: Sum of 1,4-</w:t>
            </w:r>
            <w:r>
              <w:rPr>
                <w:sz w:val="16"/>
                <w:szCs w:val="16"/>
              </w:rPr>
              <w:t>DMN  and its metabolite</w:t>
            </w:r>
            <w:r w:rsidRPr="00E56706">
              <w:rPr>
                <w:sz w:val="16"/>
                <w:szCs w:val="16"/>
              </w:rPr>
              <w:t xml:space="preserve"> M23, expressed as 1,4-</w:t>
            </w:r>
            <w:r>
              <w:rPr>
                <w:sz w:val="16"/>
                <w:szCs w:val="16"/>
              </w:rPr>
              <w:t>DMN</w:t>
            </w:r>
          </w:p>
          <w:p w14:paraId="3FE636DF" w14:textId="77777777" w:rsidR="00A82E1B" w:rsidRDefault="00A82E1B" w:rsidP="004E26A5">
            <w:pPr>
              <w:pStyle w:val="APVMATableText"/>
              <w:rPr>
                <w:sz w:val="16"/>
                <w:szCs w:val="16"/>
              </w:rPr>
            </w:pPr>
            <w:r>
              <w:rPr>
                <w:sz w:val="16"/>
                <w:szCs w:val="16"/>
              </w:rPr>
              <w:t>Fo</w:t>
            </w:r>
            <w:r w:rsidRPr="00E56706">
              <w:rPr>
                <w:sz w:val="16"/>
                <w:szCs w:val="16"/>
              </w:rPr>
              <w:t xml:space="preserve">r compliance with the MRL for milk: </w:t>
            </w:r>
            <w:r>
              <w:rPr>
                <w:sz w:val="16"/>
                <w:szCs w:val="16"/>
              </w:rPr>
              <w:t xml:space="preserve">metabolite </w:t>
            </w:r>
            <w:r w:rsidRPr="00E56706">
              <w:rPr>
                <w:sz w:val="16"/>
                <w:szCs w:val="16"/>
              </w:rPr>
              <w:t>M02.</w:t>
            </w:r>
          </w:p>
          <w:p w14:paraId="7DD3DBCE" w14:textId="77777777" w:rsidR="00A82E1B" w:rsidRPr="00C7218C" w:rsidRDefault="00A82E1B" w:rsidP="004E26A5">
            <w:pPr>
              <w:pStyle w:val="APVMATableText"/>
              <w:rPr>
                <w:sz w:val="16"/>
                <w:szCs w:val="16"/>
              </w:rPr>
            </w:pPr>
            <w:r>
              <w:rPr>
                <w:sz w:val="16"/>
                <w:szCs w:val="16"/>
              </w:rPr>
              <w:lastRenderedPageBreak/>
              <w:t>F</w:t>
            </w:r>
            <w:r w:rsidRPr="00E56706">
              <w:rPr>
                <w:sz w:val="16"/>
                <w:szCs w:val="16"/>
              </w:rPr>
              <w:t>or dietary risk assessment for animal commodities: Sum of 1,4-</w:t>
            </w:r>
            <w:r>
              <w:rPr>
                <w:sz w:val="16"/>
                <w:szCs w:val="16"/>
              </w:rPr>
              <w:t xml:space="preserve">DMN and its metabolites </w:t>
            </w:r>
            <w:r w:rsidRPr="00E56706">
              <w:rPr>
                <w:sz w:val="16"/>
                <w:szCs w:val="16"/>
              </w:rPr>
              <w:t>M2</w:t>
            </w:r>
            <w:r>
              <w:rPr>
                <w:sz w:val="16"/>
                <w:szCs w:val="16"/>
              </w:rPr>
              <w:t>3 and M02,</w:t>
            </w:r>
            <w:r w:rsidRPr="00E56706">
              <w:rPr>
                <w:sz w:val="16"/>
                <w:szCs w:val="16"/>
              </w:rPr>
              <w:t xml:space="preserve"> expressed as 1,4-</w:t>
            </w:r>
            <w:r>
              <w:rPr>
                <w:sz w:val="16"/>
                <w:szCs w:val="16"/>
              </w:rPr>
              <w:t xml:space="preserve">DMN </w:t>
            </w:r>
          </w:p>
        </w:tc>
        <w:tc>
          <w:tcPr>
            <w:tcW w:w="717" w:type="pct"/>
            <w:tcBorders>
              <w:top w:val="single" w:sz="4" w:space="0" w:color="auto"/>
              <w:left w:val="nil"/>
              <w:bottom w:val="single" w:sz="4" w:space="0" w:color="291427" w:themeColor="accent5" w:themeShade="80"/>
              <w:right w:val="nil"/>
            </w:tcBorders>
          </w:tcPr>
          <w:p w14:paraId="43A46306" w14:textId="25D6F6EC" w:rsidR="00A82E1B" w:rsidRDefault="00A82E1B" w:rsidP="004E26A5">
            <w:pPr>
              <w:pStyle w:val="APVMATableText"/>
              <w:rPr>
                <w:sz w:val="16"/>
                <w:szCs w:val="16"/>
              </w:rPr>
            </w:pPr>
            <w:r w:rsidRPr="00E56706">
              <w:rPr>
                <w:sz w:val="16"/>
                <w:szCs w:val="16"/>
              </w:rPr>
              <w:lastRenderedPageBreak/>
              <w:t>For compliance with the MRL for plant commodities: 1,4-</w:t>
            </w:r>
            <w:r>
              <w:rPr>
                <w:sz w:val="16"/>
                <w:szCs w:val="16"/>
              </w:rPr>
              <w:t>DMN</w:t>
            </w:r>
          </w:p>
          <w:p w14:paraId="1477BA52" w14:textId="77777777" w:rsidR="00A82E1B" w:rsidRDefault="00A82E1B" w:rsidP="004E26A5">
            <w:pPr>
              <w:pStyle w:val="APVMATableText"/>
              <w:rPr>
                <w:sz w:val="16"/>
                <w:szCs w:val="16"/>
              </w:rPr>
            </w:pPr>
            <w:r w:rsidRPr="00E56706">
              <w:rPr>
                <w:sz w:val="16"/>
                <w:szCs w:val="16"/>
              </w:rPr>
              <w:t>For dietary risk assessment for plant commodities: Sum of 1,4-</w:t>
            </w:r>
            <w:r>
              <w:rPr>
                <w:sz w:val="16"/>
                <w:szCs w:val="16"/>
              </w:rPr>
              <w:t>DMN and its metabolite</w:t>
            </w:r>
            <w:r w:rsidRPr="00E56706">
              <w:rPr>
                <w:sz w:val="16"/>
                <w:szCs w:val="16"/>
              </w:rPr>
              <w:t xml:space="preserve"> M21, expressed as 1,4-</w:t>
            </w:r>
            <w:r>
              <w:rPr>
                <w:sz w:val="16"/>
                <w:szCs w:val="16"/>
              </w:rPr>
              <w:t>DMN</w:t>
            </w:r>
          </w:p>
          <w:p w14:paraId="503386CC" w14:textId="77777777" w:rsidR="00A82E1B" w:rsidRDefault="00A82E1B" w:rsidP="004E26A5">
            <w:pPr>
              <w:pStyle w:val="APVMATableText"/>
              <w:rPr>
                <w:sz w:val="16"/>
                <w:szCs w:val="16"/>
              </w:rPr>
            </w:pPr>
            <w:r w:rsidRPr="00E56706">
              <w:rPr>
                <w:sz w:val="16"/>
                <w:szCs w:val="16"/>
              </w:rPr>
              <w:t>For compliance with the MRL for animal commodities, except milk: Sum of 1,4-</w:t>
            </w:r>
            <w:r>
              <w:rPr>
                <w:sz w:val="16"/>
                <w:szCs w:val="16"/>
              </w:rPr>
              <w:t>DMN  and its metabolite</w:t>
            </w:r>
            <w:r w:rsidRPr="00E56706">
              <w:rPr>
                <w:sz w:val="16"/>
                <w:szCs w:val="16"/>
              </w:rPr>
              <w:t xml:space="preserve"> M23, expressed as 1,4-</w:t>
            </w:r>
            <w:r>
              <w:rPr>
                <w:sz w:val="16"/>
                <w:szCs w:val="16"/>
              </w:rPr>
              <w:t>DMN</w:t>
            </w:r>
          </w:p>
          <w:p w14:paraId="63C723FD" w14:textId="77777777" w:rsidR="00A82E1B" w:rsidRDefault="00A82E1B" w:rsidP="004E26A5">
            <w:pPr>
              <w:pStyle w:val="APVMATableText"/>
              <w:rPr>
                <w:sz w:val="16"/>
                <w:szCs w:val="16"/>
              </w:rPr>
            </w:pPr>
            <w:r>
              <w:rPr>
                <w:sz w:val="16"/>
                <w:szCs w:val="16"/>
              </w:rPr>
              <w:t>Fo</w:t>
            </w:r>
            <w:r w:rsidRPr="00E56706">
              <w:rPr>
                <w:sz w:val="16"/>
                <w:szCs w:val="16"/>
              </w:rPr>
              <w:t xml:space="preserve">r compliance with the MRL for milk: </w:t>
            </w:r>
            <w:r>
              <w:rPr>
                <w:sz w:val="16"/>
                <w:szCs w:val="16"/>
              </w:rPr>
              <w:t xml:space="preserve">metabolite </w:t>
            </w:r>
            <w:r w:rsidRPr="00E56706">
              <w:rPr>
                <w:sz w:val="16"/>
                <w:szCs w:val="16"/>
              </w:rPr>
              <w:t>M02.</w:t>
            </w:r>
          </w:p>
          <w:p w14:paraId="69BC7F9E" w14:textId="77777777" w:rsidR="00A82E1B" w:rsidRPr="00C7218C" w:rsidRDefault="00A82E1B" w:rsidP="004E26A5">
            <w:pPr>
              <w:pStyle w:val="APVMATableText"/>
              <w:rPr>
                <w:sz w:val="16"/>
                <w:szCs w:val="16"/>
              </w:rPr>
            </w:pPr>
            <w:r>
              <w:rPr>
                <w:sz w:val="16"/>
                <w:szCs w:val="16"/>
              </w:rPr>
              <w:lastRenderedPageBreak/>
              <w:t>F</w:t>
            </w:r>
            <w:r w:rsidRPr="00E56706">
              <w:rPr>
                <w:sz w:val="16"/>
                <w:szCs w:val="16"/>
              </w:rPr>
              <w:t>or dietary risk assessment for animal commodities: Sum of 1,4-</w:t>
            </w:r>
            <w:r>
              <w:rPr>
                <w:sz w:val="16"/>
                <w:szCs w:val="16"/>
              </w:rPr>
              <w:t xml:space="preserve">DMN and its metabolites </w:t>
            </w:r>
            <w:r w:rsidRPr="00E56706">
              <w:rPr>
                <w:sz w:val="16"/>
                <w:szCs w:val="16"/>
              </w:rPr>
              <w:t>M2</w:t>
            </w:r>
            <w:r>
              <w:rPr>
                <w:sz w:val="16"/>
                <w:szCs w:val="16"/>
              </w:rPr>
              <w:t>3 and M02,</w:t>
            </w:r>
            <w:r w:rsidRPr="00E56706">
              <w:rPr>
                <w:sz w:val="16"/>
                <w:szCs w:val="16"/>
              </w:rPr>
              <w:t xml:space="preserve"> expressed as 1,4-</w:t>
            </w:r>
            <w:r>
              <w:rPr>
                <w:sz w:val="16"/>
                <w:szCs w:val="16"/>
              </w:rPr>
              <w:t xml:space="preserve">DMN </w:t>
            </w:r>
          </w:p>
        </w:tc>
        <w:tc>
          <w:tcPr>
            <w:tcW w:w="522" w:type="pct"/>
            <w:tcBorders>
              <w:top w:val="single" w:sz="4" w:space="0" w:color="auto"/>
              <w:left w:val="nil"/>
              <w:bottom w:val="single" w:sz="4" w:space="0" w:color="291427" w:themeColor="accent5" w:themeShade="80"/>
              <w:right w:val="nil"/>
            </w:tcBorders>
          </w:tcPr>
          <w:p w14:paraId="7F78C103" w14:textId="77777777" w:rsidR="00A82E1B" w:rsidRPr="00C7218C" w:rsidRDefault="00A82E1B" w:rsidP="004E26A5">
            <w:pPr>
              <w:pStyle w:val="APVMATableText"/>
              <w:rPr>
                <w:sz w:val="16"/>
                <w:szCs w:val="16"/>
              </w:rPr>
            </w:pPr>
            <w:r w:rsidRPr="0069053B">
              <w:rPr>
                <w:sz w:val="16"/>
                <w:szCs w:val="16"/>
              </w:rPr>
              <w:lastRenderedPageBreak/>
              <w:t>Sum of 1,4-</w:t>
            </w:r>
            <w:r>
              <w:rPr>
                <w:sz w:val="16"/>
                <w:szCs w:val="16"/>
              </w:rPr>
              <w:t>DMN</w:t>
            </w:r>
            <w:r w:rsidRPr="0069053B">
              <w:rPr>
                <w:sz w:val="16"/>
                <w:szCs w:val="16"/>
              </w:rPr>
              <w:t xml:space="preserve"> and its metabolite M23 free and conjugated, expressed as 1,4-</w:t>
            </w:r>
            <w:r>
              <w:rPr>
                <w:sz w:val="16"/>
                <w:szCs w:val="16"/>
              </w:rPr>
              <w:t>DMN</w:t>
            </w:r>
          </w:p>
        </w:tc>
        <w:tc>
          <w:tcPr>
            <w:tcW w:w="526" w:type="pct"/>
            <w:tcBorders>
              <w:top w:val="single" w:sz="4" w:space="0" w:color="auto"/>
              <w:left w:val="nil"/>
              <w:bottom w:val="single" w:sz="4" w:space="0" w:color="291427" w:themeColor="accent5" w:themeShade="80"/>
              <w:right w:val="nil"/>
            </w:tcBorders>
          </w:tcPr>
          <w:p w14:paraId="56919084" w14:textId="77777777" w:rsidR="00A82E1B" w:rsidRPr="00C7218C" w:rsidRDefault="00A82E1B" w:rsidP="004E26A5">
            <w:pPr>
              <w:pStyle w:val="MRLTableText"/>
              <w:spacing w:line="240" w:lineRule="auto"/>
              <w:rPr>
                <w:rFonts w:cs="Arial"/>
                <w:szCs w:val="16"/>
              </w:rPr>
            </w:pPr>
            <w:r>
              <w:rPr>
                <w:rFonts w:cs="Arial"/>
                <w:szCs w:val="16"/>
              </w:rPr>
              <w:t>-</w:t>
            </w:r>
          </w:p>
        </w:tc>
        <w:tc>
          <w:tcPr>
            <w:tcW w:w="525" w:type="pct"/>
            <w:tcBorders>
              <w:top w:val="single" w:sz="4" w:space="0" w:color="auto"/>
              <w:left w:val="nil"/>
              <w:bottom w:val="single" w:sz="4" w:space="0" w:color="291427" w:themeColor="accent5" w:themeShade="80"/>
              <w:right w:val="nil"/>
            </w:tcBorders>
          </w:tcPr>
          <w:p w14:paraId="2961FEAE" w14:textId="77777777" w:rsidR="00A82E1B" w:rsidRPr="00C7218C" w:rsidRDefault="00A82E1B" w:rsidP="004E26A5">
            <w:pPr>
              <w:pStyle w:val="MRLTableText"/>
              <w:spacing w:line="240" w:lineRule="auto"/>
              <w:rPr>
                <w:rFonts w:cs="Arial"/>
                <w:szCs w:val="16"/>
              </w:rPr>
            </w:pPr>
            <w:r>
              <w:rPr>
                <w:rFonts w:cs="Arial"/>
                <w:szCs w:val="16"/>
              </w:rPr>
              <w:t>1,4-DMN</w:t>
            </w:r>
          </w:p>
        </w:tc>
        <w:tc>
          <w:tcPr>
            <w:tcW w:w="525" w:type="pct"/>
            <w:tcBorders>
              <w:top w:val="single" w:sz="4" w:space="0" w:color="auto"/>
              <w:left w:val="nil"/>
              <w:bottom w:val="single" w:sz="4" w:space="0" w:color="291427" w:themeColor="accent5" w:themeShade="80"/>
              <w:right w:val="nil"/>
            </w:tcBorders>
          </w:tcPr>
          <w:p w14:paraId="2F74342D" w14:textId="77777777" w:rsidR="00A82E1B" w:rsidRPr="00C7218C" w:rsidRDefault="00A82E1B" w:rsidP="004E26A5">
            <w:pPr>
              <w:pStyle w:val="MRLTableText"/>
              <w:spacing w:line="240" w:lineRule="auto"/>
              <w:rPr>
                <w:rFonts w:cs="Arial"/>
                <w:szCs w:val="16"/>
              </w:rPr>
            </w:pPr>
            <w:r>
              <w:rPr>
                <w:rFonts w:cs="Arial"/>
                <w:szCs w:val="16"/>
              </w:rPr>
              <w:t>-</w:t>
            </w:r>
          </w:p>
        </w:tc>
        <w:tc>
          <w:tcPr>
            <w:tcW w:w="524" w:type="pct"/>
            <w:tcBorders>
              <w:top w:val="single" w:sz="4" w:space="0" w:color="auto"/>
              <w:left w:val="nil"/>
              <w:bottom w:val="single" w:sz="4" w:space="0" w:color="291427" w:themeColor="accent5" w:themeShade="80"/>
              <w:right w:val="nil"/>
            </w:tcBorders>
          </w:tcPr>
          <w:p w14:paraId="18026975" w14:textId="77777777" w:rsidR="00A82E1B" w:rsidRPr="00C7218C" w:rsidRDefault="00A82E1B" w:rsidP="004E26A5">
            <w:pPr>
              <w:pStyle w:val="MRLTableText"/>
              <w:spacing w:line="240" w:lineRule="auto"/>
              <w:rPr>
                <w:rFonts w:cs="Arial"/>
                <w:szCs w:val="16"/>
              </w:rPr>
            </w:pPr>
            <w:r>
              <w:rPr>
                <w:rFonts w:cs="Arial"/>
                <w:szCs w:val="16"/>
              </w:rPr>
              <w:t>-</w:t>
            </w:r>
          </w:p>
        </w:tc>
        <w:tc>
          <w:tcPr>
            <w:tcW w:w="517" w:type="pct"/>
            <w:tcBorders>
              <w:top w:val="single" w:sz="4" w:space="0" w:color="auto"/>
              <w:left w:val="nil"/>
              <w:bottom w:val="single" w:sz="4" w:space="0" w:color="291427" w:themeColor="accent5" w:themeShade="80"/>
              <w:right w:val="single" w:sz="4" w:space="0" w:color="auto"/>
            </w:tcBorders>
          </w:tcPr>
          <w:p w14:paraId="2F946F71" w14:textId="77777777" w:rsidR="00A82E1B" w:rsidRPr="00C7218C" w:rsidRDefault="00A82E1B" w:rsidP="004E26A5">
            <w:pPr>
              <w:pStyle w:val="APVMATableText"/>
              <w:rPr>
                <w:sz w:val="16"/>
                <w:szCs w:val="16"/>
              </w:rPr>
            </w:pPr>
            <w:r w:rsidRPr="004A7943">
              <w:rPr>
                <w:sz w:val="16"/>
                <w:szCs w:val="16"/>
              </w:rPr>
              <w:t xml:space="preserve">An </w:t>
            </w:r>
            <w:bookmarkStart w:id="129" w:name="_Hlk205295628"/>
            <w:r w:rsidRPr="004A7943">
              <w:rPr>
                <w:sz w:val="16"/>
                <w:szCs w:val="16"/>
              </w:rPr>
              <w:t>exemption from the requirement of a tolerance is established for the residues of the plant growth regulator, 1,4-dimethylnaphthalene (1,4-DMN), when applied postharvest to all sprouting root, tuber, and bulb crops in accordance with good agricultural practices.</w:t>
            </w:r>
            <w:bookmarkEnd w:id="129"/>
          </w:p>
        </w:tc>
      </w:tr>
      <w:tr w:rsidR="00A82E1B" w:rsidRPr="00E45A14" w14:paraId="2FBC7715" w14:textId="77777777" w:rsidTr="008761B6">
        <w:trPr>
          <w:trHeight w:val="145"/>
        </w:trPr>
        <w:tc>
          <w:tcPr>
            <w:tcW w:w="428" w:type="pct"/>
            <w:tcBorders>
              <w:top w:val="single" w:sz="4" w:space="0" w:color="291427" w:themeColor="accent5" w:themeShade="80"/>
              <w:left w:val="single" w:sz="4" w:space="0" w:color="auto"/>
              <w:bottom w:val="single" w:sz="4" w:space="0" w:color="291427" w:themeColor="accent5" w:themeShade="80"/>
              <w:right w:val="nil"/>
            </w:tcBorders>
            <w:vAlign w:val="center"/>
          </w:tcPr>
          <w:p w14:paraId="2248D5D9" w14:textId="77777777" w:rsidR="00A82E1B" w:rsidRPr="00C7218C" w:rsidRDefault="00A82E1B" w:rsidP="004E26A5">
            <w:pPr>
              <w:pStyle w:val="APVMATableText"/>
              <w:spacing w:line="240" w:lineRule="auto"/>
              <w:rPr>
                <w:sz w:val="16"/>
                <w:szCs w:val="16"/>
              </w:rPr>
            </w:pPr>
            <w:r>
              <w:rPr>
                <w:sz w:val="16"/>
                <w:szCs w:val="16"/>
              </w:rPr>
              <w:t>E</w:t>
            </w:r>
            <w:r w:rsidRPr="00C7218C">
              <w:rPr>
                <w:sz w:val="16"/>
                <w:szCs w:val="16"/>
              </w:rPr>
              <w:t>dible offal (mammalian)</w:t>
            </w:r>
          </w:p>
        </w:tc>
        <w:tc>
          <w:tcPr>
            <w:tcW w:w="716" w:type="pct"/>
            <w:tcBorders>
              <w:top w:val="single" w:sz="4" w:space="0" w:color="291427" w:themeColor="accent5" w:themeShade="80"/>
              <w:left w:val="nil"/>
              <w:bottom w:val="single" w:sz="4" w:space="0" w:color="291427" w:themeColor="accent5" w:themeShade="80"/>
              <w:right w:val="nil"/>
            </w:tcBorders>
          </w:tcPr>
          <w:p w14:paraId="5F40AFC9" w14:textId="77777777" w:rsidR="00A82E1B" w:rsidRPr="00C7218C" w:rsidRDefault="00A82E1B" w:rsidP="004E26A5">
            <w:pPr>
              <w:pStyle w:val="APVMATableText"/>
              <w:spacing w:line="240" w:lineRule="auto"/>
              <w:rPr>
                <w:caps/>
                <w:sz w:val="16"/>
                <w:szCs w:val="16"/>
              </w:rPr>
            </w:pPr>
            <w:r>
              <w:rPr>
                <w:caps/>
                <w:sz w:val="16"/>
                <w:szCs w:val="16"/>
              </w:rPr>
              <w:t>0.2</w:t>
            </w:r>
          </w:p>
        </w:tc>
        <w:tc>
          <w:tcPr>
            <w:tcW w:w="717" w:type="pct"/>
            <w:tcBorders>
              <w:top w:val="single" w:sz="4" w:space="0" w:color="291427" w:themeColor="accent5" w:themeShade="80"/>
              <w:left w:val="nil"/>
              <w:bottom w:val="single" w:sz="4" w:space="0" w:color="291427" w:themeColor="accent5" w:themeShade="80"/>
              <w:right w:val="nil"/>
            </w:tcBorders>
          </w:tcPr>
          <w:p w14:paraId="4FA49693" w14:textId="77777777" w:rsidR="00A82E1B" w:rsidRPr="00C7218C" w:rsidRDefault="00A82E1B" w:rsidP="004E26A5">
            <w:pPr>
              <w:pStyle w:val="APVMATableText"/>
              <w:spacing w:line="240" w:lineRule="auto"/>
              <w:rPr>
                <w:sz w:val="16"/>
                <w:szCs w:val="16"/>
              </w:rPr>
            </w:pPr>
            <w:r>
              <w:rPr>
                <w:sz w:val="16"/>
                <w:szCs w:val="16"/>
              </w:rPr>
              <w:t>0.5</w:t>
            </w:r>
          </w:p>
        </w:tc>
        <w:tc>
          <w:tcPr>
            <w:tcW w:w="522" w:type="pct"/>
            <w:tcBorders>
              <w:top w:val="single" w:sz="4" w:space="0" w:color="291427" w:themeColor="accent5" w:themeShade="80"/>
              <w:left w:val="nil"/>
              <w:bottom w:val="single" w:sz="4" w:space="0" w:color="291427" w:themeColor="accent5" w:themeShade="80"/>
              <w:right w:val="nil"/>
            </w:tcBorders>
          </w:tcPr>
          <w:p w14:paraId="78315619" w14:textId="77777777" w:rsidR="00A82E1B" w:rsidRDefault="00A82E1B" w:rsidP="004E26A5">
            <w:pPr>
              <w:pStyle w:val="APVMATableText"/>
              <w:spacing w:line="240" w:lineRule="auto"/>
              <w:rPr>
                <w:sz w:val="16"/>
                <w:szCs w:val="16"/>
              </w:rPr>
            </w:pPr>
            <w:r>
              <w:rPr>
                <w:sz w:val="16"/>
                <w:szCs w:val="16"/>
              </w:rPr>
              <w:t>2 (bovine liver and kidney)</w:t>
            </w:r>
          </w:p>
          <w:p w14:paraId="17C0EEFA" w14:textId="77777777" w:rsidR="00A82E1B" w:rsidRDefault="00A82E1B" w:rsidP="004E26A5">
            <w:pPr>
              <w:pStyle w:val="APVMATableText"/>
              <w:spacing w:line="240" w:lineRule="auto"/>
              <w:rPr>
                <w:sz w:val="16"/>
                <w:szCs w:val="16"/>
              </w:rPr>
            </w:pPr>
            <w:r>
              <w:rPr>
                <w:sz w:val="16"/>
                <w:szCs w:val="16"/>
              </w:rPr>
              <w:t>3 (sheep/goat liver and kidney)</w:t>
            </w:r>
          </w:p>
          <w:p w14:paraId="5F9CA3E4" w14:textId="77777777" w:rsidR="00A82E1B" w:rsidRPr="00C7218C" w:rsidRDefault="00A82E1B" w:rsidP="004E26A5">
            <w:pPr>
              <w:pStyle w:val="APVMATableText"/>
              <w:spacing w:line="240" w:lineRule="auto"/>
              <w:rPr>
                <w:sz w:val="16"/>
                <w:szCs w:val="16"/>
              </w:rPr>
            </w:pPr>
            <w:r>
              <w:rPr>
                <w:sz w:val="16"/>
                <w:szCs w:val="16"/>
              </w:rPr>
              <w:t>1.5 (swine liver and kidney)</w:t>
            </w:r>
          </w:p>
        </w:tc>
        <w:tc>
          <w:tcPr>
            <w:tcW w:w="526" w:type="pct"/>
            <w:tcBorders>
              <w:top w:val="single" w:sz="4" w:space="0" w:color="291427" w:themeColor="accent5" w:themeShade="80"/>
              <w:left w:val="nil"/>
              <w:bottom w:val="single" w:sz="4" w:space="0" w:color="291427" w:themeColor="accent5" w:themeShade="80"/>
              <w:right w:val="nil"/>
            </w:tcBorders>
          </w:tcPr>
          <w:p w14:paraId="17484F14" w14:textId="77777777" w:rsidR="00A82E1B" w:rsidRPr="0055247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4C0E5F4C" w14:textId="77777777" w:rsidR="00A82E1B" w:rsidRPr="0055247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5E6AC6D1" w14:textId="77777777" w:rsidR="00A82E1B" w:rsidRPr="0055247B" w:rsidRDefault="00A82E1B" w:rsidP="004E26A5">
            <w:pPr>
              <w:pStyle w:val="APVMATableText"/>
              <w:spacing w:line="240" w:lineRule="auto"/>
              <w:rPr>
                <w:sz w:val="16"/>
                <w:szCs w:val="16"/>
              </w:rPr>
            </w:pPr>
            <w:r>
              <w:rPr>
                <w:sz w:val="16"/>
                <w:szCs w:val="16"/>
              </w:rPr>
              <w:t>-</w:t>
            </w:r>
          </w:p>
        </w:tc>
        <w:tc>
          <w:tcPr>
            <w:tcW w:w="524" w:type="pct"/>
            <w:tcBorders>
              <w:top w:val="single" w:sz="4" w:space="0" w:color="291427" w:themeColor="accent5" w:themeShade="80"/>
              <w:left w:val="nil"/>
              <w:bottom w:val="single" w:sz="4" w:space="0" w:color="291427" w:themeColor="accent5" w:themeShade="80"/>
              <w:right w:val="nil"/>
            </w:tcBorders>
          </w:tcPr>
          <w:p w14:paraId="415A2275" w14:textId="77777777" w:rsidR="00A82E1B" w:rsidRPr="00C7218C" w:rsidRDefault="00A82E1B" w:rsidP="004E26A5">
            <w:pPr>
              <w:pStyle w:val="APVMATableText"/>
              <w:spacing w:line="240" w:lineRule="auto"/>
              <w:rPr>
                <w:sz w:val="16"/>
                <w:szCs w:val="16"/>
              </w:rPr>
            </w:pPr>
            <w:r>
              <w:rPr>
                <w:sz w:val="16"/>
                <w:szCs w:val="16"/>
              </w:rPr>
              <w:t>-</w:t>
            </w:r>
          </w:p>
        </w:tc>
        <w:tc>
          <w:tcPr>
            <w:tcW w:w="517" w:type="pct"/>
            <w:tcBorders>
              <w:top w:val="single" w:sz="4" w:space="0" w:color="291427" w:themeColor="accent5" w:themeShade="80"/>
              <w:left w:val="nil"/>
              <w:bottom w:val="single" w:sz="4" w:space="0" w:color="291427" w:themeColor="accent5" w:themeShade="80"/>
              <w:right w:val="single" w:sz="4" w:space="0" w:color="auto"/>
            </w:tcBorders>
          </w:tcPr>
          <w:p w14:paraId="39E8B6E0" w14:textId="77777777" w:rsidR="00A82E1B" w:rsidRPr="00C7218C" w:rsidRDefault="00A82E1B" w:rsidP="004E26A5">
            <w:pPr>
              <w:pStyle w:val="APVMATableText"/>
              <w:spacing w:line="240" w:lineRule="auto"/>
              <w:rPr>
                <w:sz w:val="16"/>
                <w:szCs w:val="16"/>
              </w:rPr>
            </w:pPr>
            <w:r>
              <w:rPr>
                <w:sz w:val="16"/>
                <w:szCs w:val="16"/>
              </w:rPr>
              <w:t>-</w:t>
            </w:r>
          </w:p>
        </w:tc>
      </w:tr>
      <w:tr w:rsidR="00A82E1B" w:rsidRPr="00E45A14" w14:paraId="6D6A1092" w14:textId="77777777" w:rsidTr="008761B6">
        <w:trPr>
          <w:trHeight w:val="145"/>
        </w:trPr>
        <w:tc>
          <w:tcPr>
            <w:tcW w:w="428" w:type="pct"/>
            <w:tcBorders>
              <w:top w:val="single" w:sz="4" w:space="0" w:color="291427" w:themeColor="accent5" w:themeShade="80"/>
              <w:left w:val="single" w:sz="4" w:space="0" w:color="auto"/>
              <w:bottom w:val="single" w:sz="4" w:space="0" w:color="291427" w:themeColor="accent5" w:themeShade="80"/>
              <w:right w:val="nil"/>
            </w:tcBorders>
            <w:vAlign w:val="center"/>
          </w:tcPr>
          <w:p w14:paraId="6C3133F2" w14:textId="77777777" w:rsidR="00A82E1B" w:rsidRPr="00C7218C" w:rsidRDefault="00A82E1B" w:rsidP="004E26A5">
            <w:pPr>
              <w:pStyle w:val="APVMATableText"/>
              <w:spacing w:line="240" w:lineRule="auto"/>
              <w:rPr>
                <w:sz w:val="16"/>
                <w:szCs w:val="16"/>
              </w:rPr>
            </w:pPr>
            <w:r>
              <w:rPr>
                <w:sz w:val="16"/>
                <w:szCs w:val="16"/>
              </w:rPr>
              <w:t xml:space="preserve">Eggs </w:t>
            </w:r>
          </w:p>
        </w:tc>
        <w:tc>
          <w:tcPr>
            <w:tcW w:w="716" w:type="pct"/>
            <w:tcBorders>
              <w:top w:val="single" w:sz="4" w:space="0" w:color="291427" w:themeColor="accent5" w:themeShade="80"/>
              <w:left w:val="nil"/>
              <w:bottom w:val="single" w:sz="4" w:space="0" w:color="291427" w:themeColor="accent5" w:themeShade="80"/>
              <w:right w:val="nil"/>
            </w:tcBorders>
          </w:tcPr>
          <w:p w14:paraId="36A2CA85" w14:textId="77777777" w:rsidR="00A82E1B" w:rsidRDefault="00A82E1B" w:rsidP="004E26A5">
            <w:pPr>
              <w:pStyle w:val="APVMATableText"/>
              <w:spacing w:line="240" w:lineRule="auto"/>
              <w:rPr>
                <w:caps/>
                <w:sz w:val="16"/>
                <w:szCs w:val="16"/>
              </w:rPr>
            </w:pPr>
            <w:r>
              <w:rPr>
                <w:caps/>
                <w:sz w:val="16"/>
                <w:szCs w:val="16"/>
              </w:rPr>
              <w:t>*0.02</w:t>
            </w:r>
          </w:p>
        </w:tc>
        <w:tc>
          <w:tcPr>
            <w:tcW w:w="717" w:type="pct"/>
            <w:tcBorders>
              <w:top w:val="single" w:sz="4" w:space="0" w:color="291427" w:themeColor="accent5" w:themeShade="80"/>
              <w:left w:val="nil"/>
              <w:bottom w:val="single" w:sz="4" w:space="0" w:color="291427" w:themeColor="accent5" w:themeShade="80"/>
              <w:right w:val="nil"/>
            </w:tcBorders>
          </w:tcPr>
          <w:p w14:paraId="1E4010AF" w14:textId="77777777" w:rsidR="00A82E1B" w:rsidRDefault="00A82E1B" w:rsidP="004E26A5">
            <w:pPr>
              <w:pStyle w:val="APVMATableText"/>
              <w:spacing w:line="240" w:lineRule="auto"/>
              <w:rPr>
                <w:sz w:val="16"/>
                <w:szCs w:val="16"/>
              </w:rPr>
            </w:pPr>
            <w:r>
              <w:rPr>
                <w:sz w:val="16"/>
                <w:szCs w:val="16"/>
              </w:rPr>
              <w:t xml:space="preserve">0.03 </w:t>
            </w:r>
          </w:p>
        </w:tc>
        <w:tc>
          <w:tcPr>
            <w:tcW w:w="522" w:type="pct"/>
            <w:tcBorders>
              <w:top w:val="single" w:sz="4" w:space="0" w:color="291427" w:themeColor="accent5" w:themeShade="80"/>
              <w:left w:val="nil"/>
              <w:bottom w:val="single" w:sz="4" w:space="0" w:color="291427" w:themeColor="accent5" w:themeShade="80"/>
              <w:right w:val="nil"/>
            </w:tcBorders>
          </w:tcPr>
          <w:p w14:paraId="1ACCBE2D" w14:textId="77777777" w:rsidR="00A82E1B" w:rsidRDefault="00A82E1B" w:rsidP="004E26A5">
            <w:pPr>
              <w:pStyle w:val="APVMATableText"/>
              <w:spacing w:line="240" w:lineRule="auto"/>
              <w:rPr>
                <w:sz w:val="16"/>
                <w:szCs w:val="16"/>
              </w:rPr>
            </w:pPr>
            <w:r>
              <w:rPr>
                <w:sz w:val="16"/>
                <w:szCs w:val="16"/>
              </w:rPr>
              <w:t>0.4</w:t>
            </w:r>
          </w:p>
        </w:tc>
        <w:tc>
          <w:tcPr>
            <w:tcW w:w="526" w:type="pct"/>
            <w:tcBorders>
              <w:top w:val="single" w:sz="4" w:space="0" w:color="291427" w:themeColor="accent5" w:themeShade="80"/>
              <w:left w:val="nil"/>
              <w:bottom w:val="single" w:sz="4" w:space="0" w:color="291427" w:themeColor="accent5" w:themeShade="80"/>
              <w:right w:val="nil"/>
            </w:tcBorders>
          </w:tcPr>
          <w:p w14:paraId="3BA88B75" w14:textId="77777777" w:rsidR="00A82E1B" w:rsidRDefault="00A82E1B" w:rsidP="004E26A5">
            <w:pPr>
              <w:pStyle w:val="APVMATableText"/>
              <w:spacing w:line="240" w:lineRule="auto"/>
              <w:rPr>
                <w:sz w:val="16"/>
                <w:szCs w:val="16"/>
              </w:rPr>
            </w:pPr>
          </w:p>
        </w:tc>
        <w:tc>
          <w:tcPr>
            <w:tcW w:w="525" w:type="pct"/>
            <w:tcBorders>
              <w:top w:val="single" w:sz="4" w:space="0" w:color="291427" w:themeColor="accent5" w:themeShade="80"/>
              <w:left w:val="nil"/>
              <w:bottom w:val="single" w:sz="4" w:space="0" w:color="291427" w:themeColor="accent5" w:themeShade="80"/>
              <w:right w:val="nil"/>
            </w:tcBorders>
          </w:tcPr>
          <w:p w14:paraId="4BFAC971" w14:textId="77777777" w:rsidR="00A82E1B" w:rsidRDefault="00A82E1B" w:rsidP="004E26A5">
            <w:pPr>
              <w:pStyle w:val="APVMATableText"/>
              <w:spacing w:line="240" w:lineRule="auto"/>
              <w:rPr>
                <w:sz w:val="16"/>
                <w:szCs w:val="16"/>
              </w:rPr>
            </w:pPr>
          </w:p>
        </w:tc>
        <w:tc>
          <w:tcPr>
            <w:tcW w:w="525" w:type="pct"/>
            <w:tcBorders>
              <w:top w:val="single" w:sz="4" w:space="0" w:color="291427" w:themeColor="accent5" w:themeShade="80"/>
              <w:left w:val="nil"/>
              <w:bottom w:val="single" w:sz="4" w:space="0" w:color="291427" w:themeColor="accent5" w:themeShade="80"/>
              <w:right w:val="nil"/>
            </w:tcBorders>
          </w:tcPr>
          <w:p w14:paraId="6F0EC7E5" w14:textId="77777777" w:rsidR="00A82E1B" w:rsidRDefault="00A82E1B" w:rsidP="004E26A5">
            <w:pPr>
              <w:pStyle w:val="APVMATableText"/>
              <w:spacing w:line="240" w:lineRule="auto"/>
              <w:rPr>
                <w:sz w:val="16"/>
                <w:szCs w:val="16"/>
              </w:rPr>
            </w:pPr>
          </w:p>
        </w:tc>
        <w:tc>
          <w:tcPr>
            <w:tcW w:w="524" w:type="pct"/>
            <w:tcBorders>
              <w:top w:val="single" w:sz="4" w:space="0" w:color="291427" w:themeColor="accent5" w:themeShade="80"/>
              <w:left w:val="nil"/>
              <w:bottom w:val="single" w:sz="4" w:space="0" w:color="291427" w:themeColor="accent5" w:themeShade="80"/>
              <w:right w:val="nil"/>
            </w:tcBorders>
          </w:tcPr>
          <w:p w14:paraId="25177FD9" w14:textId="77777777" w:rsidR="00A82E1B" w:rsidRDefault="00A82E1B" w:rsidP="004E26A5">
            <w:pPr>
              <w:pStyle w:val="APVMATableText"/>
              <w:spacing w:line="240" w:lineRule="auto"/>
              <w:rPr>
                <w:sz w:val="16"/>
                <w:szCs w:val="16"/>
              </w:rPr>
            </w:pPr>
          </w:p>
        </w:tc>
        <w:tc>
          <w:tcPr>
            <w:tcW w:w="517" w:type="pct"/>
            <w:tcBorders>
              <w:top w:val="single" w:sz="4" w:space="0" w:color="291427" w:themeColor="accent5" w:themeShade="80"/>
              <w:left w:val="nil"/>
              <w:bottom w:val="single" w:sz="4" w:space="0" w:color="291427" w:themeColor="accent5" w:themeShade="80"/>
              <w:right w:val="single" w:sz="4" w:space="0" w:color="auto"/>
            </w:tcBorders>
          </w:tcPr>
          <w:p w14:paraId="119071CA" w14:textId="77777777" w:rsidR="00A82E1B" w:rsidRDefault="00A82E1B" w:rsidP="004E26A5">
            <w:pPr>
              <w:pStyle w:val="APVMATableText"/>
              <w:spacing w:line="240" w:lineRule="auto"/>
              <w:rPr>
                <w:sz w:val="16"/>
                <w:szCs w:val="16"/>
              </w:rPr>
            </w:pPr>
          </w:p>
        </w:tc>
      </w:tr>
      <w:tr w:rsidR="00A82E1B" w:rsidRPr="00E45A14" w14:paraId="066514B6" w14:textId="77777777" w:rsidTr="008761B6">
        <w:trPr>
          <w:trHeight w:val="145"/>
        </w:trPr>
        <w:tc>
          <w:tcPr>
            <w:tcW w:w="428" w:type="pct"/>
            <w:tcBorders>
              <w:top w:val="single" w:sz="4" w:space="0" w:color="291427" w:themeColor="accent5" w:themeShade="80"/>
              <w:left w:val="single" w:sz="4" w:space="0" w:color="auto"/>
              <w:bottom w:val="single" w:sz="4" w:space="0" w:color="291427" w:themeColor="accent5" w:themeShade="80"/>
              <w:right w:val="nil"/>
            </w:tcBorders>
            <w:vAlign w:val="center"/>
          </w:tcPr>
          <w:p w14:paraId="190AA81A" w14:textId="77777777" w:rsidR="00A82E1B" w:rsidRPr="00C7218C" w:rsidRDefault="00A82E1B" w:rsidP="004E26A5">
            <w:pPr>
              <w:pStyle w:val="APVMATableText"/>
              <w:spacing w:line="240" w:lineRule="auto"/>
              <w:rPr>
                <w:sz w:val="16"/>
                <w:szCs w:val="16"/>
              </w:rPr>
            </w:pPr>
            <w:r>
              <w:rPr>
                <w:sz w:val="16"/>
                <w:szCs w:val="16"/>
              </w:rPr>
              <w:t>Meat (mammalian) [in the fat]</w:t>
            </w:r>
          </w:p>
        </w:tc>
        <w:tc>
          <w:tcPr>
            <w:tcW w:w="716" w:type="pct"/>
            <w:tcBorders>
              <w:top w:val="single" w:sz="4" w:space="0" w:color="291427" w:themeColor="accent5" w:themeShade="80"/>
              <w:left w:val="nil"/>
              <w:bottom w:val="single" w:sz="4" w:space="0" w:color="291427" w:themeColor="accent5" w:themeShade="80"/>
              <w:right w:val="nil"/>
            </w:tcBorders>
          </w:tcPr>
          <w:p w14:paraId="49CAE5C3" w14:textId="11E37761" w:rsidR="00A82E1B" w:rsidRPr="008155B8" w:rsidRDefault="00A82E1B" w:rsidP="001E4011">
            <w:pPr>
              <w:pStyle w:val="APVMATableText"/>
              <w:spacing w:line="240" w:lineRule="auto"/>
              <w:rPr>
                <w:sz w:val="16"/>
                <w:szCs w:val="16"/>
              </w:rPr>
            </w:pPr>
            <w:r>
              <w:rPr>
                <w:caps/>
                <w:sz w:val="16"/>
                <w:szCs w:val="16"/>
              </w:rPr>
              <w:t>*0.02</w:t>
            </w:r>
          </w:p>
        </w:tc>
        <w:tc>
          <w:tcPr>
            <w:tcW w:w="717" w:type="pct"/>
            <w:tcBorders>
              <w:top w:val="single" w:sz="4" w:space="0" w:color="291427" w:themeColor="accent5" w:themeShade="80"/>
              <w:left w:val="nil"/>
              <w:bottom w:val="single" w:sz="4" w:space="0" w:color="291427" w:themeColor="accent5" w:themeShade="80"/>
              <w:right w:val="nil"/>
            </w:tcBorders>
          </w:tcPr>
          <w:p w14:paraId="07DD52F8" w14:textId="77777777" w:rsidR="00A82E1B" w:rsidRPr="00C7218C" w:rsidRDefault="00A82E1B" w:rsidP="004E26A5">
            <w:pPr>
              <w:pStyle w:val="APVMATableText"/>
              <w:spacing w:line="240" w:lineRule="auto"/>
              <w:rPr>
                <w:sz w:val="16"/>
                <w:szCs w:val="16"/>
              </w:rPr>
            </w:pPr>
            <w:r>
              <w:rPr>
                <w:sz w:val="16"/>
                <w:szCs w:val="16"/>
              </w:rPr>
              <w:t>0.03 (fat)</w:t>
            </w:r>
          </w:p>
        </w:tc>
        <w:tc>
          <w:tcPr>
            <w:tcW w:w="522" w:type="pct"/>
            <w:tcBorders>
              <w:top w:val="single" w:sz="4" w:space="0" w:color="291427" w:themeColor="accent5" w:themeShade="80"/>
              <w:left w:val="nil"/>
              <w:bottom w:val="single" w:sz="4" w:space="0" w:color="291427" w:themeColor="accent5" w:themeShade="80"/>
              <w:right w:val="nil"/>
            </w:tcBorders>
          </w:tcPr>
          <w:p w14:paraId="50C4A180" w14:textId="77777777" w:rsidR="00A82E1B" w:rsidRDefault="00A82E1B" w:rsidP="004E26A5">
            <w:pPr>
              <w:pStyle w:val="APVMATableText"/>
              <w:spacing w:line="240" w:lineRule="auto"/>
              <w:rPr>
                <w:sz w:val="16"/>
                <w:szCs w:val="16"/>
              </w:rPr>
            </w:pPr>
            <w:r>
              <w:rPr>
                <w:sz w:val="16"/>
                <w:szCs w:val="16"/>
              </w:rPr>
              <w:t>0.03 (bovine, sheep and goat)</w:t>
            </w:r>
          </w:p>
          <w:p w14:paraId="22748830" w14:textId="77777777" w:rsidR="00A82E1B" w:rsidRPr="00C7218C" w:rsidRDefault="00A82E1B" w:rsidP="004E26A5">
            <w:pPr>
              <w:pStyle w:val="APVMATableText"/>
              <w:spacing w:line="240" w:lineRule="auto"/>
              <w:rPr>
                <w:sz w:val="16"/>
                <w:szCs w:val="16"/>
              </w:rPr>
            </w:pPr>
            <w:r>
              <w:rPr>
                <w:sz w:val="16"/>
                <w:szCs w:val="16"/>
              </w:rPr>
              <w:t>0.03 (swine)</w:t>
            </w:r>
          </w:p>
        </w:tc>
        <w:tc>
          <w:tcPr>
            <w:tcW w:w="526" w:type="pct"/>
            <w:tcBorders>
              <w:top w:val="single" w:sz="4" w:space="0" w:color="291427" w:themeColor="accent5" w:themeShade="80"/>
              <w:left w:val="nil"/>
              <w:bottom w:val="single" w:sz="4" w:space="0" w:color="291427" w:themeColor="accent5" w:themeShade="80"/>
              <w:right w:val="nil"/>
            </w:tcBorders>
          </w:tcPr>
          <w:p w14:paraId="6B99675C" w14:textId="77777777" w:rsidR="00A82E1B" w:rsidRPr="0055247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771F3106" w14:textId="77777777" w:rsidR="00A82E1B" w:rsidRPr="0055247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02A8B615" w14:textId="77777777" w:rsidR="00A82E1B" w:rsidRPr="0055247B" w:rsidRDefault="00A82E1B" w:rsidP="004E26A5">
            <w:pPr>
              <w:pStyle w:val="APVMATableText"/>
              <w:spacing w:line="240" w:lineRule="auto"/>
              <w:rPr>
                <w:sz w:val="16"/>
                <w:szCs w:val="16"/>
              </w:rPr>
            </w:pPr>
            <w:r>
              <w:rPr>
                <w:sz w:val="16"/>
                <w:szCs w:val="16"/>
              </w:rPr>
              <w:t>-</w:t>
            </w:r>
          </w:p>
        </w:tc>
        <w:tc>
          <w:tcPr>
            <w:tcW w:w="524" w:type="pct"/>
            <w:tcBorders>
              <w:top w:val="single" w:sz="4" w:space="0" w:color="291427" w:themeColor="accent5" w:themeShade="80"/>
              <w:left w:val="nil"/>
              <w:bottom w:val="single" w:sz="4" w:space="0" w:color="291427" w:themeColor="accent5" w:themeShade="80"/>
              <w:right w:val="nil"/>
            </w:tcBorders>
          </w:tcPr>
          <w:p w14:paraId="1D5E03B2" w14:textId="77777777" w:rsidR="00A82E1B" w:rsidRPr="00C7218C" w:rsidRDefault="00A82E1B" w:rsidP="004E26A5">
            <w:pPr>
              <w:pStyle w:val="APVMATableText"/>
              <w:spacing w:line="240" w:lineRule="auto"/>
              <w:rPr>
                <w:sz w:val="16"/>
                <w:szCs w:val="16"/>
              </w:rPr>
            </w:pPr>
            <w:r>
              <w:rPr>
                <w:sz w:val="16"/>
                <w:szCs w:val="16"/>
              </w:rPr>
              <w:t>-</w:t>
            </w:r>
          </w:p>
        </w:tc>
        <w:tc>
          <w:tcPr>
            <w:tcW w:w="517" w:type="pct"/>
            <w:tcBorders>
              <w:top w:val="single" w:sz="4" w:space="0" w:color="291427" w:themeColor="accent5" w:themeShade="80"/>
              <w:left w:val="nil"/>
              <w:bottom w:val="single" w:sz="4" w:space="0" w:color="291427" w:themeColor="accent5" w:themeShade="80"/>
              <w:right w:val="single" w:sz="4" w:space="0" w:color="auto"/>
            </w:tcBorders>
          </w:tcPr>
          <w:p w14:paraId="3AC082C2" w14:textId="77777777" w:rsidR="00A82E1B" w:rsidRPr="00C7218C" w:rsidRDefault="00A82E1B" w:rsidP="004E26A5">
            <w:pPr>
              <w:pStyle w:val="APVMATableText"/>
              <w:spacing w:line="240" w:lineRule="auto"/>
              <w:rPr>
                <w:sz w:val="16"/>
                <w:szCs w:val="16"/>
              </w:rPr>
            </w:pPr>
            <w:r>
              <w:rPr>
                <w:sz w:val="16"/>
                <w:szCs w:val="16"/>
              </w:rPr>
              <w:t>-</w:t>
            </w:r>
          </w:p>
        </w:tc>
      </w:tr>
      <w:tr w:rsidR="00A82E1B" w:rsidRPr="00E45A14" w14:paraId="19076031" w14:textId="77777777" w:rsidTr="008761B6">
        <w:trPr>
          <w:trHeight w:val="620"/>
        </w:trPr>
        <w:tc>
          <w:tcPr>
            <w:tcW w:w="428" w:type="pct"/>
            <w:tcBorders>
              <w:top w:val="single" w:sz="4" w:space="0" w:color="291427" w:themeColor="accent5" w:themeShade="80"/>
              <w:left w:val="single" w:sz="4" w:space="0" w:color="auto"/>
              <w:bottom w:val="single" w:sz="4" w:space="0" w:color="291427" w:themeColor="accent5" w:themeShade="80"/>
              <w:right w:val="nil"/>
            </w:tcBorders>
            <w:vAlign w:val="center"/>
          </w:tcPr>
          <w:p w14:paraId="6ED8417D" w14:textId="77777777" w:rsidR="00A82E1B" w:rsidRDefault="00A82E1B" w:rsidP="004E26A5">
            <w:pPr>
              <w:pStyle w:val="APVMATableText"/>
              <w:spacing w:line="240" w:lineRule="auto"/>
              <w:rPr>
                <w:sz w:val="16"/>
                <w:szCs w:val="16"/>
              </w:rPr>
            </w:pPr>
            <w:r>
              <w:rPr>
                <w:sz w:val="16"/>
                <w:szCs w:val="16"/>
              </w:rPr>
              <w:t xml:space="preserve">Mammalian fats </w:t>
            </w:r>
          </w:p>
        </w:tc>
        <w:tc>
          <w:tcPr>
            <w:tcW w:w="716" w:type="pct"/>
            <w:tcBorders>
              <w:top w:val="single" w:sz="4" w:space="0" w:color="291427" w:themeColor="accent5" w:themeShade="80"/>
              <w:left w:val="nil"/>
              <w:bottom w:val="single" w:sz="4" w:space="0" w:color="291427" w:themeColor="accent5" w:themeShade="80"/>
              <w:right w:val="nil"/>
            </w:tcBorders>
          </w:tcPr>
          <w:p w14:paraId="79553B2A" w14:textId="77777777" w:rsidR="00A82E1B" w:rsidRDefault="00A82E1B" w:rsidP="00A82E1B">
            <w:pPr>
              <w:pStyle w:val="APVMATableText"/>
              <w:numPr>
                <w:ilvl w:val="0"/>
                <w:numId w:val="39"/>
              </w:numPr>
              <w:spacing w:line="240" w:lineRule="auto"/>
              <w:rPr>
                <w:caps/>
                <w:sz w:val="16"/>
                <w:szCs w:val="16"/>
              </w:rPr>
            </w:pPr>
          </w:p>
        </w:tc>
        <w:tc>
          <w:tcPr>
            <w:tcW w:w="717" w:type="pct"/>
            <w:tcBorders>
              <w:top w:val="single" w:sz="4" w:space="0" w:color="291427" w:themeColor="accent5" w:themeShade="80"/>
              <w:left w:val="nil"/>
              <w:bottom w:val="single" w:sz="4" w:space="0" w:color="291427" w:themeColor="accent5" w:themeShade="80"/>
              <w:right w:val="nil"/>
            </w:tcBorders>
          </w:tcPr>
          <w:p w14:paraId="55CBA3AE" w14:textId="77777777" w:rsidR="00A82E1B" w:rsidRDefault="00A82E1B" w:rsidP="004E26A5">
            <w:pPr>
              <w:pStyle w:val="APVMATableText"/>
              <w:spacing w:line="240" w:lineRule="auto"/>
              <w:rPr>
                <w:sz w:val="16"/>
                <w:szCs w:val="16"/>
              </w:rPr>
            </w:pPr>
            <w:r>
              <w:rPr>
                <w:sz w:val="16"/>
                <w:szCs w:val="16"/>
              </w:rPr>
              <w:t xml:space="preserve">0.03 </w:t>
            </w:r>
          </w:p>
          <w:p w14:paraId="005339EF" w14:textId="77777777" w:rsidR="00A82E1B" w:rsidRDefault="00A82E1B" w:rsidP="004E26A5">
            <w:pPr>
              <w:pStyle w:val="APVMATableText"/>
              <w:spacing w:line="240" w:lineRule="auto"/>
              <w:rPr>
                <w:sz w:val="16"/>
                <w:szCs w:val="16"/>
              </w:rPr>
            </w:pPr>
            <w:r>
              <w:rPr>
                <w:sz w:val="16"/>
                <w:szCs w:val="16"/>
              </w:rPr>
              <w:t xml:space="preserve">(mammalian fats except milk fats) </w:t>
            </w:r>
          </w:p>
        </w:tc>
        <w:tc>
          <w:tcPr>
            <w:tcW w:w="522" w:type="pct"/>
            <w:tcBorders>
              <w:top w:val="single" w:sz="4" w:space="0" w:color="291427" w:themeColor="accent5" w:themeShade="80"/>
              <w:left w:val="nil"/>
              <w:bottom w:val="single" w:sz="4" w:space="0" w:color="291427" w:themeColor="accent5" w:themeShade="80"/>
              <w:right w:val="nil"/>
            </w:tcBorders>
          </w:tcPr>
          <w:p w14:paraId="13E232A2" w14:textId="77777777" w:rsidR="00A82E1B" w:rsidRDefault="00A82E1B" w:rsidP="004E26A5">
            <w:pPr>
              <w:pStyle w:val="APVMATableText"/>
              <w:spacing w:line="240" w:lineRule="auto"/>
              <w:rPr>
                <w:sz w:val="16"/>
                <w:szCs w:val="16"/>
              </w:rPr>
            </w:pPr>
            <w:r>
              <w:rPr>
                <w:sz w:val="16"/>
                <w:szCs w:val="16"/>
              </w:rPr>
              <w:t>0.5 (bovine)</w:t>
            </w:r>
          </w:p>
          <w:p w14:paraId="67BD3C27" w14:textId="77777777" w:rsidR="00A82E1B" w:rsidRDefault="00A82E1B" w:rsidP="004E26A5">
            <w:pPr>
              <w:pStyle w:val="APVMATableText"/>
              <w:spacing w:line="240" w:lineRule="auto"/>
              <w:rPr>
                <w:sz w:val="16"/>
                <w:szCs w:val="16"/>
              </w:rPr>
            </w:pPr>
            <w:r>
              <w:rPr>
                <w:sz w:val="16"/>
                <w:szCs w:val="16"/>
              </w:rPr>
              <w:t>0.6 (sheep/goat)</w:t>
            </w:r>
          </w:p>
          <w:p w14:paraId="61B9A16D" w14:textId="77777777" w:rsidR="00A82E1B" w:rsidRDefault="00A82E1B" w:rsidP="004E26A5">
            <w:pPr>
              <w:pStyle w:val="APVMATableText"/>
              <w:spacing w:line="240" w:lineRule="auto"/>
              <w:rPr>
                <w:sz w:val="16"/>
                <w:szCs w:val="16"/>
              </w:rPr>
            </w:pPr>
            <w:r>
              <w:rPr>
                <w:sz w:val="16"/>
                <w:szCs w:val="16"/>
              </w:rPr>
              <w:t>0.3 (swine)</w:t>
            </w:r>
          </w:p>
        </w:tc>
        <w:tc>
          <w:tcPr>
            <w:tcW w:w="526" w:type="pct"/>
            <w:tcBorders>
              <w:top w:val="single" w:sz="4" w:space="0" w:color="291427" w:themeColor="accent5" w:themeShade="80"/>
              <w:left w:val="nil"/>
              <w:bottom w:val="single" w:sz="4" w:space="0" w:color="291427" w:themeColor="accent5" w:themeShade="80"/>
              <w:right w:val="nil"/>
            </w:tcBorders>
          </w:tcPr>
          <w:p w14:paraId="2972CF48" w14:textId="77777777" w:rsidR="00A82E1B" w:rsidRDefault="00A82E1B" w:rsidP="004E26A5">
            <w:pPr>
              <w:pStyle w:val="APVMATableText"/>
              <w:spacing w:line="240" w:lineRule="auto"/>
              <w:rPr>
                <w:sz w:val="16"/>
                <w:szCs w:val="16"/>
              </w:rPr>
            </w:pPr>
          </w:p>
        </w:tc>
        <w:tc>
          <w:tcPr>
            <w:tcW w:w="525" w:type="pct"/>
            <w:tcBorders>
              <w:top w:val="single" w:sz="4" w:space="0" w:color="291427" w:themeColor="accent5" w:themeShade="80"/>
              <w:left w:val="nil"/>
              <w:bottom w:val="single" w:sz="4" w:space="0" w:color="291427" w:themeColor="accent5" w:themeShade="80"/>
              <w:right w:val="nil"/>
            </w:tcBorders>
          </w:tcPr>
          <w:p w14:paraId="3486BA39" w14:textId="77777777" w:rsidR="00A82E1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2FA2F7F9" w14:textId="77777777" w:rsidR="00A82E1B" w:rsidRDefault="00A82E1B" w:rsidP="004E26A5">
            <w:pPr>
              <w:pStyle w:val="APVMATableText"/>
              <w:spacing w:line="240" w:lineRule="auto"/>
              <w:rPr>
                <w:sz w:val="16"/>
                <w:szCs w:val="16"/>
              </w:rPr>
            </w:pPr>
            <w:r>
              <w:rPr>
                <w:sz w:val="16"/>
                <w:szCs w:val="16"/>
              </w:rPr>
              <w:t>-</w:t>
            </w:r>
          </w:p>
        </w:tc>
        <w:tc>
          <w:tcPr>
            <w:tcW w:w="524" w:type="pct"/>
            <w:tcBorders>
              <w:top w:val="single" w:sz="4" w:space="0" w:color="291427" w:themeColor="accent5" w:themeShade="80"/>
              <w:left w:val="nil"/>
              <w:bottom w:val="single" w:sz="4" w:space="0" w:color="291427" w:themeColor="accent5" w:themeShade="80"/>
              <w:right w:val="nil"/>
            </w:tcBorders>
          </w:tcPr>
          <w:p w14:paraId="1A0FC814" w14:textId="77777777" w:rsidR="00A82E1B" w:rsidRDefault="00A82E1B" w:rsidP="004E26A5">
            <w:pPr>
              <w:pStyle w:val="APVMATableText"/>
              <w:spacing w:line="240" w:lineRule="auto"/>
              <w:rPr>
                <w:sz w:val="16"/>
                <w:szCs w:val="16"/>
              </w:rPr>
            </w:pPr>
            <w:r>
              <w:rPr>
                <w:sz w:val="16"/>
                <w:szCs w:val="16"/>
              </w:rPr>
              <w:t>-</w:t>
            </w:r>
          </w:p>
        </w:tc>
        <w:tc>
          <w:tcPr>
            <w:tcW w:w="517" w:type="pct"/>
            <w:tcBorders>
              <w:top w:val="single" w:sz="4" w:space="0" w:color="291427" w:themeColor="accent5" w:themeShade="80"/>
              <w:left w:val="nil"/>
              <w:bottom w:val="single" w:sz="4" w:space="0" w:color="291427" w:themeColor="accent5" w:themeShade="80"/>
              <w:right w:val="single" w:sz="4" w:space="0" w:color="auto"/>
            </w:tcBorders>
          </w:tcPr>
          <w:p w14:paraId="6A7B58B7" w14:textId="77777777" w:rsidR="00A82E1B" w:rsidRDefault="00A82E1B" w:rsidP="004E26A5">
            <w:pPr>
              <w:pStyle w:val="APVMATableText"/>
              <w:spacing w:line="240" w:lineRule="auto"/>
              <w:rPr>
                <w:sz w:val="16"/>
                <w:szCs w:val="16"/>
              </w:rPr>
            </w:pPr>
            <w:r>
              <w:rPr>
                <w:sz w:val="16"/>
                <w:szCs w:val="16"/>
              </w:rPr>
              <w:t>-</w:t>
            </w:r>
          </w:p>
        </w:tc>
      </w:tr>
      <w:tr w:rsidR="00A82E1B" w:rsidRPr="00E45A14" w14:paraId="19C0C880" w14:textId="77777777" w:rsidTr="008761B6">
        <w:trPr>
          <w:trHeight w:val="145"/>
        </w:trPr>
        <w:tc>
          <w:tcPr>
            <w:tcW w:w="428" w:type="pct"/>
            <w:tcBorders>
              <w:top w:val="single" w:sz="4" w:space="0" w:color="291427" w:themeColor="accent5" w:themeShade="80"/>
              <w:left w:val="single" w:sz="4" w:space="0" w:color="auto"/>
              <w:bottom w:val="single" w:sz="4" w:space="0" w:color="291427" w:themeColor="accent5" w:themeShade="80"/>
              <w:right w:val="nil"/>
            </w:tcBorders>
            <w:vAlign w:val="center"/>
          </w:tcPr>
          <w:p w14:paraId="4B01E701" w14:textId="77777777" w:rsidR="00A82E1B" w:rsidRPr="00C7218C" w:rsidRDefault="00A82E1B" w:rsidP="004E26A5">
            <w:pPr>
              <w:pStyle w:val="APVMATableText"/>
              <w:spacing w:line="240" w:lineRule="auto"/>
              <w:rPr>
                <w:sz w:val="16"/>
                <w:szCs w:val="16"/>
              </w:rPr>
            </w:pPr>
            <w:r>
              <w:rPr>
                <w:sz w:val="16"/>
                <w:szCs w:val="16"/>
              </w:rPr>
              <w:t>Milks</w:t>
            </w:r>
          </w:p>
        </w:tc>
        <w:tc>
          <w:tcPr>
            <w:tcW w:w="716" w:type="pct"/>
            <w:tcBorders>
              <w:top w:val="single" w:sz="4" w:space="0" w:color="291427" w:themeColor="accent5" w:themeShade="80"/>
              <w:left w:val="nil"/>
              <w:bottom w:val="single" w:sz="4" w:space="0" w:color="291427" w:themeColor="accent5" w:themeShade="80"/>
              <w:right w:val="nil"/>
            </w:tcBorders>
          </w:tcPr>
          <w:p w14:paraId="2307FBD7" w14:textId="77777777" w:rsidR="00A82E1B" w:rsidRPr="00C7218C" w:rsidRDefault="00A82E1B" w:rsidP="004E26A5">
            <w:pPr>
              <w:pStyle w:val="APVMATableText"/>
              <w:spacing w:line="240" w:lineRule="auto"/>
              <w:rPr>
                <w:caps/>
                <w:sz w:val="16"/>
                <w:szCs w:val="16"/>
              </w:rPr>
            </w:pPr>
            <w:r>
              <w:rPr>
                <w:caps/>
                <w:sz w:val="16"/>
                <w:szCs w:val="16"/>
              </w:rPr>
              <w:t>*0.02</w:t>
            </w:r>
          </w:p>
        </w:tc>
        <w:tc>
          <w:tcPr>
            <w:tcW w:w="717" w:type="pct"/>
            <w:tcBorders>
              <w:top w:val="single" w:sz="4" w:space="0" w:color="291427" w:themeColor="accent5" w:themeShade="80"/>
              <w:left w:val="nil"/>
              <w:bottom w:val="single" w:sz="4" w:space="0" w:color="291427" w:themeColor="accent5" w:themeShade="80"/>
              <w:right w:val="nil"/>
            </w:tcBorders>
          </w:tcPr>
          <w:p w14:paraId="04551EDB" w14:textId="77777777" w:rsidR="00A82E1B" w:rsidRPr="00C7218C" w:rsidRDefault="00A82E1B" w:rsidP="004E26A5">
            <w:pPr>
              <w:pStyle w:val="APVMATableText"/>
              <w:spacing w:line="240" w:lineRule="auto"/>
              <w:rPr>
                <w:sz w:val="16"/>
                <w:szCs w:val="16"/>
              </w:rPr>
            </w:pPr>
            <w:r>
              <w:rPr>
                <w:sz w:val="16"/>
                <w:szCs w:val="16"/>
              </w:rPr>
              <w:t>0.03</w:t>
            </w:r>
          </w:p>
        </w:tc>
        <w:tc>
          <w:tcPr>
            <w:tcW w:w="522" w:type="pct"/>
            <w:tcBorders>
              <w:top w:val="single" w:sz="4" w:space="0" w:color="291427" w:themeColor="accent5" w:themeShade="80"/>
              <w:left w:val="nil"/>
              <w:bottom w:val="single" w:sz="4" w:space="0" w:color="291427" w:themeColor="accent5" w:themeShade="80"/>
              <w:right w:val="nil"/>
            </w:tcBorders>
          </w:tcPr>
          <w:p w14:paraId="508D706E" w14:textId="77777777" w:rsidR="00A82E1B" w:rsidRDefault="00A82E1B" w:rsidP="004E26A5">
            <w:pPr>
              <w:pStyle w:val="APVMATableText"/>
              <w:spacing w:line="240" w:lineRule="auto"/>
              <w:rPr>
                <w:sz w:val="16"/>
                <w:szCs w:val="16"/>
              </w:rPr>
            </w:pPr>
            <w:r>
              <w:rPr>
                <w:sz w:val="16"/>
                <w:szCs w:val="16"/>
              </w:rPr>
              <w:t>0.3 (cattle)</w:t>
            </w:r>
          </w:p>
          <w:p w14:paraId="5D1F00A1" w14:textId="77777777" w:rsidR="00A82E1B" w:rsidRPr="00C7218C" w:rsidRDefault="00A82E1B" w:rsidP="004E26A5">
            <w:pPr>
              <w:pStyle w:val="APVMATableText"/>
              <w:spacing w:line="240" w:lineRule="auto"/>
              <w:rPr>
                <w:sz w:val="16"/>
                <w:szCs w:val="16"/>
              </w:rPr>
            </w:pPr>
            <w:r>
              <w:rPr>
                <w:sz w:val="16"/>
                <w:szCs w:val="16"/>
              </w:rPr>
              <w:t>0.3 (sheep/goat)</w:t>
            </w:r>
          </w:p>
        </w:tc>
        <w:tc>
          <w:tcPr>
            <w:tcW w:w="526" w:type="pct"/>
            <w:tcBorders>
              <w:top w:val="single" w:sz="4" w:space="0" w:color="291427" w:themeColor="accent5" w:themeShade="80"/>
              <w:left w:val="nil"/>
              <w:bottom w:val="single" w:sz="4" w:space="0" w:color="291427" w:themeColor="accent5" w:themeShade="80"/>
              <w:right w:val="nil"/>
            </w:tcBorders>
          </w:tcPr>
          <w:p w14:paraId="09680412" w14:textId="77777777" w:rsidR="00A82E1B" w:rsidRPr="008F211E"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7670E95F" w14:textId="77777777" w:rsidR="00A82E1B" w:rsidRPr="0055247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64B5E29C" w14:textId="77777777" w:rsidR="00A82E1B" w:rsidRPr="0055247B" w:rsidRDefault="00A82E1B" w:rsidP="004E26A5">
            <w:pPr>
              <w:pStyle w:val="APVMATableText"/>
              <w:spacing w:line="240" w:lineRule="auto"/>
              <w:rPr>
                <w:sz w:val="16"/>
                <w:szCs w:val="16"/>
              </w:rPr>
            </w:pPr>
            <w:r>
              <w:rPr>
                <w:sz w:val="16"/>
                <w:szCs w:val="16"/>
              </w:rPr>
              <w:t>-</w:t>
            </w:r>
          </w:p>
        </w:tc>
        <w:tc>
          <w:tcPr>
            <w:tcW w:w="524" w:type="pct"/>
            <w:tcBorders>
              <w:top w:val="single" w:sz="4" w:space="0" w:color="291427" w:themeColor="accent5" w:themeShade="80"/>
              <w:left w:val="nil"/>
              <w:bottom w:val="single" w:sz="4" w:space="0" w:color="291427" w:themeColor="accent5" w:themeShade="80"/>
              <w:right w:val="nil"/>
            </w:tcBorders>
          </w:tcPr>
          <w:p w14:paraId="30C379AD" w14:textId="77777777" w:rsidR="00A82E1B" w:rsidRPr="00C7218C" w:rsidRDefault="00A82E1B" w:rsidP="004E26A5">
            <w:pPr>
              <w:pStyle w:val="APVMATableText"/>
              <w:spacing w:line="240" w:lineRule="auto"/>
              <w:rPr>
                <w:sz w:val="16"/>
                <w:szCs w:val="16"/>
              </w:rPr>
            </w:pPr>
            <w:r>
              <w:rPr>
                <w:sz w:val="16"/>
                <w:szCs w:val="16"/>
              </w:rPr>
              <w:t>-</w:t>
            </w:r>
          </w:p>
        </w:tc>
        <w:tc>
          <w:tcPr>
            <w:tcW w:w="517" w:type="pct"/>
            <w:tcBorders>
              <w:top w:val="single" w:sz="4" w:space="0" w:color="291427" w:themeColor="accent5" w:themeShade="80"/>
              <w:left w:val="nil"/>
              <w:bottom w:val="single" w:sz="4" w:space="0" w:color="291427" w:themeColor="accent5" w:themeShade="80"/>
              <w:right w:val="single" w:sz="4" w:space="0" w:color="auto"/>
            </w:tcBorders>
          </w:tcPr>
          <w:p w14:paraId="561FB71D" w14:textId="77777777" w:rsidR="00A82E1B" w:rsidRPr="00C7218C" w:rsidRDefault="00A82E1B" w:rsidP="004E26A5">
            <w:pPr>
              <w:pStyle w:val="APVMATableText"/>
              <w:spacing w:line="240" w:lineRule="auto"/>
              <w:rPr>
                <w:sz w:val="16"/>
                <w:szCs w:val="16"/>
              </w:rPr>
            </w:pPr>
            <w:r>
              <w:rPr>
                <w:sz w:val="16"/>
                <w:szCs w:val="16"/>
              </w:rPr>
              <w:t>-</w:t>
            </w:r>
          </w:p>
        </w:tc>
      </w:tr>
      <w:tr w:rsidR="00A82E1B" w:rsidRPr="00E45A14" w14:paraId="0F6826A7" w14:textId="77777777" w:rsidTr="008761B6">
        <w:trPr>
          <w:trHeight w:val="145"/>
        </w:trPr>
        <w:tc>
          <w:tcPr>
            <w:tcW w:w="428" w:type="pct"/>
            <w:tcBorders>
              <w:top w:val="single" w:sz="4" w:space="0" w:color="291427" w:themeColor="accent5" w:themeShade="80"/>
              <w:left w:val="single" w:sz="4" w:space="0" w:color="auto"/>
              <w:bottom w:val="single" w:sz="4" w:space="0" w:color="291427" w:themeColor="accent5" w:themeShade="80"/>
              <w:right w:val="nil"/>
            </w:tcBorders>
            <w:vAlign w:val="center"/>
          </w:tcPr>
          <w:p w14:paraId="13D89EBC" w14:textId="77777777" w:rsidR="00A82E1B" w:rsidRDefault="00A82E1B" w:rsidP="004E26A5">
            <w:pPr>
              <w:pStyle w:val="APVMATableText"/>
              <w:spacing w:line="240" w:lineRule="auto"/>
              <w:rPr>
                <w:sz w:val="16"/>
                <w:szCs w:val="16"/>
              </w:rPr>
            </w:pPr>
            <w:r>
              <w:rPr>
                <w:sz w:val="16"/>
                <w:szCs w:val="16"/>
              </w:rPr>
              <w:lastRenderedPageBreak/>
              <w:t xml:space="preserve">Poultry meat [in the fat] </w:t>
            </w:r>
          </w:p>
        </w:tc>
        <w:tc>
          <w:tcPr>
            <w:tcW w:w="716" w:type="pct"/>
            <w:tcBorders>
              <w:top w:val="single" w:sz="4" w:space="0" w:color="291427" w:themeColor="accent5" w:themeShade="80"/>
              <w:left w:val="nil"/>
              <w:bottom w:val="single" w:sz="4" w:space="0" w:color="291427" w:themeColor="accent5" w:themeShade="80"/>
              <w:right w:val="nil"/>
            </w:tcBorders>
          </w:tcPr>
          <w:p w14:paraId="784E49AA" w14:textId="77777777" w:rsidR="00A82E1B" w:rsidRDefault="00A82E1B" w:rsidP="004E26A5">
            <w:pPr>
              <w:pStyle w:val="APVMATableText"/>
              <w:spacing w:line="240" w:lineRule="auto"/>
              <w:rPr>
                <w:caps/>
                <w:sz w:val="16"/>
                <w:szCs w:val="16"/>
              </w:rPr>
            </w:pPr>
            <w:r>
              <w:rPr>
                <w:caps/>
                <w:sz w:val="16"/>
                <w:szCs w:val="16"/>
              </w:rPr>
              <w:t>*0.02</w:t>
            </w:r>
          </w:p>
        </w:tc>
        <w:tc>
          <w:tcPr>
            <w:tcW w:w="717" w:type="pct"/>
            <w:tcBorders>
              <w:top w:val="single" w:sz="4" w:space="0" w:color="291427" w:themeColor="accent5" w:themeShade="80"/>
              <w:left w:val="nil"/>
              <w:bottom w:val="single" w:sz="4" w:space="0" w:color="291427" w:themeColor="accent5" w:themeShade="80"/>
              <w:right w:val="nil"/>
            </w:tcBorders>
          </w:tcPr>
          <w:p w14:paraId="6E6D07E0" w14:textId="77777777" w:rsidR="00A82E1B" w:rsidRDefault="00A82E1B" w:rsidP="004E26A5">
            <w:pPr>
              <w:pStyle w:val="APVMATableText"/>
              <w:spacing w:line="240" w:lineRule="auto"/>
              <w:rPr>
                <w:sz w:val="16"/>
                <w:szCs w:val="16"/>
              </w:rPr>
            </w:pPr>
            <w:r>
              <w:rPr>
                <w:sz w:val="16"/>
                <w:szCs w:val="16"/>
              </w:rPr>
              <w:t>0.3 (fat)</w:t>
            </w:r>
          </w:p>
        </w:tc>
        <w:tc>
          <w:tcPr>
            <w:tcW w:w="522" w:type="pct"/>
            <w:tcBorders>
              <w:top w:val="single" w:sz="4" w:space="0" w:color="291427" w:themeColor="accent5" w:themeShade="80"/>
              <w:left w:val="nil"/>
              <w:bottom w:val="single" w:sz="4" w:space="0" w:color="291427" w:themeColor="accent5" w:themeShade="80"/>
              <w:right w:val="nil"/>
            </w:tcBorders>
          </w:tcPr>
          <w:p w14:paraId="67D405CC" w14:textId="77777777" w:rsidR="00A82E1B" w:rsidRDefault="00A82E1B" w:rsidP="004E26A5">
            <w:pPr>
              <w:pStyle w:val="APVMATableText"/>
              <w:spacing w:line="240" w:lineRule="auto"/>
              <w:rPr>
                <w:sz w:val="16"/>
                <w:szCs w:val="16"/>
              </w:rPr>
            </w:pPr>
            <w:r>
              <w:rPr>
                <w:sz w:val="16"/>
                <w:szCs w:val="16"/>
              </w:rPr>
              <w:t xml:space="preserve">0.3 (meat) </w:t>
            </w:r>
          </w:p>
        </w:tc>
        <w:tc>
          <w:tcPr>
            <w:tcW w:w="526" w:type="pct"/>
            <w:tcBorders>
              <w:top w:val="single" w:sz="4" w:space="0" w:color="291427" w:themeColor="accent5" w:themeShade="80"/>
              <w:left w:val="nil"/>
              <w:bottom w:val="single" w:sz="4" w:space="0" w:color="291427" w:themeColor="accent5" w:themeShade="80"/>
              <w:right w:val="nil"/>
            </w:tcBorders>
          </w:tcPr>
          <w:p w14:paraId="4BEF52D4" w14:textId="77777777" w:rsidR="00A82E1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37496230" w14:textId="77777777" w:rsidR="00A82E1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154896BE" w14:textId="77777777" w:rsidR="00A82E1B" w:rsidRDefault="00A82E1B" w:rsidP="004E26A5">
            <w:pPr>
              <w:pStyle w:val="APVMATableText"/>
              <w:spacing w:line="240" w:lineRule="auto"/>
              <w:rPr>
                <w:sz w:val="16"/>
                <w:szCs w:val="16"/>
              </w:rPr>
            </w:pPr>
            <w:r>
              <w:rPr>
                <w:sz w:val="16"/>
                <w:szCs w:val="16"/>
              </w:rPr>
              <w:t>-</w:t>
            </w:r>
          </w:p>
        </w:tc>
        <w:tc>
          <w:tcPr>
            <w:tcW w:w="524" w:type="pct"/>
            <w:tcBorders>
              <w:top w:val="single" w:sz="4" w:space="0" w:color="291427" w:themeColor="accent5" w:themeShade="80"/>
              <w:left w:val="nil"/>
              <w:bottom w:val="single" w:sz="4" w:space="0" w:color="291427" w:themeColor="accent5" w:themeShade="80"/>
              <w:right w:val="nil"/>
            </w:tcBorders>
          </w:tcPr>
          <w:p w14:paraId="1CCBBF8E" w14:textId="77777777" w:rsidR="00A82E1B" w:rsidRDefault="00A82E1B" w:rsidP="004E26A5">
            <w:pPr>
              <w:pStyle w:val="APVMATableText"/>
              <w:spacing w:line="240" w:lineRule="auto"/>
              <w:rPr>
                <w:sz w:val="16"/>
                <w:szCs w:val="16"/>
              </w:rPr>
            </w:pPr>
            <w:r>
              <w:rPr>
                <w:sz w:val="16"/>
                <w:szCs w:val="16"/>
              </w:rPr>
              <w:t>-</w:t>
            </w:r>
          </w:p>
        </w:tc>
        <w:tc>
          <w:tcPr>
            <w:tcW w:w="517" w:type="pct"/>
            <w:tcBorders>
              <w:top w:val="single" w:sz="4" w:space="0" w:color="291427" w:themeColor="accent5" w:themeShade="80"/>
              <w:left w:val="nil"/>
              <w:bottom w:val="single" w:sz="4" w:space="0" w:color="291427" w:themeColor="accent5" w:themeShade="80"/>
              <w:right w:val="single" w:sz="4" w:space="0" w:color="auto"/>
            </w:tcBorders>
          </w:tcPr>
          <w:p w14:paraId="4F807DD5" w14:textId="77777777" w:rsidR="00A82E1B" w:rsidRDefault="00A82E1B" w:rsidP="004E26A5">
            <w:pPr>
              <w:pStyle w:val="APVMATableText"/>
              <w:spacing w:line="240" w:lineRule="auto"/>
              <w:rPr>
                <w:sz w:val="16"/>
                <w:szCs w:val="16"/>
              </w:rPr>
            </w:pPr>
            <w:r>
              <w:rPr>
                <w:sz w:val="16"/>
                <w:szCs w:val="16"/>
              </w:rPr>
              <w:t>-</w:t>
            </w:r>
          </w:p>
        </w:tc>
      </w:tr>
      <w:tr w:rsidR="00A82E1B" w:rsidRPr="00E45A14" w14:paraId="2507D000" w14:textId="77777777" w:rsidTr="008761B6">
        <w:trPr>
          <w:trHeight w:val="145"/>
        </w:trPr>
        <w:tc>
          <w:tcPr>
            <w:tcW w:w="428" w:type="pct"/>
            <w:tcBorders>
              <w:top w:val="single" w:sz="4" w:space="0" w:color="291427" w:themeColor="accent5" w:themeShade="80"/>
              <w:left w:val="single" w:sz="4" w:space="0" w:color="auto"/>
              <w:bottom w:val="single" w:sz="4" w:space="0" w:color="291427" w:themeColor="accent5" w:themeShade="80"/>
              <w:right w:val="nil"/>
            </w:tcBorders>
            <w:vAlign w:val="center"/>
          </w:tcPr>
          <w:p w14:paraId="299F9914" w14:textId="77777777" w:rsidR="00A82E1B" w:rsidRDefault="00A82E1B" w:rsidP="004E26A5">
            <w:pPr>
              <w:pStyle w:val="APVMATableText"/>
              <w:spacing w:line="240" w:lineRule="auto"/>
              <w:rPr>
                <w:sz w:val="16"/>
                <w:szCs w:val="16"/>
              </w:rPr>
            </w:pPr>
            <w:r>
              <w:rPr>
                <w:sz w:val="16"/>
                <w:szCs w:val="16"/>
              </w:rPr>
              <w:t xml:space="preserve">Poultry, edible offal of </w:t>
            </w:r>
          </w:p>
        </w:tc>
        <w:tc>
          <w:tcPr>
            <w:tcW w:w="716" w:type="pct"/>
            <w:tcBorders>
              <w:top w:val="single" w:sz="4" w:space="0" w:color="291427" w:themeColor="accent5" w:themeShade="80"/>
              <w:left w:val="nil"/>
              <w:bottom w:val="single" w:sz="4" w:space="0" w:color="291427" w:themeColor="accent5" w:themeShade="80"/>
              <w:right w:val="nil"/>
            </w:tcBorders>
          </w:tcPr>
          <w:p w14:paraId="6AC067E2" w14:textId="77777777" w:rsidR="00A82E1B" w:rsidRDefault="00A82E1B" w:rsidP="004E26A5">
            <w:pPr>
              <w:pStyle w:val="APVMATableText"/>
              <w:spacing w:line="240" w:lineRule="auto"/>
              <w:jc w:val="both"/>
              <w:rPr>
                <w:caps/>
                <w:sz w:val="16"/>
                <w:szCs w:val="16"/>
              </w:rPr>
            </w:pPr>
            <w:r>
              <w:rPr>
                <w:caps/>
                <w:sz w:val="16"/>
                <w:szCs w:val="16"/>
              </w:rPr>
              <w:t>*0.05</w:t>
            </w:r>
          </w:p>
        </w:tc>
        <w:tc>
          <w:tcPr>
            <w:tcW w:w="717" w:type="pct"/>
            <w:tcBorders>
              <w:top w:val="single" w:sz="4" w:space="0" w:color="291427" w:themeColor="accent5" w:themeShade="80"/>
              <w:left w:val="nil"/>
              <w:bottom w:val="single" w:sz="4" w:space="0" w:color="291427" w:themeColor="accent5" w:themeShade="80"/>
              <w:right w:val="nil"/>
            </w:tcBorders>
          </w:tcPr>
          <w:p w14:paraId="725E3E36" w14:textId="77777777" w:rsidR="00A82E1B" w:rsidRDefault="00A82E1B" w:rsidP="004E26A5">
            <w:pPr>
              <w:pStyle w:val="APVMATableText"/>
              <w:spacing w:line="240" w:lineRule="auto"/>
              <w:rPr>
                <w:sz w:val="16"/>
                <w:szCs w:val="16"/>
              </w:rPr>
            </w:pPr>
            <w:r>
              <w:rPr>
                <w:sz w:val="16"/>
                <w:szCs w:val="16"/>
              </w:rPr>
              <w:t>0.2</w:t>
            </w:r>
          </w:p>
        </w:tc>
        <w:tc>
          <w:tcPr>
            <w:tcW w:w="522" w:type="pct"/>
            <w:tcBorders>
              <w:top w:val="single" w:sz="4" w:space="0" w:color="291427" w:themeColor="accent5" w:themeShade="80"/>
              <w:left w:val="nil"/>
              <w:bottom w:val="single" w:sz="4" w:space="0" w:color="291427" w:themeColor="accent5" w:themeShade="80"/>
              <w:right w:val="nil"/>
            </w:tcBorders>
          </w:tcPr>
          <w:p w14:paraId="24859A26" w14:textId="77777777" w:rsidR="00A82E1B" w:rsidRDefault="00A82E1B" w:rsidP="004E26A5">
            <w:pPr>
              <w:pStyle w:val="APVMATableText"/>
              <w:spacing w:line="240" w:lineRule="auto"/>
              <w:rPr>
                <w:sz w:val="16"/>
                <w:szCs w:val="16"/>
              </w:rPr>
            </w:pPr>
            <w:r>
              <w:rPr>
                <w:sz w:val="16"/>
                <w:szCs w:val="16"/>
              </w:rPr>
              <w:t xml:space="preserve">1.5 </w:t>
            </w:r>
          </w:p>
        </w:tc>
        <w:tc>
          <w:tcPr>
            <w:tcW w:w="526" w:type="pct"/>
            <w:tcBorders>
              <w:top w:val="single" w:sz="4" w:space="0" w:color="291427" w:themeColor="accent5" w:themeShade="80"/>
              <w:left w:val="nil"/>
              <w:bottom w:val="single" w:sz="4" w:space="0" w:color="291427" w:themeColor="accent5" w:themeShade="80"/>
              <w:right w:val="nil"/>
            </w:tcBorders>
          </w:tcPr>
          <w:p w14:paraId="34777973" w14:textId="77777777" w:rsidR="00A82E1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667AFBDA" w14:textId="77777777" w:rsidR="00A82E1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171CDA8D" w14:textId="77777777" w:rsidR="00A82E1B" w:rsidRDefault="00A82E1B" w:rsidP="004E26A5">
            <w:pPr>
              <w:pStyle w:val="APVMATableText"/>
              <w:spacing w:line="240" w:lineRule="auto"/>
              <w:rPr>
                <w:sz w:val="16"/>
                <w:szCs w:val="16"/>
              </w:rPr>
            </w:pPr>
            <w:r>
              <w:rPr>
                <w:sz w:val="16"/>
                <w:szCs w:val="16"/>
              </w:rPr>
              <w:t>-</w:t>
            </w:r>
          </w:p>
        </w:tc>
        <w:tc>
          <w:tcPr>
            <w:tcW w:w="524" w:type="pct"/>
            <w:tcBorders>
              <w:top w:val="single" w:sz="4" w:space="0" w:color="291427" w:themeColor="accent5" w:themeShade="80"/>
              <w:left w:val="nil"/>
              <w:bottom w:val="single" w:sz="4" w:space="0" w:color="291427" w:themeColor="accent5" w:themeShade="80"/>
              <w:right w:val="nil"/>
            </w:tcBorders>
          </w:tcPr>
          <w:p w14:paraId="48F90C78" w14:textId="77777777" w:rsidR="00A82E1B" w:rsidRDefault="00A82E1B" w:rsidP="004E26A5">
            <w:pPr>
              <w:pStyle w:val="APVMATableText"/>
              <w:spacing w:line="240" w:lineRule="auto"/>
              <w:rPr>
                <w:sz w:val="16"/>
                <w:szCs w:val="16"/>
              </w:rPr>
            </w:pPr>
            <w:r>
              <w:rPr>
                <w:sz w:val="16"/>
                <w:szCs w:val="16"/>
              </w:rPr>
              <w:t>-</w:t>
            </w:r>
          </w:p>
        </w:tc>
        <w:tc>
          <w:tcPr>
            <w:tcW w:w="517" w:type="pct"/>
            <w:tcBorders>
              <w:top w:val="single" w:sz="4" w:space="0" w:color="291427" w:themeColor="accent5" w:themeShade="80"/>
              <w:left w:val="nil"/>
              <w:bottom w:val="single" w:sz="4" w:space="0" w:color="291427" w:themeColor="accent5" w:themeShade="80"/>
              <w:right w:val="single" w:sz="4" w:space="0" w:color="auto"/>
            </w:tcBorders>
          </w:tcPr>
          <w:p w14:paraId="156028BE" w14:textId="77777777" w:rsidR="00A82E1B" w:rsidRDefault="00A82E1B" w:rsidP="004E26A5">
            <w:pPr>
              <w:pStyle w:val="APVMATableText"/>
              <w:spacing w:line="240" w:lineRule="auto"/>
              <w:rPr>
                <w:sz w:val="16"/>
                <w:szCs w:val="16"/>
              </w:rPr>
            </w:pPr>
            <w:r>
              <w:rPr>
                <w:sz w:val="16"/>
                <w:szCs w:val="16"/>
              </w:rPr>
              <w:t>-</w:t>
            </w:r>
          </w:p>
        </w:tc>
      </w:tr>
      <w:tr w:rsidR="00A82E1B" w:rsidRPr="00E45A14" w14:paraId="3BBE6C97" w14:textId="77777777" w:rsidTr="008761B6">
        <w:trPr>
          <w:trHeight w:val="427"/>
        </w:trPr>
        <w:tc>
          <w:tcPr>
            <w:tcW w:w="428" w:type="pct"/>
            <w:tcBorders>
              <w:top w:val="single" w:sz="4" w:space="0" w:color="291427" w:themeColor="accent5" w:themeShade="80"/>
              <w:left w:val="single" w:sz="4" w:space="0" w:color="auto"/>
              <w:bottom w:val="single" w:sz="4" w:space="0" w:color="291427" w:themeColor="accent5" w:themeShade="80"/>
              <w:right w:val="nil"/>
            </w:tcBorders>
            <w:vAlign w:val="center"/>
          </w:tcPr>
          <w:p w14:paraId="37C354B6" w14:textId="77777777" w:rsidR="00A82E1B" w:rsidRDefault="00A82E1B" w:rsidP="004E26A5">
            <w:pPr>
              <w:pStyle w:val="APVMATableText"/>
              <w:spacing w:line="240" w:lineRule="auto"/>
              <w:rPr>
                <w:sz w:val="16"/>
                <w:szCs w:val="16"/>
              </w:rPr>
            </w:pPr>
            <w:r>
              <w:rPr>
                <w:sz w:val="16"/>
                <w:szCs w:val="16"/>
              </w:rPr>
              <w:t xml:space="preserve">Poultry fat </w:t>
            </w:r>
          </w:p>
        </w:tc>
        <w:tc>
          <w:tcPr>
            <w:tcW w:w="716" w:type="pct"/>
            <w:tcBorders>
              <w:top w:val="single" w:sz="4" w:space="0" w:color="291427" w:themeColor="accent5" w:themeShade="80"/>
              <w:left w:val="nil"/>
              <w:bottom w:val="single" w:sz="4" w:space="0" w:color="291427" w:themeColor="accent5" w:themeShade="80"/>
              <w:right w:val="nil"/>
            </w:tcBorders>
          </w:tcPr>
          <w:p w14:paraId="5B95933F" w14:textId="77777777" w:rsidR="00A82E1B" w:rsidRDefault="00A82E1B" w:rsidP="00A82E1B">
            <w:pPr>
              <w:pStyle w:val="APVMATableText"/>
              <w:numPr>
                <w:ilvl w:val="0"/>
                <w:numId w:val="38"/>
              </w:numPr>
              <w:spacing w:line="240" w:lineRule="auto"/>
              <w:jc w:val="both"/>
              <w:rPr>
                <w:caps/>
                <w:sz w:val="16"/>
                <w:szCs w:val="16"/>
              </w:rPr>
            </w:pPr>
          </w:p>
        </w:tc>
        <w:tc>
          <w:tcPr>
            <w:tcW w:w="717" w:type="pct"/>
            <w:tcBorders>
              <w:top w:val="single" w:sz="4" w:space="0" w:color="291427" w:themeColor="accent5" w:themeShade="80"/>
              <w:left w:val="nil"/>
              <w:bottom w:val="single" w:sz="4" w:space="0" w:color="291427" w:themeColor="accent5" w:themeShade="80"/>
              <w:right w:val="nil"/>
            </w:tcBorders>
          </w:tcPr>
          <w:p w14:paraId="143EBC85" w14:textId="77777777" w:rsidR="00A82E1B" w:rsidRDefault="00A82E1B" w:rsidP="004E26A5">
            <w:pPr>
              <w:pStyle w:val="APVMATableText"/>
              <w:spacing w:line="240" w:lineRule="auto"/>
              <w:rPr>
                <w:sz w:val="16"/>
                <w:szCs w:val="16"/>
              </w:rPr>
            </w:pPr>
            <w:r>
              <w:rPr>
                <w:sz w:val="16"/>
                <w:szCs w:val="16"/>
              </w:rPr>
              <w:t>0.3</w:t>
            </w:r>
          </w:p>
        </w:tc>
        <w:tc>
          <w:tcPr>
            <w:tcW w:w="522" w:type="pct"/>
            <w:tcBorders>
              <w:top w:val="single" w:sz="4" w:space="0" w:color="291427" w:themeColor="accent5" w:themeShade="80"/>
              <w:left w:val="nil"/>
              <w:bottom w:val="single" w:sz="4" w:space="0" w:color="291427" w:themeColor="accent5" w:themeShade="80"/>
              <w:right w:val="nil"/>
            </w:tcBorders>
          </w:tcPr>
          <w:p w14:paraId="45D2EB9F" w14:textId="77777777" w:rsidR="00A82E1B" w:rsidRDefault="00A82E1B" w:rsidP="004E26A5">
            <w:pPr>
              <w:pStyle w:val="APVMATableText"/>
              <w:spacing w:line="240" w:lineRule="auto"/>
              <w:rPr>
                <w:sz w:val="16"/>
                <w:szCs w:val="16"/>
              </w:rPr>
            </w:pPr>
            <w:r>
              <w:rPr>
                <w:sz w:val="16"/>
                <w:szCs w:val="16"/>
              </w:rPr>
              <w:t>1.5</w:t>
            </w:r>
          </w:p>
        </w:tc>
        <w:tc>
          <w:tcPr>
            <w:tcW w:w="526" w:type="pct"/>
            <w:tcBorders>
              <w:top w:val="single" w:sz="4" w:space="0" w:color="291427" w:themeColor="accent5" w:themeShade="80"/>
              <w:left w:val="nil"/>
              <w:bottom w:val="single" w:sz="4" w:space="0" w:color="291427" w:themeColor="accent5" w:themeShade="80"/>
              <w:right w:val="nil"/>
            </w:tcBorders>
          </w:tcPr>
          <w:p w14:paraId="47A5FA2B" w14:textId="77777777" w:rsidR="00A82E1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457B216E" w14:textId="77777777" w:rsidR="00A82E1B" w:rsidRDefault="00A82E1B" w:rsidP="004E26A5">
            <w:pPr>
              <w:pStyle w:val="APVMATableText"/>
              <w:spacing w:line="240" w:lineRule="auto"/>
              <w:rPr>
                <w:sz w:val="16"/>
                <w:szCs w:val="16"/>
              </w:rPr>
            </w:pPr>
            <w:r>
              <w:rPr>
                <w:sz w:val="16"/>
                <w:szCs w:val="16"/>
              </w:rPr>
              <w:t>-</w:t>
            </w:r>
          </w:p>
        </w:tc>
        <w:tc>
          <w:tcPr>
            <w:tcW w:w="525" w:type="pct"/>
            <w:tcBorders>
              <w:top w:val="single" w:sz="4" w:space="0" w:color="291427" w:themeColor="accent5" w:themeShade="80"/>
              <w:left w:val="nil"/>
              <w:bottom w:val="single" w:sz="4" w:space="0" w:color="291427" w:themeColor="accent5" w:themeShade="80"/>
              <w:right w:val="nil"/>
            </w:tcBorders>
          </w:tcPr>
          <w:p w14:paraId="1FBE62B0" w14:textId="77777777" w:rsidR="00A82E1B" w:rsidRDefault="00A82E1B" w:rsidP="004E26A5">
            <w:pPr>
              <w:pStyle w:val="APVMATableText"/>
              <w:spacing w:line="240" w:lineRule="auto"/>
              <w:rPr>
                <w:sz w:val="16"/>
                <w:szCs w:val="16"/>
              </w:rPr>
            </w:pPr>
            <w:r>
              <w:rPr>
                <w:sz w:val="16"/>
                <w:szCs w:val="16"/>
              </w:rPr>
              <w:t>-</w:t>
            </w:r>
          </w:p>
        </w:tc>
        <w:tc>
          <w:tcPr>
            <w:tcW w:w="524" w:type="pct"/>
            <w:tcBorders>
              <w:top w:val="single" w:sz="4" w:space="0" w:color="291427" w:themeColor="accent5" w:themeShade="80"/>
              <w:left w:val="nil"/>
              <w:bottom w:val="single" w:sz="4" w:space="0" w:color="291427" w:themeColor="accent5" w:themeShade="80"/>
              <w:right w:val="nil"/>
            </w:tcBorders>
          </w:tcPr>
          <w:p w14:paraId="65DCB8BA" w14:textId="77777777" w:rsidR="00A82E1B" w:rsidRDefault="00A82E1B" w:rsidP="004E26A5">
            <w:pPr>
              <w:pStyle w:val="APVMATableText"/>
              <w:spacing w:line="240" w:lineRule="auto"/>
              <w:rPr>
                <w:sz w:val="16"/>
                <w:szCs w:val="16"/>
              </w:rPr>
            </w:pPr>
            <w:r>
              <w:rPr>
                <w:sz w:val="16"/>
                <w:szCs w:val="16"/>
              </w:rPr>
              <w:t>-</w:t>
            </w:r>
          </w:p>
        </w:tc>
        <w:tc>
          <w:tcPr>
            <w:tcW w:w="517" w:type="pct"/>
            <w:tcBorders>
              <w:top w:val="single" w:sz="4" w:space="0" w:color="291427" w:themeColor="accent5" w:themeShade="80"/>
              <w:left w:val="nil"/>
              <w:bottom w:val="single" w:sz="4" w:space="0" w:color="291427" w:themeColor="accent5" w:themeShade="80"/>
              <w:right w:val="single" w:sz="4" w:space="0" w:color="auto"/>
            </w:tcBorders>
          </w:tcPr>
          <w:p w14:paraId="5FA799A6" w14:textId="77777777" w:rsidR="00A82E1B" w:rsidRDefault="00A82E1B" w:rsidP="004E26A5">
            <w:pPr>
              <w:pStyle w:val="APVMATableText"/>
              <w:spacing w:line="240" w:lineRule="auto"/>
              <w:rPr>
                <w:sz w:val="16"/>
                <w:szCs w:val="16"/>
              </w:rPr>
            </w:pPr>
            <w:r>
              <w:rPr>
                <w:sz w:val="16"/>
                <w:szCs w:val="16"/>
              </w:rPr>
              <w:t>-</w:t>
            </w:r>
          </w:p>
        </w:tc>
      </w:tr>
      <w:bookmarkEnd w:id="128"/>
    </w:tbl>
    <w:p w14:paraId="70B6FAF7" w14:textId="3EB146DA" w:rsidR="00A82E1B" w:rsidRPr="00A82E1B" w:rsidRDefault="00A82E1B" w:rsidP="00A82E1B">
      <w:pPr>
        <w:pStyle w:val="NormalText"/>
        <w:sectPr w:rsidR="00A82E1B" w:rsidRPr="00A82E1B" w:rsidSect="008761B6">
          <w:headerReference w:type="even" r:id="rId39"/>
          <w:pgSz w:w="16838" w:h="11906" w:orient="landscape" w:code="9"/>
          <w:pgMar w:top="2835" w:right="1134" w:bottom="1134" w:left="1134" w:header="1701" w:footer="680" w:gutter="0"/>
          <w:cols w:space="708"/>
          <w:docGrid w:linePitch="360"/>
        </w:sectPr>
      </w:pPr>
    </w:p>
    <w:p w14:paraId="7009C7E4" w14:textId="77777777" w:rsidR="00F2357D" w:rsidRDefault="00F2357D" w:rsidP="00F2357D">
      <w:pPr>
        <w:pStyle w:val="Heading2"/>
        <w:ind w:left="907" w:hanging="907"/>
      </w:pPr>
      <w:bookmarkStart w:id="130" w:name="_Toc531181093"/>
      <w:bookmarkStart w:id="131" w:name="_Toc7561262"/>
      <w:bookmarkStart w:id="132" w:name="_Toc229751411"/>
      <w:r>
        <w:lastRenderedPageBreak/>
        <w:t>Potential risk to trade</w:t>
      </w:r>
      <w:bookmarkEnd w:id="130"/>
      <w:bookmarkEnd w:id="131"/>
      <w:bookmarkEnd w:id="132"/>
    </w:p>
    <w:p w14:paraId="35FF671D" w14:textId="1E074E9B" w:rsidR="00ED160D" w:rsidRDefault="00F3215A" w:rsidP="00ED160D">
      <w:pPr>
        <w:pStyle w:val="APVMAText"/>
      </w:pPr>
      <w:r w:rsidRPr="00F3215A">
        <w:t xml:space="preserve">Export of treated produce containing finite (measurable) residues of </w:t>
      </w:r>
      <w:r>
        <w:t>1,4-DMN</w:t>
      </w:r>
      <w:r w:rsidRPr="00F3215A">
        <w:t xml:space="preserve">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r w:rsidR="00ED160D">
        <w:t>.</w:t>
      </w:r>
    </w:p>
    <w:p w14:paraId="22238DDE" w14:textId="195F6578" w:rsidR="00ED160D" w:rsidRDefault="00ED160D" w:rsidP="00ED160D">
      <w:pPr>
        <w:pStyle w:val="APVMAText"/>
      </w:pPr>
      <w:r>
        <w:t>The proposed residue definition for 1,4-DMN for animal commodities, except milk is the same as established by Codex and includes sum of 1,4-DMN and its metabolite M23. The residue definition for milk established by the Codex and proposed here for Australia is the glycine conjugate of the metabolite Gly-M23 (= M02) only. The EU residue definition for 1,4-DMN is parent plus free (M23) and conjugate metabolite Gly-M23 (= M02).</w:t>
      </w:r>
    </w:p>
    <w:p w14:paraId="49063851" w14:textId="7BC45D8E" w:rsidR="00ED160D" w:rsidRDefault="00ED160D" w:rsidP="00ED160D">
      <w:pPr>
        <w:pStyle w:val="APVMAText"/>
      </w:pPr>
      <w:r>
        <w:t>The US has established an exemption from the requirement of a tolerance for the residues of 1,4-DMN when applied postharvest to all sprouting root, tuber, and bulb crops. Japan has established an MRL of 15 mg/kg for 1,4-DMN on potatoes with a residue definition of parent 1,4-DMN. The other international markets, for e.g., China, Korea and Taiwan have not considered 1,4-DMN for residue definition or maximum residue limits.</w:t>
      </w:r>
    </w:p>
    <w:p w14:paraId="0EAB5DE3" w14:textId="3746188B" w:rsidR="00ED160D" w:rsidRDefault="00ED160D" w:rsidP="00ED160D">
      <w:pPr>
        <w:pStyle w:val="APVMAText"/>
      </w:pPr>
      <w:r>
        <w:t>Detectable residues are not expected to occur in poultry so the risk to trade in commodities from poultry is low.</w:t>
      </w:r>
    </w:p>
    <w:p w14:paraId="5F3D7480" w14:textId="046EFCF8" w:rsidR="00ED160D" w:rsidRDefault="00ED160D" w:rsidP="00ED160D">
      <w:pPr>
        <w:pStyle w:val="APVMAText"/>
      </w:pPr>
      <w:r>
        <w:t>The proposed mammalian offal MRL at 0.2 mg/kg is lower than the MRLs established by the Codex and the EU. Finite residues are not expected to occur in milk, mammalian muscle and fats. The Codex and the EU have established animal commodity MRLs at finite levels, higher than the proposed MRLs. Therefore, the risk to trade in mammalian commodities is low.</w:t>
      </w:r>
    </w:p>
    <w:p w14:paraId="53AB44B1" w14:textId="30EB6B5E" w:rsidR="00ED160D" w:rsidRDefault="00ED160D" w:rsidP="00ED160D">
      <w:pPr>
        <w:pStyle w:val="APVMAText"/>
      </w:pPr>
      <w:r>
        <w:t>In a lactating cow study, following a 7-day depuration period after feeding at 624 ppm, no quantifiable residues were observed in animal tissues, except in kidney (M23 residues at 0.0133 mg/kg) which is slightly above the LOQ of 0.01 mg/kg. Noting that the feeding level at 624 ppm was significantly higher than the estimated maximum dietary burden of 10.7 ppm, finite residues in livestock tissues are not expected, as a result of the proposed use, following a 7-day depuration. For the livestock destined for export markets that do not have established animal commodity MRLs or default to 0.01 mg/kg in the absence of an MRL, a 7-day export slaughter interval is considered appropriate to mitigate the trade risk in animal commodities.</w:t>
      </w:r>
    </w:p>
    <w:p w14:paraId="6C770D3E" w14:textId="5282D49B" w:rsidR="00ED160D" w:rsidRDefault="00ED160D" w:rsidP="00ED160D">
      <w:pPr>
        <w:pStyle w:val="APVMAText"/>
      </w:pPr>
      <w:r>
        <w:t>It is recommended to add the following Export Slaughter Interval Statement on the proposed label.</w:t>
      </w:r>
    </w:p>
    <w:p w14:paraId="2E4406A6" w14:textId="77777777" w:rsidR="00ED160D" w:rsidRDefault="00ED160D" w:rsidP="00ED160D">
      <w:pPr>
        <w:pStyle w:val="APVMAText"/>
      </w:pPr>
      <w:r>
        <w:t>LIVESTOCK DESTINED FOR EXPORT MARKETS</w:t>
      </w:r>
    </w:p>
    <w:p w14:paraId="02BFE35A" w14:textId="77777777" w:rsidR="00ED160D" w:rsidRDefault="00ED160D" w:rsidP="00ED160D">
      <w:pPr>
        <w:pStyle w:val="APVMAText"/>
      </w:pPr>
      <w:r>
        <w:t>The withholding period only applies to stock slaughtered for the domestic market. Some export markets apply different standards. To meet these standards, ensure that in addition to complying with the withholding period, the export slaughter interval is observed before stock are sold or slaughtered.</w:t>
      </w:r>
    </w:p>
    <w:p w14:paraId="72374278" w14:textId="77777777" w:rsidR="00CE411B" w:rsidRPr="00C95A69" w:rsidRDefault="00CE411B" w:rsidP="00CE411B">
      <w:pPr>
        <w:pStyle w:val="Heading2"/>
      </w:pPr>
      <w:bookmarkStart w:id="133" w:name="_Toc90046813"/>
      <w:bookmarkStart w:id="134" w:name="_Toc229751412"/>
      <w:r w:rsidRPr="00C95A69">
        <w:t>Recommendations</w:t>
      </w:r>
      <w:bookmarkEnd w:id="133"/>
      <w:bookmarkEnd w:id="134"/>
    </w:p>
    <w:p w14:paraId="5B3651C2" w14:textId="22047735" w:rsidR="00CE411B" w:rsidRDefault="00CE411B" w:rsidP="00ED160D">
      <w:pPr>
        <w:pStyle w:val="APVMAText"/>
        <w:sectPr w:rsidR="00CE411B">
          <w:headerReference w:type="default" r:id="rId40"/>
          <w:pgSz w:w="11906" w:h="16838" w:code="9"/>
          <w:pgMar w:top="2835" w:right="1134" w:bottom="1134" w:left="1134" w:header="1701" w:footer="680" w:gutter="0"/>
          <w:cols w:space="708"/>
          <w:docGrid w:linePitch="360"/>
        </w:sectPr>
      </w:pPr>
      <w:r w:rsidRPr="00C95A69">
        <w:t>Comment is sought on the potential for the proposed uses to prejudice Australian trade.</w:t>
      </w:r>
    </w:p>
    <w:p w14:paraId="4DEB5711" w14:textId="6815805E" w:rsidR="00A6683A" w:rsidRDefault="00CA5B2B" w:rsidP="00692A9B">
      <w:pPr>
        <w:pStyle w:val="Heading1"/>
        <w:tabs>
          <w:tab w:val="num" w:pos="907"/>
        </w:tabs>
        <w:ind w:left="907" w:hanging="907"/>
      </w:pPr>
      <w:bookmarkStart w:id="135" w:name="_Toc531181094"/>
      <w:bookmarkStart w:id="136" w:name="_Toc7561263"/>
      <w:bookmarkStart w:id="137" w:name="_Toc229751413"/>
      <w:r>
        <w:lastRenderedPageBreak/>
        <w:t>W</w:t>
      </w:r>
      <w:r w:rsidR="00A6683A">
        <w:t xml:space="preserve">ork </w:t>
      </w:r>
      <w:r>
        <w:t>h</w:t>
      </w:r>
      <w:r w:rsidR="00A6683A">
        <w:t xml:space="preserve">ealth and </w:t>
      </w:r>
      <w:r>
        <w:t>s</w:t>
      </w:r>
      <w:r w:rsidR="00A6683A">
        <w:t>afety assessment</w:t>
      </w:r>
      <w:bookmarkEnd w:id="135"/>
      <w:bookmarkEnd w:id="136"/>
      <w:bookmarkEnd w:id="137"/>
    </w:p>
    <w:p w14:paraId="10BD11C1" w14:textId="77777777" w:rsidR="00A6683A" w:rsidRDefault="00A6683A" w:rsidP="00692A9B">
      <w:pPr>
        <w:pStyle w:val="Heading2"/>
        <w:ind w:left="907" w:hanging="907"/>
      </w:pPr>
      <w:bookmarkStart w:id="138" w:name="_Toc531181095"/>
      <w:bookmarkStart w:id="139" w:name="_Toc7561264"/>
      <w:bookmarkStart w:id="140" w:name="_Toc229751414"/>
      <w:r>
        <w:t>Health hazards</w:t>
      </w:r>
      <w:bookmarkEnd w:id="138"/>
      <w:bookmarkEnd w:id="139"/>
      <w:bookmarkEnd w:id="140"/>
    </w:p>
    <w:p w14:paraId="405EDC19" w14:textId="07020861" w:rsidR="00A6683A" w:rsidRPr="009C3DE6" w:rsidRDefault="00BF323B" w:rsidP="00692A9B">
      <w:pPr>
        <w:pStyle w:val="APVMAText"/>
      </w:pPr>
      <w:r>
        <w:t>1</w:t>
      </w:r>
      <w:r w:rsidR="00874757" w:rsidRPr="00874757">
        <w:t>,4</w:t>
      </w:r>
      <w:r w:rsidR="00D14AA0">
        <w:t>SIGHT</w:t>
      </w:r>
      <w:r w:rsidR="00874757" w:rsidRPr="00874757">
        <w:t xml:space="preserve"> Potato Dormancy Enhancer was of low acute toxicity by </w:t>
      </w:r>
      <w:r w:rsidR="009C3DE6" w:rsidRPr="00D07CDD">
        <w:t>oral</w:t>
      </w:r>
      <w:r w:rsidR="009C3DE6">
        <w:t xml:space="preserve">, </w:t>
      </w:r>
      <w:r w:rsidR="009C3DE6" w:rsidRPr="00D07CDD">
        <w:t xml:space="preserve">dermal </w:t>
      </w:r>
      <w:r w:rsidR="009C3DE6">
        <w:t xml:space="preserve">and inhalation route </w:t>
      </w:r>
      <w:r w:rsidR="00874757" w:rsidRPr="00874757">
        <w:t>in rats. 1,4</w:t>
      </w:r>
      <w:r w:rsidR="00D14AA0">
        <w:t>SIGHT</w:t>
      </w:r>
      <w:r w:rsidR="00874757" w:rsidRPr="00874757">
        <w:t xml:space="preserve"> Potato Dormancy Enhancer was moderate eye irritant and </w:t>
      </w:r>
      <w:r w:rsidR="00D42472" w:rsidRPr="009C3DE6">
        <w:t xml:space="preserve">moderate skin irritant </w:t>
      </w:r>
      <w:r w:rsidR="00874757" w:rsidRPr="009C3DE6">
        <w:t>in rabbits. It was not a skin sensitiser in guinea pigs</w:t>
      </w:r>
      <w:r w:rsidR="00D42472" w:rsidRPr="009C3DE6">
        <w:t xml:space="preserve"> and mouse LLNA</w:t>
      </w:r>
      <w:r w:rsidR="00874757" w:rsidRPr="009C3DE6">
        <w:t>.</w:t>
      </w:r>
    </w:p>
    <w:p w14:paraId="122E93C3" w14:textId="77777777" w:rsidR="00A6683A" w:rsidRDefault="00A6683A" w:rsidP="00692A9B">
      <w:pPr>
        <w:pStyle w:val="Heading2"/>
        <w:ind w:left="907" w:hanging="907"/>
      </w:pPr>
      <w:bookmarkStart w:id="141" w:name="_Toc531181096"/>
      <w:bookmarkStart w:id="142" w:name="_Toc7561265"/>
      <w:bookmarkStart w:id="143" w:name="_Toc229751415"/>
      <w:r>
        <w:t>Occupational exposure</w:t>
      </w:r>
      <w:bookmarkEnd w:id="141"/>
      <w:bookmarkEnd w:id="142"/>
      <w:bookmarkEnd w:id="143"/>
    </w:p>
    <w:p w14:paraId="1FE749CD" w14:textId="77777777" w:rsidR="00A6683A" w:rsidRDefault="00A6683A" w:rsidP="00692A9B">
      <w:pPr>
        <w:pStyle w:val="Heading3"/>
      </w:pPr>
      <w:bookmarkStart w:id="144" w:name="_Toc7561266"/>
      <w:r>
        <w:t>Exposure during use</w:t>
      </w:r>
      <w:bookmarkEnd w:id="144"/>
    </w:p>
    <w:p w14:paraId="188E12C9" w14:textId="03A36FB6" w:rsidR="002535E8" w:rsidRDefault="002535E8" w:rsidP="00692A9B">
      <w:pPr>
        <w:pStyle w:val="APVMAText"/>
      </w:pPr>
      <w:r w:rsidRPr="002535E8">
        <w:t>1,4</w:t>
      </w:r>
      <w:r w:rsidR="004E304C">
        <w:t>-</w:t>
      </w:r>
      <w:r w:rsidR="00D14AA0">
        <w:t>SIGHT</w:t>
      </w:r>
      <w:r w:rsidRPr="002535E8">
        <w:t xml:space="preserve"> Potato Dormancy Enhancer containing 980 g/L 1,4-DMN in a liquid (LD) formulation, is intended for use to enhance dormancy of potatoes in storage and prevent them from sprouting.</w:t>
      </w:r>
      <w:r w:rsidR="009C3DE6">
        <w:t xml:space="preserve"> </w:t>
      </w:r>
      <w:r>
        <w:t>1,4</w:t>
      </w:r>
      <w:r w:rsidR="00D14AA0">
        <w:t>SIGHT</w:t>
      </w:r>
      <w:r>
        <w:t xml:space="preserve"> Potato Dormancy Enhancer is intended for professional use and will be applied via specialist thermal fogging equipment to stored potatoes</w:t>
      </w:r>
      <w:r w:rsidRPr="002535E8">
        <w:t xml:space="preserve"> that will be processed commercially</w:t>
      </w:r>
      <w:r>
        <w:t>. The product will be applied within enclosed areas and never field applied. 1,4</w:t>
      </w:r>
      <w:r w:rsidR="00D72ACB">
        <w:t>SIGHT</w:t>
      </w:r>
      <w:r>
        <w:t xml:space="preserve"> Potato Dormancy Enhancer is to be applied at a rate of 20 mL/1000 kg of stored potatoes, with a maximum of 6 applications at intervals of 4-6 weeks.</w:t>
      </w:r>
    </w:p>
    <w:p w14:paraId="097D22C1" w14:textId="7E9D1489" w:rsidR="00A9387A" w:rsidRDefault="00A9387A" w:rsidP="00692A9B">
      <w:pPr>
        <w:pStyle w:val="APVMAText"/>
      </w:pPr>
      <w:r w:rsidRPr="002535E8">
        <w:t>1,4</w:t>
      </w:r>
      <w:r w:rsidR="00D72ACB">
        <w:t>SIGHT</w:t>
      </w:r>
      <w:r w:rsidRPr="002535E8">
        <w:t xml:space="preserve"> Potato Dormancy Enhancer </w:t>
      </w:r>
      <w:r>
        <w:t xml:space="preserve">will be applied automatically using </w:t>
      </w:r>
      <w:r w:rsidRPr="00035996">
        <w:t>specialist thermal fogging equipment</w:t>
      </w:r>
      <w:r>
        <w:t xml:space="preserve"> therefore, no mixing and loading is required. </w:t>
      </w:r>
      <w:r w:rsidRPr="002535E8">
        <w:t>The fogger is outside the shed, and the product is fogged into the airtight/sealed shed through a hole in either the door or the wall of the storage where the fog is introduced into the air circulation equipment of the storage building.</w:t>
      </w:r>
      <w:r>
        <w:t xml:space="preserve"> Users/ applicators will remain outside of sealed shed/storage room during automated product application and </w:t>
      </w:r>
      <w:r w:rsidRPr="000C0743">
        <w:t xml:space="preserve">are not allowed to enter the shed while </w:t>
      </w:r>
      <w:r>
        <w:t>potatoes are</w:t>
      </w:r>
      <w:r w:rsidRPr="000C0743">
        <w:t xml:space="preserve"> treated with 1,4</w:t>
      </w:r>
      <w:r w:rsidR="00D72ACB">
        <w:t>SIGHT</w:t>
      </w:r>
      <w:r w:rsidRPr="000C0743">
        <w:t xml:space="preserve"> Potato Dormancy Enhancer.</w:t>
      </w:r>
      <w:r>
        <w:t xml:space="preserve"> Based on the product use pattern (automated application system), user /applicator exposure to the product is expected to be minimal.</w:t>
      </w:r>
    </w:p>
    <w:p w14:paraId="624EAEF7" w14:textId="2E9BA317" w:rsidR="00C50D46" w:rsidRDefault="00A9387A" w:rsidP="00692A9B">
      <w:pPr>
        <w:pStyle w:val="APVMAText"/>
      </w:pPr>
      <w:r w:rsidRPr="0041599F">
        <w:t>1,4-DMN</w:t>
      </w:r>
      <w:r>
        <w:t xml:space="preserve"> is </w:t>
      </w:r>
      <w:r w:rsidRPr="0041599F">
        <w:t>a plant growth regulator preventing sprouting of potato tubers. 1,4-DMN</w:t>
      </w:r>
      <w:r>
        <w:t xml:space="preserve"> </w:t>
      </w:r>
      <w:r w:rsidRPr="0041599F">
        <w:t>occurs naturally in different plant species (for example potato, rhubarb, poppy). The acute toxicity database on 1,4-DMN</w:t>
      </w:r>
      <w:r>
        <w:t xml:space="preserve"> </w:t>
      </w:r>
      <w:r w:rsidRPr="0041599F">
        <w:t>indicates that it has low toxic potential</w:t>
      </w:r>
      <w:r>
        <w:t xml:space="preserve"> by the oral, dermal, and inhalational route</w:t>
      </w:r>
      <w:r w:rsidRPr="0041599F">
        <w:t xml:space="preserve">. </w:t>
      </w:r>
      <w:r>
        <w:t>1</w:t>
      </w:r>
      <w:r w:rsidRPr="00C071C0">
        <w:t xml:space="preserve">,4-DMN was </w:t>
      </w:r>
      <w:r>
        <w:t xml:space="preserve">a </w:t>
      </w:r>
      <w:r w:rsidRPr="00C071C0">
        <w:t xml:space="preserve">moderate eye irritant and </w:t>
      </w:r>
      <w:r w:rsidR="00D42472" w:rsidRPr="009C3DE6">
        <w:t>moderate skin irritant</w:t>
      </w:r>
      <w:r w:rsidR="00D42472" w:rsidRPr="00D42472">
        <w:t xml:space="preserve"> </w:t>
      </w:r>
      <w:r>
        <w:t>and</w:t>
      </w:r>
      <w:r w:rsidRPr="00C071C0">
        <w:t xml:space="preserve"> not a skin sensitiser</w:t>
      </w:r>
      <w:r>
        <w:t xml:space="preserve">. </w:t>
      </w:r>
      <w:r w:rsidRPr="0041599F">
        <w:t>There is no evidence that 1,4-DMN</w:t>
      </w:r>
      <w:r>
        <w:t xml:space="preserve"> </w:t>
      </w:r>
      <w:r w:rsidRPr="0041599F">
        <w:t xml:space="preserve">is a reproductive or developmental toxicant, or is neurotoxic, immunotoxic, mutagenic </w:t>
      </w:r>
      <w:r>
        <w:t>and</w:t>
      </w:r>
      <w:r w:rsidRPr="0041599F">
        <w:t xml:space="preserve"> carcinogenic. Taking into consideration all available information, a quantitative risk assessment for 1,4-DMN</w:t>
      </w:r>
      <w:r>
        <w:t xml:space="preserve"> </w:t>
      </w:r>
      <w:r w:rsidRPr="0041599F">
        <w:t>is considered not necessary</w:t>
      </w:r>
      <w:r w:rsidRPr="00C458E3">
        <w:t xml:space="preserve"> to manage the limited risk resulting from repeated systemic exposure while using the product</w:t>
      </w:r>
      <w:r w:rsidRPr="0041599F">
        <w:t xml:space="preserve">. The main risk from using </w:t>
      </w:r>
      <w:r w:rsidRPr="000C0743">
        <w:t>1,4</w:t>
      </w:r>
      <w:r w:rsidR="00D72ACB">
        <w:t>SIGHT</w:t>
      </w:r>
      <w:r w:rsidRPr="000C0743">
        <w:t xml:space="preserve"> Potato Dormancy Enhancer </w:t>
      </w:r>
      <w:r w:rsidRPr="0041599F">
        <w:t xml:space="preserve">will be associated with its acute hazards </w:t>
      </w:r>
      <w:r>
        <w:t xml:space="preserve">and </w:t>
      </w:r>
      <w:r w:rsidRPr="0041599F">
        <w:t>will</w:t>
      </w:r>
      <w:r w:rsidRPr="00C458E3">
        <w:t xml:space="preserve"> be adequately mitigated by displaying the corresponding hazards, precautions, and PPE on the </w:t>
      </w:r>
      <w:r>
        <w:t>product</w:t>
      </w:r>
      <w:r w:rsidRPr="00C458E3">
        <w:t xml:space="preserve"> label</w:t>
      </w:r>
      <w:r w:rsidR="009C3DE6">
        <w:t>.</w:t>
      </w:r>
      <w:r w:rsidR="00C50D46">
        <w:br w:type="page"/>
      </w:r>
    </w:p>
    <w:p w14:paraId="34783C5C" w14:textId="77777777" w:rsidR="00A6683A" w:rsidRDefault="00A6683A" w:rsidP="00692A9B">
      <w:pPr>
        <w:pStyle w:val="Heading3"/>
      </w:pPr>
      <w:bookmarkStart w:id="145" w:name="_Toc7561267"/>
      <w:r>
        <w:lastRenderedPageBreak/>
        <w:t>Exposure during re-entry or rehandling</w:t>
      </w:r>
      <w:bookmarkEnd w:id="145"/>
    </w:p>
    <w:p w14:paraId="03B05A6F" w14:textId="01759388" w:rsidR="00A6683A" w:rsidRPr="00FD650A" w:rsidRDefault="00A9387A" w:rsidP="00692A9B">
      <w:pPr>
        <w:pStyle w:val="APVMAText"/>
      </w:pPr>
      <w:r w:rsidRPr="00FD650A">
        <w:t xml:space="preserve">Workers performing post application activities (e.g., clean up, maintenance and repair) in treated sheds prior to ventilation or prior to settling of aerosol fog may be exposed to the 1,4-DMN via dermal and inhalation routes. However, </w:t>
      </w:r>
      <w:r w:rsidR="009C3DE6" w:rsidRPr="00FD650A">
        <w:t>a</w:t>
      </w:r>
      <w:r w:rsidRPr="00FD650A">
        <w:t xml:space="preserve"> re-entry into the potato storage immediately after application is not allowed and is not necessary as the application process is run entirely from the outside of the storage building. The building is completely sealed off and remains closed for 24-48 hours after treatment. Thereafter, the store is only entered after at least half an hour of ventilation with outside air.</w:t>
      </w:r>
      <w:r w:rsidR="009C3DE6" w:rsidRPr="00FD650A">
        <w:t xml:space="preserve"> </w:t>
      </w:r>
      <w:r w:rsidRPr="00FD650A">
        <w:t>Worker exposure and risks during re-entry activities are considered negligible and can be adequately managed by displaying appropriate re-entry statements on the product label.</w:t>
      </w:r>
    </w:p>
    <w:p w14:paraId="1F8A12F7" w14:textId="77777777" w:rsidR="00A6683A" w:rsidRDefault="00A6683A" w:rsidP="00692A9B">
      <w:pPr>
        <w:pStyle w:val="Heading2"/>
        <w:ind w:left="907" w:hanging="907"/>
      </w:pPr>
      <w:bookmarkStart w:id="146" w:name="_Toc531181097"/>
      <w:bookmarkStart w:id="147" w:name="_Toc7561268"/>
      <w:bookmarkStart w:id="148" w:name="_Toc229751416"/>
      <w:r>
        <w:t>Public exposure</w:t>
      </w:r>
      <w:bookmarkEnd w:id="146"/>
      <w:bookmarkEnd w:id="147"/>
      <w:bookmarkEnd w:id="148"/>
    </w:p>
    <w:p w14:paraId="0F0661E1" w14:textId="6DE778A1" w:rsidR="00A6683A" w:rsidRPr="00C93AAB" w:rsidRDefault="00A9387A" w:rsidP="00692A9B">
      <w:pPr>
        <w:pStyle w:val="APVMAText"/>
      </w:pPr>
      <w:r w:rsidRPr="00A9387A">
        <w:t>The product is intended for professional use and is not expected to be handled by members of the public.</w:t>
      </w:r>
    </w:p>
    <w:p w14:paraId="02E5A78B" w14:textId="77777777" w:rsidR="00A6683A" w:rsidRDefault="00A6683A" w:rsidP="00692A9B">
      <w:pPr>
        <w:pStyle w:val="Heading2"/>
        <w:ind w:left="907" w:hanging="907"/>
      </w:pPr>
      <w:bookmarkStart w:id="149" w:name="_Toc531181098"/>
      <w:bookmarkStart w:id="150" w:name="_Toc7561269"/>
      <w:bookmarkStart w:id="151" w:name="_Toc229751417"/>
      <w:r>
        <w:t>Recommendations</w:t>
      </w:r>
      <w:bookmarkEnd w:id="149"/>
      <w:bookmarkEnd w:id="150"/>
      <w:bookmarkEnd w:id="151"/>
    </w:p>
    <w:p w14:paraId="3F5938D1" w14:textId="77777777" w:rsidR="00A6683A" w:rsidRDefault="00A6683A" w:rsidP="00692A9B">
      <w:pPr>
        <w:pStyle w:val="APVMAText"/>
        <w:rPr>
          <w:szCs w:val="20"/>
        </w:rPr>
      </w:pPr>
      <w:r>
        <w:rPr>
          <w:szCs w:val="20"/>
        </w:rPr>
        <w:t>The following first aid instructions, safety directions and precautionary (warning) statements are recommended for the product label.</w:t>
      </w:r>
    </w:p>
    <w:p w14:paraId="5CE5820B" w14:textId="77777777" w:rsidR="00A6683A" w:rsidRDefault="00A6683A" w:rsidP="00692A9B">
      <w:pPr>
        <w:pStyle w:val="Heading3"/>
      </w:pPr>
      <w:bookmarkStart w:id="152" w:name="_Toc7561270"/>
      <w:r>
        <w:t>First aid instructions</w:t>
      </w:r>
      <w:bookmarkEnd w:id="152"/>
    </w:p>
    <w:p w14:paraId="6BBAC1DA" w14:textId="29DD8C71" w:rsidR="00A6683A" w:rsidRDefault="00A9387A" w:rsidP="00692A9B">
      <w:pPr>
        <w:pStyle w:val="APVMAText"/>
      </w:pPr>
      <w:r w:rsidRPr="00A9387A">
        <w:t>If poisoning occurs, contact a doctor or Poisons Information Centre. Phone Australia 131126; New Zealand 0800 764 766.</w:t>
      </w:r>
    </w:p>
    <w:p w14:paraId="76ABAA93" w14:textId="77777777" w:rsidR="00A6683A" w:rsidRDefault="00A6683A" w:rsidP="00692A9B">
      <w:pPr>
        <w:pStyle w:val="Heading3"/>
      </w:pPr>
      <w:bookmarkStart w:id="153" w:name="_Toc7561271"/>
      <w:r>
        <w:t>Safety directions</w:t>
      </w:r>
      <w:bookmarkEnd w:id="153"/>
    </w:p>
    <w:p w14:paraId="32BBB646" w14:textId="114F0993" w:rsidR="00A6683A" w:rsidRDefault="00D42472" w:rsidP="00692A9B">
      <w:pPr>
        <w:pStyle w:val="APVMAText"/>
      </w:pPr>
      <w:r w:rsidRPr="00D42472">
        <w:t>Will irritate the eyes and skin</w:t>
      </w:r>
      <w:r w:rsidR="00A9387A" w:rsidRPr="00A9387A">
        <w:t>. Do not inhale vapour. Avoid contact with eyes and skin. When opening the container and using the product, wear cotton overalls buttoned to the neck and wrist (or equivalent clothing) and elbow-length chemical resistant gloves and face shield or goggles. If product on skin, immediately wash area with soap and water. If product in eyes, wash it out immediately with water. Wash hands after use. After each day’s use, wash gloves, face shield or goggles, and contaminated clothing.</w:t>
      </w:r>
    </w:p>
    <w:p w14:paraId="664C726B" w14:textId="77777777" w:rsidR="00A6683A" w:rsidRDefault="00A6683A" w:rsidP="00692A9B">
      <w:pPr>
        <w:pStyle w:val="Heading3"/>
      </w:pPr>
      <w:bookmarkStart w:id="154" w:name="_Toc7561272"/>
      <w:r>
        <w:t>Precautionary (warning) statements</w:t>
      </w:r>
      <w:bookmarkEnd w:id="154"/>
    </w:p>
    <w:p w14:paraId="73905CF1" w14:textId="77777777" w:rsidR="00A6683A" w:rsidRDefault="00A9387A" w:rsidP="00692A9B">
      <w:pPr>
        <w:pStyle w:val="APVMAText"/>
      </w:pPr>
      <w:r w:rsidRPr="00A9387A">
        <w:t>Not required.</w:t>
      </w:r>
    </w:p>
    <w:p w14:paraId="5EAE453A" w14:textId="77777777" w:rsidR="00A9387A" w:rsidRDefault="00A9387A" w:rsidP="00692A9B">
      <w:pPr>
        <w:pStyle w:val="Heading3"/>
      </w:pPr>
      <w:r w:rsidRPr="00A9387A">
        <w:t>Restraints/Restrictions</w:t>
      </w:r>
    </w:p>
    <w:p w14:paraId="30699AF1" w14:textId="2192C7A4" w:rsidR="00A9387A" w:rsidRDefault="00A9387A" w:rsidP="00692A9B">
      <w:pPr>
        <w:pStyle w:val="APVMAText"/>
        <w:spacing w:before="120" w:after="120"/>
      </w:pPr>
      <w:r>
        <w:t>DO NOT treat wet, damaged, or rotting potatoes.</w:t>
      </w:r>
    </w:p>
    <w:p w14:paraId="5E69ECFC" w14:textId="77777777" w:rsidR="00A9387A" w:rsidRDefault="00A9387A" w:rsidP="00692A9B">
      <w:pPr>
        <w:pStyle w:val="APVMAText"/>
        <w:spacing w:before="120" w:after="120"/>
      </w:pPr>
      <w:r>
        <w:t>DO NOT use on or near seed potatoes within 30 days of seed planting.</w:t>
      </w:r>
    </w:p>
    <w:p w14:paraId="20B56CCB" w14:textId="77777777" w:rsidR="00A9387A" w:rsidRDefault="00A9387A" w:rsidP="00692A9B">
      <w:pPr>
        <w:pStyle w:val="APVMAText"/>
        <w:spacing w:before="120" w:after="120"/>
      </w:pPr>
      <w:r>
        <w:t>DO NOT apply to field potatoes.</w:t>
      </w:r>
    </w:p>
    <w:p w14:paraId="41D70EEE" w14:textId="65C116D8" w:rsidR="00A9387A" w:rsidRDefault="00A9387A" w:rsidP="00692A9B">
      <w:pPr>
        <w:pStyle w:val="APVMAText"/>
        <w:spacing w:before="120" w:after="120"/>
      </w:pPr>
      <w:r>
        <w:t>DO NOT allow spray to directly contact potatoes.</w:t>
      </w:r>
    </w:p>
    <w:p w14:paraId="1E99BBD1" w14:textId="77777777" w:rsidR="00A9387A" w:rsidRDefault="00A9387A" w:rsidP="00692A9B">
      <w:pPr>
        <w:pStyle w:val="Heading3"/>
      </w:pPr>
      <w:r w:rsidRPr="00A9387A">
        <w:lastRenderedPageBreak/>
        <w:t>Re-entry or Re-handling Statement</w:t>
      </w:r>
    </w:p>
    <w:p w14:paraId="6EA1C9DE" w14:textId="77777777" w:rsidR="00023271" w:rsidRDefault="00023271" w:rsidP="00692A9B">
      <w:pPr>
        <w:pStyle w:val="APVMAText"/>
      </w:pPr>
      <w:r>
        <w:t>DO NOT enter storage areas during application or treatment (prior to ventilation) unless wearing cotton overalls buttoned to the neck and wrist (or equivalent clothing) goggles, respirator and chemical resistant gloves and footwear. Clothing must be laundered after each day’s use.</w:t>
      </w:r>
    </w:p>
    <w:p w14:paraId="4FCA3B8A" w14:textId="35A543E7" w:rsidR="00023271" w:rsidRDefault="00023271" w:rsidP="00692A9B">
      <w:pPr>
        <w:pStyle w:val="APVMAText"/>
      </w:pPr>
      <w:r>
        <w:t>After the treatment period, allow the storage area to ventilate for at least 30 minutes.</w:t>
      </w:r>
    </w:p>
    <w:p w14:paraId="77D4863D" w14:textId="1C5AFA92" w:rsidR="00023271" w:rsidRPr="00BF323B" w:rsidRDefault="00023271" w:rsidP="00692A9B">
      <w:pPr>
        <w:pStyle w:val="APVMAText"/>
        <w:sectPr w:rsidR="00023271" w:rsidRPr="00BF323B">
          <w:headerReference w:type="default" r:id="rId41"/>
          <w:pgSz w:w="11906" w:h="16838" w:code="9"/>
          <w:pgMar w:top="2835" w:right="1134" w:bottom="1134" w:left="1134" w:header="1701" w:footer="680" w:gutter="0"/>
          <w:cols w:space="708"/>
          <w:docGrid w:linePitch="360"/>
        </w:sectPr>
      </w:pPr>
      <w:r>
        <w:t>DO NOT allow workers to enter for normal activities until ventilation is complete.</w:t>
      </w:r>
    </w:p>
    <w:p w14:paraId="2F2ED702" w14:textId="77777777" w:rsidR="002F7868" w:rsidRDefault="002F7868" w:rsidP="002F7868">
      <w:pPr>
        <w:pStyle w:val="Heading1"/>
        <w:tabs>
          <w:tab w:val="num" w:pos="907"/>
        </w:tabs>
        <w:ind w:left="907" w:hanging="907"/>
      </w:pPr>
      <w:bookmarkStart w:id="155" w:name="_Toc531181099"/>
      <w:bookmarkStart w:id="156" w:name="_Toc7561273"/>
      <w:bookmarkStart w:id="157" w:name="_Toc229751418"/>
      <w:r>
        <w:lastRenderedPageBreak/>
        <w:t>Environmental assessment</w:t>
      </w:r>
      <w:bookmarkEnd w:id="155"/>
      <w:bookmarkEnd w:id="156"/>
      <w:bookmarkEnd w:id="157"/>
    </w:p>
    <w:p w14:paraId="0B707CEB" w14:textId="644AD5E7" w:rsidR="00DF2A22" w:rsidRPr="00DF2A22" w:rsidRDefault="00DF2A22" w:rsidP="00DF2A22">
      <w:pPr>
        <w:pStyle w:val="APVMAText"/>
      </w:pPr>
      <w:bookmarkStart w:id="158" w:name="_Toc531181100"/>
      <w:bookmarkStart w:id="159" w:name="_Toc7561274"/>
      <w:r>
        <w:t>Environmental fate and hazard was based on study summaries from overseas assessment reports</w:t>
      </w:r>
      <w:r w:rsidR="00A902CE">
        <w:t xml:space="preserve"> (EFSA)</w:t>
      </w:r>
      <w:r>
        <w:t xml:space="preserve"> supplemented by evaluation of additional studies.</w:t>
      </w:r>
    </w:p>
    <w:p w14:paraId="4FD8D5E1" w14:textId="43E6E1C8" w:rsidR="002F7868" w:rsidRDefault="002F7868" w:rsidP="002F7868">
      <w:pPr>
        <w:pStyle w:val="Heading2"/>
        <w:ind w:left="907" w:hanging="907"/>
        <w:rPr>
          <w:lang w:val="en-GB"/>
        </w:rPr>
      </w:pPr>
      <w:bookmarkStart w:id="160" w:name="_Toc229751419"/>
      <w:r>
        <w:rPr>
          <w:lang w:val="en-GB"/>
        </w:rPr>
        <w:t>Fate and behaviour in the environment</w:t>
      </w:r>
      <w:bookmarkEnd w:id="158"/>
      <w:bookmarkEnd w:id="159"/>
      <w:bookmarkEnd w:id="160"/>
    </w:p>
    <w:p w14:paraId="15CEEC8B" w14:textId="171382DF" w:rsidR="002F7868" w:rsidRDefault="00634C73" w:rsidP="002F7868">
      <w:pPr>
        <w:pStyle w:val="APVMAText"/>
        <w:rPr>
          <w:lang w:val="en-GB"/>
        </w:rPr>
      </w:pPr>
      <w:r w:rsidRPr="00634C73">
        <w:t>1,4-DMN is moderately volatile and rapidly volatilises from soil and aquatic systems. It reacts rapidly with hydroxyl radicals in the air (DT</w:t>
      </w:r>
      <w:r w:rsidRPr="00634C73">
        <w:rPr>
          <w:vertAlign w:val="subscript"/>
        </w:rPr>
        <w:t>50</w:t>
      </w:r>
      <w:r w:rsidRPr="00634C73">
        <w:t xml:space="preserve"> 2.2 h) and therefore is not subject to long-range transport.</w:t>
      </w:r>
    </w:p>
    <w:p w14:paraId="2820D4DD" w14:textId="77777777" w:rsidR="002F7868" w:rsidRDefault="002F7868" w:rsidP="002F7868">
      <w:pPr>
        <w:pStyle w:val="Heading2"/>
        <w:ind w:left="907" w:hanging="907"/>
        <w:rPr>
          <w:lang w:val="en-GB"/>
        </w:rPr>
      </w:pPr>
      <w:bookmarkStart w:id="161" w:name="_Toc531181101"/>
      <w:bookmarkStart w:id="162" w:name="_Toc7561278"/>
      <w:bookmarkStart w:id="163" w:name="_Toc229751420"/>
      <w:r>
        <w:rPr>
          <w:lang w:val="en-GB"/>
        </w:rPr>
        <w:t>Effects and associated risks to non-target species</w:t>
      </w:r>
      <w:bookmarkEnd w:id="161"/>
      <w:bookmarkEnd w:id="162"/>
      <w:bookmarkEnd w:id="163"/>
    </w:p>
    <w:p w14:paraId="028ABA6D" w14:textId="25FCF6CE" w:rsidR="00634C73" w:rsidRDefault="00634C73" w:rsidP="00634C73">
      <w:pPr>
        <w:pStyle w:val="APVMAText"/>
      </w:pPr>
      <w:r>
        <w:t>1,4-DMN has low toxicity to mammals (LD</w:t>
      </w:r>
      <w:r w:rsidRPr="00634C73">
        <w:rPr>
          <w:vertAlign w:val="subscript"/>
        </w:rPr>
        <w:t>50</w:t>
      </w:r>
      <w:r>
        <w:t xml:space="preserve"> 2730 mg ac/kg bw, </w:t>
      </w:r>
      <w:r w:rsidRPr="00634C73">
        <w:rPr>
          <w:i/>
          <w:iCs/>
        </w:rPr>
        <w:t>Rattus norvegicus</w:t>
      </w:r>
      <w:r>
        <w:t>) and birds (LD</w:t>
      </w:r>
      <w:r w:rsidRPr="00634C73">
        <w:rPr>
          <w:vertAlign w:val="subscript"/>
        </w:rPr>
        <w:t>50</w:t>
      </w:r>
      <w:r>
        <w:t xml:space="preserve"> &gt;2000 mg ac/kg bw, </w:t>
      </w:r>
      <w:r w:rsidRPr="00634C73">
        <w:rPr>
          <w:i/>
          <w:iCs/>
        </w:rPr>
        <w:t>Colinus virginianus</w:t>
      </w:r>
      <w:r>
        <w:t xml:space="preserve">). In a developmental toxicity study in mammals, decreased body weight gain and food consumption was observed at doses as low as 250 mg ac/kg bw/d (NOAEL 80 mg ac/kg bw/d, </w:t>
      </w:r>
      <w:r w:rsidRPr="00634C73">
        <w:rPr>
          <w:i/>
          <w:iCs/>
        </w:rPr>
        <w:t>Oryctolagus cuniculus</w:t>
      </w:r>
      <w:r>
        <w:t>).</w:t>
      </w:r>
    </w:p>
    <w:p w14:paraId="24C6942D" w14:textId="74950849" w:rsidR="00634C73" w:rsidRDefault="00634C73" w:rsidP="00634C73">
      <w:pPr>
        <w:pStyle w:val="APVMAText"/>
      </w:pPr>
      <w:r>
        <w:t>1,4-DMN has moderate toxicity to fish (lowest LC</w:t>
      </w:r>
      <w:r w:rsidRPr="00634C73">
        <w:rPr>
          <w:vertAlign w:val="subscript"/>
        </w:rPr>
        <w:t>50</w:t>
      </w:r>
      <w:r>
        <w:t xml:space="preserve"> 0.67 mg ac/L, </w:t>
      </w:r>
      <w:r w:rsidRPr="00634C73">
        <w:rPr>
          <w:i/>
          <w:iCs/>
        </w:rPr>
        <w:t>Oncorhynchus mykiss</w:t>
      </w:r>
      <w:r>
        <w:t>), aquatic invertebrates (EC</w:t>
      </w:r>
      <w:r w:rsidRPr="00634C73">
        <w:rPr>
          <w:vertAlign w:val="subscript"/>
        </w:rPr>
        <w:t>50</w:t>
      </w:r>
      <w:r>
        <w:t xml:space="preserve"> 0.54 mg ac/L, </w:t>
      </w:r>
      <w:r w:rsidRPr="00634C73">
        <w:rPr>
          <w:i/>
          <w:iCs/>
        </w:rPr>
        <w:t>Daphnia magna</w:t>
      </w:r>
      <w:r>
        <w:t>), algae (E</w:t>
      </w:r>
      <w:r w:rsidRPr="00FC4F9A">
        <w:rPr>
          <w:vertAlign w:val="subscript"/>
        </w:rPr>
        <w:t>r</w:t>
      </w:r>
      <w:r>
        <w:t>C</w:t>
      </w:r>
      <w:r w:rsidRPr="00FC4F9A">
        <w:rPr>
          <w:vertAlign w:val="subscript"/>
        </w:rPr>
        <w:t>50</w:t>
      </w:r>
      <w:r>
        <w:t xml:space="preserve"> 0.62 mg ac/L, </w:t>
      </w:r>
      <w:r w:rsidRPr="00634C73">
        <w:rPr>
          <w:i/>
          <w:iCs/>
        </w:rPr>
        <w:t>Pseudokirchneriella subcapitata</w:t>
      </w:r>
      <w:r>
        <w:t>), and aquatic plants (EC</w:t>
      </w:r>
      <w:r w:rsidRPr="00634C73">
        <w:rPr>
          <w:vertAlign w:val="subscript"/>
        </w:rPr>
        <w:t>50</w:t>
      </w:r>
      <w:r>
        <w:t xml:space="preserve"> 1.1 mg ac/L,</w:t>
      </w:r>
      <w:r w:rsidRPr="00634C73">
        <w:rPr>
          <w:i/>
          <w:iCs/>
        </w:rPr>
        <w:t xml:space="preserve"> Lemna gibba</w:t>
      </w:r>
      <w:r>
        <w:t xml:space="preserve">). Following long-term exposure under flow-through conditions, reduced growth rate of juvenile fish was observed at concentrations as low as 0.21 mg ac/L (NOEC 0.090, </w:t>
      </w:r>
      <w:r w:rsidRPr="00634C73">
        <w:rPr>
          <w:i/>
          <w:iCs/>
        </w:rPr>
        <w:t>Oncorhynchus mykiss</w:t>
      </w:r>
      <w:r>
        <w:t xml:space="preserve">) and reduced reproduction of aquatic invertebrates was observed at 0.34 mg ac/L (NOEC 0.16 mg ac/L, </w:t>
      </w:r>
      <w:r w:rsidRPr="00634C73">
        <w:rPr>
          <w:i/>
          <w:iCs/>
        </w:rPr>
        <w:t>Daphnia magna</w:t>
      </w:r>
      <w:r>
        <w:t>).</w:t>
      </w:r>
    </w:p>
    <w:p w14:paraId="03356BE2" w14:textId="3DB2C662" w:rsidR="00634C73" w:rsidRDefault="00634C73" w:rsidP="00634C73">
      <w:pPr>
        <w:pStyle w:val="APVMAText"/>
      </w:pPr>
      <w:r w:rsidRPr="00634C73">
        <w:t>1,4-DMN has low toxicity to bees by contact exposure (LD</w:t>
      </w:r>
      <w:r w:rsidRPr="00634C73">
        <w:rPr>
          <w:vertAlign w:val="subscript"/>
        </w:rPr>
        <w:t>50</w:t>
      </w:r>
      <w:r w:rsidRPr="00634C73">
        <w:t xml:space="preserve"> &gt;100 µg ac/bee, </w:t>
      </w:r>
      <w:r w:rsidRPr="00634C73">
        <w:rPr>
          <w:i/>
          <w:iCs/>
        </w:rPr>
        <w:t>Apis mellifera</w:t>
      </w:r>
      <w:r w:rsidRPr="00634C73">
        <w:t>) and oral exposure (LD</w:t>
      </w:r>
      <w:r w:rsidRPr="00634C73">
        <w:rPr>
          <w:vertAlign w:val="subscript"/>
        </w:rPr>
        <w:t>50</w:t>
      </w:r>
      <w:r w:rsidRPr="00634C73">
        <w:t xml:space="preserve"> &gt;87 µg ac/bee, </w:t>
      </w:r>
      <w:r w:rsidRPr="00634C73">
        <w:rPr>
          <w:i/>
          <w:iCs/>
        </w:rPr>
        <w:t>Apis mellifera</w:t>
      </w:r>
      <w:r w:rsidRPr="00634C73">
        <w:t>).</w:t>
      </w:r>
    </w:p>
    <w:p w14:paraId="2FA736C1" w14:textId="31F6BF68" w:rsidR="00634C73" w:rsidRDefault="00634C73" w:rsidP="00634C73">
      <w:pPr>
        <w:pStyle w:val="APVMAText"/>
      </w:pPr>
      <w:r w:rsidRPr="00634C73">
        <w:t>Upon ventilation after treatment, 1,4-DMN is not expected to be transported long distances through the air based on its predicted rapid reaction with hydroxyl radicals. Exposure of non-target species to 1,4-DMN is expected to be negligible. Therefore, risks to non-target species are acceptable and no protection measures are required.</w:t>
      </w:r>
    </w:p>
    <w:p w14:paraId="60E61D2E" w14:textId="77777777" w:rsidR="002F7868" w:rsidRDefault="002F7868" w:rsidP="002F7868">
      <w:pPr>
        <w:pStyle w:val="Heading2"/>
        <w:ind w:left="907" w:hanging="907"/>
        <w:rPr>
          <w:lang w:val="en-GB"/>
        </w:rPr>
      </w:pPr>
      <w:bookmarkStart w:id="164" w:name="_Toc531181102"/>
      <w:bookmarkStart w:id="165" w:name="_Toc7561284"/>
      <w:bookmarkStart w:id="166" w:name="_Toc229751421"/>
      <w:r>
        <w:rPr>
          <w:lang w:val="en-GB"/>
        </w:rPr>
        <w:t>Recommendations</w:t>
      </w:r>
      <w:bookmarkEnd w:id="164"/>
      <w:bookmarkEnd w:id="165"/>
      <w:bookmarkEnd w:id="166"/>
    </w:p>
    <w:p w14:paraId="72EBD5DE" w14:textId="1A4DFD35" w:rsidR="00634C73" w:rsidRDefault="00634C73" w:rsidP="00CA5B2B">
      <w:pPr>
        <w:pStyle w:val="APVMAText"/>
        <w:sectPr w:rsidR="00634C73">
          <w:headerReference w:type="default" r:id="rId42"/>
          <w:pgSz w:w="11906" w:h="16838" w:code="9"/>
          <w:pgMar w:top="2835" w:right="1134" w:bottom="1134" w:left="1134" w:header="1701" w:footer="680" w:gutter="0"/>
          <w:cols w:space="708"/>
          <w:docGrid w:linePitch="360"/>
        </w:sectPr>
      </w:pPr>
      <w:r w:rsidRPr="00634C73">
        <w:t>Based on the LC/EC</w:t>
      </w:r>
      <w:r w:rsidRPr="00634C73">
        <w:rPr>
          <w:vertAlign w:val="subscript"/>
        </w:rPr>
        <w:t>50</w:t>
      </w:r>
      <w:r w:rsidRPr="00634C73">
        <w:t xml:space="preserve"> values &lt;1 mg ac/L for aquatic species, a ‘very toxic to aquatic life’ statement on the label is advised to identify the hazard.</w:t>
      </w:r>
      <w:r>
        <w:t xml:space="preserve"> However, no protection measures are required under the proposed conditions of use.</w:t>
      </w:r>
    </w:p>
    <w:p w14:paraId="7D715F24" w14:textId="476C1D7E" w:rsidR="003B36F6" w:rsidRPr="004806A3" w:rsidRDefault="003B36F6" w:rsidP="004806A3">
      <w:pPr>
        <w:pStyle w:val="Heading1"/>
        <w:tabs>
          <w:tab w:val="num" w:pos="907"/>
        </w:tabs>
        <w:ind w:left="907" w:hanging="907"/>
      </w:pPr>
      <w:bookmarkStart w:id="167" w:name="_Toc531181103"/>
      <w:bookmarkStart w:id="168" w:name="_Toc7561285"/>
      <w:bookmarkStart w:id="169" w:name="_Toc229751422"/>
      <w:r>
        <w:lastRenderedPageBreak/>
        <w:t>Efficacy and safety assessment</w:t>
      </w:r>
      <w:bookmarkEnd w:id="167"/>
      <w:bookmarkEnd w:id="168"/>
      <w:bookmarkEnd w:id="169"/>
    </w:p>
    <w:p w14:paraId="015BE822" w14:textId="77777777" w:rsidR="003B36F6" w:rsidRDefault="003B36F6" w:rsidP="003B36F6">
      <w:pPr>
        <w:pStyle w:val="Heading2"/>
        <w:ind w:left="907" w:hanging="907"/>
      </w:pPr>
      <w:bookmarkStart w:id="170" w:name="_Toc531181104"/>
      <w:bookmarkStart w:id="171" w:name="_Toc7561286"/>
      <w:bookmarkStart w:id="172" w:name="_Toc229751423"/>
      <w:r>
        <w:t>Proposed product use pattern</w:t>
      </w:r>
      <w:bookmarkEnd w:id="170"/>
      <w:bookmarkEnd w:id="171"/>
      <w:bookmarkEnd w:id="172"/>
    </w:p>
    <w:p w14:paraId="3DE5242A" w14:textId="3B6206F1" w:rsidR="003B36F6" w:rsidRDefault="004806A3" w:rsidP="003B36F6">
      <w:pPr>
        <w:pStyle w:val="APVMAText"/>
      </w:pPr>
      <w:r>
        <w:t xml:space="preserve">The proposed new product, </w:t>
      </w:r>
      <w:r w:rsidRPr="004806A3">
        <w:t>1,4</w:t>
      </w:r>
      <w:r w:rsidR="00D72ACB">
        <w:t>SIGHT</w:t>
      </w:r>
      <w:r w:rsidRPr="004806A3">
        <w:t xml:space="preserve"> Potato Dormancy Enhancer</w:t>
      </w:r>
      <w:r>
        <w:t xml:space="preserve">, is a </w:t>
      </w:r>
      <w:r w:rsidRPr="004806A3">
        <w:t>980 g/</w:t>
      </w:r>
      <w:r w:rsidR="00D57C21">
        <w:t>kg</w:t>
      </w:r>
      <w:r w:rsidRPr="004806A3">
        <w:t xml:space="preserve"> liquid formulation of 1,4-dimethylnapthalene to enhance dormancy of potatoes in storag</w:t>
      </w:r>
      <w:r>
        <w:t>e</w:t>
      </w:r>
      <w:r w:rsidR="0098155C">
        <w:t xml:space="preserve"> (NOT seed potatoes)</w:t>
      </w:r>
      <w:r>
        <w:t xml:space="preserve">. </w:t>
      </w:r>
      <w:r w:rsidR="00557BC4" w:rsidRPr="00557BC4">
        <w:t xml:space="preserve">The product </w:t>
      </w:r>
      <w:r w:rsidR="00557BC4">
        <w:t>will be</w:t>
      </w:r>
      <w:r w:rsidR="00557BC4" w:rsidRPr="00557BC4">
        <w:t xml:space="preserve"> applied mechanically via specialist thermal fogging equipment</w:t>
      </w:r>
      <w:r w:rsidR="00557BC4">
        <w:t xml:space="preserve"> and is</w:t>
      </w:r>
      <w:r w:rsidR="00557BC4" w:rsidRPr="00557BC4">
        <w:t xml:space="preserve"> only intended for enclosed situations</w:t>
      </w:r>
      <w:r w:rsidR="00557BC4">
        <w:t>.</w:t>
      </w:r>
      <w:r w:rsidR="00557BC4" w:rsidRPr="00557BC4">
        <w:t xml:space="preserve"> </w:t>
      </w:r>
      <w:r w:rsidR="0098155C">
        <w:t>The proposed product rate is 20 ppm as 20mL per 1000 kg.</w:t>
      </w:r>
    </w:p>
    <w:p w14:paraId="1AA92180" w14:textId="43C567BE" w:rsidR="003B36F6" w:rsidRDefault="003B36F6" w:rsidP="003B36F6">
      <w:pPr>
        <w:pStyle w:val="Heading2"/>
        <w:ind w:left="907" w:hanging="907"/>
      </w:pPr>
      <w:bookmarkStart w:id="173" w:name="_Toc531181105"/>
      <w:bookmarkStart w:id="174" w:name="_Toc7561287"/>
      <w:bookmarkStart w:id="175" w:name="_Toc229751424"/>
      <w:r>
        <w:t>Efficacy and target crop/animal safety</w:t>
      </w:r>
      <w:bookmarkEnd w:id="173"/>
      <w:bookmarkEnd w:id="174"/>
      <w:bookmarkEnd w:id="175"/>
    </w:p>
    <w:p w14:paraId="5A416B6E" w14:textId="00101F6F" w:rsidR="001A69FF" w:rsidRDefault="00E531BF" w:rsidP="00276289">
      <w:pPr>
        <w:pStyle w:val="APVMAText"/>
      </w:pPr>
      <w:bookmarkStart w:id="176" w:name="_Toc7561288"/>
      <w:r>
        <w:t>E</w:t>
      </w:r>
      <w:r w:rsidR="0092734B">
        <w:t>f</w:t>
      </w:r>
      <w:r>
        <w:t xml:space="preserve">ficacy and crop safety trials done </w:t>
      </w:r>
      <w:r w:rsidRPr="00E531BF">
        <w:t>overseas</w:t>
      </w:r>
      <w:r w:rsidR="0093487B">
        <w:t xml:space="preserve"> in the US, Germany and the UK</w:t>
      </w:r>
      <w:r w:rsidR="00D31995">
        <w:t xml:space="preserve"> were provided to support label claims </w:t>
      </w:r>
      <w:r w:rsidR="00D31995" w:rsidRPr="00D31995">
        <w:t>as a plant growth regulator to enhance the dormancy of potatoes in storage</w:t>
      </w:r>
      <w:r w:rsidR="00D762B7">
        <w:t>, as well as two trial reports from Tasmania</w:t>
      </w:r>
      <w:r w:rsidR="0093487B">
        <w:t xml:space="preserve">. </w:t>
      </w:r>
      <w:r w:rsidR="0068293A">
        <w:t xml:space="preserve">Expert statement from Germany was also provided </w:t>
      </w:r>
      <w:r w:rsidR="0068293A" w:rsidRPr="0068293A">
        <w:t>based on findings from various studies in Netherland, France</w:t>
      </w:r>
      <w:r w:rsidR="0068293A">
        <w:t xml:space="preserve"> and</w:t>
      </w:r>
      <w:r w:rsidR="0068293A" w:rsidRPr="0068293A">
        <w:t xml:space="preserve"> Belgium</w:t>
      </w:r>
      <w:r w:rsidR="0068293A">
        <w:t xml:space="preserve">. </w:t>
      </w:r>
      <w:r w:rsidR="0093487B">
        <w:t xml:space="preserve">One trial was done in </w:t>
      </w:r>
      <w:r w:rsidR="0014625C">
        <w:t>Tasmania but</w:t>
      </w:r>
      <w:r w:rsidR="0093487B">
        <w:t xml:space="preserve"> was discontinued due to an infection of </w:t>
      </w:r>
      <w:r w:rsidR="0093487B" w:rsidRPr="00F869F5">
        <w:rPr>
          <w:i/>
          <w:iCs/>
        </w:rPr>
        <w:t>Clostrdium</w:t>
      </w:r>
      <w:r w:rsidRPr="00E531BF">
        <w:t>. Trials included untreated controls</w:t>
      </w:r>
      <w:r w:rsidR="001A69FF">
        <w:t xml:space="preserve"> and</w:t>
      </w:r>
      <w:r w:rsidRPr="00E531BF">
        <w:t xml:space="preserve"> compared to CIPC as a </w:t>
      </w:r>
      <w:r w:rsidR="00D762B7" w:rsidRPr="00D762B7">
        <w:t>standard sprout inhibitor</w:t>
      </w:r>
      <w:r w:rsidRPr="00E531BF">
        <w:t xml:space="preserve">. </w:t>
      </w:r>
      <w:r w:rsidR="001A69FF">
        <w:t>Given t</w:t>
      </w:r>
      <w:r w:rsidR="002F0200" w:rsidRPr="002F0200">
        <w:t>he proposed product use is in an enclosed situation</w:t>
      </w:r>
      <w:r w:rsidR="007D35FB">
        <w:t xml:space="preserve"> with </w:t>
      </w:r>
      <w:r w:rsidR="007D35FB" w:rsidRPr="007D35FB">
        <w:t>same principles of storage environments</w:t>
      </w:r>
      <w:r w:rsidR="002F0200" w:rsidRPr="002F0200">
        <w:t xml:space="preserve">, and the overseas trials adhered to the standardized protocol following appropriate principles of handling </w:t>
      </w:r>
      <w:r w:rsidR="00C50D46">
        <w:t>and</w:t>
      </w:r>
      <w:r w:rsidR="002F0200" w:rsidRPr="002F0200">
        <w:t xml:space="preserve"> storage of potato,</w:t>
      </w:r>
      <w:r w:rsidR="002F0200">
        <w:t xml:space="preserve"> overseas data are considered acceptable to support the efficacy of the product use in Australia.</w:t>
      </w:r>
    </w:p>
    <w:p w14:paraId="41A9029B" w14:textId="07E4A8DA" w:rsidR="00E531BF" w:rsidRDefault="001A69FF" w:rsidP="00276289">
      <w:pPr>
        <w:pStyle w:val="APVMAText"/>
      </w:pPr>
      <w:r>
        <w:t>In the trials,</w:t>
      </w:r>
      <w:r w:rsidR="00F65779" w:rsidRPr="00F65779">
        <w:t xml:space="preserve"> 1,4</w:t>
      </w:r>
      <w:r w:rsidR="00D72ACB">
        <w:t>SIGHT</w:t>
      </w:r>
      <w:r w:rsidR="00F65779" w:rsidRPr="00F65779">
        <w:t xml:space="preserve"> Potato Dormancy Enhancer</w:t>
      </w:r>
      <w:r w:rsidR="00F65779">
        <w:t xml:space="preserve"> was applied according to the label recommendations under similar situation (storage condition). A</w:t>
      </w:r>
      <w:r w:rsidRPr="00E531BF">
        <w:t>pplication rates</w:t>
      </w:r>
      <w:r>
        <w:t xml:space="preserve"> included label rate (20ppm), as well as rates lower and higher than label rate. The product was applied multiple times (4-6 applications) at intervals during the storage period</w:t>
      </w:r>
      <w:r w:rsidRPr="00E531BF">
        <w:t>.</w:t>
      </w:r>
    </w:p>
    <w:p w14:paraId="1B945729" w14:textId="4BC43819" w:rsidR="003B36F6" w:rsidRDefault="003B36F6" w:rsidP="003B36F6">
      <w:pPr>
        <w:pStyle w:val="Heading3"/>
      </w:pPr>
      <w:r>
        <w:t>Efficacy</w:t>
      </w:r>
      <w:bookmarkEnd w:id="176"/>
    </w:p>
    <w:p w14:paraId="24E07A7E" w14:textId="657D49D7" w:rsidR="003B36F6" w:rsidRDefault="00D2719B" w:rsidP="003B36F6">
      <w:pPr>
        <w:pStyle w:val="APVMAText"/>
      </w:pPr>
      <w:r>
        <w:t>The efficacy trials demonstrate sprout control</w:t>
      </w:r>
      <w:r w:rsidR="007A00EF">
        <w:t xml:space="preserve"> </w:t>
      </w:r>
      <w:r w:rsidR="007A00EF" w:rsidRPr="007A00EF">
        <w:t>to result in extended dormancy in several potato cultivars</w:t>
      </w:r>
      <w:r>
        <w:t xml:space="preserve">, with variety-dependent control level. </w:t>
      </w:r>
      <w:r w:rsidR="00652F6F" w:rsidRPr="00652F6F">
        <w:t>The efficacy of 1,4-DMN was generally similar or often better to standard product CIPC in certain varieties studied</w:t>
      </w:r>
      <w:r w:rsidR="00A74315">
        <w:t xml:space="preserve">. </w:t>
      </w:r>
      <w:r w:rsidR="0068293A" w:rsidRPr="0068293A">
        <w:t>The observed efficacy is supportive of the proposed use of</w:t>
      </w:r>
      <w:r w:rsidR="00D72ACB">
        <w:t xml:space="preserve"> </w:t>
      </w:r>
      <w:r w:rsidR="0068293A" w:rsidRPr="0068293A">
        <w:t>1,4SIGHT Potato Dormancy Enhancer applied at the single rate of 20 mL/1000 kg</w:t>
      </w:r>
      <w:r w:rsidR="001A3C43">
        <w:t xml:space="preserve"> with six applications</w:t>
      </w:r>
      <w:r w:rsidR="007A00EF">
        <w:t xml:space="preserve"> during the storage period</w:t>
      </w:r>
      <w:r w:rsidR="0068293A">
        <w:t>.</w:t>
      </w:r>
    </w:p>
    <w:p w14:paraId="52C7E8E6" w14:textId="77777777" w:rsidR="003B36F6" w:rsidRDefault="003B36F6" w:rsidP="003B36F6">
      <w:pPr>
        <w:pStyle w:val="Heading3"/>
      </w:pPr>
      <w:bookmarkStart w:id="177" w:name="_Toc7561289"/>
      <w:r>
        <w:t>Crop safety</w:t>
      </w:r>
      <w:bookmarkEnd w:id="177"/>
    </w:p>
    <w:p w14:paraId="5A3E9113" w14:textId="52731B67" w:rsidR="003B36F6" w:rsidRDefault="00947B25" w:rsidP="003B36F6">
      <w:pPr>
        <w:pStyle w:val="APVMAText"/>
      </w:pPr>
      <w:r>
        <w:t>Trial</w:t>
      </w:r>
      <w:r w:rsidR="00E4683E">
        <w:t xml:space="preserve">s </w:t>
      </w:r>
      <w:r>
        <w:t>demonstrated the safety of the product by measuring different variables</w:t>
      </w:r>
      <w:r w:rsidR="00E4683E">
        <w:t xml:space="preserve"> when product applied at </w:t>
      </w:r>
      <w:r w:rsidR="00E4683E" w:rsidRPr="00947B25">
        <w:t xml:space="preserve">20 ppm </w:t>
      </w:r>
      <w:r w:rsidR="00E4683E">
        <w:t>and above, with up to</w:t>
      </w:r>
      <w:r w:rsidR="00E4683E" w:rsidRPr="00947B25">
        <w:t xml:space="preserve"> six applications</w:t>
      </w:r>
      <w:r w:rsidR="00E4683E">
        <w:t xml:space="preserve"> (but not at 2x label rate)</w:t>
      </w:r>
      <w:r>
        <w:t>. The trials from the UK show n</w:t>
      </w:r>
      <w:r w:rsidRPr="00947B25">
        <w:t>o deleterious effects from the use of</w:t>
      </w:r>
      <w:r>
        <w:t xml:space="preserve"> </w:t>
      </w:r>
      <w:r w:rsidRPr="00947B25">
        <w:t>1,4-DMN were observed in relation to processing quality of chips and was similar to tubers treated with CIPC</w:t>
      </w:r>
      <w:r>
        <w:t xml:space="preserve">. The data from Germany demonstrated </w:t>
      </w:r>
      <w:r w:rsidRPr="00947B25">
        <w:t>no adverse effect on tubers with no weight loss and fry quality</w:t>
      </w:r>
      <w:r w:rsidR="00DE217C">
        <w:t xml:space="preserve"> with up to 5 applications of the product</w:t>
      </w:r>
      <w:r>
        <w:t>.</w:t>
      </w:r>
      <w:r w:rsidR="00DE217C">
        <w:t xml:space="preserve"> The trials from USA </w:t>
      </w:r>
      <w:r w:rsidR="00DE217C" w:rsidRPr="00DE217C">
        <w:t>observed no issues on processing quality from all treatments</w:t>
      </w:r>
      <w:r w:rsidR="00DE217C">
        <w:t xml:space="preserve"> of </w:t>
      </w:r>
      <w:r w:rsidR="00DE217C" w:rsidRPr="00DE217C">
        <w:t>1,4-DMN</w:t>
      </w:r>
      <w:r w:rsidR="00DE217C">
        <w:t>.</w:t>
      </w:r>
    </w:p>
    <w:p w14:paraId="654537E5" w14:textId="67D27DB0" w:rsidR="003B36F6" w:rsidRDefault="003B36F6" w:rsidP="00D677B0">
      <w:pPr>
        <w:pStyle w:val="Heading2"/>
      </w:pPr>
      <w:bookmarkStart w:id="178" w:name="_Toc531181106"/>
      <w:bookmarkStart w:id="179" w:name="_Toc7561292"/>
      <w:bookmarkStart w:id="180" w:name="_Toc229751425"/>
      <w:r>
        <w:lastRenderedPageBreak/>
        <w:t>Recommendations</w:t>
      </w:r>
      <w:bookmarkEnd w:id="178"/>
      <w:bookmarkEnd w:id="179"/>
      <w:bookmarkEnd w:id="180"/>
    </w:p>
    <w:p w14:paraId="2493AF67" w14:textId="47FE4A8D" w:rsidR="003B36F6" w:rsidRDefault="0050597E" w:rsidP="00772458">
      <w:pPr>
        <w:pStyle w:val="APVMAText"/>
        <w:sectPr w:rsidR="003B36F6">
          <w:headerReference w:type="default" r:id="rId43"/>
          <w:pgSz w:w="11906" w:h="16838" w:code="9"/>
          <w:pgMar w:top="2835" w:right="1134" w:bottom="1134" w:left="1134" w:header="1701" w:footer="680" w:gutter="0"/>
          <w:cols w:space="708"/>
          <w:docGrid w:linePitch="360"/>
        </w:sectPr>
      </w:pPr>
      <w:r w:rsidRPr="00DB7834">
        <w:t xml:space="preserve">Based on the </w:t>
      </w:r>
      <w:r>
        <w:t xml:space="preserve">trials and </w:t>
      </w:r>
      <w:r w:rsidRPr="00DB7834">
        <w:t xml:space="preserve">evidence provided, a label claim for </w:t>
      </w:r>
      <w:r w:rsidRPr="0050597E">
        <w:t>plant growth regulator to enhance the dormancy of potatoes in storage when applied according to the label recommendations using the proposed new product</w:t>
      </w:r>
      <w:r>
        <w:t xml:space="preserve"> is supported. </w:t>
      </w:r>
      <w:r w:rsidR="00B15474">
        <w:t>The p</w:t>
      </w:r>
      <w:r w:rsidR="00B15474" w:rsidRPr="00652F6F">
        <w:t xml:space="preserve">resented studies/trials </w:t>
      </w:r>
      <w:r>
        <w:t>also demonstrated</w:t>
      </w:r>
      <w:r w:rsidR="00B15474" w:rsidRPr="00652F6F">
        <w:t xml:space="preserve"> tuber safety data of the recommended application rate of 1,4SIGHT Potato Dormancy Enhancer for single application, intervals of application </w:t>
      </w:r>
      <w:r w:rsidR="00276289">
        <w:t>and</w:t>
      </w:r>
      <w:r w:rsidR="00B15474" w:rsidRPr="00652F6F">
        <w:t xml:space="preserve"> number of applications</w:t>
      </w:r>
    </w:p>
    <w:p w14:paraId="524248FC" w14:textId="77777777" w:rsidR="003F67BE" w:rsidRPr="00D04F89" w:rsidRDefault="003F67BE" w:rsidP="00D04F89">
      <w:pPr>
        <w:pStyle w:val="Heading1"/>
      </w:pPr>
      <w:bookmarkStart w:id="181" w:name="_Toc531181108"/>
      <w:bookmarkStart w:id="182" w:name="_Toc7561294"/>
      <w:bookmarkStart w:id="183" w:name="_Toc229751426"/>
      <w:r w:rsidRPr="00D04F89">
        <w:lastRenderedPageBreak/>
        <w:t>Labelling requirements</w:t>
      </w:r>
      <w:bookmarkEnd w:id="181"/>
      <w:bookmarkEnd w:id="182"/>
      <w:bookmarkEnd w:id="183"/>
    </w:p>
    <w:p w14:paraId="23E9FD02" w14:textId="77777777" w:rsidR="00FC4174" w:rsidRDefault="00FC4174" w:rsidP="00C50D46">
      <w:pPr>
        <w:pStyle w:val="APVMAText"/>
      </w:pPr>
    </w:p>
    <w:p w14:paraId="629C0287" w14:textId="77777777" w:rsidR="00FC4174" w:rsidRDefault="00FC4174" w:rsidP="007A3598">
      <w:pPr>
        <w:pStyle w:val="NormalText"/>
        <w:jc w:val="center"/>
      </w:pPr>
      <w:r>
        <w:t>CAUTION</w:t>
      </w:r>
    </w:p>
    <w:p w14:paraId="1619D5DA" w14:textId="77777777" w:rsidR="00FC4174" w:rsidRPr="00125CBA" w:rsidRDefault="00FC4174" w:rsidP="007A3598">
      <w:pPr>
        <w:pStyle w:val="NormalText"/>
        <w:jc w:val="center"/>
      </w:pPr>
      <w:r w:rsidRPr="00125CBA">
        <w:t>KEEP OUT OR REACH OF CHILDREN</w:t>
      </w:r>
    </w:p>
    <w:p w14:paraId="782DD9BE" w14:textId="77777777" w:rsidR="00FC4174" w:rsidRPr="00125CBA" w:rsidRDefault="00FC4174" w:rsidP="007A3598">
      <w:pPr>
        <w:pStyle w:val="NormalText"/>
        <w:jc w:val="center"/>
      </w:pPr>
      <w:r w:rsidRPr="00125CBA">
        <w:t>READ THE DIRECTIONS BEFORE OPENING OR USING</w:t>
      </w:r>
    </w:p>
    <w:p w14:paraId="707D964F" w14:textId="38CD612C" w:rsidR="00FC4174" w:rsidRPr="007A3598" w:rsidRDefault="007A3598" w:rsidP="007A3598">
      <w:pPr>
        <w:pStyle w:val="NormalText"/>
        <w:jc w:val="center"/>
        <w:rPr>
          <w:b/>
          <w:bCs/>
          <w:sz w:val="28"/>
          <w:szCs w:val="28"/>
        </w:rPr>
      </w:pPr>
      <w:r w:rsidRPr="007A3598">
        <w:rPr>
          <w:b/>
          <w:bCs/>
          <w:sz w:val="28"/>
          <w:szCs w:val="28"/>
        </w:rPr>
        <w:t>1,4 Sight Potato Dormancy Enhancer</w:t>
      </w:r>
    </w:p>
    <w:p w14:paraId="1CFC4B2A" w14:textId="77777777" w:rsidR="00FC4174" w:rsidRPr="00125CBA" w:rsidRDefault="00FC4174" w:rsidP="007A3598">
      <w:pPr>
        <w:pStyle w:val="NormalText"/>
        <w:jc w:val="center"/>
      </w:pPr>
    </w:p>
    <w:p w14:paraId="15DC447B" w14:textId="00D4A11F" w:rsidR="00FC4174" w:rsidRPr="006E1176" w:rsidRDefault="00FC4174" w:rsidP="007A3598">
      <w:pPr>
        <w:pStyle w:val="NormalText"/>
        <w:jc w:val="center"/>
        <w:rPr>
          <w:rFonts w:cs="Helvetica"/>
          <w:color w:val="141413"/>
          <w:sz w:val="22"/>
          <w:szCs w:val="28"/>
        </w:rPr>
      </w:pPr>
      <w:r w:rsidRPr="006E1176">
        <w:rPr>
          <w:rFonts w:cs="Helvetica"/>
          <w:color w:val="141413"/>
          <w:sz w:val="22"/>
          <w:szCs w:val="28"/>
        </w:rPr>
        <w:t xml:space="preserve">ACTIVE CONSTITUENT: </w:t>
      </w:r>
      <w:r>
        <w:rPr>
          <w:rFonts w:cs="Helvetica"/>
          <w:color w:val="141413"/>
          <w:sz w:val="22"/>
          <w:szCs w:val="28"/>
        </w:rPr>
        <w:t>980 g/</w:t>
      </w:r>
      <w:r w:rsidR="008F60FB">
        <w:rPr>
          <w:rFonts w:cs="Helvetica"/>
          <w:color w:val="141413"/>
          <w:sz w:val="22"/>
          <w:szCs w:val="28"/>
        </w:rPr>
        <w:t>kg</w:t>
      </w:r>
      <w:r>
        <w:rPr>
          <w:rFonts w:cs="Helvetica"/>
          <w:color w:val="141413"/>
          <w:sz w:val="22"/>
          <w:szCs w:val="28"/>
        </w:rPr>
        <w:t xml:space="preserve"> 1,4-DIMETHYLNAPHTHALENE</w:t>
      </w:r>
    </w:p>
    <w:p w14:paraId="3E3BDB54" w14:textId="77777777" w:rsidR="00FC4174" w:rsidRPr="00125CBA" w:rsidRDefault="00FC4174" w:rsidP="007A3598">
      <w:pPr>
        <w:pStyle w:val="NormalText"/>
        <w:jc w:val="center"/>
        <w:rPr>
          <w:rFonts w:cs="Helvetica"/>
          <w:color w:val="141413"/>
          <w:sz w:val="28"/>
          <w:szCs w:val="28"/>
        </w:rPr>
      </w:pPr>
    </w:p>
    <w:p w14:paraId="195A0BA5" w14:textId="77777777" w:rsidR="00FC4174" w:rsidRDefault="00FC4174" w:rsidP="007A3598">
      <w:pPr>
        <w:pStyle w:val="NormalText"/>
        <w:jc w:val="center"/>
      </w:pPr>
      <w:r>
        <w:t>To enhance dormancy and control sprouting of potatoes in storage as per the Directions for Use Table</w:t>
      </w:r>
    </w:p>
    <w:p w14:paraId="2E7D8286" w14:textId="77777777" w:rsidR="00FC4174" w:rsidRDefault="00FC4174" w:rsidP="007A3598">
      <w:pPr>
        <w:pStyle w:val="NormalText"/>
        <w:jc w:val="center"/>
      </w:pPr>
    </w:p>
    <w:p w14:paraId="27448A42" w14:textId="6231324B" w:rsidR="00FC4174" w:rsidRDefault="00FC4174" w:rsidP="00C50D46">
      <w:pPr>
        <w:pStyle w:val="NormalText"/>
        <w:jc w:val="center"/>
        <w:rPr>
          <w:b/>
          <w:color w:val="000000"/>
        </w:rPr>
      </w:pPr>
      <w:r>
        <w:t xml:space="preserve">Contents: </w:t>
      </w:r>
      <w:r w:rsidR="00C24A62">
        <w:t xml:space="preserve">10L - </w:t>
      </w:r>
      <w:r w:rsidR="00657DA9">
        <w:t>2</w:t>
      </w:r>
      <w:r>
        <w:t>0L</w:t>
      </w:r>
      <w:r>
        <w:rPr>
          <w:b/>
          <w:color w:val="000000"/>
        </w:rPr>
        <w:br w:type="page"/>
      </w:r>
    </w:p>
    <w:p w14:paraId="36F2C950" w14:textId="6F9D17F4" w:rsidR="00FC4174" w:rsidRPr="007A3598" w:rsidRDefault="00FC4174" w:rsidP="007A3598">
      <w:pPr>
        <w:pStyle w:val="NormalText"/>
        <w:rPr>
          <w:b/>
          <w:bCs/>
        </w:rPr>
      </w:pPr>
      <w:r w:rsidRPr="007A3598">
        <w:rPr>
          <w:b/>
          <w:bCs/>
        </w:rPr>
        <w:lastRenderedPageBreak/>
        <w:t>DIRECTIONS FOR USE</w:t>
      </w:r>
    </w:p>
    <w:p w14:paraId="2DAFACF3" w14:textId="20E3F5A8" w:rsidR="00FC4174" w:rsidRDefault="00FC4174" w:rsidP="007A3598">
      <w:pPr>
        <w:pStyle w:val="NormalText"/>
      </w:pPr>
      <w:r w:rsidRPr="00125CBA">
        <w:t>RESTRAINTS</w:t>
      </w:r>
      <w:r w:rsidR="00023B7E">
        <w:br/>
      </w:r>
      <w:r w:rsidRPr="00125CBA">
        <w:t xml:space="preserve">DO NOT </w:t>
      </w:r>
      <w:r>
        <w:t>treat wet, damaged or rotting potatoes.</w:t>
      </w:r>
      <w:r w:rsidR="00023B7E">
        <w:br/>
      </w:r>
      <w:r w:rsidR="00657DA9" w:rsidRPr="00657DA9">
        <w:t>DO NOT use on or near seed potatoes within 30 days of seed planting.</w:t>
      </w:r>
      <w:r w:rsidR="00023B7E">
        <w:br/>
      </w:r>
      <w:r w:rsidR="00657DA9" w:rsidRPr="00657DA9">
        <w:t>DO NOT apply to field potatoes.</w:t>
      </w:r>
      <w:r w:rsidR="00023B7E">
        <w:br/>
      </w:r>
      <w:r w:rsidR="00657DA9" w:rsidRPr="00657DA9">
        <w:t>DO NOT allow spray to directly contact potatoes</w:t>
      </w:r>
    </w:p>
    <w:p w14:paraId="120851F9" w14:textId="77777777" w:rsidR="00657DA9" w:rsidRDefault="00657DA9" w:rsidP="00657DA9">
      <w:pPr>
        <w:widowControl w:val="0"/>
        <w:autoSpaceDE w:val="0"/>
        <w:autoSpaceDN w:val="0"/>
        <w:adjustRightInd w:val="0"/>
        <w:rPr>
          <w:rFonts w:cs="Helvetica"/>
          <w:color w:val="141413"/>
          <w:szCs w:val="17"/>
        </w:rPr>
      </w:pPr>
    </w:p>
    <w:tbl>
      <w:tblPr>
        <w:tblStyle w:val="TableGrid"/>
        <w:tblW w:w="9776" w:type="dxa"/>
        <w:tblLook w:val="04A0" w:firstRow="1" w:lastRow="0" w:firstColumn="1" w:lastColumn="0" w:noHBand="0" w:noVBand="1"/>
      </w:tblPr>
      <w:tblGrid>
        <w:gridCol w:w="1705"/>
        <w:gridCol w:w="2070"/>
        <w:gridCol w:w="6001"/>
      </w:tblGrid>
      <w:tr w:rsidR="00FC4174" w14:paraId="487D233A" w14:textId="77777777" w:rsidTr="007A3598">
        <w:trPr>
          <w:trHeight w:val="593"/>
        </w:trPr>
        <w:tc>
          <w:tcPr>
            <w:tcW w:w="1705" w:type="dxa"/>
          </w:tcPr>
          <w:p w14:paraId="478AB0FB" w14:textId="77777777" w:rsidR="00FC4174" w:rsidRPr="007A3598" w:rsidRDefault="00FC4174" w:rsidP="007A3598">
            <w:pPr>
              <w:pStyle w:val="NormalText"/>
              <w:rPr>
                <w:b/>
                <w:bCs/>
              </w:rPr>
            </w:pPr>
            <w:r w:rsidRPr="007A3598">
              <w:rPr>
                <w:b/>
                <w:bCs/>
              </w:rPr>
              <w:t>Crop</w:t>
            </w:r>
          </w:p>
        </w:tc>
        <w:tc>
          <w:tcPr>
            <w:tcW w:w="2070" w:type="dxa"/>
          </w:tcPr>
          <w:p w14:paraId="2EB46AB2" w14:textId="77777777" w:rsidR="00FC4174" w:rsidRPr="007A3598" w:rsidRDefault="00FC4174" w:rsidP="007A3598">
            <w:pPr>
              <w:pStyle w:val="NormalText"/>
              <w:rPr>
                <w:b/>
                <w:bCs/>
              </w:rPr>
            </w:pPr>
            <w:r w:rsidRPr="007A3598">
              <w:rPr>
                <w:b/>
                <w:bCs/>
              </w:rPr>
              <w:t>Rate</w:t>
            </w:r>
          </w:p>
        </w:tc>
        <w:tc>
          <w:tcPr>
            <w:tcW w:w="6001" w:type="dxa"/>
          </w:tcPr>
          <w:p w14:paraId="5A6DFC83" w14:textId="77777777" w:rsidR="00FC4174" w:rsidRPr="007A3598" w:rsidRDefault="00FC4174" w:rsidP="007A3598">
            <w:pPr>
              <w:pStyle w:val="NormalText"/>
              <w:rPr>
                <w:b/>
                <w:bCs/>
              </w:rPr>
            </w:pPr>
            <w:r w:rsidRPr="007A3598">
              <w:rPr>
                <w:b/>
                <w:bCs/>
              </w:rPr>
              <w:t>Critical Comments</w:t>
            </w:r>
          </w:p>
        </w:tc>
      </w:tr>
      <w:tr w:rsidR="00FC4174" w14:paraId="27A1856E" w14:textId="77777777" w:rsidTr="007A3598">
        <w:tc>
          <w:tcPr>
            <w:tcW w:w="1705" w:type="dxa"/>
          </w:tcPr>
          <w:p w14:paraId="03BD48A8" w14:textId="77777777" w:rsidR="00FC4174" w:rsidRDefault="00FC4174" w:rsidP="007A3598">
            <w:pPr>
              <w:pStyle w:val="NormalText"/>
            </w:pPr>
            <w:r>
              <w:t>Potatoes (post harvest use)</w:t>
            </w:r>
          </w:p>
          <w:p w14:paraId="0F990DAE" w14:textId="77777777" w:rsidR="00FC4174" w:rsidRDefault="00FC4174" w:rsidP="007A3598">
            <w:pPr>
              <w:pStyle w:val="NormalText"/>
            </w:pPr>
          </w:p>
          <w:p w14:paraId="7DAE8BF9" w14:textId="77777777" w:rsidR="00FC4174" w:rsidRDefault="00FC4174" w:rsidP="007A3598">
            <w:pPr>
              <w:pStyle w:val="NormalText"/>
            </w:pPr>
            <w:r>
              <w:t>NOT seed potatoes</w:t>
            </w:r>
          </w:p>
        </w:tc>
        <w:tc>
          <w:tcPr>
            <w:tcW w:w="2070" w:type="dxa"/>
          </w:tcPr>
          <w:p w14:paraId="5AC129AE" w14:textId="252FA813" w:rsidR="00FC4174" w:rsidRDefault="00484BCF" w:rsidP="007A3598">
            <w:pPr>
              <w:pStyle w:val="NormalText"/>
            </w:pPr>
            <w:r w:rsidRPr="00484BCF">
              <w:t>20 mL per 1000 kg of stored potatoes</w:t>
            </w:r>
          </w:p>
        </w:tc>
        <w:tc>
          <w:tcPr>
            <w:tcW w:w="6001" w:type="dxa"/>
          </w:tcPr>
          <w:p w14:paraId="7A624943" w14:textId="6DE11CD5" w:rsidR="00FC4174" w:rsidRDefault="00484BCF" w:rsidP="007A3598">
            <w:pPr>
              <w:pStyle w:val="NormalText"/>
            </w:pPr>
            <w:r w:rsidRPr="00484BCF">
              <w:t>This product is applied via specialised hot or cold thermal fogging equipment.</w:t>
            </w:r>
            <w:r w:rsidR="007E031E">
              <w:br/>
            </w:r>
            <w:r w:rsidRPr="00484BCF">
              <w:t>Apply any time after potatoes are placed into the storage area and are dry.</w:t>
            </w:r>
            <w:r w:rsidR="007E031E">
              <w:br/>
            </w:r>
            <w:r w:rsidRPr="00484BCF">
              <w:t>Potatoes can be retreated as necessary for effective control but DO NOT exceed a maximum of 6 treatments at 4 to 6-week intervals.</w:t>
            </w:r>
            <w:r w:rsidR="007E031E">
              <w:br/>
            </w:r>
            <w:r w:rsidRPr="00484BCF">
              <w:t>DO NOT exceed a total dose of 120 mL/1000 kg per season.</w:t>
            </w:r>
          </w:p>
        </w:tc>
      </w:tr>
    </w:tbl>
    <w:p w14:paraId="6ACC5617" w14:textId="018F6C96" w:rsidR="00FC4174" w:rsidRPr="007E031E" w:rsidRDefault="00FC4174" w:rsidP="007E031E">
      <w:pPr>
        <w:pStyle w:val="NormalText"/>
        <w:jc w:val="center"/>
        <w:rPr>
          <w:b/>
          <w:bCs/>
        </w:rPr>
      </w:pPr>
      <w:r w:rsidRPr="007E031E">
        <w:rPr>
          <w:b/>
          <w:bCs/>
        </w:rPr>
        <w:t>NOT TO BE USED FOR ANY PURPOSE OR IN ANY MANNER CONTRARY TO THIS LABEL UNLESS AUTHORISED UNDER APPROPRIATE LEGISLATION</w:t>
      </w:r>
    </w:p>
    <w:p w14:paraId="583677F4" w14:textId="716BC9BB" w:rsidR="00F178C4" w:rsidRPr="00023B7E" w:rsidRDefault="00FC4174" w:rsidP="00023B7E">
      <w:pPr>
        <w:pStyle w:val="NormalText"/>
        <w:rPr>
          <w:b/>
          <w:bCs/>
        </w:rPr>
      </w:pPr>
      <w:r w:rsidRPr="007A3598">
        <w:rPr>
          <w:b/>
          <w:bCs/>
        </w:rPr>
        <w:t>WITHHOLDING PERIOD – NOT REQUIRED WHEN USED AS DIRECTED</w:t>
      </w:r>
    </w:p>
    <w:p w14:paraId="3C7361AB" w14:textId="63E45700" w:rsidR="00F178C4" w:rsidRPr="007A3598" w:rsidRDefault="00F178C4" w:rsidP="007A3598">
      <w:pPr>
        <w:pStyle w:val="NormalText"/>
        <w:spacing w:line="360" w:lineRule="auto"/>
      </w:pPr>
      <w:r w:rsidRPr="00F178C4">
        <w:t>LIVESTOCK DESTINED FOR EXPORT MARKETS</w:t>
      </w:r>
      <w:r w:rsidR="007A3598">
        <w:br/>
      </w:r>
      <w:r w:rsidRPr="00F178C4">
        <w:rPr>
          <w:bCs/>
        </w:rPr>
        <w:t>The withholding period only applies to stock slaughtered for the domestic market. Some</w:t>
      </w:r>
      <w:r w:rsidR="007A3598">
        <w:t xml:space="preserve"> </w:t>
      </w:r>
      <w:r w:rsidRPr="00F178C4">
        <w:rPr>
          <w:bCs/>
        </w:rPr>
        <w:t>export markets apply different standards. To meet these standards, ensure that in addition</w:t>
      </w:r>
      <w:r w:rsidR="007A3598">
        <w:t xml:space="preserve"> </w:t>
      </w:r>
      <w:r w:rsidRPr="00F178C4">
        <w:rPr>
          <w:bCs/>
        </w:rPr>
        <w:t>to complying with the withholding period, the export slaughter interval is observed before</w:t>
      </w:r>
      <w:r w:rsidR="007A3598">
        <w:t xml:space="preserve"> </w:t>
      </w:r>
      <w:r w:rsidRPr="00F178C4">
        <w:rPr>
          <w:bCs/>
        </w:rPr>
        <w:t>stock are sold or slaughtered.</w:t>
      </w:r>
    </w:p>
    <w:p w14:paraId="46941E10" w14:textId="7BD33A2D" w:rsidR="00F178C4" w:rsidRPr="00023B7E" w:rsidRDefault="00F178C4" w:rsidP="00023B7E">
      <w:pPr>
        <w:pStyle w:val="NormalText"/>
      </w:pPr>
      <w:r w:rsidRPr="00F178C4">
        <w:t>EXPORT SLAUGHTER INTERVAL:</w:t>
      </w:r>
      <w:r w:rsidR="007A3598">
        <w:br/>
      </w:r>
      <w:r w:rsidRPr="00F178C4">
        <w:rPr>
          <w:bCs/>
        </w:rPr>
        <w:t>Livestock that has been fed treated potatoes should be placed on clean feed for 7 days</w:t>
      </w:r>
      <w:r w:rsidR="007A3598">
        <w:rPr>
          <w:bCs/>
        </w:rPr>
        <w:t xml:space="preserve"> </w:t>
      </w:r>
      <w:r w:rsidRPr="00F178C4">
        <w:rPr>
          <w:bCs/>
        </w:rPr>
        <w:t>prior to slaughter</w:t>
      </w:r>
    </w:p>
    <w:p w14:paraId="28BB7F3B" w14:textId="77777777" w:rsidR="007A3598" w:rsidRDefault="009A4F9A" w:rsidP="007A3598">
      <w:pPr>
        <w:pStyle w:val="NormalText"/>
        <w:rPr>
          <w:b/>
          <w:bCs/>
        </w:rPr>
      </w:pPr>
      <w:r w:rsidRPr="007A3598">
        <w:rPr>
          <w:b/>
          <w:bCs/>
        </w:rPr>
        <w:t>GENERAL INSTRUCTIONS</w:t>
      </w:r>
    </w:p>
    <w:p w14:paraId="1C60304F" w14:textId="04031AC3" w:rsidR="00741B87" w:rsidRPr="00F26F32" w:rsidRDefault="00C24A62" w:rsidP="00F26F32">
      <w:pPr>
        <w:pStyle w:val="NormalText"/>
        <w:spacing w:line="360" w:lineRule="auto"/>
        <w:rPr>
          <w:b/>
          <w:bCs/>
        </w:rPr>
      </w:pPr>
      <w:r w:rsidRPr="00C24A62">
        <w:rPr>
          <w:bCs/>
        </w:rPr>
        <w:t>1,4SIGHT® is applied via specialised fogging equipment to stored potatoes to enhance</w:t>
      </w:r>
      <w:r w:rsidR="007A3598">
        <w:rPr>
          <w:b/>
          <w:bCs/>
        </w:rPr>
        <w:t xml:space="preserve"> </w:t>
      </w:r>
      <w:r w:rsidRPr="00C24A62">
        <w:rPr>
          <w:bCs/>
        </w:rPr>
        <w:t>dormancy and prevent sprouting.</w:t>
      </w:r>
      <w:r w:rsidR="007A3598">
        <w:rPr>
          <w:b/>
          <w:bCs/>
        </w:rPr>
        <w:t xml:space="preserve"> </w:t>
      </w:r>
      <w:r w:rsidRPr="00C24A62">
        <w:rPr>
          <w:bCs/>
        </w:rPr>
        <w:t>For specific details about the application equipment please contact your distributor/supplier</w:t>
      </w:r>
      <w:r w:rsidR="007A3598">
        <w:rPr>
          <w:b/>
          <w:bCs/>
        </w:rPr>
        <w:t xml:space="preserve"> </w:t>
      </w:r>
      <w:r w:rsidRPr="00C24A62">
        <w:rPr>
          <w:bCs/>
        </w:rPr>
        <w:t>of 1,4SIGHT®.</w:t>
      </w:r>
      <w:r w:rsidR="00F26F32">
        <w:rPr>
          <w:b/>
          <w:bCs/>
        </w:rPr>
        <w:br/>
      </w:r>
      <w:r w:rsidRPr="007A3598">
        <w:t>Important Note: This sprout suppressant and dormancy enhancing product has not been</w:t>
      </w:r>
      <w:r w:rsidR="007A3598" w:rsidRPr="007A3598">
        <w:t xml:space="preserve"> </w:t>
      </w:r>
      <w:r w:rsidRPr="007A3598">
        <w:t>tested on all potato cultivars grown in Australia.</w:t>
      </w:r>
    </w:p>
    <w:p w14:paraId="08ED9F2F" w14:textId="0856629A" w:rsidR="00C24A62" w:rsidRPr="00023B7E" w:rsidRDefault="00C24A62" w:rsidP="007A3598">
      <w:pPr>
        <w:pStyle w:val="NormalText"/>
        <w:rPr>
          <w:b/>
          <w:bCs/>
        </w:rPr>
      </w:pPr>
      <w:r w:rsidRPr="007A3598">
        <w:rPr>
          <w:b/>
          <w:bCs/>
        </w:rPr>
        <w:t>Application Timing and Rates</w:t>
      </w:r>
      <w:r w:rsidR="00F26F32">
        <w:rPr>
          <w:b/>
          <w:bCs/>
        </w:rPr>
        <w:br/>
      </w:r>
      <w:r w:rsidRPr="00741B87">
        <w:rPr>
          <w:bCs/>
          <w:i/>
          <w:iCs/>
        </w:rPr>
        <w:t>Application:</w:t>
      </w:r>
      <w:r w:rsidR="00023B7E">
        <w:rPr>
          <w:b/>
          <w:bCs/>
        </w:rPr>
        <w:br/>
      </w:r>
      <w:r w:rsidRPr="00C24A62">
        <w:rPr>
          <w:bCs/>
        </w:rPr>
        <w:lastRenderedPageBreak/>
        <w:t>1,4SIGHT® must ONLY be applied to stored ware potatoes or to stored potatoes that will</w:t>
      </w:r>
      <w:r w:rsidR="007A3598">
        <w:rPr>
          <w:bCs/>
        </w:rPr>
        <w:t xml:space="preserve"> </w:t>
      </w:r>
      <w:r w:rsidRPr="00C24A62">
        <w:rPr>
          <w:bCs/>
        </w:rPr>
        <w:t>be processed commercially.</w:t>
      </w:r>
    </w:p>
    <w:p w14:paraId="720A9E4E" w14:textId="703C5FA7" w:rsidR="00741B87" w:rsidRPr="00023B7E" w:rsidRDefault="00C24A62" w:rsidP="00023B7E">
      <w:pPr>
        <w:pStyle w:val="NormalText"/>
        <w:rPr>
          <w:bCs/>
        </w:rPr>
      </w:pPr>
      <w:r w:rsidRPr="00C24A62">
        <w:rPr>
          <w:bCs/>
        </w:rPr>
        <w:t>1,4SIGHT® must ONLY be applied through hot or cold fogging equipment that permits</w:t>
      </w:r>
      <w:r w:rsidR="007A3598">
        <w:rPr>
          <w:bCs/>
        </w:rPr>
        <w:t xml:space="preserve"> </w:t>
      </w:r>
      <w:r w:rsidRPr="00C24A62">
        <w:rPr>
          <w:bCs/>
        </w:rPr>
        <w:t>accurate monitoring and control of the throughput during application.</w:t>
      </w:r>
    </w:p>
    <w:p w14:paraId="73A0F0F5" w14:textId="2C678722" w:rsidR="00741B87" w:rsidRPr="00D04F89" w:rsidRDefault="00C24A62" w:rsidP="00D04F89">
      <w:pPr>
        <w:pStyle w:val="NormalText"/>
      </w:pPr>
      <w:r w:rsidRPr="00741B87">
        <w:rPr>
          <w:i/>
          <w:iCs/>
        </w:rPr>
        <w:t>Application Timing</w:t>
      </w:r>
      <w:r w:rsidRPr="00C24A62">
        <w:t>: Application of 1,4SIGHT® can be made any time after the potatoes</w:t>
      </w:r>
      <w:r w:rsidR="00023B7E">
        <w:t xml:space="preserve"> </w:t>
      </w:r>
      <w:r w:rsidRPr="00C24A62">
        <w:t>are placed in the storage area and the potatoes have dried. Ideally, apply before signs of</w:t>
      </w:r>
      <w:r w:rsidR="00023B7E">
        <w:t xml:space="preserve"> </w:t>
      </w:r>
      <w:r w:rsidRPr="00C24A62">
        <w:t>sprouting.</w:t>
      </w:r>
      <w:r w:rsidR="00023B7E">
        <w:br/>
      </w:r>
      <w:r w:rsidRPr="00C24A62">
        <w:t>The treatment may be applied before, during, or after the wound healing period.</w:t>
      </w:r>
      <w:r w:rsidR="00023B7E">
        <w:br/>
      </w:r>
      <w:r w:rsidRPr="00741B87">
        <w:rPr>
          <w:i/>
          <w:iCs/>
        </w:rPr>
        <w:t>Application Rates</w:t>
      </w:r>
      <w:r w:rsidRPr="00C24A62">
        <w:t>: Apply at a rate of 20 mL per 1000 kg of stored potatoes, with a</w:t>
      </w:r>
      <w:r w:rsidR="00023B7E">
        <w:t xml:space="preserve"> </w:t>
      </w:r>
      <w:r w:rsidRPr="00C24A62">
        <w:t>maximum of 6 applications and at intervals of 4-6 weeks.</w:t>
      </w:r>
    </w:p>
    <w:p w14:paraId="3F660A85" w14:textId="7CEEE3AA" w:rsidR="00C24A62" w:rsidRPr="00023B7E" w:rsidRDefault="00C24A62" w:rsidP="00023B7E">
      <w:pPr>
        <w:pStyle w:val="NormalText"/>
        <w:rPr>
          <w:b/>
          <w:bCs/>
        </w:rPr>
      </w:pPr>
      <w:r w:rsidRPr="00023B7E">
        <w:rPr>
          <w:b/>
          <w:bCs/>
        </w:rPr>
        <w:t>Application Guidelines</w:t>
      </w:r>
    </w:p>
    <w:p w14:paraId="5FA62D2B" w14:textId="25F00E37" w:rsidR="00C24A62" w:rsidRPr="00C24A62" w:rsidRDefault="00C24A62" w:rsidP="00023B7E">
      <w:pPr>
        <w:pStyle w:val="NormalText"/>
        <w:spacing w:line="276" w:lineRule="auto"/>
        <w:rPr>
          <w:bCs/>
        </w:rPr>
      </w:pPr>
      <w:r w:rsidRPr="00C24A62">
        <w:rPr>
          <w:bCs/>
        </w:rPr>
        <w:t>Preparation of storage space and treatment</w:t>
      </w:r>
      <w:r w:rsidR="00023B7E">
        <w:rPr>
          <w:bCs/>
        </w:rPr>
        <w:br/>
      </w:r>
      <w:r w:rsidRPr="00C24A62">
        <w:rPr>
          <w:bCs/>
        </w:rPr>
        <w:t>1. Potatoes intended for storage must be mature and free of disease.</w:t>
      </w:r>
      <w:r w:rsidR="00023B7E">
        <w:rPr>
          <w:bCs/>
        </w:rPr>
        <w:br/>
      </w:r>
      <w:r w:rsidRPr="00C24A62">
        <w:rPr>
          <w:bCs/>
        </w:rPr>
        <w:t>2. Stores should be filled to designed capacity to ensure efficient use of product.</w:t>
      </w:r>
      <w:r w:rsidR="00023B7E">
        <w:rPr>
          <w:bCs/>
        </w:rPr>
        <w:br/>
      </w:r>
      <w:r w:rsidRPr="00C24A62">
        <w:rPr>
          <w:bCs/>
        </w:rPr>
        <w:t>3. For improved efficacy and efficiency, potatoes should be dry (minimum surface moisture)</w:t>
      </w:r>
      <w:r w:rsidR="00023B7E">
        <w:rPr>
          <w:bCs/>
        </w:rPr>
        <w:t xml:space="preserve"> </w:t>
      </w:r>
      <w:r w:rsidRPr="00C24A62">
        <w:rPr>
          <w:bCs/>
        </w:rPr>
        <w:t>and as free from soil as possible. This ensures optimal absorption of the active substance</w:t>
      </w:r>
      <w:r w:rsidR="00023B7E">
        <w:rPr>
          <w:bCs/>
        </w:rPr>
        <w:t xml:space="preserve"> </w:t>
      </w:r>
      <w:r w:rsidRPr="00C24A62">
        <w:rPr>
          <w:bCs/>
        </w:rPr>
        <w:t>into the potato.</w:t>
      </w:r>
      <w:r w:rsidR="00023B7E">
        <w:rPr>
          <w:bCs/>
        </w:rPr>
        <w:br/>
      </w:r>
      <w:r w:rsidRPr="00C24A62">
        <w:rPr>
          <w:bCs/>
        </w:rPr>
        <w:t>4. It is not necessary that the wound healing is finalised before treatment with 1,4SIGHT®.</w:t>
      </w:r>
      <w:r w:rsidR="00023B7E">
        <w:rPr>
          <w:bCs/>
        </w:rPr>
        <w:br/>
      </w:r>
      <w:r w:rsidRPr="00C24A62">
        <w:rPr>
          <w:bCs/>
        </w:rPr>
        <w:t>5. Prior to application of 1,4SIGHT®, ensure store air, fridge (if fitted) and store fabrics are</w:t>
      </w:r>
      <w:r w:rsidR="00023B7E">
        <w:rPr>
          <w:bCs/>
        </w:rPr>
        <w:t xml:space="preserve"> </w:t>
      </w:r>
      <w:r w:rsidRPr="00C24A62">
        <w:rPr>
          <w:bCs/>
        </w:rPr>
        <w:t>all about the same temperature. This will avoid 1,4SIGHT® from condensing in store, which</w:t>
      </w:r>
      <w:r w:rsidR="00023B7E">
        <w:rPr>
          <w:bCs/>
        </w:rPr>
        <w:t xml:space="preserve"> </w:t>
      </w:r>
      <w:r w:rsidRPr="00C24A62">
        <w:rPr>
          <w:bCs/>
        </w:rPr>
        <w:t>may cause damage on potatoes and materials.</w:t>
      </w:r>
      <w:r w:rsidR="00023B7E">
        <w:rPr>
          <w:bCs/>
        </w:rPr>
        <w:br/>
      </w:r>
      <w:r w:rsidRPr="00C24A62">
        <w:rPr>
          <w:bCs/>
        </w:rPr>
        <w:t>6. Ensure all doors, louvers and ducts are sealed prior to application to avoid leakage.</w:t>
      </w:r>
      <w:r w:rsidR="00023B7E">
        <w:rPr>
          <w:bCs/>
        </w:rPr>
        <w:br/>
      </w:r>
      <w:r w:rsidRPr="00C24A62">
        <w:rPr>
          <w:bCs/>
        </w:rPr>
        <w:t>7. If appropriate, during application, use air recirculation within the store to aid distribution.</w:t>
      </w:r>
      <w:r w:rsidR="00023B7E">
        <w:rPr>
          <w:bCs/>
        </w:rPr>
        <w:br/>
      </w:r>
      <w:r w:rsidRPr="00C24A62">
        <w:rPr>
          <w:bCs/>
        </w:rPr>
        <w:t>The most effective way of doing this is with adjustable fans to reduce the air speed.</w:t>
      </w:r>
      <w:r w:rsidR="00023B7E">
        <w:rPr>
          <w:bCs/>
        </w:rPr>
        <w:br/>
      </w:r>
      <w:r w:rsidRPr="00C24A62">
        <w:rPr>
          <w:bCs/>
        </w:rPr>
        <w:t>8. Ensure 1,4SIGHT® is applied as a dry fog, to ensure vaporisation and distribution. This</w:t>
      </w:r>
      <w:r w:rsidR="00023B7E">
        <w:rPr>
          <w:bCs/>
        </w:rPr>
        <w:t xml:space="preserve"> </w:t>
      </w:r>
      <w:r w:rsidRPr="00C24A62">
        <w:rPr>
          <w:bCs/>
        </w:rPr>
        <w:t>will reduce the risk of precipitation and fallout.</w:t>
      </w:r>
      <w:r w:rsidR="00023B7E">
        <w:rPr>
          <w:bCs/>
        </w:rPr>
        <w:br/>
      </w:r>
      <w:r w:rsidRPr="00C24A62">
        <w:rPr>
          <w:bCs/>
        </w:rPr>
        <w:t>9. After application run store fans for 10-30 minutes to aid distribution of 1,4SIGHT®.</w:t>
      </w:r>
      <w:r w:rsidR="00023B7E">
        <w:rPr>
          <w:bCs/>
        </w:rPr>
        <w:br/>
      </w:r>
      <w:r w:rsidRPr="00C24A62">
        <w:rPr>
          <w:bCs/>
        </w:rPr>
        <w:t>10. Store must remain closed for at least 24-48 hours after treatment. This ensures the</w:t>
      </w:r>
      <w:r w:rsidR="00023B7E">
        <w:rPr>
          <w:bCs/>
        </w:rPr>
        <w:t xml:space="preserve"> </w:t>
      </w:r>
      <w:r w:rsidRPr="00C24A62">
        <w:rPr>
          <w:bCs/>
        </w:rPr>
        <w:t>maximum absorption of the vapour into the potatoes. Automated regular internal air</w:t>
      </w:r>
      <w:r w:rsidR="00023B7E">
        <w:rPr>
          <w:bCs/>
        </w:rPr>
        <w:t xml:space="preserve"> </w:t>
      </w:r>
      <w:r w:rsidRPr="00C24A62">
        <w:rPr>
          <w:bCs/>
        </w:rPr>
        <w:t>circulation at reduced speed is helpful, without refrigeration for at least 24 hours.</w:t>
      </w:r>
      <w:r w:rsidR="00023B7E">
        <w:rPr>
          <w:bCs/>
        </w:rPr>
        <w:br/>
      </w:r>
      <w:r w:rsidRPr="00C24A62">
        <w:rPr>
          <w:bCs/>
        </w:rPr>
        <w:t>11. Make sure that neither persons nor animals are in the room during treatment. Take</w:t>
      </w:r>
      <w:r w:rsidR="00023B7E">
        <w:rPr>
          <w:bCs/>
        </w:rPr>
        <w:t xml:space="preserve"> </w:t>
      </w:r>
      <w:r w:rsidRPr="00C24A62">
        <w:rPr>
          <w:bCs/>
        </w:rPr>
        <w:t>every precaution necessary to prevent unauthorized entry of the store during the sealing</w:t>
      </w:r>
      <w:r w:rsidR="00023B7E">
        <w:rPr>
          <w:bCs/>
        </w:rPr>
        <w:t xml:space="preserve"> </w:t>
      </w:r>
      <w:r w:rsidRPr="00C24A62">
        <w:rPr>
          <w:bCs/>
        </w:rPr>
        <w:t>period (24-48 hours) after treatment.</w:t>
      </w:r>
    </w:p>
    <w:p w14:paraId="61077F44" w14:textId="2FB5CAE1" w:rsidR="00741B87" w:rsidRPr="00023B7E" w:rsidRDefault="00C24A62" w:rsidP="00023B7E">
      <w:pPr>
        <w:pStyle w:val="NormalText"/>
      </w:pPr>
      <w:r w:rsidRPr="00C24A62">
        <w:t>1,4SIGHT® has a melting point of 7 to 8°C. Store at 2- 8°C and transport above 8°C.</w:t>
      </w:r>
      <w:r w:rsidR="00023B7E">
        <w:t xml:space="preserve"> </w:t>
      </w:r>
      <w:r w:rsidRPr="00C24A62">
        <w:t>Insulate 1,4SIGHT® container during transportation and use if required</w:t>
      </w:r>
    </w:p>
    <w:p w14:paraId="1A9B848A" w14:textId="371CA58A" w:rsidR="00C24A62" w:rsidRPr="00023B7E" w:rsidRDefault="00C24A62" w:rsidP="00023B7E">
      <w:pPr>
        <w:pStyle w:val="NormalText"/>
        <w:rPr>
          <w:b/>
          <w:bCs/>
        </w:rPr>
      </w:pPr>
      <w:r w:rsidRPr="00023B7E">
        <w:rPr>
          <w:b/>
          <w:bCs/>
        </w:rPr>
        <w:t>Use of equipment</w:t>
      </w:r>
    </w:p>
    <w:p w14:paraId="223A3868" w14:textId="7FACB7DF" w:rsidR="00C24A62" w:rsidRPr="00C24A62" w:rsidRDefault="00C24A62" w:rsidP="00023B7E">
      <w:pPr>
        <w:pStyle w:val="NormalText"/>
        <w:rPr>
          <w:bCs/>
        </w:rPr>
      </w:pPr>
      <w:r w:rsidRPr="00C24A62">
        <w:rPr>
          <w:bCs/>
        </w:rPr>
        <w:t>1. Check and maintain fogging equipment/nozzles at regular intervals. The application</w:t>
      </w:r>
      <w:r w:rsidR="00023B7E">
        <w:rPr>
          <w:bCs/>
        </w:rPr>
        <w:t xml:space="preserve"> </w:t>
      </w:r>
      <w:r w:rsidRPr="00C24A62">
        <w:rPr>
          <w:bCs/>
        </w:rPr>
        <w:t>equipment must be free of residues from previous applications. Follow application</w:t>
      </w:r>
      <w:r w:rsidR="00023B7E">
        <w:rPr>
          <w:bCs/>
        </w:rPr>
        <w:t xml:space="preserve"> </w:t>
      </w:r>
      <w:r w:rsidRPr="00C24A62">
        <w:rPr>
          <w:bCs/>
        </w:rPr>
        <w:t>equipment manufacturers’ recommendations for cleaning.</w:t>
      </w:r>
    </w:p>
    <w:p w14:paraId="6D3CE7F9" w14:textId="77777777" w:rsidR="00023B7E" w:rsidRDefault="00C24A62" w:rsidP="00023B7E">
      <w:pPr>
        <w:pStyle w:val="NormalText"/>
        <w:rPr>
          <w:bCs/>
        </w:rPr>
      </w:pPr>
      <w:r w:rsidRPr="00C24A62">
        <w:rPr>
          <w:bCs/>
        </w:rPr>
        <w:t>2. Prepare and use thermal application equipment outside the store.</w:t>
      </w:r>
    </w:p>
    <w:p w14:paraId="190B3C2A" w14:textId="549C1E5D" w:rsidR="00741B87" w:rsidRPr="00023B7E" w:rsidRDefault="00C24A62" w:rsidP="00023B7E">
      <w:pPr>
        <w:pStyle w:val="NormalText"/>
        <w:rPr>
          <w:bCs/>
        </w:rPr>
      </w:pPr>
      <w:r w:rsidRPr="00C24A62">
        <w:rPr>
          <w:bCs/>
        </w:rPr>
        <w:t>3. If possible, place output of the applicator directly into the store via the application port.</w:t>
      </w:r>
      <w:r w:rsidR="00023B7E">
        <w:rPr>
          <w:bCs/>
        </w:rPr>
        <w:t xml:space="preserve"> </w:t>
      </w:r>
      <w:r w:rsidRPr="00C24A62">
        <w:rPr>
          <w:bCs/>
        </w:rPr>
        <w:t>When using a hose from applicator to store, keep the length to the minimum required and</w:t>
      </w:r>
      <w:r w:rsidR="00023B7E">
        <w:rPr>
          <w:bCs/>
        </w:rPr>
        <w:t xml:space="preserve"> </w:t>
      </w:r>
      <w:r w:rsidRPr="00C24A62">
        <w:rPr>
          <w:bCs/>
        </w:rPr>
        <w:t>secure to avoid movement during the application. This is usually required nearest the fans</w:t>
      </w:r>
      <w:r w:rsidR="00023B7E">
        <w:rPr>
          <w:bCs/>
        </w:rPr>
        <w:t xml:space="preserve"> </w:t>
      </w:r>
      <w:r w:rsidRPr="00C24A62">
        <w:rPr>
          <w:bCs/>
        </w:rPr>
        <w:t>but can vary depending on positioning of the application port and of the individual store.</w:t>
      </w:r>
    </w:p>
    <w:p w14:paraId="052B6D84" w14:textId="5765FA86" w:rsidR="00C24A62" w:rsidRPr="00023B7E" w:rsidRDefault="00C24A62" w:rsidP="00023B7E">
      <w:pPr>
        <w:pStyle w:val="NormalText"/>
        <w:rPr>
          <w:b/>
          <w:bCs/>
        </w:rPr>
      </w:pPr>
      <w:r w:rsidRPr="00023B7E">
        <w:rPr>
          <w:b/>
          <w:bCs/>
        </w:rPr>
        <w:lastRenderedPageBreak/>
        <w:t>Cross contamination</w:t>
      </w:r>
      <w:r w:rsidR="00023B7E">
        <w:rPr>
          <w:b/>
          <w:bCs/>
        </w:rPr>
        <w:br/>
      </w:r>
      <w:r w:rsidRPr="00C24A62">
        <w:rPr>
          <w:bCs/>
        </w:rPr>
        <w:t>During application: 1,4SIGHT® is a volatile product. Avoid movement of atmosphere from</w:t>
      </w:r>
      <w:r w:rsidR="00023B7E">
        <w:rPr>
          <w:bCs/>
        </w:rPr>
        <w:t xml:space="preserve"> </w:t>
      </w:r>
      <w:r w:rsidRPr="00C24A62">
        <w:rPr>
          <w:bCs/>
        </w:rPr>
        <w:t>treated stores to untreated stores used for seed potatoes, seeds, bulbs, or other crops</w:t>
      </w:r>
      <w:r w:rsidR="00023B7E">
        <w:rPr>
          <w:bCs/>
        </w:rPr>
        <w:t xml:space="preserve"> </w:t>
      </w:r>
      <w:r w:rsidRPr="00C24A62">
        <w:rPr>
          <w:bCs/>
        </w:rPr>
        <w:t>which can lead to cross contamination.</w:t>
      </w:r>
      <w:r w:rsidR="00023B7E">
        <w:rPr>
          <w:bCs/>
        </w:rPr>
        <w:br/>
      </w:r>
      <w:r w:rsidRPr="00C24A62">
        <w:rPr>
          <w:bCs/>
        </w:rPr>
        <w:t>After application: Cross contamination can also occur when untreated potatoes, seed</w:t>
      </w:r>
      <w:r w:rsidR="00023B7E">
        <w:rPr>
          <w:bCs/>
        </w:rPr>
        <w:t xml:space="preserve"> </w:t>
      </w:r>
      <w:r w:rsidRPr="00C24A62">
        <w:rPr>
          <w:bCs/>
        </w:rPr>
        <w:t>potatoes, seeds, bulbs, or other crops are stored near potatoes, boxes or stores previously</w:t>
      </w:r>
      <w:r w:rsidR="00023B7E">
        <w:rPr>
          <w:bCs/>
        </w:rPr>
        <w:t xml:space="preserve"> </w:t>
      </w:r>
      <w:r w:rsidRPr="00C24A62">
        <w:rPr>
          <w:bCs/>
        </w:rPr>
        <w:t>treated with 1,4SIGHT®.</w:t>
      </w:r>
    </w:p>
    <w:p w14:paraId="6B13FEB1" w14:textId="32EFAC67" w:rsidR="00FC4174" w:rsidRPr="00023B7E" w:rsidRDefault="00FC4174" w:rsidP="00023B7E">
      <w:pPr>
        <w:pStyle w:val="NormalText"/>
        <w:rPr>
          <w:b/>
          <w:bCs/>
        </w:rPr>
      </w:pPr>
      <w:r w:rsidRPr="00023B7E">
        <w:rPr>
          <w:b/>
          <w:bCs/>
        </w:rPr>
        <w:t>PRECAUTION</w:t>
      </w:r>
      <w:r w:rsidR="00023B7E">
        <w:rPr>
          <w:b/>
          <w:bCs/>
        </w:rPr>
        <w:br/>
      </w:r>
      <w:r w:rsidRPr="00E16BCF">
        <w:rPr>
          <w:bCs/>
        </w:rPr>
        <w:t>Re-entry Period</w:t>
      </w:r>
      <w:r w:rsidR="00023B7E">
        <w:rPr>
          <w:bCs/>
        </w:rPr>
        <w:br/>
      </w:r>
      <w:r w:rsidR="001B04F7" w:rsidRPr="001B04F7">
        <w:rPr>
          <w:bCs/>
        </w:rPr>
        <w:t>DO NOT enter storage areas during application or treatment (prior to ventilation) unless</w:t>
      </w:r>
      <w:r w:rsidR="001B04F7">
        <w:rPr>
          <w:bCs/>
        </w:rPr>
        <w:t xml:space="preserve"> </w:t>
      </w:r>
      <w:r w:rsidR="001B04F7" w:rsidRPr="001B04F7">
        <w:rPr>
          <w:bCs/>
        </w:rPr>
        <w:t>wearing cotton overalls buttoned to the neck and wrist (or equivalent clothing) goggles,</w:t>
      </w:r>
      <w:r w:rsidR="001B04F7">
        <w:rPr>
          <w:bCs/>
        </w:rPr>
        <w:t xml:space="preserve"> </w:t>
      </w:r>
      <w:r w:rsidR="001B04F7" w:rsidRPr="001B04F7">
        <w:rPr>
          <w:bCs/>
        </w:rPr>
        <w:t>respirator and chemical resistant gloves and footwear. Clothing must be laundered after</w:t>
      </w:r>
      <w:r w:rsidR="001B04F7">
        <w:rPr>
          <w:bCs/>
        </w:rPr>
        <w:t xml:space="preserve"> </w:t>
      </w:r>
      <w:r w:rsidR="001B04F7" w:rsidRPr="001B04F7">
        <w:rPr>
          <w:bCs/>
        </w:rPr>
        <w:t>each day’s use.</w:t>
      </w:r>
      <w:r w:rsidR="00023B7E">
        <w:rPr>
          <w:bCs/>
        </w:rPr>
        <w:br/>
      </w:r>
      <w:r w:rsidR="001B04F7" w:rsidRPr="001B04F7">
        <w:rPr>
          <w:bCs/>
        </w:rPr>
        <w:t>After the treatment period, allow the storage area to ventilate for at least 30 minutes with</w:t>
      </w:r>
      <w:r w:rsidR="001B04F7">
        <w:rPr>
          <w:bCs/>
        </w:rPr>
        <w:t xml:space="preserve"> </w:t>
      </w:r>
      <w:r w:rsidR="001B04F7" w:rsidRPr="001B04F7">
        <w:rPr>
          <w:bCs/>
        </w:rPr>
        <w:t>outside air.</w:t>
      </w:r>
      <w:r w:rsidR="00023B7E">
        <w:rPr>
          <w:bCs/>
        </w:rPr>
        <w:br/>
      </w:r>
      <w:r w:rsidR="001B04F7" w:rsidRPr="001B04F7">
        <w:rPr>
          <w:bCs/>
        </w:rPr>
        <w:t>DO NOT allow workers to enter for normal activities until ventilation is complete.</w:t>
      </w:r>
    </w:p>
    <w:p w14:paraId="2BF4957E" w14:textId="57794F4C" w:rsidR="00FC4174" w:rsidRDefault="00FC4174" w:rsidP="00023B7E">
      <w:pPr>
        <w:pStyle w:val="NormalText"/>
        <w:rPr>
          <w:szCs w:val="18"/>
        </w:rPr>
      </w:pPr>
      <w:r w:rsidRPr="00F26F32">
        <w:rPr>
          <w:b/>
          <w:bCs/>
          <w:szCs w:val="18"/>
        </w:rPr>
        <w:t>PROTECTION OF WILDLIFE, FISH, CRUSTACEANS AND ENVIRONMENT</w:t>
      </w:r>
      <w:r w:rsidR="00023B7E">
        <w:rPr>
          <w:szCs w:val="18"/>
        </w:rPr>
        <w:br/>
      </w:r>
      <w:r w:rsidR="00554D67" w:rsidRPr="00554D67">
        <w:rPr>
          <w:szCs w:val="18"/>
        </w:rPr>
        <w:t>Very toxic to aquatic life.</w:t>
      </w:r>
      <w:r w:rsidR="00554D67">
        <w:rPr>
          <w:szCs w:val="18"/>
        </w:rPr>
        <w:t xml:space="preserve"> </w:t>
      </w:r>
      <w:r w:rsidRPr="00265593">
        <w:rPr>
          <w:szCs w:val="18"/>
        </w:rPr>
        <w:t>DO NOT contaminate streams, rivers or watercourses with the chemical or used containers.</w:t>
      </w:r>
    </w:p>
    <w:p w14:paraId="5478E2D8" w14:textId="2F84409F" w:rsidR="001B04F7" w:rsidRPr="00023B7E" w:rsidRDefault="00FC4174" w:rsidP="00023B7E">
      <w:pPr>
        <w:pStyle w:val="NormalText"/>
        <w:rPr>
          <w:b/>
          <w:bCs/>
        </w:rPr>
      </w:pPr>
      <w:r w:rsidRPr="00023B7E">
        <w:rPr>
          <w:b/>
          <w:bCs/>
        </w:rPr>
        <w:t>STORAGE AND DISPOSAL</w:t>
      </w:r>
      <w:r w:rsidR="00023B7E">
        <w:rPr>
          <w:b/>
          <w:bCs/>
        </w:rPr>
        <w:br/>
      </w:r>
      <w:r w:rsidR="001B04F7" w:rsidRPr="001B04F7">
        <w:t>Store in the closed, original container in a cool well-ventilated area. Do not store for</w:t>
      </w:r>
      <w:r w:rsidR="001B04F7">
        <w:t xml:space="preserve"> </w:t>
      </w:r>
      <w:r w:rsidR="001B04F7" w:rsidRPr="001B04F7">
        <w:t>prolonged periods in direct sunlight.</w:t>
      </w:r>
      <w:r w:rsidR="001B04F7">
        <w:t xml:space="preserve"> </w:t>
      </w:r>
      <w:r w:rsidR="001B04F7" w:rsidRPr="001B04F7">
        <w:t>Triple-rinse containers before disposal. Dispose of rinsate according to state/territory</w:t>
      </w:r>
      <w:r w:rsidR="00023B7E">
        <w:rPr>
          <w:b/>
          <w:bCs/>
        </w:rPr>
        <w:t xml:space="preserve"> </w:t>
      </w:r>
      <w:r w:rsidR="001B04F7" w:rsidRPr="001B04F7">
        <w:t>legislative requirements. If recycling, replace cap and return clean containers to recycler</w:t>
      </w:r>
      <w:r w:rsidR="001B04F7">
        <w:t xml:space="preserve"> </w:t>
      </w:r>
      <w:r w:rsidR="001B04F7" w:rsidRPr="001B04F7">
        <w:t>or designated collection point. If not recycling, break, crush or puncture and deliver empty</w:t>
      </w:r>
      <w:r w:rsidR="001B04F7">
        <w:t xml:space="preserve"> </w:t>
      </w:r>
      <w:r w:rsidR="001B04F7" w:rsidRPr="001B04F7">
        <w:t>packaging to an approved waste management facility. If an approved waste management</w:t>
      </w:r>
      <w:r w:rsidR="001B04F7">
        <w:t xml:space="preserve"> </w:t>
      </w:r>
      <w:r w:rsidR="001B04F7" w:rsidRPr="001B04F7">
        <w:t>facility is not available, dispose of empty container or unused product in compliance with</w:t>
      </w:r>
      <w:r w:rsidR="001B04F7">
        <w:t xml:space="preserve"> </w:t>
      </w:r>
      <w:r w:rsidR="001B04F7" w:rsidRPr="001B04F7">
        <w:t>relevant local, state or territory government regulations. DO NOT burn empty containers or</w:t>
      </w:r>
      <w:r w:rsidR="001B04F7">
        <w:t xml:space="preserve"> </w:t>
      </w:r>
      <w:r w:rsidR="001B04F7" w:rsidRPr="001B04F7">
        <w:t>product.</w:t>
      </w:r>
    </w:p>
    <w:p w14:paraId="758A5D61" w14:textId="4C00C456" w:rsidR="00FC4174" w:rsidRPr="00023B7E" w:rsidRDefault="00FC4174" w:rsidP="00023B7E">
      <w:pPr>
        <w:pStyle w:val="NormalText"/>
        <w:rPr>
          <w:b/>
          <w:bCs/>
        </w:rPr>
      </w:pPr>
      <w:r w:rsidRPr="00023B7E">
        <w:rPr>
          <w:b/>
          <w:bCs/>
        </w:rPr>
        <w:t>SAFETY DIRECTIONS</w:t>
      </w:r>
    </w:p>
    <w:p w14:paraId="067A19E3" w14:textId="1109730A" w:rsidR="00FC4174" w:rsidRPr="00023B7E" w:rsidRDefault="00717CF7" w:rsidP="00023B7E">
      <w:pPr>
        <w:pStyle w:val="NormalText"/>
        <w:rPr>
          <w:bCs/>
        </w:rPr>
      </w:pPr>
      <w:r w:rsidRPr="00717CF7">
        <w:rPr>
          <w:bCs/>
        </w:rPr>
        <w:t>Will irritate the eyes</w:t>
      </w:r>
      <w:r w:rsidR="00A902CE">
        <w:rPr>
          <w:bCs/>
        </w:rPr>
        <w:t xml:space="preserve"> and</w:t>
      </w:r>
      <w:r w:rsidRPr="00717CF7">
        <w:rPr>
          <w:bCs/>
        </w:rPr>
        <w:t xml:space="preserve"> skin. Do not inhale vapour. Avoid contact with eyes</w:t>
      </w:r>
      <w:r>
        <w:rPr>
          <w:bCs/>
        </w:rPr>
        <w:t xml:space="preserve"> </w:t>
      </w:r>
      <w:r w:rsidRPr="00717CF7">
        <w:rPr>
          <w:bCs/>
        </w:rPr>
        <w:t>and skin. When opening the container and using the product, wear cotton overalls buttoned</w:t>
      </w:r>
      <w:r>
        <w:rPr>
          <w:bCs/>
        </w:rPr>
        <w:t xml:space="preserve"> </w:t>
      </w:r>
      <w:r w:rsidRPr="00717CF7">
        <w:rPr>
          <w:bCs/>
        </w:rPr>
        <w:t>to the neck and wrist (or</w:t>
      </w:r>
      <w:r>
        <w:rPr>
          <w:bCs/>
        </w:rPr>
        <w:t xml:space="preserve"> </w:t>
      </w:r>
      <w:r w:rsidRPr="00717CF7">
        <w:rPr>
          <w:bCs/>
        </w:rPr>
        <w:t>equivalent clothing) and elbow-length chemical resistant gloves</w:t>
      </w:r>
      <w:r>
        <w:rPr>
          <w:bCs/>
        </w:rPr>
        <w:t xml:space="preserve"> </w:t>
      </w:r>
      <w:r w:rsidRPr="00717CF7">
        <w:rPr>
          <w:bCs/>
        </w:rPr>
        <w:t>and face shield or goggles. If product on skin, immediately wash area with soap and water.</w:t>
      </w:r>
      <w:r>
        <w:rPr>
          <w:bCs/>
        </w:rPr>
        <w:t xml:space="preserve"> </w:t>
      </w:r>
      <w:r w:rsidRPr="00717CF7">
        <w:rPr>
          <w:bCs/>
        </w:rPr>
        <w:t>If product in eyes, wash it out immediately with water. Wash hands after use. After each</w:t>
      </w:r>
      <w:r>
        <w:rPr>
          <w:bCs/>
        </w:rPr>
        <w:t xml:space="preserve"> </w:t>
      </w:r>
      <w:r w:rsidRPr="00717CF7">
        <w:rPr>
          <w:bCs/>
        </w:rPr>
        <w:t>day’s use, wash gloves, face shield or goggles, and contaminated clothing</w:t>
      </w:r>
      <w:r>
        <w:rPr>
          <w:bCs/>
        </w:rPr>
        <w:t>.</w:t>
      </w:r>
    </w:p>
    <w:p w14:paraId="33D02811" w14:textId="1ED4EF2D" w:rsidR="003F67BE" w:rsidRDefault="00FC4174" w:rsidP="00C50D46">
      <w:pPr>
        <w:pStyle w:val="NormalText"/>
        <w:sectPr w:rsidR="003F67BE">
          <w:headerReference w:type="default" r:id="rId44"/>
          <w:pgSz w:w="11906" w:h="16838" w:code="9"/>
          <w:pgMar w:top="2835" w:right="1134" w:bottom="1134" w:left="1134" w:header="1701" w:footer="680" w:gutter="0"/>
          <w:cols w:space="708"/>
          <w:docGrid w:linePitch="360"/>
        </w:sectPr>
      </w:pPr>
      <w:r w:rsidRPr="00023B7E">
        <w:rPr>
          <w:b/>
          <w:bCs/>
        </w:rPr>
        <w:t>FIRST AID</w:t>
      </w:r>
      <w:r w:rsidR="00023B7E">
        <w:rPr>
          <w:b/>
          <w:bCs/>
        </w:rPr>
        <w:br/>
      </w:r>
      <w:r w:rsidRPr="00125CBA">
        <w:t xml:space="preserve">If </w:t>
      </w:r>
      <w:r w:rsidR="007A24A0" w:rsidRPr="007A24A0">
        <w:t xml:space="preserve">poisoning occurs contact a </w:t>
      </w:r>
      <w:r w:rsidR="001B04F7">
        <w:t xml:space="preserve">doctor or </w:t>
      </w:r>
      <w:r w:rsidR="007A24A0" w:rsidRPr="007A24A0">
        <w:t>Poisons Information Centre. Phone Australia 13 11 26 New</w:t>
      </w:r>
      <w:r w:rsidR="00023B7E">
        <w:rPr>
          <w:b/>
          <w:bCs/>
        </w:rPr>
        <w:t xml:space="preserve"> </w:t>
      </w:r>
      <w:r w:rsidR="007A24A0" w:rsidRPr="007A24A0">
        <w:t>Zealand 0800</w:t>
      </w:r>
      <w:r w:rsidR="00C50D46">
        <w:t> </w:t>
      </w:r>
      <w:r w:rsidR="007A24A0" w:rsidRPr="007A24A0">
        <w:t>764</w:t>
      </w:r>
      <w:r w:rsidR="00C50D46">
        <w:t> </w:t>
      </w:r>
      <w:r w:rsidR="007A24A0" w:rsidRPr="007A24A0">
        <w:t>766.</w:t>
      </w:r>
    </w:p>
    <w:p w14:paraId="68D5AE42" w14:textId="6B4F76BC" w:rsidR="009346C3" w:rsidRPr="00C50D46" w:rsidRDefault="00CA5B2B" w:rsidP="00C50D46">
      <w:pPr>
        <w:pStyle w:val="APVMAAppendixH1"/>
      </w:pPr>
      <w:bookmarkStart w:id="184" w:name="_Toc229751427"/>
      <w:r w:rsidRPr="00C50D46">
        <w:lastRenderedPageBreak/>
        <w:t>Acronyms and abbreviations</w:t>
      </w:r>
      <w:bookmarkEnd w:id="184"/>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Default="00CA5B2B" w:rsidP="009D0723">
            <w:pPr>
              <w:pStyle w:val="APVMATableHead"/>
            </w:pPr>
            <w:r>
              <w:t>Shortened term</w:t>
            </w:r>
          </w:p>
        </w:tc>
        <w:tc>
          <w:tcPr>
            <w:tcW w:w="3889" w:type="pct"/>
            <w:gridSpan w:val="2"/>
            <w:shd w:val="clear" w:color="auto" w:fill="00747A"/>
          </w:tcPr>
          <w:p w14:paraId="3245F640" w14:textId="0FC73B22" w:rsidR="00CA5B2B" w:rsidRDefault="00CA5B2B" w:rsidP="009D0723">
            <w:pPr>
              <w:pStyle w:val="APVMATableHead"/>
            </w:pPr>
            <w:r>
              <w:t>Full term</w:t>
            </w:r>
          </w:p>
        </w:tc>
      </w:tr>
      <w:tr w:rsidR="009346C3" w14:paraId="0841A030" w14:textId="77777777" w:rsidTr="00772458">
        <w:tc>
          <w:tcPr>
            <w:tcW w:w="1111" w:type="pct"/>
          </w:tcPr>
          <w:p w14:paraId="688B062C" w14:textId="77777777" w:rsidR="009346C3" w:rsidRDefault="009346C3" w:rsidP="00323CDE">
            <w:pPr>
              <w:pStyle w:val="APVMATableText"/>
            </w:pPr>
            <w:r>
              <w:t>ACCS/ACMS</w:t>
            </w:r>
          </w:p>
        </w:tc>
        <w:tc>
          <w:tcPr>
            <w:tcW w:w="3889" w:type="pct"/>
            <w:gridSpan w:val="2"/>
          </w:tcPr>
          <w:p w14:paraId="3878AAEA" w14:textId="77777777" w:rsidR="009346C3" w:rsidRDefault="009346C3" w:rsidP="00323CDE">
            <w:pPr>
              <w:pStyle w:val="APVMATableText"/>
            </w:pPr>
            <w:r>
              <w:t>Advisory Committee for Chemicals Scheduling/Advisory Committee for Medicines Scheduling</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722663F" w:rsidR="009346C3" w:rsidRDefault="009346C3" w:rsidP="00323CDE">
            <w:pPr>
              <w:pStyle w:val="APVMATableText"/>
            </w:pPr>
            <w:r>
              <w:t xml:space="preserve">Acceptable </w:t>
            </w:r>
            <w:r w:rsidR="00B32A6B">
              <w:t xml:space="preserve">daily intake </w:t>
            </w:r>
            <w:r>
              <w:t>(for humans)</w:t>
            </w:r>
          </w:p>
        </w:tc>
      </w:tr>
      <w:tr w:rsidR="009346C3" w14:paraId="4C827D2D" w14:textId="77777777" w:rsidTr="00772458">
        <w:tc>
          <w:tcPr>
            <w:tcW w:w="1111" w:type="pct"/>
          </w:tcPr>
          <w:p w14:paraId="67D5BBCD" w14:textId="77777777" w:rsidR="009346C3" w:rsidRDefault="009346C3" w:rsidP="00323CDE">
            <w:pPr>
              <w:pStyle w:val="APVMATableText"/>
            </w:pPr>
            <w:r>
              <w:t>ARfD</w:t>
            </w:r>
          </w:p>
        </w:tc>
        <w:tc>
          <w:tcPr>
            <w:tcW w:w="3889" w:type="pct"/>
            <w:gridSpan w:val="2"/>
          </w:tcPr>
          <w:p w14:paraId="0D929C4A" w14:textId="0200C4CD" w:rsidR="009346C3" w:rsidRDefault="009346C3" w:rsidP="00323CDE">
            <w:pPr>
              <w:pStyle w:val="APVMATableText"/>
            </w:pPr>
            <w:r>
              <w:t xml:space="preserve">Acute </w:t>
            </w:r>
            <w:r w:rsidR="00B32A6B">
              <w:t>reference dose</w:t>
            </w:r>
          </w:p>
        </w:tc>
      </w:tr>
      <w:tr w:rsidR="009346C3" w14:paraId="32E7A549" w14:textId="77777777" w:rsidTr="00772458">
        <w:tc>
          <w:tcPr>
            <w:tcW w:w="1111" w:type="pct"/>
          </w:tcPr>
          <w:p w14:paraId="09228264" w14:textId="77777777" w:rsidR="009346C3" w:rsidRDefault="009346C3" w:rsidP="00323CDE">
            <w:pPr>
              <w:pStyle w:val="APVMATableText"/>
            </w:pPr>
            <w:r>
              <w:t>bw</w:t>
            </w:r>
          </w:p>
        </w:tc>
        <w:tc>
          <w:tcPr>
            <w:tcW w:w="3889" w:type="pct"/>
            <w:gridSpan w:val="2"/>
          </w:tcPr>
          <w:p w14:paraId="0BF0E0AB" w14:textId="77777777" w:rsidR="009346C3" w:rsidRDefault="00F84654" w:rsidP="00323CDE">
            <w:pPr>
              <w:pStyle w:val="APVMATableText"/>
            </w:pPr>
            <w:r>
              <w:t>B</w:t>
            </w:r>
            <w:r w:rsidR="009346C3">
              <w:t>odyweight</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9346C3" w14:paraId="4C62CFE3" w14:textId="77777777" w:rsidTr="00772458">
        <w:tc>
          <w:tcPr>
            <w:tcW w:w="1111" w:type="pct"/>
          </w:tcPr>
          <w:p w14:paraId="616DCA61" w14:textId="77777777" w:rsidR="009346C3" w:rsidRDefault="009346C3" w:rsidP="00323CDE">
            <w:pPr>
              <w:pStyle w:val="APVMATableText"/>
            </w:pPr>
            <w:r>
              <w:t>DT</w:t>
            </w:r>
            <w:r>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9346C3" w14:paraId="372ED3D4" w14:textId="77777777" w:rsidTr="00772458">
        <w:tc>
          <w:tcPr>
            <w:tcW w:w="1111" w:type="pct"/>
          </w:tcPr>
          <w:p w14:paraId="05CE2144" w14:textId="77777777" w:rsidR="009346C3" w:rsidRDefault="009346C3" w:rsidP="00323CDE">
            <w:pPr>
              <w:pStyle w:val="APVMATableText"/>
            </w:pPr>
            <w:r>
              <w:t>EA</w:t>
            </w:r>
          </w:p>
        </w:tc>
        <w:tc>
          <w:tcPr>
            <w:tcW w:w="3889" w:type="pct"/>
            <w:gridSpan w:val="2"/>
          </w:tcPr>
          <w:p w14:paraId="4FDEF376" w14:textId="77777777" w:rsidR="009346C3" w:rsidRDefault="009346C3" w:rsidP="00323CDE">
            <w:pPr>
              <w:pStyle w:val="APVMATableText"/>
            </w:pPr>
            <w:r>
              <w:t>Environment Australia</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9C3AB38" w:rsidR="009346C3" w:rsidRDefault="00B32A6B" w:rsidP="00323CDE">
            <w:pPr>
              <w:pStyle w:val="APVMATableText"/>
            </w:pPr>
            <w:r>
              <w:t xml:space="preserve">Concentration </w:t>
            </w:r>
            <w:r w:rsidR="009346C3">
              <w:t>at which 50% of the test population are immobilised</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5708C6C0" w:rsidR="009346C3" w:rsidRDefault="00B32A6B" w:rsidP="00323CDE">
            <w:pPr>
              <w:pStyle w:val="APVMATableText"/>
            </w:pPr>
            <w:r>
              <w:t xml:space="preserve">Concentration </w:t>
            </w:r>
            <w:r w:rsidR="009346C3">
              <w:t>at which the rate of growth of 50% of the test population is impacted</w:t>
            </w:r>
          </w:p>
        </w:tc>
      </w:tr>
      <w:tr w:rsidR="009346C3" w14:paraId="7C20207F" w14:textId="77777777" w:rsidTr="00772458">
        <w:tc>
          <w:tcPr>
            <w:tcW w:w="1111" w:type="pct"/>
          </w:tcPr>
          <w:p w14:paraId="4F1E5A41" w14:textId="77777777" w:rsidR="009346C3" w:rsidRDefault="009346C3" w:rsidP="00323CDE">
            <w:pPr>
              <w:pStyle w:val="APVMATableText"/>
            </w:pPr>
            <w:r>
              <w:t>ESI</w:t>
            </w:r>
          </w:p>
        </w:tc>
        <w:tc>
          <w:tcPr>
            <w:tcW w:w="3889" w:type="pct"/>
            <w:gridSpan w:val="2"/>
          </w:tcPr>
          <w:p w14:paraId="5A79578A" w14:textId="448C085C" w:rsidR="009346C3" w:rsidRDefault="009346C3" w:rsidP="00323CDE">
            <w:pPr>
              <w:pStyle w:val="APVMATableText"/>
            </w:pPr>
            <w:r>
              <w:t xml:space="preserve">Export </w:t>
            </w:r>
            <w:r w:rsidR="00B32A6B">
              <w:t>slaughter interval</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77777777" w:rsidR="009346C3" w:rsidRDefault="009346C3" w:rsidP="00323CDE">
            <w:pPr>
              <w:pStyle w:val="APVMATableText"/>
            </w:pPr>
            <w:r>
              <w:t>Good Agricultural Practice</w:t>
            </w:r>
          </w:p>
        </w:tc>
      </w:tr>
      <w:tr w:rsidR="009346C3" w14:paraId="4699A373" w14:textId="77777777" w:rsidTr="00772458">
        <w:tc>
          <w:tcPr>
            <w:tcW w:w="1111" w:type="pct"/>
          </w:tcPr>
          <w:p w14:paraId="71494B55" w14:textId="77777777" w:rsidR="009346C3" w:rsidRDefault="009346C3" w:rsidP="00323CDE">
            <w:pPr>
              <w:pStyle w:val="APVMATableText"/>
            </w:pPr>
            <w:r>
              <w:t>HPLC</w:t>
            </w:r>
          </w:p>
        </w:tc>
        <w:tc>
          <w:tcPr>
            <w:tcW w:w="3889" w:type="pct"/>
            <w:gridSpan w:val="2"/>
          </w:tcPr>
          <w:p w14:paraId="23DBE980" w14:textId="6E445819" w:rsidR="009346C3" w:rsidRDefault="009346C3" w:rsidP="00323CDE">
            <w:pPr>
              <w:pStyle w:val="APVMATableText"/>
            </w:pPr>
            <w:r>
              <w:t xml:space="preserve">High </w:t>
            </w:r>
            <w:r w:rsidR="00B32A6B">
              <w:t xml:space="preserve">pressure liquid chromatography </w:t>
            </w:r>
            <w:r>
              <w:rPr>
                <w:i/>
              </w:rPr>
              <w:t>or</w:t>
            </w:r>
            <w:r>
              <w:t xml:space="preserve"> </w:t>
            </w:r>
            <w:r w:rsidR="00B32A6B">
              <w:t>high performance liquid chromatography</w:t>
            </w:r>
          </w:p>
        </w:tc>
      </w:tr>
      <w:tr w:rsidR="009346C3" w14:paraId="609ABB48" w14:textId="77777777" w:rsidTr="00772458">
        <w:tc>
          <w:tcPr>
            <w:tcW w:w="1111" w:type="pct"/>
          </w:tcPr>
          <w:p w14:paraId="112DFC5E" w14:textId="77777777" w:rsidR="009346C3" w:rsidRPr="00424637" w:rsidRDefault="009346C3" w:rsidP="00323CDE">
            <w:pPr>
              <w:pStyle w:val="APVMATableText"/>
              <w:rPr>
                <w:i/>
                <w:iCs/>
              </w:rPr>
            </w:pPr>
            <w:r w:rsidRPr="00424637">
              <w:rPr>
                <w:i/>
                <w:iCs/>
              </w:rPr>
              <w:t>in vitro</w:t>
            </w:r>
          </w:p>
        </w:tc>
        <w:tc>
          <w:tcPr>
            <w:tcW w:w="3889" w:type="pct"/>
            <w:gridSpan w:val="2"/>
          </w:tcPr>
          <w:p w14:paraId="2C374D3C" w14:textId="7E864727" w:rsidR="009346C3" w:rsidRDefault="00B32A6B" w:rsidP="00323CDE">
            <w:pPr>
              <w:pStyle w:val="APVMATableText"/>
            </w:pPr>
            <w:r>
              <w:t xml:space="preserve">Outside </w:t>
            </w:r>
            <w:r w:rsidR="009346C3">
              <w:t>the living body and in an artificial environment</w:t>
            </w:r>
          </w:p>
        </w:tc>
      </w:tr>
      <w:tr w:rsidR="009346C3" w14:paraId="1A965CFF" w14:textId="77777777" w:rsidTr="00772458">
        <w:tc>
          <w:tcPr>
            <w:tcW w:w="1111" w:type="pct"/>
          </w:tcPr>
          <w:p w14:paraId="2B0F93BF" w14:textId="77777777" w:rsidR="009346C3" w:rsidRPr="00424637" w:rsidRDefault="009346C3" w:rsidP="00323CDE">
            <w:pPr>
              <w:pStyle w:val="APVMATableText"/>
              <w:rPr>
                <w:i/>
                <w:iCs/>
              </w:rPr>
            </w:pPr>
            <w:r w:rsidRPr="00424637">
              <w:rPr>
                <w:i/>
                <w:iCs/>
              </w:rPr>
              <w:t>in vivo</w:t>
            </w:r>
          </w:p>
        </w:tc>
        <w:tc>
          <w:tcPr>
            <w:tcW w:w="3889" w:type="pct"/>
            <w:gridSpan w:val="2"/>
          </w:tcPr>
          <w:p w14:paraId="0FA3D105" w14:textId="7213B9F3" w:rsidR="009346C3" w:rsidRDefault="00B32A6B" w:rsidP="00323CDE">
            <w:pPr>
              <w:pStyle w:val="APVMATableText"/>
            </w:pPr>
            <w:r>
              <w:t xml:space="preserve">Inside </w:t>
            </w:r>
            <w:r w:rsidR="009346C3">
              <w:t>the living body of a plant or animal</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77777777" w:rsidR="009346C3" w:rsidRDefault="009346C3" w:rsidP="00323CDE">
            <w:pPr>
              <w:pStyle w:val="APVMATableText"/>
            </w:pPr>
            <w:r>
              <w:t>Maximum Residue Limit</w:t>
            </w:r>
          </w:p>
        </w:tc>
      </w:tr>
      <w:tr w:rsidR="009346C3" w14:paraId="06C53B66" w14:textId="77777777" w:rsidTr="00772458">
        <w:tc>
          <w:tcPr>
            <w:tcW w:w="1111" w:type="pct"/>
          </w:tcPr>
          <w:p w14:paraId="3E6DE883" w14:textId="77777777" w:rsidR="009346C3" w:rsidRDefault="009346C3" w:rsidP="00323CDE">
            <w:pPr>
              <w:pStyle w:val="APVMATableText"/>
            </w:pPr>
            <w:r>
              <w:t>NEDI</w:t>
            </w:r>
          </w:p>
        </w:tc>
        <w:tc>
          <w:tcPr>
            <w:tcW w:w="3889" w:type="pct"/>
            <w:gridSpan w:val="2"/>
          </w:tcPr>
          <w:p w14:paraId="197DB63F" w14:textId="77777777" w:rsidR="009346C3" w:rsidRDefault="009346C3" w:rsidP="00323CDE">
            <w:pPr>
              <w:pStyle w:val="APVMATableText"/>
            </w:pPr>
            <w:r>
              <w:t>National Estimated Daily Intake</w:t>
            </w:r>
          </w:p>
        </w:tc>
      </w:tr>
      <w:tr w:rsidR="009346C3" w14:paraId="6FCE0C8F" w14:textId="77777777" w:rsidTr="00772458">
        <w:tc>
          <w:tcPr>
            <w:tcW w:w="1111" w:type="pct"/>
          </w:tcPr>
          <w:p w14:paraId="5784677C" w14:textId="77777777" w:rsidR="009346C3" w:rsidRDefault="009346C3" w:rsidP="00323CDE">
            <w:pPr>
              <w:pStyle w:val="APVMATableText"/>
            </w:pPr>
            <w:r>
              <w:lastRenderedPageBreak/>
              <w:t>NESTI</w:t>
            </w:r>
          </w:p>
        </w:tc>
        <w:tc>
          <w:tcPr>
            <w:tcW w:w="3889" w:type="pct"/>
            <w:gridSpan w:val="2"/>
          </w:tcPr>
          <w:p w14:paraId="0D82D911" w14:textId="00EAC154" w:rsidR="009346C3" w:rsidRDefault="009346C3" w:rsidP="00323CDE">
            <w:pPr>
              <w:pStyle w:val="APVMATableText"/>
            </w:pPr>
            <w:r>
              <w:t xml:space="preserve">National Estimated </w:t>
            </w:r>
            <w:r w:rsidR="00B32A6B">
              <w:t>Short-Term</w:t>
            </w:r>
            <w:r>
              <w:t xml:space="preserve"> Intake</w:t>
            </w:r>
          </w:p>
        </w:tc>
      </w:tr>
      <w:tr w:rsidR="009346C3" w14:paraId="7ACF04B3" w14:textId="77777777" w:rsidTr="00772458">
        <w:tc>
          <w:tcPr>
            <w:tcW w:w="1111" w:type="pct"/>
          </w:tcPr>
          <w:p w14:paraId="4EC4AA4E" w14:textId="77777777" w:rsidR="009346C3" w:rsidRDefault="009346C3" w:rsidP="00323CDE">
            <w:pPr>
              <w:pStyle w:val="APVMATableText"/>
            </w:pPr>
            <w:r>
              <w:t>ng</w:t>
            </w:r>
          </w:p>
        </w:tc>
        <w:tc>
          <w:tcPr>
            <w:tcW w:w="3889" w:type="pct"/>
            <w:gridSpan w:val="2"/>
          </w:tcPr>
          <w:p w14:paraId="69C662F3" w14:textId="77777777" w:rsidR="009346C3" w:rsidRDefault="00F84654" w:rsidP="00323CDE">
            <w:pPr>
              <w:pStyle w:val="APVMATableText"/>
            </w:pPr>
            <w:r>
              <w:t>N</w:t>
            </w:r>
            <w:r w:rsidR="009346C3">
              <w:t>anogram</w:t>
            </w:r>
          </w:p>
        </w:tc>
      </w:tr>
      <w:tr w:rsidR="009346C3" w14:paraId="30C0D04B" w14:textId="77777777" w:rsidTr="00772458">
        <w:tc>
          <w:tcPr>
            <w:tcW w:w="1111" w:type="pct"/>
          </w:tcPr>
          <w:p w14:paraId="053043FD" w14:textId="77777777" w:rsidR="009346C3" w:rsidRDefault="009346C3" w:rsidP="00323CDE">
            <w:pPr>
              <w:pStyle w:val="APVMATableText"/>
            </w:pPr>
            <w:r>
              <w:t>NOEC/NOEL</w:t>
            </w:r>
          </w:p>
        </w:tc>
        <w:tc>
          <w:tcPr>
            <w:tcW w:w="3889" w:type="pct"/>
            <w:gridSpan w:val="2"/>
          </w:tcPr>
          <w:p w14:paraId="27ACF1B1" w14:textId="45E90829" w:rsidR="009346C3" w:rsidRDefault="009346C3" w:rsidP="00323CDE">
            <w:pPr>
              <w:pStyle w:val="APVMATableText"/>
            </w:pPr>
            <w:r>
              <w:t xml:space="preserve">No </w:t>
            </w:r>
            <w:r w:rsidR="00B32A6B">
              <w:t>observable effect concentration level</w:t>
            </w:r>
          </w:p>
        </w:tc>
      </w:tr>
      <w:tr w:rsidR="009346C3" w14:paraId="321D5F3D" w14:textId="77777777" w:rsidTr="00772458">
        <w:tc>
          <w:tcPr>
            <w:tcW w:w="1111" w:type="pct"/>
          </w:tcPr>
          <w:p w14:paraId="7003A18A" w14:textId="77777777" w:rsidR="009346C3" w:rsidRDefault="009346C3" w:rsidP="00323CDE">
            <w:pPr>
              <w:pStyle w:val="APVMATableText"/>
            </w:pPr>
            <w:r>
              <w:t>NOAEL</w:t>
            </w:r>
          </w:p>
        </w:tc>
        <w:tc>
          <w:tcPr>
            <w:tcW w:w="3889" w:type="pct"/>
            <w:gridSpan w:val="2"/>
          </w:tcPr>
          <w:p w14:paraId="5659123C" w14:textId="05FE613B" w:rsidR="009346C3" w:rsidRDefault="009346C3" w:rsidP="00323CDE">
            <w:pPr>
              <w:pStyle w:val="APVMATableText"/>
            </w:pPr>
            <w:r>
              <w:t xml:space="preserve">No </w:t>
            </w:r>
            <w:r w:rsidR="00B32A6B">
              <w:t>observed adverse effect level</w:t>
            </w:r>
          </w:p>
        </w:tc>
      </w:tr>
      <w:tr w:rsidR="009346C3" w14:paraId="78D6754B" w14:textId="77777777" w:rsidTr="00772458">
        <w:tc>
          <w:tcPr>
            <w:tcW w:w="1111" w:type="pct"/>
          </w:tcPr>
          <w:p w14:paraId="2BDB8007" w14:textId="77777777" w:rsidR="009346C3" w:rsidRDefault="009346C3" w:rsidP="00323CDE">
            <w:pPr>
              <w:pStyle w:val="APVMATableText"/>
            </w:pPr>
            <w:r>
              <w:t>OC</w:t>
            </w:r>
          </w:p>
        </w:tc>
        <w:tc>
          <w:tcPr>
            <w:tcW w:w="3889" w:type="pct"/>
            <w:gridSpan w:val="2"/>
          </w:tcPr>
          <w:p w14:paraId="1ECB505B" w14:textId="312355A8" w:rsidR="009346C3" w:rsidRDefault="009346C3" w:rsidP="00323CDE">
            <w:pPr>
              <w:pStyle w:val="APVMATableText"/>
            </w:pPr>
            <w:r>
              <w:t xml:space="preserve">Organic </w:t>
            </w:r>
            <w:r w:rsidR="00B32A6B">
              <w:t>carbon</w:t>
            </w:r>
          </w:p>
        </w:tc>
      </w:tr>
      <w:tr w:rsidR="009346C3" w14:paraId="2B1FDC18" w14:textId="77777777" w:rsidTr="00772458">
        <w:tc>
          <w:tcPr>
            <w:tcW w:w="1111" w:type="pct"/>
          </w:tcPr>
          <w:p w14:paraId="565EADF7" w14:textId="77777777" w:rsidR="009346C3" w:rsidRDefault="009346C3" w:rsidP="00323CDE">
            <w:pPr>
              <w:pStyle w:val="APVMATableText"/>
            </w:pPr>
            <w:r>
              <w:t xml:space="preserve">OM </w:t>
            </w:r>
          </w:p>
        </w:tc>
        <w:tc>
          <w:tcPr>
            <w:tcW w:w="3889" w:type="pct"/>
            <w:gridSpan w:val="2"/>
          </w:tcPr>
          <w:p w14:paraId="0944AFFB" w14:textId="3C05E2BC" w:rsidR="009346C3" w:rsidRDefault="009346C3" w:rsidP="00323CDE">
            <w:pPr>
              <w:pStyle w:val="APVMATableText"/>
            </w:pPr>
            <w:r>
              <w:t xml:space="preserve">Organic </w:t>
            </w:r>
            <w:r w:rsidR="00B32A6B">
              <w:t>matter</w:t>
            </w:r>
          </w:p>
        </w:tc>
      </w:tr>
      <w:tr w:rsidR="009346C3" w14:paraId="5AD8116C" w14:textId="77777777" w:rsidTr="00772458">
        <w:tc>
          <w:tcPr>
            <w:tcW w:w="1111" w:type="pct"/>
          </w:tcPr>
          <w:p w14:paraId="004B4922" w14:textId="77777777" w:rsidR="009346C3" w:rsidRDefault="009346C3" w:rsidP="00323CDE">
            <w:pPr>
              <w:pStyle w:val="APVMATableText"/>
            </w:pPr>
            <w:r>
              <w:t>po</w:t>
            </w:r>
          </w:p>
        </w:tc>
        <w:tc>
          <w:tcPr>
            <w:tcW w:w="3889" w:type="pct"/>
            <w:gridSpan w:val="2"/>
          </w:tcPr>
          <w:p w14:paraId="63414A9B" w14:textId="77777777" w:rsidR="009346C3" w:rsidRDefault="00F84654" w:rsidP="00323CDE">
            <w:pPr>
              <w:pStyle w:val="APVMATableText"/>
            </w:pPr>
            <w:r>
              <w:t>O</w:t>
            </w:r>
            <w:r w:rsidR="009346C3">
              <w:t>ral</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3CF71A09" w:rsidR="009346C3" w:rsidRDefault="009346C3" w:rsidP="00323CDE">
            <w:pPr>
              <w:pStyle w:val="APVMATableText"/>
            </w:pPr>
            <w:r>
              <w:t xml:space="preserve">Personal </w:t>
            </w:r>
            <w:r w:rsidR="00B32A6B">
              <w:t>protective equipment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27927463" w:rsidR="009346C3" w:rsidRDefault="00B32A6B" w:rsidP="00323CDE">
            <w:pPr>
              <w:pStyle w:val="APVMATableText"/>
            </w:pPr>
            <w:r>
              <w:t xml:space="preserve">Parts </w:t>
            </w:r>
            <w:r w:rsidR="009346C3">
              <w:t>per million</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20299AE" w:rsidR="0076267D" w:rsidRDefault="0076267D" w:rsidP="00323CDE">
            <w:pPr>
              <w:pStyle w:val="APVMATableText"/>
            </w:pPr>
            <w:r>
              <w:t>Regulatory Acceptable Level</w:t>
            </w:r>
          </w:p>
        </w:tc>
      </w:tr>
      <w:tr w:rsidR="009346C3" w14:paraId="50B2FE78" w14:textId="77777777" w:rsidTr="00772458">
        <w:tc>
          <w:tcPr>
            <w:tcW w:w="1111" w:type="pct"/>
          </w:tcPr>
          <w:p w14:paraId="24AF509F" w14:textId="77777777" w:rsidR="009346C3" w:rsidRDefault="009346C3" w:rsidP="00323CDE">
            <w:pPr>
              <w:pStyle w:val="APVMATableText"/>
            </w:pPr>
            <w:r>
              <w:t>s</w:t>
            </w:r>
          </w:p>
        </w:tc>
        <w:tc>
          <w:tcPr>
            <w:tcW w:w="3889" w:type="pct"/>
            <w:gridSpan w:val="2"/>
          </w:tcPr>
          <w:p w14:paraId="74B4A1E0" w14:textId="77777777" w:rsidR="009346C3" w:rsidRDefault="00F84654" w:rsidP="00323CDE">
            <w:pPr>
              <w:pStyle w:val="APVMATableText"/>
            </w:pPr>
            <w:r>
              <w:t>S</w:t>
            </w:r>
            <w:r w:rsidR="009346C3">
              <w:t>econd</w:t>
            </w:r>
          </w:p>
        </w:tc>
      </w:tr>
      <w:tr w:rsidR="009346C3" w14:paraId="7BF4C90B" w14:textId="77777777" w:rsidTr="00772458">
        <w:tc>
          <w:tcPr>
            <w:tcW w:w="1111" w:type="pct"/>
          </w:tcPr>
          <w:p w14:paraId="7DD9113D" w14:textId="77777777" w:rsidR="009346C3" w:rsidRDefault="009346C3" w:rsidP="00323CDE">
            <w:pPr>
              <w:pStyle w:val="APVMATableText"/>
            </w:pPr>
            <w:r>
              <w:t>sc</w:t>
            </w:r>
          </w:p>
        </w:tc>
        <w:tc>
          <w:tcPr>
            <w:tcW w:w="3889" w:type="pct"/>
            <w:gridSpan w:val="2"/>
          </w:tcPr>
          <w:p w14:paraId="0B775497" w14:textId="77777777" w:rsidR="009346C3" w:rsidRDefault="00F84654" w:rsidP="00323CDE">
            <w:pPr>
              <w:pStyle w:val="APVMATableText"/>
            </w:pPr>
            <w:r>
              <w:t>S</w:t>
            </w:r>
            <w:r w:rsidR="009346C3">
              <w:t>ubcutaneous</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77777777" w:rsidR="009346C3" w:rsidRDefault="00F84654" w:rsidP="00323CDE">
            <w:pPr>
              <w:pStyle w:val="APVMATableText"/>
            </w:pPr>
            <w:r>
              <w:t>M</w:t>
            </w:r>
            <w:r w:rsidR="009346C3">
              <w:t>icrogram</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79BCD53F" w:rsidR="009346C3" w:rsidRDefault="009346C3" w:rsidP="00323CDE">
            <w:pPr>
              <w:pStyle w:val="APVMATableText"/>
            </w:pPr>
            <w:r>
              <w:rPr>
                <w:lang w:val="en-GB"/>
              </w:rPr>
              <w:t xml:space="preserve">Withholding </w:t>
            </w:r>
            <w:r w:rsidR="00B32A6B">
              <w:rPr>
                <w:lang w:val="en-GB"/>
              </w:rPr>
              <w:t>period</w:t>
            </w:r>
          </w:p>
        </w:tc>
      </w:tr>
    </w:tbl>
    <w:p w14:paraId="35823568" w14:textId="77777777" w:rsidR="009346C3" w:rsidRDefault="009346C3" w:rsidP="00772458">
      <w:pPr>
        <w:pStyle w:val="APVMAText"/>
        <w:sectPr w:rsidR="009346C3">
          <w:headerReference w:type="default" r:id="rId45"/>
          <w:pgSz w:w="11906" w:h="16838" w:code="9"/>
          <w:pgMar w:top="2835" w:right="1134" w:bottom="1134" w:left="1134" w:header="1701" w:footer="680" w:gutter="0"/>
          <w:cols w:space="708"/>
          <w:docGrid w:linePitch="360"/>
        </w:sectPr>
      </w:pPr>
    </w:p>
    <w:p w14:paraId="596FB68A" w14:textId="20A55907" w:rsidR="009346C3" w:rsidRDefault="009346C3" w:rsidP="00D40421">
      <w:pPr>
        <w:pStyle w:val="APVMAAppendixH1"/>
      </w:pPr>
      <w:bookmarkStart w:id="185" w:name="_Toc531181110"/>
      <w:bookmarkStart w:id="186" w:name="_Toc7561296"/>
      <w:bookmarkStart w:id="187" w:name="_Toc229751428"/>
      <w:r>
        <w:rPr>
          <w:lang w:val="en-GB"/>
        </w:rPr>
        <w:lastRenderedPageBreak/>
        <w:t>Glossary</w:t>
      </w:r>
      <w:bookmarkEnd w:id="185"/>
      <w:bookmarkEnd w:id="186"/>
      <w:bookmarkEnd w:id="187"/>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tcPr>
          <w:p w14:paraId="2DBAB8B5" w14:textId="77777777" w:rsidR="00CA5B2B" w:rsidRDefault="00CA5B2B" w:rsidP="00CA5B2B">
            <w:pPr>
              <w:pStyle w:val="APVMATableText"/>
            </w:pPr>
            <w:r>
              <w:t>Active constituent</w:t>
            </w:r>
          </w:p>
        </w:tc>
        <w:tc>
          <w:tcPr>
            <w:tcW w:w="3868" w:type="pct"/>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tcPr>
          <w:p w14:paraId="3D3E543B" w14:textId="77777777" w:rsidR="00CA5B2B" w:rsidRDefault="00CA5B2B" w:rsidP="00CA5B2B">
            <w:pPr>
              <w:pStyle w:val="APVMATableText"/>
            </w:pPr>
            <w:r>
              <w:t>Acute</w:t>
            </w:r>
          </w:p>
        </w:tc>
        <w:tc>
          <w:tcPr>
            <w:tcW w:w="3868" w:type="pct"/>
          </w:tcPr>
          <w:p w14:paraId="1B32302E" w14:textId="77777777" w:rsidR="00CA5B2B" w:rsidRDefault="00CA5B2B" w:rsidP="00CA5B2B">
            <w:pPr>
              <w:pStyle w:val="APVMATableText"/>
            </w:pPr>
            <w:r>
              <w:t>Having rapid onset and of short duration</w:t>
            </w:r>
          </w:p>
        </w:tc>
      </w:tr>
      <w:tr w:rsidR="00CA5B2B" w14:paraId="20CAA1A1" w14:textId="77777777" w:rsidTr="00772458">
        <w:tc>
          <w:tcPr>
            <w:tcW w:w="1132" w:type="pct"/>
          </w:tcPr>
          <w:p w14:paraId="141AEE46" w14:textId="77777777" w:rsidR="00CA5B2B" w:rsidRDefault="00CA5B2B" w:rsidP="00CA5B2B">
            <w:pPr>
              <w:pStyle w:val="APVMATableText"/>
            </w:pPr>
            <w:r>
              <w:t>Carcinogenicity</w:t>
            </w:r>
          </w:p>
        </w:tc>
        <w:tc>
          <w:tcPr>
            <w:tcW w:w="3868" w:type="pct"/>
          </w:tcPr>
          <w:p w14:paraId="6833A841" w14:textId="77777777" w:rsidR="00CA5B2B" w:rsidRDefault="00CA5B2B" w:rsidP="00CA5B2B">
            <w:pPr>
              <w:pStyle w:val="APVMATableText"/>
            </w:pPr>
            <w:r>
              <w:t>The ability to cause cancer</w:t>
            </w:r>
          </w:p>
        </w:tc>
      </w:tr>
      <w:tr w:rsidR="00CA5B2B" w14:paraId="02F60EC0" w14:textId="77777777" w:rsidTr="00772458">
        <w:tc>
          <w:tcPr>
            <w:tcW w:w="1132" w:type="pct"/>
          </w:tcPr>
          <w:p w14:paraId="18A75311" w14:textId="77777777" w:rsidR="00CA5B2B" w:rsidRDefault="00CA5B2B" w:rsidP="00CA5B2B">
            <w:pPr>
              <w:pStyle w:val="APVMATableText"/>
            </w:pPr>
            <w:r>
              <w:t>Chronic</w:t>
            </w:r>
          </w:p>
        </w:tc>
        <w:tc>
          <w:tcPr>
            <w:tcW w:w="3868" w:type="pct"/>
          </w:tcPr>
          <w:p w14:paraId="662A61C7" w14:textId="77777777" w:rsidR="00CA5B2B" w:rsidRDefault="00CA5B2B" w:rsidP="00CA5B2B">
            <w:pPr>
              <w:pStyle w:val="APVMATableText"/>
            </w:pPr>
            <w:r>
              <w:t>Of long duration</w:t>
            </w:r>
          </w:p>
        </w:tc>
      </w:tr>
      <w:tr w:rsidR="00CA5B2B" w14:paraId="7FA0A785" w14:textId="77777777" w:rsidTr="00772458">
        <w:tc>
          <w:tcPr>
            <w:tcW w:w="1132" w:type="pct"/>
          </w:tcPr>
          <w:p w14:paraId="21AD28E1" w14:textId="77777777" w:rsidR="00CA5B2B" w:rsidRDefault="00CA5B2B" w:rsidP="00CA5B2B">
            <w:pPr>
              <w:pStyle w:val="APVMATableText"/>
            </w:pPr>
            <w:r>
              <w:t>Efficacy</w:t>
            </w:r>
          </w:p>
        </w:tc>
        <w:tc>
          <w:tcPr>
            <w:tcW w:w="3868" w:type="pct"/>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tcPr>
          <w:p w14:paraId="51478344" w14:textId="77777777" w:rsidR="00CA5B2B" w:rsidRDefault="00CA5B2B" w:rsidP="00CA5B2B">
            <w:pPr>
              <w:pStyle w:val="APVMATableText"/>
            </w:pPr>
            <w:r>
              <w:t>Formulation</w:t>
            </w:r>
          </w:p>
        </w:tc>
        <w:tc>
          <w:tcPr>
            <w:tcW w:w="3868" w:type="pct"/>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772458">
        <w:tc>
          <w:tcPr>
            <w:tcW w:w="1132" w:type="pct"/>
          </w:tcPr>
          <w:p w14:paraId="2A25EAC2" w14:textId="77777777" w:rsidR="00CA5B2B" w:rsidRDefault="00CA5B2B" w:rsidP="00CA5B2B">
            <w:pPr>
              <w:pStyle w:val="APVMATableText"/>
            </w:pPr>
            <w:r>
              <w:t>Genotoxicity</w:t>
            </w:r>
          </w:p>
        </w:tc>
        <w:tc>
          <w:tcPr>
            <w:tcW w:w="3868" w:type="pct"/>
          </w:tcPr>
          <w:p w14:paraId="0BABEB19" w14:textId="77777777" w:rsidR="00CA5B2B" w:rsidRDefault="00CA5B2B" w:rsidP="00CA5B2B">
            <w:pPr>
              <w:pStyle w:val="APVMATableText"/>
            </w:pPr>
            <w:r>
              <w:t>The ability to damage genetic material</w:t>
            </w:r>
          </w:p>
        </w:tc>
      </w:tr>
      <w:tr w:rsidR="00CA5B2B" w14:paraId="2AD6F9CC" w14:textId="77777777" w:rsidTr="00772458">
        <w:tc>
          <w:tcPr>
            <w:tcW w:w="1132" w:type="pct"/>
          </w:tcPr>
          <w:p w14:paraId="67CE640F" w14:textId="77777777" w:rsidR="00CA5B2B" w:rsidRDefault="00CA5B2B" w:rsidP="00CA5B2B">
            <w:pPr>
              <w:pStyle w:val="APVMATableText"/>
            </w:pPr>
            <w:r>
              <w:t>Metabolism</w:t>
            </w:r>
          </w:p>
        </w:tc>
        <w:tc>
          <w:tcPr>
            <w:tcW w:w="3868" w:type="pct"/>
          </w:tcPr>
          <w:p w14:paraId="73E171C8" w14:textId="77777777" w:rsidR="00CA5B2B" w:rsidRDefault="00CA5B2B" w:rsidP="00CA5B2B">
            <w:pPr>
              <w:pStyle w:val="APVMATableText"/>
            </w:pPr>
            <w:r>
              <w:t>The chemical processes that maintain living organisms</w:t>
            </w:r>
          </w:p>
        </w:tc>
      </w:tr>
      <w:tr w:rsidR="00CA5B2B" w14:paraId="09890428" w14:textId="77777777" w:rsidTr="00772458">
        <w:tc>
          <w:tcPr>
            <w:tcW w:w="1132" w:type="pct"/>
          </w:tcPr>
          <w:p w14:paraId="23B04C25" w14:textId="77777777" w:rsidR="00CA5B2B" w:rsidRDefault="00CA5B2B" w:rsidP="00CA5B2B">
            <w:pPr>
              <w:pStyle w:val="APVMATableText"/>
            </w:pPr>
            <w:r>
              <w:t>Subcutaneous</w:t>
            </w:r>
          </w:p>
        </w:tc>
        <w:tc>
          <w:tcPr>
            <w:tcW w:w="3868" w:type="pct"/>
          </w:tcPr>
          <w:p w14:paraId="3D65E82E" w14:textId="77777777" w:rsidR="00CA5B2B" w:rsidRDefault="00CA5B2B" w:rsidP="00CA5B2B">
            <w:pPr>
              <w:pStyle w:val="APVMATableText"/>
            </w:pPr>
            <w:r>
              <w:t>Under the skin</w:t>
            </w:r>
          </w:p>
        </w:tc>
      </w:tr>
      <w:tr w:rsidR="00CA5B2B" w14:paraId="50303712" w14:textId="77777777" w:rsidTr="00772458">
        <w:tc>
          <w:tcPr>
            <w:tcW w:w="1132" w:type="pct"/>
          </w:tcPr>
          <w:p w14:paraId="06DA7702" w14:textId="77777777" w:rsidR="00CA5B2B" w:rsidRDefault="00CA5B2B" w:rsidP="00CA5B2B">
            <w:pPr>
              <w:pStyle w:val="APVMATableText"/>
            </w:pPr>
            <w:r>
              <w:t>Toxicology</w:t>
            </w:r>
          </w:p>
        </w:tc>
        <w:tc>
          <w:tcPr>
            <w:tcW w:w="3868" w:type="pct"/>
          </w:tcPr>
          <w:p w14:paraId="0614348A" w14:textId="77777777" w:rsidR="00CA5B2B" w:rsidRDefault="00CA5B2B" w:rsidP="00CA5B2B">
            <w:pPr>
              <w:pStyle w:val="APVMATableText"/>
            </w:pPr>
            <w:r>
              <w:t>The study of the nature and effects of poisons</w:t>
            </w:r>
          </w:p>
        </w:tc>
      </w:tr>
    </w:tbl>
    <w:p w14:paraId="12C64C6A" w14:textId="1FA43089" w:rsidR="009346C3" w:rsidRPr="00C50D46" w:rsidRDefault="009346C3" w:rsidP="00C50D46">
      <w:pPr>
        <w:pStyle w:val="InstructionalText"/>
        <w:rPr>
          <w:color w:val="auto"/>
        </w:rPr>
      </w:pPr>
    </w:p>
    <w:sectPr w:rsidR="009346C3" w:rsidRPr="00C50D46">
      <w:headerReference w:type="default" r:id="rId4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55CB" w14:textId="77777777" w:rsidR="008C2601" w:rsidRDefault="008C2601">
      <w:r>
        <w:separator/>
      </w:r>
    </w:p>
    <w:p w14:paraId="1F342B75" w14:textId="77777777" w:rsidR="008C2601" w:rsidRDefault="008C2601"/>
    <w:p w14:paraId="2F73F1C2" w14:textId="77777777" w:rsidR="008C2601" w:rsidRDefault="008C2601"/>
    <w:p w14:paraId="0E0E798B" w14:textId="77777777" w:rsidR="008C2601" w:rsidRDefault="008C2601"/>
  </w:endnote>
  <w:endnote w:type="continuationSeparator" w:id="0">
    <w:p w14:paraId="7204D824" w14:textId="77777777" w:rsidR="008C2601" w:rsidRDefault="008C2601">
      <w:r>
        <w:continuationSeparator/>
      </w:r>
    </w:p>
    <w:p w14:paraId="3EE4D2CA" w14:textId="77777777" w:rsidR="008C2601" w:rsidRDefault="008C2601"/>
    <w:p w14:paraId="6B777702" w14:textId="77777777" w:rsidR="008C2601" w:rsidRDefault="008C2601"/>
    <w:p w14:paraId="611D6995" w14:textId="77777777" w:rsidR="008C2601" w:rsidRDefault="008C2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B193" w14:textId="77777777" w:rsidR="008C2601" w:rsidRDefault="008C2601">
      <w:r>
        <w:separator/>
      </w:r>
    </w:p>
    <w:p w14:paraId="3FE81BBC" w14:textId="77777777" w:rsidR="008C2601" w:rsidRDefault="008C2601"/>
  </w:footnote>
  <w:footnote w:type="continuationSeparator" w:id="0">
    <w:p w14:paraId="3D96768F" w14:textId="77777777" w:rsidR="008C2601" w:rsidRDefault="008C2601">
      <w:pPr>
        <w:spacing w:line="180" w:lineRule="exact"/>
        <w:rPr>
          <w:sz w:val="16"/>
        </w:rPr>
      </w:pPr>
      <w:r>
        <w:rPr>
          <w:sz w:val="16"/>
        </w:rPr>
        <w:continuationSeparator/>
      </w:r>
    </w:p>
    <w:p w14:paraId="504F30BA" w14:textId="77777777" w:rsidR="008C2601" w:rsidRDefault="008C2601"/>
    <w:p w14:paraId="090D352D" w14:textId="77777777" w:rsidR="008C2601" w:rsidRDefault="008C2601"/>
    <w:p w14:paraId="5ABDBE83" w14:textId="77777777" w:rsidR="008C2601" w:rsidRDefault="008C2601"/>
  </w:footnote>
  <w:footnote w:type="continuationNotice" w:id="1">
    <w:p w14:paraId="5F21427C" w14:textId="77777777" w:rsidR="008C2601" w:rsidRDefault="008C2601"/>
    <w:p w14:paraId="1A00715B" w14:textId="77777777" w:rsidR="008C2601" w:rsidRDefault="008C2601"/>
    <w:p w14:paraId="1E096F86" w14:textId="77777777" w:rsidR="008C2601" w:rsidRDefault="008C2601"/>
    <w:p w14:paraId="6B083BBF" w14:textId="77777777" w:rsidR="008C2601" w:rsidRDefault="008C2601"/>
  </w:footnote>
  <w:footnote w:id="2">
    <w:p w14:paraId="1358BD4B" w14:textId="77777777" w:rsidR="00A82E1B" w:rsidRDefault="00A82E1B" w:rsidP="00A82E1B">
      <w:pPr>
        <w:pStyle w:val="FootnoteText"/>
        <w:spacing w:before="0" w:line="240" w:lineRule="auto"/>
      </w:pPr>
      <w:r>
        <w:rPr>
          <w:rStyle w:val="FootnoteReference"/>
        </w:rPr>
        <w:footnoteRef/>
      </w:r>
      <w:r>
        <w:t xml:space="preserve"> </w:t>
      </w:r>
      <w:r w:rsidRPr="009B16B9">
        <w:t>Food and Agriculture Organisation of the United Nations</w:t>
      </w:r>
      <w:r>
        <w:t xml:space="preserve">, </w:t>
      </w:r>
      <w:hyperlink r:id="rId1" w:history="1">
        <w:r>
          <w:rPr>
            <w:rStyle w:val="Hyperlink"/>
          </w:rPr>
          <w:t>Codex Alimentarius - International Food Standards</w:t>
        </w:r>
      </w:hyperlink>
      <w:r>
        <w:t>, accessed July 2025</w:t>
      </w:r>
      <w:r w:rsidRPr="00C7218C">
        <w:t>.</w:t>
      </w:r>
    </w:p>
  </w:footnote>
  <w:footnote w:id="3">
    <w:p w14:paraId="4E6290F4" w14:textId="77777777" w:rsidR="00A82E1B" w:rsidRDefault="00A82E1B" w:rsidP="00A82E1B">
      <w:pPr>
        <w:pStyle w:val="FootnoteText"/>
        <w:spacing w:before="0" w:line="240" w:lineRule="auto"/>
      </w:pPr>
      <w:r>
        <w:rPr>
          <w:rStyle w:val="FootnoteReference"/>
        </w:rPr>
        <w:footnoteRef/>
      </w:r>
      <w:r>
        <w:t xml:space="preserve"> </w:t>
      </w:r>
      <w:r w:rsidRPr="009B16B9">
        <w:t>European Commission</w:t>
      </w:r>
      <w:r>
        <w:t xml:space="preserve"> </w:t>
      </w:r>
      <w:hyperlink r:id="rId2" w:history="1">
        <w:r>
          <w:rPr>
            <w:rStyle w:val="Hyperlink"/>
          </w:rPr>
          <w:t>Pesticide residue(s) and maximum residue levels (mg/kg)</w:t>
        </w:r>
      </w:hyperlink>
      <w:r>
        <w:t>, accessed May 2025</w:t>
      </w:r>
    </w:p>
  </w:footnote>
  <w:footnote w:id="4">
    <w:p w14:paraId="365FCF03" w14:textId="77777777" w:rsidR="00A82E1B" w:rsidRDefault="00A82E1B" w:rsidP="00A82E1B">
      <w:pPr>
        <w:pStyle w:val="FootnoteText"/>
        <w:spacing w:before="0" w:line="240" w:lineRule="auto"/>
      </w:pPr>
      <w:r>
        <w:rPr>
          <w:rStyle w:val="FootnoteReference"/>
        </w:rPr>
        <w:footnoteRef/>
      </w:r>
      <w:r>
        <w:t xml:space="preserve"> </w:t>
      </w:r>
      <w:hyperlink r:id="rId3" w:history="1">
        <w:r>
          <w:rPr>
            <w:rStyle w:val="Hyperlink"/>
          </w:rPr>
          <w:t>USDA - National Food Safety Standard for MRL – 03-27-2023</w:t>
        </w:r>
      </w:hyperlink>
      <w:r>
        <w:t xml:space="preserve">, accessed August 2025 </w:t>
      </w:r>
    </w:p>
  </w:footnote>
  <w:footnote w:id="5">
    <w:p w14:paraId="14956EEC" w14:textId="77777777" w:rsidR="00A82E1B" w:rsidRDefault="00A82E1B" w:rsidP="00A82E1B">
      <w:pPr>
        <w:pStyle w:val="FootnoteText"/>
        <w:spacing w:before="0" w:line="240" w:lineRule="auto"/>
      </w:pPr>
      <w:r>
        <w:rPr>
          <w:rStyle w:val="FootnoteReference"/>
        </w:rPr>
        <w:footnoteRef/>
      </w:r>
      <w:r>
        <w:t xml:space="preserve"> </w:t>
      </w:r>
      <w:r w:rsidRPr="009B16B9">
        <w:t xml:space="preserve">The Japan Food Chemical Research Foundation, </w:t>
      </w:r>
      <w:hyperlink r:id="rId4" w:history="1">
        <w:r w:rsidRPr="009B16B9">
          <w:rPr>
            <w:rStyle w:val="Hyperlink"/>
          </w:rPr>
          <w:t>Maximum Residue Limits (MRLs) List of Agricultural Chemicals in Foods</w:t>
        </w:r>
      </w:hyperlink>
      <w:r w:rsidRPr="009B16B9">
        <w:t xml:space="preserve">, The Japan Food Chemical Research Foundation website, </w:t>
      </w:r>
      <w:r>
        <w:t xml:space="preserve">      </w:t>
      </w:r>
      <w:r w:rsidRPr="009B16B9">
        <w:t>accessed</w:t>
      </w:r>
      <w:r>
        <w:t xml:space="preserve"> May 2025</w:t>
      </w:r>
    </w:p>
  </w:footnote>
  <w:footnote w:id="6">
    <w:p w14:paraId="43CD1C7D" w14:textId="77777777" w:rsidR="00A82E1B" w:rsidRDefault="00A82E1B" w:rsidP="00A82E1B">
      <w:pPr>
        <w:pStyle w:val="FootnoteText"/>
        <w:spacing w:before="0" w:line="240" w:lineRule="auto"/>
      </w:pPr>
      <w:r>
        <w:rPr>
          <w:rStyle w:val="FootnoteReference"/>
        </w:rPr>
        <w:footnoteRef/>
      </w:r>
      <w:r>
        <w:t xml:space="preserve"> </w:t>
      </w:r>
      <w:r w:rsidRPr="00B77252">
        <w:t xml:space="preserve">Ministry of Food and Drug Safety Korea, </w:t>
      </w:r>
      <w:hyperlink r:id="rId5" w:history="1">
        <w:r w:rsidRPr="00B77252">
          <w:rPr>
            <w:rStyle w:val="Hyperlink"/>
          </w:rPr>
          <w:t>MRLs in Pesticides</w:t>
        </w:r>
      </w:hyperlink>
      <w:r w:rsidRPr="00B77252">
        <w:t xml:space="preserve">, accessed </w:t>
      </w:r>
      <w:r>
        <w:t>August</w:t>
      </w:r>
      <w:r w:rsidRPr="00B77252">
        <w:t xml:space="preserve"> 2025</w:t>
      </w:r>
    </w:p>
  </w:footnote>
  <w:footnote w:id="7">
    <w:p w14:paraId="2ECACF90" w14:textId="77777777" w:rsidR="00A82E1B" w:rsidRDefault="00A82E1B" w:rsidP="00A82E1B">
      <w:pPr>
        <w:pStyle w:val="FootnoteText"/>
        <w:spacing w:before="0" w:line="240" w:lineRule="auto"/>
      </w:pPr>
      <w:r>
        <w:rPr>
          <w:rStyle w:val="FootnoteReference"/>
        </w:rPr>
        <w:footnoteRef/>
      </w:r>
      <w:r>
        <w:t xml:space="preserve"> </w:t>
      </w:r>
      <w:r w:rsidRPr="009B16B9">
        <w:t xml:space="preserve">Laws &amp; Regulations Database of the Republic of China (Taiwan), </w:t>
      </w:r>
      <w:hyperlink r:id="rId6" w:history="1">
        <w:r w:rsidRPr="009B16B9">
          <w:rPr>
            <w:rStyle w:val="Hyperlink"/>
          </w:rPr>
          <w:t>Standards for Pesticide Residue Limits in Foods</w:t>
        </w:r>
      </w:hyperlink>
      <w:r w:rsidRPr="009B16B9">
        <w:t xml:space="preserve">, accessed </w:t>
      </w:r>
      <w:r>
        <w:t>August</w:t>
      </w:r>
      <w:r w:rsidRPr="009B16B9">
        <w:t xml:space="preserve"> 2025</w:t>
      </w:r>
      <w:r>
        <w:t xml:space="preserve"> </w:t>
      </w:r>
    </w:p>
  </w:footnote>
  <w:footnote w:id="8">
    <w:p w14:paraId="35898D39" w14:textId="77777777" w:rsidR="00A82E1B" w:rsidRDefault="00A82E1B" w:rsidP="00A82E1B">
      <w:pPr>
        <w:pStyle w:val="FootnoteText"/>
        <w:spacing w:before="0" w:line="240" w:lineRule="auto"/>
      </w:pPr>
      <w:r>
        <w:rPr>
          <w:rStyle w:val="FootnoteReference"/>
        </w:rPr>
        <w:footnoteRef/>
      </w:r>
      <w:r>
        <w:t xml:space="preserve"> </w:t>
      </w:r>
      <w:hyperlink r:id="rId7" w:history="1">
        <w:r>
          <w:rPr>
            <w:rStyle w:val="Hyperlink"/>
          </w:rPr>
          <w:t>Code of Federal Regulations (eCFR)- USA National Archives</w:t>
        </w:r>
      </w:hyperlink>
      <w:r>
        <w:t xml:space="preserve"> accessed July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60A7" w14:textId="77777777" w:rsidR="008761B6" w:rsidRDefault="008761B6" w:rsidP="008761B6">
    <w:pPr>
      <w:pStyle w:val="APVMAEvenHeader"/>
      <w:pBdr>
        <w:bottom w:val="single" w:sz="4" w:space="2" w:color="auto"/>
      </w:pBdr>
      <w:tabs>
        <w:tab w:val="clear" w:pos="567"/>
        <w:tab w:val="clear" w:pos="9638"/>
        <w:tab w:val="right" w:pos="2694"/>
      </w:tabs>
      <w:ind w:left="709" w:hanging="709"/>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noProof/>
        <w:szCs w:val="24"/>
      </w:rPr>
      <w:t>4</w:t>
    </w:r>
    <w:r>
      <w:rPr>
        <w:rStyle w:val="PageNumber"/>
        <w:b w:val="0"/>
        <w:caps/>
        <w:szCs w:val="24"/>
      </w:rPr>
      <w:fldChar w:fldCharType="end"/>
    </w:r>
    <w:r>
      <w:tab/>
      <w:t xml:space="preserve">PRS </w:t>
    </w:r>
    <w:r w:rsidRPr="00C50D46">
      <w:t xml:space="preserve">on the evaluation of </w:t>
    </w:r>
    <w:r>
      <w:t>a</w:t>
    </w:r>
    <w:r w:rsidRPr="00C50D46">
      <w:t xml:space="preserve"> new active in the product 1,4 SIGHT Potato Dormancy Enhancer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45B4" w14:textId="77777777" w:rsidR="00CE411B" w:rsidRDefault="00CE411B">
    <w:pPr>
      <w:pStyle w:val="APVMAOddHeader"/>
    </w:pPr>
    <w:r>
      <w:ta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31</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8B9B" w14:textId="185573AA"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76267D">
      <w:rPr>
        <w:rStyle w:val="PageNumber"/>
        <w:rFonts w:cs="Times New Roman"/>
        <w:bCs w:val="0"/>
        <w:noProof/>
        <w:szCs w:val="24"/>
      </w:rPr>
      <w:t>15</w:t>
    </w:r>
    <w:r w:rsidR="00BF436A">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705" w14:textId="20A5851F"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7AD" w14:textId="3CFEDB58" w:rsidR="00CC5161" w:rsidRDefault="00CC5161">
    <w:pPr>
      <w:pStyle w:val="APVMAOddHeader"/>
    </w:pPr>
    <w:r>
      <w:tab/>
    </w:r>
    <w:r w:rsidR="00CA5B2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09C" w14:textId="4269B1FA"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50D46">
      <w:t>PRS</w:t>
    </w:r>
    <w:r w:rsidR="00CA5B2B">
      <w:t xml:space="preserve"> </w:t>
    </w:r>
    <w:r w:rsidR="00C50D46" w:rsidRPr="00C50D46">
      <w:t xml:space="preserve">on the evaluation of </w:t>
    </w:r>
    <w:r w:rsidR="00C50D46">
      <w:t>a</w:t>
    </w:r>
    <w:r w:rsidR="00C50D46" w:rsidRPr="00C50D46">
      <w:t xml:space="preserve"> new active in the product 1,4 SIGHT Potato Dormancy Enhancer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F9E2" w14:textId="095161F9" w:rsidR="00CC5161" w:rsidRDefault="00CC5161" w:rsidP="00AB659C">
    <w:pPr>
      <w:pStyle w:val="APVMAOddHeader"/>
    </w:pPr>
    <w:r>
      <w:tab/>
    </w:r>
    <w:r w:rsidR="00D210F5">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CF0F" w14:textId="44DB6D0A" w:rsidR="00C50D46" w:rsidRDefault="00C50D46" w:rsidP="00AB659C">
    <w:pPr>
      <w:pStyle w:val="APVMAOddHeader"/>
    </w:pPr>
    <w:r>
      <w:tab/>
    </w:r>
    <w:r w:rsidRPr="00C50D46">
      <w:t>Chemistry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974F" w14:textId="22F9387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9</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4DF" w14:textId="19C3B2F9"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72C" w14:textId="0094DCBD" w:rsidR="00CC5161" w:rsidRDefault="00CC5161" w:rsidP="008761B6">
    <w:pPr>
      <w:pStyle w:val="APVMAOddHeader"/>
      <w:tabs>
        <w:tab w:val="clear" w:pos="9072"/>
        <w:tab w:val="clear" w:pos="9638"/>
        <w:tab w:val="right" w:pos="12049"/>
        <w:tab w:val="left" w:pos="12474"/>
      </w:tabs>
      <w:jc w:val="right"/>
    </w:pPr>
    <w:r>
      <w:tab/>
    </w:r>
    <w:r w:rsidR="00CA5B2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15</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84EB6"/>
    <w:multiLevelType w:val="hybridMultilevel"/>
    <w:tmpl w:val="C2026BD4"/>
    <w:lvl w:ilvl="0" w:tplc="FD181872">
      <w:start w:val="1"/>
      <w:numFmt w:val="decimal"/>
      <w:lvlText w:val="%1."/>
      <w:lvlJc w:val="left"/>
      <w:pPr>
        <w:ind w:left="1020" w:hanging="360"/>
      </w:pPr>
    </w:lvl>
    <w:lvl w:ilvl="1" w:tplc="3602469C">
      <w:start w:val="1"/>
      <w:numFmt w:val="decimal"/>
      <w:lvlText w:val="%2."/>
      <w:lvlJc w:val="left"/>
      <w:pPr>
        <w:ind w:left="1020" w:hanging="360"/>
      </w:pPr>
    </w:lvl>
    <w:lvl w:ilvl="2" w:tplc="3708BF98">
      <w:start w:val="1"/>
      <w:numFmt w:val="decimal"/>
      <w:lvlText w:val="%3."/>
      <w:lvlJc w:val="left"/>
      <w:pPr>
        <w:ind w:left="1020" w:hanging="360"/>
      </w:pPr>
    </w:lvl>
    <w:lvl w:ilvl="3" w:tplc="AB161150">
      <w:start w:val="1"/>
      <w:numFmt w:val="decimal"/>
      <w:lvlText w:val="%4."/>
      <w:lvlJc w:val="left"/>
      <w:pPr>
        <w:ind w:left="1020" w:hanging="360"/>
      </w:pPr>
    </w:lvl>
    <w:lvl w:ilvl="4" w:tplc="9E8CEE3C">
      <w:start w:val="1"/>
      <w:numFmt w:val="decimal"/>
      <w:lvlText w:val="%5."/>
      <w:lvlJc w:val="left"/>
      <w:pPr>
        <w:ind w:left="1020" w:hanging="360"/>
      </w:pPr>
    </w:lvl>
    <w:lvl w:ilvl="5" w:tplc="360EFFB0">
      <w:start w:val="1"/>
      <w:numFmt w:val="decimal"/>
      <w:lvlText w:val="%6."/>
      <w:lvlJc w:val="left"/>
      <w:pPr>
        <w:ind w:left="1020" w:hanging="360"/>
      </w:pPr>
    </w:lvl>
    <w:lvl w:ilvl="6" w:tplc="C6449090">
      <w:start w:val="1"/>
      <w:numFmt w:val="decimal"/>
      <w:lvlText w:val="%7."/>
      <w:lvlJc w:val="left"/>
      <w:pPr>
        <w:ind w:left="1020" w:hanging="360"/>
      </w:pPr>
    </w:lvl>
    <w:lvl w:ilvl="7" w:tplc="46AA42A0">
      <w:start w:val="1"/>
      <w:numFmt w:val="decimal"/>
      <w:lvlText w:val="%8."/>
      <w:lvlJc w:val="left"/>
      <w:pPr>
        <w:ind w:left="1020" w:hanging="360"/>
      </w:pPr>
    </w:lvl>
    <w:lvl w:ilvl="8" w:tplc="46DCF6E8">
      <w:start w:val="1"/>
      <w:numFmt w:val="decimal"/>
      <w:lvlText w:val="%9."/>
      <w:lvlJc w:val="left"/>
      <w:pPr>
        <w:ind w:left="1020" w:hanging="360"/>
      </w:p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550E4F72"/>
    <w:multiLevelType w:val="hybridMultilevel"/>
    <w:tmpl w:val="4042B238"/>
    <w:lvl w:ilvl="0" w:tplc="859E8DE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6D3275BB"/>
    <w:multiLevelType w:val="hybridMultilevel"/>
    <w:tmpl w:val="C7ACC7E6"/>
    <w:lvl w:ilvl="0" w:tplc="3D8465B6">
      <w:start w:val="1"/>
      <w:numFmt w:val="decimal"/>
      <w:lvlText w:val="%1."/>
      <w:lvlJc w:val="left"/>
      <w:pPr>
        <w:ind w:left="1020" w:hanging="360"/>
      </w:pPr>
    </w:lvl>
    <w:lvl w:ilvl="1" w:tplc="4C56E988">
      <w:start w:val="1"/>
      <w:numFmt w:val="decimal"/>
      <w:lvlText w:val="%2."/>
      <w:lvlJc w:val="left"/>
      <w:pPr>
        <w:ind w:left="1020" w:hanging="360"/>
      </w:pPr>
    </w:lvl>
    <w:lvl w:ilvl="2" w:tplc="BCF6B1E4">
      <w:start w:val="1"/>
      <w:numFmt w:val="decimal"/>
      <w:lvlText w:val="%3."/>
      <w:lvlJc w:val="left"/>
      <w:pPr>
        <w:ind w:left="1020" w:hanging="360"/>
      </w:pPr>
    </w:lvl>
    <w:lvl w:ilvl="3" w:tplc="265259B4">
      <w:start w:val="1"/>
      <w:numFmt w:val="decimal"/>
      <w:lvlText w:val="%4."/>
      <w:lvlJc w:val="left"/>
      <w:pPr>
        <w:ind w:left="1020" w:hanging="360"/>
      </w:pPr>
    </w:lvl>
    <w:lvl w:ilvl="4" w:tplc="C852A516">
      <w:start w:val="1"/>
      <w:numFmt w:val="decimal"/>
      <w:lvlText w:val="%5."/>
      <w:lvlJc w:val="left"/>
      <w:pPr>
        <w:ind w:left="1020" w:hanging="360"/>
      </w:pPr>
    </w:lvl>
    <w:lvl w:ilvl="5" w:tplc="EC4E2D62">
      <w:start w:val="1"/>
      <w:numFmt w:val="decimal"/>
      <w:lvlText w:val="%6."/>
      <w:lvlJc w:val="left"/>
      <w:pPr>
        <w:ind w:left="1020" w:hanging="360"/>
      </w:pPr>
    </w:lvl>
    <w:lvl w:ilvl="6" w:tplc="5552AFB8">
      <w:start w:val="1"/>
      <w:numFmt w:val="decimal"/>
      <w:lvlText w:val="%7."/>
      <w:lvlJc w:val="left"/>
      <w:pPr>
        <w:ind w:left="1020" w:hanging="360"/>
      </w:pPr>
    </w:lvl>
    <w:lvl w:ilvl="7" w:tplc="C2360C58">
      <w:start w:val="1"/>
      <w:numFmt w:val="decimal"/>
      <w:lvlText w:val="%8."/>
      <w:lvlJc w:val="left"/>
      <w:pPr>
        <w:ind w:left="1020" w:hanging="360"/>
      </w:pPr>
    </w:lvl>
    <w:lvl w:ilvl="8" w:tplc="FEB2AD90">
      <w:start w:val="1"/>
      <w:numFmt w:val="decimal"/>
      <w:lvlText w:val="%9."/>
      <w:lvlJc w:val="left"/>
      <w:pPr>
        <w:ind w:left="1020" w:hanging="360"/>
      </w:pPr>
    </w:lvl>
  </w:abstractNum>
  <w:abstractNum w:abstractNumId="28" w15:restartNumberingAfterBreak="0">
    <w:nsid w:val="710E7E39"/>
    <w:multiLevelType w:val="hybridMultilevel"/>
    <w:tmpl w:val="D3A87FB8"/>
    <w:lvl w:ilvl="0" w:tplc="37C4A28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052009">
    <w:abstractNumId w:val="21"/>
  </w:num>
  <w:num w:numId="2" w16cid:durableId="1847817366">
    <w:abstractNumId w:val="21"/>
  </w:num>
  <w:num w:numId="3" w16cid:durableId="628050759">
    <w:abstractNumId w:val="18"/>
  </w:num>
  <w:num w:numId="4" w16cid:durableId="604269072">
    <w:abstractNumId w:val="19"/>
  </w:num>
  <w:num w:numId="5" w16cid:durableId="647785159">
    <w:abstractNumId w:val="18"/>
  </w:num>
  <w:num w:numId="6" w16cid:durableId="955450296">
    <w:abstractNumId w:val="25"/>
  </w:num>
  <w:num w:numId="7" w16cid:durableId="295457348">
    <w:abstractNumId w:val="20"/>
  </w:num>
  <w:num w:numId="8" w16cid:durableId="1343507694">
    <w:abstractNumId w:val="11"/>
  </w:num>
  <w:num w:numId="9" w16cid:durableId="1686057297">
    <w:abstractNumId w:val="10"/>
  </w:num>
  <w:num w:numId="10" w16cid:durableId="1851598727">
    <w:abstractNumId w:val="13"/>
  </w:num>
  <w:num w:numId="11" w16cid:durableId="1106190607">
    <w:abstractNumId w:val="17"/>
  </w:num>
  <w:num w:numId="12" w16cid:durableId="1346205001">
    <w:abstractNumId w:val="25"/>
  </w:num>
  <w:num w:numId="13" w16cid:durableId="661276574">
    <w:abstractNumId w:val="25"/>
  </w:num>
  <w:num w:numId="14" w16cid:durableId="714548653">
    <w:abstractNumId w:val="18"/>
  </w:num>
  <w:num w:numId="15" w16cid:durableId="799765265">
    <w:abstractNumId w:val="11"/>
  </w:num>
  <w:num w:numId="16" w16cid:durableId="1633704688">
    <w:abstractNumId w:val="19"/>
  </w:num>
  <w:num w:numId="17" w16cid:durableId="783810623">
    <w:abstractNumId w:val="10"/>
  </w:num>
  <w:num w:numId="18" w16cid:durableId="921639575">
    <w:abstractNumId w:val="13"/>
  </w:num>
  <w:num w:numId="19" w16cid:durableId="552737622">
    <w:abstractNumId w:val="21"/>
  </w:num>
  <w:num w:numId="20" w16cid:durableId="1700619928">
    <w:abstractNumId w:val="26"/>
  </w:num>
  <w:num w:numId="21" w16cid:durableId="362511644">
    <w:abstractNumId w:val="12"/>
  </w:num>
  <w:num w:numId="22" w16cid:durableId="2122407760">
    <w:abstractNumId w:val="29"/>
  </w:num>
  <w:num w:numId="23" w16cid:durableId="972710519">
    <w:abstractNumId w:val="15"/>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4"/>
  </w:num>
  <w:num w:numId="35" w16cid:durableId="1058287549">
    <w:abstractNumId w:val="14"/>
  </w:num>
  <w:num w:numId="36" w16cid:durableId="796065988">
    <w:abstractNumId w:val="25"/>
  </w:num>
  <w:num w:numId="37" w16cid:durableId="221795795">
    <w:abstractNumId w:val="22"/>
  </w:num>
  <w:num w:numId="38" w16cid:durableId="1352799941">
    <w:abstractNumId w:val="23"/>
  </w:num>
  <w:num w:numId="39" w16cid:durableId="2010056801">
    <w:abstractNumId w:val="28"/>
  </w:num>
  <w:num w:numId="40" w16cid:durableId="286354913">
    <w:abstractNumId w:val="27"/>
  </w:num>
  <w:num w:numId="41" w16cid:durableId="1494644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20A1"/>
    <w:rsid w:val="00004F9C"/>
    <w:rsid w:val="000124F2"/>
    <w:rsid w:val="00017CE2"/>
    <w:rsid w:val="00023271"/>
    <w:rsid w:val="00023B7E"/>
    <w:rsid w:val="000250B4"/>
    <w:rsid w:val="00032787"/>
    <w:rsid w:val="00033BAA"/>
    <w:rsid w:val="000439CF"/>
    <w:rsid w:val="00047D62"/>
    <w:rsid w:val="000518D6"/>
    <w:rsid w:val="000642F7"/>
    <w:rsid w:val="00067056"/>
    <w:rsid w:val="00067828"/>
    <w:rsid w:val="00075398"/>
    <w:rsid w:val="000765C1"/>
    <w:rsid w:val="0008350E"/>
    <w:rsid w:val="00085769"/>
    <w:rsid w:val="0009598D"/>
    <w:rsid w:val="00096163"/>
    <w:rsid w:val="000A7A26"/>
    <w:rsid w:val="000A7EF6"/>
    <w:rsid w:val="000C1518"/>
    <w:rsid w:val="000C2C1B"/>
    <w:rsid w:val="000C2C71"/>
    <w:rsid w:val="000C5EB1"/>
    <w:rsid w:val="000D0108"/>
    <w:rsid w:val="000D124E"/>
    <w:rsid w:val="000D49ED"/>
    <w:rsid w:val="000E0F2D"/>
    <w:rsid w:val="000F63FC"/>
    <w:rsid w:val="0011280D"/>
    <w:rsid w:val="00120E00"/>
    <w:rsid w:val="001358FB"/>
    <w:rsid w:val="0014440D"/>
    <w:rsid w:val="0014625C"/>
    <w:rsid w:val="001534D8"/>
    <w:rsid w:val="0016087F"/>
    <w:rsid w:val="001652C9"/>
    <w:rsid w:val="0016652E"/>
    <w:rsid w:val="00167BB3"/>
    <w:rsid w:val="00174413"/>
    <w:rsid w:val="00174E15"/>
    <w:rsid w:val="00177D1E"/>
    <w:rsid w:val="00180606"/>
    <w:rsid w:val="00184190"/>
    <w:rsid w:val="0018531C"/>
    <w:rsid w:val="001874CC"/>
    <w:rsid w:val="00193533"/>
    <w:rsid w:val="00196F04"/>
    <w:rsid w:val="001A3C43"/>
    <w:rsid w:val="001A69FF"/>
    <w:rsid w:val="001B04F7"/>
    <w:rsid w:val="001B335C"/>
    <w:rsid w:val="001B7360"/>
    <w:rsid w:val="001C56CC"/>
    <w:rsid w:val="001C6607"/>
    <w:rsid w:val="001D0B2F"/>
    <w:rsid w:val="001D3257"/>
    <w:rsid w:val="001D6ADB"/>
    <w:rsid w:val="001E0CE9"/>
    <w:rsid w:val="001E4011"/>
    <w:rsid w:val="001F5D05"/>
    <w:rsid w:val="00201970"/>
    <w:rsid w:val="002235CB"/>
    <w:rsid w:val="0024289A"/>
    <w:rsid w:val="0024667B"/>
    <w:rsid w:val="002535E8"/>
    <w:rsid w:val="002549D3"/>
    <w:rsid w:val="00257DE9"/>
    <w:rsid w:val="0026493F"/>
    <w:rsid w:val="00264A74"/>
    <w:rsid w:val="00273344"/>
    <w:rsid w:val="00275A1A"/>
    <w:rsid w:val="00276289"/>
    <w:rsid w:val="002764C9"/>
    <w:rsid w:val="00280720"/>
    <w:rsid w:val="00282A32"/>
    <w:rsid w:val="002853BD"/>
    <w:rsid w:val="00285F2A"/>
    <w:rsid w:val="00294F3B"/>
    <w:rsid w:val="002A69DD"/>
    <w:rsid w:val="002A7545"/>
    <w:rsid w:val="002B4618"/>
    <w:rsid w:val="002B5703"/>
    <w:rsid w:val="002C6204"/>
    <w:rsid w:val="002C79F1"/>
    <w:rsid w:val="002D7779"/>
    <w:rsid w:val="002E20AC"/>
    <w:rsid w:val="002E4410"/>
    <w:rsid w:val="002E49F4"/>
    <w:rsid w:val="002E6760"/>
    <w:rsid w:val="002F0200"/>
    <w:rsid w:val="002F4591"/>
    <w:rsid w:val="002F5D1B"/>
    <w:rsid w:val="002F7868"/>
    <w:rsid w:val="0030255E"/>
    <w:rsid w:val="00302D38"/>
    <w:rsid w:val="00306E7F"/>
    <w:rsid w:val="003139F5"/>
    <w:rsid w:val="0031487D"/>
    <w:rsid w:val="003207F2"/>
    <w:rsid w:val="00323CDE"/>
    <w:rsid w:val="003313A6"/>
    <w:rsid w:val="003327EA"/>
    <w:rsid w:val="003329CF"/>
    <w:rsid w:val="00342452"/>
    <w:rsid w:val="00347883"/>
    <w:rsid w:val="003506C5"/>
    <w:rsid w:val="00364192"/>
    <w:rsid w:val="00364739"/>
    <w:rsid w:val="00372E19"/>
    <w:rsid w:val="00381544"/>
    <w:rsid w:val="00391E1F"/>
    <w:rsid w:val="003A1BD7"/>
    <w:rsid w:val="003A2363"/>
    <w:rsid w:val="003A558F"/>
    <w:rsid w:val="003B36F6"/>
    <w:rsid w:val="003C0891"/>
    <w:rsid w:val="003C12FB"/>
    <w:rsid w:val="003C284C"/>
    <w:rsid w:val="003D1B7D"/>
    <w:rsid w:val="003F67BE"/>
    <w:rsid w:val="003F7737"/>
    <w:rsid w:val="004010A8"/>
    <w:rsid w:val="00401F04"/>
    <w:rsid w:val="004070E1"/>
    <w:rsid w:val="0041228F"/>
    <w:rsid w:val="00416646"/>
    <w:rsid w:val="004171F3"/>
    <w:rsid w:val="00424637"/>
    <w:rsid w:val="00424BBE"/>
    <w:rsid w:val="00426763"/>
    <w:rsid w:val="00432CD6"/>
    <w:rsid w:val="00444045"/>
    <w:rsid w:val="004602E2"/>
    <w:rsid w:val="004616C8"/>
    <w:rsid w:val="00461D26"/>
    <w:rsid w:val="0046400B"/>
    <w:rsid w:val="00470304"/>
    <w:rsid w:val="00470459"/>
    <w:rsid w:val="004708AB"/>
    <w:rsid w:val="004806A3"/>
    <w:rsid w:val="00480C1F"/>
    <w:rsid w:val="00484BCF"/>
    <w:rsid w:val="00486730"/>
    <w:rsid w:val="004973C0"/>
    <w:rsid w:val="004C1064"/>
    <w:rsid w:val="004C4825"/>
    <w:rsid w:val="004D2C4F"/>
    <w:rsid w:val="004D3BE1"/>
    <w:rsid w:val="004E304C"/>
    <w:rsid w:val="004E4CD7"/>
    <w:rsid w:val="004F66B0"/>
    <w:rsid w:val="004F6764"/>
    <w:rsid w:val="0050597E"/>
    <w:rsid w:val="005064D5"/>
    <w:rsid w:val="0051454B"/>
    <w:rsid w:val="005148C0"/>
    <w:rsid w:val="0052004C"/>
    <w:rsid w:val="00520963"/>
    <w:rsid w:val="00522E27"/>
    <w:rsid w:val="00522F56"/>
    <w:rsid w:val="00547981"/>
    <w:rsid w:val="00551E3F"/>
    <w:rsid w:val="005527B9"/>
    <w:rsid w:val="00554D67"/>
    <w:rsid w:val="00556804"/>
    <w:rsid w:val="00557BC4"/>
    <w:rsid w:val="00560E83"/>
    <w:rsid w:val="00563048"/>
    <w:rsid w:val="00563297"/>
    <w:rsid w:val="00566590"/>
    <w:rsid w:val="00580B26"/>
    <w:rsid w:val="00580B9D"/>
    <w:rsid w:val="00582BBC"/>
    <w:rsid w:val="005850EF"/>
    <w:rsid w:val="005958BC"/>
    <w:rsid w:val="00596F1D"/>
    <w:rsid w:val="005A2957"/>
    <w:rsid w:val="005C33B9"/>
    <w:rsid w:val="005C44F8"/>
    <w:rsid w:val="005D00D1"/>
    <w:rsid w:val="005D1A47"/>
    <w:rsid w:val="005D4214"/>
    <w:rsid w:val="005F4D9B"/>
    <w:rsid w:val="00606DB8"/>
    <w:rsid w:val="006110AE"/>
    <w:rsid w:val="006138B1"/>
    <w:rsid w:val="00617332"/>
    <w:rsid w:val="0062466B"/>
    <w:rsid w:val="006273D2"/>
    <w:rsid w:val="00633190"/>
    <w:rsid w:val="00634C73"/>
    <w:rsid w:val="00643052"/>
    <w:rsid w:val="00643D61"/>
    <w:rsid w:val="00652F6F"/>
    <w:rsid w:val="00657A28"/>
    <w:rsid w:val="00657DA9"/>
    <w:rsid w:val="00674F85"/>
    <w:rsid w:val="0068293A"/>
    <w:rsid w:val="0068336C"/>
    <w:rsid w:val="0068435A"/>
    <w:rsid w:val="00692A9B"/>
    <w:rsid w:val="006A7B67"/>
    <w:rsid w:val="006B60F4"/>
    <w:rsid w:val="006C08BC"/>
    <w:rsid w:val="006C1B21"/>
    <w:rsid w:val="006C27D1"/>
    <w:rsid w:val="006D0FC8"/>
    <w:rsid w:val="006D1D72"/>
    <w:rsid w:val="006D36C8"/>
    <w:rsid w:val="006D5D6C"/>
    <w:rsid w:val="006E33F7"/>
    <w:rsid w:val="006E6924"/>
    <w:rsid w:val="006E7D8F"/>
    <w:rsid w:val="00700C27"/>
    <w:rsid w:val="00702B7D"/>
    <w:rsid w:val="00703BDD"/>
    <w:rsid w:val="00704C88"/>
    <w:rsid w:val="00705195"/>
    <w:rsid w:val="0071715C"/>
    <w:rsid w:val="00717CF7"/>
    <w:rsid w:val="00720A6F"/>
    <w:rsid w:val="007275CF"/>
    <w:rsid w:val="00731659"/>
    <w:rsid w:val="00732E88"/>
    <w:rsid w:val="0074111B"/>
    <w:rsid w:val="00741B87"/>
    <w:rsid w:val="007428A5"/>
    <w:rsid w:val="00745BC4"/>
    <w:rsid w:val="00750DD5"/>
    <w:rsid w:val="00753554"/>
    <w:rsid w:val="00753ED8"/>
    <w:rsid w:val="0076267D"/>
    <w:rsid w:val="00770B96"/>
    <w:rsid w:val="00771DA1"/>
    <w:rsid w:val="00772458"/>
    <w:rsid w:val="00772DAE"/>
    <w:rsid w:val="0077608E"/>
    <w:rsid w:val="00777521"/>
    <w:rsid w:val="0078170C"/>
    <w:rsid w:val="0078261A"/>
    <w:rsid w:val="00783112"/>
    <w:rsid w:val="007870E9"/>
    <w:rsid w:val="007924ED"/>
    <w:rsid w:val="0079772A"/>
    <w:rsid w:val="007A00EF"/>
    <w:rsid w:val="007A24A0"/>
    <w:rsid w:val="007A3598"/>
    <w:rsid w:val="007B322A"/>
    <w:rsid w:val="007B3839"/>
    <w:rsid w:val="007B4AF6"/>
    <w:rsid w:val="007B74E9"/>
    <w:rsid w:val="007D35FB"/>
    <w:rsid w:val="007E031E"/>
    <w:rsid w:val="007E3305"/>
    <w:rsid w:val="007E6710"/>
    <w:rsid w:val="007F0146"/>
    <w:rsid w:val="007F6D92"/>
    <w:rsid w:val="007F7B3D"/>
    <w:rsid w:val="00800CE6"/>
    <w:rsid w:val="00806C31"/>
    <w:rsid w:val="00813BA3"/>
    <w:rsid w:val="008164D5"/>
    <w:rsid w:val="0082639B"/>
    <w:rsid w:val="00827EB8"/>
    <w:rsid w:val="00832D38"/>
    <w:rsid w:val="008362F6"/>
    <w:rsid w:val="00836556"/>
    <w:rsid w:val="008366A3"/>
    <w:rsid w:val="00843899"/>
    <w:rsid w:val="00843CD7"/>
    <w:rsid w:val="00847050"/>
    <w:rsid w:val="00860B66"/>
    <w:rsid w:val="00862E63"/>
    <w:rsid w:val="00863E0D"/>
    <w:rsid w:val="00863E57"/>
    <w:rsid w:val="00864686"/>
    <w:rsid w:val="00874757"/>
    <w:rsid w:val="00874857"/>
    <w:rsid w:val="008761B6"/>
    <w:rsid w:val="00877845"/>
    <w:rsid w:val="008803B7"/>
    <w:rsid w:val="00883F2B"/>
    <w:rsid w:val="00892292"/>
    <w:rsid w:val="00893FF0"/>
    <w:rsid w:val="008A017C"/>
    <w:rsid w:val="008A3793"/>
    <w:rsid w:val="008B2E83"/>
    <w:rsid w:val="008C0089"/>
    <w:rsid w:val="008C2601"/>
    <w:rsid w:val="008C5C0D"/>
    <w:rsid w:val="008C6B9D"/>
    <w:rsid w:val="008C7B95"/>
    <w:rsid w:val="008D6AD0"/>
    <w:rsid w:val="008F14C4"/>
    <w:rsid w:val="008F20B3"/>
    <w:rsid w:val="008F60FB"/>
    <w:rsid w:val="00900979"/>
    <w:rsid w:val="00913600"/>
    <w:rsid w:val="0091524E"/>
    <w:rsid w:val="00923A7A"/>
    <w:rsid w:val="00924849"/>
    <w:rsid w:val="00925FD3"/>
    <w:rsid w:val="0092640D"/>
    <w:rsid w:val="00926803"/>
    <w:rsid w:val="0092734B"/>
    <w:rsid w:val="00930B7A"/>
    <w:rsid w:val="009346C3"/>
    <w:rsid w:val="0093487B"/>
    <w:rsid w:val="0094624A"/>
    <w:rsid w:val="00947B25"/>
    <w:rsid w:val="0095647E"/>
    <w:rsid w:val="00966603"/>
    <w:rsid w:val="00972247"/>
    <w:rsid w:val="00977CAF"/>
    <w:rsid w:val="0098155C"/>
    <w:rsid w:val="00984545"/>
    <w:rsid w:val="009917F4"/>
    <w:rsid w:val="009A4448"/>
    <w:rsid w:val="009A4F9A"/>
    <w:rsid w:val="009A7614"/>
    <w:rsid w:val="009A7A8F"/>
    <w:rsid w:val="009B5C17"/>
    <w:rsid w:val="009B6ACE"/>
    <w:rsid w:val="009C0E87"/>
    <w:rsid w:val="009C3DE6"/>
    <w:rsid w:val="009D0723"/>
    <w:rsid w:val="009D0E59"/>
    <w:rsid w:val="009D452E"/>
    <w:rsid w:val="009E7CBC"/>
    <w:rsid w:val="009F16FF"/>
    <w:rsid w:val="009F174B"/>
    <w:rsid w:val="00A03801"/>
    <w:rsid w:val="00A11221"/>
    <w:rsid w:val="00A23729"/>
    <w:rsid w:val="00A2448D"/>
    <w:rsid w:val="00A24F13"/>
    <w:rsid w:val="00A25290"/>
    <w:rsid w:val="00A371F8"/>
    <w:rsid w:val="00A5136D"/>
    <w:rsid w:val="00A53066"/>
    <w:rsid w:val="00A60905"/>
    <w:rsid w:val="00A61B9C"/>
    <w:rsid w:val="00A6283D"/>
    <w:rsid w:val="00A6683A"/>
    <w:rsid w:val="00A73602"/>
    <w:rsid w:val="00A74315"/>
    <w:rsid w:val="00A77CE7"/>
    <w:rsid w:val="00A80837"/>
    <w:rsid w:val="00A81500"/>
    <w:rsid w:val="00A82E1B"/>
    <w:rsid w:val="00A87101"/>
    <w:rsid w:val="00A902CE"/>
    <w:rsid w:val="00A91D9F"/>
    <w:rsid w:val="00A9387A"/>
    <w:rsid w:val="00AA68EC"/>
    <w:rsid w:val="00AB659C"/>
    <w:rsid w:val="00AB7BCE"/>
    <w:rsid w:val="00AC096A"/>
    <w:rsid w:val="00AE0747"/>
    <w:rsid w:val="00AF232A"/>
    <w:rsid w:val="00AF6F18"/>
    <w:rsid w:val="00AF7046"/>
    <w:rsid w:val="00B01A64"/>
    <w:rsid w:val="00B07BA6"/>
    <w:rsid w:val="00B12726"/>
    <w:rsid w:val="00B15474"/>
    <w:rsid w:val="00B15647"/>
    <w:rsid w:val="00B23286"/>
    <w:rsid w:val="00B27675"/>
    <w:rsid w:val="00B27E1F"/>
    <w:rsid w:val="00B32A6B"/>
    <w:rsid w:val="00B50074"/>
    <w:rsid w:val="00B60145"/>
    <w:rsid w:val="00B61B0D"/>
    <w:rsid w:val="00B64B06"/>
    <w:rsid w:val="00B7223D"/>
    <w:rsid w:val="00BA19F5"/>
    <w:rsid w:val="00BA67F0"/>
    <w:rsid w:val="00BC233F"/>
    <w:rsid w:val="00BC5423"/>
    <w:rsid w:val="00BD021C"/>
    <w:rsid w:val="00BD2289"/>
    <w:rsid w:val="00BD55DB"/>
    <w:rsid w:val="00BD70E8"/>
    <w:rsid w:val="00BD74AF"/>
    <w:rsid w:val="00BD784F"/>
    <w:rsid w:val="00BE4EC5"/>
    <w:rsid w:val="00BF1E12"/>
    <w:rsid w:val="00BF323B"/>
    <w:rsid w:val="00BF436A"/>
    <w:rsid w:val="00C01FCE"/>
    <w:rsid w:val="00C1288E"/>
    <w:rsid w:val="00C14751"/>
    <w:rsid w:val="00C21436"/>
    <w:rsid w:val="00C22447"/>
    <w:rsid w:val="00C2266E"/>
    <w:rsid w:val="00C239E1"/>
    <w:rsid w:val="00C24A62"/>
    <w:rsid w:val="00C50D46"/>
    <w:rsid w:val="00C5294C"/>
    <w:rsid w:val="00C53C96"/>
    <w:rsid w:val="00C550CC"/>
    <w:rsid w:val="00C72FA3"/>
    <w:rsid w:val="00C73D24"/>
    <w:rsid w:val="00C92C44"/>
    <w:rsid w:val="00C95323"/>
    <w:rsid w:val="00C9656F"/>
    <w:rsid w:val="00CA0A44"/>
    <w:rsid w:val="00CA17DC"/>
    <w:rsid w:val="00CA3A57"/>
    <w:rsid w:val="00CA52CC"/>
    <w:rsid w:val="00CA5746"/>
    <w:rsid w:val="00CA5B2B"/>
    <w:rsid w:val="00CC5161"/>
    <w:rsid w:val="00CC7499"/>
    <w:rsid w:val="00CD07B2"/>
    <w:rsid w:val="00CD6165"/>
    <w:rsid w:val="00CD6650"/>
    <w:rsid w:val="00CE333A"/>
    <w:rsid w:val="00CE411B"/>
    <w:rsid w:val="00CE456A"/>
    <w:rsid w:val="00CE67B6"/>
    <w:rsid w:val="00CE6C51"/>
    <w:rsid w:val="00D04F89"/>
    <w:rsid w:val="00D07039"/>
    <w:rsid w:val="00D10F59"/>
    <w:rsid w:val="00D11D3C"/>
    <w:rsid w:val="00D14AA0"/>
    <w:rsid w:val="00D210F5"/>
    <w:rsid w:val="00D22CCB"/>
    <w:rsid w:val="00D2719B"/>
    <w:rsid w:val="00D31995"/>
    <w:rsid w:val="00D40421"/>
    <w:rsid w:val="00D4143D"/>
    <w:rsid w:val="00D42472"/>
    <w:rsid w:val="00D505AD"/>
    <w:rsid w:val="00D5160C"/>
    <w:rsid w:val="00D57C21"/>
    <w:rsid w:val="00D61BA3"/>
    <w:rsid w:val="00D652F5"/>
    <w:rsid w:val="00D66474"/>
    <w:rsid w:val="00D67788"/>
    <w:rsid w:val="00D677B0"/>
    <w:rsid w:val="00D72ACB"/>
    <w:rsid w:val="00D75DA9"/>
    <w:rsid w:val="00D762B7"/>
    <w:rsid w:val="00D81C23"/>
    <w:rsid w:val="00D874AA"/>
    <w:rsid w:val="00D907C5"/>
    <w:rsid w:val="00D90D30"/>
    <w:rsid w:val="00D9318E"/>
    <w:rsid w:val="00D942C8"/>
    <w:rsid w:val="00DA4511"/>
    <w:rsid w:val="00DB3BF5"/>
    <w:rsid w:val="00DC7C6A"/>
    <w:rsid w:val="00DD1991"/>
    <w:rsid w:val="00DD78CA"/>
    <w:rsid w:val="00DE217C"/>
    <w:rsid w:val="00DE3FBE"/>
    <w:rsid w:val="00DE4DB3"/>
    <w:rsid w:val="00DF2A22"/>
    <w:rsid w:val="00E0015C"/>
    <w:rsid w:val="00E013E8"/>
    <w:rsid w:val="00E1009B"/>
    <w:rsid w:val="00E16F2E"/>
    <w:rsid w:val="00E318E3"/>
    <w:rsid w:val="00E35DE7"/>
    <w:rsid w:val="00E41FED"/>
    <w:rsid w:val="00E4683E"/>
    <w:rsid w:val="00E531BF"/>
    <w:rsid w:val="00E70840"/>
    <w:rsid w:val="00E74C7A"/>
    <w:rsid w:val="00E830F0"/>
    <w:rsid w:val="00E8726D"/>
    <w:rsid w:val="00E96AF7"/>
    <w:rsid w:val="00E97570"/>
    <w:rsid w:val="00EA4E1C"/>
    <w:rsid w:val="00EA50DD"/>
    <w:rsid w:val="00EA7005"/>
    <w:rsid w:val="00EC5A65"/>
    <w:rsid w:val="00ED160D"/>
    <w:rsid w:val="00ED1E71"/>
    <w:rsid w:val="00ED6C1D"/>
    <w:rsid w:val="00EE0D34"/>
    <w:rsid w:val="00EE297E"/>
    <w:rsid w:val="00EE2C57"/>
    <w:rsid w:val="00EE5B09"/>
    <w:rsid w:val="00EE6B92"/>
    <w:rsid w:val="00EF120F"/>
    <w:rsid w:val="00EF4A93"/>
    <w:rsid w:val="00F01CB5"/>
    <w:rsid w:val="00F02476"/>
    <w:rsid w:val="00F178C4"/>
    <w:rsid w:val="00F2357D"/>
    <w:rsid w:val="00F26F32"/>
    <w:rsid w:val="00F30BDA"/>
    <w:rsid w:val="00F312C7"/>
    <w:rsid w:val="00F3215A"/>
    <w:rsid w:val="00F35F8F"/>
    <w:rsid w:val="00F47D14"/>
    <w:rsid w:val="00F51AA7"/>
    <w:rsid w:val="00F56C76"/>
    <w:rsid w:val="00F6449F"/>
    <w:rsid w:val="00F65779"/>
    <w:rsid w:val="00F6733A"/>
    <w:rsid w:val="00F73989"/>
    <w:rsid w:val="00F815B0"/>
    <w:rsid w:val="00F81727"/>
    <w:rsid w:val="00F836A5"/>
    <w:rsid w:val="00F84654"/>
    <w:rsid w:val="00F84B8D"/>
    <w:rsid w:val="00F869F5"/>
    <w:rsid w:val="00F9072D"/>
    <w:rsid w:val="00F9551B"/>
    <w:rsid w:val="00F95D43"/>
    <w:rsid w:val="00FA78E0"/>
    <w:rsid w:val="00FC09D2"/>
    <w:rsid w:val="00FC18D6"/>
    <w:rsid w:val="00FC198C"/>
    <w:rsid w:val="00FC4174"/>
    <w:rsid w:val="00FC4341"/>
    <w:rsid w:val="00FC4F9A"/>
    <w:rsid w:val="00FC580F"/>
    <w:rsid w:val="00FD344F"/>
    <w:rsid w:val="00FD650A"/>
    <w:rsid w:val="00FE3079"/>
    <w:rsid w:val="00FE54CA"/>
    <w:rsid w:val="00FE5DF9"/>
    <w:rsid w:val="00FE6D67"/>
    <w:rsid w:val="00FF6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24637"/>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EFSA op_Footnote,FEEDAP Op_Footnote,Footnote Text Char Char,FT, Char1 Char"/>
    <w:basedOn w:val="NormalText"/>
    <w:link w:val="FootnoteTextChar"/>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link w:val="BODYTEXTChar"/>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paragraph" w:customStyle="1" w:styleId="RifStandard">
    <w:name w:val="Rif Standard"/>
    <w:link w:val="RifStandardZchn"/>
    <w:rsid w:val="00900979"/>
    <w:pPr>
      <w:widowControl w:val="0"/>
      <w:jc w:val="both"/>
    </w:pPr>
    <w:rPr>
      <w:sz w:val="22"/>
      <w:szCs w:val="22"/>
      <w:lang w:val="en-GB" w:eastAsia="de-DE"/>
    </w:rPr>
  </w:style>
  <w:style w:type="character" w:customStyle="1" w:styleId="RifStandardZchn">
    <w:name w:val="Rif Standard Zchn"/>
    <w:link w:val="RifStandard"/>
    <w:rsid w:val="00900979"/>
    <w:rPr>
      <w:sz w:val="22"/>
      <w:szCs w:val="22"/>
      <w:lang w:val="en-GB" w:eastAsia="de-DE"/>
    </w:rPr>
  </w:style>
  <w:style w:type="paragraph" w:customStyle="1" w:styleId="RifTextTableneu">
    <w:name w:val="Rif TextTable_neu"/>
    <w:basedOn w:val="RifStandard"/>
    <w:uiPriority w:val="99"/>
    <w:qFormat/>
    <w:rsid w:val="00900979"/>
  </w:style>
  <w:style w:type="character" w:customStyle="1" w:styleId="Heading3Char">
    <w:name w:val="Heading 3 Char"/>
    <w:aliases w:val="APVMA_H3 Char"/>
    <w:basedOn w:val="DefaultParagraphFont"/>
    <w:link w:val="Heading3"/>
    <w:uiPriority w:val="3"/>
    <w:rsid w:val="003327EA"/>
    <w:rPr>
      <w:rFonts w:ascii="Franklin Gothic Medium" w:hAnsi="Franklin Gothic Medium" w:cs="Arial"/>
      <w:color w:val="00747A" w:themeColor="background2"/>
      <w:sz w:val="24"/>
      <w:szCs w:val="26"/>
      <w:u w:color="000000"/>
      <w:lang w:eastAsia="en-US"/>
    </w:rPr>
  </w:style>
  <w:style w:type="character" w:customStyle="1" w:styleId="BODYTEXTChar">
    <w:name w:val="BODYTEXT Char"/>
    <w:basedOn w:val="DefaultParagraphFont"/>
    <w:link w:val="BODYTEXT"/>
    <w:rsid w:val="003327EA"/>
    <w:rPr>
      <w:sz w:val="24"/>
      <w:lang w:eastAsia="en-US"/>
    </w:rPr>
  </w:style>
  <w:style w:type="character" w:customStyle="1" w:styleId="FootnoteTextChar">
    <w:name w:val="Footnote Text Char"/>
    <w:aliases w:val="APVMA_Footnote Char,DAR001 Char,Tabellenanmerkung Char,EFSA op_Footnote Char,FEEDAP Op_Footnote Char,Footnote Text Char Char Char,FT Char, Char1 Char Char"/>
    <w:basedOn w:val="DefaultParagraphFont"/>
    <w:link w:val="FootnoteText"/>
    <w:rsid w:val="00A82E1B"/>
    <w:rPr>
      <w:rFonts w:ascii="Arial" w:hAnsi="Arial" w:cs="Arial"/>
      <w:spacing w:val="6"/>
      <w:kern w:val="20"/>
      <w:sz w:val="16"/>
      <w:u w:color="000000"/>
      <w:lang w:eastAsia="en-US"/>
    </w:rPr>
  </w:style>
  <w:style w:type="character" w:customStyle="1" w:styleId="APVMATextChar">
    <w:name w:val="APVMA_Text Char"/>
    <w:basedOn w:val="DefaultParagraphFont"/>
    <w:link w:val="APVMAText"/>
    <w:rsid w:val="00E74C7A"/>
    <w:rPr>
      <w:rFonts w:ascii="Arial" w:hAnsi="Arial" w:cs="Arial"/>
      <w:szCs w:val="24"/>
      <w:u w:color="000000"/>
      <w:lang w:eastAsia="en-US"/>
    </w:rPr>
  </w:style>
  <w:style w:type="paragraph" w:customStyle="1" w:styleId="OECD-header-text">
    <w:name w:val="OECD-header-text"/>
    <w:rsid w:val="00A9387A"/>
    <w:pPr>
      <w:spacing w:after="160" w:line="252" w:lineRule="auto"/>
      <w:jc w:val="right"/>
    </w:pPr>
    <w:rPr>
      <w:rFonts w:asciiTheme="minorHAnsi" w:eastAsiaTheme="minorEastAsia" w:hAnsiTheme="minorHAnsi" w:cstheme="minorBidi"/>
      <w:b/>
      <w:sz w:val="22"/>
      <w:szCs w:val="22"/>
      <w:lang w:val="en-GB" w:eastAsia="en-US"/>
    </w:rPr>
  </w:style>
  <w:style w:type="paragraph" w:styleId="Title">
    <w:name w:val="Title"/>
    <w:basedOn w:val="Normal"/>
    <w:link w:val="TitleChar"/>
    <w:uiPriority w:val="99"/>
    <w:qFormat/>
    <w:rsid w:val="00FC4174"/>
    <w:pPr>
      <w:spacing w:line="240" w:lineRule="auto"/>
      <w:ind w:left="2880" w:right="2880"/>
      <w:jc w:val="center"/>
    </w:pPr>
    <w:rPr>
      <w:rFonts w:eastAsia="SimSun"/>
      <w:b/>
      <w:sz w:val="50"/>
      <w:szCs w:val="20"/>
    </w:rPr>
  </w:style>
  <w:style w:type="character" w:customStyle="1" w:styleId="TitleChar">
    <w:name w:val="Title Char"/>
    <w:basedOn w:val="DefaultParagraphFont"/>
    <w:link w:val="Title"/>
    <w:uiPriority w:val="99"/>
    <w:rsid w:val="00FC4174"/>
    <w:rPr>
      <w:rFonts w:ascii="Arial" w:eastAsia="SimSun" w:hAnsi="Arial"/>
      <w:b/>
      <w:sz w:val="50"/>
      <w:lang w:eastAsia="en-US"/>
    </w:rPr>
  </w:style>
  <w:style w:type="paragraph" w:styleId="Subtitle">
    <w:name w:val="Subtitle"/>
    <w:basedOn w:val="Normal"/>
    <w:link w:val="SubtitleChar"/>
    <w:uiPriority w:val="99"/>
    <w:qFormat/>
    <w:rsid w:val="00FC4174"/>
    <w:pPr>
      <w:spacing w:line="240" w:lineRule="auto"/>
      <w:ind w:right="-7"/>
      <w:jc w:val="center"/>
    </w:pPr>
    <w:rPr>
      <w:rFonts w:eastAsia="SimSun"/>
      <w:sz w:val="30"/>
      <w:szCs w:val="20"/>
    </w:rPr>
  </w:style>
  <w:style w:type="character" w:customStyle="1" w:styleId="SubtitleChar">
    <w:name w:val="Subtitle Char"/>
    <w:basedOn w:val="DefaultParagraphFont"/>
    <w:link w:val="Subtitle"/>
    <w:uiPriority w:val="99"/>
    <w:rsid w:val="00FC4174"/>
    <w:rPr>
      <w:rFonts w:ascii="Arial" w:eastAsia="SimSun" w:hAnsi="Arial"/>
      <w:sz w:val="30"/>
      <w:lang w:eastAsia="en-US"/>
    </w:rPr>
  </w:style>
  <w:style w:type="table" w:styleId="TableGrid">
    <w:name w:val="Table Grid"/>
    <w:basedOn w:val="TableNormal"/>
    <w:uiPriority w:val="99"/>
    <w:rsid w:val="00FC4174"/>
    <w:rPr>
      <w:rFonts w:ascii="Times" w:eastAsia="SimSun" w:hAnsi="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0582">
      <w:bodyDiv w:val="1"/>
      <w:marLeft w:val="0"/>
      <w:marRight w:val="0"/>
      <w:marTop w:val="0"/>
      <w:marBottom w:val="0"/>
      <w:divBdr>
        <w:top w:val="none" w:sz="0" w:space="0" w:color="auto"/>
        <w:left w:val="none" w:sz="0" w:space="0" w:color="auto"/>
        <w:bottom w:val="none" w:sz="0" w:space="0" w:color="auto"/>
        <w:right w:val="none" w:sz="0" w:space="0" w:color="auto"/>
      </w:divBdr>
    </w:div>
    <w:div w:id="466356563">
      <w:bodyDiv w:val="1"/>
      <w:marLeft w:val="0"/>
      <w:marRight w:val="0"/>
      <w:marTop w:val="0"/>
      <w:marBottom w:val="0"/>
      <w:divBdr>
        <w:top w:val="none" w:sz="0" w:space="0" w:color="auto"/>
        <w:left w:val="none" w:sz="0" w:space="0" w:color="auto"/>
        <w:bottom w:val="none" w:sz="0" w:space="0" w:color="auto"/>
        <w:right w:val="none" w:sz="0" w:space="0" w:color="auto"/>
      </w:divBdr>
    </w:div>
    <w:div w:id="561864707">
      <w:bodyDiv w:val="1"/>
      <w:marLeft w:val="0"/>
      <w:marRight w:val="0"/>
      <w:marTop w:val="0"/>
      <w:marBottom w:val="0"/>
      <w:divBdr>
        <w:top w:val="none" w:sz="0" w:space="0" w:color="auto"/>
        <w:left w:val="none" w:sz="0" w:space="0" w:color="auto"/>
        <w:bottom w:val="none" w:sz="0" w:space="0" w:color="auto"/>
        <w:right w:val="none" w:sz="0" w:space="0" w:color="auto"/>
      </w:divBdr>
    </w:div>
    <w:div w:id="8480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reativecommons.org/licenses/by/4.0/" TargetMode="External"/><Relationship Id="rId26" Type="http://schemas.openxmlformats.org/officeDocument/2006/relationships/hyperlink" Target="https://apvma.gov.au/node/72856" TargetMode="External"/><Relationship Id="rId39" Type="http://schemas.openxmlformats.org/officeDocument/2006/relationships/header" Target="header10.xml"/><Relationship Id="rId21" Type="http://schemas.openxmlformats.org/officeDocument/2006/relationships/hyperlink" Target="mailto:communications@apvma.gov.au" TargetMode="External"/><Relationship Id="rId34" Type="http://schemas.openxmlformats.org/officeDocument/2006/relationships/header" Target="header7.xml"/><Relationship Id="rId42" Type="http://schemas.openxmlformats.org/officeDocument/2006/relationships/header" Target="header13.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image" Target="media/image5.png"/><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mailto:casemanagement@apvma.gov.au" TargetMode="External"/><Relationship Id="rId36"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hyperlink" Target="https://creativecommons.org/licenses/by/4.0/legalcode" TargetMode="External"/><Relationship Id="rId31" Type="http://schemas.openxmlformats.org/officeDocument/2006/relationships/header" Target="header5.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apvma.gov.au" TargetMode="External"/><Relationship Id="rId27" Type="http://schemas.openxmlformats.org/officeDocument/2006/relationships/hyperlink" Target="https://apvma.gov.au/node/72856" TargetMode="External"/><Relationship Id="rId30" Type="http://schemas.openxmlformats.org/officeDocument/2006/relationships/hyperlink" Target="https://apvma.gov.au/" TargetMode="External"/><Relationship Id="rId35" Type="http://schemas.openxmlformats.org/officeDocument/2006/relationships/image" Target="media/image6.png"/><Relationship Id="rId43" Type="http://schemas.openxmlformats.org/officeDocument/2006/relationships/header" Target="header14.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apvma.gov.au/" TargetMode="External"/><Relationship Id="rId33" Type="http://schemas.openxmlformats.org/officeDocument/2006/relationships/header" Target="header6.xml"/><Relationship Id="rId38" Type="http://schemas.openxmlformats.org/officeDocument/2006/relationships/header" Target="header9.xml"/><Relationship Id="rId46" Type="http://schemas.openxmlformats.org/officeDocument/2006/relationships/header" Target="header17.xml"/><Relationship Id="rId20" Type="http://schemas.openxmlformats.org/officeDocument/2006/relationships/hyperlink" Target="https://www.pmc.gov.au/honours-and-symbols/commonwealth-coat-arms"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apps.fas.usda.gov/newgainapi/api/Report/DownloadReportByFileName?fileName=National%20Food%20Safety%20Standard%20for%20Maximum%20Residue%20Limits%20of%20112%20Pesticides%20in%20Foods%20Released_Beijing_China%20-%20People%27s%20Republic%20of_CH2023-0042" TargetMode="External"/><Relationship Id="rId7" Type="http://schemas.openxmlformats.org/officeDocument/2006/relationships/hyperlink" Target="http://www.ecfr.gov/" TargetMode="External"/><Relationship Id="rId2" Type="http://schemas.openxmlformats.org/officeDocument/2006/relationships/hyperlink" Target="http://ec.europa.eu/" TargetMode="External"/><Relationship Id="rId1" Type="http://schemas.openxmlformats.org/officeDocument/2006/relationships/hyperlink" Target="http://www.codexalimentarius.net/" TargetMode="External"/><Relationship Id="rId6" Type="http://schemas.openxmlformats.org/officeDocument/2006/relationships/hyperlink" Target="https://consumer.fda.gov.tw/Law/Detail.aspx?nodeID=518&amp;lang=1&amp;lawid=127" TargetMode="External"/><Relationship Id="rId5" Type="http://schemas.openxmlformats.org/officeDocument/2006/relationships/hyperlink" Target="http://www.foodsafetykorea.go.kr/residue/prd/mrls/list.do?menuKey=1&amp;subMenuKey=161" TargetMode="External"/><Relationship Id="rId4" Type="http://schemas.openxmlformats.org/officeDocument/2006/relationships/hyperlink" Target="https://www.ffcr.or.jp/en/zanry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00782AAB515E47F68D0ED650F5E2ABDE" version="1.0.0">
  <systemFields>
    <field name="Objective-Id">
      <value order="0">A3518977</value>
    </field>
    <field name="Objective-Title">
      <value order="0">94460-142477 - 1,4 Sight Potato Dormancy Enhancer -PRS</value>
    </field>
    <field name="Objective-Description">
      <value order="0"/>
    </field>
    <field name="Objective-CreationStamp">
      <value order="0">2025-05-14T04:54:57Z</value>
    </field>
    <field name="Objective-IsApproved">
      <value order="0">false</value>
    </field>
    <field name="Objective-IsPublished">
      <value order="0">false</value>
    </field>
    <field name="Objective-DatePublished">
      <value order="0"/>
    </field>
    <field name="Objective-ModificationStamp">
      <value order="0">2026-05-15T05:31:04Z</value>
    </field>
    <field name="Objective-Owner">
      <value order="0">Yaara Rotman</value>
    </field>
    <field name="Objective-Path">
      <value order="0">APVMA:REGISTRATION:Registration - Product, Permit and Active Files:Product, Permit and Active Files 92500 - 94999:94460 - 1,4 Sight Potato Dormancy Enhancer:94460 - 142477 - 1,4 Sight Potato Dormancy Enhancer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vA5772633</value>
    </field>
    <field name="Objective-Version">
      <value order="0">3.9</value>
    </field>
    <field name="Objective-VersionNumber">
      <value order="0">37</value>
    </field>
    <field name="Objective-VersionComment">
      <value order="0"/>
    </field>
    <field name="Objective-FileNumber">
      <value order="0">qA496752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TaxCatchAll xmlns="44877229-f734-40ae-9ea5-81d883e7513f" xsi:nil="true"/>
    <Source xmlns="c5be08a9-770c-4171-8708-964adf2deec9" xsi:nil="true"/>
    <DocumentType xmlns="c5be08a9-770c-4171-8708-964adf2deec9" xsi:nil="true"/>
    <Dataitem_x0023_ xmlns="c5be08a9-770c-4171-8708-964adf2deec9" xsi:nil="true"/>
    <Date xmlns="c5be08a9-770c-4171-8708-964adf2deec9" xsi:nil="true"/>
    <lcf76f155ced4ddcb4097134ff3c332f xmlns="c5be08a9-770c-4171-8708-964adf2dee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37924C6E64D84485DCC6BE376EB169" ma:contentTypeVersion="21" ma:contentTypeDescription="Create a new document." ma:contentTypeScope="" ma:versionID="59c00eac0b1dfcdbd1d7591efcafa4e5">
  <xsd:schema xmlns:xsd="http://www.w3.org/2001/XMLSchema" xmlns:xs="http://www.w3.org/2001/XMLSchema" xmlns:p="http://schemas.microsoft.com/office/2006/metadata/properties" xmlns:ns2="c5be08a9-770c-4171-8708-964adf2deec9" xmlns:ns3="44877229-f734-40ae-9ea5-81d883e7513f" targetNamespace="http://schemas.microsoft.com/office/2006/metadata/properties" ma:root="true" ma:fieldsID="427b63e8ceed6db46ca8de5b1808c7c9" ns2:_="" ns3:_="">
    <xsd:import namespace="c5be08a9-770c-4171-8708-964adf2deec9"/>
    <xsd:import namespace="44877229-f734-40ae-9ea5-81d883e7513f"/>
    <xsd:element name="properties">
      <xsd:complexType>
        <xsd:sequence>
          <xsd:element name="documentManagement">
            <xsd:complexType>
              <xsd:all>
                <xsd:element ref="ns2:DocumentType" minOccurs="0"/>
                <xsd:element ref="ns2:Date" minOccurs="0"/>
                <xsd:element ref="ns2:Sourc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BillingMetadata" minOccurs="0"/>
                <xsd:element ref="ns2:MediaLengthInSeconds" minOccurs="0"/>
                <xsd:element ref="ns2:MediaServiceLocation" minOccurs="0"/>
                <xsd:element ref="ns2:Dataitem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e08a9-770c-4171-8708-964adf2deec9" elementFormDefault="qualified">
    <xsd:import namespace="http://schemas.microsoft.com/office/2006/documentManagement/types"/>
    <xsd:import namespace="http://schemas.microsoft.com/office/infopath/2007/PartnerControls"/>
    <xsd:element name="DocumentType" ma:index="2" nillable="true" ma:displayName="Document Type" ma:description="Identify the source and type of document contained in the file." ma:format="Dropdown" ma:internalName="DocumentType" ma:readOnly="false">
      <xsd:simpleType>
        <xsd:restriction base="dms:Text">
          <xsd:maxLength value="255"/>
        </xsd:restriction>
      </xsd:simpleType>
    </xsd:element>
    <xsd:element name="Date" ma:index="3" nillable="true" ma:displayName="Date" ma:description="Date created or written" ma:format="DateOnly" ma:internalName="Date" ma:readOnly="false">
      <xsd:simpleType>
        <xsd:restriction base="dms:DateTime"/>
      </xsd:simpleType>
    </xsd:element>
    <xsd:element name="Source" ma:index="4" nillable="true" ma:displayName="Source" ma:description="Who is the author or where did the document originate?" ma:format="Dropdown" ma:internalName="Source"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fa60b8-481d-4a8f-9eee-73d90151ac9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Dataitem_x0023_" ma:index="27" nillable="true" ma:displayName="Data item #" ma:description="Data item # listed on application" ma:format="Dropdown" ma:internalName="Dataitem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77229-f734-40ae-9ea5-81d883e751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5984ac-ef20-4660-be40-43bb6cd8d6f4}" ma:internalName="TaxCatchAll" ma:readOnly="false" ma:showField="CatchAllData" ma:web="44877229-f734-40ae-9ea5-81d883e751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FBF04AC-2A94-442D-AFE9-9FF9AD255831}">
  <ds:schemaRefs>
    <ds:schemaRef ds:uri="http://schemas.microsoft.com/office/2006/metadata/properties"/>
    <ds:schemaRef ds:uri="http://schemas.microsoft.com/office/infopath/2007/PartnerControls"/>
    <ds:schemaRef ds:uri="44877229-f734-40ae-9ea5-81d883e7513f"/>
    <ds:schemaRef ds:uri="c5be08a9-770c-4171-8708-964adf2deec9"/>
  </ds:schemaRefs>
</ds:datastoreItem>
</file>

<file path=customXml/itemProps3.xml><?xml version="1.0" encoding="utf-8"?>
<ds:datastoreItem xmlns:ds="http://schemas.openxmlformats.org/officeDocument/2006/customXml" ds:itemID="{2440EA71-2C71-4C25-99FD-2EFAD2A3FABE}">
  <ds:schemaRefs>
    <ds:schemaRef ds:uri="http://schemas.microsoft.com/sharepoint/v3/contenttype/forms"/>
  </ds:schemaRefs>
</ds:datastoreItem>
</file>

<file path=customXml/itemProps4.xml><?xml version="1.0" encoding="utf-8"?>
<ds:datastoreItem xmlns:ds="http://schemas.openxmlformats.org/officeDocument/2006/customXml" ds:itemID="{C7948B7D-C6A7-4901-A37E-64D5C0B1C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e08a9-770c-4171-8708-964adf2deec9"/>
    <ds:schemaRef ds:uri="44877229-f734-40ae-9ea5-81d883e75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0</TotalTime>
  <Pages>43</Pages>
  <Words>10954</Words>
  <Characters>62443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73251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SMITH, Justine</cp:lastModifiedBy>
  <cp:revision>2</cp:revision>
  <cp:lastPrinted>2019-04-25T12:55:00Z</cp:lastPrinted>
  <dcterms:created xsi:type="dcterms:W3CDTF">2026-05-18T04:18:00Z</dcterms:created>
  <dcterms:modified xsi:type="dcterms:W3CDTF">2026-05-18T04:18:00Z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A3518977</vt:lpwstr>
  </property>
  <property fmtid="{D5CDD505-2E9C-101B-9397-08002B2CF9AE}" pid="4" name="Objective-Title">
    <vt:lpwstr>94460-142477 - 1,4 Sight Potato Dormancy Enhancer -PRS</vt:lpwstr>
  </property>
  <property fmtid="{D5CDD505-2E9C-101B-9397-08002B2CF9AE}" pid="5" name="Objective-Comment">
    <vt:lpwstr/>
  </property>
  <property fmtid="{D5CDD505-2E9C-101B-9397-08002B2CF9AE}" pid="6" name="Objective-CreationStamp">
    <vt:filetime>2025-05-14T04:54:57Z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2026-05-15T05:31:04Z</vt:filetime>
  </property>
  <property fmtid="{D5CDD505-2E9C-101B-9397-08002B2CF9AE}" pid="11" name="Objective-Owner">
    <vt:lpwstr>Yaara Rotman</vt:lpwstr>
  </property>
  <property fmtid="{D5CDD505-2E9C-101B-9397-08002B2CF9AE}" pid="12" name="Objective-Path">
    <vt:lpwstr>APVMA:REGISTRATION:Registration - Product, Permit and Active Files:Product, Permit and Active Files 92500 - 94999:94460 - 1,4 Sight Potato Dormancy Enhancer:94460 - 142477 - 1,4 Sight Potato Dormancy Enhancer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3.9</vt:lpwstr>
  </property>
  <property fmtid="{D5CDD505-2E9C-101B-9397-08002B2CF9AE}" pid="16" name="Objective-VersionNumber">
    <vt:r8>37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vA5772633</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y fmtid="{D5CDD505-2E9C-101B-9397-08002B2CF9AE}" pid="47" name="ContentTypeId">
    <vt:lpwstr>0x0101004337924C6E64D84485DCC6BE376EB169</vt:lpwstr>
  </property>
  <property fmtid="{D5CDD505-2E9C-101B-9397-08002B2CF9AE}" pid="48" name="MediaServiceImageTags">
    <vt:lpwstr/>
  </property>
</Properties>
</file>