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77777777"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7E9311A7">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5DCA0B9F"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r w:rsidR="0063456D">
        <w:t>1-</w:t>
      </w:r>
      <w:r w:rsidR="00D21782">
        <w:t>a</w:t>
      </w:r>
      <w:r w:rsidR="0063456D">
        <w:t>minocycloprane-1-carboxylic acid</w:t>
      </w:r>
      <w:r w:rsidR="006D36C8">
        <w:t xml:space="preserve"> in the product </w:t>
      </w:r>
      <w:r w:rsidR="0063456D">
        <w:t>Accede Plant Growth Regulator</w:t>
      </w:r>
    </w:p>
    <w:p w14:paraId="522BA979" w14:textId="095F16A9" w:rsidR="006D36C8" w:rsidRDefault="006D36C8" w:rsidP="00193533">
      <w:pPr>
        <w:pStyle w:val="APVMACoverSubtitle"/>
        <w:jc w:val="center"/>
      </w:pPr>
      <w:r>
        <w:t xml:space="preserve">APVMA product number </w:t>
      </w:r>
      <w:r w:rsidR="0063456D">
        <w:t>94490</w:t>
      </w:r>
    </w:p>
    <w:p w14:paraId="69337BD1" w14:textId="3523B48F" w:rsidR="00193533" w:rsidRPr="00E41FED" w:rsidRDefault="00F7230A"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March</w:t>
      </w:r>
      <w:r w:rsidR="0063456D">
        <w:t xml:space="preserve"> 202</w:t>
      </w:r>
      <w:r>
        <w:t>6</w:t>
      </w:r>
    </w:p>
    <w:p w14:paraId="7721F955" w14:textId="0706B9FF" w:rsidR="00862E63" w:rsidRPr="005C0ACC" w:rsidRDefault="00862E63" w:rsidP="00CA5B2B">
      <w:pPr>
        <w:pStyle w:val="Copyrightpage"/>
      </w:pPr>
      <w:r w:rsidRPr="005C0ACC">
        <w:lastRenderedPageBreak/>
        <w:t xml:space="preserve">© Australian Pesticides and Veterinary Medicines Authority </w:t>
      </w:r>
      <w:r w:rsidR="00D51E52" w:rsidRPr="00D51E52">
        <w:t>2026</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36A2360E"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AA5A11" w:rsidRPr="00AA5A11">
        <w:t>GPO Box 574</w:t>
      </w:r>
      <w:r w:rsidR="00AA5A11">
        <w:br/>
      </w:r>
      <w:r w:rsidR="00AA5A11" w:rsidRPr="00AA5A11">
        <w:t>Canberra ACT 2601, Australia</w:t>
      </w:r>
    </w:p>
    <w:p w14:paraId="3BFC4D2F" w14:textId="68D3E279" w:rsidR="00862E63" w:rsidRPr="005C0ACC" w:rsidRDefault="006110AE" w:rsidP="00CA5B2B">
      <w:pPr>
        <w:pStyle w:val="Copyrightpage"/>
        <w:rPr>
          <w:color w:val="0000FF"/>
          <w:u w:val="single"/>
        </w:rPr>
      </w:pPr>
      <w:r>
        <w:t xml:space="preserve">Telephone: +61 2 </w:t>
      </w:r>
      <w:r w:rsidR="001F5D05">
        <w:t>6770 2300</w:t>
      </w:r>
      <w:r w:rsidR="00D21782">
        <w:br/>
      </w:r>
      <w:r w:rsidR="00862E63" w:rsidRPr="005C0ACC">
        <w:t xml:space="preserve">Email: </w:t>
      </w:r>
      <w:hyperlink r:id="rId18" w:history="1">
        <w:r w:rsidR="00862E63" w:rsidRPr="005C0ACC">
          <w:rPr>
            <w:color w:val="0000FF"/>
            <w:u w:val="single"/>
          </w:rPr>
          <w:t>communications@apvma.gov.au</w:t>
        </w:r>
      </w:hyperlink>
      <w:r w:rsidR="00862E63">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7363B086" w14:textId="74F31CAC" w:rsidR="00274331"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25169310" w:history="1">
        <w:r w:rsidR="00274331" w:rsidRPr="007B545E">
          <w:rPr>
            <w:rStyle w:val="Hyperlink"/>
          </w:rPr>
          <w:t>Preface</w:t>
        </w:r>
        <w:r w:rsidR="00274331">
          <w:rPr>
            <w:webHidden/>
          </w:rPr>
          <w:tab/>
        </w:r>
        <w:r w:rsidR="00274331">
          <w:rPr>
            <w:webHidden/>
          </w:rPr>
          <w:fldChar w:fldCharType="begin"/>
        </w:r>
        <w:r w:rsidR="00274331">
          <w:rPr>
            <w:webHidden/>
          </w:rPr>
          <w:instrText xml:space="preserve"> PAGEREF _Toc225169310 \h </w:instrText>
        </w:r>
        <w:r w:rsidR="00274331">
          <w:rPr>
            <w:webHidden/>
          </w:rPr>
        </w:r>
        <w:r w:rsidR="00274331">
          <w:rPr>
            <w:webHidden/>
          </w:rPr>
          <w:fldChar w:fldCharType="separate"/>
        </w:r>
        <w:r w:rsidR="00274331">
          <w:rPr>
            <w:webHidden/>
          </w:rPr>
          <w:t>1</w:t>
        </w:r>
        <w:r w:rsidR="00274331">
          <w:rPr>
            <w:webHidden/>
          </w:rPr>
          <w:fldChar w:fldCharType="end"/>
        </w:r>
      </w:hyperlink>
    </w:p>
    <w:p w14:paraId="5277E75C" w14:textId="6D2DF019"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11" w:history="1">
        <w:r w:rsidRPr="007B545E">
          <w:rPr>
            <w:rStyle w:val="Hyperlink"/>
          </w:rPr>
          <w:t>About this document</w:t>
        </w:r>
        <w:r>
          <w:rPr>
            <w:webHidden/>
          </w:rPr>
          <w:tab/>
        </w:r>
        <w:r>
          <w:rPr>
            <w:webHidden/>
          </w:rPr>
          <w:fldChar w:fldCharType="begin"/>
        </w:r>
        <w:r>
          <w:rPr>
            <w:webHidden/>
          </w:rPr>
          <w:instrText xml:space="preserve"> PAGEREF _Toc225169311 \h </w:instrText>
        </w:r>
        <w:r>
          <w:rPr>
            <w:webHidden/>
          </w:rPr>
        </w:r>
        <w:r>
          <w:rPr>
            <w:webHidden/>
          </w:rPr>
          <w:fldChar w:fldCharType="separate"/>
        </w:r>
        <w:r>
          <w:rPr>
            <w:webHidden/>
          </w:rPr>
          <w:t>1</w:t>
        </w:r>
        <w:r>
          <w:rPr>
            <w:webHidden/>
          </w:rPr>
          <w:fldChar w:fldCharType="end"/>
        </w:r>
      </w:hyperlink>
    </w:p>
    <w:p w14:paraId="5CF396CD" w14:textId="1C7E5B3C"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12" w:history="1">
        <w:r w:rsidRPr="007B545E">
          <w:rPr>
            <w:rStyle w:val="Hyperlink"/>
          </w:rPr>
          <w:t>Making a submission</w:t>
        </w:r>
        <w:r>
          <w:rPr>
            <w:webHidden/>
          </w:rPr>
          <w:tab/>
        </w:r>
        <w:r>
          <w:rPr>
            <w:webHidden/>
          </w:rPr>
          <w:fldChar w:fldCharType="begin"/>
        </w:r>
        <w:r>
          <w:rPr>
            <w:webHidden/>
          </w:rPr>
          <w:instrText xml:space="preserve"> PAGEREF _Toc225169312 \h </w:instrText>
        </w:r>
        <w:r>
          <w:rPr>
            <w:webHidden/>
          </w:rPr>
        </w:r>
        <w:r>
          <w:rPr>
            <w:webHidden/>
          </w:rPr>
          <w:fldChar w:fldCharType="separate"/>
        </w:r>
        <w:r>
          <w:rPr>
            <w:webHidden/>
          </w:rPr>
          <w:t>1</w:t>
        </w:r>
        <w:r>
          <w:rPr>
            <w:webHidden/>
          </w:rPr>
          <w:fldChar w:fldCharType="end"/>
        </w:r>
      </w:hyperlink>
    </w:p>
    <w:p w14:paraId="07ED2346" w14:textId="3C62F866"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13" w:history="1">
        <w:r w:rsidRPr="007B545E">
          <w:rPr>
            <w:rStyle w:val="Hyperlink"/>
          </w:rPr>
          <w:t>Further information</w:t>
        </w:r>
        <w:r>
          <w:rPr>
            <w:webHidden/>
          </w:rPr>
          <w:tab/>
        </w:r>
        <w:r>
          <w:rPr>
            <w:webHidden/>
          </w:rPr>
          <w:fldChar w:fldCharType="begin"/>
        </w:r>
        <w:r>
          <w:rPr>
            <w:webHidden/>
          </w:rPr>
          <w:instrText xml:space="preserve"> PAGEREF _Toc225169313 \h </w:instrText>
        </w:r>
        <w:r>
          <w:rPr>
            <w:webHidden/>
          </w:rPr>
        </w:r>
        <w:r>
          <w:rPr>
            <w:webHidden/>
          </w:rPr>
          <w:fldChar w:fldCharType="separate"/>
        </w:r>
        <w:r>
          <w:rPr>
            <w:webHidden/>
          </w:rPr>
          <w:t>2</w:t>
        </w:r>
        <w:r>
          <w:rPr>
            <w:webHidden/>
          </w:rPr>
          <w:fldChar w:fldCharType="end"/>
        </w:r>
      </w:hyperlink>
    </w:p>
    <w:p w14:paraId="2F6EDE04" w14:textId="21A832BD"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14" w:history="1">
        <w:r w:rsidRPr="007B545E">
          <w:rPr>
            <w:rStyle w:val="Hyperlink"/>
          </w:rPr>
          <w:t>Introduction</w:t>
        </w:r>
        <w:r>
          <w:rPr>
            <w:webHidden/>
          </w:rPr>
          <w:tab/>
        </w:r>
        <w:r>
          <w:rPr>
            <w:webHidden/>
          </w:rPr>
          <w:fldChar w:fldCharType="begin"/>
        </w:r>
        <w:r>
          <w:rPr>
            <w:webHidden/>
          </w:rPr>
          <w:instrText xml:space="preserve"> PAGEREF _Toc225169314 \h </w:instrText>
        </w:r>
        <w:r>
          <w:rPr>
            <w:webHidden/>
          </w:rPr>
        </w:r>
        <w:r>
          <w:rPr>
            <w:webHidden/>
          </w:rPr>
          <w:fldChar w:fldCharType="separate"/>
        </w:r>
        <w:r>
          <w:rPr>
            <w:webHidden/>
          </w:rPr>
          <w:t>3</w:t>
        </w:r>
        <w:r>
          <w:rPr>
            <w:webHidden/>
          </w:rPr>
          <w:fldChar w:fldCharType="end"/>
        </w:r>
      </w:hyperlink>
    </w:p>
    <w:p w14:paraId="4B481206" w14:textId="7C73EB3B"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15" w:history="1">
        <w:r w:rsidRPr="007B545E">
          <w:rPr>
            <w:rStyle w:val="Hyperlink"/>
          </w:rPr>
          <w:t>Applicant</w:t>
        </w:r>
        <w:r>
          <w:rPr>
            <w:webHidden/>
          </w:rPr>
          <w:tab/>
        </w:r>
        <w:r>
          <w:rPr>
            <w:webHidden/>
          </w:rPr>
          <w:fldChar w:fldCharType="begin"/>
        </w:r>
        <w:r>
          <w:rPr>
            <w:webHidden/>
          </w:rPr>
          <w:instrText xml:space="preserve"> PAGEREF _Toc225169315 \h </w:instrText>
        </w:r>
        <w:r>
          <w:rPr>
            <w:webHidden/>
          </w:rPr>
        </w:r>
        <w:r>
          <w:rPr>
            <w:webHidden/>
          </w:rPr>
          <w:fldChar w:fldCharType="separate"/>
        </w:r>
        <w:r>
          <w:rPr>
            <w:webHidden/>
          </w:rPr>
          <w:t>3</w:t>
        </w:r>
        <w:r>
          <w:rPr>
            <w:webHidden/>
          </w:rPr>
          <w:fldChar w:fldCharType="end"/>
        </w:r>
      </w:hyperlink>
    </w:p>
    <w:p w14:paraId="26E85077" w14:textId="4F92479F"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16" w:history="1">
        <w:r w:rsidRPr="007B545E">
          <w:rPr>
            <w:rStyle w:val="Hyperlink"/>
          </w:rPr>
          <w:t>Purpose of application</w:t>
        </w:r>
        <w:r>
          <w:rPr>
            <w:webHidden/>
          </w:rPr>
          <w:tab/>
        </w:r>
        <w:r>
          <w:rPr>
            <w:webHidden/>
          </w:rPr>
          <w:fldChar w:fldCharType="begin"/>
        </w:r>
        <w:r>
          <w:rPr>
            <w:webHidden/>
          </w:rPr>
          <w:instrText xml:space="preserve"> PAGEREF _Toc225169316 \h </w:instrText>
        </w:r>
        <w:r>
          <w:rPr>
            <w:webHidden/>
          </w:rPr>
        </w:r>
        <w:r>
          <w:rPr>
            <w:webHidden/>
          </w:rPr>
          <w:fldChar w:fldCharType="separate"/>
        </w:r>
        <w:r>
          <w:rPr>
            <w:webHidden/>
          </w:rPr>
          <w:t>3</w:t>
        </w:r>
        <w:r>
          <w:rPr>
            <w:webHidden/>
          </w:rPr>
          <w:fldChar w:fldCharType="end"/>
        </w:r>
      </w:hyperlink>
    </w:p>
    <w:p w14:paraId="3963A85E" w14:textId="59DCA3F4"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17" w:history="1">
        <w:r w:rsidRPr="007B545E">
          <w:rPr>
            <w:rStyle w:val="Hyperlink"/>
          </w:rPr>
          <w:t>Proposed claims and use pattern</w:t>
        </w:r>
        <w:r>
          <w:rPr>
            <w:webHidden/>
          </w:rPr>
          <w:tab/>
        </w:r>
        <w:r>
          <w:rPr>
            <w:webHidden/>
          </w:rPr>
          <w:fldChar w:fldCharType="begin"/>
        </w:r>
        <w:r>
          <w:rPr>
            <w:webHidden/>
          </w:rPr>
          <w:instrText xml:space="preserve"> PAGEREF _Toc225169317 \h </w:instrText>
        </w:r>
        <w:r>
          <w:rPr>
            <w:webHidden/>
          </w:rPr>
        </w:r>
        <w:r>
          <w:rPr>
            <w:webHidden/>
          </w:rPr>
          <w:fldChar w:fldCharType="separate"/>
        </w:r>
        <w:r>
          <w:rPr>
            <w:webHidden/>
          </w:rPr>
          <w:t>3</w:t>
        </w:r>
        <w:r>
          <w:rPr>
            <w:webHidden/>
          </w:rPr>
          <w:fldChar w:fldCharType="end"/>
        </w:r>
      </w:hyperlink>
    </w:p>
    <w:p w14:paraId="3F3EEE66" w14:textId="62D48CAC"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18" w:history="1">
        <w:r w:rsidRPr="007B545E">
          <w:rPr>
            <w:rStyle w:val="Hyperlink"/>
          </w:rPr>
          <w:t>Mode of action</w:t>
        </w:r>
        <w:r>
          <w:rPr>
            <w:webHidden/>
          </w:rPr>
          <w:tab/>
        </w:r>
        <w:r>
          <w:rPr>
            <w:webHidden/>
          </w:rPr>
          <w:fldChar w:fldCharType="begin"/>
        </w:r>
        <w:r>
          <w:rPr>
            <w:webHidden/>
          </w:rPr>
          <w:instrText xml:space="preserve"> PAGEREF _Toc225169318 \h </w:instrText>
        </w:r>
        <w:r>
          <w:rPr>
            <w:webHidden/>
          </w:rPr>
        </w:r>
        <w:r>
          <w:rPr>
            <w:webHidden/>
          </w:rPr>
          <w:fldChar w:fldCharType="separate"/>
        </w:r>
        <w:r>
          <w:rPr>
            <w:webHidden/>
          </w:rPr>
          <w:t>3</w:t>
        </w:r>
        <w:r>
          <w:rPr>
            <w:webHidden/>
          </w:rPr>
          <w:fldChar w:fldCharType="end"/>
        </w:r>
      </w:hyperlink>
    </w:p>
    <w:p w14:paraId="6C4C8722" w14:textId="2CDFF0A0"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19" w:history="1">
        <w:r w:rsidRPr="007B545E">
          <w:rPr>
            <w:rStyle w:val="Hyperlink"/>
          </w:rPr>
          <w:t>Chemistry and manufacture</w:t>
        </w:r>
        <w:r>
          <w:rPr>
            <w:webHidden/>
          </w:rPr>
          <w:tab/>
        </w:r>
        <w:r>
          <w:rPr>
            <w:webHidden/>
          </w:rPr>
          <w:fldChar w:fldCharType="begin"/>
        </w:r>
        <w:r>
          <w:rPr>
            <w:webHidden/>
          </w:rPr>
          <w:instrText xml:space="preserve"> PAGEREF _Toc225169319 \h </w:instrText>
        </w:r>
        <w:r>
          <w:rPr>
            <w:webHidden/>
          </w:rPr>
        </w:r>
        <w:r>
          <w:rPr>
            <w:webHidden/>
          </w:rPr>
          <w:fldChar w:fldCharType="separate"/>
        </w:r>
        <w:r>
          <w:rPr>
            <w:webHidden/>
          </w:rPr>
          <w:t>4</w:t>
        </w:r>
        <w:r>
          <w:rPr>
            <w:webHidden/>
          </w:rPr>
          <w:fldChar w:fldCharType="end"/>
        </w:r>
      </w:hyperlink>
    </w:p>
    <w:p w14:paraId="4EE91983" w14:textId="0C80C815"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20" w:history="1">
        <w:r w:rsidRPr="007B545E">
          <w:rPr>
            <w:rStyle w:val="Hyperlink"/>
          </w:rPr>
          <w:t>Active constituent</w:t>
        </w:r>
        <w:r>
          <w:rPr>
            <w:webHidden/>
          </w:rPr>
          <w:tab/>
        </w:r>
        <w:r>
          <w:rPr>
            <w:webHidden/>
          </w:rPr>
          <w:fldChar w:fldCharType="begin"/>
        </w:r>
        <w:r>
          <w:rPr>
            <w:webHidden/>
          </w:rPr>
          <w:instrText xml:space="preserve"> PAGEREF _Toc225169320 \h </w:instrText>
        </w:r>
        <w:r>
          <w:rPr>
            <w:webHidden/>
          </w:rPr>
        </w:r>
        <w:r>
          <w:rPr>
            <w:webHidden/>
          </w:rPr>
          <w:fldChar w:fldCharType="separate"/>
        </w:r>
        <w:r>
          <w:rPr>
            <w:webHidden/>
          </w:rPr>
          <w:t>4</w:t>
        </w:r>
        <w:r>
          <w:rPr>
            <w:webHidden/>
          </w:rPr>
          <w:fldChar w:fldCharType="end"/>
        </w:r>
      </w:hyperlink>
    </w:p>
    <w:p w14:paraId="5F84A1A9" w14:textId="66AB3C08"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21" w:history="1">
        <w:r w:rsidRPr="007B545E">
          <w:rPr>
            <w:rStyle w:val="Hyperlink"/>
          </w:rPr>
          <w:t>Formulated product</w:t>
        </w:r>
        <w:r>
          <w:rPr>
            <w:webHidden/>
          </w:rPr>
          <w:tab/>
        </w:r>
        <w:r>
          <w:rPr>
            <w:webHidden/>
          </w:rPr>
          <w:fldChar w:fldCharType="begin"/>
        </w:r>
        <w:r>
          <w:rPr>
            <w:webHidden/>
          </w:rPr>
          <w:instrText xml:space="preserve"> PAGEREF _Toc225169321 \h </w:instrText>
        </w:r>
        <w:r>
          <w:rPr>
            <w:webHidden/>
          </w:rPr>
        </w:r>
        <w:r>
          <w:rPr>
            <w:webHidden/>
          </w:rPr>
          <w:fldChar w:fldCharType="separate"/>
        </w:r>
        <w:r>
          <w:rPr>
            <w:webHidden/>
          </w:rPr>
          <w:t>6</w:t>
        </w:r>
        <w:r>
          <w:rPr>
            <w:webHidden/>
          </w:rPr>
          <w:fldChar w:fldCharType="end"/>
        </w:r>
      </w:hyperlink>
    </w:p>
    <w:p w14:paraId="7E3ABFE2" w14:textId="526216B2"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22" w:history="1">
        <w:r w:rsidRPr="007B545E">
          <w:rPr>
            <w:rStyle w:val="Hyperlink"/>
          </w:rPr>
          <w:t>Recommendations</w:t>
        </w:r>
        <w:r>
          <w:rPr>
            <w:webHidden/>
          </w:rPr>
          <w:tab/>
        </w:r>
        <w:r>
          <w:rPr>
            <w:webHidden/>
          </w:rPr>
          <w:fldChar w:fldCharType="begin"/>
        </w:r>
        <w:r>
          <w:rPr>
            <w:webHidden/>
          </w:rPr>
          <w:instrText xml:space="preserve"> PAGEREF _Toc225169322 \h </w:instrText>
        </w:r>
        <w:r>
          <w:rPr>
            <w:webHidden/>
          </w:rPr>
        </w:r>
        <w:r>
          <w:rPr>
            <w:webHidden/>
          </w:rPr>
          <w:fldChar w:fldCharType="separate"/>
        </w:r>
        <w:r>
          <w:rPr>
            <w:webHidden/>
          </w:rPr>
          <w:t>7</w:t>
        </w:r>
        <w:r>
          <w:rPr>
            <w:webHidden/>
          </w:rPr>
          <w:fldChar w:fldCharType="end"/>
        </w:r>
      </w:hyperlink>
    </w:p>
    <w:p w14:paraId="2EE04C18" w14:textId="581A2C1F"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23" w:history="1">
        <w:r w:rsidRPr="007B545E">
          <w:rPr>
            <w:rStyle w:val="Hyperlink"/>
          </w:rPr>
          <w:t>Toxicological assessment</w:t>
        </w:r>
        <w:r>
          <w:rPr>
            <w:webHidden/>
          </w:rPr>
          <w:tab/>
        </w:r>
        <w:r>
          <w:rPr>
            <w:webHidden/>
          </w:rPr>
          <w:fldChar w:fldCharType="begin"/>
        </w:r>
        <w:r>
          <w:rPr>
            <w:webHidden/>
          </w:rPr>
          <w:instrText xml:space="preserve"> PAGEREF _Toc225169323 \h </w:instrText>
        </w:r>
        <w:r>
          <w:rPr>
            <w:webHidden/>
          </w:rPr>
        </w:r>
        <w:r>
          <w:rPr>
            <w:webHidden/>
          </w:rPr>
          <w:fldChar w:fldCharType="separate"/>
        </w:r>
        <w:r>
          <w:rPr>
            <w:webHidden/>
          </w:rPr>
          <w:t>8</w:t>
        </w:r>
        <w:r>
          <w:rPr>
            <w:webHidden/>
          </w:rPr>
          <w:fldChar w:fldCharType="end"/>
        </w:r>
      </w:hyperlink>
    </w:p>
    <w:p w14:paraId="6DD40C75" w14:textId="5FBDFE8B"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24" w:history="1">
        <w:r w:rsidRPr="007B545E">
          <w:rPr>
            <w:rStyle w:val="Hyperlink"/>
          </w:rPr>
          <w:t>Evaluation of toxicology</w:t>
        </w:r>
        <w:r>
          <w:rPr>
            <w:webHidden/>
          </w:rPr>
          <w:tab/>
        </w:r>
        <w:r>
          <w:rPr>
            <w:webHidden/>
          </w:rPr>
          <w:fldChar w:fldCharType="begin"/>
        </w:r>
        <w:r>
          <w:rPr>
            <w:webHidden/>
          </w:rPr>
          <w:instrText xml:space="preserve"> PAGEREF _Toc225169324 \h </w:instrText>
        </w:r>
        <w:r>
          <w:rPr>
            <w:webHidden/>
          </w:rPr>
        </w:r>
        <w:r>
          <w:rPr>
            <w:webHidden/>
          </w:rPr>
          <w:fldChar w:fldCharType="separate"/>
        </w:r>
        <w:r>
          <w:rPr>
            <w:webHidden/>
          </w:rPr>
          <w:t>8</w:t>
        </w:r>
        <w:r>
          <w:rPr>
            <w:webHidden/>
          </w:rPr>
          <w:fldChar w:fldCharType="end"/>
        </w:r>
      </w:hyperlink>
    </w:p>
    <w:p w14:paraId="7AEED93D" w14:textId="6988D127"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25" w:history="1">
        <w:r w:rsidRPr="007B545E">
          <w:rPr>
            <w:rStyle w:val="Hyperlink"/>
          </w:rPr>
          <w:t>Health-based guidance values and poisons scheduling</w:t>
        </w:r>
        <w:r>
          <w:rPr>
            <w:webHidden/>
          </w:rPr>
          <w:tab/>
        </w:r>
        <w:r>
          <w:rPr>
            <w:webHidden/>
          </w:rPr>
          <w:fldChar w:fldCharType="begin"/>
        </w:r>
        <w:r>
          <w:rPr>
            <w:webHidden/>
          </w:rPr>
          <w:instrText xml:space="preserve"> PAGEREF _Toc225169325 \h </w:instrText>
        </w:r>
        <w:r>
          <w:rPr>
            <w:webHidden/>
          </w:rPr>
        </w:r>
        <w:r>
          <w:rPr>
            <w:webHidden/>
          </w:rPr>
          <w:fldChar w:fldCharType="separate"/>
        </w:r>
        <w:r>
          <w:rPr>
            <w:webHidden/>
          </w:rPr>
          <w:t>10</w:t>
        </w:r>
        <w:r>
          <w:rPr>
            <w:webHidden/>
          </w:rPr>
          <w:fldChar w:fldCharType="end"/>
        </w:r>
      </w:hyperlink>
    </w:p>
    <w:p w14:paraId="3810F95D" w14:textId="081BFD73"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26" w:history="1">
        <w:r w:rsidRPr="007B545E">
          <w:rPr>
            <w:rStyle w:val="Hyperlink"/>
          </w:rPr>
          <w:t>Recommendations</w:t>
        </w:r>
        <w:r>
          <w:rPr>
            <w:webHidden/>
          </w:rPr>
          <w:tab/>
        </w:r>
        <w:r>
          <w:rPr>
            <w:webHidden/>
          </w:rPr>
          <w:fldChar w:fldCharType="begin"/>
        </w:r>
        <w:r>
          <w:rPr>
            <w:webHidden/>
          </w:rPr>
          <w:instrText xml:space="preserve"> PAGEREF _Toc225169326 \h </w:instrText>
        </w:r>
        <w:r>
          <w:rPr>
            <w:webHidden/>
          </w:rPr>
        </w:r>
        <w:r>
          <w:rPr>
            <w:webHidden/>
          </w:rPr>
          <w:fldChar w:fldCharType="separate"/>
        </w:r>
        <w:r>
          <w:rPr>
            <w:webHidden/>
          </w:rPr>
          <w:t>11</w:t>
        </w:r>
        <w:r>
          <w:rPr>
            <w:webHidden/>
          </w:rPr>
          <w:fldChar w:fldCharType="end"/>
        </w:r>
      </w:hyperlink>
    </w:p>
    <w:p w14:paraId="7E3B3687" w14:textId="31EAFF02"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27" w:history="1">
        <w:r w:rsidRPr="007B545E">
          <w:rPr>
            <w:rStyle w:val="Hyperlink"/>
            <w:lang w:val="en-GB"/>
          </w:rPr>
          <w:t>Residues assessment</w:t>
        </w:r>
        <w:r>
          <w:rPr>
            <w:webHidden/>
          </w:rPr>
          <w:tab/>
        </w:r>
        <w:r>
          <w:rPr>
            <w:webHidden/>
          </w:rPr>
          <w:fldChar w:fldCharType="begin"/>
        </w:r>
        <w:r>
          <w:rPr>
            <w:webHidden/>
          </w:rPr>
          <w:instrText xml:space="preserve"> PAGEREF _Toc225169327 \h </w:instrText>
        </w:r>
        <w:r>
          <w:rPr>
            <w:webHidden/>
          </w:rPr>
        </w:r>
        <w:r>
          <w:rPr>
            <w:webHidden/>
          </w:rPr>
          <w:fldChar w:fldCharType="separate"/>
        </w:r>
        <w:r>
          <w:rPr>
            <w:webHidden/>
          </w:rPr>
          <w:t>12</w:t>
        </w:r>
        <w:r>
          <w:rPr>
            <w:webHidden/>
          </w:rPr>
          <w:fldChar w:fldCharType="end"/>
        </w:r>
      </w:hyperlink>
    </w:p>
    <w:p w14:paraId="40A7DFC4" w14:textId="53F949D9"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28" w:history="1">
        <w:r w:rsidRPr="007B545E">
          <w:rPr>
            <w:rStyle w:val="Hyperlink"/>
            <w:lang w:val="en-GB"/>
          </w:rPr>
          <w:t>Metabolism</w:t>
        </w:r>
        <w:r>
          <w:rPr>
            <w:webHidden/>
          </w:rPr>
          <w:tab/>
        </w:r>
        <w:r>
          <w:rPr>
            <w:webHidden/>
          </w:rPr>
          <w:fldChar w:fldCharType="begin"/>
        </w:r>
        <w:r>
          <w:rPr>
            <w:webHidden/>
          </w:rPr>
          <w:instrText xml:space="preserve"> PAGEREF _Toc225169328 \h </w:instrText>
        </w:r>
        <w:r>
          <w:rPr>
            <w:webHidden/>
          </w:rPr>
        </w:r>
        <w:r>
          <w:rPr>
            <w:webHidden/>
          </w:rPr>
          <w:fldChar w:fldCharType="separate"/>
        </w:r>
        <w:r>
          <w:rPr>
            <w:webHidden/>
          </w:rPr>
          <w:t>12</w:t>
        </w:r>
        <w:r>
          <w:rPr>
            <w:webHidden/>
          </w:rPr>
          <w:fldChar w:fldCharType="end"/>
        </w:r>
      </w:hyperlink>
    </w:p>
    <w:p w14:paraId="03402C76" w14:textId="25D09F32"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29" w:history="1">
        <w:r w:rsidRPr="007B545E">
          <w:rPr>
            <w:rStyle w:val="Hyperlink"/>
            <w:lang w:val="en-GB"/>
          </w:rPr>
          <w:t>Analytical methods and storage stability</w:t>
        </w:r>
        <w:r>
          <w:rPr>
            <w:webHidden/>
          </w:rPr>
          <w:tab/>
        </w:r>
        <w:r>
          <w:rPr>
            <w:webHidden/>
          </w:rPr>
          <w:fldChar w:fldCharType="begin"/>
        </w:r>
        <w:r>
          <w:rPr>
            <w:webHidden/>
          </w:rPr>
          <w:instrText xml:space="preserve"> PAGEREF _Toc225169329 \h </w:instrText>
        </w:r>
        <w:r>
          <w:rPr>
            <w:webHidden/>
          </w:rPr>
        </w:r>
        <w:r>
          <w:rPr>
            <w:webHidden/>
          </w:rPr>
          <w:fldChar w:fldCharType="separate"/>
        </w:r>
        <w:r>
          <w:rPr>
            <w:webHidden/>
          </w:rPr>
          <w:t>12</w:t>
        </w:r>
        <w:r>
          <w:rPr>
            <w:webHidden/>
          </w:rPr>
          <w:fldChar w:fldCharType="end"/>
        </w:r>
      </w:hyperlink>
    </w:p>
    <w:p w14:paraId="4FF65E91" w14:textId="49B734D1"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30" w:history="1">
        <w:r w:rsidRPr="007B545E">
          <w:rPr>
            <w:rStyle w:val="Hyperlink"/>
            <w:lang w:val="en-GB"/>
          </w:rPr>
          <w:t>Residue definition</w:t>
        </w:r>
        <w:r>
          <w:rPr>
            <w:webHidden/>
          </w:rPr>
          <w:tab/>
        </w:r>
        <w:r>
          <w:rPr>
            <w:webHidden/>
          </w:rPr>
          <w:fldChar w:fldCharType="begin"/>
        </w:r>
        <w:r>
          <w:rPr>
            <w:webHidden/>
          </w:rPr>
          <w:instrText xml:space="preserve"> PAGEREF _Toc225169330 \h </w:instrText>
        </w:r>
        <w:r>
          <w:rPr>
            <w:webHidden/>
          </w:rPr>
        </w:r>
        <w:r>
          <w:rPr>
            <w:webHidden/>
          </w:rPr>
          <w:fldChar w:fldCharType="separate"/>
        </w:r>
        <w:r>
          <w:rPr>
            <w:webHidden/>
          </w:rPr>
          <w:t>13</w:t>
        </w:r>
        <w:r>
          <w:rPr>
            <w:webHidden/>
          </w:rPr>
          <w:fldChar w:fldCharType="end"/>
        </w:r>
      </w:hyperlink>
    </w:p>
    <w:p w14:paraId="3996C741" w14:textId="76EAA2D6"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31" w:history="1">
        <w:r w:rsidRPr="007B545E">
          <w:rPr>
            <w:rStyle w:val="Hyperlink"/>
            <w:lang w:val="en-GB"/>
          </w:rPr>
          <w:t>Residues in food and animal feeds</w:t>
        </w:r>
        <w:r>
          <w:rPr>
            <w:webHidden/>
          </w:rPr>
          <w:tab/>
        </w:r>
        <w:r>
          <w:rPr>
            <w:webHidden/>
          </w:rPr>
          <w:fldChar w:fldCharType="begin"/>
        </w:r>
        <w:r>
          <w:rPr>
            <w:webHidden/>
          </w:rPr>
          <w:instrText xml:space="preserve"> PAGEREF _Toc225169331 \h </w:instrText>
        </w:r>
        <w:r>
          <w:rPr>
            <w:webHidden/>
          </w:rPr>
        </w:r>
        <w:r>
          <w:rPr>
            <w:webHidden/>
          </w:rPr>
          <w:fldChar w:fldCharType="separate"/>
        </w:r>
        <w:r>
          <w:rPr>
            <w:webHidden/>
          </w:rPr>
          <w:t>13</w:t>
        </w:r>
        <w:r>
          <w:rPr>
            <w:webHidden/>
          </w:rPr>
          <w:fldChar w:fldCharType="end"/>
        </w:r>
      </w:hyperlink>
    </w:p>
    <w:p w14:paraId="6866ECA4" w14:textId="21A72C21"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32" w:history="1">
        <w:r w:rsidRPr="007B545E">
          <w:rPr>
            <w:rStyle w:val="Hyperlink"/>
            <w:lang w:val="en-GB"/>
          </w:rPr>
          <w:t>Crop rotation</w:t>
        </w:r>
        <w:r>
          <w:rPr>
            <w:webHidden/>
          </w:rPr>
          <w:tab/>
        </w:r>
        <w:r>
          <w:rPr>
            <w:webHidden/>
          </w:rPr>
          <w:fldChar w:fldCharType="begin"/>
        </w:r>
        <w:r>
          <w:rPr>
            <w:webHidden/>
          </w:rPr>
          <w:instrText xml:space="preserve"> PAGEREF _Toc225169332 \h </w:instrText>
        </w:r>
        <w:r>
          <w:rPr>
            <w:webHidden/>
          </w:rPr>
        </w:r>
        <w:r>
          <w:rPr>
            <w:webHidden/>
          </w:rPr>
          <w:fldChar w:fldCharType="separate"/>
        </w:r>
        <w:r>
          <w:rPr>
            <w:webHidden/>
          </w:rPr>
          <w:t>15</w:t>
        </w:r>
        <w:r>
          <w:rPr>
            <w:webHidden/>
          </w:rPr>
          <w:fldChar w:fldCharType="end"/>
        </w:r>
      </w:hyperlink>
    </w:p>
    <w:p w14:paraId="4F913C39" w14:textId="3B38FE9A"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33" w:history="1">
        <w:r w:rsidRPr="007B545E">
          <w:rPr>
            <w:rStyle w:val="Hyperlink"/>
            <w:lang w:val="en-GB"/>
          </w:rPr>
          <w:t>Residues in animal commodities</w:t>
        </w:r>
        <w:r>
          <w:rPr>
            <w:webHidden/>
          </w:rPr>
          <w:tab/>
        </w:r>
        <w:r>
          <w:rPr>
            <w:webHidden/>
          </w:rPr>
          <w:fldChar w:fldCharType="begin"/>
        </w:r>
        <w:r>
          <w:rPr>
            <w:webHidden/>
          </w:rPr>
          <w:instrText xml:space="preserve"> PAGEREF _Toc225169333 \h </w:instrText>
        </w:r>
        <w:r>
          <w:rPr>
            <w:webHidden/>
          </w:rPr>
        </w:r>
        <w:r>
          <w:rPr>
            <w:webHidden/>
          </w:rPr>
          <w:fldChar w:fldCharType="separate"/>
        </w:r>
        <w:r>
          <w:rPr>
            <w:webHidden/>
          </w:rPr>
          <w:t>15</w:t>
        </w:r>
        <w:r>
          <w:rPr>
            <w:webHidden/>
          </w:rPr>
          <w:fldChar w:fldCharType="end"/>
        </w:r>
      </w:hyperlink>
    </w:p>
    <w:p w14:paraId="11C03F16" w14:textId="5F47333C"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34" w:history="1">
        <w:r w:rsidRPr="007B545E">
          <w:rPr>
            <w:rStyle w:val="Hyperlink"/>
            <w:lang w:val="en-GB"/>
          </w:rPr>
          <w:t>Dietary risk assessment</w:t>
        </w:r>
        <w:r>
          <w:rPr>
            <w:webHidden/>
          </w:rPr>
          <w:tab/>
        </w:r>
        <w:r>
          <w:rPr>
            <w:webHidden/>
          </w:rPr>
          <w:fldChar w:fldCharType="begin"/>
        </w:r>
        <w:r>
          <w:rPr>
            <w:webHidden/>
          </w:rPr>
          <w:instrText xml:space="preserve"> PAGEREF _Toc225169334 \h </w:instrText>
        </w:r>
        <w:r>
          <w:rPr>
            <w:webHidden/>
          </w:rPr>
        </w:r>
        <w:r>
          <w:rPr>
            <w:webHidden/>
          </w:rPr>
          <w:fldChar w:fldCharType="separate"/>
        </w:r>
        <w:r>
          <w:rPr>
            <w:webHidden/>
          </w:rPr>
          <w:t>15</w:t>
        </w:r>
        <w:r>
          <w:rPr>
            <w:webHidden/>
          </w:rPr>
          <w:fldChar w:fldCharType="end"/>
        </w:r>
      </w:hyperlink>
    </w:p>
    <w:p w14:paraId="1740E372" w14:textId="218B8B57"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35" w:history="1">
        <w:r w:rsidRPr="007B545E">
          <w:rPr>
            <w:rStyle w:val="Hyperlink"/>
          </w:rPr>
          <w:t>Recommendations</w:t>
        </w:r>
        <w:r>
          <w:rPr>
            <w:webHidden/>
          </w:rPr>
          <w:tab/>
        </w:r>
        <w:r>
          <w:rPr>
            <w:webHidden/>
          </w:rPr>
          <w:fldChar w:fldCharType="begin"/>
        </w:r>
        <w:r>
          <w:rPr>
            <w:webHidden/>
          </w:rPr>
          <w:instrText xml:space="preserve"> PAGEREF _Toc225169335 \h </w:instrText>
        </w:r>
        <w:r>
          <w:rPr>
            <w:webHidden/>
          </w:rPr>
        </w:r>
        <w:r>
          <w:rPr>
            <w:webHidden/>
          </w:rPr>
          <w:fldChar w:fldCharType="separate"/>
        </w:r>
        <w:r>
          <w:rPr>
            <w:webHidden/>
          </w:rPr>
          <w:t>16</w:t>
        </w:r>
        <w:r>
          <w:rPr>
            <w:webHidden/>
          </w:rPr>
          <w:fldChar w:fldCharType="end"/>
        </w:r>
      </w:hyperlink>
    </w:p>
    <w:p w14:paraId="2F624596" w14:textId="57B7D703"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36" w:history="1">
        <w:r w:rsidRPr="007B545E">
          <w:rPr>
            <w:rStyle w:val="Hyperlink"/>
          </w:rPr>
          <w:t>Assessment of overseas trade aspects of residues in food</w:t>
        </w:r>
        <w:r>
          <w:rPr>
            <w:webHidden/>
          </w:rPr>
          <w:tab/>
        </w:r>
        <w:r>
          <w:rPr>
            <w:webHidden/>
          </w:rPr>
          <w:fldChar w:fldCharType="begin"/>
        </w:r>
        <w:r>
          <w:rPr>
            <w:webHidden/>
          </w:rPr>
          <w:instrText xml:space="preserve"> PAGEREF _Toc225169336 \h </w:instrText>
        </w:r>
        <w:r>
          <w:rPr>
            <w:webHidden/>
          </w:rPr>
        </w:r>
        <w:r>
          <w:rPr>
            <w:webHidden/>
          </w:rPr>
          <w:fldChar w:fldCharType="separate"/>
        </w:r>
        <w:r>
          <w:rPr>
            <w:webHidden/>
          </w:rPr>
          <w:t>17</w:t>
        </w:r>
        <w:r>
          <w:rPr>
            <w:webHidden/>
          </w:rPr>
          <w:fldChar w:fldCharType="end"/>
        </w:r>
      </w:hyperlink>
    </w:p>
    <w:p w14:paraId="681455AB" w14:textId="6EE09EBC"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37" w:history="1">
        <w:r w:rsidRPr="007B545E">
          <w:rPr>
            <w:rStyle w:val="Hyperlink"/>
          </w:rPr>
          <w:t>Work health and safety assessment</w:t>
        </w:r>
        <w:r>
          <w:rPr>
            <w:webHidden/>
          </w:rPr>
          <w:tab/>
        </w:r>
        <w:r>
          <w:rPr>
            <w:webHidden/>
          </w:rPr>
          <w:fldChar w:fldCharType="begin"/>
        </w:r>
        <w:r>
          <w:rPr>
            <w:webHidden/>
          </w:rPr>
          <w:instrText xml:space="preserve"> PAGEREF _Toc225169337 \h </w:instrText>
        </w:r>
        <w:r>
          <w:rPr>
            <w:webHidden/>
          </w:rPr>
        </w:r>
        <w:r>
          <w:rPr>
            <w:webHidden/>
          </w:rPr>
          <w:fldChar w:fldCharType="separate"/>
        </w:r>
        <w:r>
          <w:rPr>
            <w:webHidden/>
          </w:rPr>
          <w:t>18</w:t>
        </w:r>
        <w:r>
          <w:rPr>
            <w:webHidden/>
          </w:rPr>
          <w:fldChar w:fldCharType="end"/>
        </w:r>
      </w:hyperlink>
    </w:p>
    <w:p w14:paraId="6F277A94" w14:textId="58EA1DE7"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38" w:history="1">
        <w:r w:rsidRPr="007B545E">
          <w:rPr>
            <w:rStyle w:val="Hyperlink"/>
          </w:rPr>
          <w:t>Health hazards</w:t>
        </w:r>
        <w:r>
          <w:rPr>
            <w:webHidden/>
          </w:rPr>
          <w:tab/>
        </w:r>
        <w:r>
          <w:rPr>
            <w:webHidden/>
          </w:rPr>
          <w:fldChar w:fldCharType="begin"/>
        </w:r>
        <w:r>
          <w:rPr>
            <w:webHidden/>
          </w:rPr>
          <w:instrText xml:space="preserve"> PAGEREF _Toc225169338 \h </w:instrText>
        </w:r>
        <w:r>
          <w:rPr>
            <w:webHidden/>
          </w:rPr>
        </w:r>
        <w:r>
          <w:rPr>
            <w:webHidden/>
          </w:rPr>
          <w:fldChar w:fldCharType="separate"/>
        </w:r>
        <w:r>
          <w:rPr>
            <w:webHidden/>
          </w:rPr>
          <w:t>18</w:t>
        </w:r>
        <w:r>
          <w:rPr>
            <w:webHidden/>
          </w:rPr>
          <w:fldChar w:fldCharType="end"/>
        </w:r>
      </w:hyperlink>
    </w:p>
    <w:p w14:paraId="58966A76" w14:textId="5428E32B"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39" w:history="1">
        <w:r w:rsidRPr="007B545E">
          <w:rPr>
            <w:rStyle w:val="Hyperlink"/>
          </w:rPr>
          <w:t>Occupational exposure</w:t>
        </w:r>
        <w:r>
          <w:rPr>
            <w:webHidden/>
          </w:rPr>
          <w:tab/>
        </w:r>
        <w:r>
          <w:rPr>
            <w:webHidden/>
          </w:rPr>
          <w:fldChar w:fldCharType="begin"/>
        </w:r>
        <w:r>
          <w:rPr>
            <w:webHidden/>
          </w:rPr>
          <w:instrText xml:space="preserve"> PAGEREF _Toc225169339 \h </w:instrText>
        </w:r>
        <w:r>
          <w:rPr>
            <w:webHidden/>
          </w:rPr>
        </w:r>
        <w:r>
          <w:rPr>
            <w:webHidden/>
          </w:rPr>
          <w:fldChar w:fldCharType="separate"/>
        </w:r>
        <w:r>
          <w:rPr>
            <w:webHidden/>
          </w:rPr>
          <w:t>18</w:t>
        </w:r>
        <w:r>
          <w:rPr>
            <w:webHidden/>
          </w:rPr>
          <w:fldChar w:fldCharType="end"/>
        </w:r>
      </w:hyperlink>
    </w:p>
    <w:p w14:paraId="1D7F23E2" w14:textId="7260B318"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40" w:history="1">
        <w:r w:rsidRPr="007B545E">
          <w:rPr>
            <w:rStyle w:val="Hyperlink"/>
          </w:rPr>
          <w:t>Public exposure</w:t>
        </w:r>
        <w:r>
          <w:rPr>
            <w:webHidden/>
          </w:rPr>
          <w:tab/>
        </w:r>
        <w:r>
          <w:rPr>
            <w:webHidden/>
          </w:rPr>
          <w:fldChar w:fldCharType="begin"/>
        </w:r>
        <w:r>
          <w:rPr>
            <w:webHidden/>
          </w:rPr>
          <w:instrText xml:space="preserve"> PAGEREF _Toc225169340 \h </w:instrText>
        </w:r>
        <w:r>
          <w:rPr>
            <w:webHidden/>
          </w:rPr>
        </w:r>
        <w:r>
          <w:rPr>
            <w:webHidden/>
          </w:rPr>
          <w:fldChar w:fldCharType="separate"/>
        </w:r>
        <w:r>
          <w:rPr>
            <w:webHidden/>
          </w:rPr>
          <w:t>18</w:t>
        </w:r>
        <w:r>
          <w:rPr>
            <w:webHidden/>
          </w:rPr>
          <w:fldChar w:fldCharType="end"/>
        </w:r>
      </w:hyperlink>
    </w:p>
    <w:p w14:paraId="319067F9" w14:textId="2165C5E7"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41" w:history="1">
        <w:r w:rsidRPr="007B545E">
          <w:rPr>
            <w:rStyle w:val="Hyperlink"/>
          </w:rPr>
          <w:t>Recommendations</w:t>
        </w:r>
        <w:r>
          <w:rPr>
            <w:webHidden/>
          </w:rPr>
          <w:tab/>
        </w:r>
        <w:r>
          <w:rPr>
            <w:webHidden/>
          </w:rPr>
          <w:fldChar w:fldCharType="begin"/>
        </w:r>
        <w:r>
          <w:rPr>
            <w:webHidden/>
          </w:rPr>
          <w:instrText xml:space="preserve"> PAGEREF _Toc225169341 \h </w:instrText>
        </w:r>
        <w:r>
          <w:rPr>
            <w:webHidden/>
          </w:rPr>
        </w:r>
        <w:r>
          <w:rPr>
            <w:webHidden/>
          </w:rPr>
          <w:fldChar w:fldCharType="separate"/>
        </w:r>
        <w:r>
          <w:rPr>
            <w:webHidden/>
          </w:rPr>
          <w:t>19</w:t>
        </w:r>
        <w:r>
          <w:rPr>
            <w:webHidden/>
          </w:rPr>
          <w:fldChar w:fldCharType="end"/>
        </w:r>
      </w:hyperlink>
    </w:p>
    <w:p w14:paraId="0BF19141" w14:textId="57A8457F"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42" w:history="1">
        <w:r w:rsidRPr="007B545E">
          <w:rPr>
            <w:rStyle w:val="Hyperlink"/>
          </w:rPr>
          <w:t>Environmental assessment</w:t>
        </w:r>
        <w:r>
          <w:rPr>
            <w:webHidden/>
          </w:rPr>
          <w:tab/>
        </w:r>
        <w:r>
          <w:rPr>
            <w:webHidden/>
          </w:rPr>
          <w:fldChar w:fldCharType="begin"/>
        </w:r>
        <w:r>
          <w:rPr>
            <w:webHidden/>
          </w:rPr>
          <w:instrText xml:space="preserve"> PAGEREF _Toc225169342 \h </w:instrText>
        </w:r>
        <w:r>
          <w:rPr>
            <w:webHidden/>
          </w:rPr>
        </w:r>
        <w:r>
          <w:rPr>
            <w:webHidden/>
          </w:rPr>
          <w:fldChar w:fldCharType="separate"/>
        </w:r>
        <w:r>
          <w:rPr>
            <w:webHidden/>
          </w:rPr>
          <w:t>20</w:t>
        </w:r>
        <w:r>
          <w:rPr>
            <w:webHidden/>
          </w:rPr>
          <w:fldChar w:fldCharType="end"/>
        </w:r>
      </w:hyperlink>
    </w:p>
    <w:p w14:paraId="4D5E1D44" w14:textId="396D3BCE"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43" w:history="1">
        <w:r w:rsidRPr="007B545E">
          <w:rPr>
            <w:rStyle w:val="Hyperlink"/>
            <w:lang w:val="en-GB"/>
          </w:rPr>
          <w:t>Fate and behaviour in the environment</w:t>
        </w:r>
        <w:r>
          <w:rPr>
            <w:webHidden/>
          </w:rPr>
          <w:tab/>
        </w:r>
        <w:r>
          <w:rPr>
            <w:webHidden/>
          </w:rPr>
          <w:fldChar w:fldCharType="begin"/>
        </w:r>
        <w:r>
          <w:rPr>
            <w:webHidden/>
          </w:rPr>
          <w:instrText xml:space="preserve"> PAGEREF _Toc225169343 \h </w:instrText>
        </w:r>
        <w:r>
          <w:rPr>
            <w:webHidden/>
          </w:rPr>
        </w:r>
        <w:r>
          <w:rPr>
            <w:webHidden/>
          </w:rPr>
          <w:fldChar w:fldCharType="separate"/>
        </w:r>
        <w:r>
          <w:rPr>
            <w:webHidden/>
          </w:rPr>
          <w:t>20</w:t>
        </w:r>
        <w:r>
          <w:rPr>
            <w:webHidden/>
          </w:rPr>
          <w:fldChar w:fldCharType="end"/>
        </w:r>
      </w:hyperlink>
    </w:p>
    <w:p w14:paraId="2E958B74" w14:textId="36187BA0"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44" w:history="1">
        <w:r w:rsidRPr="007B545E">
          <w:rPr>
            <w:rStyle w:val="Hyperlink"/>
            <w:lang w:val="en-GB"/>
          </w:rPr>
          <w:t>Effects and associated risks to non-target species</w:t>
        </w:r>
        <w:r>
          <w:rPr>
            <w:webHidden/>
          </w:rPr>
          <w:tab/>
        </w:r>
        <w:r>
          <w:rPr>
            <w:webHidden/>
          </w:rPr>
          <w:fldChar w:fldCharType="begin"/>
        </w:r>
        <w:r>
          <w:rPr>
            <w:webHidden/>
          </w:rPr>
          <w:instrText xml:space="preserve"> PAGEREF _Toc225169344 \h </w:instrText>
        </w:r>
        <w:r>
          <w:rPr>
            <w:webHidden/>
          </w:rPr>
        </w:r>
        <w:r>
          <w:rPr>
            <w:webHidden/>
          </w:rPr>
          <w:fldChar w:fldCharType="separate"/>
        </w:r>
        <w:r>
          <w:rPr>
            <w:webHidden/>
          </w:rPr>
          <w:t>20</w:t>
        </w:r>
        <w:r>
          <w:rPr>
            <w:webHidden/>
          </w:rPr>
          <w:fldChar w:fldCharType="end"/>
        </w:r>
      </w:hyperlink>
    </w:p>
    <w:p w14:paraId="3A139B23" w14:textId="40144D98"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45" w:history="1">
        <w:r w:rsidRPr="007B545E">
          <w:rPr>
            <w:rStyle w:val="Hyperlink"/>
            <w:lang w:val="en-GB"/>
          </w:rPr>
          <w:t>Recommendations</w:t>
        </w:r>
        <w:r>
          <w:rPr>
            <w:webHidden/>
          </w:rPr>
          <w:tab/>
        </w:r>
        <w:r>
          <w:rPr>
            <w:webHidden/>
          </w:rPr>
          <w:fldChar w:fldCharType="begin"/>
        </w:r>
        <w:r>
          <w:rPr>
            <w:webHidden/>
          </w:rPr>
          <w:instrText xml:space="preserve"> PAGEREF _Toc225169345 \h </w:instrText>
        </w:r>
        <w:r>
          <w:rPr>
            <w:webHidden/>
          </w:rPr>
        </w:r>
        <w:r>
          <w:rPr>
            <w:webHidden/>
          </w:rPr>
          <w:fldChar w:fldCharType="separate"/>
        </w:r>
        <w:r>
          <w:rPr>
            <w:webHidden/>
          </w:rPr>
          <w:t>22</w:t>
        </w:r>
        <w:r>
          <w:rPr>
            <w:webHidden/>
          </w:rPr>
          <w:fldChar w:fldCharType="end"/>
        </w:r>
      </w:hyperlink>
    </w:p>
    <w:p w14:paraId="1D3357D2" w14:textId="7DB92542"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46" w:history="1">
        <w:r w:rsidRPr="007B545E">
          <w:rPr>
            <w:rStyle w:val="Hyperlink"/>
          </w:rPr>
          <w:t>Efficacy and safety assessment</w:t>
        </w:r>
        <w:r>
          <w:rPr>
            <w:webHidden/>
          </w:rPr>
          <w:tab/>
        </w:r>
        <w:r>
          <w:rPr>
            <w:webHidden/>
          </w:rPr>
          <w:fldChar w:fldCharType="begin"/>
        </w:r>
        <w:r>
          <w:rPr>
            <w:webHidden/>
          </w:rPr>
          <w:instrText xml:space="preserve"> PAGEREF _Toc225169346 \h </w:instrText>
        </w:r>
        <w:r>
          <w:rPr>
            <w:webHidden/>
          </w:rPr>
        </w:r>
        <w:r>
          <w:rPr>
            <w:webHidden/>
          </w:rPr>
          <w:fldChar w:fldCharType="separate"/>
        </w:r>
        <w:r>
          <w:rPr>
            <w:webHidden/>
          </w:rPr>
          <w:t>23</w:t>
        </w:r>
        <w:r>
          <w:rPr>
            <w:webHidden/>
          </w:rPr>
          <w:fldChar w:fldCharType="end"/>
        </w:r>
      </w:hyperlink>
    </w:p>
    <w:p w14:paraId="55BCDF6A" w14:textId="5BEB4070"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47" w:history="1">
        <w:r w:rsidRPr="007B545E">
          <w:rPr>
            <w:rStyle w:val="Hyperlink"/>
          </w:rPr>
          <w:t>Proposed product use pattern</w:t>
        </w:r>
        <w:r>
          <w:rPr>
            <w:webHidden/>
          </w:rPr>
          <w:tab/>
        </w:r>
        <w:r>
          <w:rPr>
            <w:webHidden/>
          </w:rPr>
          <w:fldChar w:fldCharType="begin"/>
        </w:r>
        <w:r>
          <w:rPr>
            <w:webHidden/>
          </w:rPr>
          <w:instrText xml:space="preserve"> PAGEREF _Toc225169347 \h </w:instrText>
        </w:r>
        <w:r>
          <w:rPr>
            <w:webHidden/>
          </w:rPr>
        </w:r>
        <w:r>
          <w:rPr>
            <w:webHidden/>
          </w:rPr>
          <w:fldChar w:fldCharType="separate"/>
        </w:r>
        <w:r>
          <w:rPr>
            <w:webHidden/>
          </w:rPr>
          <w:t>23</w:t>
        </w:r>
        <w:r>
          <w:rPr>
            <w:webHidden/>
          </w:rPr>
          <w:fldChar w:fldCharType="end"/>
        </w:r>
      </w:hyperlink>
    </w:p>
    <w:p w14:paraId="49D3D454" w14:textId="752E037B"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48" w:history="1">
        <w:r w:rsidRPr="007B545E">
          <w:rPr>
            <w:rStyle w:val="Hyperlink"/>
          </w:rPr>
          <w:t>Efficacy and target crop safety</w:t>
        </w:r>
        <w:r>
          <w:rPr>
            <w:webHidden/>
          </w:rPr>
          <w:tab/>
        </w:r>
        <w:r>
          <w:rPr>
            <w:webHidden/>
          </w:rPr>
          <w:fldChar w:fldCharType="begin"/>
        </w:r>
        <w:r>
          <w:rPr>
            <w:webHidden/>
          </w:rPr>
          <w:instrText xml:space="preserve"> PAGEREF _Toc225169348 \h </w:instrText>
        </w:r>
        <w:r>
          <w:rPr>
            <w:webHidden/>
          </w:rPr>
        </w:r>
        <w:r>
          <w:rPr>
            <w:webHidden/>
          </w:rPr>
          <w:fldChar w:fldCharType="separate"/>
        </w:r>
        <w:r>
          <w:rPr>
            <w:webHidden/>
          </w:rPr>
          <w:t>23</w:t>
        </w:r>
        <w:r>
          <w:rPr>
            <w:webHidden/>
          </w:rPr>
          <w:fldChar w:fldCharType="end"/>
        </w:r>
      </w:hyperlink>
    </w:p>
    <w:p w14:paraId="5E8566CB" w14:textId="5245D540"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49" w:history="1">
        <w:r w:rsidRPr="007B545E">
          <w:rPr>
            <w:rStyle w:val="Hyperlink"/>
          </w:rPr>
          <w:t>Recommendations</w:t>
        </w:r>
        <w:r>
          <w:rPr>
            <w:webHidden/>
          </w:rPr>
          <w:tab/>
        </w:r>
        <w:r>
          <w:rPr>
            <w:webHidden/>
          </w:rPr>
          <w:fldChar w:fldCharType="begin"/>
        </w:r>
        <w:r>
          <w:rPr>
            <w:webHidden/>
          </w:rPr>
          <w:instrText xml:space="preserve"> PAGEREF _Toc225169349 \h </w:instrText>
        </w:r>
        <w:r>
          <w:rPr>
            <w:webHidden/>
          </w:rPr>
        </w:r>
        <w:r>
          <w:rPr>
            <w:webHidden/>
          </w:rPr>
          <w:fldChar w:fldCharType="separate"/>
        </w:r>
        <w:r>
          <w:rPr>
            <w:webHidden/>
          </w:rPr>
          <w:t>23</w:t>
        </w:r>
        <w:r>
          <w:rPr>
            <w:webHidden/>
          </w:rPr>
          <w:fldChar w:fldCharType="end"/>
        </w:r>
      </w:hyperlink>
    </w:p>
    <w:p w14:paraId="3EC55024" w14:textId="5B711E34"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50" w:history="1">
        <w:r w:rsidRPr="007B545E">
          <w:rPr>
            <w:rStyle w:val="Hyperlink"/>
          </w:rPr>
          <w:t>Spray drift assessment</w:t>
        </w:r>
        <w:r>
          <w:rPr>
            <w:webHidden/>
          </w:rPr>
          <w:tab/>
        </w:r>
        <w:r>
          <w:rPr>
            <w:webHidden/>
          </w:rPr>
          <w:fldChar w:fldCharType="begin"/>
        </w:r>
        <w:r>
          <w:rPr>
            <w:webHidden/>
          </w:rPr>
          <w:instrText xml:space="preserve"> PAGEREF _Toc225169350 \h </w:instrText>
        </w:r>
        <w:r>
          <w:rPr>
            <w:webHidden/>
          </w:rPr>
        </w:r>
        <w:r>
          <w:rPr>
            <w:webHidden/>
          </w:rPr>
          <w:fldChar w:fldCharType="separate"/>
        </w:r>
        <w:r>
          <w:rPr>
            <w:webHidden/>
          </w:rPr>
          <w:t>24</w:t>
        </w:r>
        <w:r>
          <w:rPr>
            <w:webHidden/>
          </w:rPr>
          <w:fldChar w:fldCharType="end"/>
        </w:r>
      </w:hyperlink>
    </w:p>
    <w:p w14:paraId="32A0391D" w14:textId="339DB21B"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51" w:history="1">
        <w:r w:rsidRPr="007B545E">
          <w:rPr>
            <w:rStyle w:val="Hyperlink"/>
          </w:rPr>
          <w:t>Human health</w:t>
        </w:r>
        <w:r>
          <w:rPr>
            <w:webHidden/>
          </w:rPr>
          <w:tab/>
        </w:r>
        <w:r>
          <w:rPr>
            <w:webHidden/>
          </w:rPr>
          <w:fldChar w:fldCharType="begin"/>
        </w:r>
        <w:r>
          <w:rPr>
            <w:webHidden/>
          </w:rPr>
          <w:instrText xml:space="preserve"> PAGEREF _Toc225169351 \h </w:instrText>
        </w:r>
        <w:r>
          <w:rPr>
            <w:webHidden/>
          </w:rPr>
        </w:r>
        <w:r>
          <w:rPr>
            <w:webHidden/>
          </w:rPr>
          <w:fldChar w:fldCharType="separate"/>
        </w:r>
        <w:r>
          <w:rPr>
            <w:webHidden/>
          </w:rPr>
          <w:t>24</w:t>
        </w:r>
        <w:r>
          <w:rPr>
            <w:webHidden/>
          </w:rPr>
          <w:fldChar w:fldCharType="end"/>
        </w:r>
      </w:hyperlink>
    </w:p>
    <w:p w14:paraId="47BBE4AD" w14:textId="321D3504"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52" w:history="1">
        <w:r w:rsidRPr="007B545E">
          <w:rPr>
            <w:rStyle w:val="Hyperlink"/>
          </w:rPr>
          <w:t>Residues and trade</w:t>
        </w:r>
        <w:r>
          <w:rPr>
            <w:webHidden/>
          </w:rPr>
          <w:tab/>
        </w:r>
        <w:r>
          <w:rPr>
            <w:webHidden/>
          </w:rPr>
          <w:fldChar w:fldCharType="begin"/>
        </w:r>
        <w:r>
          <w:rPr>
            <w:webHidden/>
          </w:rPr>
          <w:instrText xml:space="preserve"> PAGEREF _Toc225169352 \h </w:instrText>
        </w:r>
        <w:r>
          <w:rPr>
            <w:webHidden/>
          </w:rPr>
        </w:r>
        <w:r>
          <w:rPr>
            <w:webHidden/>
          </w:rPr>
          <w:fldChar w:fldCharType="separate"/>
        </w:r>
        <w:r>
          <w:rPr>
            <w:webHidden/>
          </w:rPr>
          <w:t>24</w:t>
        </w:r>
        <w:r>
          <w:rPr>
            <w:webHidden/>
          </w:rPr>
          <w:fldChar w:fldCharType="end"/>
        </w:r>
      </w:hyperlink>
    </w:p>
    <w:p w14:paraId="0E40A435" w14:textId="5E22E0B3"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53" w:history="1">
        <w:r w:rsidRPr="007B545E">
          <w:rPr>
            <w:rStyle w:val="Hyperlink"/>
          </w:rPr>
          <w:t>Environment</w:t>
        </w:r>
        <w:r>
          <w:rPr>
            <w:webHidden/>
          </w:rPr>
          <w:tab/>
        </w:r>
        <w:r>
          <w:rPr>
            <w:webHidden/>
          </w:rPr>
          <w:fldChar w:fldCharType="begin"/>
        </w:r>
        <w:r>
          <w:rPr>
            <w:webHidden/>
          </w:rPr>
          <w:instrText xml:space="preserve"> PAGEREF _Toc225169353 \h </w:instrText>
        </w:r>
        <w:r>
          <w:rPr>
            <w:webHidden/>
          </w:rPr>
        </w:r>
        <w:r>
          <w:rPr>
            <w:webHidden/>
          </w:rPr>
          <w:fldChar w:fldCharType="separate"/>
        </w:r>
        <w:r>
          <w:rPr>
            <w:webHidden/>
          </w:rPr>
          <w:t>24</w:t>
        </w:r>
        <w:r>
          <w:rPr>
            <w:webHidden/>
          </w:rPr>
          <w:fldChar w:fldCharType="end"/>
        </w:r>
      </w:hyperlink>
    </w:p>
    <w:p w14:paraId="60E8332F" w14:textId="24F8714A"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54" w:history="1">
        <w:r w:rsidRPr="007B545E">
          <w:rPr>
            <w:rStyle w:val="Hyperlink"/>
          </w:rPr>
          <w:t>Labelling requirements</w:t>
        </w:r>
        <w:r>
          <w:rPr>
            <w:webHidden/>
          </w:rPr>
          <w:tab/>
        </w:r>
        <w:r>
          <w:rPr>
            <w:webHidden/>
          </w:rPr>
          <w:fldChar w:fldCharType="begin"/>
        </w:r>
        <w:r>
          <w:rPr>
            <w:webHidden/>
          </w:rPr>
          <w:instrText xml:space="preserve"> PAGEREF _Toc225169354 \h </w:instrText>
        </w:r>
        <w:r>
          <w:rPr>
            <w:webHidden/>
          </w:rPr>
        </w:r>
        <w:r>
          <w:rPr>
            <w:webHidden/>
          </w:rPr>
          <w:fldChar w:fldCharType="separate"/>
        </w:r>
        <w:r>
          <w:rPr>
            <w:webHidden/>
          </w:rPr>
          <w:t>26</w:t>
        </w:r>
        <w:r>
          <w:rPr>
            <w:webHidden/>
          </w:rPr>
          <w:fldChar w:fldCharType="end"/>
        </w:r>
      </w:hyperlink>
    </w:p>
    <w:p w14:paraId="4700792D" w14:textId="3CFC2D4D"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55" w:history="1">
        <w:r w:rsidRPr="007B545E">
          <w:rPr>
            <w:rStyle w:val="Hyperlink"/>
            <w:rFonts w:cs="Arial"/>
            <w:bCs/>
          </w:rPr>
          <w:t>DIRECTIONS FOR USE:</w:t>
        </w:r>
        <w:r>
          <w:rPr>
            <w:webHidden/>
          </w:rPr>
          <w:tab/>
        </w:r>
        <w:r>
          <w:rPr>
            <w:webHidden/>
          </w:rPr>
          <w:fldChar w:fldCharType="begin"/>
        </w:r>
        <w:r>
          <w:rPr>
            <w:webHidden/>
          </w:rPr>
          <w:instrText xml:space="preserve"> PAGEREF _Toc225169355 \h </w:instrText>
        </w:r>
        <w:r>
          <w:rPr>
            <w:webHidden/>
          </w:rPr>
        </w:r>
        <w:r>
          <w:rPr>
            <w:webHidden/>
          </w:rPr>
          <w:fldChar w:fldCharType="separate"/>
        </w:r>
        <w:r>
          <w:rPr>
            <w:webHidden/>
          </w:rPr>
          <w:t>29</w:t>
        </w:r>
        <w:r>
          <w:rPr>
            <w:webHidden/>
          </w:rPr>
          <w:fldChar w:fldCharType="end"/>
        </w:r>
      </w:hyperlink>
    </w:p>
    <w:p w14:paraId="78358AC9" w14:textId="32209E30" w:rsidR="00274331" w:rsidRDefault="00274331">
      <w:pPr>
        <w:pStyle w:val="TOC2"/>
        <w:rPr>
          <w:rFonts w:asciiTheme="minorHAnsi" w:eastAsiaTheme="minorEastAsia" w:hAnsiTheme="minorHAnsi" w:cstheme="minorBidi"/>
          <w:b w:val="0"/>
          <w:color w:val="auto"/>
          <w:kern w:val="2"/>
          <w:sz w:val="24"/>
          <w:lang w:eastAsia="en-AU"/>
          <w14:ligatures w14:val="standardContextual"/>
        </w:rPr>
      </w:pPr>
      <w:hyperlink w:anchor="_Toc225169356" w:history="1">
        <w:r w:rsidRPr="007B545E">
          <w:rPr>
            <w:rStyle w:val="Hyperlink"/>
            <w:rFonts w:cs="Arial"/>
            <w:bCs/>
          </w:rPr>
          <w:t>Read the GENERAL INSTRUCTIONS section carefully before setting up to spray and deciding on a rate.</w:t>
        </w:r>
        <w:r>
          <w:rPr>
            <w:webHidden/>
          </w:rPr>
          <w:tab/>
        </w:r>
        <w:r>
          <w:rPr>
            <w:webHidden/>
          </w:rPr>
          <w:fldChar w:fldCharType="begin"/>
        </w:r>
        <w:r>
          <w:rPr>
            <w:webHidden/>
          </w:rPr>
          <w:instrText xml:space="preserve"> PAGEREF _Toc225169356 \h </w:instrText>
        </w:r>
        <w:r>
          <w:rPr>
            <w:webHidden/>
          </w:rPr>
        </w:r>
        <w:r>
          <w:rPr>
            <w:webHidden/>
          </w:rPr>
          <w:fldChar w:fldCharType="separate"/>
        </w:r>
        <w:r>
          <w:rPr>
            <w:webHidden/>
          </w:rPr>
          <w:t>29</w:t>
        </w:r>
        <w:r>
          <w:rPr>
            <w:webHidden/>
          </w:rPr>
          <w:fldChar w:fldCharType="end"/>
        </w:r>
      </w:hyperlink>
    </w:p>
    <w:p w14:paraId="391A4040" w14:textId="39C2AAD1"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57" w:history="1">
        <w:r w:rsidRPr="007B545E">
          <w:rPr>
            <w:rStyle w:val="Hyperlink"/>
          </w:rPr>
          <w:t>Acronyms and abbreviations</w:t>
        </w:r>
        <w:r>
          <w:rPr>
            <w:webHidden/>
          </w:rPr>
          <w:tab/>
        </w:r>
        <w:r>
          <w:rPr>
            <w:webHidden/>
          </w:rPr>
          <w:fldChar w:fldCharType="begin"/>
        </w:r>
        <w:r>
          <w:rPr>
            <w:webHidden/>
          </w:rPr>
          <w:instrText xml:space="preserve"> PAGEREF _Toc225169357 \h </w:instrText>
        </w:r>
        <w:r>
          <w:rPr>
            <w:webHidden/>
          </w:rPr>
        </w:r>
        <w:r>
          <w:rPr>
            <w:webHidden/>
          </w:rPr>
          <w:fldChar w:fldCharType="separate"/>
        </w:r>
        <w:r>
          <w:rPr>
            <w:webHidden/>
          </w:rPr>
          <w:t>34</w:t>
        </w:r>
        <w:r>
          <w:rPr>
            <w:webHidden/>
          </w:rPr>
          <w:fldChar w:fldCharType="end"/>
        </w:r>
      </w:hyperlink>
    </w:p>
    <w:p w14:paraId="3F1F9B36" w14:textId="6D172AB9"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58" w:history="1">
        <w:r w:rsidRPr="007B545E">
          <w:rPr>
            <w:rStyle w:val="Hyperlink"/>
            <w:lang w:val="en-GB"/>
          </w:rPr>
          <w:t>Glossary</w:t>
        </w:r>
        <w:r>
          <w:rPr>
            <w:webHidden/>
          </w:rPr>
          <w:tab/>
        </w:r>
        <w:r>
          <w:rPr>
            <w:webHidden/>
          </w:rPr>
          <w:fldChar w:fldCharType="begin"/>
        </w:r>
        <w:r>
          <w:rPr>
            <w:webHidden/>
          </w:rPr>
          <w:instrText xml:space="preserve"> PAGEREF _Toc225169358 \h </w:instrText>
        </w:r>
        <w:r>
          <w:rPr>
            <w:webHidden/>
          </w:rPr>
        </w:r>
        <w:r>
          <w:rPr>
            <w:webHidden/>
          </w:rPr>
          <w:fldChar w:fldCharType="separate"/>
        </w:r>
        <w:r>
          <w:rPr>
            <w:webHidden/>
          </w:rPr>
          <w:t>37</w:t>
        </w:r>
        <w:r>
          <w:rPr>
            <w:webHidden/>
          </w:rPr>
          <w:fldChar w:fldCharType="end"/>
        </w:r>
      </w:hyperlink>
    </w:p>
    <w:p w14:paraId="3A9236CB" w14:textId="17626D01" w:rsidR="00274331" w:rsidRDefault="0027433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69359" w:history="1">
        <w:r w:rsidRPr="007B545E">
          <w:rPr>
            <w:rStyle w:val="Hyperlink"/>
          </w:rPr>
          <w:t>References</w:t>
        </w:r>
        <w:r>
          <w:rPr>
            <w:webHidden/>
          </w:rPr>
          <w:tab/>
        </w:r>
        <w:r>
          <w:rPr>
            <w:webHidden/>
          </w:rPr>
          <w:fldChar w:fldCharType="begin"/>
        </w:r>
        <w:r>
          <w:rPr>
            <w:webHidden/>
          </w:rPr>
          <w:instrText xml:space="preserve"> PAGEREF _Toc225169359 \h </w:instrText>
        </w:r>
        <w:r>
          <w:rPr>
            <w:webHidden/>
          </w:rPr>
        </w:r>
        <w:r>
          <w:rPr>
            <w:webHidden/>
          </w:rPr>
          <w:fldChar w:fldCharType="separate"/>
        </w:r>
        <w:r>
          <w:rPr>
            <w:webHidden/>
          </w:rPr>
          <w:t>38</w:t>
        </w:r>
        <w:r>
          <w:rPr>
            <w:webHidden/>
          </w:rPr>
          <w:fldChar w:fldCharType="end"/>
        </w:r>
      </w:hyperlink>
    </w:p>
    <w:p w14:paraId="47BAD96A" w14:textId="164CCADD" w:rsidR="002C6204" w:rsidRDefault="000D124E" w:rsidP="002C6204">
      <w:pPr>
        <w:pStyle w:val="ToCH1"/>
        <w:spacing w:before="500"/>
        <w:rPr>
          <w:noProof/>
        </w:rPr>
      </w:pPr>
      <w:r>
        <w:rPr>
          <w:sz w:val="16"/>
          <w:szCs w:val="16"/>
          <w:lang w:eastAsia="en-AU"/>
        </w:rPr>
        <w:fldChar w:fldCharType="end"/>
      </w:r>
      <w:r w:rsidR="002C6204">
        <w:rPr>
          <w:noProof/>
        </w:rPr>
        <w:t>List of tables</w:t>
      </w:r>
    </w:p>
    <w:p w14:paraId="38767C2E" w14:textId="439FC90C" w:rsidR="00274331"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25169366" w:history="1">
        <w:r w:rsidR="00274331" w:rsidRPr="00E25EAF">
          <w:rPr>
            <w:rStyle w:val="Hyperlink"/>
          </w:rPr>
          <w:t>Table 1: Nomenclature and structural formula of the active constituent 1-aminocyclopropane-1-carboxylic acid</w:t>
        </w:r>
        <w:r w:rsidR="00274331">
          <w:rPr>
            <w:webHidden/>
          </w:rPr>
          <w:tab/>
        </w:r>
        <w:r w:rsidR="00274331">
          <w:rPr>
            <w:webHidden/>
          </w:rPr>
          <w:fldChar w:fldCharType="begin"/>
        </w:r>
        <w:r w:rsidR="00274331">
          <w:rPr>
            <w:webHidden/>
          </w:rPr>
          <w:instrText xml:space="preserve"> PAGEREF _Toc225169366 \h </w:instrText>
        </w:r>
        <w:r w:rsidR="00274331">
          <w:rPr>
            <w:webHidden/>
          </w:rPr>
        </w:r>
        <w:r w:rsidR="00274331">
          <w:rPr>
            <w:webHidden/>
          </w:rPr>
          <w:fldChar w:fldCharType="separate"/>
        </w:r>
        <w:r w:rsidR="00274331">
          <w:rPr>
            <w:webHidden/>
          </w:rPr>
          <w:t>4</w:t>
        </w:r>
        <w:r w:rsidR="00274331">
          <w:rPr>
            <w:webHidden/>
          </w:rPr>
          <w:fldChar w:fldCharType="end"/>
        </w:r>
      </w:hyperlink>
    </w:p>
    <w:p w14:paraId="3486C0F6" w14:textId="252EFAD2" w:rsidR="00274331" w:rsidRDefault="00274331">
      <w:pPr>
        <w:pStyle w:val="TableofFigures"/>
        <w:rPr>
          <w:rFonts w:asciiTheme="minorHAnsi" w:eastAsiaTheme="minorEastAsia" w:hAnsiTheme="minorHAnsi" w:cstheme="minorBidi"/>
          <w:kern w:val="2"/>
          <w:sz w:val="24"/>
          <w:lang w:eastAsia="en-AU"/>
          <w14:ligatures w14:val="standardContextual"/>
        </w:rPr>
      </w:pPr>
      <w:hyperlink w:anchor="_Toc225169367" w:history="1">
        <w:r w:rsidRPr="00E25EAF">
          <w:rPr>
            <w:rStyle w:val="Hyperlink"/>
          </w:rPr>
          <w:t>Table 2: Key physicochemical properties of the active constituent 1-aminocyclopropane-1-carboxylic acid</w:t>
        </w:r>
        <w:r>
          <w:rPr>
            <w:webHidden/>
          </w:rPr>
          <w:tab/>
        </w:r>
        <w:r>
          <w:rPr>
            <w:webHidden/>
          </w:rPr>
          <w:fldChar w:fldCharType="begin"/>
        </w:r>
        <w:r>
          <w:rPr>
            <w:webHidden/>
          </w:rPr>
          <w:instrText xml:space="preserve"> PAGEREF _Toc225169367 \h </w:instrText>
        </w:r>
        <w:r>
          <w:rPr>
            <w:webHidden/>
          </w:rPr>
        </w:r>
        <w:r>
          <w:rPr>
            <w:webHidden/>
          </w:rPr>
          <w:fldChar w:fldCharType="separate"/>
        </w:r>
        <w:r>
          <w:rPr>
            <w:webHidden/>
          </w:rPr>
          <w:t>5</w:t>
        </w:r>
        <w:r>
          <w:rPr>
            <w:webHidden/>
          </w:rPr>
          <w:fldChar w:fldCharType="end"/>
        </w:r>
      </w:hyperlink>
    </w:p>
    <w:p w14:paraId="30A56573" w14:textId="6F7954F5" w:rsidR="00274331" w:rsidRDefault="00274331">
      <w:pPr>
        <w:pStyle w:val="TableofFigures"/>
        <w:rPr>
          <w:rFonts w:asciiTheme="minorHAnsi" w:eastAsiaTheme="minorEastAsia" w:hAnsiTheme="minorHAnsi" w:cstheme="minorBidi"/>
          <w:kern w:val="2"/>
          <w:sz w:val="24"/>
          <w:lang w:eastAsia="en-AU"/>
          <w14:ligatures w14:val="standardContextual"/>
        </w:rPr>
      </w:pPr>
      <w:hyperlink w:anchor="_Toc225169368" w:history="1">
        <w:r w:rsidRPr="00E25EAF">
          <w:rPr>
            <w:rStyle w:val="Hyperlink"/>
          </w:rPr>
          <w:t>Table 3: Key aspects of the formulation of the product Accede Plant Growth Regulator</w:t>
        </w:r>
        <w:r>
          <w:rPr>
            <w:webHidden/>
          </w:rPr>
          <w:tab/>
        </w:r>
        <w:r>
          <w:rPr>
            <w:webHidden/>
          </w:rPr>
          <w:fldChar w:fldCharType="begin"/>
        </w:r>
        <w:r>
          <w:rPr>
            <w:webHidden/>
          </w:rPr>
          <w:instrText xml:space="preserve"> PAGEREF _Toc225169368 \h </w:instrText>
        </w:r>
        <w:r>
          <w:rPr>
            <w:webHidden/>
          </w:rPr>
        </w:r>
        <w:r>
          <w:rPr>
            <w:webHidden/>
          </w:rPr>
          <w:fldChar w:fldCharType="separate"/>
        </w:r>
        <w:r>
          <w:rPr>
            <w:webHidden/>
          </w:rPr>
          <w:t>6</w:t>
        </w:r>
        <w:r>
          <w:rPr>
            <w:webHidden/>
          </w:rPr>
          <w:fldChar w:fldCharType="end"/>
        </w:r>
      </w:hyperlink>
    </w:p>
    <w:p w14:paraId="5431BC93" w14:textId="220B3836" w:rsidR="00274331" w:rsidRDefault="00274331">
      <w:pPr>
        <w:pStyle w:val="TableofFigures"/>
        <w:rPr>
          <w:rFonts w:asciiTheme="minorHAnsi" w:eastAsiaTheme="minorEastAsia" w:hAnsiTheme="minorHAnsi" w:cstheme="minorBidi"/>
          <w:kern w:val="2"/>
          <w:sz w:val="24"/>
          <w:lang w:eastAsia="en-AU"/>
          <w14:ligatures w14:val="standardContextual"/>
        </w:rPr>
      </w:pPr>
      <w:hyperlink w:anchor="_Toc225169369" w:history="1">
        <w:r w:rsidRPr="00E25EAF">
          <w:rPr>
            <w:rStyle w:val="Hyperlink"/>
          </w:rPr>
          <w:t>Table 4: Physicochemical properties of the product Accede Plant Growth Regulator</w:t>
        </w:r>
        <w:r>
          <w:rPr>
            <w:webHidden/>
          </w:rPr>
          <w:tab/>
        </w:r>
        <w:r>
          <w:rPr>
            <w:webHidden/>
          </w:rPr>
          <w:fldChar w:fldCharType="begin"/>
        </w:r>
        <w:r>
          <w:rPr>
            <w:webHidden/>
          </w:rPr>
          <w:instrText xml:space="preserve"> PAGEREF _Toc225169369 \h </w:instrText>
        </w:r>
        <w:r>
          <w:rPr>
            <w:webHidden/>
          </w:rPr>
        </w:r>
        <w:r>
          <w:rPr>
            <w:webHidden/>
          </w:rPr>
          <w:fldChar w:fldCharType="separate"/>
        </w:r>
        <w:r>
          <w:rPr>
            <w:webHidden/>
          </w:rPr>
          <w:t>6</w:t>
        </w:r>
        <w:r>
          <w:rPr>
            <w:webHidden/>
          </w:rPr>
          <w:fldChar w:fldCharType="end"/>
        </w:r>
      </w:hyperlink>
    </w:p>
    <w:p w14:paraId="131C3E67" w14:textId="54C72BCB" w:rsidR="00274331" w:rsidRDefault="00274331">
      <w:pPr>
        <w:pStyle w:val="TableofFigures"/>
        <w:rPr>
          <w:rFonts w:asciiTheme="minorHAnsi" w:eastAsiaTheme="minorEastAsia" w:hAnsiTheme="minorHAnsi" w:cstheme="minorBidi"/>
          <w:kern w:val="2"/>
          <w:sz w:val="24"/>
          <w:lang w:eastAsia="en-AU"/>
          <w14:ligatures w14:val="standardContextual"/>
        </w:rPr>
      </w:pPr>
      <w:hyperlink w:anchor="_Toc225169370" w:history="1">
        <w:r w:rsidRPr="00E25EAF">
          <w:rPr>
            <w:rStyle w:val="Hyperlink"/>
          </w:rPr>
          <w:t xml:space="preserve">Table 5: Amendments to the APVMA </w:t>
        </w:r>
        <w:r w:rsidRPr="00E25EAF">
          <w:rPr>
            <w:rStyle w:val="Hyperlink"/>
            <w:bCs/>
          </w:rPr>
          <w:t>MRL Standard</w:t>
        </w:r>
        <w:r>
          <w:rPr>
            <w:webHidden/>
          </w:rPr>
          <w:tab/>
        </w:r>
        <w:r>
          <w:rPr>
            <w:webHidden/>
          </w:rPr>
          <w:fldChar w:fldCharType="begin"/>
        </w:r>
        <w:r>
          <w:rPr>
            <w:webHidden/>
          </w:rPr>
          <w:instrText xml:space="preserve"> PAGEREF _Toc225169370 \h </w:instrText>
        </w:r>
        <w:r>
          <w:rPr>
            <w:webHidden/>
          </w:rPr>
        </w:r>
        <w:r>
          <w:rPr>
            <w:webHidden/>
          </w:rPr>
          <w:fldChar w:fldCharType="separate"/>
        </w:r>
        <w:r>
          <w:rPr>
            <w:webHidden/>
          </w:rPr>
          <w:t>16</w:t>
        </w:r>
        <w:r>
          <w:rPr>
            <w:webHidden/>
          </w:rPr>
          <w:fldChar w:fldCharType="end"/>
        </w:r>
      </w:hyperlink>
    </w:p>
    <w:p w14:paraId="3D92B795" w14:textId="1680FCEF" w:rsidR="00274331" w:rsidRDefault="00274331">
      <w:pPr>
        <w:pStyle w:val="TableofFigures"/>
        <w:rPr>
          <w:rFonts w:asciiTheme="minorHAnsi" w:eastAsiaTheme="minorEastAsia" w:hAnsiTheme="minorHAnsi" w:cstheme="minorBidi"/>
          <w:kern w:val="2"/>
          <w:sz w:val="24"/>
          <w:lang w:eastAsia="en-AU"/>
          <w14:ligatures w14:val="standardContextual"/>
        </w:rPr>
      </w:pPr>
      <w:hyperlink w:anchor="_Toc225169371" w:history="1">
        <w:r w:rsidRPr="00E25EAF">
          <w:rPr>
            <w:rStyle w:val="Hyperlink"/>
          </w:rPr>
          <w:t>Table 7: Summary of RALs for Accede Plant Growth Regulator</w:t>
        </w:r>
        <w:r>
          <w:rPr>
            <w:webHidden/>
          </w:rPr>
          <w:tab/>
        </w:r>
        <w:r>
          <w:rPr>
            <w:webHidden/>
          </w:rPr>
          <w:fldChar w:fldCharType="begin"/>
        </w:r>
        <w:r>
          <w:rPr>
            <w:webHidden/>
          </w:rPr>
          <w:instrText xml:space="preserve"> PAGEREF _Toc225169371 \h </w:instrText>
        </w:r>
        <w:r>
          <w:rPr>
            <w:webHidden/>
          </w:rPr>
        </w:r>
        <w:r>
          <w:rPr>
            <w:webHidden/>
          </w:rPr>
          <w:fldChar w:fldCharType="separate"/>
        </w:r>
        <w:r>
          <w:rPr>
            <w:webHidden/>
          </w:rPr>
          <w:t>24</w:t>
        </w:r>
        <w:r>
          <w:rPr>
            <w:webHidden/>
          </w:rPr>
          <w:fldChar w:fldCharType="end"/>
        </w:r>
      </w:hyperlink>
    </w:p>
    <w:p w14:paraId="7E66E09D" w14:textId="40999184" w:rsidR="00424637" w:rsidRDefault="002C6204" w:rsidP="002C6204">
      <w:pPr>
        <w:pStyle w:val="ToCH1"/>
        <w:spacing w:before="500"/>
        <w:rPr>
          <w:caps/>
          <w:noProof/>
        </w:rPr>
        <w:sectPr w:rsidR="00424637" w:rsidSect="00424637">
          <w:headerReference w:type="even" r:id="rId20"/>
          <w:headerReference w:type="default" r:id="rId21"/>
          <w:pgSz w:w="11906" w:h="16838" w:code="9"/>
          <w:pgMar w:top="2835" w:right="1134" w:bottom="1134" w:left="1134" w:header="1701" w:footer="680" w:gutter="0"/>
          <w:pgNumType w:fmt="lowerRoman"/>
          <w:cols w:space="708"/>
          <w:docGrid w:linePitch="360"/>
        </w:sectPr>
      </w:pPr>
      <w:r>
        <w:rPr>
          <w:caps/>
          <w:noProof/>
        </w:rPr>
        <w:fldChar w:fldCharType="end"/>
      </w:r>
      <w:bookmarkStart w:id="1" w:name="_Toc234063054"/>
      <w:bookmarkStart w:id="2" w:name="_Toc414373831"/>
      <w:bookmarkStart w:id="3" w:name="_Toc7561213"/>
    </w:p>
    <w:p w14:paraId="0A1F4403" w14:textId="1024FCBE" w:rsidR="002E20AC" w:rsidRPr="00424637" w:rsidRDefault="002E20AC" w:rsidP="00424637">
      <w:pPr>
        <w:pStyle w:val="Heading1"/>
      </w:pPr>
      <w:bookmarkStart w:id="4" w:name="_Toc225169310"/>
      <w:r w:rsidRPr="00424637">
        <w:lastRenderedPageBreak/>
        <w:t>Preface</w:t>
      </w:r>
      <w:bookmarkEnd w:id="1"/>
      <w:bookmarkEnd w:id="2"/>
      <w:bookmarkEnd w:id="3"/>
      <w:bookmarkEnd w:id="4"/>
    </w:p>
    <w:p w14:paraId="6C80D611" w14:textId="01B4540A" w:rsidR="002F5D1B" w:rsidRDefault="002F5D1B" w:rsidP="002F5D1B">
      <w:pPr>
        <w:pStyle w:val="APVMAText"/>
      </w:pPr>
      <w:bookmarkStart w:id="5"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6" w:name="_Toc7561214"/>
      <w:bookmarkStart w:id="7" w:name="_Toc225169311"/>
      <w:r>
        <w:t>About this document</w:t>
      </w:r>
      <w:bookmarkEnd w:id="5"/>
      <w:bookmarkEnd w:id="6"/>
      <w:bookmarkEnd w:id="7"/>
    </w:p>
    <w:p w14:paraId="4B18BC02" w14:textId="77777777" w:rsidR="002F5D1B" w:rsidRDefault="002853BD" w:rsidP="002F5D1B">
      <w:pPr>
        <w:pStyle w:val="APVMAText"/>
        <w:tabs>
          <w:tab w:val="left" w:pos="1361"/>
        </w:tabs>
      </w:pPr>
      <w:r>
        <w:t>This P</w:t>
      </w:r>
      <w:r>
        <w:rPr>
          <w:lang w:val="en-GB"/>
        </w:rPr>
        <w:t>ublic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8" w:name="_Toc7561215"/>
      <w:bookmarkStart w:id="9" w:name="_Toc225169312"/>
      <w:r>
        <w:t>Making a submission</w:t>
      </w:r>
      <w:bookmarkEnd w:id="8"/>
      <w:bookmarkEnd w:id="9"/>
    </w:p>
    <w:p w14:paraId="618C111D" w14:textId="6ABD56A6"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EC72D3">
        <w:t>Accede Plant Growth Regulator</w:t>
      </w:r>
      <w:r w:rsidR="008612BD" w:rsidRPr="008612BD">
        <w:t xml:space="preserve">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035D6C19" w:rsidR="002F5D1B" w:rsidRDefault="002F5D1B" w:rsidP="002F5D1B">
      <w:pPr>
        <w:pStyle w:val="APVMAText"/>
      </w:pPr>
      <w:r>
        <w:lastRenderedPageBreak/>
        <w:t xml:space="preserve">Submissions must be received by the APVMA by close of business on </w:t>
      </w:r>
      <w:r w:rsidR="008612BD">
        <w:t xml:space="preserve">21 April 2026 </w:t>
      </w:r>
      <w:r>
        <w:t>and be directed to the contact listed below. All submissions to the APVMA will be acknowledged in writing via email or by post.</w:t>
      </w:r>
    </w:p>
    <w:p w14:paraId="5149F7FB"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1F837EDF" w14:textId="388476DD"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D21782">
        <w:br/>
      </w:r>
      <w:r w:rsidR="006D36C8">
        <w:t>Australian Pesticides and Veterinary Medicines Authority</w:t>
      </w:r>
      <w:r w:rsidR="00D21782">
        <w:br/>
      </w:r>
      <w:r w:rsidR="00AA5A11" w:rsidRPr="00AA5A11">
        <w:t>GPO Box 574</w:t>
      </w:r>
      <w:r w:rsidR="00AA5A11">
        <w:br/>
      </w:r>
      <w:r w:rsidR="00AA5A11" w:rsidRPr="00AA5A11">
        <w:t>Canberra ACT 2601, Australia</w:t>
      </w:r>
    </w:p>
    <w:p w14:paraId="2847B932" w14:textId="0F5AB905" w:rsidR="006D36C8" w:rsidRPr="006D36C8" w:rsidRDefault="006D36C8" w:rsidP="00D21782">
      <w:pPr>
        <w:pStyle w:val="APVMAAddress"/>
        <w:tabs>
          <w:tab w:val="clear" w:pos="1361"/>
          <w:tab w:val="left" w:pos="851"/>
        </w:tabs>
        <w:spacing w:before="240"/>
        <w:ind w:left="0"/>
      </w:pPr>
      <w:r>
        <w:rPr>
          <w:b/>
        </w:rPr>
        <w:t>Phone:</w:t>
      </w:r>
      <w:r>
        <w:tab/>
        <w:t xml:space="preserve">+61 2 </w:t>
      </w:r>
      <w:r w:rsidR="00913600">
        <w:t>6770 2300</w:t>
      </w:r>
      <w:r w:rsidR="00D21782">
        <w:br/>
      </w:r>
      <w:r>
        <w:rPr>
          <w:b/>
        </w:rPr>
        <w:t>Email:</w:t>
      </w:r>
      <w:r>
        <w:tab/>
      </w:r>
      <w:hyperlink r:id="rId25" w:history="1">
        <w:r w:rsidR="00705195" w:rsidRPr="00772458">
          <w:rPr>
            <w:rStyle w:val="Hyperlink"/>
          </w:rPr>
          <w:t>casemanagement@apvma.gov.au</w:t>
        </w:r>
      </w:hyperlink>
      <w:r>
        <w:t>.</w:t>
      </w:r>
    </w:p>
    <w:p w14:paraId="62987759" w14:textId="77777777" w:rsidR="006D36C8" w:rsidRDefault="006D36C8" w:rsidP="00032787">
      <w:pPr>
        <w:pStyle w:val="APVMAPreliminariesH2"/>
      </w:pPr>
      <w:bookmarkStart w:id="10" w:name="_Toc2243844"/>
      <w:bookmarkStart w:id="11" w:name="_Toc7561216"/>
      <w:bookmarkStart w:id="12" w:name="_Toc225169313"/>
      <w:r>
        <w:t>Further information</w:t>
      </w:r>
      <w:bookmarkEnd w:id="10"/>
      <w:bookmarkEnd w:id="11"/>
      <w:bookmarkEnd w:id="12"/>
    </w:p>
    <w:p w14:paraId="0E27766A" w14:textId="77777777" w:rsidR="002F5D1B" w:rsidRDefault="002F5D1B" w:rsidP="002F5D1B">
      <w:pPr>
        <w:pStyle w:val="APVMAText"/>
      </w:pPr>
      <w:r>
        <w:t>Further information can be obtained via the contact details provided above.</w:t>
      </w:r>
    </w:p>
    <w:p w14:paraId="3CA7B1E0" w14:textId="31A7919F" w:rsidR="00D22CCB" w:rsidRDefault="00E1009B" w:rsidP="00EA7005">
      <w:pPr>
        <w:pStyle w:val="APVMAText"/>
        <w:sectPr w:rsidR="00D22CCB" w:rsidSect="00424637">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3" w:name="_Toc7561217"/>
      <w:bookmarkStart w:id="14" w:name="_Toc225169314"/>
      <w:r>
        <w:lastRenderedPageBreak/>
        <w:t>I</w:t>
      </w:r>
      <w:r w:rsidR="006D36C8">
        <w:t>ntroduction</w:t>
      </w:r>
      <w:bookmarkEnd w:id="13"/>
      <w:bookmarkEnd w:id="14"/>
    </w:p>
    <w:p w14:paraId="0DF95F9D" w14:textId="51D11045" w:rsidR="005A2957" w:rsidRDefault="005A2957" w:rsidP="005A2957">
      <w:pPr>
        <w:pStyle w:val="APVMAText"/>
      </w:pPr>
      <w:r>
        <w:t xml:space="preserve">This publication provides a summary of the data reviewed and an outline of the regulatory considerations for the proposed registration of </w:t>
      </w:r>
      <w:r w:rsidR="002F2F98" w:rsidRPr="002F2F98">
        <w:rPr>
          <w:i/>
          <w:szCs w:val="20"/>
        </w:rPr>
        <w:t>Accede Plant Growth Regulator</w:t>
      </w:r>
      <w:r>
        <w:t xml:space="preserve">, and approval of the new active constituent, </w:t>
      </w:r>
      <w:r w:rsidR="002F2F98">
        <w:t>1-</w:t>
      </w:r>
      <w:r w:rsidR="00FF5C41">
        <w:t>a</w:t>
      </w:r>
      <w:r w:rsidR="002F2F98">
        <w:t>minocyclopropane-1-carboxylic acid</w:t>
      </w:r>
      <w:r>
        <w:t>.</w:t>
      </w:r>
    </w:p>
    <w:p w14:paraId="32D5C8FA" w14:textId="77777777" w:rsidR="005A2957" w:rsidRDefault="005A2957" w:rsidP="005A2957">
      <w:pPr>
        <w:pStyle w:val="Heading2"/>
        <w:ind w:left="907" w:hanging="907"/>
      </w:pPr>
      <w:bookmarkStart w:id="15" w:name="_Toc461366927"/>
      <w:bookmarkStart w:id="16" w:name="_Toc531181066"/>
      <w:bookmarkStart w:id="17" w:name="_Toc7561218"/>
      <w:bookmarkStart w:id="18" w:name="_Toc225169315"/>
      <w:r>
        <w:t>Applicant</w:t>
      </w:r>
      <w:bookmarkEnd w:id="15"/>
      <w:bookmarkEnd w:id="16"/>
      <w:bookmarkEnd w:id="17"/>
      <w:bookmarkEnd w:id="18"/>
    </w:p>
    <w:p w14:paraId="4E8BE879" w14:textId="7DA31255" w:rsidR="005A2957" w:rsidRDefault="002F2F98" w:rsidP="00D21782">
      <w:pPr>
        <w:pStyle w:val="APVMAText"/>
      </w:pPr>
      <w:bookmarkStart w:id="19" w:name="_Toc461366928"/>
      <w:r>
        <w:t>VALENT BIOSCIENCES A DIV OF SUMITOMO CHEMICAL AUSTRALIA</w:t>
      </w:r>
      <w:r w:rsidR="00CA5B2B">
        <w:t>.</w:t>
      </w:r>
    </w:p>
    <w:p w14:paraId="68625900" w14:textId="77777777" w:rsidR="005A2957" w:rsidRPr="00002B5B" w:rsidRDefault="005A2957" w:rsidP="005A2957">
      <w:pPr>
        <w:pStyle w:val="Heading2"/>
        <w:ind w:left="907" w:hanging="907"/>
      </w:pPr>
      <w:bookmarkStart w:id="20" w:name="_Toc531181067"/>
      <w:bookmarkStart w:id="21" w:name="_Toc7561219"/>
      <w:bookmarkStart w:id="22" w:name="_Toc225169316"/>
      <w:bookmarkEnd w:id="19"/>
      <w:r>
        <w:t>Purpose of application</w:t>
      </w:r>
      <w:bookmarkEnd w:id="20"/>
      <w:bookmarkEnd w:id="21"/>
      <w:bookmarkEnd w:id="22"/>
    </w:p>
    <w:p w14:paraId="1FFD362F" w14:textId="095F6EF9" w:rsidR="005A2957" w:rsidRDefault="00FD66D4" w:rsidP="00C26FC9">
      <w:pPr>
        <w:pStyle w:val="APVMAText"/>
        <w:jc w:val="both"/>
      </w:pPr>
      <w:r w:rsidRPr="00FD66D4">
        <w:t xml:space="preserve">Valent </w:t>
      </w:r>
      <w:proofErr w:type="spellStart"/>
      <w:r w:rsidRPr="00FD66D4">
        <w:t>BioSciences</w:t>
      </w:r>
      <w:proofErr w:type="spellEnd"/>
      <w:r w:rsidRPr="00FD66D4">
        <w:t xml:space="preserve"> LLC </w:t>
      </w:r>
      <w:r w:rsidR="005A2957">
        <w:t xml:space="preserve">has applied to the APVMA for registration of the new product </w:t>
      </w:r>
      <w:r w:rsidR="002F2F98" w:rsidRPr="002F2F98">
        <w:rPr>
          <w:iCs/>
          <w:szCs w:val="20"/>
        </w:rPr>
        <w:t>Accede Plant Growth Regulator</w:t>
      </w:r>
      <w:r w:rsidR="005A2957">
        <w:t xml:space="preserve">, containing </w:t>
      </w:r>
      <w:r w:rsidR="002F2F98">
        <w:t xml:space="preserve">400 g/kg </w:t>
      </w:r>
      <w:r w:rsidR="005A2957">
        <w:t>as a</w:t>
      </w:r>
      <w:r w:rsidR="002F2F98">
        <w:t xml:space="preserve"> water-soluble granule (SG)</w:t>
      </w:r>
      <w:r w:rsidR="005A2957">
        <w:t xml:space="preserve"> formulation of the new active constituent </w:t>
      </w:r>
      <w:r w:rsidR="002F2F98">
        <w:t>1-</w:t>
      </w:r>
      <w:r w:rsidR="00FF5C41">
        <w:t>a</w:t>
      </w:r>
      <w:r w:rsidR="002F2F98">
        <w:t>minocyclopropane-1-carboxylic acid</w:t>
      </w:r>
      <w:r w:rsidR="005A2957" w:rsidRPr="00F77DED">
        <w:t>.</w:t>
      </w:r>
    </w:p>
    <w:p w14:paraId="5014731A" w14:textId="63F4D9DE" w:rsidR="005A2957" w:rsidRDefault="005A2957" w:rsidP="005A2957">
      <w:pPr>
        <w:pStyle w:val="APVMAText"/>
      </w:pPr>
      <w:r>
        <w:rPr>
          <w:szCs w:val="20"/>
        </w:rPr>
        <w:t xml:space="preserve">This publication provides a summary of the data reviewed and an outline of the regulatory considerations for the proposed registration of the product </w:t>
      </w:r>
      <w:r w:rsidR="00EC72D3">
        <w:rPr>
          <w:iCs/>
          <w:szCs w:val="20"/>
        </w:rPr>
        <w:t>Accede Plant Growth Regulator</w:t>
      </w:r>
      <w:r w:rsidR="002F2F98">
        <w:rPr>
          <w:iCs/>
          <w:szCs w:val="20"/>
        </w:rPr>
        <w:t>,</w:t>
      </w:r>
      <w:r w:rsidR="002F2F98">
        <w:rPr>
          <w:szCs w:val="20"/>
        </w:rPr>
        <w:t xml:space="preserve"> </w:t>
      </w:r>
      <w:r>
        <w:rPr>
          <w:szCs w:val="20"/>
        </w:rPr>
        <w:t xml:space="preserve">and approval of the new active constituent </w:t>
      </w:r>
      <w:r w:rsidR="002F2F98">
        <w:t>1-</w:t>
      </w:r>
      <w:r w:rsidR="00FF5C41">
        <w:t>a</w:t>
      </w:r>
      <w:r w:rsidR="002F2F98">
        <w:t>minocyclopropane-1-carboxylic acid</w:t>
      </w:r>
      <w:r>
        <w:rPr>
          <w:szCs w:val="20"/>
        </w:rPr>
        <w:t>.</w:t>
      </w:r>
    </w:p>
    <w:p w14:paraId="3B9097F8" w14:textId="77777777" w:rsidR="005A2957" w:rsidRDefault="005A2957" w:rsidP="005A2957">
      <w:pPr>
        <w:pStyle w:val="Heading2"/>
        <w:ind w:left="907" w:hanging="907"/>
      </w:pPr>
      <w:bookmarkStart w:id="23" w:name="_Toc531181068"/>
      <w:bookmarkStart w:id="24" w:name="_Toc7561220"/>
      <w:bookmarkStart w:id="25" w:name="_Toc461366929"/>
      <w:bookmarkStart w:id="26" w:name="_Toc225169317"/>
      <w:r>
        <w:t>Proposed claims and use pattern</w:t>
      </w:r>
      <w:bookmarkEnd w:id="23"/>
      <w:bookmarkEnd w:id="24"/>
      <w:bookmarkEnd w:id="26"/>
    </w:p>
    <w:p w14:paraId="3522D1AC" w14:textId="3CFB76B3" w:rsidR="005A2957" w:rsidRPr="00F77DED" w:rsidRDefault="008612BD" w:rsidP="00FF5C41">
      <w:pPr>
        <w:pStyle w:val="APVMAText"/>
        <w:jc w:val="both"/>
      </w:pPr>
      <w:r w:rsidRPr="008612BD">
        <w:t>For crop thinning in Apples, Nectarines, Peaches and Plums</w:t>
      </w:r>
      <w:r w:rsidR="002F2F98" w:rsidRPr="00F221B4">
        <w:t>.</w:t>
      </w:r>
    </w:p>
    <w:p w14:paraId="13D27F64" w14:textId="77777777" w:rsidR="005A2957" w:rsidRDefault="005A2957" w:rsidP="005A2957">
      <w:pPr>
        <w:pStyle w:val="Heading2"/>
        <w:ind w:left="907" w:hanging="907"/>
      </w:pPr>
      <w:bookmarkStart w:id="27" w:name="_Toc531181069"/>
      <w:bookmarkStart w:id="28" w:name="_Toc7561221"/>
      <w:bookmarkStart w:id="29" w:name="_Toc225169318"/>
      <w:r>
        <w:t>Mode of action</w:t>
      </w:r>
      <w:bookmarkEnd w:id="27"/>
      <w:bookmarkEnd w:id="28"/>
      <w:bookmarkEnd w:id="29"/>
    </w:p>
    <w:p w14:paraId="0D6DD2E2" w14:textId="53F9E090" w:rsidR="005A2957" w:rsidRPr="00FF5C41" w:rsidRDefault="00FF5C41" w:rsidP="00FF5C41">
      <w:pPr>
        <w:pStyle w:val="APVMAText"/>
        <w:jc w:val="both"/>
        <w:rPr>
          <w:szCs w:val="20"/>
        </w:rPr>
      </w:pPr>
      <w:r w:rsidRPr="00FF5C41">
        <w:rPr>
          <w:szCs w:val="20"/>
        </w:rPr>
        <w:t>1-</w:t>
      </w:r>
      <w:r w:rsidR="00C63B9D">
        <w:rPr>
          <w:szCs w:val="20"/>
        </w:rPr>
        <w:t>a</w:t>
      </w:r>
      <w:r w:rsidRPr="00FF5C41">
        <w:rPr>
          <w:szCs w:val="20"/>
        </w:rPr>
        <w:t>minocyclopropane-1-carboxylic acid is a naturally occurring aliphatic amino acid and plant growth regulator, which is the precursor to the plant hormone ethylene. It acts as an ethylene releasing substance, thereby affecting the growth and development processes of plant, including fruit abscission, fruit colouring and fruit ripening.</w:t>
      </w:r>
    </w:p>
    <w:bookmarkEnd w:id="25"/>
    <w:p w14:paraId="5E2F223F" w14:textId="38B4D1BF" w:rsidR="00AF7046" w:rsidRDefault="005A2957" w:rsidP="005A2957">
      <w:pPr>
        <w:pStyle w:val="APVMAText"/>
        <w:sectPr w:rsidR="00AF7046">
          <w:headerReference w:type="default" r:id="rId28"/>
          <w:pgSz w:w="11906" w:h="16838" w:code="9"/>
          <w:pgMar w:top="2835" w:right="1134" w:bottom="1134" w:left="1134" w:header="1701" w:footer="680" w:gutter="0"/>
          <w:cols w:space="708"/>
          <w:docGrid w:linePitch="360"/>
        </w:sectPr>
      </w:pPr>
      <w:r w:rsidRPr="00C26FC9">
        <w:rPr>
          <w:szCs w:val="20"/>
        </w:rPr>
        <w:t xml:space="preserve">The product is currently registered in </w:t>
      </w:r>
      <w:r w:rsidR="00C26FC9" w:rsidRPr="00C26FC9">
        <w:rPr>
          <w:szCs w:val="20"/>
        </w:rPr>
        <w:t>USA, Canada and Brazil</w:t>
      </w:r>
      <w:r w:rsidR="00CA5B2B" w:rsidRPr="00C26FC9">
        <w:rPr>
          <w:szCs w:val="20"/>
        </w:rPr>
        <w:t xml:space="preserve"> </w:t>
      </w:r>
      <w:r w:rsidRPr="00C26FC9">
        <w:rPr>
          <w:szCs w:val="20"/>
        </w:rPr>
        <w:t xml:space="preserve">as </w:t>
      </w:r>
      <w:r w:rsidR="00C26FC9" w:rsidRPr="00C26FC9">
        <w:t xml:space="preserve">400 g/kg water-soluble granule (SG formulation) as well as </w:t>
      </w:r>
      <w:r w:rsidR="005117E9">
        <w:t xml:space="preserve">a </w:t>
      </w:r>
      <w:r w:rsidR="00C26FC9" w:rsidRPr="00C26FC9">
        <w:t>100 g/kg liquid formulation in USA</w:t>
      </w:r>
      <w:r w:rsidR="00CA5B2B" w:rsidRPr="00C26FC9">
        <w:rPr>
          <w:szCs w:val="20"/>
        </w:rPr>
        <w:t>.</w:t>
      </w:r>
      <w:r w:rsidR="00C26FC9">
        <w:rPr>
          <w:szCs w:val="20"/>
        </w:rPr>
        <w:t xml:space="preserve"> </w:t>
      </w:r>
    </w:p>
    <w:p w14:paraId="5141A89F" w14:textId="5698D8E9" w:rsidR="006D36C8" w:rsidRDefault="00CA5B2B" w:rsidP="00032787">
      <w:pPr>
        <w:pStyle w:val="Heading1"/>
      </w:pPr>
      <w:bookmarkStart w:id="30" w:name="_Toc225169319"/>
      <w:r>
        <w:t>C</w:t>
      </w:r>
      <w:r w:rsidR="000C1518">
        <w:t>hemistry and manufacture</w:t>
      </w:r>
      <w:bookmarkEnd w:id="30"/>
    </w:p>
    <w:p w14:paraId="080FB73B" w14:textId="77777777" w:rsidR="006D36C8" w:rsidRDefault="000C1518" w:rsidP="00032787">
      <w:pPr>
        <w:pStyle w:val="Heading2"/>
      </w:pPr>
      <w:bookmarkStart w:id="31" w:name="_Toc225169320"/>
      <w:r>
        <w:t>Active constituent</w:t>
      </w:r>
      <w:bookmarkEnd w:id="31"/>
    </w:p>
    <w:p w14:paraId="5DF50DC6" w14:textId="1739CBB7" w:rsidR="005A2957" w:rsidRPr="00D21782" w:rsidRDefault="005A2957" w:rsidP="00D21782">
      <w:pPr>
        <w:pStyle w:val="APVMAText"/>
      </w:pPr>
      <w:r w:rsidRPr="00D21782">
        <w:t xml:space="preserve">The active constituent </w:t>
      </w:r>
      <w:r w:rsidR="00FF5C41" w:rsidRPr="00D21782">
        <w:t>1-aminocyclopropane-1-carboxylic acid</w:t>
      </w:r>
      <w:r w:rsidR="00CA5B2B" w:rsidRPr="00D21782">
        <w:t xml:space="preserve"> is manufactured overseas</w:t>
      </w:r>
      <w:r w:rsidRPr="00D21782">
        <w:t xml:space="preserve">. Details of the chemical name, structure, and physicochemical properties of </w:t>
      </w:r>
      <w:r w:rsidR="00FF5C41" w:rsidRPr="00D21782">
        <w:t>1-aminocyclopropane-1-carboxylic acid</w:t>
      </w:r>
      <w:r w:rsidRPr="00D21782">
        <w:t xml:space="preserve"> are</w:t>
      </w:r>
      <w:r w:rsidR="00CA5B2B" w:rsidRPr="00D21782">
        <w:t xml:space="preserve"> listed below </w:t>
      </w:r>
      <w:r w:rsidR="00772458" w:rsidRPr="00D21782">
        <w:t xml:space="preserve">in </w:t>
      </w:r>
      <w:r w:rsidR="00CA5B2B" w:rsidRPr="00D21782">
        <w:t xml:space="preserve">Tables 1 to </w:t>
      </w:r>
      <w:r w:rsidRPr="00D21782">
        <w:t>2.</w:t>
      </w:r>
    </w:p>
    <w:p w14:paraId="13CD5758" w14:textId="1F31208C" w:rsidR="006A5315" w:rsidRPr="006A5315" w:rsidRDefault="006A5315" w:rsidP="00D21782">
      <w:pPr>
        <w:autoSpaceDE w:val="0"/>
        <w:autoSpaceDN w:val="0"/>
        <w:adjustRightInd w:val="0"/>
        <w:spacing w:before="240" w:after="240" w:line="280" w:lineRule="atLeast"/>
        <w:rPr>
          <w:szCs w:val="20"/>
          <w:lang w:eastAsia="en-AU"/>
        </w:rPr>
      </w:pPr>
      <w:bookmarkStart w:id="32" w:name="_Toc252955166"/>
      <w:bookmarkStart w:id="33" w:name="_Toc56686265"/>
      <w:bookmarkStart w:id="34" w:name="_Toc56686278"/>
      <w:r>
        <w:t>1-</w:t>
      </w:r>
      <w:r w:rsidR="00D21782">
        <w:t>a</w:t>
      </w:r>
      <w:r>
        <w:t>minocyclopropane-1-carboxylic acid</w:t>
      </w:r>
      <w:r w:rsidRPr="006A5315">
        <w:rPr>
          <w:szCs w:val="20"/>
        </w:rPr>
        <w:t xml:space="preserve"> is a white to off-white fine powdered solid that </w:t>
      </w:r>
      <w:r w:rsidRPr="006A5315">
        <w:rPr>
          <w:kern w:val="22"/>
          <w:szCs w:val="20"/>
        </w:rPr>
        <w:t>decomposes</w:t>
      </w:r>
      <w:r w:rsidRPr="006A5315">
        <w:rPr>
          <w:szCs w:val="20"/>
        </w:rPr>
        <w:t xml:space="preserve"> at </w:t>
      </w:r>
      <w:r w:rsidRPr="006A5315">
        <w:rPr>
          <w:kern w:val="22"/>
          <w:szCs w:val="20"/>
        </w:rPr>
        <w:t xml:space="preserve">160 °C. </w:t>
      </w:r>
      <w:r w:rsidRPr="006A5315">
        <w:rPr>
          <w:szCs w:val="20"/>
        </w:rPr>
        <w:t>It is soluble in water (</w:t>
      </w:r>
      <w:r w:rsidRPr="006A5315">
        <w:rPr>
          <w:kern w:val="22"/>
          <w:szCs w:val="20"/>
        </w:rPr>
        <w:t>68 g/L</w:t>
      </w:r>
      <w:r w:rsidRPr="006A5315">
        <w:rPr>
          <w:szCs w:val="20"/>
        </w:rPr>
        <w:t>) but is more soluble in methanol (3500 g/L). It is practically insoluble in hexane, dichloromethane and ethyl acetate. 1-</w:t>
      </w:r>
      <w:r w:rsidR="00D21782">
        <w:rPr>
          <w:szCs w:val="20"/>
        </w:rPr>
        <w:t>a</w:t>
      </w:r>
      <w:r w:rsidRPr="006A5315">
        <w:rPr>
          <w:szCs w:val="20"/>
        </w:rPr>
        <w:t xml:space="preserve">minocyclopropane-1-carboxylic acid has a low vapour pressure of </w:t>
      </w:r>
      <w:r w:rsidRPr="006A5315">
        <w:rPr>
          <w:szCs w:val="20"/>
          <w:lang w:eastAsia="en-AU"/>
        </w:rPr>
        <w:t>3.64 × 10</w:t>
      </w:r>
      <w:r w:rsidRPr="006A5315">
        <w:rPr>
          <w:szCs w:val="20"/>
          <w:vertAlign w:val="superscript"/>
          <w:lang w:eastAsia="en-AU"/>
        </w:rPr>
        <w:t>-5</w:t>
      </w:r>
      <w:r w:rsidRPr="006A5315">
        <w:rPr>
          <w:szCs w:val="20"/>
          <w:lang w:eastAsia="en-AU"/>
        </w:rPr>
        <w:t xml:space="preserve"> Pa at 25 °C,</w:t>
      </w:r>
      <w:r w:rsidRPr="006A5315">
        <w:rPr>
          <w:szCs w:val="20"/>
        </w:rPr>
        <w:t xml:space="preserve"> suggesting that</w:t>
      </w:r>
      <w:r w:rsidRPr="006A5315">
        <w:rPr>
          <w:szCs w:val="20"/>
          <w:lang w:eastAsia="en-AU"/>
        </w:rPr>
        <w:t xml:space="preserve"> it has low volatility. Given</w:t>
      </w:r>
      <w:r w:rsidRPr="006A5315">
        <w:rPr>
          <w:szCs w:val="20"/>
        </w:rPr>
        <w:t xml:space="preserve"> a </w:t>
      </w:r>
      <w:r w:rsidRPr="006A5315">
        <w:rPr>
          <w:kern w:val="22"/>
          <w:szCs w:val="20"/>
        </w:rPr>
        <w:t xml:space="preserve">Henry's law constant of </w:t>
      </w:r>
      <w:r w:rsidRPr="006A5315">
        <w:rPr>
          <w:color w:val="000000"/>
          <w:szCs w:val="20"/>
          <w:lang w:val="en-US"/>
        </w:rPr>
        <w:t>2.65 × 10</w:t>
      </w:r>
      <w:r w:rsidRPr="006A5315">
        <w:rPr>
          <w:color w:val="000000"/>
          <w:szCs w:val="20"/>
          <w:vertAlign w:val="superscript"/>
          <w:lang w:val="en-US"/>
        </w:rPr>
        <w:t>-8</w:t>
      </w:r>
      <w:r w:rsidRPr="006A5315">
        <w:rPr>
          <w:color w:val="000000"/>
          <w:szCs w:val="20"/>
          <w:lang w:val="en-US"/>
        </w:rPr>
        <w:t xml:space="preserve"> Pa-m</w:t>
      </w:r>
      <w:r w:rsidRPr="006A5315">
        <w:rPr>
          <w:color w:val="000000"/>
          <w:szCs w:val="20"/>
          <w:vertAlign w:val="superscript"/>
          <w:lang w:val="en-US"/>
        </w:rPr>
        <w:t>3</w:t>
      </w:r>
      <w:r w:rsidRPr="006A5315">
        <w:rPr>
          <w:color w:val="000000"/>
          <w:szCs w:val="20"/>
          <w:lang w:val="en-US"/>
        </w:rPr>
        <w:t>/mol</w:t>
      </w:r>
      <w:r w:rsidRPr="006A5315">
        <w:rPr>
          <w:kern w:val="22"/>
          <w:szCs w:val="20"/>
          <w:lang w:val="fr-FR"/>
        </w:rPr>
        <w:t xml:space="preserve"> at </w:t>
      </w:r>
      <w:r w:rsidRPr="006A5315">
        <w:rPr>
          <w:kern w:val="22"/>
          <w:szCs w:val="20"/>
        </w:rPr>
        <w:t>25 °C</w:t>
      </w:r>
      <w:r w:rsidRPr="006A5315">
        <w:rPr>
          <w:szCs w:val="20"/>
          <w:lang w:eastAsia="en-AU"/>
        </w:rPr>
        <w:t xml:space="preserve">, volatilisation from water </w:t>
      </w:r>
      <w:r w:rsidR="00C26FC9">
        <w:rPr>
          <w:szCs w:val="20"/>
          <w:lang w:eastAsia="en-AU"/>
        </w:rPr>
        <w:t>is</w:t>
      </w:r>
      <w:r w:rsidRPr="006A5315">
        <w:rPr>
          <w:szCs w:val="20"/>
          <w:lang w:eastAsia="en-AU"/>
        </w:rPr>
        <w:t xml:space="preserve"> not </w:t>
      </w:r>
      <w:r w:rsidR="00C26FC9">
        <w:rPr>
          <w:szCs w:val="20"/>
          <w:lang w:eastAsia="en-AU"/>
        </w:rPr>
        <w:t>a</w:t>
      </w:r>
      <w:r w:rsidRPr="006A5315">
        <w:rPr>
          <w:szCs w:val="20"/>
          <w:lang w:eastAsia="en-AU"/>
        </w:rPr>
        <w:t xml:space="preserve"> significant route of dissipation for </w:t>
      </w:r>
      <w:r w:rsidRPr="006A5315">
        <w:rPr>
          <w:szCs w:val="20"/>
        </w:rPr>
        <w:t>1-aminocyclopropane-1-carboxylic acid</w:t>
      </w:r>
      <w:r w:rsidRPr="006A5315">
        <w:rPr>
          <w:szCs w:val="20"/>
          <w:lang w:eastAsia="en-AU"/>
        </w:rPr>
        <w:t>.</w:t>
      </w:r>
      <w:r w:rsidR="00E52B1F">
        <w:rPr>
          <w:szCs w:val="20"/>
          <w:lang w:eastAsia="en-AU"/>
        </w:rPr>
        <w:t xml:space="preserve"> </w:t>
      </w:r>
      <w:r w:rsidRPr="006A5315">
        <w:rPr>
          <w:szCs w:val="20"/>
        </w:rPr>
        <w:t>The octanol/water partition coefficient (</w:t>
      </w:r>
      <w:r w:rsidRPr="006A5315">
        <w:rPr>
          <w:kern w:val="22"/>
          <w:szCs w:val="20"/>
        </w:rPr>
        <w:t>Log P</w:t>
      </w:r>
      <w:r w:rsidRPr="006A5315">
        <w:rPr>
          <w:kern w:val="22"/>
          <w:szCs w:val="20"/>
          <w:vertAlign w:val="subscript"/>
        </w:rPr>
        <w:t>ow</w:t>
      </w:r>
      <w:r w:rsidRPr="006A5315">
        <w:rPr>
          <w:kern w:val="22"/>
          <w:szCs w:val="20"/>
        </w:rPr>
        <w:t xml:space="preserve">) is -2.9 at 20 °C, </w:t>
      </w:r>
      <w:r w:rsidRPr="006A5315">
        <w:rPr>
          <w:szCs w:val="20"/>
        </w:rPr>
        <w:t xml:space="preserve">indicating that 1-aminocyclopropane-1-carboxylic acid is </w:t>
      </w:r>
      <w:r w:rsidR="005117E9">
        <w:rPr>
          <w:szCs w:val="20"/>
        </w:rPr>
        <w:t>unlikely to be</w:t>
      </w:r>
      <w:r w:rsidRPr="006A5315">
        <w:rPr>
          <w:szCs w:val="20"/>
        </w:rPr>
        <w:t xml:space="preserve"> </w:t>
      </w:r>
      <w:proofErr w:type="spellStart"/>
      <w:r w:rsidRPr="006A5315">
        <w:rPr>
          <w:szCs w:val="20"/>
        </w:rPr>
        <w:t>bioacumulative</w:t>
      </w:r>
      <w:proofErr w:type="spellEnd"/>
      <w:r w:rsidRPr="006A5315">
        <w:rPr>
          <w:szCs w:val="20"/>
        </w:rPr>
        <w:t xml:space="preserve">. The active ingredient is not surface-active. </w:t>
      </w:r>
      <w:r w:rsidR="00E52B1F" w:rsidRPr="00034911">
        <w:rPr>
          <w:szCs w:val="20"/>
        </w:rPr>
        <w:t xml:space="preserve">There are no </w:t>
      </w:r>
      <w:r w:rsidR="00E52B1F">
        <w:rPr>
          <w:szCs w:val="20"/>
        </w:rPr>
        <w:t xml:space="preserve">safety </w:t>
      </w:r>
      <w:r w:rsidR="00E52B1F" w:rsidRPr="00034911">
        <w:rPr>
          <w:szCs w:val="20"/>
        </w:rPr>
        <w:t xml:space="preserve">properties </w:t>
      </w:r>
      <w:r w:rsidR="00E52B1F">
        <w:rPr>
          <w:szCs w:val="20"/>
        </w:rPr>
        <w:t xml:space="preserve">(e.g. </w:t>
      </w:r>
      <w:r w:rsidR="00E52B1F" w:rsidRPr="00034911">
        <w:rPr>
          <w:szCs w:val="20"/>
        </w:rPr>
        <w:t>flammability, explosive, and/or oxidizing</w:t>
      </w:r>
      <w:r w:rsidR="00E52B1F">
        <w:rPr>
          <w:szCs w:val="20"/>
        </w:rPr>
        <w:t>)</w:t>
      </w:r>
      <w:r w:rsidR="00E52B1F" w:rsidRPr="00034911">
        <w:rPr>
          <w:szCs w:val="20"/>
        </w:rPr>
        <w:t xml:space="preserve"> of concern </w:t>
      </w:r>
      <w:r w:rsidR="00E52B1F">
        <w:rPr>
          <w:szCs w:val="20"/>
        </w:rPr>
        <w:t>regarding</w:t>
      </w:r>
      <w:r w:rsidR="00E52B1F" w:rsidRPr="00034911">
        <w:rPr>
          <w:szCs w:val="20"/>
        </w:rPr>
        <w:t xml:space="preserve"> </w:t>
      </w:r>
      <w:r w:rsidR="00E52B1F" w:rsidRPr="006A5315">
        <w:rPr>
          <w:szCs w:val="20"/>
        </w:rPr>
        <w:t>1-aminocyclopropane-1-carboxylic acid</w:t>
      </w:r>
      <w:r w:rsidR="00E52B1F" w:rsidRPr="00034911">
        <w:rPr>
          <w:szCs w:val="20"/>
        </w:rPr>
        <w:t>.</w:t>
      </w:r>
      <w:r w:rsidR="00E52B1F">
        <w:rPr>
          <w:szCs w:val="20"/>
        </w:rPr>
        <w:t xml:space="preserve"> </w:t>
      </w:r>
      <w:r w:rsidR="00E52B1F" w:rsidRPr="006A5315">
        <w:rPr>
          <w:szCs w:val="20"/>
        </w:rPr>
        <w:t>1-</w:t>
      </w:r>
      <w:r w:rsidR="00C63B9D">
        <w:rPr>
          <w:szCs w:val="20"/>
        </w:rPr>
        <w:t>a</w:t>
      </w:r>
      <w:r w:rsidR="00E52B1F" w:rsidRPr="006A5315">
        <w:rPr>
          <w:szCs w:val="20"/>
        </w:rPr>
        <w:t>minocyclopropane-1-carboxylic acid</w:t>
      </w:r>
      <w:r w:rsidR="00E52B1F">
        <w:rPr>
          <w:szCs w:val="20"/>
        </w:rPr>
        <w:t xml:space="preserve"> is expected to be stable for at least </w:t>
      </w:r>
      <w:r w:rsidR="00C26FC9">
        <w:rPr>
          <w:szCs w:val="20"/>
        </w:rPr>
        <w:t>one</w:t>
      </w:r>
      <w:r w:rsidR="00E52B1F">
        <w:rPr>
          <w:szCs w:val="20"/>
        </w:rPr>
        <w:t xml:space="preserve"> year storage under normal conditions.</w:t>
      </w:r>
    </w:p>
    <w:p w14:paraId="314BA456" w14:textId="60B9FFED" w:rsidR="006D36C8" w:rsidRDefault="00772458" w:rsidP="00772458">
      <w:pPr>
        <w:pStyle w:val="Caption"/>
      </w:pPr>
      <w:bookmarkStart w:id="35" w:name="_Toc225169366"/>
      <w:r>
        <w:t xml:space="preserve">Table </w:t>
      </w:r>
      <w:r>
        <w:fldChar w:fldCharType="begin"/>
      </w:r>
      <w:r>
        <w:instrText xml:space="preserve"> SEQ Table \* ARABIC </w:instrText>
      </w:r>
      <w:r>
        <w:fldChar w:fldCharType="separate"/>
      </w:r>
      <w:r>
        <w:rPr>
          <w:noProof/>
        </w:rPr>
        <w:t>1</w:t>
      </w:r>
      <w:r>
        <w:rPr>
          <w:noProof/>
        </w:rPr>
        <w:fldChar w:fldCharType="end"/>
      </w:r>
      <w:r w:rsidR="006D36C8">
        <w:t>:</w:t>
      </w:r>
      <w:bookmarkEnd w:id="32"/>
      <w:r w:rsidR="007B322A">
        <w:t xml:space="preserve"> </w:t>
      </w:r>
      <w:r w:rsidR="005A2957">
        <w:t xml:space="preserve">Nomenclature and structural formula of the active constituent </w:t>
      </w:r>
      <w:bookmarkEnd w:id="33"/>
      <w:bookmarkEnd w:id="34"/>
      <w:r w:rsidR="00393FE3">
        <w:t>1-aminocyclopropane-1-carboxylic acid</w:t>
      </w:r>
      <w:bookmarkEnd w:id="35"/>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18508B6F" w:rsidR="005A2957" w:rsidRPr="000E7D12" w:rsidRDefault="000E7D12" w:rsidP="005A2957">
            <w:pPr>
              <w:pStyle w:val="APVMATableText"/>
              <w:rPr>
                <w:szCs w:val="17"/>
              </w:rPr>
            </w:pPr>
            <w:r w:rsidRPr="000E7D12">
              <w:rPr>
                <w:szCs w:val="17"/>
              </w:rPr>
              <w:t>1-</w:t>
            </w:r>
            <w:r w:rsidR="00C63B9D">
              <w:rPr>
                <w:szCs w:val="17"/>
              </w:rPr>
              <w:t>a</w:t>
            </w:r>
            <w:r w:rsidRPr="000E7D12">
              <w:rPr>
                <w:szCs w:val="17"/>
              </w:rPr>
              <w:t>minocyclopropane-1-carboxylic acid</w:t>
            </w:r>
          </w:p>
        </w:tc>
      </w:tr>
      <w:tr w:rsidR="005A2957" w14:paraId="053B54BC" w14:textId="77777777" w:rsidTr="00424637">
        <w:trPr>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76A8D12C" w:rsidR="005A2957" w:rsidRPr="000E7D12" w:rsidRDefault="000E7D12" w:rsidP="005A2957">
            <w:pPr>
              <w:pStyle w:val="APVMATableText"/>
              <w:rPr>
                <w:szCs w:val="17"/>
              </w:rPr>
            </w:pPr>
            <w:r w:rsidRPr="000E7D12">
              <w:rPr>
                <w:szCs w:val="17"/>
              </w:rPr>
              <w:t>1-aminocyclopropane-1-carboxylic acid</w:t>
            </w:r>
          </w:p>
        </w:tc>
      </w:tr>
      <w:tr w:rsidR="005A2957" w14:paraId="7BD90356" w14:textId="77777777" w:rsidTr="00424637">
        <w:trPr>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7B2BF6B3" w:rsidR="005A2957" w:rsidRDefault="000E7D12" w:rsidP="005A2957">
            <w:pPr>
              <w:pStyle w:val="APVMATableText"/>
            </w:pPr>
            <w:r>
              <w:t>22059-21-8</w:t>
            </w:r>
          </w:p>
        </w:tc>
      </w:tr>
      <w:tr w:rsidR="005A2957" w14:paraId="73492F55" w14:textId="77777777" w:rsidTr="00424637">
        <w:trPr>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1612B568" w:rsidR="005A2957" w:rsidRPr="000E7D12" w:rsidRDefault="000E7D12" w:rsidP="005A2957">
            <w:pPr>
              <w:pStyle w:val="APVMATableText"/>
              <w:rPr>
                <w:szCs w:val="17"/>
              </w:rPr>
            </w:pPr>
            <w:r w:rsidRPr="000E7D12">
              <w:rPr>
                <w:szCs w:val="17"/>
              </w:rPr>
              <w:t>C</w:t>
            </w:r>
            <w:r w:rsidRPr="000E7D12">
              <w:rPr>
                <w:szCs w:val="17"/>
                <w:vertAlign w:val="subscript"/>
              </w:rPr>
              <w:t>4</w:t>
            </w:r>
            <w:r w:rsidRPr="000E7D12">
              <w:rPr>
                <w:szCs w:val="17"/>
              </w:rPr>
              <w:t>H</w:t>
            </w:r>
            <w:r w:rsidRPr="000E7D12">
              <w:rPr>
                <w:szCs w:val="17"/>
                <w:vertAlign w:val="subscript"/>
              </w:rPr>
              <w:t>7</w:t>
            </w:r>
            <w:r w:rsidRPr="000E7D12">
              <w:rPr>
                <w:szCs w:val="17"/>
              </w:rPr>
              <w:t>NO</w:t>
            </w:r>
            <w:r w:rsidRPr="000E7D12">
              <w:rPr>
                <w:szCs w:val="17"/>
                <w:vertAlign w:val="subscript"/>
              </w:rPr>
              <w:t>2</w:t>
            </w:r>
          </w:p>
        </w:tc>
      </w:tr>
      <w:tr w:rsidR="005A2957" w14:paraId="343F2DB9" w14:textId="77777777" w:rsidTr="00424637">
        <w:trPr>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550266F4" w:rsidR="005A2957" w:rsidRDefault="000E7D12" w:rsidP="005A2957">
            <w:pPr>
              <w:pStyle w:val="APVMATableText"/>
            </w:pPr>
            <w:r>
              <w:t>101.1 g/mol</w:t>
            </w:r>
          </w:p>
        </w:tc>
      </w:tr>
      <w:tr w:rsidR="005A2957" w14:paraId="6B3C96C2" w14:textId="77777777" w:rsidTr="00424637">
        <w:trPr>
          <w:tblHeader/>
        </w:trPr>
        <w:tc>
          <w:tcPr>
            <w:tcW w:w="1580" w:type="pct"/>
            <w:shd w:val="clear" w:color="auto" w:fill="00747A" w:themeFill="background2"/>
          </w:tcPr>
          <w:p w14:paraId="76C9E380" w14:textId="77777777" w:rsidR="005A2957" w:rsidRDefault="005A2957" w:rsidP="00424637">
            <w:pPr>
              <w:pStyle w:val="APVMATableHead"/>
            </w:pPr>
            <w:r>
              <w:t>Structural formula:</w:t>
            </w:r>
          </w:p>
        </w:tc>
        <w:tc>
          <w:tcPr>
            <w:tcW w:w="3420" w:type="pct"/>
          </w:tcPr>
          <w:p w14:paraId="77A73D44" w14:textId="77777777" w:rsidR="000E7D12" w:rsidRDefault="000E7D12" w:rsidP="005A2957">
            <w:pPr>
              <w:pStyle w:val="APVMATableText"/>
            </w:pPr>
          </w:p>
          <w:p w14:paraId="5B5D010D" w14:textId="77777777" w:rsidR="000E7D12" w:rsidRDefault="000E7D12" w:rsidP="005A2957">
            <w:pPr>
              <w:pStyle w:val="APVMATableText"/>
            </w:pPr>
          </w:p>
          <w:p w14:paraId="48C67161" w14:textId="77777777" w:rsidR="000E7D12" w:rsidRDefault="000E7D12" w:rsidP="005A2957">
            <w:pPr>
              <w:pStyle w:val="APVMATableText"/>
            </w:pPr>
          </w:p>
          <w:p w14:paraId="3A29A8C6" w14:textId="7FF86549" w:rsidR="000E7D12" w:rsidRDefault="000E7D12" w:rsidP="005A2957">
            <w:pPr>
              <w:pStyle w:val="APVMATableText"/>
            </w:pPr>
            <w:r>
              <w:rPr>
                <w:noProof/>
              </w:rPr>
              <w:drawing>
                <wp:inline distT="0" distB="0" distL="0" distR="0" wp14:anchorId="7752938F" wp14:editId="510AC3C0">
                  <wp:extent cx="886266" cy="752622"/>
                  <wp:effectExtent l="0" t="0" r="9525" b="0"/>
                  <wp:docPr id="1036964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64564" name=""/>
                          <pic:cNvPicPr/>
                        </pic:nvPicPr>
                        <pic:blipFill>
                          <a:blip r:embed="rId29">
                            <a:extLst>
                              <a:ext uri="{BEBA8EAE-BF5A-486C-A8C5-ECC9F3942E4B}">
                                <a14:imgProps xmlns:a14="http://schemas.microsoft.com/office/drawing/2010/main">
                                  <a14:imgLayer r:embed="rId30">
                                    <a14:imgEffect>
                                      <a14:sharpenSoften amount="50000"/>
                                    </a14:imgEffect>
                                  </a14:imgLayer>
                                </a14:imgProps>
                              </a:ext>
                            </a:extLst>
                          </a:blip>
                          <a:stretch>
                            <a:fillRect/>
                          </a:stretch>
                        </pic:blipFill>
                        <pic:spPr>
                          <a:xfrm>
                            <a:off x="0" y="0"/>
                            <a:ext cx="904587" cy="768180"/>
                          </a:xfrm>
                          <a:prstGeom prst="rect">
                            <a:avLst/>
                          </a:prstGeom>
                        </pic:spPr>
                      </pic:pic>
                    </a:graphicData>
                  </a:graphic>
                </wp:inline>
              </w:drawing>
            </w:r>
          </w:p>
        </w:tc>
      </w:tr>
    </w:tbl>
    <w:p w14:paraId="672FE812" w14:textId="77777777" w:rsidR="005A2957" w:rsidRDefault="005A2957" w:rsidP="00772458">
      <w:pPr>
        <w:pStyle w:val="APVMAText"/>
      </w:pPr>
      <w:bookmarkStart w:id="36" w:name="_Toc252955167"/>
      <w:r>
        <w:br w:type="page"/>
      </w:r>
    </w:p>
    <w:p w14:paraId="33E6F1E7" w14:textId="5AA5FD19" w:rsidR="006D36C8" w:rsidRDefault="00772458" w:rsidP="00772458">
      <w:pPr>
        <w:pStyle w:val="Caption"/>
      </w:pPr>
      <w:bookmarkStart w:id="37" w:name="_Toc56686266"/>
      <w:bookmarkStart w:id="38" w:name="_Toc56686279"/>
      <w:bookmarkStart w:id="39" w:name="_Toc225169367"/>
      <w:r>
        <w:lastRenderedPageBreak/>
        <w:t xml:space="preserve">Table </w:t>
      </w:r>
      <w:r>
        <w:fldChar w:fldCharType="begin"/>
      </w:r>
      <w:r>
        <w:instrText xml:space="preserve"> SEQ Table \* ARABIC </w:instrText>
      </w:r>
      <w:r>
        <w:fldChar w:fldCharType="separate"/>
      </w:r>
      <w:r>
        <w:rPr>
          <w:noProof/>
        </w:rPr>
        <w:t>2</w:t>
      </w:r>
      <w:r>
        <w:rPr>
          <w:noProof/>
        </w:rPr>
        <w:fldChar w:fldCharType="end"/>
      </w:r>
      <w:r w:rsidR="006D36C8">
        <w:t>:</w:t>
      </w:r>
      <w:bookmarkEnd w:id="36"/>
      <w:r w:rsidR="007B322A">
        <w:t xml:space="preserve"> </w:t>
      </w:r>
      <w:r w:rsidR="005A2957">
        <w:t xml:space="preserve">Key physicochemical properties of the active constituent </w:t>
      </w:r>
      <w:bookmarkEnd w:id="37"/>
      <w:bookmarkEnd w:id="38"/>
      <w:r w:rsidR="00393FE3">
        <w:t>1-aminocyclopropane-1-carboxylic acid</w:t>
      </w:r>
      <w:bookmarkEnd w:id="39"/>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14:paraId="5B019962" w14:textId="77777777" w:rsidTr="00424637">
        <w:trPr>
          <w:tblHeader/>
        </w:trPr>
        <w:tc>
          <w:tcPr>
            <w:tcW w:w="1580" w:type="pct"/>
            <w:shd w:val="clear" w:color="auto" w:fill="00747A" w:themeFill="background2"/>
          </w:tcPr>
          <w:p w14:paraId="3DDAEBF5" w14:textId="77777777" w:rsidR="005A2957" w:rsidRDefault="005A2957" w:rsidP="00424637">
            <w:pPr>
              <w:pStyle w:val="APVMATableHead"/>
            </w:pPr>
            <w:r>
              <w:t>Physical form:</w:t>
            </w:r>
          </w:p>
        </w:tc>
        <w:tc>
          <w:tcPr>
            <w:tcW w:w="3420" w:type="pct"/>
          </w:tcPr>
          <w:p w14:paraId="129AE2F5" w14:textId="76943CAE" w:rsidR="005A2957" w:rsidRDefault="00393FE3" w:rsidP="00D21782">
            <w:pPr>
              <w:pStyle w:val="APVMATableText"/>
            </w:pPr>
            <w:r>
              <w:t>Solid</w:t>
            </w:r>
          </w:p>
        </w:tc>
      </w:tr>
      <w:tr w:rsidR="005A2957" w14:paraId="5A415293" w14:textId="77777777" w:rsidTr="00424637">
        <w:trPr>
          <w:tblHeader/>
        </w:trPr>
        <w:tc>
          <w:tcPr>
            <w:tcW w:w="1580" w:type="pct"/>
            <w:shd w:val="clear" w:color="auto" w:fill="00747A" w:themeFill="background2"/>
          </w:tcPr>
          <w:p w14:paraId="67663045" w14:textId="77777777" w:rsidR="005A2957" w:rsidRDefault="005A2957" w:rsidP="00424637">
            <w:pPr>
              <w:pStyle w:val="APVMATableHead"/>
            </w:pPr>
            <w:r>
              <w:t>Colour:</w:t>
            </w:r>
          </w:p>
        </w:tc>
        <w:tc>
          <w:tcPr>
            <w:tcW w:w="3420" w:type="pct"/>
          </w:tcPr>
          <w:p w14:paraId="5656C7F1" w14:textId="5E331906" w:rsidR="005A2957" w:rsidRPr="00393FE3" w:rsidRDefault="00393FE3" w:rsidP="00D21782">
            <w:pPr>
              <w:pStyle w:val="APVMATableText"/>
              <w:rPr>
                <w:szCs w:val="17"/>
              </w:rPr>
            </w:pPr>
            <w:r w:rsidRPr="00393FE3">
              <w:rPr>
                <w:szCs w:val="17"/>
              </w:rPr>
              <w:t>White to o</w:t>
            </w:r>
            <w:r w:rsidRPr="00393FE3">
              <w:rPr>
                <w:kern w:val="22"/>
                <w:szCs w:val="17"/>
              </w:rPr>
              <w:t xml:space="preserve">ff-white crystalline </w:t>
            </w:r>
            <w:r w:rsidRPr="00393FE3">
              <w:rPr>
                <w:szCs w:val="17"/>
              </w:rPr>
              <w:t>powder with some agglomerates</w:t>
            </w:r>
          </w:p>
        </w:tc>
      </w:tr>
      <w:tr w:rsidR="005A2957" w14:paraId="0999E561" w14:textId="77777777" w:rsidTr="00424637">
        <w:trPr>
          <w:tblHeader/>
        </w:trPr>
        <w:tc>
          <w:tcPr>
            <w:tcW w:w="1580" w:type="pct"/>
            <w:shd w:val="clear" w:color="auto" w:fill="00747A" w:themeFill="background2"/>
          </w:tcPr>
          <w:p w14:paraId="0787760C" w14:textId="77777777" w:rsidR="005A2957" w:rsidRDefault="005A2957" w:rsidP="00424637">
            <w:pPr>
              <w:pStyle w:val="APVMATableHead"/>
            </w:pPr>
            <w:r>
              <w:t>Melting point:</w:t>
            </w:r>
          </w:p>
        </w:tc>
        <w:tc>
          <w:tcPr>
            <w:tcW w:w="3420" w:type="pct"/>
          </w:tcPr>
          <w:p w14:paraId="72C84F5F" w14:textId="732BE3DF" w:rsidR="005A2957" w:rsidRDefault="00393FE3" w:rsidP="00D21782">
            <w:pPr>
              <w:pStyle w:val="APVMATableText"/>
            </w:pPr>
            <w:r>
              <w:t>160</w:t>
            </w:r>
            <w:r w:rsidR="005A2957">
              <w:t>°C</w:t>
            </w:r>
          </w:p>
        </w:tc>
      </w:tr>
      <w:tr w:rsidR="005A2957" w14:paraId="186E1016" w14:textId="77777777" w:rsidTr="00424637">
        <w:trPr>
          <w:tblHeader/>
        </w:trPr>
        <w:tc>
          <w:tcPr>
            <w:tcW w:w="1580" w:type="pct"/>
            <w:shd w:val="clear" w:color="auto" w:fill="00747A" w:themeFill="background2"/>
          </w:tcPr>
          <w:p w14:paraId="70016312" w14:textId="77777777" w:rsidR="005A2957" w:rsidRDefault="005A2957" w:rsidP="00424637">
            <w:pPr>
              <w:pStyle w:val="APVMATableHead"/>
            </w:pPr>
            <w:r>
              <w:t>Boiling point:</w:t>
            </w:r>
          </w:p>
        </w:tc>
        <w:tc>
          <w:tcPr>
            <w:tcW w:w="3420" w:type="pct"/>
          </w:tcPr>
          <w:p w14:paraId="0042A985" w14:textId="060588C5" w:rsidR="005A2957" w:rsidRPr="00393FE3" w:rsidRDefault="00393FE3" w:rsidP="00D21782">
            <w:pPr>
              <w:pStyle w:val="APVMATableText"/>
              <w:rPr>
                <w:szCs w:val="17"/>
              </w:rPr>
            </w:pPr>
            <w:r w:rsidRPr="00393FE3">
              <w:rPr>
                <w:kern w:val="22"/>
                <w:szCs w:val="17"/>
              </w:rPr>
              <w:t>Not determined as decomposes on melting</w:t>
            </w:r>
          </w:p>
        </w:tc>
      </w:tr>
      <w:tr w:rsidR="005A2957" w14:paraId="7E10FDED" w14:textId="77777777" w:rsidTr="00424637">
        <w:trPr>
          <w:tblHeader/>
        </w:trPr>
        <w:tc>
          <w:tcPr>
            <w:tcW w:w="1580" w:type="pct"/>
            <w:shd w:val="clear" w:color="auto" w:fill="00747A" w:themeFill="background2"/>
          </w:tcPr>
          <w:p w14:paraId="516BDB62" w14:textId="3973BFF0" w:rsidR="005A2957" w:rsidRDefault="00393FE3" w:rsidP="00424637">
            <w:pPr>
              <w:pStyle w:val="APVMATableHead"/>
            </w:pPr>
            <w:r>
              <w:t>Relative</w:t>
            </w:r>
            <w:r w:rsidR="005A2957">
              <w:t xml:space="preserve"> density</w:t>
            </w:r>
          </w:p>
        </w:tc>
        <w:tc>
          <w:tcPr>
            <w:tcW w:w="3420" w:type="pct"/>
          </w:tcPr>
          <w:p w14:paraId="31CC1A12" w14:textId="157C3B7F" w:rsidR="005A2957" w:rsidRPr="00EA7005" w:rsidRDefault="00393FE3" w:rsidP="00D21782">
            <w:pPr>
              <w:pStyle w:val="APVMATableText"/>
            </w:pPr>
            <w:r w:rsidRPr="00034911">
              <w:rPr>
                <w:kern w:val="22"/>
                <w:szCs w:val="17"/>
              </w:rPr>
              <w:t>1.</w:t>
            </w:r>
            <w:r>
              <w:rPr>
                <w:kern w:val="22"/>
                <w:szCs w:val="17"/>
              </w:rPr>
              <w:t>26 g/cm</w:t>
            </w:r>
            <w:r w:rsidRPr="007F0408">
              <w:rPr>
                <w:kern w:val="22"/>
                <w:szCs w:val="17"/>
                <w:vertAlign w:val="superscript"/>
              </w:rPr>
              <w:t>3</w:t>
            </w:r>
            <w:r w:rsidRPr="00034911">
              <w:rPr>
                <w:kern w:val="22"/>
                <w:szCs w:val="17"/>
              </w:rPr>
              <w:t xml:space="preserve"> at </w:t>
            </w:r>
            <w:r w:rsidRPr="00034911">
              <w:rPr>
                <w:szCs w:val="17"/>
                <w:lang w:eastAsia="en-AU"/>
              </w:rPr>
              <w:t>20</w:t>
            </w:r>
            <w:r>
              <w:rPr>
                <w:szCs w:val="17"/>
                <w:lang w:eastAsia="en-AU"/>
              </w:rPr>
              <w:t xml:space="preserve"> </w:t>
            </w:r>
            <w:r>
              <w:t>°C</w:t>
            </w:r>
          </w:p>
        </w:tc>
      </w:tr>
      <w:tr w:rsidR="005A2957" w14:paraId="35671A5B" w14:textId="77777777" w:rsidTr="00424637">
        <w:trPr>
          <w:trHeight w:val="613"/>
          <w:tblHeader/>
        </w:trPr>
        <w:tc>
          <w:tcPr>
            <w:tcW w:w="1580" w:type="pct"/>
            <w:tcBorders>
              <w:bottom w:val="single" w:sz="4" w:space="0" w:color="auto"/>
            </w:tcBorders>
            <w:shd w:val="clear" w:color="auto" w:fill="00747A" w:themeFill="background2"/>
          </w:tcPr>
          <w:p w14:paraId="6CEA61AF" w14:textId="77777777" w:rsidR="005A2957" w:rsidRDefault="005A2957" w:rsidP="00424637">
            <w:pPr>
              <w:pStyle w:val="APVMATableHead"/>
            </w:pPr>
            <w:r>
              <w:t>Stability:</w:t>
            </w:r>
          </w:p>
        </w:tc>
        <w:tc>
          <w:tcPr>
            <w:tcW w:w="3420" w:type="pct"/>
          </w:tcPr>
          <w:p w14:paraId="76B268B0" w14:textId="495E46A1" w:rsidR="005A2957" w:rsidRPr="00EA7005" w:rsidRDefault="00393FE3" w:rsidP="00D21782">
            <w:pPr>
              <w:pStyle w:val="APVMATableText"/>
            </w:pPr>
            <w:r>
              <w:rPr>
                <w:kern w:val="22"/>
                <w:szCs w:val="17"/>
              </w:rPr>
              <w:t>At</w:t>
            </w:r>
            <w:r w:rsidRPr="00AE06B0">
              <w:rPr>
                <w:kern w:val="22"/>
                <w:szCs w:val="17"/>
              </w:rPr>
              <w:t xml:space="preserve"> </w:t>
            </w:r>
            <w:r>
              <w:rPr>
                <w:kern w:val="22"/>
                <w:szCs w:val="17"/>
              </w:rPr>
              <w:t>ambient</w:t>
            </w:r>
            <w:r w:rsidRPr="00AE06B0">
              <w:rPr>
                <w:kern w:val="22"/>
                <w:szCs w:val="17"/>
              </w:rPr>
              <w:t xml:space="preserve"> </w:t>
            </w:r>
            <w:r>
              <w:rPr>
                <w:kern w:val="22"/>
                <w:szCs w:val="17"/>
              </w:rPr>
              <w:t>temperature,</w:t>
            </w:r>
            <w:r w:rsidRPr="00AE06B0">
              <w:rPr>
                <w:kern w:val="22"/>
                <w:szCs w:val="17"/>
              </w:rPr>
              <w:t xml:space="preserve"> </w:t>
            </w:r>
            <w:r w:rsidRPr="000E7D12">
              <w:rPr>
                <w:szCs w:val="17"/>
              </w:rPr>
              <w:t>1-aminocyclopropane-1-carboxylic acid</w:t>
            </w:r>
            <w:r w:rsidRPr="00AE06B0">
              <w:rPr>
                <w:kern w:val="22"/>
                <w:szCs w:val="17"/>
              </w:rPr>
              <w:t xml:space="preserve"> </w:t>
            </w:r>
            <w:r>
              <w:rPr>
                <w:kern w:val="22"/>
                <w:szCs w:val="17"/>
              </w:rPr>
              <w:t>was shown to be</w:t>
            </w:r>
            <w:r w:rsidRPr="00AE06B0">
              <w:rPr>
                <w:kern w:val="22"/>
                <w:szCs w:val="17"/>
              </w:rPr>
              <w:t xml:space="preserve"> stable </w:t>
            </w:r>
            <w:r>
              <w:rPr>
                <w:kern w:val="22"/>
                <w:szCs w:val="17"/>
              </w:rPr>
              <w:t>during storage for at least one year. At elevated temperatures</w:t>
            </w:r>
            <w:r w:rsidRPr="00AE06B0">
              <w:rPr>
                <w:kern w:val="22"/>
                <w:szCs w:val="17"/>
              </w:rPr>
              <w:t xml:space="preserve">, </w:t>
            </w:r>
            <w:r>
              <w:rPr>
                <w:kern w:val="22"/>
                <w:szCs w:val="17"/>
              </w:rPr>
              <w:t>no changes in the active were observed after two weeks storage at 54 ºC</w:t>
            </w:r>
            <w:r w:rsidRPr="00AE06B0">
              <w:rPr>
                <w:kern w:val="22"/>
                <w:szCs w:val="17"/>
              </w:rPr>
              <w:t>.</w:t>
            </w:r>
            <w:r>
              <w:rPr>
                <w:kern w:val="22"/>
                <w:sz w:val="24"/>
              </w:rPr>
              <w:t xml:space="preserve"> </w:t>
            </w:r>
            <w:r w:rsidRPr="00AE06B0">
              <w:rPr>
                <w:szCs w:val="17"/>
              </w:rPr>
              <w:t>No adverse reaction</w:t>
            </w:r>
            <w:r>
              <w:rPr>
                <w:szCs w:val="17"/>
              </w:rPr>
              <w:t>s</w:t>
            </w:r>
            <w:r w:rsidRPr="00AE06B0">
              <w:rPr>
                <w:szCs w:val="17"/>
              </w:rPr>
              <w:t xml:space="preserve"> </w:t>
            </w:r>
            <w:r>
              <w:rPr>
                <w:szCs w:val="17"/>
              </w:rPr>
              <w:t>with</w:t>
            </w:r>
            <w:r w:rsidRPr="00AE06B0">
              <w:rPr>
                <w:szCs w:val="17"/>
              </w:rPr>
              <w:t xml:space="preserve"> </w:t>
            </w:r>
            <w:r>
              <w:rPr>
                <w:szCs w:val="17"/>
              </w:rPr>
              <w:t xml:space="preserve">iron, aluminium, zinc or </w:t>
            </w:r>
            <w:r w:rsidR="00732A46">
              <w:rPr>
                <w:szCs w:val="17"/>
              </w:rPr>
              <w:t xml:space="preserve">iron acetate, </w:t>
            </w:r>
            <w:r>
              <w:rPr>
                <w:szCs w:val="17"/>
              </w:rPr>
              <w:t>aluminium acetate</w:t>
            </w:r>
            <w:r w:rsidR="00732A46">
              <w:rPr>
                <w:szCs w:val="17"/>
              </w:rPr>
              <w:t xml:space="preserve"> and zinc acetate </w:t>
            </w:r>
            <w:r>
              <w:rPr>
                <w:szCs w:val="17"/>
              </w:rPr>
              <w:t>were observed following storage at</w:t>
            </w:r>
            <w:r>
              <w:rPr>
                <w:kern w:val="22"/>
                <w:szCs w:val="17"/>
              </w:rPr>
              <w:t xml:space="preserve"> 54 ºC</w:t>
            </w:r>
            <w:r>
              <w:rPr>
                <w:szCs w:val="17"/>
              </w:rPr>
              <w:t xml:space="preserve"> for</w:t>
            </w:r>
            <w:r w:rsidRPr="00AE06B0">
              <w:rPr>
                <w:szCs w:val="17"/>
              </w:rPr>
              <w:t xml:space="preserve"> </w:t>
            </w:r>
            <w:r>
              <w:rPr>
                <w:szCs w:val="17"/>
              </w:rPr>
              <w:t>2 weeks</w:t>
            </w:r>
            <w:r>
              <w:rPr>
                <w:kern w:val="22"/>
                <w:szCs w:val="17"/>
              </w:rPr>
              <w:t xml:space="preserve">. Technical </w:t>
            </w:r>
            <w:r w:rsidR="00732A46" w:rsidRPr="000E7D12">
              <w:rPr>
                <w:szCs w:val="17"/>
              </w:rPr>
              <w:t>1-aminocyclopropane-1-carboxylic acid</w:t>
            </w:r>
            <w:r>
              <w:rPr>
                <w:kern w:val="22"/>
                <w:szCs w:val="17"/>
              </w:rPr>
              <w:t xml:space="preserve"> is therefore expected to be stable on storage for at least two years under normal conditions.</w:t>
            </w:r>
          </w:p>
        </w:tc>
      </w:tr>
      <w:tr w:rsidR="005A2957" w14:paraId="4DA5E8E2" w14:textId="77777777" w:rsidTr="00424637">
        <w:trPr>
          <w:tblHeader/>
        </w:trPr>
        <w:tc>
          <w:tcPr>
            <w:tcW w:w="1580" w:type="pct"/>
            <w:tcBorders>
              <w:bottom w:val="single" w:sz="4" w:space="0" w:color="auto"/>
            </w:tcBorders>
            <w:shd w:val="clear" w:color="auto" w:fill="00747A" w:themeFill="background2"/>
          </w:tcPr>
          <w:p w14:paraId="4F6AD69F" w14:textId="77777777" w:rsidR="005A2957" w:rsidRDefault="005A2957" w:rsidP="00424637">
            <w:pPr>
              <w:pStyle w:val="APVMATableHead"/>
            </w:pPr>
            <w:r>
              <w:t>Safety properties:</w:t>
            </w:r>
          </w:p>
        </w:tc>
        <w:tc>
          <w:tcPr>
            <w:tcW w:w="3420" w:type="pct"/>
          </w:tcPr>
          <w:p w14:paraId="50B86921" w14:textId="10652424" w:rsidR="005A2957" w:rsidRPr="00EA7005" w:rsidRDefault="00732A46" w:rsidP="00D21782">
            <w:pPr>
              <w:pStyle w:val="APVMATableText"/>
            </w:pPr>
            <w:r>
              <w:rPr>
                <w:szCs w:val="17"/>
              </w:rPr>
              <w:t xml:space="preserve">Not considered flammable. Not </w:t>
            </w:r>
            <w:r w:rsidRPr="00AE06B0">
              <w:rPr>
                <w:szCs w:val="17"/>
              </w:rPr>
              <w:t>explosive</w:t>
            </w:r>
            <w:r>
              <w:rPr>
                <w:szCs w:val="17"/>
              </w:rPr>
              <w:t>. Not auto-flammable</w:t>
            </w:r>
            <w:r>
              <w:t>.</w:t>
            </w:r>
            <w:r w:rsidRPr="00AE06B0">
              <w:rPr>
                <w:szCs w:val="17"/>
              </w:rPr>
              <w:t xml:space="preserve"> Except </w:t>
            </w:r>
            <w:r>
              <w:rPr>
                <w:szCs w:val="17"/>
              </w:rPr>
              <w:t>for photochemical degradation</w:t>
            </w:r>
            <w:r w:rsidRPr="00AE06B0">
              <w:rPr>
                <w:szCs w:val="17"/>
              </w:rPr>
              <w:t xml:space="preserve"> </w:t>
            </w:r>
            <w:r>
              <w:rPr>
                <w:szCs w:val="17"/>
              </w:rPr>
              <w:t>in</w:t>
            </w:r>
            <w:r w:rsidRPr="00AE06B0">
              <w:rPr>
                <w:szCs w:val="17"/>
              </w:rPr>
              <w:t xml:space="preserve"> </w:t>
            </w:r>
            <w:r>
              <w:rPr>
                <w:szCs w:val="17"/>
              </w:rPr>
              <w:t>atmospheric oxidation</w:t>
            </w:r>
            <w:r w:rsidRPr="00AE06B0">
              <w:rPr>
                <w:szCs w:val="17"/>
              </w:rPr>
              <w:t xml:space="preserve">, the </w:t>
            </w:r>
            <w:r w:rsidRPr="000E7D12">
              <w:rPr>
                <w:szCs w:val="17"/>
              </w:rPr>
              <w:t>1-aminocyclopropane-1-carboxylic acid</w:t>
            </w:r>
            <w:r w:rsidRPr="00AE06B0">
              <w:rPr>
                <w:szCs w:val="17"/>
              </w:rPr>
              <w:t xml:space="preserve"> technical does not show any chemical</w:t>
            </w:r>
            <w:r>
              <w:rPr>
                <w:szCs w:val="17"/>
              </w:rPr>
              <w:t xml:space="preserve"> incompatibility with oxidising and</w:t>
            </w:r>
            <w:r w:rsidRPr="00AE06B0">
              <w:rPr>
                <w:szCs w:val="17"/>
              </w:rPr>
              <w:t xml:space="preserve"> reducing agents.</w:t>
            </w:r>
          </w:p>
        </w:tc>
      </w:tr>
      <w:tr w:rsidR="005A2957" w14:paraId="0FB35A53" w14:textId="77777777" w:rsidTr="00424637">
        <w:trPr>
          <w:tblHeader/>
        </w:trPr>
        <w:tc>
          <w:tcPr>
            <w:tcW w:w="1580" w:type="pct"/>
            <w:tcBorders>
              <w:top w:val="single" w:sz="4" w:space="0" w:color="auto"/>
            </w:tcBorders>
            <w:shd w:val="clear" w:color="auto" w:fill="00747A" w:themeFill="background2"/>
          </w:tcPr>
          <w:p w14:paraId="70E41465" w14:textId="77777777" w:rsidR="005A2957" w:rsidRDefault="005A2957" w:rsidP="00424637">
            <w:pPr>
              <w:pStyle w:val="APVMATableHead"/>
            </w:pPr>
            <w:r>
              <w:t>Solubility in water:</w:t>
            </w:r>
          </w:p>
        </w:tc>
        <w:tc>
          <w:tcPr>
            <w:tcW w:w="3420" w:type="pct"/>
          </w:tcPr>
          <w:p w14:paraId="78EF4EEA" w14:textId="095AC8F6" w:rsidR="005A2957" w:rsidRPr="00EA7005" w:rsidRDefault="006F1E3F" w:rsidP="00D21782">
            <w:pPr>
              <w:pStyle w:val="APVMATableText"/>
            </w:pPr>
            <w:r>
              <w:rPr>
                <w:kern w:val="22"/>
                <w:szCs w:val="17"/>
              </w:rPr>
              <w:t xml:space="preserve">68 </w:t>
            </w:r>
            <w:r w:rsidRPr="00F94702">
              <w:rPr>
                <w:kern w:val="22"/>
                <w:szCs w:val="17"/>
              </w:rPr>
              <w:t>g/</w:t>
            </w:r>
            <w:r>
              <w:rPr>
                <w:kern w:val="22"/>
                <w:szCs w:val="17"/>
              </w:rPr>
              <w:t>L at 20</w:t>
            </w:r>
            <w:r w:rsidRPr="00F94702">
              <w:rPr>
                <w:kern w:val="22"/>
                <w:szCs w:val="17"/>
              </w:rPr>
              <w:t xml:space="preserve"> ºC</w:t>
            </w:r>
          </w:p>
        </w:tc>
      </w:tr>
      <w:tr w:rsidR="005A2957" w14:paraId="1DD2F6D2" w14:textId="77777777" w:rsidTr="00424637">
        <w:trPr>
          <w:tblHeader/>
        </w:trPr>
        <w:tc>
          <w:tcPr>
            <w:tcW w:w="1580" w:type="pct"/>
            <w:shd w:val="clear" w:color="auto" w:fill="00747A" w:themeFill="background2"/>
          </w:tcPr>
          <w:p w14:paraId="6E9CEA9B" w14:textId="77777777" w:rsidR="005A2957" w:rsidRDefault="005A2957" w:rsidP="00424637">
            <w:pPr>
              <w:pStyle w:val="APVMATableHead"/>
            </w:pPr>
            <w:r>
              <w:t>Organic solvent solubility:</w:t>
            </w:r>
          </w:p>
        </w:tc>
        <w:tc>
          <w:tcPr>
            <w:tcW w:w="3420" w:type="pct"/>
          </w:tcPr>
          <w:p w14:paraId="53BF215D" w14:textId="5CE73D96" w:rsidR="006F1E3F" w:rsidRPr="006F1E3F" w:rsidRDefault="006F1E3F" w:rsidP="00D21782">
            <w:pPr>
              <w:spacing w:before="120" w:after="120" w:line="210" w:lineRule="exact"/>
              <w:rPr>
                <w:kern w:val="22"/>
                <w:sz w:val="17"/>
                <w:szCs w:val="17"/>
              </w:rPr>
            </w:pPr>
            <w:r w:rsidRPr="006F1E3F">
              <w:rPr>
                <w:kern w:val="22"/>
                <w:sz w:val="17"/>
                <w:szCs w:val="17"/>
              </w:rPr>
              <w:t xml:space="preserve">Hexane: &lt; 0.2 mg/L </w:t>
            </w:r>
          </w:p>
          <w:p w14:paraId="666FDCE0" w14:textId="77777777" w:rsidR="006F1E3F" w:rsidRPr="006F1E3F" w:rsidRDefault="006F1E3F" w:rsidP="00D21782">
            <w:pPr>
              <w:spacing w:before="120" w:after="120" w:line="210" w:lineRule="exact"/>
              <w:rPr>
                <w:kern w:val="22"/>
                <w:sz w:val="17"/>
                <w:szCs w:val="17"/>
              </w:rPr>
            </w:pPr>
            <w:r w:rsidRPr="006F1E3F">
              <w:rPr>
                <w:kern w:val="22"/>
                <w:sz w:val="17"/>
                <w:szCs w:val="17"/>
              </w:rPr>
              <w:t xml:space="preserve">Xylene: &lt; 0.2 mg/L </w:t>
            </w:r>
          </w:p>
          <w:p w14:paraId="6C797362" w14:textId="77777777" w:rsidR="006F1E3F" w:rsidRPr="006F1E3F" w:rsidRDefault="006F1E3F" w:rsidP="00D21782">
            <w:pPr>
              <w:spacing w:before="120" w:after="120" w:line="210" w:lineRule="exact"/>
              <w:rPr>
                <w:kern w:val="22"/>
                <w:sz w:val="17"/>
                <w:szCs w:val="17"/>
              </w:rPr>
            </w:pPr>
            <w:r w:rsidRPr="006F1E3F">
              <w:rPr>
                <w:kern w:val="22"/>
                <w:sz w:val="17"/>
                <w:szCs w:val="17"/>
              </w:rPr>
              <w:t>Dichloromethane: &lt; 0.2 mg/L</w:t>
            </w:r>
          </w:p>
          <w:p w14:paraId="0A4C7A08" w14:textId="77777777" w:rsidR="006F1E3F" w:rsidRPr="006F1E3F" w:rsidRDefault="006F1E3F" w:rsidP="00D21782">
            <w:pPr>
              <w:spacing w:before="120" w:after="120" w:line="210" w:lineRule="exact"/>
              <w:rPr>
                <w:kern w:val="22"/>
                <w:sz w:val="17"/>
                <w:szCs w:val="17"/>
              </w:rPr>
            </w:pPr>
            <w:r w:rsidRPr="006F1E3F">
              <w:rPr>
                <w:kern w:val="22"/>
                <w:sz w:val="17"/>
                <w:szCs w:val="17"/>
              </w:rPr>
              <w:t>Ethyl acetate: &lt; 1 mg/L</w:t>
            </w:r>
          </w:p>
          <w:p w14:paraId="32F22919" w14:textId="77777777" w:rsidR="006F1E3F" w:rsidRPr="006F1E3F" w:rsidRDefault="006F1E3F" w:rsidP="00D21782">
            <w:pPr>
              <w:spacing w:before="120" w:after="120" w:line="210" w:lineRule="exact"/>
              <w:rPr>
                <w:kern w:val="22"/>
                <w:sz w:val="17"/>
                <w:szCs w:val="17"/>
              </w:rPr>
            </w:pPr>
            <w:r w:rsidRPr="006F1E3F">
              <w:rPr>
                <w:kern w:val="22"/>
                <w:sz w:val="17"/>
                <w:szCs w:val="17"/>
              </w:rPr>
              <w:t>Acetone: 300 mg/L</w:t>
            </w:r>
          </w:p>
          <w:p w14:paraId="14E12EF4" w14:textId="0F1F73A9" w:rsidR="005A2957" w:rsidRPr="006F1E3F" w:rsidRDefault="006F1E3F" w:rsidP="00D21782">
            <w:pPr>
              <w:pStyle w:val="APVMATableText"/>
              <w:rPr>
                <w:szCs w:val="17"/>
              </w:rPr>
            </w:pPr>
            <w:r w:rsidRPr="006F1E3F">
              <w:rPr>
                <w:kern w:val="22"/>
                <w:szCs w:val="17"/>
              </w:rPr>
              <w:t>Methanol: 3500 g/L</w:t>
            </w:r>
          </w:p>
        </w:tc>
      </w:tr>
      <w:tr w:rsidR="005A2957" w14:paraId="3C4FC544" w14:textId="77777777" w:rsidTr="00424637">
        <w:trPr>
          <w:tblHeader/>
        </w:trPr>
        <w:tc>
          <w:tcPr>
            <w:tcW w:w="1580" w:type="pct"/>
            <w:shd w:val="clear" w:color="auto" w:fill="00747A" w:themeFill="background2"/>
          </w:tcPr>
          <w:p w14:paraId="4153A843" w14:textId="77777777" w:rsidR="005A2957" w:rsidRDefault="007B74E9" w:rsidP="00424637">
            <w:pPr>
              <w:pStyle w:val="APVMATableHead"/>
            </w:pPr>
            <w:r>
              <w:t>Dissociation constant (PK</w:t>
            </w:r>
            <w:r w:rsidR="005A2957" w:rsidRPr="00B75B0D">
              <w:rPr>
                <w:vertAlign w:val="subscript"/>
              </w:rPr>
              <w:t>a</w:t>
            </w:r>
            <w:r w:rsidR="005A2957" w:rsidRPr="009A5578">
              <w:t>)</w:t>
            </w:r>
            <w:r w:rsidR="005A2957">
              <w:t>:</w:t>
            </w:r>
          </w:p>
        </w:tc>
        <w:tc>
          <w:tcPr>
            <w:tcW w:w="3420" w:type="pct"/>
          </w:tcPr>
          <w:p w14:paraId="416AE13D" w14:textId="11E7B4DF" w:rsidR="005A2957" w:rsidRPr="006F1E3F" w:rsidRDefault="006F1E3F" w:rsidP="00D21782">
            <w:pPr>
              <w:pStyle w:val="APVMATableText"/>
              <w:rPr>
                <w:szCs w:val="17"/>
              </w:rPr>
            </w:pPr>
            <w:r w:rsidRPr="006F1E3F">
              <w:rPr>
                <w:kern w:val="22"/>
                <w:szCs w:val="17"/>
              </w:rPr>
              <w:t>pKa = 8.8</w:t>
            </w:r>
          </w:p>
        </w:tc>
      </w:tr>
      <w:tr w:rsidR="005A2957" w14:paraId="32AACE61" w14:textId="77777777" w:rsidTr="00424637">
        <w:trPr>
          <w:tblHeader/>
        </w:trPr>
        <w:tc>
          <w:tcPr>
            <w:tcW w:w="1580" w:type="pct"/>
            <w:shd w:val="clear" w:color="auto" w:fill="00747A" w:themeFill="background2"/>
          </w:tcPr>
          <w:p w14:paraId="5B4F8EF4" w14:textId="77777777" w:rsidR="005A2957" w:rsidRDefault="005A2957" w:rsidP="00424637">
            <w:pPr>
              <w:pStyle w:val="APVMATableHead"/>
            </w:pPr>
            <w:r>
              <w:t>PH:</w:t>
            </w:r>
          </w:p>
        </w:tc>
        <w:tc>
          <w:tcPr>
            <w:tcW w:w="3420" w:type="pct"/>
          </w:tcPr>
          <w:p w14:paraId="162C0AE6" w14:textId="4F0A91F2" w:rsidR="005A2957" w:rsidRPr="00EA7005" w:rsidRDefault="006F1E3F" w:rsidP="00D21782">
            <w:pPr>
              <w:pStyle w:val="APVMATableText"/>
            </w:pPr>
            <w:r w:rsidRPr="00600980">
              <w:rPr>
                <w:kern w:val="22"/>
                <w:szCs w:val="17"/>
              </w:rPr>
              <w:t xml:space="preserve">pH </w:t>
            </w:r>
            <w:r>
              <w:rPr>
                <w:kern w:val="22"/>
                <w:szCs w:val="17"/>
              </w:rPr>
              <w:t>5.6</w:t>
            </w:r>
            <w:r w:rsidRPr="00600980">
              <w:rPr>
                <w:kern w:val="22"/>
                <w:szCs w:val="17"/>
              </w:rPr>
              <w:t xml:space="preserve"> at </w:t>
            </w:r>
            <w:r>
              <w:rPr>
                <w:kern w:val="22"/>
                <w:szCs w:val="17"/>
              </w:rPr>
              <w:t>a 1% dilution in pure water at 20</w:t>
            </w:r>
            <w:r w:rsidRPr="00600980">
              <w:rPr>
                <w:kern w:val="22"/>
                <w:szCs w:val="17"/>
              </w:rPr>
              <w:t xml:space="preserve"> ºC</w:t>
            </w:r>
          </w:p>
        </w:tc>
      </w:tr>
      <w:tr w:rsidR="005A2957" w14:paraId="5CA72068" w14:textId="77777777" w:rsidTr="00424637">
        <w:trPr>
          <w:tblHeader/>
        </w:trPr>
        <w:tc>
          <w:tcPr>
            <w:tcW w:w="1580" w:type="pct"/>
            <w:shd w:val="clear" w:color="auto" w:fill="00747A" w:themeFill="background2"/>
          </w:tcPr>
          <w:p w14:paraId="5DBC3B40" w14:textId="77777777" w:rsidR="005A2957" w:rsidRDefault="005A2957" w:rsidP="00424637">
            <w:pPr>
              <w:pStyle w:val="APVMATableHead"/>
            </w:pPr>
            <w:r>
              <w:t>Octanol/water partition coefficient (Log K</w:t>
            </w:r>
            <w:r w:rsidRPr="00B75B0D">
              <w:rPr>
                <w:vertAlign w:val="subscript"/>
              </w:rPr>
              <w:t>ow</w:t>
            </w:r>
            <w:r>
              <w:t>/K</w:t>
            </w:r>
            <w:r w:rsidRPr="00B75B0D">
              <w:rPr>
                <w:vertAlign w:val="subscript"/>
              </w:rPr>
              <w:t>OW</w:t>
            </w:r>
            <w:r>
              <w:t>):</w:t>
            </w:r>
          </w:p>
        </w:tc>
        <w:tc>
          <w:tcPr>
            <w:tcW w:w="3420" w:type="pct"/>
          </w:tcPr>
          <w:p w14:paraId="1939E231" w14:textId="21CF26EB" w:rsidR="005A2957" w:rsidRPr="006F1E3F" w:rsidRDefault="006F1E3F" w:rsidP="00D21782">
            <w:pPr>
              <w:spacing w:before="120" w:after="120" w:line="210" w:lineRule="atLeast"/>
              <w:rPr>
                <w:kern w:val="22"/>
                <w:sz w:val="17"/>
                <w:szCs w:val="17"/>
              </w:rPr>
            </w:pPr>
            <w:r w:rsidRPr="006F1E3F">
              <w:rPr>
                <w:kern w:val="22"/>
                <w:sz w:val="17"/>
                <w:szCs w:val="17"/>
              </w:rPr>
              <w:t>Log P</w:t>
            </w:r>
            <w:r w:rsidRPr="006F1E3F">
              <w:rPr>
                <w:kern w:val="22"/>
                <w:sz w:val="17"/>
                <w:szCs w:val="17"/>
                <w:vertAlign w:val="subscript"/>
              </w:rPr>
              <w:t>ow</w:t>
            </w:r>
            <w:r w:rsidRPr="006F1E3F">
              <w:rPr>
                <w:kern w:val="22"/>
                <w:sz w:val="17"/>
                <w:szCs w:val="17"/>
              </w:rPr>
              <w:t xml:space="preserve"> = -2.9, pH 7.0 at 20 °C </w:t>
            </w:r>
          </w:p>
        </w:tc>
      </w:tr>
      <w:tr w:rsidR="005A2957" w14:paraId="71B510CE" w14:textId="77777777" w:rsidTr="00424637">
        <w:trPr>
          <w:tblHeader/>
        </w:trPr>
        <w:tc>
          <w:tcPr>
            <w:tcW w:w="1580" w:type="pct"/>
            <w:shd w:val="clear" w:color="auto" w:fill="00747A" w:themeFill="background2"/>
          </w:tcPr>
          <w:p w14:paraId="12930EE0" w14:textId="77777777" w:rsidR="005A2957" w:rsidRDefault="005A2957" w:rsidP="00424637">
            <w:pPr>
              <w:pStyle w:val="APVMATableHead"/>
            </w:pPr>
            <w:r>
              <w:t>Vapour pressure:</w:t>
            </w:r>
          </w:p>
        </w:tc>
        <w:tc>
          <w:tcPr>
            <w:tcW w:w="3420" w:type="pct"/>
          </w:tcPr>
          <w:p w14:paraId="2EAE59BA" w14:textId="728AA3FF" w:rsidR="005A2957" w:rsidRPr="00DE6361" w:rsidRDefault="00DE6361" w:rsidP="00D21782">
            <w:pPr>
              <w:pStyle w:val="APVMATableText"/>
              <w:rPr>
                <w:szCs w:val="17"/>
              </w:rPr>
            </w:pPr>
            <w:r w:rsidRPr="00DE6361">
              <w:rPr>
                <w:szCs w:val="17"/>
                <w:lang w:eastAsia="en-AU"/>
              </w:rPr>
              <w:t>3.64 × 10</w:t>
            </w:r>
            <w:r w:rsidRPr="00DE6361">
              <w:rPr>
                <w:szCs w:val="17"/>
                <w:vertAlign w:val="superscript"/>
                <w:lang w:eastAsia="en-AU"/>
              </w:rPr>
              <w:t>-5</w:t>
            </w:r>
            <w:r w:rsidRPr="00DE6361">
              <w:rPr>
                <w:szCs w:val="17"/>
                <w:lang w:eastAsia="en-AU"/>
              </w:rPr>
              <w:t xml:space="preserve"> Pa </w:t>
            </w:r>
            <w:r w:rsidRPr="00DE6361">
              <w:rPr>
                <w:kern w:val="22"/>
                <w:szCs w:val="17"/>
                <w:lang w:val="fr-FR"/>
              </w:rPr>
              <w:t xml:space="preserve">at </w:t>
            </w:r>
            <w:r w:rsidRPr="00DE6361">
              <w:rPr>
                <w:kern w:val="22"/>
                <w:szCs w:val="17"/>
              </w:rPr>
              <w:t>25 °C</w:t>
            </w:r>
          </w:p>
        </w:tc>
      </w:tr>
      <w:tr w:rsidR="005A2957" w14:paraId="381351E2" w14:textId="77777777" w:rsidTr="00FF7B50">
        <w:trPr>
          <w:trHeight w:val="435"/>
          <w:tblHeader/>
        </w:trPr>
        <w:tc>
          <w:tcPr>
            <w:tcW w:w="1580" w:type="pct"/>
            <w:shd w:val="clear" w:color="auto" w:fill="00747A" w:themeFill="background2"/>
          </w:tcPr>
          <w:p w14:paraId="4A529FAD" w14:textId="77777777" w:rsidR="005A2957" w:rsidRDefault="005A2957" w:rsidP="00C72FA3">
            <w:pPr>
              <w:pStyle w:val="APVMATableHead"/>
            </w:pPr>
            <w:r>
              <w:t>Henry’s law constant:</w:t>
            </w:r>
          </w:p>
        </w:tc>
        <w:tc>
          <w:tcPr>
            <w:tcW w:w="3420" w:type="pct"/>
          </w:tcPr>
          <w:p w14:paraId="5EC49EF7" w14:textId="4BC27508" w:rsidR="005A2957" w:rsidRPr="00DE6361" w:rsidRDefault="00DE6361" w:rsidP="00D21782">
            <w:pPr>
              <w:pStyle w:val="APVMATableText"/>
              <w:rPr>
                <w:szCs w:val="17"/>
              </w:rPr>
            </w:pPr>
            <w:r w:rsidRPr="00DE6361">
              <w:rPr>
                <w:color w:val="000000"/>
                <w:szCs w:val="17"/>
                <w:lang w:val="en-US"/>
              </w:rPr>
              <w:t>2.65 × 10</w:t>
            </w:r>
            <w:r w:rsidRPr="00DE6361">
              <w:rPr>
                <w:color w:val="000000"/>
                <w:szCs w:val="17"/>
                <w:vertAlign w:val="superscript"/>
                <w:lang w:val="en-US"/>
              </w:rPr>
              <w:t>-8</w:t>
            </w:r>
            <w:r w:rsidRPr="00DE6361">
              <w:rPr>
                <w:color w:val="000000"/>
                <w:szCs w:val="17"/>
                <w:lang w:val="en-US"/>
              </w:rPr>
              <w:t xml:space="preserve"> Pa-m</w:t>
            </w:r>
            <w:r w:rsidRPr="00DE6361">
              <w:rPr>
                <w:color w:val="000000"/>
                <w:szCs w:val="17"/>
                <w:vertAlign w:val="superscript"/>
                <w:lang w:val="en-US"/>
              </w:rPr>
              <w:t>3</w:t>
            </w:r>
            <w:r w:rsidRPr="00DE6361">
              <w:rPr>
                <w:color w:val="000000"/>
                <w:szCs w:val="17"/>
                <w:lang w:val="en-US"/>
              </w:rPr>
              <w:t>/mol</w:t>
            </w:r>
            <w:r w:rsidRPr="00DE6361">
              <w:rPr>
                <w:kern w:val="22"/>
                <w:szCs w:val="17"/>
              </w:rPr>
              <w:t xml:space="preserve"> </w:t>
            </w:r>
            <w:r w:rsidRPr="00DE6361">
              <w:rPr>
                <w:kern w:val="22"/>
                <w:szCs w:val="17"/>
                <w:lang w:val="fr-FR"/>
              </w:rPr>
              <w:t xml:space="preserve">at </w:t>
            </w:r>
            <w:r w:rsidRPr="00DE6361">
              <w:rPr>
                <w:kern w:val="22"/>
                <w:szCs w:val="17"/>
              </w:rPr>
              <w:t>25 °C</w:t>
            </w:r>
          </w:p>
        </w:tc>
      </w:tr>
      <w:tr w:rsidR="005A2957" w14:paraId="7A9D742D" w14:textId="77777777" w:rsidTr="00424637">
        <w:trPr>
          <w:trHeight w:val="613"/>
          <w:tblHeader/>
        </w:trPr>
        <w:tc>
          <w:tcPr>
            <w:tcW w:w="1580" w:type="pct"/>
            <w:shd w:val="clear" w:color="auto" w:fill="00747A" w:themeFill="background2"/>
          </w:tcPr>
          <w:p w14:paraId="58391102" w14:textId="77777777" w:rsidR="005A2957" w:rsidRDefault="005A2957" w:rsidP="00424637">
            <w:pPr>
              <w:pStyle w:val="APVMATableHead"/>
            </w:pPr>
            <w:r>
              <w:t>UV/</w:t>
            </w:r>
            <w:proofErr w:type="gramStart"/>
            <w:r>
              <w:t>VIS</w:t>
            </w:r>
            <w:proofErr w:type="gramEnd"/>
            <w:r>
              <w:t xml:space="preserve"> absorption spectra:</w:t>
            </w:r>
          </w:p>
        </w:tc>
        <w:tc>
          <w:tcPr>
            <w:tcW w:w="3420" w:type="pct"/>
          </w:tcPr>
          <w:p w14:paraId="5D329960" w14:textId="1FD5E6B0" w:rsidR="00DE6361" w:rsidRPr="00ED52FB" w:rsidRDefault="00DE6361" w:rsidP="00D21782">
            <w:pPr>
              <w:tabs>
                <w:tab w:val="left" w:pos="709"/>
              </w:tabs>
              <w:spacing w:before="120" w:after="120" w:line="210" w:lineRule="exact"/>
              <w:rPr>
                <w:sz w:val="17"/>
                <w:szCs w:val="17"/>
                <w:lang w:eastAsia="de-DE"/>
              </w:rPr>
            </w:pPr>
            <w:r w:rsidRPr="00ED52FB">
              <w:rPr>
                <w:sz w:val="17"/>
                <w:szCs w:val="17"/>
                <w:lang w:eastAsia="de-DE"/>
              </w:rPr>
              <w:sym w:font="Symbol" w:char="F065"/>
            </w:r>
            <w:r>
              <w:rPr>
                <w:sz w:val="17"/>
                <w:szCs w:val="17"/>
                <w:lang w:eastAsia="de-DE"/>
              </w:rPr>
              <w:t xml:space="preserve"> = 14.75</w:t>
            </w:r>
            <w:r w:rsidRPr="00ED52FB">
              <w:rPr>
                <w:sz w:val="17"/>
                <w:szCs w:val="17"/>
                <w:lang w:eastAsia="de-DE"/>
              </w:rPr>
              <w:t xml:space="preserve"> L.mol</w:t>
            </w:r>
            <w:r w:rsidRPr="00ED52FB">
              <w:rPr>
                <w:sz w:val="17"/>
                <w:szCs w:val="17"/>
                <w:vertAlign w:val="superscript"/>
                <w:lang w:eastAsia="de-DE"/>
              </w:rPr>
              <w:t>-1</w:t>
            </w:r>
            <w:r w:rsidRPr="00ED52FB">
              <w:rPr>
                <w:sz w:val="17"/>
                <w:szCs w:val="17"/>
                <w:lang w:eastAsia="de-DE"/>
              </w:rPr>
              <w:t>.cm</w:t>
            </w:r>
            <w:r w:rsidRPr="00ED52FB">
              <w:rPr>
                <w:sz w:val="17"/>
                <w:szCs w:val="17"/>
                <w:vertAlign w:val="superscript"/>
                <w:lang w:eastAsia="de-DE"/>
              </w:rPr>
              <w:t>-1</w:t>
            </w:r>
            <w:r w:rsidRPr="00ED52FB">
              <w:rPr>
                <w:sz w:val="17"/>
                <w:szCs w:val="17"/>
                <w:lang w:eastAsia="de-DE"/>
              </w:rPr>
              <w:t>(</w:t>
            </w:r>
            <w:r w:rsidRPr="00ED52FB">
              <w:rPr>
                <w:sz w:val="17"/>
                <w:szCs w:val="17"/>
                <w:lang w:eastAsia="de-DE"/>
              </w:rPr>
              <w:sym w:font="Symbol" w:char="F06C"/>
            </w:r>
            <w:r>
              <w:rPr>
                <w:sz w:val="17"/>
                <w:szCs w:val="17"/>
                <w:lang w:eastAsia="de-DE"/>
              </w:rPr>
              <w:t xml:space="preserve"> = 203</w:t>
            </w:r>
            <w:r w:rsidRPr="00ED52FB">
              <w:rPr>
                <w:sz w:val="17"/>
                <w:szCs w:val="17"/>
                <w:lang w:eastAsia="de-DE"/>
              </w:rPr>
              <w:t xml:space="preserve"> nm)</w:t>
            </w:r>
            <w:r>
              <w:rPr>
                <w:sz w:val="17"/>
                <w:szCs w:val="17"/>
                <w:lang w:eastAsia="de-DE"/>
              </w:rPr>
              <w:t xml:space="preserve"> (acidic solution)</w:t>
            </w:r>
          </w:p>
          <w:p w14:paraId="204E65A0" w14:textId="37A4B8C2" w:rsidR="005A2957" w:rsidRPr="002A1B36" w:rsidRDefault="00DE6361" w:rsidP="00D21782">
            <w:pPr>
              <w:tabs>
                <w:tab w:val="left" w:pos="709"/>
              </w:tabs>
              <w:spacing w:before="120" w:after="120" w:line="210" w:lineRule="exact"/>
              <w:rPr>
                <w:sz w:val="17"/>
                <w:szCs w:val="17"/>
                <w:lang w:eastAsia="de-DE"/>
              </w:rPr>
            </w:pPr>
            <w:r>
              <w:rPr>
                <w:sz w:val="17"/>
                <w:szCs w:val="17"/>
                <w:lang w:eastAsia="de-DE"/>
              </w:rPr>
              <w:t>no maxima recorded</w:t>
            </w:r>
            <w:r w:rsidRPr="00ED52FB">
              <w:rPr>
                <w:sz w:val="17"/>
                <w:szCs w:val="17"/>
                <w:lang w:eastAsia="de-DE"/>
              </w:rPr>
              <w:t xml:space="preserve"> (</w:t>
            </w:r>
            <w:r w:rsidRPr="00ED52FB">
              <w:rPr>
                <w:sz w:val="17"/>
                <w:szCs w:val="17"/>
                <w:lang w:eastAsia="de-DE"/>
              </w:rPr>
              <w:sym w:font="Symbol" w:char="F06C"/>
            </w:r>
            <w:r>
              <w:rPr>
                <w:sz w:val="17"/>
                <w:szCs w:val="17"/>
                <w:lang w:eastAsia="de-DE"/>
              </w:rPr>
              <w:t xml:space="preserve"> = 217</w:t>
            </w:r>
            <w:r w:rsidRPr="00ED52FB">
              <w:rPr>
                <w:sz w:val="17"/>
                <w:szCs w:val="17"/>
                <w:lang w:eastAsia="de-DE"/>
              </w:rPr>
              <w:t xml:space="preserve"> nm)</w:t>
            </w:r>
            <w:r>
              <w:rPr>
                <w:sz w:val="17"/>
                <w:szCs w:val="17"/>
                <w:lang w:eastAsia="de-DE"/>
              </w:rPr>
              <w:t xml:space="preserve"> (basic solution)</w:t>
            </w:r>
            <w:r w:rsidR="002A1B36">
              <w:rPr>
                <w:sz w:val="17"/>
                <w:szCs w:val="17"/>
                <w:lang w:eastAsia="de-DE"/>
              </w:rPr>
              <w:t xml:space="preserve"> and</w:t>
            </w:r>
            <w:r w:rsidR="002A1B36" w:rsidRPr="00ED52FB">
              <w:rPr>
                <w:sz w:val="17"/>
                <w:szCs w:val="17"/>
                <w:lang w:eastAsia="de-DE"/>
              </w:rPr>
              <w:t>(</w:t>
            </w:r>
            <w:r w:rsidR="002A1B36" w:rsidRPr="00ED52FB">
              <w:rPr>
                <w:sz w:val="17"/>
                <w:szCs w:val="17"/>
                <w:lang w:eastAsia="de-DE"/>
              </w:rPr>
              <w:sym w:font="Symbol" w:char="F06C"/>
            </w:r>
            <w:r w:rsidR="002A1B36">
              <w:rPr>
                <w:sz w:val="17"/>
                <w:szCs w:val="17"/>
                <w:lang w:eastAsia="de-DE"/>
              </w:rPr>
              <w:t xml:space="preserve"> = 2 </w:t>
            </w:r>
            <w:r w:rsidR="002A1B36">
              <w:rPr>
                <w:szCs w:val="17"/>
                <w:lang w:eastAsia="de-DE"/>
              </w:rPr>
              <w:t>40</w:t>
            </w:r>
            <w:r w:rsidR="002A1B36" w:rsidRPr="00ED52FB">
              <w:rPr>
                <w:sz w:val="17"/>
                <w:szCs w:val="17"/>
                <w:lang w:eastAsia="de-DE"/>
              </w:rPr>
              <w:t xml:space="preserve"> nm)</w:t>
            </w:r>
            <w:r w:rsidR="002A1B36">
              <w:rPr>
                <w:sz w:val="17"/>
                <w:szCs w:val="17"/>
                <w:lang w:eastAsia="de-DE"/>
              </w:rPr>
              <w:t xml:space="preserve"> (neutral solution)</w:t>
            </w:r>
          </w:p>
        </w:tc>
      </w:tr>
      <w:tr w:rsidR="005A2957" w14:paraId="13F65EC0" w14:textId="77777777" w:rsidTr="00424637">
        <w:trPr>
          <w:trHeight w:val="613"/>
          <w:tblHeader/>
        </w:trPr>
        <w:tc>
          <w:tcPr>
            <w:tcW w:w="1580" w:type="pct"/>
            <w:shd w:val="clear" w:color="auto" w:fill="00747A" w:themeFill="background2"/>
          </w:tcPr>
          <w:p w14:paraId="057EE660" w14:textId="217B0CB7" w:rsidR="005A2957" w:rsidRDefault="00DE6361" w:rsidP="00424637">
            <w:pPr>
              <w:pStyle w:val="APVMATableHead"/>
            </w:pPr>
            <w:r>
              <w:t>Photochemical oxidative degradation:</w:t>
            </w:r>
          </w:p>
        </w:tc>
        <w:tc>
          <w:tcPr>
            <w:tcW w:w="3420" w:type="pct"/>
          </w:tcPr>
          <w:p w14:paraId="7058A672" w14:textId="0D664ABF" w:rsidR="005A2957" w:rsidRPr="00DE6361" w:rsidRDefault="00DE6361" w:rsidP="00D21782">
            <w:pPr>
              <w:pStyle w:val="APVMATableText"/>
              <w:rPr>
                <w:szCs w:val="17"/>
              </w:rPr>
            </w:pPr>
            <w:r w:rsidRPr="00DE6361">
              <w:rPr>
                <w:kern w:val="22"/>
                <w:szCs w:val="17"/>
              </w:rPr>
              <w:t xml:space="preserve">The estimated half-life of sample for reaction with average daily air concentration of hydroxyl radicals </w:t>
            </w:r>
            <w:r w:rsidRPr="00DE6361">
              <w:rPr>
                <w:color w:val="000000"/>
                <w:szCs w:val="17"/>
              </w:rPr>
              <w:t>(12-hour day; 1.5x10</w:t>
            </w:r>
            <w:r w:rsidRPr="00DE6361">
              <w:rPr>
                <w:color w:val="000000"/>
                <w:szCs w:val="17"/>
                <w:vertAlign w:val="superscript"/>
              </w:rPr>
              <w:t>-6</w:t>
            </w:r>
            <w:r w:rsidRPr="00DE6361">
              <w:rPr>
                <w:color w:val="000000"/>
                <w:szCs w:val="17"/>
              </w:rPr>
              <w:t xml:space="preserve"> OH radicals/cm</w:t>
            </w:r>
            <w:r w:rsidRPr="00DE6361">
              <w:rPr>
                <w:color w:val="000000"/>
                <w:szCs w:val="17"/>
                <w:vertAlign w:val="superscript"/>
              </w:rPr>
              <w:t>3</w:t>
            </w:r>
            <w:r w:rsidRPr="00DE6361">
              <w:rPr>
                <w:color w:val="000000"/>
                <w:szCs w:val="17"/>
              </w:rPr>
              <w:t>)</w:t>
            </w:r>
            <w:r w:rsidRPr="00DE6361">
              <w:rPr>
                <w:rFonts w:ascii="Arial Narrow" w:hAnsi="Arial Narrow"/>
                <w:color w:val="000000"/>
                <w:szCs w:val="17"/>
              </w:rPr>
              <w:t xml:space="preserve"> </w:t>
            </w:r>
            <w:r w:rsidRPr="00DE6361">
              <w:rPr>
                <w:kern w:val="22"/>
                <w:szCs w:val="17"/>
              </w:rPr>
              <w:t>is 5.95 hours based on the 2</w:t>
            </w:r>
            <w:r w:rsidRPr="00DE6361">
              <w:rPr>
                <w:kern w:val="22"/>
                <w:szCs w:val="17"/>
                <w:vertAlign w:val="superscript"/>
              </w:rPr>
              <w:t>nd</w:t>
            </w:r>
            <w:r w:rsidRPr="00DE6361">
              <w:rPr>
                <w:kern w:val="22"/>
                <w:szCs w:val="17"/>
              </w:rPr>
              <w:t xml:space="preserve"> order rate constant (Atkinson method</w:t>
            </w:r>
            <w:r>
              <w:rPr>
                <w:kern w:val="22"/>
                <w:szCs w:val="17"/>
              </w:rPr>
              <w:t>).</w:t>
            </w:r>
          </w:p>
        </w:tc>
      </w:tr>
    </w:tbl>
    <w:p w14:paraId="7917E5D9" w14:textId="77777777" w:rsidR="006D36C8" w:rsidRDefault="005A2957" w:rsidP="00032787">
      <w:pPr>
        <w:pStyle w:val="Heading2"/>
      </w:pPr>
      <w:bookmarkStart w:id="40" w:name="_Toc7561225"/>
      <w:bookmarkStart w:id="41" w:name="_Toc225169321"/>
      <w:r>
        <w:lastRenderedPageBreak/>
        <w:t>Formulated product</w:t>
      </w:r>
      <w:bookmarkEnd w:id="40"/>
      <w:bookmarkEnd w:id="41"/>
    </w:p>
    <w:p w14:paraId="24D9BBE1" w14:textId="7D42EBFD" w:rsidR="005A2957" w:rsidRPr="00D21782" w:rsidRDefault="005A2957" w:rsidP="00D21782">
      <w:pPr>
        <w:pStyle w:val="APVMAText"/>
      </w:pPr>
      <w:r w:rsidRPr="00D21782">
        <w:t xml:space="preserve">The product </w:t>
      </w:r>
      <w:r w:rsidR="00EC72D3" w:rsidRPr="00D21782">
        <w:t>Accede Plant Growth Regulator</w:t>
      </w:r>
      <w:r w:rsidR="00CA5B2B" w:rsidRPr="00D21782">
        <w:t xml:space="preserve"> will be manufactured overseas</w:t>
      </w:r>
      <w:r w:rsidRPr="00D21782">
        <w:t>. Tables 3 and 4 outline some key aspects of the formulation and physicochemical properties of the product.</w:t>
      </w:r>
    </w:p>
    <w:p w14:paraId="55B9DC64" w14:textId="6B6098D3" w:rsidR="00EC24B6" w:rsidRPr="00D21782" w:rsidRDefault="00EC72D3" w:rsidP="00D21782">
      <w:pPr>
        <w:pStyle w:val="APVMAText"/>
      </w:pPr>
      <w:r w:rsidRPr="00D21782">
        <w:t>Accede Plant Growth Regulator</w:t>
      </w:r>
      <w:r w:rsidR="00EC24B6" w:rsidRPr="00D21782">
        <w:t xml:space="preserve"> </w:t>
      </w:r>
      <w:r w:rsidR="005117E9" w:rsidRPr="00D21782">
        <w:t xml:space="preserve">consists of </w:t>
      </w:r>
      <w:r w:rsidR="00EC24B6" w:rsidRPr="00D21782">
        <w:t>off-white granule</w:t>
      </w:r>
      <w:r w:rsidR="00BA0F29" w:rsidRPr="00D21782">
        <w:t>s</w:t>
      </w:r>
      <w:r w:rsidR="008058FF" w:rsidRPr="00D21782">
        <w:t xml:space="preserve"> with no discernible odour. It</w:t>
      </w:r>
      <w:r w:rsidR="00EC24B6" w:rsidRPr="00D21782">
        <w:t xml:space="preserve"> contain</w:t>
      </w:r>
      <w:r w:rsidR="008058FF" w:rsidRPr="00D21782">
        <w:t>s</w:t>
      </w:r>
      <w:r w:rsidR="00EC24B6" w:rsidRPr="00D21782">
        <w:t xml:space="preserve"> 400 g/kg </w:t>
      </w:r>
      <w:r w:rsidR="00BA0F29" w:rsidRPr="00D21782">
        <w:t xml:space="preserve">1-aminocyclopropane-1-carboxylic acid as a water-soluble granule (SG) formulation. There are no safety properties (e.g. flash point, corrosion, explosive, and/or oxidizing) of concern regarding </w:t>
      </w:r>
      <w:r w:rsidRPr="00D21782">
        <w:t>Accede Plant Growth Regulator</w:t>
      </w:r>
      <w:r w:rsidR="00BA0F29" w:rsidRPr="00D21782">
        <w:t>. The product is expected to be stable for at least two years storage under normal conditions</w:t>
      </w:r>
    </w:p>
    <w:p w14:paraId="50097EEE" w14:textId="01ABD789" w:rsidR="005A2957" w:rsidRDefault="00EC72D3" w:rsidP="00D21782">
      <w:pPr>
        <w:pStyle w:val="APVMAText"/>
      </w:pPr>
      <w:r w:rsidRPr="00D21782">
        <w:t>Accede Plant Growth Regulator</w:t>
      </w:r>
      <w:r w:rsidR="00EC24B6" w:rsidRPr="00D21782">
        <w:t xml:space="preserve"> will be available in 500 g to 50 kg HDPE (high density polyethylene) containers</w:t>
      </w:r>
      <w:r w:rsidR="00CA5B2B" w:rsidRPr="00D21782">
        <w:t>.</w:t>
      </w:r>
    </w:p>
    <w:p w14:paraId="2708C107" w14:textId="77777777" w:rsidR="00D21782" w:rsidRPr="00D21782" w:rsidRDefault="00D21782" w:rsidP="00D21782">
      <w:pPr>
        <w:pStyle w:val="Caption"/>
      </w:pPr>
      <w:bookmarkStart w:id="42" w:name="_Toc225169368"/>
      <w:r w:rsidRPr="00D21782">
        <w:t xml:space="preserve">Table </w:t>
      </w:r>
      <w:r w:rsidRPr="00D21782">
        <w:fldChar w:fldCharType="begin"/>
      </w:r>
      <w:r w:rsidRPr="00D21782">
        <w:instrText xml:space="preserve"> SEQ Table \* ARABIC </w:instrText>
      </w:r>
      <w:r w:rsidRPr="00D21782">
        <w:fldChar w:fldCharType="separate"/>
      </w:r>
      <w:r w:rsidRPr="00D21782">
        <w:t>3</w:t>
      </w:r>
      <w:r w:rsidRPr="00D21782">
        <w:fldChar w:fldCharType="end"/>
      </w:r>
      <w:r w:rsidRPr="00D21782">
        <w:t>: Key aspects of the formulation of the product Accede Plant Growth Regulator</w:t>
      </w:r>
      <w:bookmarkEnd w:id="42"/>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D21782" w14:paraId="3433EA83" w14:textId="77777777" w:rsidTr="00537D4B">
        <w:trPr>
          <w:tblHeader/>
        </w:trPr>
        <w:tc>
          <w:tcPr>
            <w:tcW w:w="1579" w:type="pct"/>
            <w:shd w:val="clear" w:color="auto" w:fill="00747A" w:themeFill="background2"/>
          </w:tcPr>
          <w:p w14:paraId="22BB52E5" w14:textId="77777777" w:rsidR="00D21782" w:rsidRDefault="00D21782" w:rsidP="00537D4B">
            <w:pPr>
              <w:pStyle w:val="APVMATableHead"/>
            </w:pPr>
            <w:r>
              <w:t>Distinguishing name:</w:t>
            </w:r>
          </w:p>
        </w:tc>
        <w:tc>
          <w:tcPr>
            <w:tcW w:w="3421" w:type="pct"/>
          </w:tcPr>
          <w:p w14:paraId="0767CD19" w14:textId="77777777" w:rsidR="00D21782" w:rsidRPr="008058FF" w:rsidRDefault="00D21782" w:rsidP="00537D4B">
            <w:pPr>
              <w:pStyle w:val="APVMATableText"/>
              <w:rPr>
                <w:szCs w:val="17"/>
              </w:rPr>
            </w:pPr>
            <w:r>
              <w:rPr>
                <w:iCs/>
                <w:szCs w:val="17"/>
              </w:rPr>
              <w:t>Accede Plant Growth Regulator</w:t>
            </w:r>
          </w:p>
        </w:tc>
      </w:tr>
      <w:tr w:rsidR="00D21782" w14:paraId="17E92A8F" w14:textId="77777777" w:rsidTr="00537D4B">
        <w:trPr>
          <w:tblHeader/>
        </w:trPr>
        <w:tc>
          <w:tcPr>
            <w:tcW w:w="1579" w:type="pct"/>
            <w:shd w:val="clear" w:color="auto" w:fill="00747A" w:themeFill="background2"/>
          </w:tcPr>
          <w:p w14:paraId="46B8606E" w14:textId="77777777" w:rsidR="00D21782" w:rsidRDefault="00D21782" w:rsidP="00537D4B">
            <w:pPr>
              <w:pStyle w:val="APVMATableHead"/>
            </w:pPr>
            <w:r>
              <w:t>Formulation type:</w:t>
            </w:r>
          </w:p>
        </w:tc>
        <w:tc>
          <w:tcPr>
            <w:tcW w:w="3421" w:type="pct"/>
          </w:tcPr>
          <w:p w14:paraId="2A5848AF" w14:textId="77777777" w:rsidR="00D21782" w:rsidRDefault="00D21782" w:rsidP="00537D4B">
            <w:pPr>
              <w:pStyle w:val="APVMATableText"/>
            </w:pPr>
            <w:r>
              <w:rPr>
                <w:szCs w:val="20"/>
              </w:rPr>
              <w:t>Water-soluble granule (SG)</w:t>
            </w:r>
          </w:p>
        </w:tc>
      </w:tr>
      <w:tr w:rsidR="00D21782" w14:paraId="0E71B70D" w14:textId="77777777" w:rsidTr="00537D4B">
        <w:trPr>
          <w:tblHeader/>
        </w:trPr>
        <w:tc>
          <w:tcPr>
            <w:tcW w:w="1579" w:type="pct"/>
            <w:shd w:val="clear" w:color="auto" w:fill="00747A" w:themeFill="background2"/>
          </w:tcPr>
          <w:p w14:paraId="67126047" w14:textId="77777777" w:rsidR="00D21782" w:rsidRDefault="00D21782" w:rsidP="00537D4B">
            <w:pPr>
              <w:pStyle w:val="APVMATableHead"/>
            </w:pPr>
            <w:r>
              <w:t>Active constituent concentration:</w:t>
            </w:r>
          </w:p>
        </w:tc>
        <w:tc>
          <w:tcPr>
            <w:tcW w:w="3421" w:type="pct"/>
          </w:tcPr>
          <w:p w14:paraId="470463B3" w14:textId="77777777" w:rsidR="00D21782" w:rsidRDefault="00D21782" w:rsidP="00537D4B">
            <w:pPr>
              <w:pStyle w:val="APVMATableText"/>
            </w:pPr>
            <w:r>
              <w:t>400 g/kg 1-aminocyclopropane-1-carboxylic acid</w:t>
            </w:r>
          </w:p>
        </w:tc>
      </w:tr>
    </w:tbl>
    <w:p w14:paraId="72150030" w14:textId="77777777" w:rsidR="00D21782" w:rsidRDefault="00D21782" w:rsidP="00D21782">
      <w:pPr>
        <w:pStyle w:val="Caption"/>
      </w:pPr>
      <w:bookmarkStart w:id="43" w:name="_Toc225169369"/>
      <w:r>
        <w:t xml:space="preserve">Table </w:t>
      </w:r>
      <w:r>
        <w:fldChar w:fldCharType="begin"/>
      </w:r>
      <w:r>
        <w:instrText xml:space="preserve"> SEQ Table \* ARABIC </w:instrText>
      </w:r>
      <w:r>
        <w:fldChar w:fldCharType="separate"/>
      </w:r>
      <w:r>
        <w:rPr>
          <w:noProof/>
        </w:rPr>
        <w:t>4</w:t>
      </w:r>
      <w:r>
        <w:rPr>
          <w:noProof/>
        </w:rPr>
        <w:fldChar w:fldCharType="end"/>
      </w:r>
      <w:r>
        <w:t>: Physicochemical properties of the product Accede Plant Growth Regulator</w:t>
      </w:r>
      <w:bookmarkEnd w:id="43"/>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D21782" w14:paraId="688FEE05" w14:textId="77777777" w:rsidTr="00537D4B">
        <w:trPr>
          <w:tblHeader/>
        </w:trPr>
        <w:tc>
          <w:tcPr>
            <w:tcW w:w="1579" w:type="pct"/>
            <w:shd w:val="clear" w:color="auto" w:fill="00747A" w:themeFill="background2"/>
          </w:tcPr>
          <w:p w14:paraId="030B4F12" w14:textId="77777777" w:rsidR="00D21782" w:rsidRDefault="00D21782" w:rsidP="00537D4B">
            <w:pPr>
              <w:pStyle w:val="APVMATableHead"/>
            </w:pPr>
            <w:r>
              <w:t>Physical form:</w:t>
            </w:r>
          </w:p>
        </w:tc>
        <w:tc>
          <w:tcPr>
            <w:tcW w:w="3421" w:type="pct"/>
          </w:tcPr>
          <w:p w14:paraId="63E52381" w14:textId="77777777" w:rsidR="00D21782" w:rsidRPr="008058FF" w:rsidRDefault="00D21782" w:rsidP="00537D4B">
            <w:pPr>
              <w:pStyle w:val="APVMATableText"/>
              <w:rPr>
                <w:szCs w:val="17"/>
              </w:rPr>
            </w:pPr>
            <w:r w:rsidRPr="008058FF">
              <w:rPr>
                <w:szCs w:val="17"/>
              </w:rPr>
              <w:t>Off-white granules</w:t>
            </w:r>
          </w:p>
        </w:tc>
      </w:tr>
      <w:tr w:rsidR="00D21782" w14:paraId="3C551B22" w14:textId="77777777" w:rsidTr="00537D4B">
        <w:trPr>
          <w:tblHeader/>
        </w:trPr>
        <w:tc>
          <w:tcPr>
            <w:tcW w:w="1579" w:type="pct"/>
            <w:shd w:val="clear" w:color="auto" w:fill="00747A" w:themeFill="background2"/>
          </w:tcPr>
          <w:p w14:paraId="74AB24B5" w14:textId="77777777" w:rsidR="00D21782" w:rsidRDefault="00D21782" w:rsidP="00537D4B">
            <w:pPr>
              <w:pStyle w:val="APVMATableHead"/>
            </w:pPr>
            <w:r>
              <w:t>PH:</w:t>
            </w:r>
          </w:p>
        </w:tc>
        <w:tc>
          <w:tcPr>
            <w:tcW w:w="3421" w:type="pct"/>
          </w:tcPr>
          <w:p w14:paraId="64AC2D5C" w14:textId="77777777" w:rsidR="00D21782" w:rsidRPr="008058FF" w:rsidRDefault="00D21782" w:rsidP="00537D4B">
            <w:pPr>
              <w:pStyle w:val="APVMATableText"/>
              <w:rPr>
                <w:szCs w:val="17"/>
              </w:rPr>
            </w:pPr>
            <w:r w:rsidRPr="008058FF">
              <w:rPr>
                <w:szCs w:val="17"/>
              </w:rPr>
              <w:t xml:space="preserve">5.2 ± 0.5 (1% w/v </w:t>
            </w:r>
            <w:r>
              <w:t>aqueous</w:t>
            </w:r>
            <w:r w:rsidRPr="008058FF">
              <w:rPr>
                <w:szCs w:val="17"/>
              </w:rPr>
              <w:t xml:space="preserve"> dilution)</w:t>
            </w:r>
          </w:p>
        </w:tc>
      </w:tr>
      <w:tr w:rsidR="00D21782" w14:paraId="46F49473" w14:textId="77777777" w:rsidTr="00537D4B">
        <w:trPr>
          <w:tblHeader/>
        </w:trPr>
        <w:tc>
          <w:tcPr>
            <w:tcW w:w="1579" w:type="pct"/>
            <w:shd w:val="clear" w:color="auto" w:fill="00747A" w:themeFill="background2"/>
          </w:tcPr>
          <w:p w14:paraId="27FEB2BB" w14:textId="77777777" w:rsidR="00D21782" w:rsidRDefault="00D21782" w:rsidP="00537D4B">
            <w:pPr>
              <w:pStyle w:val="APVMATableHead"/>
            </w:pPr>
            <w:r>
              <w:t>Bulk density:</w:t>
            </w:r>
          </w:p>
        </w:tc>
        <w:tc>
          <w:tcPr>
            <w:tcW w:w="3421" w:type="pct"/>
          </w:tcPr>
          <w:p w14:paraId="711B7F6E" w14:textId="1AB7225D" w:rsidR="00D21782" w:rsidRPr="002630B2" w:rsidRDefault="00D21782" w:rsidP="00537D4B">
            <w:pPr>
              <w:spacing w:before="120" w:after="120" w:line="210" w:lineRule="exact"/>
              <w:rPr>
                <w:rFonts w:cs="Arial"/>
                <w:sz w:val="17"/>
                <w:szCs w:val="17"/>
              </w:rPr>
            </w:pPr>
            <w:r w:rsidRPr="008058FF">
              <w:rPr>
                <w:rFonts w:cs="Arial"/>
                <w:sz w:val="17"/>
                <w:szCs w:val="17"/>
              </w:rPr>
              <w:t>Pour density 0.45 ± 0.1 g/mL</w:t>
            </w:r>
            <w:r>
              <w:rPr>
                <w:rFonts w:cs="Arial"/>
                <w:sz w:val="17"/>
                <w:szCs w:val="17"/>
              </w:rPr>
              <w:t>;</w:t>
            </w:r>
            <w:r w:rsidRPr="008058FF">
              <w:rPr>
                <w:rFonts w:cs="Arial"/>
                <w:sz w:val="17"/>
                <w:szCs w:val="17"/>
              </w:rPr>
              <w:t xml:space="preserve"> </w:t>
            </w:r>
            <w:r>
              <w:rPr>
                <w:rFonts w:cs="Arial"/>
                <w:sz w:val="17"/>
                <w:szCs w:val="17"/>
              </w:rPr>
              <w:t>t</w:t>
            </w:r>
            <w:r w:rsidRPr="008058FF">
              <w:rPr>
                <w:rFonts w:cs="Arial"/>
                <w:sz w:val="17"/>
                <w:szCs w:val="17"/>
              </w:rPr>
              <w:t>ap density 0.50 ± 0.1 g/mL</w:t>
            </w:r>
          </w:p>
        </w:tc>
      </w:tr>
      <w:tr w:rsidR="00D21782" w14:paraId="254A5A6D" w14:textId="77777777" w:rsidTr="00537D4B">
        <w:trPr>
          <w:trHeight w:val="423"/>
          <w:tblHeader/>
        </w:trPr>
        <w:tc>
          <w:tcPr>
            <w:tcW w:w="1579" w:type="pct"/>
            <w:shd w:val="clear" w:color="auto" w:fill="00747A" w:themeFill="background2"/>
          </w:tcPr>
          <w:p w14:paraId="2FEFD26D" w14:textId="77777777" w:rsidR="00D21782" w:rsidRDefault="00D21782" w:rsidP="00537D4B">
            <w:pPr>
              <w:pStyle w:val="APVMATableHead"/>
            </w:pPr>
            <w:r>
              <w:t>Wettability:</w:t>
            </w:r>
          </w:p>
        </w:tc>
        <w:tc>
          <w:tcPr>
            <w:tcW w:w="3421" w:type="pct"/>
          </w:tcPr>
          <w:p w14:paraId="1E68607D" w14:textId="77777777" w:rsidR="00D21782" w:rsidRPr="00EA7005" w:rsidRDefault="00D21782" w:rsidP="00537D4B">
            <w:pPr>
              <w:pStyle w:val="APVMATableText"/>
            </w:pPr>
            <w:r>
              <w:t>&lt; 1 second</w:t>
            </w:r>
          </w:p>
        </w:tc>
      </w:tr>
      <w:tr w:rsidR="00D21782" w14:paraId="0A5D99DA" w14:textId="77777777" w:rsidTr="00537D4B">
        <w:trPr>
          <w:trHeight w:val="373"/>
          <w:tblHeader/>
        </w:trPr>
        <w:tc>
          <w:tcPr>
            <w:tcW w:w="1579" w:type="pct"/>
            <w:shd w:val="clear" w:color="auto" w:fill="00747A" w:themeFill="background2"/>
          </w:tcPr>
          <w:p w14:paraId="307BD839" w14:textId="77777777" w:rsidR="00D21782" w:rsidRDefault="00D21782" w:rsidP="00537D4B">
            <w:pPr>
              <w:pStyle w:val="APVMATableHead"/>
            </w:pPr>
            <w:r>
              <w:t>Persistent foaming:</w:t>
            </w:r>
          </w:p>
        </w:tc>
        <w:tc>
          <w:tcPr>
            <w:tcW w:w="3421" w:type="pct"/>
          </w:tcPr>
          <w:p w14:paraId="1A22C745" w14:textId="77777777" w:rsidR="00D21782" w:rsidRPr="005614A4" w:rsidRDefault="00D21782" w:rsidP="00537D4B">
            <w:pPr>
              <w:spacing w:before="120" w:after="120" w:line="210" w:lineRule="exact"/>
              <w:rPr>
                <w:rFonts w:cs="Arial"/>
                <w:sz w:val="17"/>
                <w:szCs w:val="17"/>
              </w:rPr>
            </w:pPr>
            <w:r w:rsidRPr="005614A4">
              <w:rPr>
                <w:rFonts w:cs="Arial"/>
                <w:sz w:val="17"/>
                <w:szCs w:val="17"/>
              </w:rPr>
              <w:t>16 mL foam in 0.25 g/L after 1 minute</w:t>
            </w:r>
          </w:p>
          <w:p w14:paraId="43435D43" w14:textId="77777777" w:rsidR="00D21782" w:rsidRPr="00EA7005" w:rsidRDefault="00D21782" w:rsidP="00537D4B">
            <w:pPr>
              <w:pStyle w:val="APVMATableText"/>
            </w:pPr>
            <w:r w:rsidRPr="005614A4">
              <w:rPr>
                <w:szCs w:val="17"/>
              </w:rPr>
              <w:t>26 mL foam in 1.5 g/L after 1 minute</w:t>
            </w:r>
          </w:p>
        </w:tc>
      </w:tr>
      <w:tr w:rsidR="00D21782" w14:paraId="2623260E" w14:textId="77777777" w:rsidTr="00537D4B">
        <w:trPr>
          <w:trHeight w:val="493"/>
          <w:tblHeader/>
        </w:trPr>
        <w:tc>
          <w:tcPr>
            <w:tcW w:w="1579" w:type="pct"/>
            <w:shd w:val="clear" w:color="auto" w:fill="00747A" w:themeFill="background2"/>
          </w:tcPr>
          <w:p w14:paraId="43E3F0C0" w14:textId="77777777" w:rsidR="00D21782" w:rsidRDefault="00D21782" w:rsidP="00537D4B">
            <w:pPr>
              <w:pStyle w:val="APVMATableHead"/>
            </w:pPr>
            <w:r>
              <w:t>Degree of dispersion:</w:t>
            </w:r>
          </w:p>
        </w:tc>
        <w:tc>
          <w:tcPr>
            <w:tcW w:w="3421" w:type="pct"/>
          </w:tcPr>
          <w:p w14:paraId="1A97C434" w14:textId="77777777" w:rsidR="00D21782" w:rsidRPr="005614A4" w:rsidRDefault="00D21782" w:rsidP="00537D4B">
            <w:pPr>
              <w:spacing w:before="120" w:after="120" w:line="210" w:lineRule="exact"/>
              <w:rPr>
                <w:rFonts w:cs="Arial"/>
                <w:sz w:val="17"/>
                <w:szCs w:val="17"/>
              </w:rPr>
            </w:pPr>
            <w:r w:rsidRPr="005614A4">
              <w:rPr>
                <w:rFonts w:cs="Arial"/>
                <w:sz w:val="17"/>
                <w:szCs w:val="17"/>
              </w:rPr>
              <w:t>0.22% w/w residue after 5 minutes</w:t>
            </w:r>
          </w:p>
          <w:p w14:paraId="4B4EB92F" w14:textId="77777777" w:rsidR="00D21782" w:rsidRPr="00EA7005" w:rsidRDefault="00D21782" w:rsidP="00537D4B">
            <w:pPr>
              <w:pStyle w:val="APVMATableText"/>
            </w:pPr>
            <w:r w:rsidRPr="005614A4">
              <w:rPr>
                <w:szCs w:val="17"/>
              </w:rPr>
              <w:t>0.004% w/w residue after 24 hours</w:t>
            </w:r>
          </w:p>
        </w:tc>
      </w:tr>
      <w:tr w:rsidR="00D21782" w14:paraId="6B444E04" w14:textId="77777777" w:rsidTr="00537D4B">
        <w:trPr>
          <w:trHeight w:val="493"/>
          <w:tblHeader/>
        </w:trPr>
        <w:tc>
          <w:tcPr>
            <w:tcW w:w="1579" w:type="pct"/>
            <w:shd w:val="clear" w:color="auto" w:fill="00747A" w:themeFill="background2"/>
          </w:tcPr>
          <w:p w14:paraId="2D77A2BB" w14:textId="77777777" w:rsidR="00D21782" w:rsidRDefault="00D21782" w:rsidP="00537D4B">
            <w:pPr>
              <w:pStyle w:val="APVMATableHead"/>
            </w:pPr>
            <w:r>
              <w:t>Pourability:</w:t>
            </w:r>
          </w:p>
        </w:tc>
        <w:tc>
          <w:tcPr>
            <w:tcW w:w="3421" w:type="pct"/>
          </w:tcPr>
          <w:p w14:paraId="61AAA9E3" w14:textId="7E10966F" w:rsidR="00D21782" w:rsidRPr="005614A4" w:rsidRDefault="00D21782" w:rsidP="00537D4B">
            <w:pPr>
              <w:spacing w:before="120" w:after="120" w:line="210" w:lineRule="exact"/>
              <w:rPr>
                <w:rFonts w:cs="Arial"/>
                <w:sz w:val="17"/>
                <w:szCs w:val="17"/>
              </w:rPr>
            </w:pPr>
            <w:r w:rsidRPr="005614A4">
              <w:rPr>
                <w:rFonts w:cs="Arial"/>
                <w:sz w:val="17"/>
                <w:szCs w:val="17"/>
              </w:rPr>
              <w:t>Pour residue = 3.1%; rinsed residue = 0.14%</w:t>
            </w:r>
          </w:p>
        </w:tc>
      </w:tr>
      <w:tr w:rsidR="00D21782" w14:paraId="3C0528FE" w14:textId="77777777" w:rsidTr="00537D4B">
        <w:trPr>
          <w:trHeight w:val="493"/>
          <w:tblHeader/>
        </w:trPr>
        <w:tc>
          <w:tcPr>
            <w:tcW w:w="1579" w:type="pct"/>
            <w:shd w:val="clear" w:color="auto" w:fill="00747A" w:themeFill="background2"/>
          </w:tcPr>
          <w:p w14:paraId="3671E684" w14:textId="77777777" w:rsidR="00D21782" w:rsidRDefault="00D21782" w:rsidP="00537D4B">
            <w:pPr>
              <w:pStyle w:val="APVMATableHead"/>
            </w:pPr>
            <w:r>
              <w:t>Dustiness:</w:t>
            </w:r>
          </w:p>
        </w:tc>
        <w:tc>
          <w:tcPr>
            <w:tcW w:w="3421" w:type="pct"/>
          </w:tcPr>
          <w:p w14:paraId="4AA5218E" w14:textId="77777777" w:rsidR="00D21782" w:rsidRPr="00EA7005" w:rsidRDefault="00D21782" w:rsidP="00537D4B">
            <w:pPr>
              <w:pStyle w:val="APVMATableText"/>
            </w:pPr>
            <w:r>
              <w:t>Nearly dust free</w:t>
            </w:r>
          </w:p>
        </w:tc>
      </w:tr>
      <w:tr w:rsidR="00D21782" w14:paraId="02EB2853" w14:textId="77777777" w:rsidTr="00537D4B">
        <w:trPr>
          <w:trHeight w:val="435"/>
          <w:tblHeader/>
        </w:trPr>
        <w:tc>
          <w:tcPr>
            <w:tcW w:w="1579" w:type="pct"/>
            <w:shd w:val="clear" w:color="auto" w:fill="00747A" w:themeFill="background2"/>
          </w:tcPr>
          <w:p w14:paraId="2D025B09" w14:textId="77777777" w:rsidR="00D21782" w:rsidRDefault="00D21782" w:rsidP="00537D4B">
            <w:pPr>
              <w:pStyle w:val="APVMATableHead"/>
            </w:pPr>
            <w:r>
              <w:t>Safety properties:</w:t>
            </w:r>
          </w:p>
        </w:tc>
        <w:tc>
          <w:tcPr>
            <w:tcW w:w="3421" w:type="pct"/>
          </w:tcPr>
          <w:p w14:paraId="4E6B3C0A" w14:textId="77777777" w:rsidR="00D21782" w:rsidRPr="00EA7005" w:rsidRDefault="00D21782" w:rsidP="00537D4B">
            <w:pPr>
              <w:pStyle w:val="APVMATableText"/>
            </w:pPr>
            <w:r>
              <w:t>No flash point below boiling point. Not classified as a flammable liquid or an explosive and/or as an oxidising substance.</w:t>
            </w:r>
          </w:p>
        </w:tc>
      </w:tr>
      <w:tr w:rsidR="00D21782" w14:paraId="261A7DAC" w14:textId="77777777" w:rsidTr="00537D4B">
        <w:trPr>
          <w:trHeight w:val="435"/>
          <w:tblHeader/>
        </w:trPr>
        <w:tc>
          <w:tcPr>
            <w:tcW w:w="1579" w:type="pct"/>
            <w:shd w:val="clear" w:color="auto" w:fill="00747A" w:themeFill="background2"/>
          </w:tcPr>
          <w:p w14:paraId="12769FB8" w14:textId="77777777" w:rsidR="00D21782" w:rsidRDefault="00D21782" w:rsidP="00537D4B">
            <w:pPr>
              <w:pStyle w:val="APVMATableHead"/>
            </w:pPr>
            <w:r>
              <w:t>Storage stability:</w:t>
            </w:r>
          </w:p>
        </w:tc>
        <w:tc>
          <w:tcPr>
            <w:tcW w:w="3421" w:type="pct"/>
          </w:tcPr>
          <w:p w14:paraId="6BDA05B9" w14:textId="77777777" w:rsidR="00D21782" w:rsidRDefault="00D21782" w:rsidP="00537D4B">
            <w:pPr>
              <w:pStyle w:val="APVMATableText"/>
              <w:rPr>
                <w:noProof/>
                <w:lang w:eastAsia="en-AU"/>
              </w:rPr>
            </w:pPr>
            <w:r>
              <w:rPr>
                <w:noProof/>
                <w:lang w:eastAsia="en-AU"/>
              </w:rPr>
              <w:t>There was sufficient data to conclude that the product is expected to remain within specifications for at least two (2) years when stored under normal conditions</w:t>
            </w:r>
          </w:p>
        </w:tc>
      </w:tr>
    </w:tbl>
    <w:p w14:paraId="3988455C" w14:textId="77777777" w:rsidR="00D21782" w:rsidRPr="00D21782" w:rsidRDefault="00D21782" w:rsidP="00D21782">
      <w:pPr>
        <w:pStyle w:val="APVMAText"/>
      </w:pPr>
    </w:p>
    <w:p w14:paraId="378E38F7" w14:textId="77777777" w:rsidR="005C33B9" w:rsidRDefault="00783112" w:rsidP="00032787">
      <w:pPr>
        <w:pStyle w:val="Heading2"/>
      </w:pPr>
      <w:bookmarkStart w:id="44" w:name="_Toc7561226"/>
      <w:bookmarkStart w:id="45" w:name="_Toc225169322"/>
      <w:r>
        <w:t>Recommendations</w:t>
      </w:r>
      <w:bookmarkEnd w:id="44"/>
      <w:bookmarkEnd w:id="45"/>
    </w:p>
    <w:p w14:paraId="662C35CB" w14:textId="4E115C67" w:rsidR="008C0089" w:rsidRPr="00D21782" w:rsidRDefault="008C0089" w:rsidP="00D21782">
      <w:pPr>
        <w:pStyle w:val="APVMAText"/>
      </w:pPr>
      <w:r w:rsidRPr="00D21782">
        <w:t xml:space="preserve">The APVMA Chemistry section has evaluated the chemistry of the active constituent </w:t>
      </w:r>
      <w:r w:rsidR="005614A4" w:rsidRPr="00D21782">
        <w:t>1-aminocyclopropane-1-carboxylic acid</w:t>
      </w:r>
      <w:r w:rsidRPr="00D21782">
        <w:t xml:space="preserve"> and associated product </w:t>
      </w:r>
      <w:r w:rsidR="00EC72D3" w:rsidRPr="00D21782">
        <w:t>Accede Plant Growth Regulator</w:t>
      </w:r>
      <w:r w:rsidRPr="00D21782">
        <w:t xml:space="preserve">, including the manufacturing process, quality control procedures, stability, batch analysis results and analytical methods, and found them to be acceptable. The available storage stability data indicate that the formulated product is expected to remain stable for at least </w:t>
      </w:r>
      <w:r w:rsidR="005614A4" w:rsidRPr="00D21782">
        <w:t>2</w:t>
      </w:r>
      <w:r w:rsidR="00CA5B2B" w:rsidRPr="00D21782">
        <w:t xml:space="preserve"> </w:t>
      </w:r>
      <w:r w:rsidRPr="00D21782">
        <w:t>years when stored under normal conditions.</w:t>
      </w:r>
    </w:p>
    <w:p w14:paraId="4ED8A42E" w14:textId="259E0969" w:rsidR="006D36C8" w:rsidRPr="00D21782" w:rsidRDefault="008C0089" w:rsidP="00D21782">
      <w:pPr>
        <w:pStyle w:val="APVMAText"/>
        <w:sectPr w:rsidR="006D36C8" w:rsidRPr="00D21782">
          <w:headerReference w:type="default" r:id="rId31"/>
          <w:pgSz w:w="11906" w:h="16838" w:code="9"/>
          <w:pgMar w:top="2835" w:right="1134" w:bottom="1134" w:left="1134" w:header="1701" w:footer="680" w:gutter="0"/>
          <w:cols w:space="708"/>
          <w:docGrid w:linePitch="360"/>
        </w:sectPr>
      </w:pPr>
      <w:r w:rsidRPr="00D21782">
        <w:t>Based on a review of the chemistry and manufacturing details,</w:t>
      </w:r>
      <w:r w:rsidR="000D4B2C" w:rsidRPr="00D21782">
        <w:t xml:space="preserve"> </w:t>
      </w:r>
      <w:r w:rsidR="001320D9" w:rsidRPr="00D21782">
        <w:t xml:space="preserve">the </w:t>
      </w:r>
      <w:r w:rsidR="000D4B2C" w:rsidRPr="00D21782">
        <w:t xml:space="preserve">chemical product </w:t>
      </w:r>
      <w:r w:rsidR="00EC72D3" w:rsidRPr="00D21782">
        <w:t>Accede Plant Growth Regulator</w:t>
      </w:r>
      <w:r w:rsidR="000D4B2C" w:rsidRPr="00D21782">
        <w:t xml:space="preserve"> and active constituent 1-aminocyclopropane-1-carboxylic acid were both found to meet the chemistry aspects of the safety criteria defined in the </w:t>
      </w:r>
      <w:r w:rsidR="000D4B2C" w:rsidRPr="002B20E7">
        <w:rPr>
          <w:i/>
          <w:iCs/>
        </w:rPr>
        <w:t>Agricultural and Veterinary Chemicals Code Act 1994</w:t>
      </w:r>
      <w:r w:rsidR="000D4B2C" w:rsidRPr="00D21782">
        <w:t>.</w:t>
      </w:r>
      <w:r w:rsidRPr="00D21782">
        <w:t xml:space="preserve"> </w:t>
      </w:r>
      <w:r w:rsidR="000D4B2C" w:rsidRPr="00D21782">
        <w:t xml:space="preserve">The </w:t>
      </w:r>
      <w:r w:rsidRPr="00D21782">
        <w:t xml:space="preserve">registration of </w:t>
      </w:r>
      <w:r w:rsidR="00EC72D3" w:rsidRPr="00D21782">
        <w:t>Accede Plant Growth Regulator</w:t>
      </w:r>
      <w:r w:rsidRPr="00D21782">
        <w:t xml:space="preserve">, and approval of the active constituent </w:t>
      </w:r>
      <w:r w:rsidR="005614A4" w:rsidRPr="00D21782">
        <w:t>1-aminocyclopropane-1-carboxylic acid</w:t>
      </w:r>
      <w:r w:rsidRPr="00D21782">
        <w:t>, are supported from a chemistry perspective.</w:t>
      </w:r>
    </w:p>
    <w:p w14:paraId="681F480F" w14:textId="3886A71C" w:rsidR="002E20AC" w:rsidRDefault="00CA5B2B" w:rsidP="00032787">
      <w:pPr>
        <w:pStyle w:val="Heading1"/>
      </w:pPr>
      <w:bookmarkStart w:id="46" w:name="_Toc7561227"/>
      <w:bookmarkStart w:id="47" w:name="_Toc225169323"/>
      <w:r>
        <w:lastRenderedPageBreak/>
        <w:t>T</w:t>
      </w:r>
      <w:r w:rsidR="008C0089">
        <w:t>oxicological assessment</w:t>
      </w:r>
      <w:bookmarkEnd w:id="46"/>
      <w:bookmarkEnd w:id="47"/>
    </w:p>
    <w:p w14:paraId="131C4F01" w14:textId="006EEEAD" w:rsidR="002E20AC" w:rsidRDefault="00F14F96" w:rsidP="00772458">
      <w:pPr>
        <w:pStyle w:val="APVMAText"/>
      </w:pPr>
      <w:r w:rsidRPr="00654F74">
        <w:t xml:space="preserve">A toxicological assessment was undertaken from submitted studies on </w:t>
      </w:r>
      <w:r>
        <w:t>1-aminocyclopropane-1-carboxylic acid (</w:t>
      </w:r>
      <w:r w:rsidRPr="00654F74">
        <w:t>ACC</w:t>
      </w:r>
      <w:r>
        <w:t>)</w:t>
      </w:r>
      <w:r w:rsidRPr="00654F74">
        <w:t xml:space="preserve"> and the findings/conclusions of US EPA (2021) and Health Canada (2023) assessment reports. No significant inconsistencies were found between APVMA conclusions and these international assessments. </w:t>
      </w:r>
      <w:r w:rsidRPr="00392D5C">
        <w:t>Acute oral toxicity, acute dermal toxicity, primary eye irritation, acute inhalation toxicity, primary dermal irritation and dermal sensitisation data requirements for ACC were addressed with OECD guideline studies</w:t>
      </w:r>
      <w:r>
        <w:t xml:space="preserve"> provided by the applicant</w:t>
      </w:r>
      <w:r w:rsidRPr="00392D5C">
        <w:t>.</w:t>
      </w:r>
    </w:p>
    <w:p w14:paraId="400F8DE3" w14:textId="77777777" w:rsidR="008C0089" w:rsidRDefault="008C0089" w:rsidP="008C0089">
      <w:pPr>
        <w:pStyle w:val="Heading2"/>
        <w:ind w:left="907" w:hanging="907"/>
      </w:pPr>
      <w:bookmarkStart w:id="48" w:name="_Toc531181076"/>
      <w:bookmarkStart w:id="49" w:name="_Toc7561228"/>
      <w:bookmarkStart w:id="50" w:name="_Toc225169324"/>
      <w:r>
        <w:t>Evaluation of toxicology</w:t>
      </w:r>
      <w:bookmarkEnd w:id="48"/>
      <w:bookmarkEnd w:id="49"/>
      <w:bookmarkEnd w:id="50"/>
    </w:p>
    <w:p w14:paraId="6C47A726" w14:textId="77777777" w:rsidR="008C0089" w:rsidRDefault="008C0089" w:rsidP="008C0089">
      <w:pPr>
        <w:pStyle w:val="Heading3"/>
      </w:pPr>
      <w:bookmarkStart w:id="51" w:name="_Toc7561229"/>
      <w:r>
        <w:t>Chemical class</w:t>
      </w:r>
      <w:bookmarkEnd w:id="51"/>
    </w:p>
    <w:p w14:paraId="13E456A4" w14:textId="3C7CC3F4" w:rsidR="008C0089" w:rsidRPr="00C876F1" w:rsidRDefault="00F14F96" w:rsidP="008C0089">
      <w:pPr>
        <w:pStyle w:val="APVMAText"/>
      </w:pPr>
      <w:r w:rsidRPr="00747CD9">
        <w:t>AAC is a naturally occurring non-protein amino acid produced by many plants and microorganisms. It is a potent plant growth regulator and is a precursor for ethylene production in plant tissues. Ethylene is a phytohormone which regulates plant vegetative and developmental processes such as flower development, fruit set, fruit maturation, fruit ripening, and fruit abscission.</w:t>
      </w:r>
    </w:p>
    <w:p w14:paraId="39DC928B" w14:textId="77777777" w:rsidR="008C0089" w:rsidRDefault="008C0089" w:rsidP="008C0089">
      <w:pPr>
        <w:pStyle w:val="Heading3"/>
      </w:pPr>
      <w:bookmarkStart w:id="52" w:name="_Toc7561230"/>
      <w:r>
        <w:t>Pharmacokinetics</w:t>
      </w:r>
      <w:bookmarkEnd w:id="52"/>
    </w:p>
    <w:p w14:paraId="7A713DEF" w14:textId="77777777" w:rsidR="00F14F96" w:rsidRDefault="00F14F96" w:rsidP="00F14F96">
      <w:pPr>
        <w:pStyle w:val="APVMAText"/>
      </w:pPr>
      <w:r>
        <w:t>The oral bioavailability of ACC in rats</w:t>
      </w:r>
      <w:r w:rsidRPr="00747CD9">
        <w:t xml:space="preserve"> </w:t>
      </w:r>
      <w:r>
        <w:t>was</w:t>
      </w:r>
      <w:r w:rsidRPr="00747CD9">
        <w:t xml:space="preserve"> 83% to 86% from single dose study</w:t>
      </w:r>
      <w:r>
        <w:t>.</w:t>
      </w:r>
      <w:r w:rsidRPr="00747CD9">
        <w:t xml:space="preserve"> </w:t>
      </w:r>
      <w:r>
        <w:t>Mean faecal and urine recoveries of 6.3 ± 7.2% and 82.5 ± 7.3%, respectively of oral dose up to 168 hours. Mean bile recovery of 1.3 ± 0.3%. Mean expired air recovery of 0.21% up to 48 hours.</w:t>
      </w:r>
    </w:p>
    <w:p w14:paraId="6561ED49" w14:textId="77777777" w:rsidR="00F14F96" w:rsidRDefault="00F14F96" w:rsidP="00F14F96">
      <w:pPr>
        <w:pStyle w:val="APVMAText"/>
      </w:pPr>
      <w:r>
        <w:t xml:space="preserve">An </w:t>
      </w:r>
      <w:r w:rsidRPr="00654F74">
        <w:rPr>
          <w:i/>
          <w:iCs/>
        </w:rPr>
        <w:t>in vitro</w:t>
      </w:r>
      <w:r>
        <w:t xml:space="preserve"> study carried out on human skin indicates that dermal absorption is &lt;1%.</w:t>
      </w:r>
    </w:p>
    <w:p w14:paraId="5DEEA47A" w14:textId="78D90646" w:rsidR="008C0089" w:rsidRPr="00C876F1" w:rsidRDefault="00F14F96" w:rsidP="00F14F96">
      <w:pPr>
        <w:pStyle w:val="APVMAText"/>
      </w:pPr>
      <w:r w:rsidRPr="007B4E06">
        <w:t>The predominant component (96%) in plasma was unchanged parent chemical. No metabolites were detected in plasma or urine.</w:t>
      </w:r>
      <w:r>
        <w:t xml:space="preserve"> ACC</w:t>
      </w:r>
      <w:r w:rsidRPr="00747CD9">
        <w:t xml:space="preserve"> was widely distributed across all tissues with highest exposure in kidneys followed by pancreas. </w:t>
      </w:r>
      <w:r>
        <w:t xml:space="preserve">The </w:t>
      </w:r>
      <w:proofErr w:type="spellStart"/>
      <w:r>
        <w:t>logK</w:t>
      </w:r>
      <w:r w:rsidRPr="00654F74">
        <w:rPr>
          <w:vertAlign w:val="subscript"/>
        </w:rPr>
        <w:t>ow</w:t>
      </w:r>
      <w:proofErr w:type="spellEnd"/>
      <w:r>
        <w:t xml:space="preserve"> value for ACC is –2.78, indicating a low potential for bioconcentration in fatty tissues.</w:t>
      </w:r>
    </w:p>
    <w:p w14:paraId="2728CF30" w14:textId="77777777" w:rsidR="008C0089" w:rsidRDefault="008C0089" w:rsidP="008C0089">
      <w:pPr>
        <w:pStyle w:val="Heading3"/>
      </w:pPr>
      <w:bookmarkStart w:id="53" w:name="_Toc7561231"/>
      <w:r>
        <w:t>Acute toxicity (active constituent)</w:t>
      </w:r>
      <w:bookmarkEnd w:id="53"/>
    </w:p>
    <w:p w14:paraId="63A1295F" w14:textId="4B023967" w:rsidR="008C0089" w:rsidRDefault="00F14F96" w:rsidP="008C0089">
      <w:pPr>
        <w:pStyle w:val="APVMAText"/>
      </w:pPr>
      <w:r w:rsidRPr="00392D5C">
        <w:t>ACC was of low acute oral, dermal, and inhalation toxicity, is considered slightly irritating to the eyes and skin, but is not a dermal sensitise</w:t>
      </w:r>
      <w:r>
        <w:t>r.</w:t>
      </w:r>
    </w:p>
    <w:p w14:paraId="38BCFF8C" w14:textId="77777777" w:rsidR="008C0089" w:rsidRPr="002C36C4" w:rsidRDefault="008C0089" w:rsidP="008C0089">
      <w:pPr>
        <w:pStyle w:val="Heading3"/>
      </w:pPr>
      <w:bookmarkStart w:id="54" w:name="_Toc7561232"/>
      <w:r>
        <w:t>Acute toxicity (product)</w:t>
      </w:r>
      <w:bookmarkEnd w:id="54"/>
    </w:p>
    <w:p w14:paraId="45A47620" w14:textId="03F7B1FC" w:rsidR="008C0089" w:rsidRPr="00C876F1" w:rsidRDefault="00EC72D3" w:rsidP="008C0089">
      <w:pPr>
        <w:pStyle w:val="APVMAText"/>
      </w:pPr>
      <w:r>
        <w:t>Accede Plant Growth Regulator</w:t>
      </w:r>
      <w:r w:rsidR="00F14F96" w:rsidRPr="00392D5C">
        <w:t xml:space="preserve"> has low toxicity following oral, dermal or inhalational exposure and is neither an eye or skin irritant nor a skin sensitiser in the Murine LLNA.</w:t>
      </w:r>
    </w:p>
    <w:p w14:paraId="5154826A" w14:textId="77777777" w:rsidR="008C0089" w:rsidRDefault="008C0089" w:rsidP="008C0089">
      <w:pPr>
        <w:pStyle w:val="Heading3"/>
      </w:pPr>
      <w:bookmarkStart w:id="55" w:name="_Toc7561233"/>
      <w:r>
        <w:t>Repeat-dose toxicity</w:t>
      </w:r>
      <w:bookmarkEnd w:id="55"/>
    </w:p>
    <w:p w14:paraId="0E1A0B39" w14:textId="77777777" w:rsidR="00F14F96" w:rsidRDefault="00F14F96" w:rsidP="00F14F96">
      <w:pPr>
        <w:pStyle w:val="APVMAText"/>
      </w:pPr>
      <w:r>
        <w:t>No target organ toxicity was observed in rodents in short-term and sub-chronic oral (dietary) studies</w:t>
      </w:r>
      <w:r w:rsidRPr="003A35DA">
        <w:t xml:space="preserve"> </w:t>
      </w:r>
      <w:r>
        <w:t>with ACC up to doses ~1000 mg/kg bw/d</w:t>
      </w:r>
      <w:r w:rsidRPr="009231C2">
        <w:t>.</w:t>
      </w:r>
    </w:p>
    <w:p w14:paraId="321BFFB7" w14:textId="182D522A" w:rsidR="008C0089" w:rsidRDefault="00F14F96" w:rsidP="00F14F96">
      <w:pPr>
        <w:pStyle w:val="APVMAText"/>
      </w:pPr>
      <w:r w:rsidRPr="003A35DA">
        <w:lastRenderedPageBreak/>
        <w:t xml:space="preserve">In a 28-day dermal toxicity study with ACC in rats, </w:t>
      </w:r>
      <w:r>
        <w:t>t</w:t>
      </w:r>
      <w:r w:rsidRPr="003A35DA">
        <w:t>he NOAEL was 1054 mg/kg bw/d for both male and females.</w:t>
      </w:r>
    </w:p>
    <w:p w14:paraId="02CCAB37" w14:textId="49DB0432" w:rsidR="00F14F96" w:rsidRPr="00C876F1" w:rsidRDefault="00F14F96" w:rsidP="00F14F96">
      <w:pPr>
        <w:pStyle w:val="APVMAText"/>
      </w:pPr>
      <w:r>
        <w:t xml:space="preserve">No </w:t>
      </w:r>
      <w:r w:rsidRPr="003A35DA">
        <w:t>LOAEL</w:t>
      </w:r>
      <w:r>
        <w:t>s were</w:t>
      </w:r>
      <w:r w:rsidRPr="003A35DA">
        <w:t xml:space="preserve"> determined</w:t>
      </w:r>
      <w:r>
        <w:t xml:space="preserve"> in any study</w:t>
      </w:r>
      <w:r w:rsidRPr="003A35DA">
        <w:t>.</w:t>
      </w:r>
    </w:p>
    <w:p w14:paraId="772DD5D6" w14:textId="77777777" w:rsidR="008C0089" w:rsidRPr="00C876F1" w:rsidRDefault="008C0089" w:rsidP="008C0089">
      <w:pPr>
        <w:pStyle w:val="Heading3"/>
      </w:pPr>
      <w:bookmarkStart w:id="56" w:name="_Toc7561234"/>
      <w:r w:rsidRPr="00C876F1">
        <w:t>Chronic toxicity and carcinogenicity</w:t>
      </w:r>
      <w:bookmarkEnd w:id="56"/>
    </w:p>
    <w:p w14:paraId="34716216" w14:textId="36CF77CA" w:rsidR="008C0089" w:rsidRDefault="00F14F96" w:rsidP="008C0089">
      <w:pPr>
        <w:pStyle w:val="APVMAText"/>
      </w:pPr>
      <w:r w:rsidRPr="009231C2">
        <w:t xml:space="preserve">Chronic and/or carcinogenicity studies were not carried out </w:t>
      </w:r>
      <w:r>
        <w:t xml:space="preserve">with ACC, </w:t>
      </w:r>
      <w:r w:rsidRPr="009231C2">
        <w:t xml:space="preserve">which is consistent with the APVMA policy for </w:t>
      </w:r>
      <w:r>
        <w:t>non-</w:t>
      </w:r>
      <w:r w:rsidRPr="009231C2">
        <w:t>genotoxic biological chemicals of low repeat dose sub-chronic toxicity</w:t>
      </w:r>
      <w:r>
        <w:t>.</w:t>
      </w:r>
    </w:p>
    <w:p w14:paraId="3D4FBE85" w14:textId="77777777" w:rsidR="00F14F96" w:rsidRDefault="00F14F96" w:rsidP="00F14F96">
      <w:pPr>
        <w:pStyle w:val="Heading3"/>
      </w:pPr>
      <w:bookmarkStart w:id="57" w:name="_Toc7561235"/>
      <w:r>
        <w:t>Genotoxicity</w:t>
      </w:r>
    </w:p>
    <w:p w14:paraId="374CCE62" w14:textId="77777777" w:rsidR="00F14F96" w:rsidRDefault="00F14F96" w:rsidP="00F14F96">
      <w:pPr>
        <w:pStyle w:val="APVMAText"/>
      </w:pPr>
      <w:r w:rsidRPr="000A182E">
        <w:rPr>
          <w:i/>
          <w:iCs/>
        </w:rPr>
        <w:t>In vitro</w:t>
      </w:r>
      <w:r>
        <w:t xml:space="preserve"> studies with ACC were negative in bacterial reverse mutation assay (S. typhimurium TA98, TA100, TA1535, TA1537 &amp; Escherichia coli WP2uvrA); chromosome aberration assay (Chinese hamster ovary K-1 (CHO K-1) cells) and human lymphocyte micronucleus assay.</w:t>
      </w:r>
    </w:p>
    <w:p w14:paraId="189645D1" w14:textId="77777777" w:rsidR="00F14F96" w:rsidRDefault="00F14F96" w:rsidP="00F14F96">
      <w:pPr>
        <w:pStyle w:val="APVMAText"/>
      </w:pPr>
      <w:r>
        <w:t xml:space="preserve">No </w:t>
      </w:r>
      <w:r w:rsidRPr="000A182E">
        <w:rPr>
          <w:i/>
          <w:iCs/>
        </w:rPr>
        <w:t>in vivo</w:t>
      </w:r>
      <w:r>
        <w:t xml:space="preserve"> studies were available.</w:t>
      </w:r>
    </w:p>
    <w:p w14:paraId="58012FF3" w14:textId="77777777" w:rsidR="00F14F96" w:rsidRPr="00C876F1" w:rsidRDefault="00F14F96" w:rsidP="00F14F96">
      <w:pPr>
        <w:pStyle w:val="Heading3"/>
      </w:pPr>
      <w:r>
        <w:t>Reproductive and developmental toxicity</w:t>
      </w:r>
      <w:bookmarkEnd w:id="57"/>
    </w:p>
    <w:p w14:paraId="409972FD" w14:textId="77777777" w:rsidR="00F14F96" w:rsidRDefault="00F14F96" w:rsidP="00F14F96">
      <w:pPr>
        <w:pStyle w:val="APVMAText"/>
      </w:pPr>
      <w:r>
        <w:t>There was n</w:t>
      </w:r>
      <w:r w:rsidRPr="009D2C86">
        <w:t xml:space="preserve">o evidence of reproductive toxicity </w:t>
      </w:r>
      <w:r>
        <w:t xml:space="preserve">in a one-generation </w:t>
      </w:r>
      <w:r w:rsidRPr="008977A4">
        <w:t xml:space="preserve">dietary reproductive </w:t>
      </w:r>
      <w:r>
        <w:t>study in rats with NOAELs &gt;270 mg ACC/kg bw/d for parental toxicity, significantly lower than NOAELs for reproductive performance (&gt;700 mg ACC/kg bw/d) and neonatal toxicity (&lt;735 mg ACC/kg bw/d).</w:t>
      </w:r>
    </w:p>
    <w:p w14:paraId="59DD3B76" w14:textId="77777777" w:rsidR="00F14F96" w:rsidRDefault="00F14F96" w:rsidP="00F14F96">
      <w:pPr>
        <w:pStyle w:val="APVMAText"/>
      </w:pPr>
      <w:r>
        <w:t>Similarly, there was no evidence of developmental toxicity in rats at doses &gt; 980 mg ACC/kg bw/d.</w:t>
      </w:r>
    </w:p>
    <w:p w14:paraId="173EF8C2" w14:textId="77777777" w:rsidR="00F14F96" w:rsidRDefault="00F14F96" w:rsidP="00F14F96">
      <w:pPr>
        <w:pStyle w:val="Heading3"/>
      </w:pPr>
      <w:bookmarkStart w:id="58" w:name="_Toc7561237"/>
      <w:r>
        <w:t>Neurotoxicity/immunotoxicity</w:t>
      </w:r>
      <w:bookmarkEnd w:id="58"/>
    </w:p>
    <w:p w14:paraId="65D9EA9D" w14:textId="77777777" w:rsidR="00F14F96" w:rsidRDefault="00F14F96" w:rsidP="00F14F96">
      <w:pPr>
        <w:pStyle w:val="APVMAText"/>
      </w:pPr>
      <w:r w:rsidRPr="007F4C38">
        <w:t>No neurological effects were seen in FOB parameters and motor activity at 1035 mg</w:t>
      </w:r>
      <w:r>
        <w:t xml:space="preserve"> ACC</w:t>
      </w:r>
      <w:r w:rsidRPr="007F4C38">
        <w:t>/kg bw/d in 28-d dose range finding study in rats</w:t>
      </w:r>
      <w:r>
        <w:t>.</w:t>
      </w:r>
      <w:r w:rsidRPr="007F4C38">
        <w:t xml:space="preserve"> No changes in FOB parameters </w:t>
      </w:r>
      <w:r>
        <w:t xml:space="preserve">were seen </w:t>
      </w:r>
      <w:r w:rsidRPr="007F4C38">
        <w:t>at &gt;790 mg</w:t>
      </w:r>
      <w:r>
        <w:t xml:space="preserve"> ACC</w:t>
      </w:r>
      <w:r w:rsidRPr="007F4C38">
        <w:t>/kg bw/d in 90-d oral study in rats</w:t>
      </w:r>
      <w:r>
        <w:t>.</w:t>
      </w:r>
    </w:p>
    <w:p w14:paraId="740A7574" w14:textId="066EB9E4" w:rsidR="00F14F96" w:rsidRDefault="00F14F96" w:rsidP="00F14F96">
      <w:pPr>
        <w:pStyle w:val="APVMAText"/>
      </w:pPr>
      <w:r w:rsidRPr="008977A4">
        <w:t xml:space="preserve">In </w:t>
      </w:r>
      <w:r>
        <w:t>the</w:t>
      </w:r>
      <w:r w:rsidRPr="008977A4">
        <w:t xml:space="preserve"> one-generation dietary reproductive study there were no ACC-related effects on mean absolute counts of total T cells, T helper cells, T cytotoxic cells, B cells, NK cells, and on NK-T cells in F1 generation animals, after potential exposure in utero, nursing, lactation or after feeding </w:t>
      </w:r>
      <w:r>
        <w:t>on an</w:t>
      </w:r>
      <w:r w:rsidRPr="008977A4">
        <w:t xml:space="preserve"> ACC containing diet after weaning, until PN</w:t>
      </w:r>
      <w:r>
        <w:t>D</w:t>
      </w:r>
      <w:r w:rsidRPr="008977A4">
        <w:t xml:space="preserve"> 91.</w:t>
      </w:r>
    </w:p>
    <w:p w14:paraId="5048DCF9" w14:textId="77777777" w:rsidR="00F14F96" w:rsidRDefault="00F14F96" w:rsidP="00F14F96">
      <w:pPr>
        <w:pStyle w:val="Heading3"/>
      </w:pPr>
      <w:r>
        <w:t>Endocrine effects</w:t>
      </w:r>
    </w:p>
    <w:p w14:paraId="165223C9" w14:textId="77777777" w:rsidR="00F14F96" w:rsidRDefault="00F14F96" w:rsidP="00F14F96">
      <w:pPr>
        <w:pStyle w:val="APVMAText"/>
      </w:pPr>
      <w:r w:rsidRPr="007F4C38">
        <w:t xml:space="preserve">In the one-generation reproductive study, there were no </w:t>
      </w:r>
      <w:r>
        <w:t>ACC</w:t>
      </w:r>
      <w:r w:rsidRPr="007F4C38">
        <w:t>-related effects on serum levels of T3 (triiodothyronine), T4 (thyroxine), or TSH (thyroid stimulating hormone) in F0 or F1 animals. There were no test substance-related effects on serum levels of T3 (triiodothyronine), T4 (thyroxine), or TSH (thyroid stimulating hormone) in F1 pups on PND 21</w:t>
      </w:r>
      <w:r>
        <w:t>.</w:t>
      </w:r>
    </w:p>
    <w:p w14:paraId="68339C00" w14:textId="5B751571" w:rsidR="00F14F96" w:rsidRPr="008D75F3" w:rsidRDefault="00F14F96" w:rsidP="00F14F96">
      <w:pPr>
        <w:pStyle w:val="APVMAText"/>
      </w:pPr>
      <w:r w:rsidRPr="007F4C38">
        <w:lastRenderedPageBreak/>
        <w:t xml:space="preserve">An </w:t>
      </w:r>
      <w:r w:rsidRPr="00654F74">
        <w:rPr>
          <w:i/>
          <w:iCs/>
        </w:rPr>
        <w:t>in vitro</w:t>
      </w:r>
      <w:r w:rsidRPr="007F4C38">
        <w:t xml:space="preserve"> study was carried out to evaluate the ability of ACC to affect the endocrine system by inhibiting the catalytic activity of aromatase (CYP19)</w:t>
      </w:r>
      <w:r>
        <w:t>. T</w:t>
      </w:r>
      <w:r w:rsidRPr="007F4C38">
        <w:t xml:space="preserve">he average lowest point on the dose response curve </w:t>
      </w:r>
      <w:r>
        <w:t xml:space="preserve">was </w:t>
      </w:r>
      <w:r w:rsidR="009B4441" w:rsidRPr="007F4C38">
        <w:t>&gt;</w:t>
      </w:r>
      <w:r w:rsidR="009B4441">
        <w:t> </w:t>
      </w:r>
      <w:r w:rsidRPr="007F4C38">
        <w:t>75%</w:t>
      </w:r>
      <w:r>
        <w:t xml:space="preserve"> of controls and</w:t>
      </w:r>
      <w:r w:rsidRPr="007F4C38">
        <w:t xml:space="preserve"> </w:t>
      </w:r>
      <w:r>
        <w:t xml:space="preserve">therefore </w:t>
      </w:r>
      <w:r w:rsidRPr="007F4C38">
        <w:t>ACC was classified as a non-inhibitor in the aromatase assay</w:t>
      </w:r>
      <w:r>
        <w:t>.</w:t>
      </w:r>
    </w:p>
    <w:p w14:paraId="1EF49EDE" w14:textId="77777777" w:rsidR="00F14F96" w:rsidRPr="00162654" w:rsidRDefault="00F14F96" w:rsidP="00F14F96">
      <w:pPr>
        <w:pStyle w:val="Heading3"/>
      </w:pPr>
      <w:bookmarkStart w:id="59" w:name="_Toc7561238"/>
      <w:r>
        <w:t>Mode of action (toxicology)</w:t>
      </w:r>
      <w:bookmarkEnd w:id="59"/>
    </w:p>
    <w:p w14:paraId="297F6F96" w14:textId="60DE19E5" w:rsidR="00F14F96" w:rsidRPr="008D75F3" w:rsidRDefault="00F14F96" w:rsidP="00F14F96">
      <w:pPr>
        <w:pStyle w:val="APVMAText"/>
      </w:pPr>
      <w:r w:rsidRPr="00547942">
        <w:t xml:space="preserve">While ACC is </w:t>
      </w:r>
      <w:r>
        <w:t>a</w:t>
      </w:r>
      <w:r w:rsidRPr="00547942">
        <w:t xml:space="preserve"> precursor to ethylene in plants, humans do not possess the ACC oxidase enzyme necessary to convert ACC into ethylene.</w:t>
      </w:r>
      <w:r>
        <w:t xml:space="preserve"> Although, unrelated to effects seen in animal studies with ACC, </w:t>
      </w:r>
      <w:proofErr w:type="gramStart"/>
      <w:r>
        <w:t>a number of</w:t>
      </w:r>
      <w:proofErr w:type="gramEnd"/>
      <w:r>
        <w:t xml:space="preserve"> </w:t>
      </w:r>
      <w:r w:rsidRPr="009B3D7C">
        <w:t xml:space="preserve">animal studies </w:t>
      </w:r>
      <w:r>
        <w:t xml:space="preserve">have </w:t>
      </w:r>
      <w:r w:rsidRPr="009B3D7C">
        <w:t>demonstrat</w:t>
      </w:r>
      <w:r>
        <w:t>ed</w:t>
      </w:r>
      <w:r w:rsidRPr="009B3D7C">
        <w:t xml:space="preserve"> that ACC </w:t>
      </w:r>
      <w:r>
        <w:t>has</w:t>
      </w:r>
      <w:r w:rsidRPr="009B3D7C">
        <w:t xml:space="preserve"> </w:t>
      </w:r>
      <w:r w:rsidRPr="00127EC9">
        <w:t xml:space="preserve">agonist and antagonist activity </w:t>
      </w:r>
      <w:r>
        <w:t>on</w:t>
      </w:r>
      <w:r w:rsidRPr="00127EC9">
        <w:t xml:space="preserve"> N-methyl-D</w:t>
      </w:r>
      <w:r>
        <w:t>-</w:t>
      </w:r>
      <w:r w:rsidRPr="00127EC9">
        <w:t>aspartate (NDMA) receptors within the mammalian central nervous system</w:t>
      </w:r>
      <w:r>
        <w:t xml:space="preserve"> (CNS). Potential CNS effects were not addressed in the evaluations of ACC conducted by the US EPA (2021) and Health Canada (2023). No data is available regarding its potential use as a human therapeutic agent or dietary supplement.</w:t>
      </w:r>
    </w:p>
    <w:p w14:paraId="18E8852B" w14:textId="77777777" w:rsidR="00F14F96" w:rsidRDefault="00F14F96" w:rsidP="00F14F96">
      <w:pPr>
        <w:pStyle w:val="Heading3"/>
      </w:pPr>
      <w:bookmarkStart w:id="60" w:name="_Toc7561239"/>
      <w:r>
        <w:t>Toxicity of metabolites and/or impurities</w:t>
      </w:r>
      <w:bookmarkEnd w:id="60"/>
    </w:p>
    <w:p w14:paraId="2B497486" w14:textId="77777777" w:rsidR="00F14F96" w:rsidRDefault="00F14F96" w:rsidP="00F14F96">
      <w:pPr>
        <w:pStyle w:val="APVMAText"/>
      </w:pPr>
      <w:r>
        <w:t xml:space="preserve">No impurities of toxicological concern were identified in the </w:t>
      </w:r>
      <w:r w:rsidRPr="007B4E06">
        <w:t xml:space="preserve">5-batch analysis </w:t>
      </w:r>
      <w:r>
        <w:t>of ACC TGAC.</w:t>
      </w:r>
      <w:r w:rsidRPr="00392D5C">
        <w:t xml:space="preserve"> No metabolites were identified in the ADME </w:t>
      </w:r>
      <w:r w:rsidRPr="00654F74">
        <w:rPr>
          <w:i/>
          <w:iCs/>
        </w:rPr>
        <w:t>in vivo</w:t>
      </w:r>
      <w:r w:rsidRPr="00392D5C">
        <w:t xml:space="preserve"> study in male rats</w:t>
      </w:r>
      <w:r>
        <w:t>.</w:t>
      </w:r>
      <w:r w:rsidRPr="00392D5C">
        <w:t xml:space="preserve"> </w:t>
      </w:r>
      <w:r w:rsidRPr="007B4E06">
        <w:t>No</w:t>
      </w:r>
      <w:r>
        <w:t>ne of the</w:t>
      </w:r>
      <w:r w:rsidRPr="007B4E06">
        <w:t xml:space="preserve"> metabolites</w:t>
      </w:r>
      <w:r>
        <w:t xml:space="preserve"> or </w:t>
      </w:r>
      <w:proofErr w:type="spellStart"/>
      <w:r>
        <w:t>degradates</w:t>
      </w:r>
      <w:proofErr w:type="spellEnd"/>
      <w:r w:rsidRPr="007B4E06">
        <w:t xml:space="preserve"> found in </w:t>
      </w:r>
      <w:r>
        <w:t xml:space="preserve">product </w:t>
      </w:r>
      <w:r w:rsidRPr="007B4E06">
        <w:t xml:space="preserve">treated plants </w:t>
      </w:r>
      <w:proofErr w:type="gramStart"/>
      <w:r>
        <w:t xml:space="preserve">were </w:t>
      </w:r>
      <w:r w:rsidRPr="007B4E06">
        <w:t>considered to be</w:t>
      </w:r>
      <w:proofErr w:type="gramEnd"/>
      <w:r w:rsidRPr="007B4E06">
        <w:t xml:space="preserve"> of toxicological concern.</w:t>
      </w:r>
      <w:r>
        <w:t xml:space="preserve"> </w:t>
      </w:r>
      <w:r w:rsidRPr="00392D5C">
        <w:t>In its conversion to ethylene, the carboxyl group of ACC yields CO</w:t>
      </w:r>
      <w:r w:rsidRPr="00654F74">
        <w:rPr>
          <w:vertAlign w:val="subscript"/>
        </w:rPr>
        <w:t>2</w:t>
      </w:r>
      <w:r w:rsidRPr="00392D5C">
        <w:t xml:space="preserve"> and HCN. HCN is detoxified primarily by the enzyme β-</w:t>
      </w:r>
      <w:proofErr w:type="spellStart"/>
      <w:r w:rsidRPr="00392D5C">
        <w:t>cyanoalanine</w:t>
      </w:r>
      <w:proofErr w:type="spellEnd"/>
      <w:r w:rsidRPr="00392D5C">
        <w:t xml:space="preserve"> synthase (β-CAS) converting free cyanide into asparagine. Although the β-CAS pathway is the major route </w:t>
      </w:r>
      <w:r>
        <w:t>for</w:t>
      </w:r>
      <w:r w:rsidRPr="00392D5C">
        <w:t xml:space="preserve"> cyanide remov</w:t>
      </w:r>
      <w:r>
        <w:t>al</w:t>
      </w:r>
      <w:r w:rsidRPr="00392D5C">
        <w:t>, the enzyme rhodanese reportedly contributes to detoxification in some cyanogenic plants. It has been demonstrated that plant tissues have ample capacity to detoxify HCN formed during ethylene biosynthesis with concentrations of HCN in plant tissues being low.</w:t>
      </w:r>
    </w:p>
    <w:p w14:paraId="3C081178" w14:textId="77777777" w:rsidR="00F14F96" w:rsidRDefault="00F14F96" w:rsidP="00F14F96">
      <w:pPr>
        <w:pStyle w:val="Heading3"/>
      </w:pPr>
      <w:bookmarkStart w:id="61" w:name="_Toc7561240"/>
      <w:r>
        <w:t>Reports related to human toxicity</w:t>
      </w:r>
      <w:bookmarkEnd w:id="61"/>
    </w:p>
    <w:p w14:paraId="11D9ACAE" w14:textId="1C930BCD" w:rsidR="008C0089" w:rsidRDefault="00F14F96" w:rsidP="00F14F96">
      <w:pPr>
        <w:pStyle w:val="APVMAText"/>
      </w:pPr>
      <w:r w:rsidRPr="00654F74">
        <w:rPr>
          <w:rFonts w:ascii="Franklin Gothic Medium" w:hAnsi="Franklin Gothic Medium"/>
          <w:szCs w:val="20"/>
        </w:rPr>
        <w:t>No reports of</w:t>
      </w:r>
      <w:r w:rsidRPr="00654F74">
        <w:rPr>
          <w:rFonts w:ascii="Franklin Gothic Medium" w:hAnsi="Franklin Gothic Medium"/>
          <w:sz w:val="28"/>
          <w:szCs w:val="28"/>
        </w:rPr>
        <w:t xml:space="preserve"> </w:t>
      </w:r>
      <w:r>
        <w:t>adverse human effects from exposure to ACC were available. Due to its low acute and repeat dose toxicity in animal studies no toxicity in humans is considered likely.</w:t>
      </w:r>
      <w:r w:rsidRPr="00127EC9">
        <w:t xml:space="preserve"> </w:t>
      </w:r>
      <w:r>
        <w:t>ACC is also a naturally occurring chemical found in plant-derived foods.</w:t>
      </w:r>
    </w:p>
    <w:p w14:paraId="66C25604" w14:textId="77777777" w:rsidR="008C0089" w:rsidRDefault="008C0089" w:rsidP="008C0089">
      <w:pPr>
        <w:pStyle w:val="Heading2"/>
        <w:ind w:left="907" w:hanging="907"/>
      </w:pPr>
      <w:bookmarkStart w:id="62" w:name="_Toc531181077"/>
      <w:bookmarkStart w:id="63" w:name="_Toc7561244"/>
      <w:bookmarkStart w:id="64" w:name="_Toc225169325"/>
      <w:r>
        <w:t>Health-based guidance values and poisons scheduling</w:t>
      </w:r>
      <w:bookmarkEnd w:id="62"/>
      <w:bookmarkEnd w:id="63"/>
      <w:bookmarkEnd w:id="64"/>
    </w:p>
    <w:p w14:paraId="1EFC6B34" w14:textId="77777777" w:rsidR="00F14F96" w:rsidRPr="00A838D5" w:rsidRDefault="00F14F96" w:rsidP="00F14F96">
      <w:pPr>
        <w:pStyle w:val="Heading3"/>
      </w:pPr>
      <w:bookmarkStart w:id="65" w:name="_Toc7561245"/>
      <w:r>
        <w:t>Poisons Standard</w:t>
      </w:r>
      <w:bookmarkEnd w:id="65"/>
      <w:r>
        <w:t xml:space="preserve"> (the SUSMP)</w:t>
      </w:r>
    </w:p>
    <w:p w14:paraId="54A97AF6" w14:textId="3231E3A2" w:rsidR="00F14F96" w:rsidRDefault="00F14F96" w:rsidP="002B20E7">
      <w:pPr>
        <w:pStyle w:val="APVMAText"/>
        <w:rPr>
          <w:rFonts w:eastAsia="Aptos"/>
        </w:rPr>
      </w:pPr>
      <w:r w:rsidRPr="006517B0">
        <w:rPr>
          <w:rFonts w:eastAsia="Aptos"/>
        </w:rPr>
        <w:t xml:space="preserve">Pursuant to regulation 42ZCZU of the Regulations, </w:t>
      </w:r>
      <w:r>
        <w:rPr>
          <w:rFonts w:eastAsia="Aptos"/>
        </w:rPr>
        <w:t>the</w:t>
      </w:r>
      <w:r w:rsidRPr="006517B0">
        <w:rPr>
          <w:rFonts w:eastAsia="Aptos"/>
        </w:rPr>
        <w:t xml:space="preserve"> Delegate of the Secretary</w:t>
      </w:r>
      <w:r>
        <w:rPr>
          <w:rFonts w:eastAsia="Aptos"/>
        </w:rPr>
        <w:t xml:space="preserve"> of TGA</w:t>
      </w:r>
      <w:r w:rsidRPr="006517B0">
        <w:rPr>
          <w:rFonts w:eastAsia="Aptos"/>
        </w:rPr>
        <w:t xml:space="preserve"> made a final</w:t>
      </w:r>
      <w:r>
        <w:rPr>
          <w:rFonts w:eastAsia="Aptos"/>
        </w:rPr>
        <w:t xml:space="preserve"> </w:t>
      </w:r>
      <w:r w:rsidRPr="006517B0">
        <w:rPr>
          <w:rFonts w:eastAsia="Aptos"/>
        </w:rPr>
        <w:t xml:space="preserve">decision </w:t>
      </w:r>
      <w:r>
        <w:rPr>
          <w:rFonts w:eastAsia="Aptos"/>
        </w:rPr>
        <w:t xml:space="preserve">(1 October 2025) </w:t>
      </w:r>
      <w:r w:rsidRPr="006517B0">
        <w:rPr>
          <w:rFonts w:eastAsia="Aptos"/>
        </w:rPr>
        <w:t>to amend the current Poisons Standard in relation to 1-aminocyclopropane-1-carboxylic acid</w:t>
      </w:r>
      <w:r>
        <w:rPr>
          <w:rFonts w:eastAsia="Aptos"/>
        </w:rPr>
        <w:t xml:space="preserve"> </w:t>
      </w:r>
      <w:r w:rsidRPr="006517B0">
        <w:rPr>
          <w:rFonts w:eastAsia="Aptos"/>
        </w:rPr>
        <w:t>as follows:</w:t>
      </w:r>
    </w:p>
    <w:p w14:paraId="04DF1DBE" w14:textId="77777777" w:rsidR="00F14F96" w:rsidRPr="00475D0D" w:rsidRDefault="00F14F96" w:rsidP="002B20E7">
      <w:pPr>
        <w:pStyle w:val="APVMAText"/>
        <w:rPr>
          <w:rFonts w:eastAsia="Aptos"/>
        </w:rPr>
      </w:pPr>
      <w:r w:rsidRPr="00475D0D">
        <w:rPr>
          <w:rFonts w:eastAsia="Aptos"/>
        </w:rPr>
        <w:t>Schedule 5 - CAUTION</w:t>
      </w:r>
    </w:p>
    <w:p w14:paraId="7E84A47D" w14:textId="77777777" w:rsidR="00F14F96" w:rsidRPr="00475D0D" w:rsidRDefault="00F14F96" w:rsidP="002B20E7">
      <w:pPr>
        <w:pStyle w:val="APVMAText"/>
        <w:rPr>
          <w:rFonts w:eastAsia="Aptos"/>
        </w:rPr>
      </w:pPr>
      <w:r w:rsidRPr="00475D0D">
        <w:rPr>
          <w:rFonts w:eastAsia="Aptos"/>
        </w:rPr>
        <w:t>1-AMINOCYCLOPROPANE-1-CARBOXYLIC ACID except in plant growth preparations containing 40% or less of 1-aminocyclopropane-1-carboxylic acid.</w:t>
      </w:r>
    </w:p>
    <w:p w14:paraId="41A73E87" w14:textId="77777777" w:rsidR="00F14F96" w:rsidRDefault="00F14F96" w:rsidP="00F14F96">
      <w:pPr>
        <w:pStyle w:val="Heading3"/>
      </w:pPr>
      <w:bookmarkStart w:id="66" w:name="_Toc7561246"/>
      <w:r>
        <w:lastRenderedPageBreak/>
        <w:t>Health-based guidance values</w:t>
      </w:r>
      <w:bookmarkEnd w:id="66"/>
    </w:p>
    <w:p w14:paraId="4816A945" w14:textId="01A76936" w:rsidR="00F14F96" w:rsidRDefault="00F14F96" w:rsidP="002B20E7">
      <w:pPr>
        <w:pStyle w:val="APVMAText"/>
      </w:pPr>
      <w:r>
        <w:t xml:space="preserve">Although there is potential for dietary exposure resulting from the proposed use of </w:t>
      </w:r>
      <w:r w:rsidR="00EC72D3">
        <w:t>Accede Plant Growth Regulator</w:t>
      </w:r>
      <w:r>
        <w:t>, the human health risk is anticipated to be negligible due to its low toxicity, infrequent application and rapid degradation once applied to the crop. In addition, ACC is a naturally occurring compound in plant tissues and part of the normal human diet.</w:t>
      </w:r>
    </w:p>
    <w:p w14:paraId="68403C00" w14:textId="286888F2" w:rsidR="008C0089" w:rsidRDefault="00F14F96" w:rsidP="00F14F96">
      <w:pPr>
        <w:pStyle w:val="APVMAText"/>
      </w:pPr>
      <w:r>
        <w:t>As such, the establishment of an acceptable daily intake (ADI) or acute reference dose (ARfD) for ACC is not considered necessary. ACC is in Table 5 of the MRL Standard for Residues of Chemical Products.</w:t>
      </w:r>
    </w:p>
    <w:p w14:paraId="7785A524" w14:textId="77777777" w:rsidR="008C0089" w:rsidRDefault="008C0089" w:rsidP="00CA5B2B">
      <w:pPr>
        <w:pStyle w:val="Heading2"/>
        <w:ind w:left="907" w:hanging="907"/>
      </w:pPr>
      <w:bookmarkStart w:id="67" w:name="_Toc531181078"/>
      <w:bookmarkStart w:id="68" w:name="_Toc7561247"/>
      <w:bookmarkStart w:id="69" w:name="_Toc225169326"/>
      <w:r>
        <w:t>Recommendations</w:t>
      </w:r>
      <w:bookmarkEnd w:id="67"/>
      <w:bookmarkEnd w:id="68"/>
      <w:bookmarkEnd w:id="69"/>
    </w:p>
    <w:p w14:paraId="01FAF376" w14:textId="43945DA1" w:rsidR="00F14F96" w:rsidRDefault="00F14F96" w:rsidP="00F14F96">
      <w:pPr>
        <w:pStyle w:val="APVMAText"/>
      </w:pPr>
      <w:r>
        <w:t>APVMA has no objections on human health grounds to the approval of 1-aminocyclopropane-1-carboxylic acid (ACC) as a new active constituent.</w:t>
      </w:r>
    </w:p>
    <w:p w14:paraId="67AB3702" w14:textId="45DBA1B1" w:rsidR="00F14F96" w:rsidRPr="00F14F96" w:rsidRDefault="00F14F96" w:rsidP="00F14F96">
      <w:pPr>
        <w:pStyle w:val="APVMAText"/>
        <w:sectPr w:rsidR="00F14F96" w:rsidRPr="00F14F96">
          <w:headerReference w:type="default" r:id="rId32"/>
          <w:pgSz w:w="11906" w:h="16838" w:code="9"/>
          <w:pgMar w:top="2835" w:right="1134" w:bottom="1134" w:left="1134" w:header="1701" w:footer="680" w:gutter="0"/>
          <w:cols w:space="708"/>
          <w:docGrid w:linePitch="360"/>
        </w:sectPr>
      </w:pPr>
      <w:r>
        <w:t xml:space="preserve">There are no objections on human health grounds to the registration of the product </w:t>
      </w:r>
      <w:r w:rsidR="00EC72D3">
        <w:t>Accede Plant Growth Regulator</w:t>
      </w:r>
      <w:r>
        <w:t>, containing 400 g/kg of ACC when used in accordance with the directions for use (DFU) and adhering to the recommended safety directions</w:t>
      </w:r>
    </w:p>
    <w:p w14:paraId="2E6A3C65" w14:textId="77777777" w:rsidR="00302D38" w:rsidRDefault="00302D38" w:rsidP="00302D38">
      <w:pPr>
        <w:pStyle w:val="Heading1"/>
        <w:tabs>
          <w:tab w:val="num" w:pos="907"/>
        </w:tabs>
        <w:ind w:left="907" w:hanging="907"/>
        <w:rPr>
          <w:lang w:val="en-GB"/>
        </w:rPr>
      </w:pPr>
      <w:bookmarkStart w:id="70" w:name="_Toc231963188"/>
      <w:bookmarkStart w:id="71" w:name="_Toc531181079"/>
      <w:bookmarkStart w:id="72" w:name="_Toc7561248"/>
      <w:bookmarkStart w:id="73" w:name="_Toc225169327"/>
      <w:r>
        <w:rPr>
          <w:lang w:val="en-GB"/>
        </w:rPr>
        <w:lastRenderedPageBreak/>
        <w:t>Residues assessment</w:t>
      </w:r>
      <w:bookmarkEnd w:id="70"/>
      <w:bookmarkEnd w:id="71"/>
      <w:bookmarkEnd w:id="72"/>
      <w:bookmarkEnd w:id="73"/>
    </w:p>
    <w:p w14:paraId="54EA35BB" w14:textId="7CAAB576" w:rsidR="0063456D" w:rsidRPr="0063456D" w:rsidRDefault="0063456D" w:rsidP="002B20E7">
      <w:pPr>
        <w:pStyle w:val="APVMAText"/>
        <w:rPr>
          <w:lang w:val="en-GB"/>
        </w:rPr>
      </w:pPr>
      <w:r>
        <w:rPr>
          <w:lang w:val="en-GB"/>
        </w:rPr>
        <w:t>As part of the residues assessment of 1-aminocyclpropane-1-carboxylic acid (ACC), publications on plant metabolism, supervised residue trial data for apples and stone fruit, fate in storage and residues and trade information were considered.</w:t>
      </w:r>
    </w:p>
    <w:p w14:paraId="7A255074" w14:textId="77777777" w:rsidR="00302D38" w:rsidRDefault="00302D38" w:rsidP="00302D38">
      <w:pPr>
        <w:pStyle w:val="Heading2"/>
        <w:ind w:left="907" w:hanging="907"/>
        <w:rPr>
          <w:lang w:val="en-GB"/>
        </w:rPr>
      </w:pPr>
      <w:bookmarkStart w:id="74" w:name="_Toc531181080"/>
      <w:bookmarkStart w:id="75" w:name="_Toc7561249"/>
      <w:bookmarkStart w:id="76" w:name="_Toc225169328"/>
      <w:r>
        <w:rPr>
          <w:lang w:val="en-GB"/>
        </w:rPr>
        <w:t>Metabolism</w:t>
      </w:r>
      <w:bookmarkEnd w:id="74"/>
      <w:bookmarkEnd w:id="75"/>
      <w:bookmarkEnd w:id="76"/>
    </w:p>
    <w:p w14:paraId="66DB31BD" w14:textId="14B4B279" w:rsidR="00860F6C" w:rsidRDefault="00860F6C" w:rsidP="00860F6C">
      <w:pPr>
        <w:pStyle w:val="APVMAText"/>
      </w:pPr>
      <w:r>
        <w:t xml:space="preserve">The applicant </w:t>
      </w:r>
      <w:r w:rsidR="00E42CD4">
        <w:t>provided</w:t>
      </w:r>
      <w:r>
        <w:t xml:space="preserve"> a literature search/review relating to the natural occurrence of 1-</w:t>
      </w:r>
      <w:r w:rsidR="00C63B9D">
        <w:t>a</w:t>
      </w:r>
      <w:r>
        <w:t>minocyclopropane-1-carboxylic acid (ACC) and the metabolic pathway in plants and the impact of physical phenomena (e.g. light, temperature or stress) on the ACC levels in plants and consequent ethylene production.</w:t>
      </w:r>
      <w:r w:rsidR="002D3DF8">
        <w:t xml:space="preserve"> </w:t>
      </w:r>
      <w:r w:rsidR="00181A72">
        <w:t>It was</w:t>
      </w:r>
      <w:r>
        <w:t xml:space="preserve"> concluded that ACC is the direct precursor of the plant hormone ethylene and is identified as naturally occurring in all higher plants.</w:t>
      </w:r>
    </w:p>
    <w:p w14:paraId="020FFFF2" w14:textId="3C2665F0" w:rsidR="00860F6C" w:rsidRDefault="00860F6C" w:rsidP="00860F6C">
      <w:pPr>
        <w:pStyle w:val="APVMAText"/>
      </w:pPr>
      <w:r>
        <w:t>The occurrence and metabolism of ACC has been widely studied in plants covering different crop groups (fruit crops, leafy crops, pulses and oilseeds, cereals and root crops). The main routes of metabolism of ACC are oxidative ring opening to form ethylene, and malonyl conjugation to form N-malonyl-ACC (MACC).</w:t>
      </w:r>
      <w:r w:rsidR="00181A72">
        <w:rPr>
          <w:rStyle w:val="FootnoteReference"/>
        </w:rPr>
        <w:footnoteReference w:id="2"/>
      </w:r>
    </w:p>
    <w:p w14:paraId="3ADAAA0D" w14:textId="2F3F5D8F" w:rsidR="00860F6C" w:rsidRDefault="00860F6C" w:rsidP="00860F6C">
      <w:pPr>
        <w:pStyle w:val="APVMAText"/>
      </w:pPr>
      <w:r>
        <w:t xml:space="preserve">The </w:t>
      </w:r>
      <w:r w:rsidR="002D3DF8">
        <w:t xml:space="preserve">United States Environmental Protection Agency </w:t>
      </w:r>
      <w:r>
        <w:t>noted in their evaluation that ACC is a natural non-protein amino acid found in all plants to which humans have been exposed through fruit and vegetable consumption; and residues of the pesticide may be indistinguishable from naturally occurring background levels of ACC.</w:t>
      </w:r>
    </w:p>
    <w:p w14:paraId="048C696E" w14:textId="751879D3" w:rsidR="00302D38" w:rsidRDefault="00860F6C" w:rsidP="00860F6C">
      <w:pPr>
        <w:pStyle w:val="APVMAText"/>
      </w:pPr>
      <w:r>
        <w:t xml:space="preserve">Further data on the metabolism of ACC </w:t>
      </w:r>
      <w:r w:rsidR="00181A72">
        <w:t xml:space="preserve">in plants or target animals </w:t>
      </w:r>
      <w:r>
        <w:t>is not required.</w:t>
      </w:r>
    </w:p>
    <w:p w14:paraId="19B55B08" w14:textId="77777777" w:rsidR="00302D38" w:rsidRDefault="00302D38" w:rsidP="00302D38">
      <w:pPr>
        <w:pStyle w:val="Heading2"/>
        <w:ind w:left="907" w:hanging="907"/>
        <w:rPr>
          <w:lang w:val="en-GB"/>
        </w:rPr>
      </w:pPr>
      <w:bookmarkStart w:id="77" w:name="_Toc531181081"/>
      <w:bookmarkStart w:id="78" w:name="_Toc7561250"/>
      <w:bookmarkStart w:id="79" w:name="_Toc225169329"/>
      <w:r>
        <w:rPr>
          <w:lang w:val="en-GB"/>
        </w:rPr>
        <w:t>Analytical methods and storage stability</w:t>
      </w:r>
      <w:bookmarkEnd w:id="77"/>
      <w:bookmarkEnd w:id="78"/>
      <w:bookmarkEnd w:id="79"/>
    </w:p>
    <w:p w14:paraId="2F0B1D5F" w14:textId="67C2A03E" w:rsidR="00860F6C" w:rsidRPr="00860F6C" w:rsidRDefault="00860F6C" w:rsidP="00860F6C">
      <w:pPr>
        <w:pStyle w:val="APVMAText"/>
        <w:rPr>
          <w:lang w:val="en-GB"/>
        </w:rPr>
      </w:pPr>
      <w:r w:rsidRPr="00860F6C">
        <w:rPr>
          <w:lang w:val="en-GB"/>
        </w:rPr>
        <w:t xml:space="preserve">The analytical procedure used for determination of residues in Australian </w:t>
      </w:r>
      <w:r w:rsidR="002D3DF8">
        <w:rPr>
          <w:lang w:val="en-GB"/>
        </w:rPr>
        <w:t>Good Laboratory Practice (</w:t>
      </w:r>
      <w:r w:rsidRPr="00860F6C">
        <w:rPr>
          <w:lang w:val="en-GB"/>
        </w:rPr>
        <w:t>GLP</w:t>
      </w:r>
      <w:r w:rsidR="002D3DF8">
        <w:rPr>
          <w:lang w:val="en-GB"/>
        </w:rPr>
        <w:t>)</w:t>
      </w:r>
      <w:r w:rsidRPr="00860F6C">
        <w:rPr>
          <w:lang w:val="en-GB"/>
        </w:rPr>
        <w:t xml:space="preserve"> study samples was titled GM184 – Determination of amino-cyclopropane carboxylic acid residues in fruits, vegetables and other plant matrices using liquid chromatography with tandem mass spectrometry (LCMS/MS). The method is summarised as follows:</w:t>
      </w:r>
    </w:p>
    <w:p w14:paraId="5872A040" w14:textId="0918B784" w:rsidR="00860F6C" w:rsidRPr="00860F6C" w:rsidRDefault="00860F6C" w:rsidP="00860F6C">
      <w:pPr>
        <w:pStyle w:val="APVMAText"/>
        <w:rPr>
          <w:lang w:val="en-GB"/>
        </w:rPr>
      </w:pPr>
      <w:r w:rsidRPr="00860F6C">
        <w:rPr>
          <w:lang w:val="en-GB"/>
        </w:rPr>
        <w:t xml:space="preserve">Sample homogenate was weighed into a centrifuge tube and surrogate standard added. Methanol and milli-Q water was added, and the tube shaken. The extract was centrifuged, and an aliquot of supernatant was taken and added to a centrifuge tube. A methanol solution was </w:t>
      </w:r>
      <w:r w:rsidR="006E40DF" w:rsidRPr="00860F6C">
        <w:rPr>
          <w:lang w:val="en-GB"/>
        </w:rPr>
        <w:t>added,</w:t>
      </w:r>
      <w:r w:rsidRPr="00860F6C">
        <w:rPr>
          <w:lang w:val="en-GB"/>
        </w:rPr>
        <w:t xml:space="preserve"> and the sample tube was shaken then centrifuged.</w:t>
      </w:r>
    </w:p>
    <w:p w14:paraId="407A8FD1" w14:textId="77777777" w:rsidR="00860F6C" w:rsidRPr="00860F6C" w:rsidRDefault="00860F6C" w:rsidP="00860F6C">
      <w:pPr>
        <w:pStyle w:val="APVMAText"/>
        <w:rPr>
          <w:lang w:val="en-GB"/>
        </w:rPr>
      </w:pPr>
      <w:r w:rsidRPr="00860F6C">
        <w:rPr>
          <w:lang w:val="en-GB"/>
        </w:rPr>
        <w:t xml:space="preserve">An aliquot was taken from the centrifuged tube and the extract was analysed using an Agilent 1290 liquid chromatograph (LC) with 6460C mass spectrometer (MS/MS). </w:t>
      </w:r>
    </w:p>
    <w:p w14:paraId="38EC133A" w14:textId="38007D92" w:rsidR="00860F6C" w:rsidRPr="00860F6C" w:rsidRDefault="00860F6C" w:rsidP="00860F6C">
      <w:pPr>
        <w:pStyle w:val="APVMAText"/>
        <w:rPr>
          <w:lang w:val="en-GB"/>
        </w:rPr>
      </w:pPr>
      <w:r w:rsidRPr="00860F6C">
        <w:rPr>
          <w:lang w:val="en-GB"/>
        </w:rPr>
        <w:lastRenderedPageBreak/>
        <w:t xml:space="preserve">The </w:t>
      </w:r>
      <w:r w:rsidR="00D12C25">
        <w:rPr>
          <w:lang w:val="en-GB"/>
        </w:rPr>
        <w:t>Limit of Quantitation (</w:t>
      </w:r>
      <w:r w:rsidRPr="00860F6C">
        <w:rPr>
          <w:lang w:val="en-GB"/>
        </w:rPr>
        <w:t>LOQ</w:t>
      </w:r>
      <w:r w:rsidR="00D12C25">
        <w:rPr>
          <w:lang w:val="en-GB"/>
        </w:rPr>
        <w:t>)</w:t>
      </w:r>
      <w:r w:rsidRPr="00860F6C">
        <w:rPr>
          <w:lang w:val="en-GB"/>
        </w:rPr>
        <w:t xml:space="preserve"> was 0.05 mg/kg for apple and 0.02 mg/kg for peach, plum and nectarine. The </w:t>
      </w:r>
      <w:r w:rsidR="00D12C25">
        <w:rPr>
          <w:lang w:val="en-GB"/>
        </w:rPr>
        <w:t>Limit of Detection (</w:t>
      </w:r>
      <w:r w:rsidRPr="00860F6C">
        <w:rPr>
          <w:lang w:val="en-GB"/>
        </w:rPr>
        <w:t>LOD</w:t>
      </w:r>
      <w:r w:rsidR="00D12C25">
        <w:rPr>
          <w:lang w:val="en-GB"/>
        </w:rPr>
        <w:t>)</w:t>
      </w:r>
      <w:r w:rsidRPr="00860F6C">
        <w:rPr>
          <w:lang w:val="en-GB"/>
        </w:rPr>
        <w:t xml:space="preserve"> was 0.04 mg/kg for apple and 0.01 mg/kg for peach, plum and nectarine.</w:t>
      </w:r>
    </w:p>
    <w:p w14:paraId="53AA6ACA" w14:textId="52196776" w:rsidR="00860F6C" w:rsidRPr="00860F6C" w:rsidRDefault="00860F6C" w:rsidP="00860F6C">
      <w:pPr>
        <w:pStyle w:val="APVMAText"/>
        <w:rPr>
          <w:lang w:val="en-GB"/>
        </w:rPr>
      </w:pPr>
      <w:r w:rsidRPr="00860F6C">
        <w:rPr>
          <w:lang w:val="en-GB"/>
        </w:rPr>
        <w:t>Recoveries from fortified control samples were within acceptable limits.</w:t>
      </w:r>
    </w:p>
    <w:p w14:paraId="5D7212FA" w14:textId="45784A4A" w:rsidR="00302D38" w:rsidRDefault="00860F6C" w:rsidP="00860F6C">
      <w:pPr>
        <w:pStyle w:val="APVMAText"/>
        <w:rPr>
          <w:lang w:val="en-GB"/>
        </w:rPr>
      </w:pPr>
      <w:r w:rsidRPr="00860F6C">
        <w:rPr>
          <w:lang w:val="en-GB"/>
        </w:rPr>
        <w:t xml:space="preserve">Similar </w:t>
      </w:r>
      <w:r w:rsidR="00AC781E">
        <w:rPr>
          <w:lang w:val="en-GB"/>
        </w:rPr>
        <w:t xml:space="preserve">analytical </w:t>
      </w:r>
      <w:r w:rsidRPr="00860F6C">
        <w:rPr>
          <w:lang w:val="en-GB"/>
        </w:rPr>
        <w:t>methods were used in North American residue trials provided by the applicant</w:t>
      </w:r>
      <w:r w:rsidR="003300BA">
        <w:rPr>
          <w:lang w:val="en-GB"/>
        </w:rPr>
        <w:t xml:space="preserve"> (LOQ = 0.03 mg/kg, LOD = 0.01 mg/kg)</w:t>
      </w:r>
      <w:r w:rsidRPr="00860F6C">
        <w:rPr>
          <w:lang w:val="en-GB"/>
        </w:rPr>
        <w:t xml:space="preserve">, noting that a description of the </w:t>
      </w:r>
      <w:r w:rsidR="00AA442C">
        <w:rPr>
          <w:lang w:val="en-GB"/>
        </w:rPr>
        <w:t xml:space="preserve">analytical </w:t>
      </w:r>
      <w:r w:rsidRPr="00860F6C">
        <w:rPr>
          <w:lang w:val="en-GB"/>
        </w:rPr>
        <w:t xml:space="preserve">method was not provided for non-GLP trials conducted in New Zealand </w:t>
      </w:r>
      <w:r w:rsidR="003300BA">
        <w:rPr>
          <w:lang w:val="en-GB"/>
        </w:rPr>
        <w:t xml:space="preserve">(LOQ = 0.04 mg/kg) </w:t>
      </w:r>
      <w:r w:rsidRPr="00860F6C">
        <w:rPr>
          <w:lang w:val="en-GB"/>
        </w:rPr>
        <w:t>and South Africa</w:t>
      </w:r>
      <w:r w:rsidR="003300BA">
        <w:rPr>
          <w:lang w:val="en-GB"/>
        </w:rPr>
        <w:t xml:space="preserve"> (LOQ = 0.01 mg/kg)</w:t>
      </w:r>
      <w:r w:rsidRPr="00860F6C">
        <w:rPr>
          <w:lang w:val="en-GB"/>
        </w:rPr>
        <w:t>.</w:t>
      </w:r>
    </w:p>
    <w:p w14:paraId="0A1EFD0E" w14:textId="4E91EF29" w:rsidR="00860F6C" w:rsidRPr="00102636" w:rsidRDefault="00860F6C" w:rsidP="002B20E7">
      <w:pPr>
        <w:pStyle w:val="Heading3"/>
        <w:rPr>
          <w:lang w:val="en-GB"/>
        </w:rPr>
      </w:pPr>
      <w:r w:rsidRPr="00102636">
        <w:rPr>
          <w:lang w:val="en-GB"/>
        </w:rPr>
        <w:t>Stability of residues in stored analytical samples</w:t>
      </w:r>
    </w:p>
    <w:p w14:paraId="078165B0" w14:textId="2C99D319" w:rsidR="00860F6C" w:rsidRPr="00642A09" w:rsidRDefault="00860F6C" w:rsidP="00860F6C">
      <w:pPr>
        <w:pStyle w:val="APVMAText"/>
        <w:rPr>
          <w:lang w:val="en-GB"/>
        </w:rPr>
      </w:pPr>
      <w:r w:rsidRPr="00860F6C">
        <w:rPr>
          <w:lang w:val="en-GB"/>
        </w:rPr>
        <w:t xml:space="preserve">Storage stability studies have been provided to show that ACC is stable in apples when stored frozen for a least 6 months (the longest interval tested) and in grapes for at least 3.8 months. In the residue trials submitted, all samples were maintained under freezer conditions, (i.e.–18 </w:t>
      </w:r>
      <w:proofErr w:type="spellStart"/>
      <w:r w:rsidR="00D12C25" w:rsidRPr="00D12C25">
        <w:rPr>
          <w:vertAlign w:val="superscript"/>
          <w:lang w:val="en-GB"/>
        </w:rPr>
        <w:t>o</w:t>
      </w:r>
      <w:r w:rsidRPr="00860F6C">
        <w:rPr>
          <w:lang w:val="en-GB"/>
        </w:rPr>
        <w:t>C</w:t>
      </w:r>
      <w:proofErr w:type="spellEnd"/>
      <w:r w:rsidRPr="00860F6C">
        <w:rPr>
          <w:lang w:val="en-GB"/>
        </w:rPr>
        <w:t>) prior to analysis and tested within 3 - 8 months of collection for the GLP trials and within 8 - 19 months for the non-GLP trials. This is acceptable for the purposes of the current application, noting that the non-GLP trials are supportive but not critical</w:t>
      </w:r>
      <w:r w:rsidR="004B7ED7">
        <w:rPr>
          <w:lang w:val="en-GB"/>
        </w:rPr>
        <w:t xml:space="preserve"> to the assessment</w:t>
      </w:r>
      <w:r w:rsidRPr="00860F6C">
        <w:rPr>
          <w:lang w:val="en-GB"/>
        </w:rPr>
        <w:t>.</w:t>
      </w:r>
    </w:p>
    <w:p w14:paraId="7C4EEF30" w14:textId="77777777" w:rsidR="00302D38" w:rsidRDefault="00302D38" w:rsidP="00302D38">
      <w:pPr>
        <w:pStyle w:val="Heading2"/>
        <w:ind w:left="907" w:hanging="907"/>
        <w:rPr>
          <w:lang w:val="en-GB"/>
        </w:rPr>
      </w:pPr>
      <w:bookmarkStart w:id="80" w:name="_Toc531181082"/>
      <w:bookmarkStart w:id="81" w:name="_Toc7561251"/>
      <w:bookmarkStart w:id="82" w:name="_Toc225169330"/>
      <w:r>
        <w:rPr>
          <w:lang w:val="en-GB"/>
        </w:rPr>
        <w:t>Residue definition</w:t>
      </w:r>
      <w:bookmarkEnd w:id="80"/>
      <w:bookmarkEnd w:id="81"/>
      <w:bookmarkEnd w:id="82"/>
    </w:p>
    <w:p w14:paraId="7B3AF3A1" w14:textId="3F813280" w:rsidR="00302D38" w:rsidRPr="00642A09" w:rsidRDefault="00860F6C" w:rsidP="00302D38">
      <w:pPr>
        <w:pStyle w:val="APVMAText"/>
        <w:rPr>
          <w:lang w:val="en-GB"/>
        </w:rPr>
      </w:pPr>
      <w:r w:rsidRPr="00860F6C">
        <w:rPr>
          <w:lang w:val="en-GB"/>
        </w:rPr>
        <w:t xml:space="preserve">A residue definition is not required for this naturally occurring compound, noting that a Table 5 entry (i.e. </w:t>
      </w:r>
      <w:r w:rsidR="002D3DF8">
        <w:rPr>
          <w:lang w:val="en-GB"/>
        </w:rPr>
        <w:t>Maximum Residue Limits (</w:t>
      </w:r>
      <w:r w:rsidRPr="00860F6C">
        <w:rPr>
          <w:lang w:val="en-GB"/>
        </w:rPr>
        <w:t>MRLs</w:t>
      </w:r>
      <w:r w:rsidR="002D3DF8">
        <w:rPr>
          <w:lang w:val="en-GB"/>
        </w:rPr>
        <w:t>)</w:t>
      </w:r>
      <w:r w:rsidRPr="00860F6C">
        <w:rPr>
          <w:lang w:val="en-GB"/>
        </w:rPr>
        <w:t xml:space="preserve"> not required) has been recommended below as levels of ACC in fruit at harvest </w:t>
      </w:r>
      <w:r w:rsidR="00AE396F">
        <w:rPr>
          <w:lang w:val="en-GB"/>
        </w:rPr>
        <w:t xml:space="preserve">from treated trees </w:t>
      </w:r>
      <w:r w:rsidRPr="00860F6C">
        <w:rPr>
          <w:lang w:val="en-GB"/>
        </w:rPr>
        <w:t>are indistinguishable from naturally occurring background levels.</w:t>
      </w:r>
    </w:p>
    <w:p w14:paraId="1FA1569C" w14:textId="77777777" w:rsidR="00302D38" w:rsidRDefault="00302D38" w:rsidP="00302D38">
      <w:pPr>
        <w:pStyle w:val="Heading2"/>
        <w:ind w:left="907" w:hanging="907"/>
        <w:rPr>
          <w:lang w:val="en-GB"/>
        </w:rPr>
      </w:pPr>
      <w:bookmarkStart w:id="83" w:name="_Toc531181083"/>
      <w:bookmarkStart w:id="84" w:name="_Toc7561252"/>
      <w:bookmarkStart w:id="85" w:name="_Toc225169331"/>
      <w:r>
        <w:rPr>
          <w:lang w:val="en-GB"/>
        </w:rPr>
        <w:t>Residues in food and animal feeds</w:t>
      </w:r>
      <w:bookmarkEnd w:id="83"/>
      <w:bookmarkEnd w:id="84"/>
      <w:bookmarkEnd w:id="85"/>
    </w:p>
    <w:p w14:paraId="0B84608A" w14:textId="4B3BC51B" w:rsidR="00302D38" w:rsidRPr="00102636" w:rsidRDefault="00860F6C" w:rsidP="002B20E7">
      <w:pPr>
        <w:pStyle w:val="Heading3"/>
        <w:rPr>
          <w:lang w:val="en-GB"/>
        </w:rPr>
      </w:pPr>
      <w:r w:rsidRPr="00102636">
        <w:rPr>
          <w:lang w:val="en-GB"/>
        </w:rPr>
        <w:t>Apples</w:t>
      </w:r>
    </w:p>
    <w:p w14:paraId="23890E6E" w14:textId="4F75642D" w:rsidR="00860F6C" w:rsidRPr="00860F6C" w:rsidRDefault="00860F6C" w:rsidP="00860F6C">
      <w:pPr>
        <w:pStyle w:val="APVMAText"/>
        <w:rPr>
          <w:lang w:val="en-GB"/>
        </w:rPr>
      </w:pPr>
      <w:r w:rsidRPr="00860F6C">
        <w:rPr>
          <w:lang w:val="en-GB"/>
        </w:rPr>
        <w:t xml:space="preserve">The critical </w:t>
      </w:r>
      <w:r w:rsidR="002D3DF8">
        <w:rPr>
          <w:lang w:val="en-GB"/>
        </w:rPr>
        <w:t>Good Agricultural Practice (</w:t>
      </w:r>
      <w:r w:rsidRPr="00860F6C">
        <w:rPr>
          <w:lang w:val="en-GB"/>
        </w:rPr>
        <w:t>GAP</w:t>
      </w:r>
      <w:r w:rsidR="002D3DF8">
        <w:rPr>
          <w:lang w:val="en-GB"/>
        </w:rPr>
        <w:t>)</w:t>
      </w:r>
      <w:r w:rsidRPr="00860F6C">
        <w:rPr>
          <w:lang w:val="en-GB"/>
        </w:rPr>
        <w:t xml:space="preserve"> for apples is for 2 applications at up to 30 g ai/100 L applied between 80% flowering and 25 mm fruitlet size. The proposed withholding period is </w:t>
      </w:r>
      <w:r w:rsidR="002B20E7">
        <w:rPr>
          <w:lang w:val="en-GB"/>
        </w:rPr>
        <w:t>‘</w:t>
      </w:r>
      <w:r w:rsidRPr="00860F6C">
        <w:rPr>
          <w:lang w:val="en-GB"/>
        </w:rPr>
        <w:t>Not required when used as directed</w:t>
      </w:r>
      <w:r w:rsidR="002B20E7">
        <w:rPr>
          <w:lang w:val="en-GB"/>
        </w:rPr>
        <w:t>’</w:t>
      </w:r>
      <w:r w:rsidRPr="00860F6C">
        <w:rPr>
          <w:lang w:val="en-GB"/>
        </w:rPr>
        <w:t>.</w:t>
      </w:r>
    </w:p>
    <w:p w14:paraId="1ED36A4F" w14:textId="095A2E89" w:rsidR="00043C5D" w:rsidRDefault="00043C5D" w:rsidP="00860F6C">
      <w:pPr>
        <w:pStyle w:val="APVMAText"/>
        <w:rPr>
          <w:lang w:val="en-GB"/>
        </w:rPr>
      </w:pPr>
      <w:r>
        <w:rPr>
          <w:lang w:val="en-GB"/>
        </w:rPr>
        <w:t xml:space="preserve">Two Australian GLP residue trials on apples are supported by 4 North American GLP trials and non-GLP trials from New Zealand (5) and South Africa (3). </w:t>
      </w:r>
      <w:r w:rsidRPr="00043C5D">
        <w:rPr>
          <w:lang w:val="en-GB"/>
        </w:rPr>
        <w:t>Two formulation types were used in the residue trials</w:t>
      </w:r>
      <w:r>
        <w:rPr>
          <w:lang w:val="en-GB"/>
        </w:rPr>
        <w:t xml:space="preserve"> (WG or SL)</w:t>
      </w:r>
      <w:r w:rsidRPr="00043C5D">
        <w:rPr>
          <w:lang w:val="en-GB"/>
        </w:rPr>
        <w:t>. The formulation used in the Australian trials was recorded as a water-dispersible granule (WG). This is considered to be similar from a residues perspective to the proposed product which is recorded as a water-soluble granule (SG). The spray solution used in the trials included a surfactant as recommended on the draft label.</w:t>
      </w:r>
    </w:p>
    <w:p w14:paraId="5BFB68BA" w14:textId="12429178" w:rsidR="00860F6C" w:rsidRPr="00860F6C" w:rsidRDefault="00860F6C" w:rsidP="00860F6C">
      <w:pPr>
        <w:pStyle w:val="APVMAText"/>
        <w:rPr>
          <w:lang w:val="en-GB"/>
        </w:rPr>
      </w:pPr>
      <w:r w:rsidRPr="00860F6C">
        <w:rPr>
          <w:lang w:val="en-GB"/>
        </w:rPr>
        <w:t>ACC residues had dropped to below the LOD (0.04 mg/kg) prior to harvest in two Australian trials representative of the proposed use pattern (2 applications at 30 – 40 g ai/100 L, 1 – 1.3× proposed, last application when fruit was 20 mm diameter).</w:t>
      </w:r>
    </w:p>
    <w:p w14:paraId="56ED8E72" w14:textId="77777777" w:rsidR="00860F6C" w:rsidRPr="00860F6C" w:rsidRDefault="00860F6C" w:rsidP="00860F6C">
      <w:pPr>
        <w:pStyle w:val="APVMAText"/>
        <w:rPr>
          <w:lang w:val="en-GB"/>
        </w:rPr>
      </w:pPr>
      <w:r w:rsidRPr="00860F6C">
        <w:rPr>
          <w:lang w:val="en-GB"/>
        </w:rPr>
        <w:t xml:space="preserve">ACC residues were also &lt;LOQ (0.03 mg/kg) in immature fruit by 45 days after application at approximately 1 kg ai/ha (when fruit were 20 mm in diameter) in 4 North American trials. Low residues below the LOD (0.01 mg/kg) were also reported in untreated control samples in these trials. The proposed use pattern would </w:t>
      </w:r>
      <w:r w:rsidRPr="00860F6C">
        <w:rPr>
          <w:lang w:val="en-GB"/>
        </w:rPr>
        <w:lastRenderedPageBreak/>
        <w:t>correspond to 450 g ai/ha for a typical spray volume of 1500 L/ha for pome fruit, so the US trials would be approximately double that proposed for a single application.</w:t>
      </w:r>
    </w:p>
    <w:p w14:paraId="727E9450" w14:textId="5DCCE1F4" w:rsidR="00860F6C" w:rsidRPr="00860F6C" w:rsidRDefault="00860F6C" w:rsidP="00860F6C">
      <w:pPr>
        <w:pStyle w:val="APVMAText"/>
        <w:rPr>
          <w:lang w:val="en-GB"/>
        </w:rPr>
      </w:pPr>
      <w:r w:rsidRPr="00860F6C">
        <w:rPr>
          <w:lang w:val="en-GB"/>
        </w:rPr>
        <w:t xml:space="preserve">In 5 non-GLP trials on apples conducted in New Zealand, residues in apples were all &lt;LOQ (0.04 mg/kg) at 37 – 151 days after application </w:t>
      </w:r>
      <w:r w:rsidR="00AC781E" w:rsidRPr="00AC781E">
        <w:rPr>
          <w:lang w:val="en-GB"/>
        </w:rPr>
        <w:t xml:space="preserve">between 90% flowering to fruit 23 mm </w:t>
      </w:r>
      <w:r w:rsidRPr="00860F6C">
        <w:rPr>
          <w:lang w:val="en-GB"/>
        </w:rPr>
        <w:t>at 25 – 50 g ai/100 L (1.2 – 1.7× proposed).</w:t>
      </w:r>
    </w:p>
    <w:p w14:paraId="7D0CA64A" w14:textId="29CC9DAE" w:rsidR="00860F6C" w:rsidRPr="00860F6C" w:rsidRDefault="00860F6C" w:rsidP="00860F6C">
      <w:pPr>
        <w:pStyle w:val="APVMAText"/>
        <w:rPr>
          <w:lang w:val="en-GB"/>
        </w:rPr>
      </w:pPr>
      <w:r w:rsidRPr="00860F6C">
        <w:rPr>
          <w:lang w:val="en-GB"/>
        </w:rPr>
        <w:t xml:space="preserve">In 3 non-GLP trials on apples conducted in South Africa, residues in apples were all &lt;LOQ (0.01 mg/kg) by 21 – 48 days after a single application </w:t>
      </w:r>
      <w:r w:rsidR="00AC781E" w:rsidRPr="00AC781E">
        <w:rPr>
          <w:lang w:val="en-GB"/>
        </w:rPr>
        <w:t>at BBCH</w:t>
      </w:r>
      <w:r w:rsidR="002D3DF8">
        <w:rPr>
          <w:rStyle w:val="FootnoteReference"/>
          <w:lang w:val="en-GB"/>
        </w:rPr>
        <w:footnoteReference w:id="3"/>
      </w:r>
      <w:r w:rsidR="00AC781E" w:rsidRPr="00AC781E">
        <w:rPr>
          <w:lang w:val="en-GB"/>
        </w:rPr>
        <w:t xml:space="preserve"> 72 (15 – 20 mm fruit) </w:t>
      </w:r>
      <w:r w:rsidRPr="00860F6C">
        <w:rPr>
          <w:lang w:val="en-GB"/>
        </w:rPr>
        <w:t>at 44.8 g ai/100 L (1.5× proposed for a single application).</w:t>
      </w:r>
    </w:p>
    <w:p w14:paraId="239D50D3" w14:textId="69544E01" w:rsidR="00860F6C" w:rsidRDefault="00860F6C" w:rsidP="00860F6C">
      <w:pPr>
        <w:pStyle w:val="APVMAText"/>
        <w:rPr>
          <w:lang w:val="en-GB"/>
        </w:rPr>
      </w:pPr>
      <w:r w:rsidRPr="00860F6C">
        <w:rPr>
          <w:lang w:val="en-GB"/>
        </w:rPr>
        <w:t>Given that the available residue trials all show that ACC residues in apples from the proposed use should drop to below the LOQ by harvest and that any low-level residue remaining will be indistinguishable from naturally occurring ACC, the proposed use on apples in suitable for a Table 5 entry in the MRL standard, i.e. MRLs are not required.</w:t>
      </w:r>
    </w:p>
    <w:p w14:paraId="11460A8F" w14:textId="1D278FC0" w:rsidR="00860F6C" w:rsidRPr="00102636" w:rsidRDefault="00860F6C" w:rsidP="002B20E7">
      <w:pPr>
        <w:pStyle w:val="Heading3"/>
        <w:rPr>
          <w:lang w:val="en-GB"/>
        </w:rPr>
      </w:pPr>
      <w:r w:rsidRPr="00102636">
        <w:rPr>
          <w:lang w:val="en-GB"/>
        </w:rPr>
        <w:t>Nectarines, peaches, plums</w:t>
      </w:r>
    </w:p>
    <w:p w14:paraId="5D51483E" w14:textId="6657A745" w:rsidR="00860F6C" w:rsidRPr="00860F6C" w:rsidRDefault="00860F6C" w:rsidP="00860F6C">
      <w:pPr>
        <w:pStyle w:val="APVMAText"/>
        <w:rPr>
          <w:lang w:val="en-GB"/>
        </w:rPr>
      </w:pPr>
      <w:r w:rsidRPr="00860F6C">
        <w:rPr>
          <w:lang w:val="en-GB"/>
        </w:rPr>
        <w:t>The critical GAP for nectarines, peaches and plums is for a single application at 60-90% flowering at 35 g ai/100 L (</w:t>
      </w:r>
      <w:r w:rsidR="00B5185A">
        <w:rPr>
          <w:lang w:val="en-GB"/>
        </w:rPr>
        <w:t xml:space="preserve">for </w:t>
      </w:r>
      <w:r w:rsidRPr="00860F6C">
        <w:rPr>
          <w:lang w:val="en-GB"/>
        </w:rPr>
        <w:t>nectarines and peaches) and 20 g ai/100 L (</w:t>
      </w:r>
      <w:r w:rsidR="00B5185A">
        <w:rPr>
          <w:lang w:val="en-GB"/>
        </w:rPr>
        <w:t xml:space="preserve">for </w:t>
      </w:r>
      <w:r w:rsidRPr="00860F6C">
        <w:rPr>
          <w:lang w:val="en-GB"/>
        </w:rPr>
        <w:t>plums).</w:t>
      </w:r>
    </w:p>
    <w:p w14:paraId="7065B50D" w14:textId="2206A2EF" w:rsidR="00043C5D" w:rsidRDefault="00043C5D" w:rsidP="00860F6C">
      <w:pPr>
        <w:pStyle w:val="APVMAText"/>
        <w:rPr>
          <w:lang w:val="en-GB"/>
        </w:rPr>
      </w:pPr>
      <w:r>
        <w:rPr>
          <w:lang w:val="en-GB"/>
        </w:rPr>
        <w:t xml:space="preserve">Five Australia GLP residue trials on nectarines, peaches and plums are supported by 3 non-GLP trials on peaches conducted in South Africa. </w:t>
      </w:r>
      <w:r w:rsidRPr="00043C5D">
        <w:rPr>
          <w:lang w:val="en-GB"/>
        </w:rPr>
        <w:t>Two formulation types were used in the residue trials</w:t>
      </w:r>
      <w:r>
        <w:rPr>
          <w:lang w:val="en-GB"/>
        </w:rPr>
        <w:t xml:space="preserve"> (WG or SL)</w:t>
      </w:r>
      <w:r w:rsidRPr="00043C5D">
        <w:rPr>
          <w:lang w:val="en-GB"/>
        </w:rPr>
        <w:t xml:space="preserve">. The formulation used in the Australian trials was recorded as a water-dispersible granule (WG). This </w:t>
      </w:r>
      <w:proofErr w:type="gramStart"/>
      <w:r w:rsidRPr="00043C5D">
        <w:rPr>
          <w:lang w:val="en-GB"/>
        </w:rPr>
        <w:t>is considered to be</w:t>
      </w:r>
      <w:proofErr w:type="gramEnd"/>
      <w:r w:rsidRPr="00043C5D">
        <w:rPr>
          <w:lang w:val="en-GB"/>
        </w:rPr>
        <w:t xml:space="preserve"> similar from a residues perspective to the proposed product which is recorded as a water-soluble granule (SG). The spray solution used in the trials included a surfactant as recommended on the draft label.</w:t>
      </w:r>
    </w:p>
    <w:p w14:paraId="124D5AFA" w14:textId="67DEFB90" w:rsidR="00860F6C" w:rsidRPr="00860F6C" w:rsidRDefault="00860F6C" w:rsidP="00860F6C">
      <w:pPr>
        <w:pStyle w:val="APVMAText"/>
        <w:rPr>
          <w:lang w:val="en-GB"/>
        </w:rPr>
      </w:pPr>
      <w:r w:rsidRPr="00860F6C">
        <w:rPr>
          <w:lang w:val="en-GB"/>
        </w:rPr>
        <w:t>In Australian GLP trials on nectarines (1), peaches (2) and plums (2), residues of ACC were &lt;LOD (0.01 mg/kg) at 35 – 188 days after 1-2 applications at 25 – 50 g ai/100 L (0.7 – 1.4× proposed rate for nectarines and peaches, 1.3 – 2.5× proposed rate for plums). The application timing (or latest application timing in the trials with 2 applications) was BBCH 65 (full bloom).</w:t>
      </w:r>
    </w:p>
    <w:p w14:paraId="3CA7E43D" w14:textId="77777777" w:rsidR="00860F6C" w:rsidRPr="00860F6C" w:rsidRDefault="00860F6C" w:rsidP="00860F6C">
      <w:pPr>
        <w:pStyle w:val="APVMAText"/>
        <w:rPr>
          <w:lang w:val="en-GB"/>
        </w:rPr>
      </w:pPr>
      <w:r w:rsidRPr="00860F6C">
        <w:rPr>
          <w:lang w:val="en-GB"/>
        </w:rPr>
        <w:t>In three non-GLP trials conducted on peaches in South Africa, residues were &lt;LOQ (0.01 mg/kg) by 42 days after a single treatment at 44.8 g ai/100 L (1.3× proposed rate for peaches and nectarines). The treatment was made at 71 (8 – 10 mm fruit diameter). It is also noted that residues in untreated control samples of peaches from these trials ranged from 0.03 – 0.06 mg/kg.</w:t>
      </w:r>
    </w:p>
    <w:p w14:paraId="0FEBD393" w14:textId="77777777" w:rsidR="00860F6C" w:rsidRPr="00860F6C" w:rsidRDefault="00860F6C" w:rsidP="00860F6C">
      <w:pPr>
        <w:pStyle w:val="APVMAText"/>
        <w:rPr>
          <w:lang w:val="en-GB"/>
        </w:rPr>
      </w:pPr>
      <w:r w:rsidRPr="00860F6C">
        <w:rPr>
          <w:lang w:val="en-GB"/>
        </w:rPr>
        <w:t>Given that the available residue trials all show that ACC residues in nectarines, peaches and plums from the proposed use should drop to below the LOQ by harvest and that any low-level residue remaining will be indistinguishable from naturally occurring ACC, the proposed use on nectarines, peaches and plums in suitable for a Table 5 entry in the MRL standard, i.e. MRLs are not required.</w:t>
      </w:r>
    </w:p>
    <w:p w14:paraId="652078F4" w14:textId="77777777" w:rsidR="00860F6C" w:rsidRPr="00860F6C" w:rsidRDefault="00860F6C" w:rsidP="00860F6C">
      <w:pPr>
        <w:pStyle w:val="APVMAText"/>
        <w:rPr>
          <w:lang w:val="en-GB"/>
        </w:rPr>
      </w:pPr>
      <w:r w:rsidRPr="00860F6C">
        <w:rPr>
          <w:lang w:val="en-GB"/>
        </w:rPr>
        <w:lastRenderedPageBreak/>
        <w:t>It is noted that ACC is exempt from the requirement of a tolerance in the USA in or on apple and stone fruit when applied in accordance with good agricultural practices.</w:t>
      </w:r>
    </w:p>
    <w:p w14:paraId="29CD1E94" w14:textId="745D6312" w:rsidR="00860F6C" w:rsidRPr="00860F6C" w:rsidRDefault="00860F6C" w:rsidP="00860F6C">
      <w:pPr>
        <w:pStyle w:val="APVMAText"/>
        <w:rPr>
          <w:lang w:val="en-GB"/>
        </w:rPr>
      </w:pPr>
      <w:r w:rsidRPr="00860F6C">
        <w:rPr>
          <w:lang w:val="en-GB"/>
        </w:rPr>
        <w:t xml:space="preserve">The </w:t>
      </w:r>
      <w:r>
        <w:rPr>
          <w:lang w:val="en-GB"/>
        </w:rPr>
        <w:t>following</w:t>
      </w:r>
      <w:r w:rsidRPr="00860F6C">
        <w:rPr>
          <w:lang w:val="en-GB"/>
        </w:rPr>
        <w:t xml:space="preserve"> Table 5 entry for ACC is appropriate to cover the proposed uses on apples, nectarines, peaches and plums:</w:t>
      </w:r>
    </w:p>
    <w:p w14:paraId="65595971" w14:textId="00389700" w:rsidR="00860F6C" w:rsidRPr="00860F6C" w:rsidRDefault="00860F6C" w:rsidP="00860F6C">
      <w:pPr>
        <w:pStyle w:val="APVMAText"/>
        <w:rPr>
          <w:i/>
          <w:iCs/>
          <w:lang w:val="en-GB"/>
        </w:rPr>
      </w:pPr>
      <w:r w:rsidRPr="00860F6C">
        <w:rPr>
          <w:i/>
          <w:iCs/>
          <w:lang w:val="en-GB"/>
        </w:rPr>
        <w:t>1-</w:t>
      </w:r>
      <w:r w:rsidR="00C63B9D">
        <w:rPr>
          <w:i/>
          <w:iCs/>
          <w:lang w:val="en-GB"/>
        </w:rPr>
        <w:t>a</w:t>
      </w:r>
      <w:r w:rsidRPr="00860F6C">
        <w:rPr>
          <w:i/>
          <w:iCs/>
          <w:lang w:val="en-GB"/>
        </w:rPr>
        <w:t>minocyclopropane-1-carboxylic acid: Plant growth regulator when used on fruit crop</w:t>
      </w:r>
      <w:r w:rsidR="00B622BA">
        <w:rPr>
          <w:i/>
          <w:iCs/>
          <w:lang w:val="en-GB"/>
        </w:rPr>
        <w:t>s</w:t>
      </w:r>
    </w:p>
    <w:p w14:paraId="707834A5" w14:textId="77777777" w:rsidR="00302D38" w:rsidRDefault="00302D38" w:rsidP="00302D38">
      <w:pPr>
        <w:pStyle w:val="Heading2"/>
        <w:ind w:left="907" w:hanging="907"/>
        <w:rPr>
          <w:lang w:val="en-GB"/>
        </w:rPr>
      </w:pPr>
      <w:bookmarkStart w:id="86" w:name="_Toc531181084"/>
      <w:bookmarkStart w:id="87" w:name="_Toc7561253"/>
      <w:bookmarkStart w:id="88" w:name="_Toc225169332"/>
      <w:r>
        <w:rPr>
          <w:lang w:val="en-GB"/>
        </w:rPr>
        <w:t>Crop rotation</w:t>
      </w:r>
      <w:bookmarkEnd w:id="86"/>
      <w:bookmarkEnd w:id="87"/>
      <w:bookmarkEnd w:id="88"/>
    </w:p>
    <w:p w14:paraId="4E8885B7" w14:textId="7B55C2EC" w:rsidR="00302D38" w:rsidRPr="00642A09" w:rsidRDefault="00860F6C" w:rsidP="00302D38">
      <w:pPr>
        <w:pStyle w:val="APVMAText"/>
        <w:rPr>
          <w:lang w:val="en-GB"/>
        </w:rPr>
      </w:pPr>
      <w:r w:rsidRPr="00860F6C">
        <w:rPr>
          <w:lang w:val="en-GB"/>
        </w:rPr>
        <w:t>Apples, nectarines, peaches and plums are not commonly grown in rotation with other crops. Consideration of ACC residues in following crops is not required, noting also that at Table 5 entry has been recommended to cover the uses on the primary crops, i.e. MRLs are not required.</w:t>
      </w:r>
    </w:p>
    <w:p w14:paraId="667EAD59" w14:textId="77777777" w:rsidR="00302D38" w:rsidRDefault="00302D38" w:rsidP="00302D38">
      <w:pPr>
        <w:pStyle w:val="Heading2"/>
        <w:ind w:left="907" w:hanging="907"/>
        <w:rPr>
          <w:lang w:val="en-GB"/>
        </w:rPr>
      </w:pPr>
      <w:bookmarkStart w:id="89" w:name="_Toc531181085"/>
      <w:bookmarkStart w:id="90" w:name="_Toc7561254"/>
      <w:bookmarkStart w:id="91" w:name="_Toc225169333"/>
      <w:r>
        <w:rPr>
          <w:lang w:val="en-GB"/>
        </w:rPr>
        <w:t>Residues in animal commodities</w:t>
      </w:r>
      <w:bookmarkEnd w:id="89"/>
      <w:bookmarkEnd w:id="90"/>
      <w:bookmarkEnd w:id="91"/>
    </w:p>
    <w:p w14:paraId="24CD1071" w14:textId="1CA76D85" w:rsidR="00302D38" w:rsidRDefault="00860F6C" w:rsidP="00302D38">
      <w:pPr>
        <w:pStyle w:val="APVMAText"/>
        <w:rPr>
          <w:lang w:val="en-GB"/>
        </w:rPr>
      </w:pPr>
      <w:r w:rsidRPr="00860F6C">
        <w:rPr>
          <w:lang w:val="en-GB"/>
        </w:rPr>
        <w:t>Any low-level ACC residues in apples, nectarines, peaches and plums from the proposed use will be indistinguishable from naturally occurring ACC. Animal transfer studies and animal commodity MRLs for ACC are not required.</w:t>
      </w:r>
    </w:p>
    <w:p w14:paraId="1C872D21" w14:textId="77777777" w:rsidR="00302D38" w:rsidRDefault="00302D38" w:rsidP="00302D38">
      <w:pPr>
        <w:pStyle w:val="Heading2"/>
        <w:ind w:left="907" w:hanging="907"/>
        <w:rPr>
          <w:lang w:val="en-GB"/>
        </w:rPr>
      </w:pPr>
      <w:bookmarkStart w:id="92" w:name="_Toc531181087"/>
      <w:bookmarkStart w:id="93" w:name="_Toc7561256"/>
      <w:bookmarkStart w:id="94" w:name="_Toc225169334"/>
      <w:r>
        <w:rPr>
          <w:lang w:val="en-GB"/>
        </w:rPr>
        <w:t>Dietary risk assessment</w:t>
      </w:r>
      <w:bookmarkEnd w:id="92"/>
      <w:bookmarkEnd w:id="93"/>
      <w:bookmarkEnd w:id="94"/>
    </w:p>
    <w:p w14:paraId="052ED7F7" w14:textId="6D9CBEE8" w:rsidR="00860F6C" w:rsidRDefault="00860F6C" w:rsidP="00860F6C">
      <w:pPr>
        <w:pStyle w:val="APVMAText"/>
      </w:pPr>
      <w:r>
        <w:t xml:space="preserve">The APVMA Human Health Risk Assessment Technical Report indicated that although there is potential for dietary exposure resulting from the proposed use of </w:t>
      </w:r>
      <w:r w:rsidR="00EC72D3">
        <w:t>Accede Plant Growth Regulator</w:t>
      </w:r>
      <w:r>
        <w:t>, the human health risk is anticipated to be negligible due to its low toxicity, infrequent application and rapid degradation once applied to the crop. In addition, ACC is a naturally occurring compound in plant tissues and part of the normal human diet.</w:t>
      </w:r>
    </w:p>
    <w:p w14:paraId="08DB1A6A" w14:textId="0A1E6DE9" w:rsidR="00AA5A11" w:rsidRDefault="00860F6C" w:rsidP="00860F6C">
      <w:pPr>
        <w:pStyle w:val="APVMAText"/>
      </w:pPr>
      <w:r>
        <w:t>As such, the establishment of an acceptable daily intake (ADI) or acute reference dose (ARfD) for ACC is not considered necessary. A dietary risk assessment</w:t>
      </w:r>
      <w:r w:rsidR="00E42CD4">
        <w:t xml:space="preserve"> for ACC</w:t>
      </w:r>
      <w:r>
        <w:t xml:space="preserve"> is therefore not required.</w:t>
      </w:r>
      <w:r w:rsidR="00AA5A11">
        <w:br w:type="page"/>
      </w:r>
    </w:p>
    <w:p w14:paraId="58911CAA" w14:textId="77777777" w:rsidR="00302D38" w:rsidRDefault="00302D38" w:rsidP="00302D38">
      <w:pPr>
        <w:pStyle w:val="Heading2"/>
        <w:ind w:left="907" w:hanging="907"/>
      </w:pPr>
      <w:bookmarkStart w:id="95" w:name="_Toc531181088"/>
      <w:bookmarkStart w:id="96" w:name="_Toc7561257"/>
      <w:bookmarkStart w:id="97" w:name="_Toc225169335"/>
      <w:r>
        <w:t>Recommendations</w:t>
      </w:r>
      <w:bookmarkEnd w:id="95"/>
      <w:bookmarkEnd w:id="96"/>
      <w:bookmarkEnd w:id="97"/>
    </w:p>
    <w:p w14:paraId="52057C86" w14:textId="77777777" w:rsidR="00302D38" w:rsidRDefault="00302D38" w:rsidP="00302D38">
      <w:pPr>
        <w:pStyle w:val="APVMAText"/>
      </w:pPr>
      <w:r>
        <w:rPr>
          <w:szCs w:val="20"/>
        </w:rPr>
        <w:t>The following amendments are required to be made to the APVMA MRL Standard (Table 5).</w:t>
      </w:r>
    </w:p>
    <w:p w14:paraId="3787078F" w14:textId="19DAAA34" w:rsidR="00302D38" w:rsidRDefault="00772458" w:rsidP="00772458">
      <w:pPr>
        <w:pStyle w:val="Caption"/>
      </w:pPr>
      <w:bookmarkStart w:id="98" w:name="_Toc523995126"/>
      <w:bookmarkStart w:id="99" w:name="_Toc56686270"/>
      <w:bookmarkStart w:id="100" w:name="_Toc56686283"/>
      <w:bookmarkStart w:id="101" w:name="_Toc225169370"/>
      <w:r>
        <w:t xml:space="preserve">Table </w:t>
      </w:r>
      <w:r>
        <w:fldChar w:fldCharType="begin"/>
      </w:r>
      <w:r>
        <w:instrText xml:space="preserve"> SEQ Table \* ARABIC </w:instrText>
      </w:r>
      <w:r>
        <w:fldChar w:fldCharType="separate"/>
      </w:r>
      <w:r>
        <w:rPr>
          <w:noProof/>
        </w:rPr>
        <w:t>5</w:t>
      </w:r>
      <w:r>
        <w:rPr>
          <w:noProof/>
        </w:rPr>
        <w:fldChar w:fldCharType="end"/>
      </w:r>
      <w:r w:rsidR="00302D38">
        <w:t>:</w:t>
      </w:r>
      <w:r w:rsidR="00302D38" w:rsidRPr="001D4D17">
        <w:t xml:space="preserve"> </w:t>
      </w:r>
      <w:r w:rsidR="00302D38">
        <w:t xml:space="preserve">Amendments to the APVMA </w:t>
      </w:r>
      <w:r w:rsidR="00302D38">
        <w:rPr>
          <w:bCs/>
        </w:rPr>
        <w:t>MRL Standard</w:t>
      </w:r>
      <w:bookmarkEnd w:id="98"/>
      <w:bookmarkEnd w:id="99"/>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6529"/>
      </w:tblGrid>
      <w:tr w:rsidR="00D90D30" w14:paraId="4A3723A7"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3023FB25" w14:textId="6F5F6EE5" w:rsidR="00D90D30" w:rsidRDefault="00CA5B2B" w:rsidP="009D0723">
            <w:pPr>
              <w:pStyle w:val="APVMATableHead"/>
            </w:pPr>
            <w:r>
              <w:t>Amendments to T</w:t>
            </w:r>
            <w:r w:rsidR="00D90D30">
              <w:t>able 5</w:t>
            </w:r>
          </w:p>
        </w:tc>
        <w:tc>
          <w:tcPr>
            <w:tcW w:w="3387" w:type="pct"/>
            <w:tcBorders>
              <w:top w:val="single" w:sz="4" w:space="0" w:color="auto"/>
              <w:left w:val="nil"/>
              <w:bottom w:val="single" w:sz="4" w:space="0" w:color="auto"/>
              <w:right w:val="nil"/>
            </w:tcBorders>
            <w:shd w:val="clear" w:color="auto" w:fill="00747A" w:themeFill="background2"/>
          </w:tcPr>
          <w:p w14:paraId="6F667F86" w14:textId="77777777" w:rsidR="00D90D30" w:rsidRDefault="00D90D30" w:rsidP="009D0723">
            <w:pPr>
              <w:pStyle w:val="APVMATableHead"/>
            </w:pPr>
          </w:p>
        </w:tc>
      </w:tr>
      <w:tr w:rsidR="00D90D30" w14:paraId="07F9B629"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405F8DC4" w14:textId="77777777" w:rsidR="00D90D30" w:rsidRDefault="00D90D30" w:rsidP="009D0723">
            <w:pPr>
              <w:pStyle w:val="APVMATableHead"/>
            </w:pPr>
            <w:r>
              <w:t>Substance</w:t>
            </w:r>
          </w:p>
        </w:tc>
        <w:tc>
          <w:tcPr>
            <w:tcW w:w="3387" w:type="pct"/>
            <w:tcBorders>
              <w:top w:val="single" w:sz="4" w:space="0" w:color="auto"/>
              <w:left w:val="nil"/>
              <w:bottom w:val="single" w:sz="4" w:space="0" w:color="auto"/>
              <w:right w:val="nil"/>
            </w:tcBorders>
            <w:shd w:val="clear" w:color="auto" w:fill="00747A" w:themeFill="background2"/>
          </w:tcPr>
          <w:p w14:paraId="2CCE78B6" w14:textId="77777777" w:rsidR="00D90D30" w:rsidRDefault="00D90D30" w:rsidP="009D0723">
            <w:pPr>
              <w:pStyle w:val="APVMATableHead"/>
            </w:pPr>
            <w:r>
              <w:t>Use</w:t>
            </w:r>
          </w:p>
        </w:tc>
      </w:tr>
      <w:tr w:rsidR="00D90D30" w:rsidRPr="00EA7005" w14:paraId="27E6EFDD" w14:textId="77777777" w:rsidTr="00424637">
        <w:tc>
          <w:tcPr>
            <w:tcW w:w="5000" w:type="pct"/>
            <w:gridSpan w:val="2"/>
            <w:tcBorders>
              <w:top w:val="single" w:sz="4" w:space="0" w:color="auto"/>
              <w:left w:val="nil"/>
              <w:bottom w:val="nil"/>
              <w:right w:val="nil"/>
            </w:tcBorders>
          </w:tcPr>
          <w:p w14:paraId="11CE06C8" w14:textId="506FA357" w:rsidR="00D90D30" w:rsidRPr="00EA7005" w:rsidRDefault="00CA5B2B" w:rsidP="00EA7005">
            <w:pPr>
              <w:pStyle w:val="APVMATableText"/>
            </w:pPr>
            <w:r>
              <w:t>Add:</w:t>
            </w:r>
          </w:p>
        </w:tc>
      </w:tr>
      <w:tr w:rsidR="00D90D30" w:rsidRPr="00EA7005" w14:paraId="1692E912" w14:textId="77777777" w:rsidTr="00424637">
        <w:tc>
          <w:tcPr>
            <w:tcW w:w="1613" w:type="pct"/>
            <w:tcBorders>
              <w:top w:val="nil"/>
              <w:left w:val="nil"/>
              <w:bottom w:val="single" w:sz="4" w:space="0" w:color="auto"/>
              <w:right w:val="nil"/>
            </w:tcBorders>
          </w:tcPr>
          <w:p w14:paraId="618CB684" w14:textId="6E2C3082" w:rsidR="00D90D30" w:rsidRPr="00EA7005" w:rsidRDefault="00860F6C" w:rsidP="00424637">
            <w:pPr>
              <w:pStyle w:val="MRLActiveName"/>
            </w:pPr>
            <w:r w:rsidRPr="00860F6C">
              <w:t>1-</w:t>
            </w:r>
            <w:r w:rsidR="00C63B9D">
              <w:t>a</w:t>
            </w:r>
            <w:r w:rsidRPr="00860F6C">
              <w:t>minocyclopropane-1-carboxylic acid</w:t>
            </w:r>
          </w:p>
        </w:tc>
        <w:tc>
          <w:tcPr>
            <w:tcW w:w="3387" w:type="pct"/>
            <w:tcBorders>
              <w:top w:val="nil"/>
              <w:left w:val="nil"/>
              <w:bottom w:val="single" w:sz="4" w:space="0" w:color="auto"/>
              <w:right w:val="nil"/>
            </w:tcBorders>
          </w:tcPr>
          <w:p w14:paraId="6E42DFDC" w14:textId="36497E22" w:rsidR="00D90D30" w:rsidRPr="00EA7005" w:rsidRDefault="00860F6C" w:rsidP="00EA7005">
            <w:pPr>
              <w:pStyle w:val="APVMATableText"/>
            </w:pPr>
            <w:r w:rsidRPr="00860F6C">
              <w:t>Plant growth regulator when used on fruit crop</w:t>
            </w:r>
            <w:r w:rsidR="00B622BA">
              <w:t>s</w:t>
            </w:r>
          </w:p>
        </w:tc>
      </w:tr>
    </w:tbl>
    <w:p w14:paraId="1D040B9E" w14:textId="77777777" w:rsidR="00D90D30" w:rsidRDefault="00D90D30" w:rsidP="00772458">
      <w:pPr>
        <w:pStyle w:val="APVMAText"/>
        <w:sectPr w:rsidR="00D90D30">
          <w:headerReference w:type="default" r:id="rId33"/>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02" w:name="_Toc531181089"/>
      <w:bookmarkStart w:id="103" w:name="_Toc7561258"/>
      <w:bookmarkStart w:id="104" w:name="_Toc225169336"/>
      <w:r>
        <w:lastRenderedPageBreak/>
        <w:t>Assessment of overseas trade aspects of residues in food</w:t>
      </w:r>
      <w:bookmarkEnd w:id="102"/>
      <w:bookmarkEnd w:id="103"/>
      <w:bookmarkEnd w:id="104"/>
    </w:p>
    <w:p w14:paraId="5B3651C2" w14:textId="77E2452E" w:rsidR="00F2357D" w:rsidRDefault="00860F6C" w:rsidP="00AA5A11">
      <w:pPr>
        <w:pStyle w:val="NormalText"/>
        <w:sectPr w:rsidR="00F2357D">
          <w:headerReference w:type="default" r:id="rId34"/>
          <w:pgSz w:w="11906" w:h="16838" w:code="9"/>
          <w:pgMar w:top="2835" w:right="1134" w:bottom="1134" w:left="1134" w:header="1701" w:footer="680" w:gutter="0"/>
          <w:cols w:space="708"/>
          <w:docGrid w:linePitch="360"/>
        </w:sectPr>
      </w:pPr>
      <w:r w:rsidRPr="00860F6C">
        <w:t>Any low-level ACC residues in apples, nectarines, peaches and plums from the proposed use will be indistinguishable from naturally occurring ACC. A Table 5 entry has been recommended to cover the proposed use, i.e. MRLs are not required, which is in line with recommendation</w:t>
      </w:r>
      <w:r>
        <w:t>s</w:t>
      </w:r>
      <w:r w:rsidRPr="00860F6C">
        <w:t xml:space="preserve"> in the USA. The risk to trade</w:t>
      </w:r>
      <w:r w:rsidR="00266633">
        <w:t xml:space="preserve"> from the proposed uses</w:t>
      </w:r>
      <w:r w:rsidRPr="00860F6C">
        <w:t xml:space="preserve"> </w:t>
      </w:r>
      <w:proofErr w:type="gramStart"/>
      <w:r w:rsidRPr="00860F6C">
        <w:t>is considered to be</w:t>
      </w:r>
      <w:proofErr w:type="gramEnd"/>
      <w:r w:rsidRPr="00860F6C">
        <w:t xml:space="preserve"> low.</w:t>
      </w:r>
    </w:p>
    <w:p w14:paraId="4DEB5711" w14:textId="6815805E" w:rsidR="00A6683A" w:rsidRDefault="00CA5B2B" w:rsidP="00A6683A">
      <w:pPr>
        <w:pStyle w:val="Heading1"/>
        <w:tabs>
          <w:tab w:val="num" w:pos="907"/>
        </w:tabs>
        <w:ind w:left="907" w:hanging="907"/>
      </w:pPr>
      <w:bookmarkStart w:id="105" w:name="_Toc531181094"/>
      <w:bookmarkStart w:id="106" w:name="_Toc7561263"/>
      <w:bookmarkStart w:id="107" w:name="_Toc225169337"/>
      <w:r>
        <w:lastRenderedPageBreak/>
        <w:t>W</w:t>
      </w:r>
      <w:r w:rsidR="00A6683A">
        <w:t xml:space="preserve">ork </w:t>
      </w:r>
      <w:r>
        <w:t>h</w:t>
      </w:r>
      <w:r w:rsidR="00A6683A">
        <w:t xml:space="preserve">ealth and </w:t>
      </w:r>
      <w:r>
        <w:t>s</w:t>
      </w:r>
      <w:r w:rsidR="00A6683A">
        <w:t>afety assessment</w:t>
      </w:r>
      <w:bookmarkEnd w:id="105"/>
      <w:bookmarkEnd w:id="106"/>
      <w:bookmarkEnd w:id="107"/>
    </w:p>
    <w:p w14:paraId="09E570D3" w14:textId="3E84E38E" w:rsidR="00F14F96" w:rsidRDefault="00EC72D3" w:rsidP="00F14F96">
      <w:pPr>
        <w:pStyle w:val="InstructionalText"/>
        <w:rPr>
          <w:color w:val="auto"/>
          <w:sz w:val="20"/>
          <w:szCs w:val="20"/>
        </w:rPr>
      </w:pPr>
      <w:r>
        <w:rPr>
          <w:color w:val="auto"/>
          <w:sz w:val="20"/>
          <w:szCs w:val="20"/>
        </w:rPr>
        <w:t>Accede Plant Growth Regulator</w:t>
      </w:r>
      <w:r w:rsidR="00F14F96" w:rsidRPr="00654F74">
        <w:rPr>
          <w:color w:val="auto"/>
          <w:sz w:val="20"/>
          <w:szCs w:val="20"/>
        </w:rPr>
        <w:t xml:space="preserve">, containing 400 g/kg 1-aminocyclopropane-1-carboxylic acid (ACC), as a new active constituent, in a water-soluble granule (SG) formulation, </w:t>
      </w:r>
      <w:r w:rsidR="00F14F96">
        <w:rPr>
          <w:color w:val="auto"/>
          <w:sz w:val="20"/>
          <w:szCs w:val="20"/>
        </w:rPr>
        <w:t xml:space="preserve">is proposed </w:t>
      </w:r>
      <w:r w:rsidR="00F14F96" w:rsidRPr="00654F74">
        <w:rPr>
          <w:color w:val="auto"/>
          <w:sz w:val="20"/>
          <w:szCs w:val="20"/>
        </w:rPr>
        <w:t>for use as a plant growth regulator (PGR) to induce thinning in apples, nectarines, peaches and plums.</w:t>
      </w:r>
    </w:p>
    <w:p w14:paraId="42260619" w14:textId="77777777" w:rsidR="00F14F96" w:rsidRDefault="00F14F96" w:rsidP="00F14F96">
      <w:pPr>
        <w:pStyle w:val="InstructionalText"/>
        <w:rPr>
          <w:color w:val="auto"/>
          <w:sz w:val="20"/>
          <w:szCs w:val="20"/>
        </w:rPr>
      </w:pPr>
      <w:r w:rsidRPr="0064084C">
        <w:rPr>
          <w:color w:val="auto"/>
          <w:sz w:val="20"/>
          <w:szCs w:val="20"/>
        </w:rPr>
        <w:t xml:space="preserve">The product is intended for professional use </w:t>
      </w:r>
      <w:r>
        <w:rPr>
          <w:color w:val="auto"/>
          <w:sz w:val="20"/>
          <w:szCs w:val="20"/>
        </w:rPr>
        <w:t>to</w:t>
      </w:r>
      <w:r w:rsidRPr="0064084C">
        <w:rPr>
          <w:color w:val="auto"/>
          <w:sz w:val="20"/>
          <w:szCs w:val="20"/>
        </w:rPr>
        <w:t xml:space="preserve"> be applied as a foliar spray by orchard </w:t>
      </w:r>
      <w:proofErr w:type="spellStart"/>
      <w:r w:rsidRPr="0064084C">
        <w:rPr>
          <w:color w:val="auto"/>
          <w:sz w:val="20"/>
          <w:szCs w:val="20"/>
        </w:rPr>
        <w:t>airblast</w:t>
      </w:r>
      <w:proofErr w:type="spellEnd"/>
      <w:r w:rsidRPr="0064084C">
        <w:rPr>
          <w:color w:val="auto"/>
          <w:sz w:val="20"/>
          <w:szCs w:val="20"/>
        </w:rPr>
        <w:t xml:space="preserve"> and ground boom spraying. Application rates range from 37 to 8</w:t>
      </w:r>
      <w:r>
        <w:rPr>
          <w:color w:val="auto"/>
          <w:sz w:val="20"/>
          <w:szCs w:val="20"/>
        </w:rPr>
        <w:t>8</w:t>
      </w:r>
      <w:r w:rsidRPr="0064084C">
        <w:rPr>
          <w:color w:val="auto"/>
          <w:sz w:val="20"/>
          <w:szCs w:val="20"/>
        </w:rPr>
        <w:t xml:space="preserve"> g/100L </w:t>
      </w:r>
      <w:r>
        <w:rPr>
          <w:color w:val="auto"/>
          <w:sz w:val="20"/>
          <w:szCs w:val="20"/>
        </w:rPr>
        <w:t xml:space="preserve">water </w:t>
      </w:r>
      <w:r w:rsidRPr="0064084C">
        <w:rPr>
          <w:color w:val="auto"/>
          <w:sz w:val="20"/>
          <w:szCs w:val="20"/>
        </w:rPr>
        <w:t xml:space="preserve">(15-35 g </w:t>
      </w:r>
      <w:r>
        <w:rPr>
          <w:color w:val="auto"/>
          <w:sz w:val="20"/>
          <w:szCs w:val="20"/>
        </w:rPr>
        <w:t>ACC</w:t>
      </w:r>
      <w:r w:rsidRPr="0064084C">
        <w:rPr>
          <w:color w:val="auto"/>
          <w:sz w:val="20"/>
          <w:szCs w:val="20"/>
        </w:rPr>
        <w:t>/100 L)</w:t>
      </w:r>
      <w:r>
        <w:rPr>
          <w:color w:val="auto"/>
          <w:sz w:val="20"/>
          <w:szCs w:val="20"/>
        </w:rPr>
        <w:t>,</w:t>
      </w:r>
      <w:r w:rsidRPr="00215DC4">
        <w:t xml:space="preserve"> </w:t>
      </w:r>
      <w:r w:rsidRPr="00215DC4">
        <w:rPr>
          <w:color w:val="auto"/>
          <w:sz w:val="20"/>
          <w:szCs w:val="20"/>
        </w:rPr>
        <w:t xml:space="preserve">equivalent to a </w:t>
      </w:r>
      <w:r>
        <w:rPr>
          <w:color w:val="auto"/>
          <w:sz w:val="20"/>
          <w:szCs w:val="20"/>
        </w:rPr>
        <w:t xml:space="preserve">maximum </w:t>
      </w:r>
      <w:r w:rsidRPr="00215DC4">
        <w:rPr>
          <w:color w:val="auto"/>
          <w:sz w:val="20"/>
          <w:szCs w:val="20"/>
        </w:rPr>
        <w:t>rate of 0.8</w:t>
      </w:r>
      <w:r>
        <w:rPr>
          <w:color w:val="auto"/>
          <w:sz w:val="20"/>
          <w:szCs w:val="20"/>
        </w:rPr>
        <w:t>8</w:t>
      </w:r>
      <w:r w:rsidRPr="00215DC4">
        <w:rPr>
          <w:color w:val="auto"/>
          <w:sz w:val="20"/>
          <w:szCs w:val="20"/>
        </w:rPr>
        <w:t xml:space="preserve"> kg product/ha</w:t>
      </w:r>
      <w:r>
        <w:rPr>
          <w:color w:val="auto"/>
          <w:sz w:val="20"/>
          <w:szCs w:val="20"/>
        </w:rPr>
        <w:t>.</w:t>
      </w:r>
    </w:p>
    <w:p w14:paraId="47C4D6CE" w14:textId="77777777" w:rsidR="00F14F96" w:rsidRPr="00654F74" w:rsidRDefault="00F14F96" w:rsidP="00F14F96">
      <w:pPr>
        <w:pStyle w:val="InstructionalText"/>
        <w:rPr>
          <w:color w:val="auto"/>
          <w:sz w:val="20"/>
          <w:szCs w:val="20"/>
        </w:rPr>
      </w:pPr>
      <w:r>
        <w:rPr>
          <w:color w:val="auto"/>
          <w:sz w:val="20"/>
          <w:szCs w:val="20"/>
        </w:rPr>
        <w:t>The u</w:t>
      </w:r>
      <w:r w:rsidRPr="00215DC4">
        <w:rPr>
          <w:color w:val="auto"/>
          <w:sz w:val="20"/>
          <w:szCs w:val="20"/>
        </w:rPr>
        <w:t>se of a non-ionic surfactant at 50 mL/100L with Accede is recommended on the label.</w:t>
      </w:r>
    </w:p>
    <w:p w14:paraId="657181FD" w14:textId="77777777" w:rsidR="00F14F96" w:rsidRDefault="00F14F96" w:rsidP="00F14F96">
      <w:pPr>
        <w:pStyle w:val="Heading2"/>
        <w:ind w:left="907" w:hanging="907"/>
      </w:pPr>
      <w:bookmarkStart w:id="108" w:name="_Toc531181095"/>
      <w:bookmarkStart w:id="109" w:name="_Toc7561264"/>
      <w:bookmarkStart w:id="110" w:name="_Toc225169338"/>
      <w:r>
        <w:t>Health hazards</w:t>
      </w:r>
      <w:bookmarkEnd w:id="108"/>
      <w:bookmarkEnd w:id="109"/>
      <w:bookmarkEnd w:id="110"/>
    </w:p>
    <w:p w14:paraId="4E94A8FE" w14:textId="17FFCC22" w:rsidR="00F14F96" w:rsidRDefault="00F14F96" w:rsidP="00F14F96">
      <w:pPr>
        <w:pStyle w:val="APVMAText"/>
      </w:pPr>
      <w:r w:rsidRPr="00215DC4">
        <w:t xml:space="preserve">The results of the acute studies indicate that </w:t>
      </w:r>
      <w:r w:rsidR="00EC72D3">
        <w:t>Accede Plant Growth Regulator</w:t>
      </w:r>
      <w:r w:rsidRPr="00215DC4">
        <w:t xml:space="preserve"> has low toxicity following oral, dermal or inhalational exposure and is neither an eye or skin irritant nor a skin sensitiser in the Murine LLNA.</w:t>
      </w:r>
    </w:p>
    <w:p w14:paraId="3823E932" w14:textId="77777777" w:rsidR="00F14F96" w:rsidRDefault="00F14F96" w:rsidP="00F14F96">
      <w:pPr>
        <w:pStyle w:val="Heading2"/>
        <w:ind w:left="907" w:hanging="907"/>
      </w:pPr>
      <w:bookmarkStart w:id="111" w:name="_Toc531181096"/>
      <w:bookmarkStart w:id="112" w:name="_Toc7561265"/>
      <w:bookmarkStart w:id="113" w:name="_Toc225169339"/>
      <w:r>
        <w:t>Occupational exposure</w:t>
      </w:r>
      <w:bookmarkEnd w:id="111"/>
      <w:bookmarkEnd w:id="112"/>
      <w:bookmarkEnd w:id="113"/>
    </w:p>
    <w:p w14:paraId="54B60399" w14:textId="77777777" w:rsidR="00F14F96" w:rsidRDefault="00F14F96" w:rsidP="00F14F96">
      <w:pPr>
        <w:pStyle w:val="Heading3"/>
      </w:pPr>
      <w:bookmarkStart w:id="114" w:name="_Toc7561266"/>
      <w:r>
        <w:t>Exposure during use</w:t>
      </w:r>
      <w:bookmarkEnd w:id="114"/>
    </w:p>
    <w:p w14:paraId="65B4D5A7" w14:textId="77777777" w:rsidR="00F14F96" w:rsidRDefault="00F14F96" w:rsidP="00F14F96">
      <w:pPr>
        <w:pStyle w:val="APVMAText"/>
      </w:pPr>
      <w:r w:rsidRPr="00B20E1A">
        <w:t xml:space="preserve">No worker exposure data was submitted. Although the applicant carried out </w:t>
      </w:r>
      <w:r>
        <w:t xml:space="preserve">an </w:t>
      </w:r>
      <w:r w:rsidRPr="00B20E1A">
        <w:t xml:space="preserve">appropriate worker </w:t>
      </w:r>
      <w:r>
        <w:t>health and safety</w:t>
      </w:r>
      <w:r w:rsidRPr="00B20E1A">
        <w:t xml:space="preserve"> assessment, th</w:t>
      </w:r>
      <w:r>
        <w:t>is</w:t>
      </w:r>
      <w:r w:rsidRPr="00B20E1A">
        <w:t xml:space="preserve"> w</w:t>
      </w:r>
      <w:r>
        <w:t>as</w:t>
      </w:r>
      <w:r w:rsidRPr="00B20E1A">
        <w:t xml:space="preserve"> not required, as a quantitative risk assessment was not considered necessary based on </w:t>
      </w:r>
      <w:r>
        <w:t xml:space="preserve">no </w:t>
      </w:r>
      <w:r w:rsidRPr="00B20E1A">
        <w:t xml:space="preserve">effects </w:t>
      </w:r>
      <w:r>
        <w:t xml:space="preserve">observed </w:t>
      </w:r>
      <w:r w:rsidRPr="00B20E1A">
        <w:t xml:space="preserve">in </w:t>
      </w:r>
      <w:r>
        <w:t>a</w:t>
      </w:r>
      <w:r w:rsidRPr="00B20E1A">
        <w:t xml:space="preserve"> dermal 28-day </w:t>
      </w:r>
      <w:r>
        <w:t>limit</w:t>
      </w:r>
      <w:r w:rsidRPr="00B20E1A">
        <w:t xml:space="preserve"> study NOAEL (&gt;1000 mg/kg bw</w:t>
      </w:r>
      <w:r>
        <w:t>/d</w:t>
      </w:r>
      <w:r w:rsidRPr="00B20E1A">
        <w:t xml:space="preserve">). Additionally, both the product and spray dilution show very low propensity for dermal absorption. </w:t>
      </w:r>
      <w:r>
        <w:t xml:space="preserve">Inhalation exposure is also likely to be low as ACC has a vapour pressure of </w:t>
      </w:r>
      <w:r w:rsidRPr="009F389E">
        <w:t>3.6 x 10-5 Pa (at 25</w:t>
      </w:r>
      <w:r w:rsidRPr="009F389E">
        <w:rPr>
          <w:rFonts w:ascii="Cambria Math" w:hAnsi="Cambria Math" w:cs="Cambria Math"/>
        </w:rPr>
        <w:t>℃</w:t>
      </w:r>
      <w:r w:rsidRPr="009F389E">
        <w:t>)</w:t>
      </w:r>
      <w:r>
        <w:t>.</w:t>
      </w:r>
    </w:p>
    <w:p w14:paraId="65755609" w14:textId="77777777" w:rsidR="00F14F96" w:rsidRDefault="00F14F96" w:rsidP="00F14F96">
      <w:pPr>
        <w:pStyle w:val="APVMAText"/>
      </w:pPr>
      <w:r w:rsidRPr="00B20E1A">
        <w:t xml:space="preserve">Similarly, quantitative health risk assessments were not carried out by US EPA </w:t>
      </w:r>
      <w:r>
        <w:t xml:space="preserve">(2021) </w:t>
      </w:r>
      <w:r w:rsidRPr="00B20E1A">
        <w:t>or Health Canada</w:t>
      </w:r>
      <w:r>
        <w:t xml:space="preserve"> (2023)</w:t>
      </w:r>
      <w:r w:rsidRPr="00B20E1A">
        <w:t>.</w:t>
      </w:r>
    </w:p>
    <w:p w14:paraId="61728676" w14:textId="77777777" w:rsidR="00F14F96" w:rsidRDefault="00F14F96" w:rsidP="00F14F96">
      <w:pPr>
        <w:pStyle w:val="Heading3"/>
      </w:pPr>
      <w:bookmarkStart w:id="115" w:name="_Toc7561267"/>
      <w:r>
        <w:t>Exposure during re-entry</w:t>
      </w:r>
      <w:bookmarkEnd w:id="115"/>
    </w:p>
    <w:p w14:paraId="019D4BFD" w14:textId="77777777" w:rsidR="00F14F96" w:rsidRDefault="00F14F96" w:rsidP="00F14F96">
      <w:pPr>
        <w:pStyle w:val="APVMAText"/>
      </w:pPr>
      <w:r>
        <w:t>The lack of dermal effects in the 28-day dermal study indicates that there are negligible risks from re-entry. A standard re-entry statement is recommended for the label (see below).</w:t>
      </w:r>
    </w:p>
    <w:p w14:paraId="0A78EAB3" w14:textId="77777777" w:rsidR="00F14F96" w:rsidRDefault="00F14F96" w:rsidP="00F14F96">
      <w:pPr>
        <w:pStyle w:val="Heading2"/>
        <w:ind w:left="907" w:hanging="907"/>
      </w:pPr>
      <w:bookmarkStart w:id="116" w:name="_Toc531181097"/>
      <w:bookmarkStart w:id="117" w:name="_Toc7561268"/>
      <w:bookmarkStart w:id="118" w:name="_Toc225169340"/>
      <w:r>
        <w:t>Public exposure</w:t>
      </w:r>
      <w:bookmarkEnd w:id="116"/>
      <w:bookmarkEnd w:id="117"/>
      <w:bookmarkEnd w:id="118"/>
    </w:p>
    <w:p w14:paraId="5BD09AEF" w14:textId="77777777" w:rsidR="00F14F96" w:rsidRDefault="00F14F96" w:rsidP="00F14F96">
      <w:pPr>
        <w:pStyle w:val="APVMAText"/>
      </w:pPr>
      <w:r w:rsidRPr="00634950">
        <w:t xml:space="preserve">The applicant has stated that the product is intended for professional use only. Therefore, risks from use are not relevant for the </w:t>
      </w:r>
      <w:proofErr w:type="gramStart"/>
      <w:r w:rsidRPr="00634950">
        <w:t>general public</w:t>
      </w:r>
      <w:proofErr w:type="gramEnd"/>
      <w:r>
        <w:t>.</w:t>
      </w:r>
    </w:p>
    <w:p w14:paraId="6CD4BA38" w14:textId="4B46EB46" w:rsidR="00F14F96" w:rsidRDefault="00F14F96" w:rsidP="00F14F96">
      <w:pPr>
        <w:pStyle w:val="APVMAText"/>
      </w:pPr>
      <w:r w:rsidRPr="00634950">
        <w:t xml:space="preserve">Application of </w:t>
      </w:r>
      <w:r w:rsidR="00EC72D3">
        <w:t>Accede Plant Growth Regulator</w:t>
      </w:r>
      <w:r w:rsidRPr="00634950">
        <w:t xml:space="preserve"> by </w:t>
      </w:r>
      <w:proofErr w:type="spellStart"/>
      <w:r w:rsidRPr="00634950">
        <w:t>airblast</w:t>
      </w:r>
      <w:proofErr w:type="spellEnd"/>
      <w:r w:rsidRPr="00634950">
        <w:t xml:space="preserve"> or ground boom methods may lead to unintended bystander exposure via chemical spray drift. Bystander risk from spraying activities is typically estimated using the APVMA Spray Drift Risk Assessment Tool. However, as </w:t>
      </w:r>
      <w:r>
        <w:t xml:space="preserve">the RAD is significantly higher than the application rate, </w:t>
      </w:r>
      <w:r w:rsidRPr="00634950">
        <w:t>no specific bystander buffer zones are required.</w:t>
      </w:r>
    </w:p>
    <w:p w14:paraId="37F8F460" w14:textId="77777777" w:rsidR="00F14F96" w:rsidRPr="00C93AAB" w:rsidRDefault="00F14F96" w:rsidP="00F14F96">
      <w:pPr>
        <w:pStyle w:val="APVMAText"/>
      </w:pPr>
      <w:r w:rsidRPr="00634950">
        <w:lastRenderedPageBreak/>
        <w:t xml:space="preserve">A similar conclusion was reached by US EPA </w:t>
      </w:r>
      <w:r>
        <w:t xml:space="preserve">(2021) </w:t>
      </w:r>
      <w:r w:rsidRPr="00634950">
        <w:t>and Health Canada</w:t>
      </w:r>
      <w:r>
        <w:t xml:space="preserve"> (2023)</w:t>
      </w:r>
      <w:r w:rsidRPr="00634950">
        <w:t>.</w:t>
      </w:r>
    </w:p>
    <w:p w14:paraId="64C3CE6E" w14:textId="77777777" w:rsidR="00F14F96" w:rsidRDefault="00F14F96" w:rsidP="00F14F96">
      <w:pPr>
        <w:pStyle w:val="Heading2"/>
        <w:ind w:left="907" w:hanging="907"/>
      </w:pPr>
      <w:bookmarkStart w:id="119" w:name="_Toc531181098"/>
      <w:bookmarkStart w:id="120" w:name="_Toc7561269"/>
      <w:bookmarkStart w:id="121" w:name="_Toc225169341"/>
      <w:r>
        <w:t>Recommendations</w:t>
      </w:r>
      <w:bookmarkEnd w:id="119"/>
      <w:bookmarkEnd w:id="120"/>
      <w:bookmarkEnd w:id="121"/>
    </w:p>
    <w:p w14:paraId="46D33DB5" w14:textId="77777777" w:rsidR="00F14F96" w:rsidRDefault="00F14F96" w:rsidP="00F14F96">
      <w:pPr>
        <w:pStyle w:val="APVMAText"/>
        <w:rPr>
          <w:szCs w:val="20"/>
        </w:rPr>
      </w:pPr>
      <w:r>
        <w:rPr>
          <w:szCs w:val="20"/>
        </w:rPr>
        <w:t>The following first aid instructions, safety directions and precautionary statements are recommended for the product label.</w:t>
      </w:r>
    </w:p>
    <w:p w14:paraId="30F32A3D" w14:textId="77777777" w:rsidR="00F14F96" w:rsidRDefault="00F14F96" w:rsidP="00F14F96">
      <w:pPr>
        <w:pStyle w:val="Heading3"/>
      </w:pPr>
      <w:bookmarkStart w:id="122" w:name="_Toc7561270"/>
      <w:r>
        <w:t>First aid instructions</w:t>
      </w:r>
      <w:bookmarkEnd w:id="122"/>
    </w:p>
    <w:p w14:paraId="7BA825B2" w14:textId="77777777" w:rsidR="00F14F96" w:rsidRDefault="00F14F96" w:rsidP="00F14F96">
      <w:pPr>
        <w:pStyle w:val="APVMAText"/>
      </w:pPr>
      <w:r w:rsidRPr="0064084C">
        <w:t>First aid is not generally required. If in doubt, contact a Poisons Information Centre (phone Australia 13 11 26; New Zealand 0800 764 766) or a doctor.</w:t>
      </w:r>
    </w:p>
    <w:p w14:paraId="7CBB1F10" w14:textId="77777777" w:rsidR="00F14F96" w:rsidRDefault="00F14F96" w:rsidP="00F14F96">
      <w:pPr>
        <w:pStyle w:val="Heading3"/>
      </w:pPr>
      <w:bookmarkStart w:id="123" w:name="_Toc7561271"/>
      <w:r>
        <w:t>Safety directions</w:t>
      </w:r>
      <w:bookmarkEnd w:id="123"/>
    </w:p>
    <w:p w14:paraId="31A39D54" w14:textId="77777777" w:rsidR="00F14F96" w:rsidRDefault="00F14F96" w:rsidP="00F14F96">
      <w:pPr>
        <w:pStyle w:val="APVMAText"/>
      </w:pPr>
      <w:r w:rsidRPr="0064084C">
        <w:t>When using together with other products, consult their label safety directions. When using the product wear cotton overalls buttoned to the neck and wrist (or equivalent clothing)</w:t>
      </w:r>
      <w:r>
        <w:t>.</w:t>
      </w:r>
      <w:r w:rsidRPr="0064084C">
        <w:t xml:space="preserve"> Wash hands after use</w:t>
      </w:r>
      <w:r>
        <w:t>.</w:t>
      </w:r>
      <w:r w:rsidRPr="0064084C">
        <w:t xml:space="preserve"> After each day’s use wash contaminated clothing</w:t>
      </w:r>
      <w:r>
        <w:t>.</w:t>
      </w:r>
    </w:p>
    <w:p w14:paraId="6CD7645F" w14:textId="77777777" w:rsidR="00F14F96" w:rsidRDefault="00F14F96" w:rsidP="00F14F96">
      <w:pPr>
        <w:pStyle w:val="Heading3"/>
      </w:pPr>
      <w:bookmarkStart w:id="124" w:name="_Toc7561272"/>
      <w:r>
        <w:t>Precautionary statements</w:t>
      </w:r>
      <w:bookmarkEnd w:id="124"/>
      <w:r>
        <w:t xml:space="preserve"> (restraints/restrictions)</w:t>
      </w:r>
    </w:p>
    <w:p w14:paraId="7BC0B957" w14:textId="77777777" w:rsidR="00F14F96" w:rsidRDefault="00F14F96" w:rsidP="00F14F96">
      <w:pPr>
        <w:pStyle w:val="APVMAText"/>
      </w:pPr>
      <w:r>
        <w:t xml:space="preserve">DO NOT allow bystanders to </w:t>
      </w:r>
      <w:proofErr w:type="gramStart"/>
      <w:r>
        <w:t>come into contact with</w:t>
      </w:r>
      <w:proofErr w:type="gramEnd"/>
      <w:r>
        <w:t xml:space="preserve"> the spray cloud.</w:t>
      </w:r>
    </w:p>
    <w:p w14:paraId="2B934374" w14:textId="77777777" w:rsidR="00F14F96" w:rsidRDefault="00F14F96" w:rsidP="00F14F96">
      <w:pPr>
        <w:pStyle w:val="APVMAText"/>
      </w:pPr>
      <w:r>
        <w:t>DO NOT apply by a vertical sprayer unless the following requirements are met:</w:t>
      </w:r>
    </w:p>
    <w:p w14:paraId="4B8F94ED" w14:textId="77777777" w:rsidR="00F14F96" w:rsidRPr="0064084C" w:rsidRDefault="00F14F96" w:rsidP="00AA5A11">
      <w:pPr>
        <w:pStyle w:val="APVMABullet1"/>
      </w:pPr>
      <w:r>
        <w:t>•</w:t>
      </w:r>
      <w:r w:rsidRPr="0064084C">
        <w:tab/>
        <w:t>spray is not directed above the target canopy</w:t>
      </w:r>
    </w:p>
    <w:p w14:paraId="5E51357E" w14:textId="77777777" w:rsidR="00F14F96" w:rsidRDefault="00F14F96" w:rsidP="00AA5A11">
      <w:pPr>
        <w:pStyle w:val="APVMABullet1"/>
      </w:pPr>
      <w:r w:rsidRPr="0064084C">
        <w:t>•</w:t>
      </w:r>
      <w:r w:rsidRPr="0064084C">
        <w:tab/>
        <w:t>the outside of the sprayer is turned off when turning at the end of rows and when spraying the outer row on each side of the application site</w:t>
      </w:r>
    </w:p>
    <w:p w14:paraId="6C7E041A" w14:textId="2B073319" w:rsidR="00F14F96" w:rsidRDefault="00F14F96" w:rsidP="00AA5A11">
      <w:pPr>
        <w:pStyle w:val="APVMAText"/>
      </w:pPr>
      <w:r>
        <w:t>DO NOT apply product through any type of irrigation system.</w:t>
      </w:r>
    </w:p>
    <w:p w14:paraId="397057C6" w14:textId="77777777" w:rsidR="00F14F96" w:rsidRDefault="00F14F96" w:rsidP="00F14F96">
      <w:pPr>
        <w:pStyle w:val="Heading3"/>
      </w:pPr>
      <w:r>
        <w:t>Re-entry S</w:t>
      </w:r>
      <w:r w:rsidRPr="0099160D">
        <w:t>tatement</w:t>
      </w:r>
    </w:p>
    <w:p w14:paraId="77D4863D" w14:textId="25E42A5D" w:rsidR="00A6683A" w:rsidRDefault="00F14F96" w:rsidP="00F14F96">
      <w:pPr>
        <w:pStyle w:val="APVMAText"/>
        <w:sectPr w:rsidR="00A6683A">
          <w:headerReference w:type="default" r:id="rId35"/>
          <w:pgSz w:w="11906" w:h="16838" w:code="9"/>
          <w:pgMar w:top="2835" w:right="1134" w:bottom="1134" w:left="1134" w:header="1701" w:footer="680" w:gutter="0"/>
          <w:cols w:space="708"/>
          <w:docGrid w:linePitch="360"/>
        </w:sectPr>
      </w:pPr>
      <w:r w:rsidRPr="0064084C">
        <w:t>DO NOT enter treated areas until the spray has settled and dried, unless wearing cotton overalls buttoned to the neck and wrist (or equivalent clothing). Clothing must be laundered after each day’s use.</w:t>
      </w:r>
    </w:p>
    <w:p w14:paraId="2F2ED702" w14:textId="77777777" w:rsidR="002F7868" w:rsidRDefault="002F7868" w:rsidP="002F7868">
      <w:pPr>
        <w:pStyle w:val="Heading1"/>
        <w:tabs>
          <w:tab w:val="num" w:pos="907"/>
        </w:tabs>
        <w:ind w:left="907" w:hanging="907"/>
      </w:pPr>
      <w:bookmarkStart w:id="125" w:name="_Toc531181099"/>
      <w:bookmarkStart w:id="126" w:name="_Toc7561273"/>
      <w:bookmarkStart w:id="127" w:name="_Toc225169342"/>
      <w:r>
        <w:lastRenderedPageBreak/>
        <w:t>Environmental assessment</w:t>
      </w:r>
      <w:bookmarkEnd w:id="125"/>
      <w:bookmarkEnd w:id="126"/>
      <w:bookmarkEnd w:id="127"/>
    </w:p>
    <w:p w14:paraId="4FD8D5E1" w14:textId="77777777" w:rsidR="002F7868" w:rsidRDefault="002F7868" w:rsidP="002F7868">
      <w:pPr>
        <w:pStyle w:val="Heading2"/>
        <w:ind w:left="907" w:hanging="907"/>
        <w:rPr>
          <w:lang w:val="en-GB"/>
        </w:rPr>
      </w:pPr>
      <w:bookmarkStart w:id="128" w:name="_Toc531181100"/>
      <w:bookmarkStart w:id="129" w:name="_Toc7561274"/>
      <w:bookmarkStart w:id="130" w:name="_Toc225169343"/>
      <w:r>
        <w:rPr>
          <w:lang w:val="en-GB"/>
        </w:rPr>
        <w:t>Fate and behaviour in the environment</w:t>
      </w:r>
      <w:bookmarkEnd w:id="128"/>
      <w:bookmarkEnd w:id="129"/>
      <w:bookmarkEnd w:id="130"/>
    </w:p>
    <w:p w14:paraId="15CEEC8B" w14:textId="7E4CA80D" w:rsidR="002F7868" w:rsidRDefault="00FD3DA1" w:rsidP="002F7868">
      <w:pPr>
        <w:pStyle w:val="APVMAText"/>
        <w:rPr>
          <w:lang w:val="en-GB"/>
        </w:rPr>
      </w:pPr>
      <w:r w:rsidRPr="00FD3DA1">
        <w:t>ACC is a readily biodegradable substance that has low persistence in soil (geomean DT</w:t>
      </w:r>
      <w:r w:rsidRPr="00FD3DA1">
        <w:rPr>
          <w:vertAlign w:val="subscript"/>
        </w:rPr>
        <w:t>50</w:t>
      </w:r>
      <w:r w:rsidRPr="00FD3DA1">
        <w:t xml:space="preserve"> 2.3 days in four laboratory soils) and low sorption (geomean Koc 29 mL/g in five soils). In aquatic systems, ACC remains in the water phase. It is not susceptible to hydrolysis or photolysis; rather, ACC is degraded very rapidly via microbially mediated mechanisms (DT</w:t>
      </w:r>
      <w:r w:rsidRPr="00FD3DA1">
        <w:rPr>
          <w:vertAlign w:val="subscript"/>
        </w:rPr>
        <w:t>50</w:t>
      </w:r>
      <w:r w:rsidRPr="00FD3DA1">
        <w:t xml:space="preserve"> &lt;1 day in three aquatic systems). Its major metabolite 2-ketyobuytric acid reached maxima of 18% AR in soil and 25% in </w:t>
      </w:r>
      <w:r w:rsidR="00B27254" w:rsidRPr="00FD3DA1">
        <w:t>water but</w:t>
      </w:r>
      <w:r w:rsidRPr="00FD3DA1">
        <w:t xml:space="preserve"> not detected in sediment and was transient in all systems. ACC is not volatile and will not be subject to long-range transport.</w:t>
      </w:r>
    </w:p>
    <w:p w14:paraId="2820D4DD" w14:textId="77777777" w:rsidR="002F7868" w:rsidRDefault="002F7868" w:rsidP="002F7868">
      <w:pPr>
        <w:pStyle w:val="Heading2"/>
        <w:ind w:left="907" w:hanging="907"/>
        <w:rPr>
          <w:lang w:val="en-GB"/>
        </w:rPr>
      </w:pPr>
      <w:bookmarkStart w:id="131" w:name="_Toc531181101"/>
      <w:bookmarkStart w:id="132" w:name="_Toc7561278"/>
      <w:bookmarkStart w:id="133" w:name="_Toc225169344"/>
      <w:r>
        <w:rPr>
          <w:lang w:val="en-GB"/>
        </w:rPr>
        <w:t>Effects and associated risks to non-target species</w:t>
      </w:r>
      <w:bookmarkEnd w:id="131"/>
      <w:bookmarkEnd w:id="132"/>
      <w:bookmarkEnd w:id="133"/>
    </w:p>
    <w:p w14:paraId="0B17F379" w14:textId="03DDA9A1" w:rsidR="002834DF" w:rsidRDefault="002834DF" w:rsidP="002834DF">
      <w:pPr>
        <w:pStyle w:val="APVMAText"/>
      </w:pPr>
      <w:bookmarkStart w:id="134" w:name="_Toc7561279"/>
      <w:r>
        <w:t xml:space="preserve">A maximum single rate of 87.5 g/100 L was assessed for the risk assessment. </w:t>
      </w:r>
      <w:r w:rsidRPr="002834DF">
        <w:t>Assuming a default spray volume of 1500 L/ha, the maximum application rate is equivalent to 1.3 L/ha (525 g ac/ha).</w:t>
      </w:r>
    </w:p>
    <w:p w14:paraId="7328B4E7" w14:textId="674E59C1" w:rsidR="002834DF" w:rsidRDefault="002834DF" w:rsidP="002834DF">
      <w:pPr>
        <w:pStyle w:val="APVMAText"/>
      </w:pPr>
      <w:r>
        <w:t xml:space="preserve">The risk assessment also considered cumulative exposure of non-target species to two </w:t>
      </w:r>
      <w:r w:rsidRPr="002834DF">
        <w:t xml:space="preserve">applications </w:t>
      </w:r>
      <w:r>
        <w:t>at</w:t>
      </w:r>
      <w:r w:rsidRPr="002834DF">
        <w:t xml:space="preserve"> 75 g/100 L</w:t>
      </w:r>
      <w:r>
        <w:t xml:space="preserve"> and a</w:t>
      </w:r>
      <w:r w:rsidRPr="002834DF">
        <w:t xml:space="preserve"> minimum retreatment interval of 21 days. Assuming a default spray volume of 1500 L/ha, </w:t>
      </w:r>
      <w:r>
        <w:t>each application is</w:t>
      </w:r>
      <w:r w:rsidRPr="002834DF">
        <w:t xml:space="preserve"> equivalent to 1.1 L/ha (450 g ac/ha).</w:t>
      </w:r>
    </w:p>
    <w:p w14:paraId="0E92F349" w14:textId="77777777" w:rsidR="002F7868" w:rsidRDefault="002F7868" w:rsidP="002F7868">
      <w:pPr>
        <w:pStyle w:val="Heading3"/>
        <w:rPr>
          <w:lang w:val="en-GB"/>
        </w:rPr>
      </w:pPr>
      <w:r>
        <w:rPr>
          <w:lang w:val="en-GB"/>
        </w:rPr>
        <w:t>Terrestrial vertebrates</w:t>
      </w:r>
      <w:bookmarkEnd w:id="134"/>
    </w:p>
    <w:p w14:paraId="368BF88F" w14:textId="13ACF501" w:rsidR="002F7868" w:rsidRDefault="00FD3DA1" w:rsidP="002F7868">
      <w:pPr>
        <w:pStyle w:val="APVMAText"/>
      </w:pPr>
      <w:r w:rsidRPr="00FD3DA1">
        <w:t>ACC has low toxicity to mammals (LD</w:t>
      </w:r>
      <w:r w:rsidRPr="00FD3DA1">
        <w:rPr>
          <w:vertAlign w:val="subscript"/>
        </w:rPr>
        <w:t>50</w:t>
      </w:r>
      <w:r w:rsidRPr="00FD3DA1">
        <w:t xml:space="preserve"> &gt;5000 mg ac/kg bw, </w:t>
      </w:r>
      <w:r w:rsidRPr="00FD3DA1">
        <w:rPr>
          <w:i/>
          <w:iCs/>
        </w:rPr>
        <w:t>Rattus norvegicus</w:t>
      </w:r>
      <w:r w:rsidRPr="00FD3DA1">
        <w:t>) and birds (LD</w:t>
      </w:r>
      <w:r w:rsidRPr="00FD3DA1">
        <w:rPr>
          <w:vertAlign w:val="subscript"/>
        </w:rPr>
        <w:t>50</w:t>
      </w:r>
      <w:r w:rsidRPr="00FD3DA1">
        <w:t xml:space="preserve"> 343 mg ac/kg </w:t>
      </w:r>
      <w:proofErr w:type="spellStart"/>
      <w:r w:rsidRPr="00FD3DA1">
        <w:t>bw</w:t>
      </w:r>
      <w:proofErr w:type="spellEnd"/>
      <w:r w:rsidRPr="00FD3DA1">
        <w:t xml:space="preserve">, </w:t>
      </w:r>
      <w:proofErr w:type="spellStart"/>
      <w:r w:rsidRPr="00FD3DA1">
        <w:rPr>
          <w:i/>
          <w:iCs/>
        </w:rPr>
        <w:t>Colinus</w:t>
      </w:r>
      <w:proofErr w:type="spellEnd"/>
      <w:r w:rsidRPr="00FD3DA1">
        <w:rPr>
          <w:i/>
          <w:iCs/>
        </w:rPr>
        <w:t xml:space="preserve"> virginianus</w:t>
      </w:r>
      <w:r w:rsidRPr="00FD3DA1">
        <w:t xml:space="preserve">). Following dietary exposure in reproductive toxicity tests, decreased parental body weight gain of mammals was observed at 543 mg ac/kg bw/d (NOAEL 271 mg ac/kg bw/d, </w:t>
      </w:r>
      <w:r w:rsidRPr="00FD3DA1">
        <w:rPr>
          <w:i/>
          <w:iCs/>
        </w:rPr>
        <w:t>Rattus norvegicus</w:t>
      </w:r>
      <w:r w:rsidRPr="00FD3DA1">
        <w:t xml:space="preserve">) and reductions in the number of eggs laid, viable embryos, hatchlings and 14-day old survivors as percentages of eggs set were observed at 22 mg ac/kg bw/d in birds (NOEL 8.6 mg ac/kg </w:t>
      </w:r>
      <w:proofErr w:type="spellStart"/>
      <w:r w:rsidRPr="00FD3DA1">
        <w:t>bw</w:t>
      </w:r>
      <w:proofErr w:type="spellEnd"/>
      <w:r w:rsidRPr="00FD3DA1">
        <w:t xml:space="preserve">/d, </w:t>
      </w:r>
      <w:proofErr w:type="spellStart"/>
      <w:r w:rsidRPr="00FD3DA1">
        <w:rPr>
          <w:i/>
          <w:iCs/>
        </w:rPr>
        <w:t>Colinus</w:t>
      </w:r>
      <w:proofErr w:type="spellEnd"/>
      <w:r w:rsidRPr="00FD3DA1">
        <w:rPr>
          <w:i/>
          <w:iCs/>
        </w:rPr>
        <w:t xml:space="preserve"> virginianus</w:t>
      </w:r>
      <w:r w:rsidRPr="00FD3DA1">
        <w:t>).</w:t>
      </w:r>
    </w:p>
    <w:p w14:paraId="12EF6C8B" w14:textId="6B0BBBB6" w:rsidR="002834DF" w:rsidRDefault="002834DF" w:rsidP="002F7868">
      <w:pPr>
        <w:pStyle w:val="APVMAText"/>
        <w:rPr>
          <w:lang w:val="en-GB"/>
        </w:rPr>
      </w:pPr>
      <w:r w:rsidRPr="00D2146E">
        <w:t>The acute assessment assumes 100% of food items are obtained from the treatment area on the last day of application, while the chronic assessment assumes 50% of food items are obtained from the treatment area for the first 21 day after the last application.</w:t>
      </w:r>
      <w:r w:rsidRPr="002834DF">
        <w:t xml:space="preserve"> </w:t>
      </w:r>
      <w:r w:rsidRPr="00D2146E">
        <w:t>A tiered approach was used beginning with assessment of an</w:t>
      </w:r>
      <w:r>
        <w:t xml:space="preserve"> </w:t>
      </w:r>
      <w:r w:rsidRPr="00D2146E">
        <w:t>indicator species that is protective of all food guilds</w:t>
      </w:r>
      <w:r w:rsidRPr="002834DF">
        <w:t xml:space="preserve">. Acceptable risks could be concluded </w:t>
      </w:r>
      <w:r>
        <w:t>at the first level of assessment</w:t>
      </w:r>
      <w:r w:rsidRPr="002834DF">
        <w:t>. No protection measures are therefore considered necessary for terrestrial vertebrates.</w:t>
      </w:r>
    </w:p>
    <w:p w14:paraId="32CB52E7" w14:textId="77777777" w:rsidR="002F7868" w:rsidRDefault="002F7868" w:rsidP="002F7868">
      <w:pPr>
        <w:pStyle w:val="Heading3"/>
        <w:rPr>
          <w:lang w:val="en-GB"/>
        </w:rPr>
      </w:pPr>
      <w:bookmarkStart w:id="135" w:name="_Toc7561280"/>
      <w:r>
        <w:rPr>
          <w:lang w:val="en-GB"/>
        </w:rPr>
        <w:t>Aquatic species</w:t>
      </w:r>
      <w:bookmarkEnd w:id="135"/>
    </w:p>
    <w:p w14:paraId="3D38304D" w14:textId="5FB3C703" w:rsidR="002F7868" w:rsidRDefault="00FD3DA1" w:rsidP="002F7868">
      <w:pPr>
        <w:pStyle w:val="APVMAText"/>
      </w:pPr>
      <w:r w:rsidRPr="00FD3DA1">
        <w:t>ACC has low toxicity to fish (LC</w:t>
      </w:r>
      <w:r w:rsidRPr="00FD3DA1">
        <w:rPr>
          <w:vertAlign w:val="subscript"/>
        </w:rPr>
        <w:t>50</w:t>
      </w:r>
      <w:r w:rsidRPr="00FD3DA1">
        <w:t xml:space="preserve"> &gt;117 mg ac/L, </w:t>
      </w:r>
      <w:r w:rsidRPr="00FD3DA1">
        <w:rPr>
          <w:i/>
          <w:iCs/>
        </w:rPr>
        <w:t>Oncorhynchus mykiss</w:t>
      </w:r>
      <w:r w:rsidRPr="00FD3DA1">
        <w:t>) and aquatic invertebrates (EC</w:t>
      </w:r>
      <w:r w:rsidRPr="00FD3DA1">
        <w:rPr>
          <w:vertAlign w:val="subscript"/>
        </w:rPr>
        <w:t>50</w:t>
      </w:r>
      <w:r w:rsidRPr="00FD3DA1">
        <w:t xml:space="preserve"> &gt;105 mg ac/L, </w:t>
      </w:r>
      <w:r w:rsidRPr="00FD3DA1">
        <w:rPr>
          <w:i/>
          <w:iCs/>
        </w:rPr>
        <w:t>Daphnia magna</w:t>
      </w:r>
      <w:r w:rsidRPr="00FD3DA1">
        <w:t>), and moderate toxicity to algae (E</w:t>
      </w:r>
      <w:r w:rsidRPr="00FD3DA1">
        <w:rPr>
          <w:vertAlign w:val="subscript"/>
        </w:rPr>
        <w:t>r</w:t>
      </w:r>
      <w:r w:rsidRPr="00FD3DA1">
        <w:t>C</w:t>
      </w:r>
      <w:r w:rsidRPr="00FD3DA1">
        <w:rPr>
          <w:vertAlign w:val="subscript"/>
        </w:rPr>
        <w:t>50</w:t>
      </w:r>
      <w:r w:rsidRPr="00FD3DA1">
        <w:t xml:space="preserve"> 0.21 mg ac/L, </w:t>
      </w:r>
      <w:proofErr w:type="spellStart"/>
      <w:r w:rsidRPr="00FD3DA1">
        <w:rPr>
          <w:i/>
          <w:iCs/>
        </w:rPr>
        <w:t>Pseuokirchneriella</w:t>
      </w:r>
      <w:proofErr w:type="spellEnd"/>
      <w:r w:rsidRPr="00FD3DA1">
        <w:rPr>
          <w:i/>
          <w:iCs/>
        </w:rPr>
        <w:t xml:space="preserve"> </w:t>
      </w:r>
      <w:proofErr w:type="spellStart"/>
      <w:r w:rsidRPr="00FD3DA1">
        <w:rPr>
          <w:i/>
          <w:iCs/>
        </w:rPr>
        <w:t>subcapitata</w:t>
      </w:r>
      <w:proofErr w:type="spellEnd"/>
      <w:r w:rsidRPr="00FD3DA1">
        <w:t>; E</w:t>
      </w:r>
      <w:r w:rsidRPr="00AC64AB">
        <w:rPr>
          <w:vertAlign w:val="subscript"/>
        </w:rPr>
        <w:t>r</w:t>
      </w:r>
      <w:r w:rsidRPr="00FD3DA1">
        <w:t>C</w:t>
      </w:r>
      <w:r w:rsidRPr="00AC64AB">
        <w:rPr>
          <w:vertAlign w:val="subscript"/>
        </w:rPr>
        <w:t>50</w:t>
      </w:r>
      <w:r w:rsidRPr="00FD3DA1">
        <w:t xml:space="preserve"> 0.10 mg ac/L, </w:t>
      </w:r>
      <w:r w:rsidRPr="00FD3DA1">
        <w:rPr>
          <w:i/>
          <w:iCs/>
        </w:rPr>
        <w:t>Anabaena flos-aquae</w:t>
      </w:r>
      <w:r w:rsidRPr="00FD3DA1">
        <w:t>) and aquatic plants (E</w:t>
      </w:r>
      <w:r w:rsidRPr="00AC64AB">
        <w:rPr>
          <w:vertAlign w:val="subscript"/>
        </w:rPr>
        <w:t>r</w:t>
      </w:r>
      <w:r w:rsidRPr="00FD3DA1">
        <w:t xml:space="preserve">C50 3.7 mg ac/L, </w:t>
      </w:r>
      <w:r w:rsidRPr="00FD3DA1">
        <w:rPr>
          <w:i/>
          <w:iCs/>
        </w:rPr>
        <w:t xml:space="preserve">Lemna </w:t>
      </w:r>
      <w:proofErr w:type="spellStart"/>
      <w:r w:rsidRPr="00FD3DA1">
        <w:rPr>
          <w:i/>
          <w:iCs/>
        </w:rPr>
        <w:t>gibba</w:t>
      </w:r>
      <w:proofErr w:type="spellEnd"/>
      <w:r w:rsidRPr="00FD3DA1">
        <w:t>). Clear effects on plant shoots and roots of rooted aquatic macrophytes was observed at relatively low concentrations (lowest E</w:t>
      </w:r>
      <w:r w:rsidRPr="00AC64AB">
        <w:rPr>
          <w:vertAlign w:val="subscript"/>
        </w:rPr>
        <w:t>r</w:t>
      </w:r>
      <w:r w:rsidRPr="00FD3DA1">
        <w:t>C</w:t>
      </w:r>
      <w:r w:rsidRPr="00AC64AB">
        <w:rPr>
          <w:vertAlign w:val="subscript"/>
        </w:rPr>
        <w:t>10</w:t>
      </w:r>
      <w:r w:rsidRPr="00FD3DA1">
        <w:t xml:space="preserve"> 0.074 mg ac/L, </w:t>
      </w:r>
      <w:proofErr w:type="spellStart"/>
      <w:r w:rsidRPr="00FD3DA1">
        <w:rPr>
          <w:i/>
          <w:iCs/>
        </w:rPr>
        <w:t>Myriophyllum</w:t>
      </w:r>
      <w:proofErr w:type="spellEnd"/>
      <w:r w:rsidRPr="00FD3DA1">
        <w:rPr>
          <w:i/>
          <w:iCs/>
        </w:rPr>
        <w:t xml:space="preserve"> spicatum</w:t>
      </w:r>
      <w:r w:rsidRPr="00FD3DA1">
        <w:t>). Following long-term exposure, the reproduction of aquatic invertebrates was reduced in a dose-dependent manner (EC</w:t>
      </w:r>
      <w:r w:rsidRPr="00AC64AB">
        <w:rPr>
          <w:vertAlign w:val="subscript"/>
        </w:rPr>
        <w:t>10</w:t>
      </w:r>
      <w:r w:rsidRPr="00FD3DA1">
        <w:t xml:space="preserve"> 20 mg ac/L, </w:t>
      </w:r>
      <w:r w:rsidRPr="00FD3DA1">
        <w:rPr>
          <w:i/>
          <w:iCs/>
        </w:rPr>
        <w:t>Daphnia magna</w:t>
      </w:r>
      <w:r w:rsidRPr="00FD3DA1">
        <w:t>). Based on</w:t>
      </w:r>
      <w:r w:rsidR="00B27254">
        <w:t xml:space="preserve"> </w:t>
      </w:r>
      <w:r w:rsidR="00AB4AB3" w:rsidRPr="00FD3DA1">
        <w:t>E</w:t>
      </w:r>
      <w:r w:rsidR="00AB4AB3" w:rsidRPr="00FD3DA1">
        <w:rPr>
          <w:vertAlign w:val="subscript"/>
        </w:rPr>
        <w:t>r</w:t>
      </w:r>
      <w:r w:rsidR="00AB4AB3" w:rsidRPr="00FD3DA1">
        <w:t>C</w:t>
      </w:r>
      <w:r w:rsidR="00AB4AB3" w:rsidRPr="00FD3DA1">
        <w:rPr>
          <w:vertAlign w:val="subscript"/>
        </w:rPr>
        <w:t>50</w:t>
      </w:r>
      <w:r w:rsidR="00DB39ED" w:rsidRPr="00F14F96">
        <w:rPr>
          <w:szCs w:val="20"/>
        </w:rPr>
        <w:t xml:space="preserve"> values &lt;1 mg/L for algae</w:t>
      </w:r>
      <w:r w:rsidRPr="00FD3DA1">
        <w:t>, the following hazard statement is triggered for ACC product labels.</w:t>
      </w:r>
    </w:p>
    <w:p w14:paraId="118D7959" w14:textId="697D7C63" w:rsidR="002834DF" w:rsidRPr="00AC64AB" w:rsidRDefault="002834DF" w:rsidP="002F7868">
      <w:pPr>
        <w:pStyle w:val="APVMAText"/>
        <w:rPr>
          <w:sz w:val="18"/>
          <w:szCs w:val="22"/>
        </w:rPr>
      </w:pPr>
      <w:r>
        <w:lastRenderedPageBreak/>
        <w:tab/>
      </w:r>
      <w:r w:rsidRPr="00AC64AB">
        <w:rPr>
          <w:sz w:val="18"/>
          <w:szCs w:val="22"/>
        </w:rPr>
        <w:t>Very toxic to aquatic life.</w:t>
      </w:r>
    </w:p>
    <w:p w14:paraId="408FFAD7" w14:textId="43D63CE6" w:rsidR="00AC64AB" w:rsidRPr="00AC64AB" w:rsidRDefault="00AC64AB" w:rsidP="00AC64AB">
      <w:pPr>
        <w:pStyle w:val="APVMAText"/>
      </w:pPr>
      <w:r w:rsidRPr="00AC64AB">
        <w:t>A screening level runoff assessment of ACC was conducted which represents the worst-case scenario</w:t>
      </w:r>
      <w:r>
        <w:t xml:space="preserve"> (direct application at the highest seasonal rate to bare soil) under Australian conditions</w:t>
      </w:r>
      <w:r w:rsidRPr="00AC64AB">
        <w:t>. Acceptable risks could be concluded at the screening level. Because the assessment assumes a runoff event occurs three days after application, the following restraints are advised.</w:t>
      </w:r>
    </w:p>
    <w:p w14:paraId="0E602754" w14:textId="6E96D34F" w:rsidR="002834DF" w:rsidRPr="00AC64AB" w:rsidRDefault="00AC64AB" w:rsidP="00AC64AB">
      <w:pPr>
        <w:pStyle w:val="APVMAText"/>
        <w:ind w:left="567"/>
        <w:rPr>
          <w:sz w:val="18"/>
          <w:szCs w:val="22"/>
          <w:lang w:val="en-GB"/>
        </w:rPr>
      </w:pPr>
      <w:r w:rsidRPr="00AC64AB">
        <w:rPr>
          <w:sz w:val="18"/>
          <w:szCs w:val="22"/>
        </w:rPr>
        <w:t>To protect aquatic species from runoff, DO NOT apply if heavy rains or storms are forecast within 3 days. DO NOT irrigate to the point of water runoff from the treatment area for at least 3 days after application.</w:t>
      </w:r>
    </w:p>
    <w:p w14:paraId="2FA1BF48" w14:textId="77777777" w:rsidR="002F7868" w:rsidRDefault="002F7868" w:rsidP="002F7868">
      <w:pPr>
        <w:pStyle w:val="Heading3"/>
        <w:rPr>
          <w:lang w:val="en-GB"/>
        </w:rPr>
      </w:pPr>
      <w:bookmarkStart w:id="136" w:name="_Toc7561281"/>
      <w:r>
        <w:rPr>
          <w:lang w:val="en-GB"/>
        </w:rPr>
        <w:t>Bees and other non-target arthropods</w:t>
      </w:r>
      <w:bookmarkEnd w:id="136"/>
    </w:p>
    <w:p w14:paraId="6B3407AB" w14:textId="08E6DF70" w:rsidR="002F7868" w:rsidRDefault="00FD3DA1" w:rsidP="002F7868">
      <w:pPr>
        <w:pStyle w:val="APVMAText"/>
      </w:pPr>
      <w:r w:rsidRPr="00FD3DA1">
        <w:t>ACC has low toxicity to adult bees by contact exposure (LD</w:t>
      </w:r>
      <w:r w:rsidRPr="00AC64AB">
        <w:rPr>
          <w:vertAlign w:val="subscript"/>
        </w:rPr>
        <w:t>50</w:t>
      </w:r>
      <w:r w:rsidRPr="00FD3DA1">
        <w:t xml:space="preserve"> &gt;125 μg ac/bee, </w:t>
      </w:r>
      <w:r w:rsidRPr="00FD3DA1">
        <w:rPr>
          <w:i/>
          <w:iCs/>
        </w:rPr>
        <w:t>Apis mellifera</w:t>
      </w:r>
      <w:r w:rsidRPr="00FD3DA1">
        <w:t>) and oral exposure (LD</w:t>
      </w:r>
      <w:r w:rsidRPr="00AC64AB">
        <w:rPr>
          <w:vertAlign w:val="subscript"/>
        </w:rPr>
        <w:t>50</w:t>
      </w:r>
      <w:r w:rsidRPr="00FD3DA1">
        <w:t xml:space="preserve"> &gt;263 μg ac/bee, </w:t>
      </w:r>
      <w:r w:rsidRPr="00FD3DA1">
        <w:rPr>
          <w:i/>
          <w:iCs/>
        </w:rPr>
        <w:t>Apis mellifera</w:t>
      </w:r>
      <w:r w:rsidRPr="00FD3DA1">
        <w:t>), and low toxicity to bee larvae (LD</w:t>
      </w:r>
      <w:r w:rsidR="00AA4C64" w:rsidRPr="00AC64AB">
        <w:rPr>
          <w:vertAlign w:val="subscript"/>
        </w:rPr>
        <w:t>50</w:t>
      </w:r>
      <w:r w:rsidRPr="00FD3DA1">
        <w:t xml:space="preserve"> &gt;126 μg ac/bee, </w:t>
      </w:r>
      <w:r w:rsidRPr="00FD3DA1">
        <w:rPr>
          <w:i/>
          <w:iCs/>
        </w:rPr>
        <w:t>Apis mellifera</w:t>
      </w:r>
      <w:r w:rsidRPr="00FD3DA1">
        <w:t>). The representative SG 400 g/kg formulation similarly demonstrated low acute toxicity to adult bees. Following chronic dietary exposure to ACC, mortality of adult bees was observed in a dose-dependent manner (LDD</w:t>
      </w:r>
      <w:r w:rsidRPr="00AC64AB">
        <w:rPr>
          <w:vertAlign w:val="subscript"/>
        </w:rPr>
        <w:t>10</w:t>
      </w:r>
      <w:r w:rsidRPr="00FD3DA1">
        <w:t xml:space="preserve"> 22 μg ac/bee/d).</w:t>
      </w:r>
    </w:p>
    <w:p w14:paraId="5E2A27B8" w14:textId="7DD7DF4A" w:rsidR="00AC64AB" w:rsidRDefault="00AC64AB" w:rsidP="002F7868">
      <w:pPr>
        <w:pStyle w:val="APVMAText"/>
      </w:pPr>
      <w:r w:rsidRPr="00980E44">
        <w:t>Risks to bees were determined to be acceptable under the worst-case scenario of a direct overspray of blooming plants. Therefore, no protection measures are considered necessary for bees.</w:t>
      </w:r>
    </w:p>
    <w:p w14:paraId="0A0569C1" w14:textId="0906EBEF" w:rsidR="00FD3DA1" w:rsidRDefault="00FD3DA1" w:rsidP="002F7868">
      <w:pPr>
        <w:pStyle w:val="APVMAText"/>
      </w:pPr>
      <w:r w:rsidRPr="00FD3DA1">
        <w:t>An SL 100 g/L formulation of ACC had low toxicity under laboratory conditions (glass plates) to the indicator species of predatory arthropods (LR</w:t>
      </w:r>
      <w:r w:rsidRPr="00AC64AB">
        <w:rPr>
          <w:vertAlign w:val="subscript"/>
        </w:rPr>
        <w:t>50</w:t>
      </w:r>
      <w:r w:rsidRPr="00FD3DA1">
        <w:t xml:space="preserve"> &gt;1000 g ac/ha, </w:t>
      </w:r>
      <w:proofErr w:type="spellStart"/>
      <w:r w:rsidRPr="00FD3DA1">
        <w:rPr>
          <w:i/>
          <w:iCs/>
        </w:rPr>
        <w:t>Typhlodromus</w:t>
      </w:r>
      <w:proofErr w:type="spellEnd"/>
      <w:r w:rsidRPr="00FD3DA1">
        <w:rPr>
          <w:i/>
          <w:iCs/>
        </w:rPr>
        <w:t xml:space="preserve"> </w:t>
      </w:r>
      <w:proofErr w:type="spellStart"/>
      <w:r w:rsidRPr="00FD3DA1">
        <w:rPr>
          <w:i/>
          <w:iCs/>
        </w:rPr>
        <w:t>pyri</w:t>
      </w:r>
      <w:proofErr w:type="spellEnd"/>
      <w:r w:rsidRPr="00FD3DA1">
        <w:t>) and parasitic arthropods (LR</w:t>
      </w:r>
      <w:r w:rsidRPr="00AC64AB">
        <w:rPr>
          <w:vertAlign w:val="subscript"/>
        </w:rPr>
        <w:t>50</w:t>
      </w:r>
      <w:r w:rsidRPr="00FD3DA1">
        <w:t xml:space="preserve"> &gt;1000 g ac/ha, </w:t>
      </w:r>
      <w:proofErr w:type="spellStart"/>
      <w:r w:rsidRPr="00FD3DA1">
        <w:rPr>
          <w:i/>
          <w:iCs/>
        </w:rPr>
        <w:t>Aphidius</w:t>
      </w:r>
      <w:proofErr w:type="spellEnd"/>
      <w:r w:rsidRPr="00FD3DA1">
        <w:rPr>
          <w:i/>
          <w:iCs/>
        </w:rPr>
        <w:t xml:space="preserve"> </w:t>
      </w:r>
      <w:proofErr w:type="spellStart"/>
      <w:r w:rsidRPr="00FD3DA1">
        <w:rPr>
          <w:i/>
          <w:iCs/>
        </w:rPr>
        <w:t>rhopalosiphi</w:t>
      </w:r>
      <w:proofErr w:type="spellEnd"/>
      <w:r w:rsidRPr="00FD3DA1">
        <w:t>).</w:t>
      </w:r>
    </w:p>
    <w:p w14:paraId="4FFB0417" w14:textId="7328C343" w:rsidR="00AC64AB" w:rsidRDefault="00AC64AB" w:rsidP="002F7868">
      <w:pPr>
        <w:pStyle w:val="APVMAText"/>
        <w:rPr>
          <w:lang w:val="en-GB"/>
        </w:rPr>
      </w:pPr>
      <w:r>
        <w:t xml:space="preserve">Risks to predatory and parasitic arthropods were determined to be acceptable under the worst-case scenario of direct exposure to fresh-dried residues immediately after the last application. </w:t>
      </w:r>
      <w:r w:rsidRPr="00980E44">
        <w:t xml:space="preserve">Therefore, no protection measures are considered necessary for </w:t>
      </w:r>
      <w:r>
        <w:t>predatory or parasitic arthropods</w:t>
      </w:r>
      <w:r w:rsidRPr="00980E44">
        <w:t>.</w:t>
      </w:r>
    </w:p>
    <w:p w14:paraId="46171525" w14:textId="77777777" w:rsidR="002F7868" w:rsidRDefault="002F7868" w:rsidP="002F7868">
      <w:pPr>
        <w:pStyle w:val="Heading3"/>
        <w:rPr>
          <w:lang w:val="en-GB"/>
        </w:rPr>
      </w:pPr>
      <w:bookmarkStart w:id="137" w:name="_Toc7561282"/>
      <w:r>
        <w:rPr>
          <w:lang w:val="en-GB"/>
        </w:rPr>
        <w:t>Soil organisms</w:t>
      </w:r>
      <w:bookmarkEnd w:id="137"/>
    </w:p>
    <w:p w14:paraId="7E93072D" w14:textId="69D0E174" w:rsidR="002F7868" w:rsidRDefault="00FD3DA1" w:rsidP="002F7868">
      <w:pPr>
        <w:pStyle w:val="APVMAText"/>
      </w:pPr>
      <w:r w:rsidRPr="00FD3DA1">
        <w:t>Following long-term exposure to ACC, reduced reproduction of earthworms was observed in a dose-dependent manner (EC</w:t>
      </w:r>
      <w:r w:rsidRPr="00AC64AB">
        <w:rPr>
          <w:vertAlign w:val="subscript"/>
        </w:rPr>
        <w:t>10</w:t>
      </w:r>
      <w:r w:rsidRPr="00FD3DA1">
        <w:t xml:space="preserve"> 63 mg ac/kg dry soil, </w:t>
      </w:r>
      <w:r w:rsidRPr="00FD3DA1">
        <w:rPr>
          <w:i/>
          <w:iCs/>
        </w:rPr>
        <w:t xml:space="preserve">Eisenia </w:t>
      </w:r>
      <w:proofErr w:type="spellStart"/>
      <w:r w:rsidRPr="00FD3DA1">
        <w:rPr>
          <w:i/>
          <w:iCs/>
        </w:rPr>
        <w:t>fetida</w:t>
      </w:r>
      <w:proofErr w:type="spellEnd"/>
      <w:r w:rsidRPr="00FD3DA1">
        <w:t>). ACC did not affect soil processes such as nitrate formation at exaggerated soil concentrations (NOEC 12 mg ac/kg dry soil).</w:t>
      </w:r>
    </w:p>
    <w:p w14:paraId="59027FCE" w14:textId="4D2A4E54" w:rsidR="00AC64AB" w:rsidRDefault="00AC64AB" w:rsidP="002F7868">
      <w:pPr>
        <w:pStyle w:val="APVMAText"/>
        <w:rPr>
          <w:lang w:val="en-GB"/>
        </w:rPr>
      </w:pPr>
      <w:r w:rsidRPr="00980E44">
        <w:t xml:space="preserve">Risks to soil organisms were determined to be acceptable under the worst-case scenario of incorporation into the top 5-cm soil </w:t>
      </w:r>
      <w:r>
        <w:t>at the highest seasonal rate</w:t>
      </w:r>
      <w:r w:rsidRPr="00980E44">
        <w:t>. Therefore, no protection measures are considered necessary for soil organisms.</w:t>
      </w:r>
    </w:p>
    <w:p w14:paraId="69874846" w14:textId="77777777" w:rsidR="002F7868" w:rsidRDefault="002F7868" w:rsidP="002F7868">
      <w:pPr>
        <w:pStyle w:val="Heading3"/>
        <w:rPr>
          <w:lang w:val="en-GB"/>
        </w:rPr>
      </w:pPr>
      <w:bookmarkStart w:id="138" w:name="_Toc7561283"/>
      <w:r>
        <w:rPr>
          <w:lang w:val="en-GB"/>
        </w:rPr>
        <w:t>Non-target terrestrial plants</w:t>
      </w:r>
      <w:bookmarkEnd w:id="138"/>
    </w:p>
    <w:p w14:paraId="05EC9A3F" w14:textId="1C0BF5E7" w:rsidR="002F7868" w:rsidRDefault="00FD3DA1" w:rsidP="002F7868">
      <w:pPr>
        <w:pStyle w:val="APVMAText"/>
        <w:rPr>
          <w:lang w:val="en-GB"/>
        </w:rPr>
      </w:pPr>
      <w:r w:rsidRPr="00FD3DA1">
        <w:t>An SL 100 g/L formulation of ACC had low toxicity to non-target terrestrial plants following post-emergent exposure (ER</w:t>
      </w:r>
      <w:r w:rsidRPr="00AC64AB">
        <w:rPr>
          <w:vertAlign w:val="subscript"/>
        </w:rPr>
        <w:t>25</w:t>
      </w:r>
      <w:r w:rsidRPr="00FD3DA1">
        <w:t xml:space="preserve"> &gt;600 g ac/ha, ten species tested). Toxicity following pre-emergent exposure was also low (ER</w:t>
      </w:r>
      <w:r w:rsidRPr="00AC64AB">
        <w:rPr>
          <w:vertAlign w:val="subscript"/>
        </w:rPr>
        <w:t>25</w:t>
      </w:r>
      <w:r w:rsidRPr="00FD3DA1">
        <w:t xml:space="preserve"> &gt;600 g ac/ha) in nine of the test species. In tomato, both shoot length and dry weight were significantly inhibited with the lowest ER</w:t>
      </w:r>
      <w:r w:rsidRPr="00AC64AB">
        <w:rPr>
          <w:vertAlign w:val="subscript"/>
        </w:rPr>
        <w:t>50</w:t>
      </w:r>
      <w:r w:rsidRPr="00FD3DA1">
        <w:t xml:space="preserve"> estimated to be 39 g ac/ha by linear two-point interpolation.</w:t>
      </w:r>
    </w:p>
    <w:p w14:paraId="60E61D2E" w14:textId="77777777" w:rsidR="002F7868" w:rsidRDefault="002F7868" w:rsidP="002F7868">
      <w:pPr>
        <w:pStyle w:val="Heading2"/>
        <w:ind w:left="907" w:hanging="907"/>
        <w:rPr>
          <w:lang w:val="en-GB"/>
        </w:rPr>
      </w:pPr>
      <w:bookmarkStart w:id="139" w:name="_Toc531181102"/>
      <w:bookmarkStart w:id="140" w:name="_Toc7561284"/>
      <w:bookmarkStart w:id="141" w:name="_Toc225169345"/>
      <w:r>
        <w:rPr>
          <w:lang w:val="en-GB"/>
        </w:rPr>
        <w:lastRenderedPageBreak/>
        <w:t>Recommendations</w:t>
      </w:r>
      <w:bookmarkEnd w:id="139"/>
      <w:bookmarkEnd w:id="140"/>
      <w:bookmarkEnd w:id="141"/>
    </w:p>
    <w:p w14:paraId="6C534C60" w14:textId="77777777" w:rsidR="002834DF" w:rsidRDefault="002834DF" w:rsidP="002834DF">
      <w:pPr>
        <w:pStyle w:val="APVMAText"/>
      </w:pPr>
      <w:r w:rsidRPr="00C36245">
        <w:t>The following protection statements are recommended based on the outcome of the risk assessment</w:t>
      </w:r>
      <w:r>
        <w:t>.</w:t>
      </w:r>
    </w:p>
    <w:p w14:paraId="72EBD5DE" w14:textId="30EDB338" w:rsidR="00AA4C64" w:rsidRPr="00FD3DA1" w:rsidRDefault="00FD3DA1" w:rsidP="00FD3DA1">
      <w:pPr>
        <w:pStyle w:val="APVMAText"/>
        <w:ind w:left="567"/>
        <w:rPr>
          <w:sz w:val="18"/>
          <w:szCs w:val="22"/>
        </w:rPr>
        <w:sectPr w:rsidR="00AA4C64" w:rsidRPr="00FD3DA1">
          <w:headerReference w:type="default" r:id="rId36"/>
          <w:pgSz w:w="11906" w:h="16838" w:code="9"/>
          <w:pgMar w:top="2835" w:right="1134" w:bottom="1134" w:left="1134" w:header="1701" w:footer="680" w:gutter="0"/>
          <w:cols w:space="708"/>
          <w:docGrid w:linePitch="360"/>
        </w:sectPr>
      </w:pPr>
      <w:r w:rsidRPr="00FD3DA1">
        <w:rPr>
          <w:sz w:val="18"/>
          <w:szCs w:val="22"/>
        </w:rPr>
        <w:t>Very toxic to aquatic life. To protect aquatic species from runoff, DO NOT apply if heavy rains or storms are forecast within 3 days. DO NOT irrigate to the point of water runoff from the treatment area for at least 3 days after application.</w:t>
      </w:r>
    </w:p>
    <w:p w14:paraId="5C788A47" w14:textId="77777777" w:rsidR="003B36F6" w:rsidRDefault="003B36F6" w:rsidP="003B36F6">
      <w:pPr>
        <w:pStyle w:val="Heading1"/>
        <w:tabs>
          <w:tab w:val="num" w:pos="907"/>
        </w:tabs>
        <w:ind w:left="907" w:hanging="907"/>
      </w:pPr>
      <w:bookmarkStart w:id="142" w:name="_Toc531181103"/>
      <w:bookmarkStart w:id="143" w:name="_Toc7561285"/>
      <w:bookmarkStart w:id="144" w:name="_Toc225169346"/>
      <w:r>
        <w:lastRenderedPageBreak/>
        <w:t>Efficacy and safety assessment</w:t>
      </w:r>
      <w:bookmarkEnd w:id="142"/>
      <w:bookmarkEnd w:id="143"/>
      <w:bookmarkEnd w:id="144"/>
    </w:p>
    <w:p w14:paraId="015BE822" w14:textId="77777777" w:rsidR="003B36F6" w:rsidRDefault="003B36F6" w:rsidP="003B36F6">
      <w:pPr>
        <w:pStyle w:val="Heading2"/>
        <w:ind w:left="907" w:hanging="907"/>
      </w:pPr>
      <w:bookmarkStart w:id="145" w:name="_Toc531181104"/>
      <w:bookmarkStart w:id="146" w:name="_Toc7561286"/>
      <w:bookmarkStart w:id="147" w:name="_Toc225169347"/>
      <w:r>
        <w:t>Proposed product use pattern</w:t>
      </w:r>
      <w:bookmarkEnd w:id="145"/>
      <w:bookmarkEnd w:id="146"/>
      <w:bookmarkEnd w:id="147"/>
    </w:p>
    <w:p w14:paraId="3DE5242A" w14:textId="4A279D6F" w:rsidR="003B36F6" w:rsidRDefault="000F61C3" w:rsidP="003B36F6">
      <w:pPr>
        <w:pStyle w:val="APVMAText"/>
      </w:pPr>
      <w:r>
        <w:t>F</w:t>
      </w:r>
      <w:r w:rsidRPr="003C359B">
        <w:t>or thinning in Apples, Peaches, Nectarines, and Plums</w:t>
      </w:r>
      <w:r w:rsidR="00AA4C64">
        <w:t>.</w:t>
      </w:r>
    </w:p>
    <w:p w14:paraId="1AA92180" w14:textId="02B582D2" w:rsidR="003B36F6" w:rsidRDefault="003B36F6" w:rsidP="003B36F6">
      <w:pPr>
        <w:pStyle w:val="Heading2"/>
        <w:ind w:left="907" w:hanging="907"/>
      </w:pPr>
      <w:bookmarkStart w:id="148" w:name="_Toc531181105"/>
      <w:bookmarkStart w:id="149" w:name="_Toc7561287"/>
      <w:bookmarkStart w:id="150" w:name="_Toc225169348"/>
      <w:r>
        <w:t>Efficacy and target crop safety</w:t>
      </w:r>
      <w:bookmarkEnd w:id="148"/>
      <w:bookmarkEnd w:id="149"/>
      <w:bookmarkEnd w:id="150"/>
    </w:p>
    <w:p w14:paraId="5F4B75D5" w14:textId="07D81AF3" w:rsidR="000F61C3" w:rsidRDefault="000F61C3" w:rsidP="000F61C3">
      <w:pPr>
        <w:pStyle w:val="APVMAText"/>
      </w:pPr>
      <w:r>
        <w:t>D</w:t>
      </w:r>
      <w:r w:rsidRPr="003C359B">
        <w:t xml:space="preserve">ata collected from 36 replicated and commercial demonstration field trials </w:t>
      </w:r>
      <w:r>
        <w:t xml:space="preserve">were </w:t>
      </w:r>
      <w:r w:rsidRPr="003C359B">
        <w:t xml:space="preserve">provided in support of efficacy and crop safety of </w:t>
      </w:r>
      <w:r w:rsidR="00EC72D3">
        <w:t>Accede Plant Growth Regulator</w:t>
      </w:r>
      <w:r>
        <w:t>.</w:t>
      </w:r>
    </w:p>
    <w:p w14:paraId="6576D9F4" w14:textId="2F0B55B9" w:rsidR="003B36F6" w:rsidRDefault="000F61C3" w:rsidP="000F61C3">
      <w:pPr>
        <w:pStyle w:val="APVMAText"/>
      </w:pPr>
      <w:r w:rsidRPr="003C359B">
        <w:t>T</w:t>
      </w:r>
      <w:r>
        <w:t>he t</w:t>
      </w:r>
      <w:r w:rsidRPr="003C359B">
        <w:t>rial</w:t>
      </w:r>
      <w:r>
        <w:t>s</w:t>
      </w:r>
      <w:r w:rsidRPr="003C359B">
        <w:t xml:space="preserve"> </w:t>
      </w:r>
      <w:r>
        <w:t xml:space="preserve">were </w:t>
      </w:r>
      <w:r w:rsidRPr="003C359B">
        <w:t>randomised complete block designs</w:t>
      </w:r>
      <w:r>
        <w:t xml:space="preserve"> and</w:t>
      </w:r>
      <w:r w:rsidRPr="003C359B">
        <w:t xml:space="preserve"> provided broad geographic coverage (Queensland, New South Wales, Victoria, and Tasmania) representative of climatic </w:t>
      </w:r>
      <w:r w:rsidR="00AA4C64">
        <w:t>conditions in</w:t>
      </w:r>
      <w:r>
        <w:t xml:space="preserve"> Australia</w:t>
      </w:r>
      <w:r w:rsidRPr="003C359B">
        <w:t>. The trials were all conducted in commercial orchards and in several cases used commercial application equipment with product testing included in commercial production process.</w:t>
      </w:r>
    </w:p>
    <w:p w14:paraId="1B945729" w14:textId="77777777" w:rsidR="003B36F6" w:rsidRDefault="003B36F6" w:rsidP="003B36F6">
      <w:pPr>
        <w:pStyle w:val="Heading3"/>
      </w:pPr>
      <w:bookmarkStart w:id="151" w:name="_Toc7561288"/>
      <w:r>
        <w:t>Efficacy</w:t>
      </w:r>
      <w:bookmarkEnd w:id="151"/>
    </w:p>
    <w:p w14:paraId="24E07A7E" w14:textId="60BD6A51" w:rsidR="003B36F6" w:rsidRDefault="00EC72D3" w:rsidP="003B36F6">
      <w:pPr>
        <w:pStyle w:val="APVMAText"/>
      </w:pPr>
      <w:r>
        <w:t>Accede Plant Growth Regulator</w:t>
      </w:r>
      <w:r w:rsidR="000F61C3" w:rsidRPr="003C359B">
        <w:t xml:space="preserve"> provide</w:t>
      </w:r>
      <w:r w:rsidR="000F61C3">
        <w:t>d</w:t>
      </w:r>
      <w:r w:rsidR="000F61C3" w:rsidRPr="003C359B">
        <w:t xml:space="preserve"> effective thinning of peaches, nectarines, plums </w:t>
      </w:r>
      <w:r w:rsidR="000F61C3">
        <w:t xml:space="preserve">when </w:t>
      </w:r>
      <w:r w:rsidR="000F61C3" w:rsidRPr="003C359B">
        <w:t xml:space="preserve">applied at 75 - 87.5 g/100 L with non-ionic surfactant. </w:t>
      </w:r>
      <w:r w:rsidR="000F61C3">
        <w:t>The trials also showed the product was effective</w:t>
      </w:r>
      <w:r w:rsidR="00AA4C64">
        <w:t xml:space="preserve"> in thinning</w:t>
      </w:r>
      <w:r w:rsidR="000F61C3" w:rsidRPr="003C359B">
        <w:t xml:space="preserve"> plums</w:t>
      </w:r>
      <w:r w:rsidR="000F61C3">
        <w:t xml:space="preserve"> (va</w:t>
      </w:r>
      <w:r w:rsidR="000F61C3" w:rsidRPr="003C359B">
        <w:t>riety</w:t>
      </w:r>
      <w:r w:rsidR="000F61C3">
        <w:t xml:space="preserve"> </w:t>
      </w:r>
      <w:r w:rsidR="000F61C3" w:rsidRPr="003C359B">
        <w:t xml:space="preserve">Queen Garnett) when applied at 37.5 - 50 g/100 L with non-ionic surfactant. Applications in stone fruit </w:t>
      </w:r>
      <w:r w:rsidR="000F61C3">
        <w:t>demonstrated</w:t>
      </w:r>
      <w:r w:rsidR="000F61C3" w:rsidRPr="003C359B">
        <w:t xml:space="preserve"> </w:t>
      </w:r>
      <w:r w:rsidR="000F61C3">
        <w:t>efficacy</w:t>
      </w:r>
      <w:r w:rsidR="000F61C3" w:rsidRPr="003C359B">
        <w:t xml:space="preserve"> when applied at 60% to 90% flowering stages.</w:t>
      </w:r>
    </w:p>
    <w:p w14:paraId="52C7E8E6" w14:textId="77777777" w:rsidR="003B36F6" w:rsidRDefault="003B36F6" w:rsidP="003B36F6">
      <w:pPr>
        <w:pStyle w:val="Heading3"/>
      </w:pPr>
      <w:bookmarkStart w:id="152" w:name="_Toc7561289"/>
      <w:r>
        <w:t>Crop safety</w:t>
      </w:r>
      <w:bookmarkEnd w:id="152"/>
    </w:p>
    <w:p w14:paraId="5A3E9113" w14:textId="386E75BE" w:rsidR="003B36F6" w:rsidRDefault="000F61C3" w:rsidP="003B36F6">
      <w:pPr>
        <w:pStyle w:val="APVMAText"/>
      </w:pPr>
      <w:r>
        <w:t>The trials</w:t>
      </w:r>
      <w:r w:rsidRPr="003C359B">
        <w:t xml:space="preserve"> demonstrated safety on most stone fruits tested and for apples</w:t>
      </w:r>
      <w:r>
        <w:t xml:space="preserve">. </w:t>
      </w:r>
      <w:r w:rsidRPr="003C359B">
        <w:t xml:space="preserve">However transient phytotoxicity was </w:t>
      </w:r>
      <w:r w:rsidR="00AA4C64">
        <w:t>observed</w:t>
      </w:r>
      <w:r w:rsidRPr="003C359B">
        <w:t xml:space="preserve"> in some situations for apple trees though no results indicated negative phytotoxicity effects on fruit quality and yield.</w:t>
      </w:r>
    </w:p>
    <w:p w14:paraId="654537E5" w14:textId="77777777" w:rsidR="003B36F6" w:rsidRDefault="003B36F6" w:rsidP="003B36F6">
      <w:pPr>
        <w:pStyle w:val="Heading2"/>
        <w:ind w:left="907" w:hanging="907"/>
      </w:pPr>
      <w:bookmarkStart w:id="153" w:name="_Toc531181106"/>
      <w:bookmarkStart w:id="154" w:name="_Toc7561292"/>
      <w:bookmarkStart w:id="155" w:name="_Toc225169349"/>
      <w:r>
        <w:t>Recommendations</w:t>
      </w:r>
      <w:bookmarkEnd w:id="153"/>
      <w:bookmarkEnd w:id="154"/>
      <w:bookmarkEnd w:id="155"/>
    </w:p>
    <w:p w14:paraId="2493AF67" w14:textId="5D681B0E" w:rsidR="003B36F6" w:rsidRDefault="00EC72D3" w:rsidP="00772458">
      <w:pPr>
        <w:pStyle w:val="APVMAText"/>
        <w:sectPr w:rsidR="003B36F6">
          <w:headerReference w:type="default" r:id="rId37"/>
          <w:pgSz w:w="11906" w:h="16838" w:code="9"/>
          <w:pgMar w:top="2835" w:right="1134" w:bottom="1134" w:left="1134" w:header="1701" w:footer="680" w:gutter="0"/>
          <w:cols w:space="708"/>
          <w:docGrid w:linePitch="360"/>
        </w:sectPr>
      </w:pPr>
      <w:r>
        <w:t>Accede Plant Growth Regulator</w:t>
      </w:r>
      <w:r w:rsidR="000F61C3" w:rsidRPr="003C359B">
        <w:t xml:space="preserve"> -ACC provides effective thinning of </w:t>
      </w:r>
      <w:proofErr w:type="spellStart"/>
      <w:r w:rsidR="000F61C3" w:rsidRPr="003C359B">
        <w:t>stonefruit</w:t>
      </w:r>
      <w:proofErr w:type="spellEnd"/>
      <w:r w:rsidR="000F61C3" w:rsidRPr="003C359B">
        <w:t xml:space="preserve"> (peaches, nectarines, plums) subject to proposed label restrictions. Similarly, it is effective in the thinning of apples across a wide growth window, and subject to geographical (climatic factors) location</w:t>
      </w:r>
      <w:r w:rsidR="000F61C3">
        <w:t>.</w:t>
      </w:r>
    </w:p>
    <w:p w14:paraId="00142BFE" w14:textId="222120FD" w:rsidR="00705195" w:rsidRDefault="00705195">
      <w:pPr>
        <w:pStyle w:val="Heading1"/>
      </w:pPr>
      <w:bookmarkStart w:id="156" w:name="_Toc531181107"/>
      <w:bookmarkStart w:id="157" w:name="_Toc7561293"/>
      <w:bookmarkStart w:id="158" w:name="_Toc225169350"/>
      <w:r>
        <w:lastRenderedPageBreak/>
        <w:t>Spray drift assessment</w:t>
      </w:r>
      <w:bookmarkEnd w:id="158"/>
    </w:p>
    <w:p w14:paraId="1BF40747" w14:textId="550FD800" w:rsidR="00705195" w:rsidRDefault="00705195" w:rsidP="00772458">
      <w:pPr>
        <w:pStyle w:val="APVMAText"/>
      </w:pPr>
      <w:r w:rsidRPr="00556F3D">
        <w:t>Regulatory Acceptable Level</w:t>
      </w:r>
      <w:r>
        <w:t>s</w:t>
      </w:r>
      <w:r w:rsidRPr="00556F3D">
        <w:t xml:space="preserve"> (RAL</w:t>
      </w:r>
      <w:r>
        <w:t>s</w:t>
      </w:r>
      <w:r w:rsidRPr="00556F3D">
        <w:t xml:space="preserve">) </w:t>
      </w:r>
      <w:r>
        <w:t xml:space="preserve">were established </w:t>
      </w:r>
      <w:r w:rsidR="00703BDD">
        <w:t xml:space="preserve">using </w:t>
      </w:r>
      <w:r w:rsidR="00703BDD" w:rsidRPr="00DC6610">
        <w:t xml:space="preserve">the </w:t>
      </w:r>
      <w:r w:rsidR="00703BDD">
        <w:t xml:space="preserve">APVMA </w:t>
      </w:r>
      <w:r w:rsidR="00703BDD" w:rsidRPr="00DC6610">
        <w:t>Spray Dr</w:t>
      </w:r>
      <w:r w:rsidR="00703BDD">
        <w:t xml:space="preserve">ift Assessment Tool (SDRAT), or Spray Drift Management Tool (SDMT), by </w:t>
      </w:r>
      <w:r>
        <w:t>each risk area</w:t>
      </w:r>
      <w:r w:rsidR="00703BDD">
        <w:t>,</w:t>
      </w:r>
      <w:r>
        <w:t xml:space="preserve"> </w:t>
      </w:r>
      <w:proofErr w:type="gramStart"/>
      <w:r>
        <w:t>in order to</w:t>
      </w:r>
      <w:proofErr w:type="gramEnd"/>
      <w:r>
        <w:t xml:space="preserve"> calculate the appropriate spray drift buffer zones for </w:t>
      </w:r>
      <w:r w:rsidR="00EC72D3">
        <w:t>Accede Plant Growth Regulator</w:t>
      </w:r>
      <w:r w:rsidR="00703BDD">
        <w:t>.</w:t>
      </w:r>
    </w:p>
    <w:p w14:paraId="01235FE1" w14:textId="570B5247" w:rsidR="00705195" w:rsidRDefault="00705195" w:rsidP="00424BBE">
      <w:pPr>
        <w:pStyle w:val="Heading2"/>
      </w:pPr>
      <w:bookmarkStart w:id="159" w:name="_Toc225169351"/>
      <w:r>
        <w:t xml:space="preserve">Human </w:t>
      </w:r>
      <w:r w:rsidR="00772458">
        <w:t>h</w:t>
      </w:r>
      <w:r>
        <w:t>ealth</w:t>
      </w:r>
      <w:bookmarkEnd w:id="159"/>
    </w:p>
    <w:p w14:paraId="2A43448D" w14:textId="75453AEA" w:rsidR="00705195" w:rsidRPr="006D0FC8" w:rsidRDefault="00A20159" w:rsidP="00772458">
      <w:pPr>
        <w:pStyle w:val="APVMAText"/>
      </w:pPr>
      <w:r w:rsidRPr="005B5AD2">
        <w:t>Based on available repeat-dose dermal toxicity study for ACC, no adverse effects were observed at the limit dose of 1000 mg/kg bw/d</w:t>
      </w:r>
      <w:r w:rsidRPr="00162023">
        <w:t>.</w:t>
      </w:r>
      <w:r>
        <w:t xml:space="preserve"> Thus, </w:t>
      </w:r>
      <w:r w:rsidRPr="00A20159">
        <w:t>no specific bystander buffer zones are required</w:t>
      </w:r>
      <w:r w:rsidR="00772458">
        <w:t>.</w:t>
      </w:r>
    </w:p>
    <w:p w14:paraId="54069496" w14:textId="501EE9BB" w:rsidR="00705195" w:rsidRDefault="00705195">
      <w:pPr>
        <w:pStyle w:val="Heading2"/>
      </w:pPr>
      <w:bookmarkStart w:id="160" w:name="_Toc225169352"/>
      <w:r>
        <w:t xml:space="preserve">Residues and </w:t>
      </w:r>
      <w:r w:rsidR="00772458">
        <w:t>t</w:t>
      </w:r>
      <w:r>
        <w:t>rade</w:t>
      </w:r>
      <w:bookmarkEnd w:id="160"/>
    </w:p>
    <w:p w14:paraId="21D8554A" w14:textId="7D5659CF" w:rsidR="00705195" w:rsidRPr="006D0FC8" w:rsidRDefault="007606C6" w:rsidP="00424BBE">
      <w:pPr>
        <w:pStyle w:val="APVMAText"/>
      </w:pPr>
      <w:r>
        <w:t>An</w:t>
      </w:r>
      <w:r w:rsidRPr="007606C6">
        <w:t xml:space="preserve"> animal transfer study for ACC has </w:t>
      </w:r>
      <w:r>
        <w:t xml:space="preserve">not </w:t>
      </w:r>
      <w:r w:rsidRPr="007606C6">
        <w:t xml:space="preserve">been provided. However, ACC occurs naturally in all </w:t>
      </w:r>
      <w:r w:rsidR="00270319">
        <w:t xml:space="preserve">higher </w:t>
      </w:r>
      <w:r w:rsidRPr="007606C6">
        <w:t xml:space="preserve">plants and a Table 5 entry has been recommended for the proposed use. Livestock already consume naturally occurring ACC </w:t>
      </w:r>
      <w:r w:rsidR="00F61242">
        <w:t xml:space="preserve">in their diet </w:t>
      </w:r>
      <w:r>
        <w:t>and</w:t>
      </w:r>
      <w:r w:rsidRPr="007606C6">
        <w:t xml:space="preserve"> animal commodity MRLs </w:t>
      </w:r>
      <w:r>
        <w:t xml:space="preserve">are </w:t>
      </w:r>
      <w:r w:rsidRPr="007606C6">
        <w:t xml:space="preserve">not required. A spray drift assessment </w:t>
      </w:r>
      <w:r>
        <w:t xml:space="preserve">and buffer zones </w:t>
      </w:r>
      <w:r w:rsidRPr="007606C6">
        <w:t xml:space="preserve">for protection of livestock areas </w:t>
      </w:r>
      <w:r>
        <w:t>with respect to trade are</w:t>
      </w:r>
      <w:r w:rsidRPr="007606C6">
        <w:t xml:space="preserve"> </w:t>
      </w:r>
      <w:r>
        <w:t xml:space="preserve">therefore </w:t>
      </w:r>
      <w:r w:rsidRPr="007606C6">
        <w:t>not required</w:t>
      </w:r>
      <w:r w:rsidR="00162023">
        <w:t>.</w:t>
      </w:r>
    </w:p>
    <w:p w14:paraId="58188567" w14:textId="43CCAD71" w:rsidR="00705195" w:rsidRDefault="00705195">
      <w:pPr>
        <w:pStyle w:val="Heading2"/>
      </w:pPr>
      <w:bookmarkStart w:id="161" w:name="_Toc225169353"/>
      <w:r>
        <w:t>Environment</w:t>
      </w:r>
      <w:bookmarkEnd w:id="161"/>
    </w:p>
    <w:p w14:paraId="24585011" w14:textId="2A014AA7" w:rsidR="00D022DC" w:rsidRDefault="00D022DC" w:rsidP="00D022DC">
      <w:pPr>
        <w:pStyle w:val="APVMAText"/>
      </w:pPr>
      <w:r>
        <w:t xml:space="preserve">The RAL 10 µg ac/L for the protection of natural aquatic areas is </w:t>
      </w:r>
      <w:r w:rsidRPr="00D2146E">
        <w:t xml:space="preserve">based on </w:t>
      </w:r>
      <w:r>
        <w:t xml:space="preserve">the </w:t>
      </w:r>
      <w:r w:rsidR="00AB4AB3" w:rsidRPr="00FD3DA1">
        <w:t>E</w:t>
      </w:r>
      <w:r w:rsidR="00AB4AB3" w:rsidRPr="00FD3DA1">
        <w:rPr>
          <w:vertAlign w:val="subscript"/>
        </w:rPr>
        <w:t>r</w:t>
      </w:r>
      <w:r w:rsidR="00AB4AB3" w:rsidRPr="00FD3DA1">
        <w:t>C</w:t>
      </w:r>
      <w:r w:rsidR="00AB4AB3" w:rsidRPr="00FD3DA1">
        <w:rPr>
          <w:vertAlign w:val="subscript"/>
        </w:rPr>
        <w:t>50</w:t>
      </w:r>
      <w:r w:rsidR="00192BCD" w:rsidRPr="00192BCD">
        <w:rPr>
          <w:szCs w:val="20"/>
        </w:rPr>
        <w:t xml:space="preserve"> 10</w:t>
      </w:r>
      <w:r w:rsidR="00192BCD">
        <w:rPr>
          <w:szCs w:val="20"/>
        </w:rPr>
        <w:t>0</w:t>
      </w:r>
      <w:r w:rsidR="00192BCD" w:rsidRPr="00192BCD">
        <w:rPr>
          <w:szCs w:val="20"/>
        </w:rPr>
        <w:t xml:space="preserve"> </w:t>
      </w:r>
      <w:r w:rsidR="00192BCD">
        <w:t>µ</w:t>
      </w:r>
      <w:r w:rsidR="00192BCD" w:rsidRPr="00192BCD">
        <w:rPr>
          <w:szCs w:val="20"/>
        </w:rPr>
        <w:t>g ac/L</w:t>
      </w:r>
      <w:r w:rsidRPr="00D2146E">
        <w:t xml:space="preserve"> for</w:t>
      </w:r>
      <w:r>
        <w:t xml:space="preserve"> toxicity of ACC to</w:t>
      </w:r>
      <w:r w:rsidRPr="00D2146E">
        <w:t xml:space="preserve"> </w:t>
      </w:r>
      <w:r w:rsidR="00192BCD" w:rsidRPr="00192BCD">
        <w:rPr>
          <w:i/>
          <w:iCs/>
          <w:szCs w:val="20"/>
        </w:rPr>
        <w:t>Anabaena flos-aquae</w:t>
      </w:r>
      <w:r w:rsidRPr="00D2146E">
        <w:t xml:space="preserve"> </w:t>
      </w:r>
      <w:r>
        <w:t>and an assessment factor of 10.</w:t>
      </w:r>
    </w:p>
    <w:p w14:paraId="6B04520C" w14:textId="14B307CE" w:rsidR="00D022DC" w:rsidRDefault="00D022DC" w:rsidP="00D022DC">
      <w:pPr>
        <w:pStyle w:val="APVMAText"/>
      </w:pPr>
      <w:r>
        <w:t>The RAL 20,333 g ac/ha for the protection of pollinator areas is based on the contact LD</w:t>
      </w:r>
      <w:r w:rsidRPr="005B4D94">
        <w:rPr>
          <w:vertAlign w:val="subscript"/>
        </w:rPr>
        <w:t>50</w:t>
      </w:r>
      <w:r>
        <w:t xml:space="preserve"> &gt;125 µg ac/bee for toxicity of ACC to </w:t>
      </w:r>
      <w:r w:rsidRPr="005B4D94">
        <w:rPr>
          <w:i/>
          <w:iCs/>
        </w:rPr>
        <w:t>Apis mellifera</w:t>
      </w:r>
      <w:r>
        <w:t xml:space="preserve">, an assessment factor of 2.5, and a conversion factor of 1000 / </w:t>
      </w:r>
      <w:proofErr w:type="spellStart"/>
      <w:r>
        <w:t>ExpE</w:t>
      </w:r>
      <w:proofErr w:type="spellEnd"/>
      <w:r>
        <w:t xml:space="preserve"> 2.4 to account for the surface area of a bee.</w:t>
      </w:r>
    </w:p>
    <w:p w14:paraId="1E26AE1B" w14:textId="0516C356" w:rsidR="00705195" w:rsidRDefault="00D022DC" w:rsidP="00D022DC">
      <w:pPr>
        <w:pStyle w:val="APVMAText"/>
      </w:pPr>
      <w:r>
        <w:t>The RAL 3.9 g ac/ha for the protection of vegetation areas is based on the pre-emergent ER</w:t>
      </w:r>
      <w:r w:rsidRPr="002B26CE">
        <w:rPr>
          <w:vertAlign w:val="subscript"/>
        </w:rPr>
        <w:t>5</w:t>
      </w:r>
      <w:r>
        <w:rPr>
          <w:vertAlign w:val="subscript"/>
        </w:rPr>
        <w:t>0</w:t>
      </w:r>
      <w:r>
        <w:t xml:space="preserve"> &gt;39 g ac/ha </w:t>
      </w:r>
      <w:r w:rsidRPr="00980E44">
        <w:t xml:space="preserve">for </w:t>
      </w:r>
      <w:r>
        <w:t>ten</w:t>
      </w:r>
      <w:r w:rsidRPr="00980E44">
        <w:t xml:space="preserve"> plant species</w:t>
      </w:r>
      <w:r>
        <w:t xml:space="preserve"> and an assessment factor of 10.</w:t>
      </w:r>
    </w:p>
    <w:p w14:paraId="395A67F8" w14:textId="7E8E4D64" w:rsidR="00705195" w:rsidRDefault="00772458" w:rsidP="00705195">
      <w:pPr>
        <w:pStyle w:val="Caption"/>
      </w:pPr>
      <w:bookmarkStart w:id="162" w:name="_Toc225169371"/>
      <w:r>
        <w:t xml:space="preserve">Table </w:t>
      </w:r>
      <w:r>
        <w:fldChar w:fldCharType="begin"/>
      </w:r>
      <w:r>
        <w:instrText xml:space="preserve"> SEQ Table \* ARABIC </w:instrText>
      </w:r>
      <w:r>
        <w:fldChar w:fldCharType="separate"/>
      </w:r>
      <w:r>
        <w:rPr>
          <w:noProof/>
        </w:rPr>
        <w:t>7</w:t>
      </w:r>
      <w:r>
        <w:rPr>
          <w:noProof/>
        </w:rPr>
        <w:fldChar w:fldCharType="end"/>
      </w:r>
      <w:r>
        <w:t>:</w:t>
      </w:r>
      <w:r w:rsidRPr="001D4D17">
        <w:t xml:space="preserve"> </w:t>
      </w:r>
      <w:r w:rsidR="00705195">
        <w:t xml:space="preserve">Summary of RALs for </w:t>
      </w:r>
      <w:r w:rsidR="00EC72D3">
        <w:t>Accede Plant Growth Regulator</w:t>
      </w:r>
      <w:bookmarkEnd w:id="162"/>
    </w:p>
    <w:tbl>
      <w:tblPr>
        <w:tblW w:w="5000" w:type="pct"/>
        <w:tblLook w:val="00A0" w:firstRow="1" w:lastRow="0" w:firstColumn="1" w:lastColumn="0" w:noHBand="0" w:noVBand="0"/>
      </w:tblPr>
      <w:tblGrid>
        <w:gridCol w:w="3024"/>
        <w:gridCol w:w="3946"/>
        <w:gridCol w:w="2668"/>
      </w:tblGrid>
      <w:tr w:rsidR="00772458" w:rsidRPr="00F40B8F" w14:paraId="4F22CBA6" w14:textId="77777777" w:rsidTr="00424637">
        <w:trPr>
          <w:trHeight w:val="415"/>
          <w:tblHeader/>
        </w:trPr>
        <w:tc>
          <w:tcPr>
            <w:tcW w:w="1569"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49B5664F" w14:textId="03B00922" w:rsidR="00772458" w:rsidRPr="009D0723" w:rsidRDefault="00772458" w:rsidP="009D0723">
            <w:pPr>
              <w:pStyle w:val="APVMATableHead"/>
            </w:pPr>
            <w:r w:rsidRPr="009D0723">
              <w:t>Regulatory Acceptable Level</w:t>
            </w:r>
          </w:p>
        </w:tc>
      </w:tr>
      <w:tr w:rsidR="00705195" w:rsidRPr="00F40B8F" w14:paraId="448E9CF0" w14:textId="77777777" w:rsidTr="00424637">
        <w:trPr>
          <w:trHeight w:val="483"/>
        </w:trPr>
        <w:tc>
          <w:tcPr>
            <w:tcW w:w="1569" w:type="pct"/>
            <w:vMerge/>
            <w:tcBorders>
              <w:bottom w:val="single" w:sz="4" w:space="0" w:color="auto"/>
            </w:tcBorders>
          </w:tcPr>
          <w:p w14:paraId="04EB8F2D" w14:textId="77777777" w:rsidR="00705195" w:rsidRPr="00405CA9" w:rsidRDefault="00705195" w:rsidP="009D0723">
            <w:pPr>
              <w:pStyle w:val="APVMATableHead"/>
            </w:pPr>
          </w:p>
        </w:tc>
        <w:tc>
          <w:tcPr>
            <w:tcW w:w="2047"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9D0723">
            <w:pPr>
              <w:pStyle w:val="APVMATableHead"/>
            </w:pPr>
            <w:r w:rsidRPr="009D0723">
              <w:t>Level of active</w:t>
            </w:r>
          </w:p>
        </w:tc>
        <w:tc>
          <w:tcPr>
            <w:tcW w:w="1384"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424637">
            <w:pPr>
              <w:pStyle w:val="APVMATableHeadRight"/>
            </w:pPr>
            <w:r w:rsidRPr="009D0723">
              <w:t>Units</w:t>
            </w:r>
          </w:p>
        </w:tc>
      </w:tr>
      <w:tr w:rsidR="00705195" w:rsidRPr="00F40B8F" w14:paraId="1F241FD6" w14:textId="77777777" w:rsidTr="00424637">
        <w:trPr>
          <w:trHeight w:val="480"/>
        </w:trPr>
        <w:tc>
          <w:tcPr>
            <w:tcW w:w="1569"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047" w:type="pct"/>
            <w:tcBorders>
              <w:top w:val="single" w:sz="4" w:space="0" w:color="auto"/>
              <w:bottom w:val="single" w:sz="4" w:space="0" w:color="auto"/>
            </w:tcBorders>
            <w:vAlign w:val="center"/>
          </w:tcPr>
          <w:p w14:paraId="39E91EC1" w14:textId="03745B71" w:rsidR="00705195" w:rsidRPr="00405CA9" w:rsidRDefault="00162023" w:rsidP="00772458">
            <w:pPr>
              <w:pStyle w:val="APVMATableText"/>
              <w:jc w:val="right"/>
              <w:rPr>
                <w:lang w:val="en-GB"/>
              </w:rPr>
            </w:pPr>
            <w:r>
              <w:rPr>
                <w:lang w:val="en-GB"/>
              </w:rPr>
              <w:t>N/A</w:t>
            </w:r>
          </w:p>
        </w:tc>
        <w:tc>
          <w:tcPr>
            <w:tcW w:w="1384" w:type="pct"/>
            <w:tcBorders>
              <w:top w:val="single" w:sz="4" w:space="0" w:color="auto"/>
              <w:bottom w:val="single" w:sz="4" w:space="0" w:color="auto"/>
            </w:tcBorders>
          </w:tcPr>
          <w:p w14:paraId="3F4D9A45" w14:textId="4DB61965" w:rsidR="00705195" w:rsidRPr="009D0723" w:rsidRDefault="00705195" w:rsidP="00424637">
            <w:pPr>
              <w:pStyle w:val="APVMATableTextRight"/>
            </w:pPr>
            <w:r w:rsidRPr="009D0723">
              <w:t>g/ha</w:t>
            </w:r>
          </w:p>
        </w:tc>
      </w:tr>
      <w:tr w:rsidR="00705195" w:rsidRPr="00F40B8F" w14:paraId="181DA7FA" w14:textId="77777777" w:rsidTr="00424637">
        <w:trPr>
          <w:trHeight w:val="480"/>
        </w:trPr>
        <w:tc>
          <w:tcPr>
            <w:tcW w:w="1569"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047" w:type="pct"/>
            <w:tcBorders>
              <w:top w:val="single" w:sz="4" w:space="0" w:color="auto"/>
              <w:bottom w:val="single" w:sz="4" w:space="0" w:color="auto"/>
            </w:tcBorders>
            <w:vAlign w:val="center"/>
          </w:tcPr>
          <w:p w14:paraId="60CA4783" w14:textId="11420805" w:rsidR="00705195" w:rsidRPr="00405CA9" w:rsidRDefault="005823A5" w:rsidP="00772458">
            <w:pPr>
              <w:pStyle w:val="APVMATableText"/>
              <w:jc w:val="right"/>
              <w:rPr>
                <w:lang w:val="en-GB"/>
              </w:rPr>
            </w:pPr>
            <w:r>
              <w:rPr>
                <w:lang w:val="en-GB"/>
              </w:rPr>
              <w:t>N/A</w:t>
            </w:r>
          </w:p>
        </w:tc>
        <w:tc>
          <w:tcPr>
            <w:tcW w:w="1384" w:type="pct"/>
            <w:tcBorders>
              <w:top w:val="single" w:sz="4" w:space="0" w:color="auto"/>
              <w:bottom w:val="single" w:sz="4" w:space="0" w:color="auto"/>
            </w:tcBorders>
          </w:tcPr>
          <w:p w14:paraId="4B2651D1" w14:textId="6FC1CF7B" w:rsidR="00705195" w:rsidRPr="00424637" w:rsidRDefault="00705195" w:rsidP="00424637">
            <w:pPr>
              <w:pStyle w:val="APVMATableTextRight"/>
            </w:pPr>
            <w:r w:rsidRPr="009D0723">
              <w:t>ppm</w:t>
            </w:r>
          </w:p>
        </w:tc>
      </w:tr>
      <w:tr w:rsidR="00705195" w:rsidRPr="00F40B8F" w14:paraId="54FFAA9E" w14:textId="77777777" w:rsidTr="00424637">
        <w:trPr>
          <w:trHeight w:val="480"/>
        </w:trPr>
        <w:tc>
          <w:tcPr>
            <w:tcW w:w="1569"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047" w:type="pct"/>
            <w:tcBorders>
              <w:top w:val="single" w:sz="4" w:space="0" w:color="auto"/>
              <w:bottom w:val="single" w:sz="4" w:space="0" w:color="auto"/>
            </w:tcBorders>
            <w:vAlign w:val="center"/>
          </w:tcPr>
          <w:p w14:paraId="5EEC2A91" w14:textId="7E929C86" w:rsidR="00705195" w:rsidRPr="00405CA9" w:rsidRDefault="006616B9" w:rsidP="00772458">
            <w:pPr>
              <w:pStyle w:val="APVMATableText"/>
              <w:jc w:val="right"/>
              <w:rPr>
                <w:lang w:val="en-GB"/>
              </w:rPr>
            </w:pPr>
            <w:r>
              <w:rPr>
                <w:lang w:val="en-GB"/>
              </w:rPr>
              <w:t>10</w:t>
            </w:r>
          </w:p>
        </w:tc>
        <w:tc>
          <w:tcPr>
            <w:tcW w:w="1384" w:type="pct"/>
            <w:tcBorders>
              <w:top w:val="single" w:sz="4" w:space="0" w:color="auto"/>
              <w:bottom w:val="single" w:sz="4" w:space="0" w:color="auto"/>
            </w:tcBorders>
          </w:tcPr>
          <w:p w14:paraId="2529F098" w14:textId="70D87A55" w:rsidR="00705195" w:rsidRPr="009D0723" w:rsidRDefault="00705195" w:rsidP="00424637">
            <w:pPr>
              <w:pStyle w:val="APVMATableTextRight"/>
            </w:pPr>
            <w:r w:rsidRPr="009D0723">
              <w:t>µg/L</w:t>
            </w:r>
          </w:p>
        </w:tc>
      </w:tr>
      <w:tr w:rsidR="00705195" w:rsidRPr="00F40B8F" w14:paraId="3B5B70A6" w14:textId="77777777" w:rsidTr="00424637">
        <w:trPr>
          <w:trHeight w:val="480"/>
        </w:trPr>
        <w:tc>
          <w:tcPr>
            <w:tcW w:w="1569"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047" w:type="pct"/>
            <w:tcBorders>
              <w:top w:val="single" w:sz="4" w:space="0" w:color="auto"/>
              <w:bottom w:val="single" w:sz="4" w:space="0" w:color="auto"/>
            </w:tcBorders>
            <w:vAlign w:val="center"/>
          </w:tcPr>
          <w:p w14:paraId="3A1E92BE" w14:textId="57BEF02E" w:rsidR="00705195" w:rsidRPr="00405CA9" w:rsidRDefault="006616B9" w:rsidP="00772458">
            <w:pPr>
              <w:pStyle w:val="APVMATableText"/>
              <w:jc w:val="right"/>
              <w:rPr>
                <w:lang w:val="en-GB"/>
              </w:rPr>
            </w:pPr>
            <w:r>
              <w:rPr>
                <w:lang w:val="en-GB"/>
              </w:rPr>
              <w:t>20,833</w:t>
            </w:r>
          </w:p>
        </w:tc>
        <w:tc>
          <w:tcPr>
            <w:tcW w:w="1384" w:type="pct"/>
            <w:tcBorders>
              <w:top w:val="single" w:sz="4" w:space="0" w:color="auto"/>
              <w:bottom w:val="single" w:sz="4" w:space="0" w:color="auto"/>
            </w:tcBorders>
          </w:tcPr>
          <w:p w14:paraId="41F050E0" w14:textId="77777777" w:rsidR="00705195" w:rsidRPr="009D0723" w:rsidRDefault="00705195" w:rsidP="00424637">
            <w:pPr>
              <w:pStyle w:val="APVMATableTextRight"/>
            </w:pPr>
            <w:r w:rsidRPr="009D0723">
              <w:t>g/ha</w:t>
            </w:r>
          </w:p>
        </w:tc>
      </w:tr>
      <w:tr w:rsidR="00705195" w:rsidRPr="00F40B8F" w14:paraId="68606892" w14:textId="77777777" w:rsidTr="00424637">
        <w:trPr>
          <w:trHeight w:val="480"/>
        </w:trPr>
        <w:tc>
          <w:tcPr>
            <w:tcW w:w="1569"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t>Vegetation</w:t>
            </w:r>
          </w:p>
        </w:tc>
        <w:tc>
          <w:tcPr>
            <w:tcW w:w="2047" w:type="pct"/>
            <w:tcBorders>
              <w:top w:val="single" w:sz="4" w:space="0" w:color="auto"/>
              <w:bottom w:val="single" w:sz="4" w:space="0" w:color="auto"/>
            </w:tcBorders>
            <w:vAlign w:val="center"/>
          </w:tcPr>
          <w:p w14:paraId="3EE09379" w14:textId="5F5CBF48" w:rsidR="00705195" w:rsidRPr="00405CA9" w:rsidRDefault="006616B9" w:rsidP="00772458">
            <w:pPr>
              <w:pStyle w:val="APVMATableText"/>
              <w:jc w:val="right"/>
              <w:rPr>
                <w:lang w:val="en-GB"/>
              </w:rPr>
            </w:pPr>
            <w:r>
              <w:rPr>
                <w:lang w:val="en-GB"/>
              </w:rPr>
              <w:t>3.9</w:t>
            </w:r>
          </w:p>
        </w:tc>
        <w:tc>
          <w:tcPr>
            <w:tcW w:w="1384" w:type="pct"/>
            <w:tcBorders>
              <w:top w:val="single" w:sz="4" w:space="0" w:color="auto"/>
              <w:bottom w:val="single" w:sz="4" w:space="0" w:color="auto"/>
            </w:tcBorders>
          </w:tcPr>
          <w:p w14:paraId="48866F16" w14:textId="1249F702" w:rsidR="00705195" w:rsidRPr="00424637" w:rsidRDefault="00705195" w:rsidP="00424637">
            <w:pPr>
              <w:pStyle w:val="APVMATableTextRight"/>
            </w:pPr>
            <w:r w:rsidRPr="009D0723">
              <w:t>g/</w:t>
            </w:r>
            <w:r w:rsidR="00612742">
              <w:t>ha</w:t>
            </w:r>
          </w:p>
        </w:tc>
      </w:tr>
    </w:tbl>
    <w:p w14:paraId="105DD982" w14:textId="790E0DC2" w:rsidR="00772458" w:rsidRDefault="00CD11DC" w:rsidP="00772458">
      <w:pPr>
        <w:pStyle w:val="APVMAText"/>
      </w:pPr>
      <w:r>
        <w:lastRenderedPageBreak/>
        <w:t>The following b</w:t>
      </w:r>
      <w:r w:rsidR="00705195">
        <w:t xml:space="preserve">uffer zones </w:t>
      </w:r>
      <w:r>
        <w:t xml:space="preserve">were </w:t>
      </w:r>
      <w:r w:rsidR="00705195">
        <w:t>calculated by the SDRAT, using the above RALs</w:t>
      </w:r>
      <w:r w:rsidR="00FD76E9">
        <w:t xml:space="preserve"> for vertical sprayers</w:t>
      </w:r>
      <w:r w:rsidR="00705195">
        <w:t xml:space="preserve">, </w:t>
      </w:r>
      <w:r>
        <w:t xml:space="preserve">and </w:t>
      </w:r>
      <w:r w:rsidR="00705195">
        <w:t xml:space="preserve">were incorporated into the </w:t>
      </w:r>
      <w:r w:rsidR="00EC72D3">
        <w:t>Accede Plant Growth Regulator</w:t>
      </w:r>
      <w:r w:rsidR="00705195">
        <w:t xml:space="preserve"> label spray drift instructions</w:t>
      </w:r>
      <w:r>
        <w:t>.</w:t>
      </w:r>
      <w:r w:rsidR="00705195">
        <w:t xml:space="preserve"> (see </w:t>
      </w:r>
      <w:r w:rsidR="0076267D" w:rsidRPr="0076267D">
        <w:rPr>
          <w:i/>
        </w:rPr>
        <w:t xml:space="preserve">Labelling </w:t>
      </w:r>
      <w:r w:rsidR="00F95D43">
        <w:rPr>
          <w:i/>
        </w:rPr>
        <w:t>r</w:t>
      </w:r>
      <w:r w:rsidR="00F95D43" w:rsidRPr="0076267D">
        <w:rPr>
          <w:i/>
        </w:rPr>
        <w:t>equirements</w:t>
      </w:r>
      <w:r w:rsidR="00F95D43">
        <w:t xml:space="preserve"> </w:t>
      </w:r>
      <w:r w:rsidR="00705195">
        <w:t>below).</w:t>
      </w:r>
    </w:p>
    <w:p w14:paraId="15236CDB" w14:textId="77777777" w:rsidR="00CD11DC" w:rsidRPr="00CD11DC" w:rsidRDefault="00CD11DC" w:rsidP="00CD11DC">
      <w:pPr>
        <w:widowControl w:val="0"/>
        <w:tabs>
          <w:tab w:val="left" w:pos="881"/>
          <w:tab w:val="left" w:pos="882"/>
        </w:tabs>
        <w:autoSpaceDE w:val="0"/>
        <w:autoSpaceDN w:val="0"/>
        <w:spacing w:line="302" w:lineRule="auto"/>
        <w:rPr>
          <w:rFonts w:eastAsia="Arial" w:cs="Arial"/>
          <w:bCs/>
          <w:color w:val="52284F"/>
          <w:szCs w:val="20"/>
        </w:rPr>
      </w:pPr>
      <w:r w:rsidRPr="00CD11DC">
        <w:rPr>
          <w:rFonts w:eastAsia="Arial" w:cs="Arial"/>
          <w:bCs/>
          <w:szCs w:val="20"/>
        </w:rPr>
        <w:t>Buffer zones for vertical sprayers</w:t>
      </w:r>
    </w:p>
    <w:tbl>
      <w:tblPr>
        <w:tblW w:w="500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0"/>
        <w:gridCol w:w="980"/>
        <w:gridCol w:w="1121"/>
        <w:gridCol w:w="1121"/>
        <w:gridCol w:w="1121"/>
        <w:gridCol w:w="947"/>
      </w:tblGrid>
      <w:tr w:rsidR="00CD11DC" w:rsidRPr="00CD11DC" w14:paraId="5BDBFD37" w14:textId="77777777" w:rsidTr="00CD11DC">
        <w:trPr>
          <w:trHeight w:val="413"/>
        </w:trPr>
        <w:tc>
          <w:tcPr>
            <w:tcW w:w="4340" w:type="dxa"/>
            <w:vMerge w:val="restart"/>
          </w:tcPr>
          <w:p w14:paraId="0B13D618" w14:textId="77777777" w:rsidR="00CD11DC" w:rsidRPr="00CD11DC" w:rsidRDefault="00CD11DC" w:rsidP="00CD11DC">
            <w:pPr>
              <w:widowControl w:val="0"/>
              <w:autoSpaceDE w:val="0"/>
              <w:autoSpaceDN w:val="0"/>
              <w:spacing w:line="259" w:lineRule="auto"/>
              <w:ind w:left="144"/>
              <w:rPr>
                <w:rFonts w:eastAsia="Arial" w:cs="Arial"/>
                <w:bCs/>
                <w:szCs w:val="20"/>
              </w:rPr>
            </w:pPr>
            <w:r w:rsidRPr="00CD11DC">
              <w:rPr>
                <w:rFonts w:eastAsia="Arial" w:cs="Arial"/>
                <w:bCs/>
                <w:szCs w:val="20"/>
              </w:rPr>
              <w:t>Type of target canopy and dilute water rate</w:t>
            </w:r>
          </w:p>
        </w:tc>
        <w:tc>
          <w:tcPr>
            <w:tcW w:w="5290" w:type="dxa"/>
            <w:gridSpan w:val="5"/>
          </w:tcPr>
          <w:p w14:paraId="1309039B"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Mandatory buffer zones</w:t>
            </w:r>
          </w:p>
        </w:tc>
      </w:tr>
      <w:tr w:rsidR="00CD11DC" w:rsidRPr="00CD11DC" w14:paraId="40C75FA9" w14:textId="77777777" w:rsidTr="00CD11DC">
        <w:tc>
          <w:tcPr>
            <w:tcW w:w="4340" w:type="dxa"/>
            <w:vMerge/>
          </w:tcPr>
          <w:p w14:paraId="218E11C1" w14:textId="77777777" w:rsidR="00CD11DC" w:rsidRPr="00CD11DC" w:rsidRDefault="00CD11DC" w:rsidP="00CD11DC">
            <w:pPr>
              <w:widowControl w:val="0"/>
              <w:autoSpaceDE w:val="0"/>
              <w:autoSpaceDN w:val="0"/>
              <w:spacing w:line="240" w:lineRule="auto"/>
              <w:rPr>
                <w:rFonts w:eastAsia="Arial" w:cs="Arial"/>
                <w:bCs/>
                <w:szCs w:val="20"/>
              </w:rPr>
            </w:pPr>
          </w:p>
        </w:tc>
        <w:tc>
          <w:tcPr>
            <w:tcW w:w="980" w:type="dxa"/>
          </w:tcPr>
          <w:p w14:paraId="624BECBB"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 xml:space="preserve">Bystander </w:t>
            </w:r>
            <w:r w:rsidRPr="00CD11DC">
              <w:rPr>
                <w:rFonts w:eastAsia="Arial" w:cs="Arial"/>
                <w:bCs/>
                <w:szCs w:val="20"/>
              </w:rPr>
              <w:br/>
              <w:t>areas</w:t>
            </w:r>
          </w:p>
        </w:tc>
        <w:tc>
          <w:tcPr>
            <w:tcW w:w="1121" w:type="dxa"/>
          </w:tcPr>
          <w:p w14:paraId="15C5B70D"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Natural aquatic areas</w:t>
            </w:r>
          </w:p>
        </w:tc>
        <w:tc>
          <w:tcPr>
            <w:tcW w:w="1121" w:type="dxa"/>
          </w:tcPr>
          <w:p w14:paraId="5D0C1D87"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 xml:space="preserve">Pollinator </w:t>
            </w:r>
            <w:r w:rsidRPr="00CD11DC">
              <w:rPr>
                <w:rFonts w:eastAsia="Arial" w:cs="Arial"/>
                <w:bCs/>
                <w:szCs w:val="20"/>
              </w:rPr>
              <w:br/>
              <w:t>areas</w:t>
            </w:r>
          </w:p>
        </w:tc>
        <w:tc>
          <w:tcPr>
            <w:tcW w:w="1121" w:type="dxa"/>
          </w:tcPr>
          <w:p w14:paraId="34D5998A"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 xml:space="preserve">Vegetation </w:t>
            </w:r>
            <w:r w:rsidRPr="00CD11DC">
              <w:rPr>
                <w:rFonts w:eastAsia="Arial" w:cs="Arial"/>
                <w:bCs/>
                <w:szCs w:val="20"/>
              </w:rPr>
              <w:br/>
              <w:t>areas</w:t>
            </w:r>
          </w:p>
        </w:tc>
        <w:tc>
          <w:tcPr>
            <w:tcW w:w="947" w:type="dxa"/>
          </w:tcPr>
          <w:p w14:paraId="01700047" w14:textId="77777777" w:rsidR="00CD11DC" w:rsidRPr="00CD11DC" w:rsidRDefault="00CD11DC" w:rsidP="00CD11DC">
            <w:pPr>
              <w:widowControl w:val="0"/>
              <w:autoSpaceDE w:val="0"/>
              <w:autoSpaceDN w:val="0"/>
              <w:spacing w:line="259" w:lineRule="auto"/>
              <w:jc w:val="center"/>
              <w:rPr>
                <w:rFonts w:eastAsia="Arial" w:cs="Arial"/>
                <w:bCs/>
                <w:szCs w:val="20"/>
              </w:rPr>
            </w:pPr>
            <w:r w:rsidRPr="00CD11DC">
              <w:rPr>
                <w:rFonts w:eastAsia="Arial" w:cs="Arial"/>
                <w:bCs/>
                <w:szCs w:val="20"/>
              </w:rPr>
              <w:t xml:space="preserve">Livestock </w:t>
            </w:r>
            <w:r w:rsidRPr="00CD11DC">
              <w:rPr>
                <w:rFonts w:eastAsia="Arial" w:cs="Arial"/>
                <w:bCs/>
                <w:szCs w:val="20"/>
              </w:rPr>
              <w:br/>
              <w:t>areas</w:t>
            </w:r>
          </w:p>
        </w:tc>
      </w:tr>
      <w:tr w:rsidR="00CD11DC" w:rsidRPr="00CD11DC" w14:paraId="79B24523" w14:textId="77777777" w:rsidTr="00CD11DC">
        <w:tc>
          <w:tcPr>
            <w:tcW w:w="4340" w:type="dxa"/>
          </w:tcPr>
          <w:p w14:paraId="3BADB541" w14:textId="77777777" w:rsidR="00CD11DC" w:rsidRPr="00CD11DC" w:rsidRDefault="00CD11DC" w:rsidP="00CD11DC">
            <w:pPr>
              <w:widowControl w:val="0"/>
              <w:autoSpaceDE w:val="0"/>
              <w:autoSpaceDN w:val="0"/>
              <w:spacing w:line="259" w:lineRule="auto"/>
              <w:rPr>
                <w:rFonts w:eastAsia="Arial" w:cs="Arial"/>
                <w:bCs/>
                <w:szCs w:val="20"/>
              </w:rPr>
            </w:pPr>
            <w:r w:rsidRPr="00CD11DC">
              <w:rPr>
                <w:rFonts w:eastAsia="Arial" w:cs="Arial"/>
                <w:bCs/>
                <w:szCs w:val="20"/>
              </w:rPr>
              <w:t>2 m tall and shorter, maximum dilute water rate of 1000 L/ha</w:t>
            </w:r>
          </w:p>
        </w:tc>
        <w:tc>
          <w:tcPr>
            <w:tcW w:w="980" w:type="dxa"/>
          </w:tcPr>
          <w:p w14:paraId="120F6245"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7339BADE" w14:textId="7C1B3B19"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5 m</w:t>
            </w:r>
          </w:p>
        </w:tc>
        <w:tc>
          <w:tcPr>
            <w:tcW w:w="1121" w:type="dxa"/>
          </w:tcPr>
          <w:p w14:paraId="08C2D3A2"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353DA06E" w14:textId="06E4AB13"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10 m</w:t>
            </w:r>
          </w:p>
        </w:tc>
        <w:tc>
          <w:tcPr>
            <w:tcW w:w="947" w:type="dxa"/>
          </w:tcPr>
          <w:p w14:paraId="184066BE"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r>
      <w:tr w:rsidR="00CD11DC" w:rsidRPr="00CD11DC" w14:paraId="3A764C28" w14:textId="77777777" w:rsidTr="00CD11DC">
        <w:tc>
          <w:tcPr>
            <w:tcW w:w="4340" w:type="dxa"/>
          </w:tcPr>
          <w:p w14:paraId="47133FCF" w14:textId="77777777" w:rsidR="00CD11DC" w:rsidRPr="00CD11DC" w:rsidRDefault="00CD11DC" w:rsidP="00CD11DC">
            <w:pPr>
              <w:widowControl w:val="0"/>
              <w:autoSpaceDE w:val="0"/>
              <w:autoSpaceDN w:val="0"/>
              <w:spacing w:line="256" w:lineRule="auto"/>
              <w:rPr>
                <w:rFonts w:eastAsia="Arial" w:cs="Arial"/>
                <w:bCs/>
                <w:szCs w:val="20"/>
              </w:rPr>
            </w:pPr>
            <w:r w:rsidRPr="00CD11DC">
              <w:rPr>
                <w:rFonts w:eastAsia="Arial" w:cs="Arial"/>
                <w:bCs/>
                <w:szCs w:val="20"/>
              </w:rPr>
              <w:t xml:space="preserve">Taller than 2 m (not </w:t>
            </w:r>
            <w:proofErr w:type="gramStart"/>
            <w:r w:rsidRPr="00CD11DC">
              <w:rPr>
                <w:rFonts w:eastAsia="Arial" w:cs="Arial"/>
                <w:bCs/>
                <w:szCs w:val="20"/>
              </w:rPr>
              <w:t>fully-foliated</w:t>
            </w:r>
            <w:proofErr w:type="gramEnd"/>
            <w:r w:rsidRPr="00CD11DC">
              <w:rPr>
                <w:rFonts w:eastAsia="Arial" w:cs="Arial"/>
                <w:bCs/>
                <w:szCs w:val="20"/>
              </w:rPr>
              <w:t>), maximum dilute water rate of 1000 L/ha</w:t>
            </w:r>
          </w:p>
        </w:tc>
        <w:tc>
          <w:tcPr>
            <w:tcW w:w="980" w:type="dxa"/>
          </w:tcPr>
          <w:p w14:paraId="4883B7D9"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0030DCE6" w14:textId="7E660D9B"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20 m</w:t>
            </w:r>
          </w:p>
        </w:tc>
        <w:tc>
          <w:tcPr>
            <w:tcW w:w="1121" w:type="dxa"/>
          </w:tcPr>
          <w:p w14:paraId="6D970798"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560B3A38" w14:textId="0D5E506B"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35 m</w:t>
            </w:r>
          </w:p>
        </w:tc>
        <w:tc>
          <w:tcPr>
            <w:tcW w:w="947" w:type="dxa"/>
          </w:tcPr>
          <w:p w14:paraId="07C56312"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r>
      <w:tr w:rsidR="00CD11DC" w:rsidRPr="00CD11DC" w14:paraId="59930F09" w14:textId="77777777" w:rsidTr="00CD11DC">
        <w:tc>
          <w:tcPr>
            <w:tcW w:w="4340" w:type="dxa"/>
          </w:tcPr>
          <w:p w14:paraId="67547139" w14:textId="77777777" w:rsidR="00CD11DC" w:rsidRPr="00CD11DC" w:rsidRDefault="00CD11DC" w:rsidP="00CD11DC">
            <w:pPr>
              <w:widowControl w:val="0"/>
              <w:autoSpaceDE w:val="0"/>
              <w:autoSpaceDN w:val="0"/>
              <w:spacing w:line="256" w:lineRule="auto"/>
              <w:rPr>
                <w:rFonts w:eastAsia="Arial" w:cs="Arial"/>
                <w:bCs/>
                <w:szCs w:val="20"/>
              </w:rPr>
            </w:pPr>
            <w:r w:rsidRPr="00CD11DC">
              <w:rPr>
                <w:rFonts w:eastAsia="Arial" w:cs="Arial"/>
                <w:bCs/>
                <w:szCs w:val="20"/>
              </w:rPr>
              <w:t>Taller than 2 m (</w:t>
            </w:r>
            <w:proofErr w:type="gramStart"/>
            <w:r w:rsidRPr="00CD11DC">
              <w:rPr>
                <w:rFonts w:eastAsia="Arial" w:cs="Arial"/>
                <w:bCs/>
                <w:szCs w:val="20"/>
              </w:rPr>
              <w:t>fully-foliated</w:t>
            </w:r>
            <w:proofErr w:type="gramEnd"/>
            <w:r w:rsidRPr="00CD11DC">
              <w:rPr>
                <w:rFonts w:eastAsia="Arial" w:cs="Arial"/>
                <w:bCs/>
                <w:szCs w:val="20"/>
              </w:rPr>
              <w:t>), maximum dilute water rate of 1000 L/ha</w:t>
            </w:r>
          </w:p>
        </w:tc>
        <w:tc>
          <w:tcPr>
            <w:tcW w:w="980" w:type="dxa"/>
          </w:tcPr>
          <w:p w14:paraId="2D88779E"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6761AF0E" w14:textId="2C24DDDC"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15 m</w:t>
            </w:r>
          </w:p>
        </w:tc>
        <w:tc>
          <w:tcPr>
            <w:tcW w:w="1121" w:type="dxa"/>
          </w:tcPr>
          <w:p w14:paraId="298590F1"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c>
          <w:tcPr>
            <w:tcW w:w="1121" w:type="dxa"/>
          </w:tcPr>
          <w:p w14:paraId="041633C3" w14:textId="06B7D938"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25 m</w:t>
            </w:r>
          </w:p>
        </w:tc>
        <w:tc>
          <w:tcPr>
            <w:tcW w:w="947" w:type="dxa"/>
          </w:tcPr>
          <w:p w14:paraId="62CC7AE2" w14:textId="77777777" w:rsidR="00CD11DC" w:rsidRPr="00CD11DC" w:rsidRDefault="00CD11DC" w:rsidP="00CD11DC">
            <w:pPr>
              <w:widowControl w:val="0"/>
              <w:autoSpaceDE w:val="0"/>
              <w:autoSpaceDN w:val="0"/>
              <w:spacing w:line="240" w:lineRule="auto"/>
              <w:jc w:val="center"/>
              <w:rPr>
                <w:rFonts w:eastAsia="Arial" w:cs="Arial"/>
                <w:bCs/>
                <w:szCs w:val="20"/>
              </w:rPr>
            </w:pPr>
            <w:r w:rsidRPr="00CD11DC">
              <w:rPr>
                <w:rFonts w:eastAsia="Arial" w:cs="Arial"/>
                <w:bCs/>
                <w:szCs w:val="20"/>
              </w:rPr>
              <w:t>0 m</w:t>
            </w:r>
          </w:p>
        </w:tc>
      </w:tr>
    </w:tbl>
    <w:p w14:paraId="1FC317CB" w14:textId="788D5CF7" w:rsidR="00CD11DC" w:rsidRDefault="00CD11DC" w:rsidP="00772458">
      <w:pPr>
        <w:pStyle w:val="APVMAText"/>
        <w:sectPr w:rsidR="00CD11DC">
          <w:headerReference w:type="default" r:id="rId38"/>
          <w:pgSz w:w="11906" w:h="16838" w:code="9"/>
          <w:pgMar w:top="2835" w:right="1134" w:bottom="1134" w:left="1134" w:header="1701" w:footer="680" w:gutter="0"/>
          <w:cols w:space="708"/>
          <w:docGrid w:linePitch="360"/>
        </w:sectPr>
      </w:pPr>
    </w:p>
    <w:p w14:paraId="524248FC" w14:textId="77777777" w:rsidR="003F67BE" w:rsidRPr="00274331" w:rsidRDefault="003F67BE" w:rsidP="00274331">
      <w:pPr>
        <w:pStyle w:val="Heading1"/>
      </w:pPr>
      <w:bookmarkStart w:id="163" w:name="_Toc531181108"/>
      <w:bookmarkStart w:id="164" w:name="_Toc7561294"/>
      <w:bookmarkStart w:id="165" w:name="_Toc225169354"/>
      <w:bookmarkEnd w:id="156"/>
      <w:bookmarkEnd w:id="157"/>
      <w:r w:rsidRPr="00274331">
        <w:lastRenderedPageBreak/>
        <w:t>Labelling requirements</w:t>
      </w:r>
      <w:bookmarkEnd w:id="163"/>
      <w:bookmarkEnd w:id="164"/>
      <w:bookmarkEnd w:id="165"/>
    </w:p>
    <w:p w14:paraId="61179D45" w14:textId="4DE9858B" w:rsidR="000A19DC" w:rsidRDefault="000A19DC" w:rsidP="00274331">
      <w:pPr>
        <w:pStyle w:val="APVMAText"/>
      </w:pPr>
      <w:r>
        <w:t>Company</w:t>
      </w:r>
      <w:r>
        <w:rPr>
          <w:spacing w:val="-1"/>
        </w:rPr>
        <w:t xml:space="preserve"> </w:t>
      </w:r>
      <w:r>
        <w:rPr>
          <w:spacing w:val="-2"/>
        </w:rPr>
        <w:t>Name:</w:t>
      </w:r>
      <w:r>
        <w:tab/>
        <w:t>VALENT</w:t>
      </w:r>
      <w:r>
        <w:rPr>
          <w:spacing w:val="-6"/>
        </w:rPr>
        <w:t xml:space="preserve"> </w:t>
      </w:r>
      <w:r>
        <w:t>BIOSCIENCES</w:t>
      </w:r>
      <w:r>
        <w:rPr>
          <w:spacing w:val="-6"/>
        </w:rPr>
        <w:t xml:space="preserve"> </w:t>
      </w:r>
      <w:r>
        <w:t>A</w:t>
      </w:r>
      <w:r>
        <w:rPr>
          <w:spacing w:val="-5"/>
        </w:rPr>
        <w:t xml:space="preserve"> </w:t>
      </w:r>
      <w:r>
        <w:t>DIV</w:t>
      </w:r>
      <w:r>
        <w:rPr>
          <w:spacing w:val="-6"/>
        </w:rPr>
        <w:t xml:space="preserve"> </w:t>
      </w:r>
      <w:r>
        <w:t>OF</w:t>
      </w:r>
      <w:r>
        <w:rPr>
          <w:spacing w:val="-5"/>
        </w:rPr>
        <w:t xml:space="preserve"> </w:t>
      </w:r>
      <w:r>
        <w:t>SUMITOMO</w:t>
      </w:r>
      <w:r>
        <w:rPr>
          <w:spacing w:val="-6"/>
        </w:rPr>
        <w:t xml:space="preserve"> </w:t>
      </w:r>
      <w:r>
        <w:t>CHEMICAL</w:t>
      </w:r>
      <w:r>
        <w:rPr>
          <w:spacing w:val="-5"/>
        </w:rPr>
        <w:t xml:space="preserve"> </w:t>
      </w:r>
      <w:r>
        <w:rPr>
          <w:spacing w:val="-2"/>
        </w:rPr>
        <w:t>AUSTRALIA</w:t>
      </w:r>
      <w:r w:rsidR="00274331">
        <w:rPr>
          <w:spacing w:val="-2"/>
        </w:rPr>
        <w:br/>
      </w:r>
      <w:r>
        <w:t>Product Name:</w:t>
      </w:r>
      <w:r>
        <w:tab/>
      </w:r>
      <w:r w:rsidR="00EC72D3">
        <w:t>Accede Plant Growth Regulator</w:t>
      </w:r>
      <w:r w:rsidR="00274331">
        <w:br/>
      </w:r>
      <w:r>
        <w:t>APVMA</w:t>
      </w:r>
      <w:r>
        <w:rPr>
          <w:spacing w:val="-7"/>
        </w:rPr>
        <w:t xml:space="preserve"> </w:t>
      </w:r>
      <w:r>
        <w:t>Approval</w:t>
      </w:r>
      <w:r>
        <w:rPr>
          <w:spacing w:val="-6"/>
        </w:rPr>
        <w:t xml:space="preserve"> </w:t>
      </w:r>
      <w:r>
        <w:rPr>
          <w:spacing w:val="-5"/>
        </w:rPr>
        <w:t>No:</w:t>
      </w:r>
      <w:r>
        <w:tab/>
        <w:t>94490</w:t>
      </w:r>
      <w:r>
        <w:rPr>
          <w:spacing w:val="-3"/>
        </w:rPr>
        <w:t xml:space="preserve"> </w:t>
      </w:r>
      <w:r>
        <w:t>/</w:t>
      </w:r>
      <w:r>
        <w:rPr>
          <w:spacing w:val="-3"/>
        </w:rPr>
        <w:t xml:space="preserve"> </w:t>
      </w:r>
      <w:r>
        <w:rPr>
          <w:spacing w:val="-2"/>
        </w:rPr>
        <w:t>142575</w:t>
      </w:r>
    </w:p>
    <w:p w14:paraId="1A305553" w14:textId="77777777" w:rsidR="000A19DC" w:rsidRDefault="000A19DC" w:rsidP="000A19DC">
      <w:pPr>
        <w:pStyle w:val="BodyText0"/>
        <w:spacing w:before="220" w:after="1"/>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2FDCAF1C" w14:textId="77777777" w:rsidTr="0084569A">
        <w:trPr>
          <w:trHeight w:val="400"/>
        </w:trPr>
        <w:tc>
          <w:tcPr>
            <w:tcW w:w="2098" w:type="dxa"/>
          </w:tcPr>
          <w:p w14:paraId="4B461E1A" w14:textId="77777777" w:rsidR="000A19DC" w:rsidRDefault="000A19DC" w:rsidP="0084569A">
            <w:pPr>
              <w:pStyle w:val="TableParagraph"/>
              <w:ind w:left="85"/>
              <w:rPr>
                <w:sz w:val="20"/>
              </w:rPr>
            </w:pPr>
            <w:r>
              <w:rPr>
                <w:sz w:val="20"/>
              </w:rPr>
              <w:t>Label</w:t>
            </w:r>
            <w:r>
              <w:rPr>
                <w:spacing w:val="-5"/>
                <w:sz w:val="20"/>
              </w:rPr>
              <w:t xml:space="preserve"> </w:t>
            </w:r>
            <w:r>
              <w:rPr>
                <w:spacing w:val="-2"/>
                <w:sz w:val="20"/>
              </w:rPr>
              <w:t>Name:</w:t>
            </w:r>
          </w:p>
        </w:tc>
        <w:tc>
          <w:tcPr>
            <w:tcW w:w="7966" w:type="dxa"/>
          </w:tcPr>
          <w:p w14:paraId="5BFDBA30" w14:textId="33273BCE" w:rsidR="000A19DC" w:rsidRDefault="00EC72D3" w:rsidP="0084569A">
            <w:pPr>
              <w:pStyle w:val="TableParagraph"/>
              <w:rPr>
                <w:sz w:val="20"/>
              </w:rPr>
            </w:pPr>
            <w:r>
              <w:rPr>
                <w:sz w:val="20"/>
              </w:rPr>
              <w:t>Accede Plant Growth Regulator</w:t>
            </w:r>
          </w:p>
        </w:tc>
      </w:tr>
    </w:tbl>
    <w:p w14:paraId="40369FB0"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6C6DE777" w14:textId="77777777" w:rsidTr="0084569A">
        <w:trPr>
          <w:trHeight w:val="720"/>
        </w:trPr>
        <w:tc>
          <w:tcPr>
            <w:tcW w:w="2098" w:type="dxa"/>
          </w:tcPr>
          <w:p w14:paraId="0A98E69A" w14:textId="77777777" w:rsidR="000A19DC" w:rsidRDefault="000A19DC" w:rsidP="0084569A">
            <w:pPr>
              <w:pStyle w:val="TableParagraph"/>
              <w:ind w:left="85"/>
              <w:rPr>
                <w:sz w:val="20"/>
              </w:rPr>
            </w:pPr>
            <w:r>
              <w:rPr>
                <w:sz w:val="20"/>
              </w:rPr>
              <w:t>Signal</w:t>
            </w:r>
            <w:r>
              <w:rPr>
                <w:spacing w:val="-6"/>
                <w:sz w:val="20"/>
              </w:rPr>
              <w:t xml:space="preserve"> </w:t>
            </w:r>
            <w:r>
              <w:rPr>
                <w:spacing w:val="-2"/>
                <w:sz w:val="20"/>
              </w:rPr>
              <w:t>Headings:</w:t>
            </w:r>
          </w:p>
        </w:tc>
        <w:tc>
          <w:tcPr>
            <w:tcW w:w="7966" w:type="dxa"/>
          </w:tcPr>
          <w:p w14:paraId="26D3563F" w14:textId="77777777" w:rsidR="000A19DC" w:rsidRDefault="000A19DC" w:rsidP="0084569A">
            <w:pPr>
              <w:pStyle w:val="TableParagraph"/>
              <w:rPr>
                <w:sz w:val="20"/>
              </w:rPr>
            </w:pPr>
            <w:r>
              <w:rPr>
                <w:sz w:val="20"/>
              </w:rPr>
              <w:t>KEEP</w:t>
            </w:r>
            <w:r>
              <w:rPr>
                <w:spacing w:val="-4"/>
                <w:sz w:val="20"/>
              </w:rPr>
              <w:t xml:space="preserve"> </w:t>
            </w:r>
            <w:r>
              <w:rPr>
                <w:sz w:val="20"/>
              </w:rPr>
              <w:t>OUT</w:t>
            </w:r>
            <w:r>
              <w:rPr>
                <w:spacing w:val="-3"/>
                <w:sz w:val="20"/>
              </w:rPr>
              <w:t xml:space="preserve"> </w:t>
            </w:r>
            <w:r>
              <w:rPr>
                <w:sz w:val="20"/>
              </w:rPr>
              <w:t>OF</w:t>
            </w:r>
            <w:r>
              <w:rPr>
                <w:spacing w:val="-3"/>
                <w:sz w:val="20"/>
              </w:rPr>
              <w:t xml:space="preserve"> </w:t>
            </w:r>
            <w:r>
              <w:rPr>
                <w:sz w:val="20"/>
              </w:rPr>
              <w:t>REACH</w:t>
            </w:r>
            <w:r>
              <w:rPr>
                <w:spacing w:val="-3"/>
                <w:sz w:val="20"/>
              </w:rPr>
              <w:t xml:space="preserve"> </w:t>
            </w:r>
            <w:r>
              <w:rPr>
                <w:sz w:val="20"/>
              </w:rPr>
              <w:t>OF</w:t>
            </w:r>
            <w:r>
              <w:rPr>
                <w:spacing w:val="-3"/>
                <w:sz w:val="20"/>
              </w:rPr>
              <w:t xml:space="preserve"> </w:t>
            </w:r>
            <w:r>
              <w:rPr>
                <w:spacing w:val="-2"/>
                <w:sz w:val="20"/>
              </w:rPr>
              <w:t>CHILDREN</w:t>
            </w:r>
          </w:p>
          <w:p w14:paraId="14A0807D" w14:textId="77777777" w:rsidR="000A19DC" w:rsidRDefault="000A19DC" w:rsidP="0084569A">
            <w:pPr>
              <w:pStyle w:val="TableParagraph"/>
              <w:spacing w:before="90"/>
              <w:rPr>
                <w:sz w:val="20"/>
              </w:rPr>
            </w:pPr>
            <w:r>
              <w:rPr>
                <w:sz w:val="20"/>
              </w:rPr>
              <w:t>READ</w:t>
            </w:r>
            <w:r>
              <w:rPr>
                <w:spacing w:val="-8"/>
                <w:sz w:val="20"/>
              </w:rPr>
              <w:t xml:space="preserve"> </w:t>
            </w:r>
            <w:r>
              <w:rPr>
                <w:sz w:val="20"/>
              </w:rPr>
              <w:t>SAFETY</w:t>
            </w:r>
            <w:r>
              <w:rPr>
                <w:spacing w:val="-6"/>
                <w:sz w:val="20"/>
              </w:rPr>
              <w:t xml:space="preserve"> </w:t>
            </w:r>
            <w:r>
              <w:rPr>
                <w:sz w:val="20"/>
              </w:rPr>
              <w:t>DIRECTIONS</w:t>
            </w:r>
            <w:r>
              <w:rPr>
                <w:spacing w:val="-6"/>
                <w:sz w:val="20"/>
              </w:rPr>
              <w:t xml:space="preserve"> </w:t>
            </w:r>
            <w:r>
              <w:rPr>
                <w:sz w:val="20"/>
              </w:rPr>
              <w:t>BEFORE</w:t>
            </w:r>
            <w:r>
              <w:rPr>
                <w:spacing w:val="-6"/>
                <w:sz w:val="20"/>
              </w:rPr>
              <w:t xml:space="preserve"> </w:t>
            </w:r>
            <w:r>
              <w:rPr>
                <w:sz w:val="20"/>
              </w:rPr>
              <w:t>OPENING</w:t>
            </w:r>
            <w:r>
              <w:rPr>
                <w:spacing w:val="-6"/>
                <w:sz w:val="20"/>
              </w:rPr>
              <w:t xml:space="preserve"> </w:t>
            </w:r>
            <w:r>
              <w:rPr>
                <w:sz w:val="20"/>
              </w:rPr>
              <w:t>OR</w:t>
            </w:r>
            <w:r>
              <w:rPr>
                <w:spacing w:val="-5"/>
                <w:sz w:val="20"/>
              </w:rPr>
              <w:t xml:space="preserve"> </w:t>
            </w:r>
            <w:r>
              <w:rPr>
                <w:spacing w:val="-2"/>
                <w:sz w:val="20"/>
              </w:rPr>
              <w:t>USING</w:t>
            </w:r>
          </w:p>
        </w:tc>
      </w:tr>
    </w:tbl>
    <w:p w14:paraId="4F55B8F0"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5524CB62" w14:textId="77777777" w:rsidTr="0084569A">
        <w:trPr>
          <w:trHeight w:val="640"/>
        </w:trPr>
        <w:tc>
          <w:tcPr>
            <w:tcW w:w="2098" w:type="dxa"/>
          </w:tcPr>
          <w:p w14:paraId="26A4C101" w14:textId="77777777" w:rsidR="000A19DC" w:rsidRDefault="000A19DC" w:rsidP="0084569A">
            <w:pPr>
              <w:pStyle w:val="TableParagraph"/>
              <w:spacing w:line="249" w:lineRule="auto"/>
              <w:ind w:left="85"/>
              <w:rPr>
                <w:sz w:val="20"/>
              </w:rPr>
            </w:pPr>
            <w:r>
              <w:rPr>
                <w:spacing w:val="-2"/>
                <w:sz w:val="20"/>
              </w:rPr>
              <w:t>Constituent Statements:</w:t>
            </w:r>
          </w:p>
        </w:tc>
        <w:tc>
          <w:tcPr>
            <w:tcW w:w="7966" w:type="dxa"/>
          </w:tcPr>
          <w:p w14:paraId="198D19D5" w14:textId="77777777" w:rsidR="000A19DC" w:rsidRDefault="000A19DC" w:rsidP="0084569A">
            <w:pPr>
              <w:pStyle w:val="TableParagraph"/>
              <w:rPr>
                <w:sz w:val="20"/>
              </w:rPr>
            </w:pPr>
            <w:r>
              <w:rPr>
                <w:sz w:val="20"/>
              </w:rPr>
              <w:t>400</w:t>
            </w:r>
            <w:r>
              <w:rPr>
                <w:spacing w:val="-13"/>
                <w:sz w:val="20"/>
              </w:rPr>
              <w:t xml:space="preserve"> </w:t>
            </w:r>
            <w:r>
              <w:rPr>
                <w:sz w:val="20"/>
              </w:rPr>
              <w:t>g/kg</w:t>
            </w:r>
            <w:r>
              <w:rPr>
                <w:spacing w:val="-13"/>
                <w:sz w:val="20"/>
              </w:rPr>
              <w:t xml:space="preserve"> </w:t>
            </w:r>
            <w:r>
              <w:rPr>
                <w:sz w:val="20"/>
              </w:rPr>
              <w:t>1-AMINOCYCLOPROPANE-1-CARBOXYLIC</w:t>
            </w:r>
            <w:r>
              <w:rPr>
                <w:spacing w:val="-13"/>
                <w:sz w:val="20"/>
              </w:rPr>
              <w:t xml:space="preserve"> </w:t>
            </w:r>
            <w:r>
              <w:rPr>
                <w:spacing w:val="-4"/>
                <w:sz w:val="20"/>
              </w:rPr>
              <w:t>ACID</w:t>
            </w:r>
          </w:p>
        </w:tc>
      </w:tr>
    </w:tbl>
    <w:p w14:paraId="7F9B419E"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79D34B3A" w14:textId="77777777" w:rsidTr="0084569A">
        <w:trPr>
          <w:trHeight w:val="400"/>
        </w:trPr>
        <w:tc>
          <w:tcPr>
            <w:tcW w:w="2098" w:type="dxa"/>
          </w:tcPr>
          <w:p w14:paraId="0231547F" w14:textId="77777777" w:rsidR="000A19DC" w:rsidRDefault="000A19DC" w:rsidP="0084569A">
            <w:pPr>
              <w:pStyle w:val="TableParagraph"/>
              <w:ind w:left="85"/>
              <w:rPr>
                <w:sz w:val="20"/>
              </w:rPr>
            </w:pPr>
            <w:r>
              <w:rPr>
                <w:sz w:val="20"/>
              </w:rPr>
              <w:t>Mode</w:t>
            </w:r>
            <w:r>
              <w:rPr>
                <w:spacing w:val="-3"/>
                <w:sz w:val="20"/>
              </w:rPr>
              <w:t xml:space="preserve"> </w:t>
            </w:r>
            <w:r>
              <w:rPr>
                <w:sz w:val="20"/>
              </w:rPr>
              <w:t>of</w:t>
            </w:r>
            <w:r>
              <w:rPr>
                <w:spacing w:val="-3"/>
                <w:sz w:val="20"/>
              </w:rPr>
              <w:t xml:space="preserve"> </w:t>
            </w:r>
            <w:r>
              <w:rPr>
                <w:spacing w:val="-2"/>
                <w:sz w:val="20"/>
              </w:rPr>
              <w:t>Action:</w:t>
            </w:r>
          </w:p>
        </w:tc>
        <w:tc>
          <w:tcPr>
            <w:tcW w:w="7966" w:type="dxa"/>
          </w:tcPr>
          <w:p w14:paraId="3983369F" w14:textId="77777777" w:rsidR="000A19DC" w:rsidRDefault="000A19DC" w:rsidP="0084569A">
            <w:pPr>
              <w:pStyle w:val="TableParagraph"/>
              <w:spacing w:before="0"/>
              <w:ind w:left="0"/>
              <w:rPr>
                <w:rFonts w:ascii="Times New Roman"/>
                <w:sz w:val="20"/>
              </w:rPr>
            </w:pPr>
          </w:p>
        </w:tc>
      </w:tr>
    </w:tbl>
    <w:p w14:paraId="39F9DC44"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1CDFF6D5" w14:textId="77777777" w:rsidTr="0084569A">
        <w:trPr>
          <w:trHeight w:val="640"/>
        </w:trPr>
        <w:tc>
          <w:tcPr>
            <w:tcW w:w="2098" w:type="dxa"/>
          </w:tcPr>
          <w:p w14:paraId="418401A2" w14:textId="77777777" w:rsidR="000A19DC" w:rsidRDefault="000A19DC" w:rsidP="0084569A">
            <w:pPr>
              <w:pStyle w:val="TableParagraph"/>
              <w:ind w:left="85"/>
              <w:rPr>
                <w:sz w:val="20"/>
              </w:rPr>
            </w:pPr>
            <w:r>
              <w:rPr>
                <w:sz w:val="20"/>
              </w:rPr>
              <w:t>Statement</w:t>
            </w:r>
            <w:r>
              <w:rPr>
                <w:spacing w:val="-6"/>
                <w:sz w:val="20"/>
              </w:rPr>
              <w:t xml:space="preserve"> </w:t>
            </w:r>
            <w:r>
              <w:rPr>
                <w:sz w:val="20"/>
              </w:rPr>
              <w:t>of</w:t>
            </w:r>
            <w:r>
              <w:rPr>
                <w:spacing w:val="-5"/>
                <w:sz w:val="20"/>
              </w:rPr>
              <w:t xml:space="preserve"> </w:t>
            </w:r>
            <w:r>
              <w:rPr>
                <w:spacing w:val="-2"/>
                <w:sz w:val="20"/>
              </w:rPr>
              <w:t>Claims:</w:t>
            </w:r>
          </w:p>
        </w:tc>
        <w:tc>
          <w:tcPr>
            <w:tcW w:w="7966" w:type="dxa"/>
          </w:tcPr>
          <w:p w14:paraId="003F7108" w14:textId="77777777" w:rsidR="000A19DC" w:rsidRDefault="000A19DC" w:rsidP="0084569A">
            <w:pPr>
              <w:pStyle w:val="TableParagraph"/>
              <w:spacing w:line="249" w:lineRule="auto"/>
              <w:ind w:right="241"/>
              <w:rPr>
                <w:sz w:val="20"/>
              </w:rPr>
            </w:pPr>
            <w:r>
              <w:rPr>
                <w:sz w:val="20"/>
              </w:rPr>
              <w:t>For</w:t>
            </w:r>
            <w:r>
              <w:rPr>
                <w:spacing w:val="-4"/>
                <w:sz w:val="20"/>
              </w:rPr>
              <w:t xml:space="preserve"> </w:t>
            </w:r>
            <w:r>
              <w:rPr>
                <w:sz w:val="20"/>
              </w:rPr>
              <w:t>crop</w:t>
            </w:r>
            <w:r>
              <w:rPr>
                <w:spacing w:val="-4"/>
                <w:sz w:val="20"/>
              </w:rPr>
              <w:t xml:space="preserve"> </w:t>
            </w:r>
            <w:r>
              <w:rPr>
                <w:sz w:val="20"/>
              </w:rPr>
              <w:t>thinning</w:t>
            </w:r>
            <w:r>
              <w:rPr>
                <w:spacing w:val="-4"/>
                <w:sz w:val="20"/>
              </w:rPr>
              <w:t xml:space="preserve"> </w:t>
            </w:r>
            <w:r>
              <w:rPr>
                <w:sz w:val="20"/>
              </w:rPr>
              <w:t>in</w:t>
            </w:r>
            <w:r>
              <w:rPr>
                <w:spacing w:val="-4"/>
                <w:sz w:val="20"/>
              </w:rPr>
              <w:t xml:space="preserve"> </w:t>
            </w:r>
            <w:r>
              <w:rPr>
                <w:sz w:val="20"/>
              </w:rPr>
              <w:t>Apples,</w:t>
            </w:r>
            <w:r>
              <w:rPr>
                <w:spacing w:val="-4"/>
                <w:sz w:val="20"/>
              </w:rPr>
              <w:t xml:space="preserve"> </w:t>
            </w:r>
            <w:r>
              <w:rPr>
                <w:sz w:val="20"/>
              </w:rPr>
              <w:t>Nectarines,</w:t>
            </w:r>
            <w:r>
              <w:rPr>
                <w:spacing w:val="-4"/>
                <w:sz w:val="20"/>
              </w:rPr>
              <w:t xml:space="preserve"> </w:t>
            </w:r>
            <w:r>
              <w:rPr>
                <w:sz w:val="20"/>
              </w:rPr>
              <w:t>Peaches</w:t>
            </w:r>
            <w:r>
              <w:rPr>
                <w:spacing w:val="-4"/>
                <w:sz w:val="20"/>
              </w:rPr>
              <w:t xml:space="preserve"> </w:t>
            </w:r>
            <w:r>
              <w:rPr>
                <w:sz w:val="20"/>
              </w:rPr>
              <w:t>and</w:t>
            </w:r>
            <w:r>
              <w:rPr>
                <w:spacing w:val="-4"/>
                <w:sz w:val="20"/>
              </w:rPr>
              <w:t xml:space="preserve"> </w:t>
            </w:r>
            <w:r>
              <w:rPr>
                <w:sz w:val="20"/>
              </w:rPr>
              <w:t>Plums</w:t>
            </w:r>
            <w:r>
              <w:rPr>
                <w:spacing w:val="-4"/>
                <w:sz w:val="20"/>
              </w:rPr>
              <w:t xml:space="preserve"> </w:t>
            </w:r>
            <w:r>
              <w:rPr>
                <w:sz w:val="20"/>
              </w:rPr>
              <w:t>as</w:t>
            </w:r>
            <w:r>
              <w:rPr>
                <w:spacing w:val="-4"/>
                <w:sz w:val="20"/>
              </w:rPr>
              <w:t xml:space="preserve"> </w:t>
            </w:r>
            <w:r>
              <w:rPr>
                <w:sz w:val="20"/>
              </w:rPr>
              <w:t>per</w:t>
            </w:r>
            <w:r>
              <w:rPr>
                <w:spacing w:val="-4"/>
                <w:sz w:val="20"/>
              </w:rPr>
              <w:t xml:space="preserve"> </w:t>
            </w:r>
            <w:r>
              <w:rPr>
                <w:sz w:val="20"/>
              </w:rPr>
              <w:t>Directions</w:t>
            </w:r>
            <w:r>
              <w:rPr>
                <w:spacing w:val="-4"/>
                <w:sz w:val="20"/>
              </w:rPr>
              <w:t xml:space="preserve"> </w:t>
            </w:r>
            <w:r>
              <w:rPr>
                <w:sz w:val="20"/>
              </w:rPr>
              <w:t>for</w:t>
            </w:r>
            <w:r>
              <w:rPr>
                <w:spacing w:val="-4"/>
                <w:sz w:val="20"/>
              </w:rPr>
              <w:t xml:space="preserve"> </w:t>
            </w:r>
            <w:r>
              <w:rPr>
                <w:sz w:val="20"/>
              </w:rPr>
              <w:t xml:space="preserve">Use </w:t>
            </w:r>
            <w:r>
              <w:rPr>
                <w:spacing w:val="-2"/>
                <w:sz w:val="20"/>
              </w:rPr>
              <w:t>table.</w:t>
            </w:r>
          </w:p>
        </w:tc>
      </w:tr>
    </w:tbl>
    <w:p w14:paraId="570D0253"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010C8DB1" w14:textId="77777777" w:rsidTr="0084569A">
        <w:trPr>
          <w:trHeight w:val="400"/>
        </w:trPr>
        <w:tc>
          <w:tcPr>
            <w:tcW w:w="2098" w:type="dxa"/>
          </w:tcPr>
          <w:p w14:paraId="291F142D" w14:textId="77777777" w:rsidR="000A19DC" w:rsidRDefault="000A19DC" w:rsidP="0084569A">
            <w:pPr>
              <w:pStyle w:val="TableParagraph"/>
              <w:ind w:left="85"/>
              <w:rPr>
                <w:sz w:val="20"/>
              </w:rPr>
            </w:pPr>
            <w:r>
              <w:rPr>
                <w:sz w:val="20"/>
              </w:rPr>
              <w:t>Net</w:t>
            </w:r>
            <w:r>
              <w:rPr>
                <w:spacing w:val="-3"/>
                <w:sz w:val="20"/>
              </w:rPr>
              <w:t xml:space="preserve"> </w:t>
            </w:r>
            <w:r>
              <w:rPr>
                <w:spacing w:val="-2"/>
                <w:sz w:val="20"/>
              </w:rPr>
              <w:t>Contents:</w:t>
            </w:r>
          </w:p>
        </w:tc>
        <w:tc>
          <w:tcPr>
            <w:tcW w:w="7966" w:type="dxa"/>
          </w:tcPr>
          <w:p w14:paraId="2855DD03" w14:textId="77777777" w:rsidR="000A19DC" w:rsidRDefault="000A19DC" w:rsidP="0084569A">
            <w:pPr>
              <w:pStyle w:val="TableParagraph"/>
              <w:rPr>
                <w:sz w:val="20"/>
              </w:rPr>
            </w:pPr>
            <w:r>
              <w:rPr>
                <w:sz w:val="20"/>
              </w:rPr>
              <w:t>500g</w:t>
            </w:r>
            <w:r>
              <w:rPr>
                <w:spacing w:val="-3"/>
                <w:sz w:val="20"/>
              </w:rPr>
              <w:t xml:space="preserve"> </w:t>
            </w:r>
            <w:r>
              <w:rPr>
                <w:sz w:val="20"/>
              </w:rPr>
              <w:t>-</w:t>
            </w:r>
            <w:r>
              <w:rPr>
                <w:spacing w:val="-2"/>
                <w:sz w:val="20"/>
              </w:rPr>
              <w:t xml:space="preserve"> </w:t>
            </w:r>
            <w:r>
              <w:rPr>
                <w:spacing w:val="-4"/>
                <w:sz w:val="20"/>
              </w:rPr>
              <w:t>50kg</w:t>
            </w:r>
          </w:p>
        </w:tc>
      </w:tr>
    </w:tbl>
    <w:p w14:paraId="59A46B5B"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360613E8" w14:textId="77777777" w:rsidTr="0084569A">
        <w:trPr>
          <w:trHeight w:val="880"/>
        </w:trPr>
        <w:tc>
          <w:tcPr>
            <w:tcW w:w="2098" w:type="dxa"/>
          </w:tcPr>
          <w:p w14:paraId="13B77AC6" w14:textId="77777777" w:rsidR="000A19DC" w:rsidRDefault="000A19DC" w:rsidP="0084569A">
            <w:pPr>
              <w:pStyle w:val="TableParagraph"/>
              <w:ind w:left="85"/>
              <w:rPr>
                <w:sz w:val="20"/>
              </w:rPr>
            </w:pPr>
            <w:r>
              <w:rPr>
                <w:spacing w:val="-2"/>
                <w:sz w:val="20"/>
              </w:rPr>
              <w:t>Restraints:</w:t>
            </w:r>
          </w:p>
        </w:tc>
        <w:tc>
          <w:tcPr>
            <w:tcW w:w="7966" w:type="dxa"/>
          </w:tcPr>
          <w:p w14:paraId="00EDAE6A" w14:textId="77777777" w:rsidR="000A19DC" w:rsidRDefault="000A19DC" w:rsidP="0084569A">
            <w:pPr>
              <w:pStyle w:val="TableParagraph"/>
              <w:spacing w:line="249" w:lineRule="auto"/>
              <w:ind w:left="404" w:right="4435"/>
              <w:rPr>
                <w:sz w:val="20"/>
              </w:rPr>
            </w:pPr>
            <w:r>
              <w:rPr>
                <w:sz w:val="20"/>
              </w:rPr>
              <w:t>This</w:t>
            </w:r>
            <w:r>
              <w:rPr>
                <w:spacing w:val="-10"/>
                <w:sz w:val="20"/>
              </w:rPr>
              <w:t xml:space="preserve"> </w:t>
            </w:r>
            <w:r>
              <w:rPr>
                <w:sz w:val="20"/>
              </w:rPr>
              <w:t>section</w:t>
            </w:r>
            <w:r>
              <w:rPr>
                <w:spacing w:val="-10"/>
                <w:sz w:val="20"/>
              </w:rPr>
              <w:t xml:space="preserve"> </w:t>
            </w:r>
            <w:r>
              <w:rPr>
                <w:sz w:val="20"/>
              </w:rPr>
              <w:t>contains</w:t>
            </w:r>
            <w:r>
              <w:rPr>
                <w:spacing w:val="-10"/>
                <w:sz w:val="20"/>
              </w:rPr>
              <w:t xml:space="preserve"> </w:t>
            </w:r>
            <w:r>
              <w:rPr>
                <w:sz w:val="20"/>
              </w:rPr>
              <w:t>file</w:t>
            </w:r>
            <w:r>
              <w:rPr>
                <w:spacing w:val="-10"/>
                <w:sz w:val="20"/>
              </w:rPr>
              <w:t xml:space="preserve"> </w:t>
            </w:r>
            <w:r>
              <w:rPr>
                <w:sz w:val="20"/>
              </w:rPr>
              <w:t>attachment. File Name:</w:t>
            </w:r>
            <w:r>
              <w:rPr>
                <w:spacing w:val="80"/>
                <w:sz w:val="20"/>
              </w:rPr>
              <w:t xml:space="preserve"> </w:t>
            </w:r>
            <w:r>
              <w:rPr>
                <w:sz w:val="20"/>
              </w:rPr>
              <w:t>RESTRAINTS.docx</w:t>
            </w:r>
          </w:p>
          <w:p w14:paraId="3948B9A0" w14:textId="77777777" w:rsidR="000A19DC" w:rsidRDefault="000A19DC" w:rsidP="0084569A">
            <w:pPr>
              <w:pStyle w:val="TableParagraph"/>
              <w:tabs>
                <w:tab w:val="left" w:pos="1503"/>
              </w:tabs>
              <w:spacing w:before="2"/>
              <w:ind w:left="404"/>
              <w:rPr>
                <w:sz w:val="20"/>
              </w:rPr>
            </w:pPr>
            <w:r>
              <w:rPr>
                <w:sz w:val="20"/>
              </w:rPr>
              <w:t>File</w:t>
            </w:r>
            <w:r>
              <w:rPr>
                <w:spacing w:val="-4"/>
                <w:sz w:val="20"/>
              </w:rPr>
              <w:t xml:space="preserve"> </w:t>
            </w:r>
            <w:r>
              <w:rPr>
                <w:spacing w:val="-2"/>
                <w:sz w:val="20"/>
              </w:rPr>
              <w:t>Size:</w:t>
            </w:r>
            <w:r>
              <w:rPr>
                <w:sz w:val="20"/>
              </w:rPr>
              <w:tab/>
              <w:t>17671</w:t>
            </w:r>
            <w:r>
              <w:rPr>
                <w:spacing w:val="-5"/>
                <w:sz w:val="20"/>
              </w:rPr>
              <w:t xml:space="preserve"> </w:t>
            </w:r>
            <w:r>
              <w:rPr>
                <w:spacing w:val="-2"/>
                <w:sz w:val="20"/>
              </w:rPr>
              <w:t>bytes</w:t>
            </w:r>
          </w:p>
        </w:tc>
      </w:tr>
    </w:tbl>
    <w:p w14:paraId="223675FD"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5EDC8578" w14:textId="77777777" w:rsidTr="0084569A">
        <w:trPr>
          <w:trHeight w:val="880"/>
        </w:trPr>
        <w:tc>
          <w:tcPr>
            <w:tcW w:w="2098" w:type="dxa"/>
          </w:tcPr>
          <w:p w14:paraId="1E59220F" w14:textId="77777777" w:rsidR="000A19DC" w:rsidRDefault="000A19DC" w:rsidP="0084569A">
            <w:pPr>
              <w:pStyle w:val="TableParagraph"/>
              <w:ind w:left="85"/>
              <w:rPr>
                <w:sz w:val="20"/>
              </w:rPr>
            </w:pPr>
            <w:r>
              <w:rPr>
                <w:sz w:val="20"/>
              </w:rPr>
              <w:t>Directions</w:t>
            </w:r>
            <w:r>
              <w:rPr>
                <w:spacing w:val="-1"/>
                <w:sz w:val="20"/>
              </w:rPr>
              <w:t xml:space="preserve"> </w:t>
            </w:r>
            <w:r>
              <w:rPr>
                <w:sz w:val="20"/>
              </w:rPr>
              <w:t>for</w:t>
            </w:r>
            <w:r>
              <w:rPr>
                <w:spacing w:val="-1"/>
                <w:sz w:val="20"/>
              </w:rPr>
              <w:t xml:space="preserve"> </w:t>
            </w:r>
            <w:r>
              <w:rPr>
                <w:spacing w:val="-4"/>
                <w:sz w:val="20"/>
              </w:rPr>
              <w:t>Use:</w:t>
            </w:r>
          </w:p>
        </w:tc>
        <w:tc>
          <w:tcPr>
            <w:tcW w:w="7966" w:type="dxa"/>
          </w:tcPr>
          <w:p w14:paraId="5C7C674C" w14:textId="77777777" w:rsidR="000A19DC" w:rsidRDefault="000A19DC" w:rsidP="0084569A">
            <w:pPr>
              <w:pStyle w:val="TableParagraph"/>
              <w:rPr>
                <w:sz w:val="20"/>
              </w:rPr>
            </w:pPr>
            <w:r>
              <w:rPr>
                <w:sz w:val="20"/>
              </w:rPr>
              <w:t>This</w:t>
            </w:r>
            <w:r>
              <w:rPr>
                <w:spacing w:val="-6"/>
                <w:sz w:val="20"/>
              </w:rPr>
              <w:t xml:space="preserve"> </w:t>
            </w:r>
            <w:r>
              <w:rPr>
                <w:sz w:val="20"/>
              </w:rPr>
              <w:t>section</w:t>
            </w:r>
            <w:r>
              <w:rPr>
                <w:spacing w:val="-3"/>
                <w:sz w:val="20"/>
              </w:rPr>
              <w:t xml:space="preserve"> </w:t>
            </w:r>
            <w:r>
              <w:rPr>
                <w:sz w:val="20"/>
              </w:rPr>
              <w:t>contains</w:t>
            </w:r>
            <w:r>
              <w:rPr>
                <w:spacing w:val="-3"/>
                <w:sz w:val="20"/>
              </w:rPr>
              <w:t xml:space="preserve"> </w:t>
            </w:r>
            <w:r>
              <w:rPr>
                <w:sz w:val="20"/>
              </w:rPr>
              <w:t>file</w:t>
            </w:r>
            <w:r>
              <w:rPr>
                <w:spacing w:val="-3"/>
                <w:sz w:val="20"/>
              </w:rPr>
              <w:t xml:space="preserve"> </w:t>
            </w:r>
            <w:r>
              <w:rPr>
                <w:spacing w:val="-2"/>
                <w:sz w:val="20"/>
              </w:rPr>
              <w:t>attachment.</w:t>
            </w:r>
          </w:p>
          <w:p w14:paraId="2B93C440" w14:textId="77777777" w:rsidR="000A19DC" w:rsidRDefault="000A19DC" w:rsidP="0084569A">
            <w:pPr>
              <w:pStyle w:val="TableParagraph"/>
              <w:tabs>
                <w:tab w:val="left" w:pos="1303"/>
              </w:tabs>
              <w:spacing w:before="10" w:line="249" w:lineRule="auto"/>
              <w:ind w:right="4388"/>
              <w:rPr>
                <w:sz w:val="20"/>
              </w:rPr>
            </w:pPr>
            <w:r>
              <w:rPr>
                <w:sz w:val="20"/>
              </w:rPr>
              <w:t>File</w:t>
            </w:r>
            <w:r>
              <w:rPr>
                <w:spacing w:val="-8"/>
                <w:sz w:val="20"/>
              </w:rPr>
              <w:t xml:space="preserve"> </w:t>
            </w:r>
            <w:r>
              <w:rPr>
                <w:sz w:val="20"/>
              </w:rPr>
              <w:t>Name:</w:t>
            </w:r>
            <w:r>
              <w:rPr>
                <w:spacing w:val="80"/>
                <w:sz w:val="20"/>
              </w:rPr>
              <w:t xml:space="preserve"> </w:t>
            </w:r>
            <w:r>
              <w:rPr>
                <w:sz w:val="20"/>
              </w:rPr>
              <w:t>DIRECTIONS</w:t>
            </w:r>
            <w:r>
              <w:rPr>
                <w:spacing w:val="-8"/>
                <w:sz w:val="20"/>
              </w:rPr>
              <w:t xml:space="preserve"> </w:t>
            </w:r>
            <w:r>
              <w:rPr>
                <w:sz w:val="20"/>
              </w:rPr>
              <w:t>FOR</w:t>
            </w:r>
            <w:r>
              <w:rPr>
                <w:spacing w:val="-8"/>
                <w:sz w:val="20"/>
              </w:rPr>
              <w:t xml:space="preserve"> </w:t>
            </w:r>
            <w:r>
              <w:rPr>
                <w:sz w:val="20"/>
              </w:rPr>
              <w:t>USE.docx File Size:</w:t>
            </w:r>
            <w:r>
              <w:rPr>
                <w:sz w:val="20"/>
              </w:rPr>
              <w:tab/>
              <w:t>19067 bytes</w:t>
            </w:r>
          </w:p>
        </w:tc>
      </w:tr>
    </w:tbl>
    <w:p w14:paraId="4CF92B9A"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422051C2" w14:textId="77777777" w:rsidTr="0084569A">
        <w:trPr>
          <w:trHeight w:val="400"/>
        </w:trPr>
        <w:tc>
          <w:tcPr>
            <w:tcW w:w="2098" w:type="dxa"/>
          </w:tcPr>
          <w:p w14:paraId="0E0A9913" w14:textId="77777777" w:rsidR="000A19DC" w:rsidRDefault="000A19DC" w:rsidP="0084569A">
            <w:pPr>
              <w:pStyle w:val="TableParagraph"/>
              <w:ind w:left="85"/>
              <w:rPr>
                <w:sz w:val="20"/>
              </w:rPr>
            </w:pPr>
            <w:r>
              <w:rPr>
                <w:sz w:val="20"/>
              </w:rPr>
              <w:t>Other</w:t>
            </w:r>
            <w:r>
              <w:rPr>
                <w:spacing w:val="-1"/>
                <w:sz w:val="20"/>
              </w:rPr>
              <w:t xml:space="preserve"> </w:t>
            </w:r>
            <w:r>
              <w:rPr>
                <w:spacing w:val="-2"/>
                <w:sz w:val="20"/>
              </w:rPr>
              <w:t>Limitations:</w:t>
            </w:r>
          </w:p>
        </w:tc>
        <w:tc>
          <w:tcPr>
            <w:tcW w:w="7966" w:type="dxa"/>
          </w:tcPr>
          <w:p w14:paraId="479F377B" w14:textId="77777777" w:rsidR="000A19DC" w:rsidRDefault="000A19DC" w:rsidP="0084569A">
            <w:pPr>
              <w:pStyle w:val="TableParagraph"/>
              <w:spacing w:before="0"/>
              <w:ind w:left="0"/>
              <w:rPr>
                <w:rFonts w:ascii="Times New Roman"/>
                <w:sz w:val="20"/>
              </w:rPr>
            </w:pPr>
          </w:p>
        </w:tc>
      </w:tr>
    </w:tbl>
    <w:p w14:paraId="6CED64C7"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46F91113" w14:textId="77777777" w:rsidTr="0084569A">
        <w:trPr>
          <w:trHeight w:val="400"/>
        </w:trPr>
        <w:tc>
          <w:tcPr>
            <w:tcW w:w="2098" w:type="dxa"/>
          </w:tcPr>
          <w:p w14:paraId="6A40164F" w14:textId="77777777" w:rsidR="000A19DC" w:rsidRDefault="000A19DC" w:rsidP="0084569A">
            <w:pPr>
              <w:pStyle w:val="TableParagraph"/>
              <w:ind w:left="85"/>
              <w:rPr>
                <w:sz w:val="20"/>
              </w:rPr>
            </w:pPr>
            <w:r>
              <w:rPr>
                <w:sz w:val="20"/>
              </w:rPr>
              <w:t>Withholding</w:t>
            </w:r>
            <w:r>
              <w:rPr>
                <w:spacing w:val="-11"/>
                <w:sz w:val="20"/>
              </w:rPr>
              <w:t xml:space="preserve"> </w:t>
            </w:r>
            <w:r>
              <w:rPr>
                <w:spacing w:val="-2"/>
                <w:sz w:val="20"/>
              </w:rPr>
              <w:t>Periods:</w:t>
            </w:r>
          </w:p>
        </w:tc>
        <w:tc>
          <w:tcPr>
            <w:tcW w:w="7966" w:type="dxa"/>
          </w:tcPr>
          <w:p w14:paraId="37A4C3D2" w14:textId="77777777" w:rsidR="000A19DC" w:rsidRDefault="000A19DC" w:rsidP="0084569A">
            <w:pPr>
              <w:pStyle w:val="TableParagraph"/>
              <w:rPr>
                <w:sz w:val="20"/>
              </w:rPr>
            </w:pPr>
            <w:r>
              <w:rPr>
                <w:sz w:val="20"/>
              </w:rPr>
              <w:t>NOT</w:t>
            </w:r>
            <w:r>
              <w:rPr>
                <w:spacing w:val="-7"/>
                <w:sz w:val="20"/>
              </w:rPr>
              <w:t xml:space="preserve"> </w:t>
            </w:r>
            <w:r>
              <w:rPr>
                <w:sz w:val="20"/>
              </w:rPr>
              <w:t>REQUIRED</w:t>
            </w:r>
            <w:r>
              <w:rPr>
                <w:spacing w:val="-4"/>
                <w:sz w:val="20"/>
              </w:rPr>
              <w:t xml:space="preserve"> </w:t>
            </w:r>
            <w:r>
              <w:rPr>
                <w:sz w:val="20"/>
              </w:rPr>
              <w:t>WHEN</w:t>
            </w:r>
            <w:r>
              <w:rPr>
                <w:spacing w:val="-4"/>
                <w:sz w:val="20"/>
              </w:rPr>
              <w:t xml:space="preserve"> </w:t>
            </w:r>
            <w:r>
              <w:rPr>
                <w:sz w:val="20"/>
              </w:rPr>
              <w:t>USED</w:t>
            </w:r>
            <w:r>
              <w:rPr>
                <w:spacing w:val="-4"/>
                <w:sz w:val="20"/>
              </w:rPr>
              <w:t xml:space="preserve"> </w:t>
            </w:r>
            <w:r>
              <w:rPr>
                <w:sz w:val="20"/>
              </w:rPr>
              <w:t>AS</w:t>
            </w:r>
            <w:r>
              <w:rPr>
                <w:spacing w:val="-4"/>
                <w:sz w:val="20"/>
              </w:rPr>
              <w:t xml:space="preserve"> </w:t>
            </w:r>
            <w:r>
              <w:rPr>
                <w:spacing w:val="-2"/>
                <w:sz w:val="20"/>
              </w:rPr>
              <w:t>DIRECTED.</w:t>
            </w:r>
          </w:p>
        </w:tc>
      </w:tr>
    </w:tbl>
    <w:p w14:paraId="5C10F22C" w14:textId="77777777" w:rsidR="000A19DC" w:rsidRDefault="000A19DC" w:rsidP="000A19DC">
      <w:pPr>
        <w:pStyle w:val="BodyText0"/>
        <w:ind w:left="14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0A19DC" w14:paraId="4E3D1C31" w14:textId="77777777" w:rsidTr="0084569A">
        <w:trPr>
          <w:trHeight w:val="400"/>
        </w:trPr>
        <w:tc>
          <w:tcPr>
            <w:tcW w:w="2098" w:type="dxa"/>
          </w:tcPr>
          <w:p w14:paraId="11276DE2" w14:textId="77777777" w:rsidR="000A19DC" w:rsidRDefault="000A19DC" w:rsidP="0084569A">
            <w:pPr>
              <w:pStyle w:val="TableParagraph"/>
              <w:ind w:left="85"/>
              <w:rPr>
                <w:sz w:val="20"/>
              </w:rPr>
            </w:pPr>
            <w:r>
              <w:rPr>
                <w:sz w:val="20"/>
              </w:rPr>
              <w:t>Trade</w:t>
            </w:r>
            <w:r>
              <w:rPr>
                <w:spacing w:val="-5"/>
                <w:sz w:val="20"/>
              </w:rPr>
              <w:t xml:space="preserve"> </w:t>
            </w:r>
            <w:r>
              <w:rPr>
                <w:spacing w:val="-2"/>
                <w:sz w:val="20"/>
              </w:rPr>
              <w:t>Advice:</w:t>
            </w:r>
          </w:p>
        </w:tc>
        <w:tc>
          <w:tcPr>
            <w:tcW w:w="7966" w:type="dxa"/>
          </w:tcPr>
          <w:p w14:paraId="30AF4028" w14:textId="77777777" w:rsidR="000A19DC" w:rsidRDefault="000A19DC" w:rsidP="0084569A">
            <w:pPr>
              <w:pStyle w:val="TableParagraph"/>
              <w:spacing w:before="0"/>
              <w:ind w:left="0"/>
              <w:rPr>
                <w:rFonts w:ascii="Times New Roman"/>
                <w:sz w:val="20"/>
              </w:rPr>
            </w:pPr>
          </w:p>
        </w:tc>
      </w:tr>
    </w:tbl>
    <w:p w14:paraId="196F5F97" w14:textId="77777777" w:rsidR="000A19DC" w:rsidRDefault="000A19DC" w:rsidP="000A19DC">
      <w:pPr>
        <w:pStyle w:val="TableParagraph"/>
        <w:rPr>
          <w:rFonts w:ascii="Times New Roman"/>
          <w:sz w:val="20"/>
        </w:rPr>
        <w:sectPr w:rsidR="000A19DC" w:rsidSect="00274331">
          <w:headerReference w:type="default" r:id="rId39"/>
          <w:footerReference w:type="default" r:id="rId40"/>
          <w:pgSz w:w="11910" w:h="16840"/>
          <w:pgMar w:top="2835" w:right="1134" w:bottom="1134" w:left="1134" w:header="1701" w:footer="799" w:gutter="0"/>
          <w:cols w:space="720"/>
          <w:docGrid w:linePitch="272"/>
        </w:sectPr>
      </w:pPr>
    </w:p>
    <w:p w14:paraId="60B2EAE3" w14:textId="77777777" w:rsidR="000A19DC" w:rsidRDefault="000A19DC" w:rsidP="000A19DC">
      <w:pPr>
        <w:pStyle w:val="BodyText0"/>
        <w:spacing w:before="5"/>
        <w:ind w:left="142"/>
        <w:rPr>
          <w:sz w:val="12"/>
        </w:rPr>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5614E166" w14:textId="77777777" w:rsidTr="000A19DC">
        <w:trPr>
          <w:trHeight w:val="880"/>
        </w:trPr>
        <w:tc>
          <w:tcPr>
            <w:tcW w:w="2098" w:type="dxa"/>
          </w:tcPr>
          <w:p w14:paraId="4AE9E7CC" w14:textId="77777777" w:rsidR="000A19DC" w:rsidRDefault="000A19DC" w:rsidP="0084569A">
            <w:pPr>
              <w:pStyle w:val="TableParagraph"/>
              <w:ind w:left="85"/>
              <w:rPr>
                <w:sz w:val="20"/>
              </w:rPr>
            </w:pPr>
            <w:r>
              <w:rPr>
                <w:sz w:val="20"/>
              </w:rPr>
              <w:t>General</w:t>
            </w:r>
            <w:r>
              <w:rPr>
                <w:spacing w:val="-7"/>
                <w:sz w:val="20"/>
              </w:rPr>
              <w:t xml:space="preserve"> </w:t>
            </w:r>
            <w:r>
              <w:rPr>
                <w:spacing w:val="-2"/>
                <w:sz w:val="20"/>
              </w:rPr>
              <w:t>Instructions:</w:t>
            </w:r>
          </w:p>
        </w:tc>
        <w:tc>
          <w:tcPr>
            <w:tcW w:w="7531" w:type="dxa"/>
          </w:tcPr>
          <w:p w14:paraId="0A6E5514" w14:textId="77777777" w:rsidR="000A19DC" w:rsidRDefault="000A19DC" w:rsidP="0084569A">
            <w:pPr>
              <w:pStyle w:val="TableParagraph"/>
              <w:rPr>
                <w:sz w:val="20"/>
              </w:rPr>
            </w:pPr>
            <w:r>
              <w:rPr>
                <w:sz w:val="20"/>
              </w:rPr>
              <w:t>This</w:t>
            </w:r>
            <w:r>
              <w:rPr>
                <w:spacing w:val="-6"/>
                <w:sz w:val="20"/>
              </w:rPr>
              <w:t xml:space="preserve"> </w:t>
            </w:r>
            <w:r>
              <w:rPr>
                <w:sz w:val="20"/>
              </w:rPr>
              <w:t>section</w:t>
            </w:r>
            <w:r>
              <w:rPr>
                <w:spacing w:val="-3"/>
                <w:sz w:val="20"/>
              </w:rPr>
              <w:t xml:space="preserve"> </w:t>
            </w:r>
            <w:r>
              <w:rPr>
                <w:sz w:val="20"/>
              </w:rPr>
              <w:t>contains</w:t>
            </w:r>
            <w:r>
              <w:rPr>
                <w:spacing w:val="-3"/>
                <w:sz w:val="20"/>
              </w:rPr>
              <w:t xml:space="preserve"> </w:t>
            </w:r>
            <w:r>
              <w:rPr>
                <w:sz w:val="20"/>
              </w:rPr>
              <w:t>file</w:t>
            </w:r>
            <w:r>
              <w:rPr>
                <w:spacing w:val="-3"/>
                <w:sz w:val="20"/>
              </w:rPr>
              <w:t xml:space="preserve"> </w:t>
            </w:r>
            <w:r>
              <w:rPr>
                <w:spacing w:val="-2"/>
                <w:sz w:val="20"/>
              </w:rPr>
              <w:t>attachment.</w:t>
            </w:r>
          </w:p>
          <w:p w14:paraId="45C29D2F" w14:textId="77777777" w:rsidR="000A19DC" w:rsidRDefault="000A19DC" w:rsidP="0084569A">
            <w:pPr>
              <w:pStyle w:val="TableParagraph"/>
              <w:tabs>
                <w:tab w:val="left" w:pos="1303"/>
              </w:tabs>
              <w:spacing w:before="10" w:line="249" w:lineRule="auto"/>
              <w:ind w:right="4052"/>
              <w:rPr>
                <w:sz w:val="20"/>
              </w:rPr>
            </w:pPr>
            <w:r>
              <w:rPr>
                <w:sz w:val="20"/>
              </w:rPr>
              <w:t>File</w:t>
            </w:r>
            <w:r>
              <w:rPr>
                <w:spacing w:val="-8"/>
                <w:sz w:val="20"/>
              </w:rPr>
              <w:t xml:space="preserve"> </w:t>
            </w:r>
            <w:r>
              <w:rPr>
                <w:sz w:val="20"/>
              </w:rPr>
              <w:t>Name:</w:t>
            </w:r>
            <w:r>
              <w:rPr>
                <w:spacing w:val="80"/>
                <w:sz w:val="20"/>
              </w:rPr>
              <w:t xml:space="preserve"> </w:t>
            </w:r>
            <w:r>
              <w:rPr>
                <w:sz w:val="20"/>
              </w:rPr>
              <w:t>GENERAL</w:t>
            </w:r>
            <w:r>
              <w:rPr>
                <w:spacing w:val="-8"/>
                <w:sz w:val="20"/>
              </w:rPr>
              <w:t xml:space="preserve"> </w:t>
            </w:r>
            <w:r>
              <w:rPr>
                <w:sz w:val="20"/>
              </w:rPr>
              <w:t>INSTRUCTIONS.docx File Size:</w:t>
            </w:r>
            <w:r>
              <w:rPr>
                <w:sz w:val="20"/>
              </w:rPr>
              <w:tab/>
              <w:t>260401 bytes</w:t>
            </w:r>
          </w:p>
        </w:tc>
      </w:tr>
    </w:tbl>
    <w:p w14:paraId="7A17F146"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227CF1DC" w14:textId="77777777" w:rsidTr="000A19DC">
        <w:trPr>
          <w:trHeight w:val="400"/>
        </w:trPr>
        <w:tc>
          <w:tcPr>
            <w:tcW w:w="2098" w:type="dxa"/>
          </w:tcPr>
          <w:p w14:paraId="039007DD" w14:textId="77777777" w:rsidR="000A19DC" w:rsidRDefault="000A19DC" w:rsidP="0084569A">
            <w:pPr>
              <w:pStyle w:val="TableParagraph"/>
              <w:ind w:left="85"/>
              <w:rPr>
                <w:sz w:val="20"/>
              </w:rPr>
            </w:pPr>
            <w:r>
              <w:rPr>
                <w:sz w:val="20"/>
              </w:rPr>
              <w:t>Resistance</w:t>
            </w:r>
            <w:r>
              <w:rPr>
                <w:spacing w:val="-10"/>
                <w:sz w:val="20"/>
              </w:rPr>
              <w:t xml:space="preserve"> </w:t>
            </w:r>
            <w:r>
              <w:rPr>
                <w:spacing w:val="-2"/>
                <w:sz w:val="20"/>
              </w:rPr>
              <w:t>Warning:</w:t>
            </w:r>
          </w:p>
        </w:tc>
        <w:tc>
          <w:tcPr>
            <w:tcW w:w="7531" w:type="dxa"/>
          </w:tcPr>
          <w:p w14:paraId="478A5F75" w14:textId="77777777" w:rsidR="000A19DC" w:rsidRDefault="000A19DC" w:rsidP="0084569A">
            <w:pPr>
              <w:pStyle w:val="TableParagraph"/>
              <w:spacing w:before="0"/>
              <w:ind w:left="0"/>
              <w:rPr>
                <w:rFonts w:ascii="Times New Roman"/>
                <w:sz w:val="18"/>
              </w:rPr>
            </w:pPr>
          </w:p>
        </w:tc>
      </w:tr>
    </w:tbl>
    <w:p w14:paraId="2E573D0B"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159E47B6" w14:textId="77777777" w:rsidTr="000A19DC">
        <w:trPr>
          <w:trHeight w:val="1360"/>
        </w:trPr>
        <w:tc>
          <w:tcPr>
            <w:tcW w:w="2098" w:type="dxa"/>
          </w:tcPr>
          <w:p w14:paraId="63CDAAB5" w14:textId="77777777" w:rsidR="000A19DC" w:rsidRDefault="000A19DC" w:rsidP="0084569A">
            <w:pPr>
              <w:pStyle w:val="TableParagraph"/>
              <w:ind w:left="85"/>
              <w:rPr>
                <w:sz w:val="20"/>
              </w:rPr>
            </w:pPr>
            <w:r>
              <w:rPr>
                <w:spacing w:val="-2"/>
                <w:sz w:val="20"/>
              </w:rPr>
              <w:t>Precautions:</w:t>
            </w:r>
          </w:p>
        </w:tc>
        <w:tc>
          <w:tcPr>
            <w:tcW w:w="7531" w:type="dxa"/>
          </w:tcPr>
          <w:p w14:paraId="641AC82E" w14:textId="77777777" w:rsidR="000A19DC" w:rsidRDefault="000A19DC" w:rsidP="0084569A">
            <w:pPr>
              <w:pStyle w:val="TableParagraph"/>
              <w:rPr>
                <w:sz w:val="20"/>
              </w:rPr>
            </w:pPr>
            <w:r>
              <w:rPr>
                <w:spacing w:val="-2"/>
                <w:sz w:val="20"/>
              </w:rPr>
              <w:t>RE-</w:t>
            </w:r>
            <w:r>
              <w:rPr>
                <w:spacing w:val="-4"/>
                <w:sz w:val="20"/>
              </w:rPr>
              <w:t>ENTRY</w:t>
            </w:r>
          </w:p>
          <w:p w14:paraId="727E7229" w14:textId="77777777" w:rsidR="000A19DC" w:rsidRDefault="000A19DC" w:rsidP="0084569A">
            <w:pPr>
              <w:pStyle w:val="TableParagraph"/>
              <w:spacing w:before="20"/>
              <w:ind w:left="0"/>
              <w:rPr>
                <w:sz w:val="20"/>
              </w:rPr>
            </w:pPr>
          </w:p>
          <w:p w14:paraId="77EE8CD9" w14:textId="77777777" w:rsidR="000A19DC" w:rsidRDefault="000A19DC" w:rsidP="0084569A">
            <w:pPr>
              <w:pStyle w:val="TableParagraph"/>
              <w:spacing w:before="0" w:line="249" w:lineRule="auto"/>
              <w:ind w:right="241"/>
              <w:rPr>
                <w:sz w:val="20"/>
              </w:rPr>
            </w:pPr>
            <w:r>
              <w:rPr>
                <w:sz w:val="20"/>
              </w:rPr>
              <w:t>DO</w:t>
            </w:r>
            <w:r>
              <w:rPr>
                <w:spacing w:val="-3"/>
                <w:sz w:val="20"/>
              </w:rPr>
              <w:t xml:space="preserve"> </w:t>
            </w:r>
            <w:r>
              <w:rPr>
                <w:sz w:val="20"/>
              </w:rPr>
              <w:t>NOT</w:t>
            </w:r>
            <w:r>
              <w:rPr>
                <w:spacing w:val="-4"/>
                <w:sz w:val="20"/>
              </w:rPr>
              <w:t xml:space="preserve"> </w:t>
            </w:r>
            <w:r>
              <w:rPr>
                <w:sz w:val="20"/>
              </w:rPr>
              <w:t>enter</w:t>
            </w:r>
            <w:r>
              <w:rPr>
                <w:spacing w:val="-3"/>
                <w:sz w:val="20"/>
              </w:rPr>
              <w:t xml:space="preserve"> </w:t>
            </w:r>
            <w:r>
              <w:rPr>
                <w:sz w:val="20"/>
              </w:rPr>
              <w:t>treated</w:t>
            </w:r>
            <w:r>
              <w:rPr>
                <w:spacing w:val="-4"/>
                <w:sz w:val="20"/>
              </w:rPr>
              <w:t xml:space="preserve"> </w:t>
            </w:r>
            <w:r>
              <w:rPr>
                <w:sz w:val="20"/>
              </w:rPr>
              <w:t>areas</w:t>
            </w:r>
            <w:r>
              <w:rPr>
                <w:spacing w:val="-3"/>
                <w:sz w:val="20"/>
              </w:rPr>
              <w:t xml:space="preserve"> </w:t>
            </w:r>
            <w:r>
              <w:rPr>
                <w:sz w:val="20"/>
              </w:rPr>
              <w:t>until</w:t>
            </w:r>
            <w:r>
              <w:rPr>
                <w:spacing w:val="-4"/>
                <w:sz w:val="20"/>
              </w:rPr>
              <w:t xml:space="preserve"> </w:t>
            </w:r>
            <w:r>
              <w:rPr>
                <w:sz w:val="20"/>
              </w:rPr>
              <w:t>the</w:t>
            </w:r>
            <w:r>
              <w:rPr>
                <w:spacing w:val="-3"/>
                <w:sz w:val="20"/>
              </w:rPr>
              <w:t xml:space="preserve"> </w:t>
            </w:r>
            <w:r>
              <w:rPr>
                <w:sz w:val="20"/>
              </w:rPr>
              <w:t>spray</w:t>
            </w:r>
            <w:r>
              <w:rPr>
                <w:spacing w:val="-4"/>
                <w:sz w:val="20"/>
              </w:rPr>
              <w:t xml:space="preserve"> </w:t>
            </w:r>
            <w:r>
              <w:rPr>
                <w:sz w:val="20"/>
              </w:rPr>
              <w:t>has</w:t>
            </w:r>
            <w:r>
              <w:rPr>
                <w:spacing w:val="-3"/>
                <w:sz w:val="20"/>
              </w:rPr>
              <w:t xml:space="preserve"> </w:t>
            </w:r>
            <w:r>
              <w:rPr>
                <w:sz w:val="20"/>
              </w:rPr>
              <w:t>settled</w:t>
            </w:r>
            <w:r>
              <w:rPr>
                <w:spacing w:val="-4"/>
                <w:sz w:val="20"/>
              </w:rPr>
              <w:t xml:space="preserve"> </w:t>
            </w:r>
            <w:r>
              <w:rPr>
                <w:sz w:val="20"/>
              </w:rPr>
              <w:t>and</w:t>
            </w:r>
            <w:r>
              <w:rPr>
                <w:spacing w:val="-3"/>
                <w:sz w:val="20"/>
              </w:rPr>
              <w:t xml:space="preserve"> </w:t>
            </w:r>
            <w:r>
              <w:rPr>
                <w:sz w:val="20"/>
              </w:rPr>
              <w:t>dried,</w:t>
            </w:r>
            <w:r>
              <w:rPr>
                <w:spacing w:val="-4"/>
                <w:sz w:val="20"/>
              </w:rPr>
              <w:t xml:space="preserve"> </w:t>
            </w:r>
            <w:r>
              <w:rPr>
                <w:sz w:val="20"/>
              </w:rPr>
              <w:t>unless</w:t>
            </w:r>
            <w:r>
              <w:rPr>
                <w:spacing w:val="-3"/>
                <w:sz w:val="20"/>
              </w:rPr>
              <w:t xml:space="preserve"> </w:t>
            </w:r>
            <w:r>
              <w:rPr>
                <w:sz w:val="20"/>
              </w:rPr>
              <w:t>wearing</w:t>
            </w:r>
            <w:r>
              <w:rPr>
                <w:spacing w:val="-4"/>
                <w:sz w:val="20"/>
              </w:rPr>
              <w:t xml:space="preserve"> </w:t>
            </w:r>
            <w:r>
              <w:rPr>
                <w:sz w:val="20"/>
              </w:rPr>
              <w:t>cotton overalls buttoned to the neck and wrist (or equivalent clothing) and chemical resistant gloves. Clothing must be laundered after each day’s use.</w:t>
            </w:r>
          </w:p>
        </w:tc>
      </w:tr>
    </w:tbl>
    <w:p w14:paraId="7431D3BA"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5CF8E77A" w14:textId="77777777" w:rsidTr="000A19DC">
        <w:trPr>
          <w:trHeight w:val="1120"/>
        </w:trPr>
        <w:tc>
          <w:tcPr>
            <w:tcW w:w="2098" w:type="dxa"/>
          </w:tcPr>
          <w:p w14:paraId="369472C5" w14:textId="77777777" w:rsidR="000A19DC" w:rsidRDefault="000A19DC" w:rsidP="0084569A">
            <w:pPr>
              <w:pStyle w:val="TableParagraph"/>
              <w:ind w:left="85"/>
              <w:rPr>
                <w:sz w:val="20"/>
              </w:rPr>
            </w:pPr>
            <w:r>
              <w:rPr>
                <w:spacing w:val="-2"/>
                <w:sz w:val="20"/>
              </w:rPr>
              <w:t>Protections:</w:t>
            </w:r>
          </w:p>
        </w:tc>
        <w:tc>
          <w:tcPr>
            <w:tcW w:w="7531" w:type="dxa"/>
          </w:tcPr>
          <w:p w14:paraId="7803AE21" w14:textId="77777777" w:rsidR="000A19DC" w:rsidRDefault="000A19DC" w:rsidP="0084569A">
            <w:pPr>
              <w:pStyle w:val="TableParagraph"/>
              <w:rPr>
                <w:sz w:val="20"/>
              </w:rPr>
            </w:pPr>
            <w:r>
              <w:rPr>
                <w:sz w:val="20"/>
              </w:rPr>
              <w:t>PROTECTION</w:t>
            </w:r>
            <w:r>
              <w:rPr>
                <w:spacing w:val="-7"/>
                <w:sz w:val="20"/>
              </w:rPr>
              <w:t xml:space="preserve"> </w:t>
            </w:r>
            <w:r>
              <w:rPr>
                <w:sz w:val="20"/>
              </w:rPr>
              <w:t>OF</w:t>
            </w:r>
            <w:r>
              <w:rPr>
                <w:spacing w:val="-7"/>
                <w:sz w:val="20"/>
              </w:rPr>
              <w:t xml:space="preserve"> </w:t>
            </w:r>
            <w:r>
              <w:rPr>
                <w:sz w:val="20"/>
              </w:rPr>
              <w:t>WILDLIFE,</w:t>
            </w:r>
            <w:r>
              <w:rPr>
                <w:spacing w:val="-6"/>
                <w:sz w:val="20"/>
              </w:rPr>
              <w:t xml:space="preserve"> </w:t>
            </w:r>
            <w:r>
              <w:rPr>
                <w:sz w:val="20"/>
              </w:rPr>
              <w:t>FISH,</w:t>
            </w:r>
            <w:r>
              <w:rPr>
                <w:spacing w:val="-7"/>
                <w:sz w:val="20"/>
              </w:rPr>
              <w:t xml:space="preserve"> </w:t>
            </w:r>
            <w:r>
              <w:rPr>
                <w:sz w:val="20"/>
              </w:rPr>
              <w:t>CRUSTACEANS</w:t>
            </w:r>
            <w:r>
              <w:rPr>
                <w:spacing w:val="-7"/>
                <w:sz w:val="20"/>
              </w:rPr>
              <w:t xml:space="preserve"> </w:t>
            </w:r>
            <w:r>
              <w:rPr>
                <w:sz w:val="20"/>
              </w:rPr>
              <w:t>AND</w:t>
            </w:r>
            <w:r>
              <w:rPr>
                <w:spacing w:val="-6"/>
                <w:sz w:val="20"/>
              </w:rPr>
              <w:t xml:space="preserve"> </w:t>
            </w:r>
            <w:r>
              <w:rPr>
                <w:spacing w:val="-2"/>
                <w:sz w:val="20"/>
              </w:rPr>
              <w:t>ENVIRONMENT</w:t>
            </w:r>
          </w:p>
          <w:p w14:paraId="403C1B87" w14:textId="77777777" w:rsidR="000A19DC" w:rsidRDefault="000A19DC" w:rsidP="0084569A">
            <w:pPr>
              <w:pStyle w:val="TableParagraph"/>
              <w:spacing w:before="10" w:line="249" w:lineRule="auto"/>
              <w:ind w:right="241"/>
              <w:rPr>
                <w:sz w:val="20"/>
              </w:rPr>
            </w:pPr>
            <w:r>
              <w:rPr>
                <w:sz w:val="20"/>
              </w:rPr>
              <w:t>Very</w:t>
            </w:r>
            <w:r>
              <w:rPr>
                <w:spacing w:val="-3"/>
                <w:sz w:val="20"/>
              </w:rPr>
              <w:t xml:space="preserve"> </w:t>
            </w:r>
            <w:r>
              <w:rPr>
                <w:sz w:val="20"/>
              </w:rPr>
              <w:t>toxic</w:t>
            </w:r>
            <w:r>
              <w:rPr>
                <w:spacing w:val="-3"/>
                <w:sz w:val="20"/>
              </w:rPr>
              <w:t xml:space="preserve"> </w:t>
            </w:r>
            <w:r>
              <w:rPr>
                <w:sz w:val="20"/>
              </w:rPr>
              <w:t>to</w:t>
            </w:r>
            <w:r>
              <w:rPr>
                <w:spacing w:val="-3"/>
                <w:sz w:val="20"/>
              </w:rPr>
              <w:t xml:space="preserve"> </w:t>
            </w:r>
            <w:r>
              <w:rPr>
                <w:sz w:val="20"/>
              </w:rPr>
              <w:t>aquatic</w:t>
            </w:r>
            <w:r>
              <w:rPr>
                <w:spacing w:val="-3"/>
                <w:sz w:val="20"/>
              </w:rPr>
              <w:t xml:space="preserve"> </w:t>
            </w:r>
            <w:r>
              <w:rPr>
                <w:sz w:val="20"/>
              </w:rPr>
              <w:t>life.</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directly</w:t>
            </w:r>
            <w:r>
              <w:rPr>
                <w:spacing w:val="-3"/>
                <w:sz w:val="20"/>
              </w:rPr>
              <w:t xml:space="preserve"> </w:t>
            </w:r>
            <w:r>
              <w:rPr>
                <w:sz w:val="20"/>
              </w:rPr>
              <w:t>to</w:t>
            </w:r>
            <w:r>
              <w:rPr>
                <w:spacing w:val="-3"/>
                <w:sz w:val="20"/>
              </w:rPr>
              <w:t xml:space="preserve"> </w:t>
            </w:r>
            <w:r>
              <w:rPr>
                <w:sz w:val="20"/>
              </w:rPr>
              <w:t>water</w:t>
            </w:r>
            <w:r>
              <w:rPr>
                <w:spacing w:val="-3"/>
                <w:sz w:val="20"/>
              </w:rPr>
              <w:t xml:space="preserve"> </w:t>
            </w:r>
            <w:r>
              <w:rPr>
                <w:sz w:val="20"/>
              </w:rPr>
              <w:t>or</w:t>
            </w:r>
            <w:r>
              <w:rPr>
                <w:spacing w:val="-3"/>
                <w:sz w:val="20"/>
              </w:rPr>
              <w:t xml:space="preserve"> </w:t>
            </w:r>
            <w:r>
              <w:rPr>
                <w:sz w:val="20"/>
              </w:rPr>
              <w:t>to</w:t>
            </w:r>
            <w:r>
              <w:rPr>
                <w:spacing w:val="-3"/>
                <w:sz w:val="20"/>
              </w:rPr>
              <w:t xml:space="preserve"> </w:t>
            </w:r>
            <w:r>
              <w:rPr>
                <w:sz w:val="20"/>
              </w:rPr>
              <w:t>areas</w:t>
            </w:r>
            <w:r>
              <w:rPr>
                <w:spacing w:val="-3"/>
                <w:sz w:val="20"/>
              </w:rPr>
              <w:t xml:space="preserve"> </w:t>
            </w:r>
            <w:r>
              <w:rPr>
                <w:sz w:val="20"/>
              </w:rPr>
              <w:t>where</w:t>
            </w:r>
            <w:r>
              <w:rPr>
                <w:spacing w:val="-3"/>
                <w:sz w:val="20"/>
              </w:rPr>
              <w:t xml:space="preserve"> </w:t>
            </w:r>
            <w:r>
              <w:rPr>
                <w:sz w:val="20"/>
              </w:rPr>
              <w:t>surface</w:t>
            </w:r>
            <w:r>
              <w:rPr>
                <w:spacing w:val="-3"/>
                <w:sz w:val="20"/>
              </w:rPr>
              <w:t xml:space="preserve"> </w:t>
            </w:r>
            <w:r>
              <w:rPr>
                <w:sz w:val="20"/>
              </w:rPr>
              <w:t xml:space="preserve">water is present. DO NOT contaminate wetlands or watercourses with this product or used </w:t>
            </w:r>
            <w:r>
              <w:rPr>
                <w:spacing w:val="-2"/>
                <w:sz w:val="20"/>
              </w:rPr>
              <w:t>containers.</w:t>
            </w:r>
          </w:p>
        </w:tc>
      </w:tr>
    </w:tbl>
    <w:p w14:paraId="53D52091"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0996F0BC" w14:textId="77777777" w:rsidTr="000A19DC">
        <w:trPr>
          <w:trHeight w:val="3040"/>
        </w:trPr>
        <w:tc>
          <w:tcPr>
            <w:tcW w:w="2098" w:type="dxa"/>
          </w:tcPr>
          <w:p w14:paraId="324F2E12" w14:textId="77777777" w:rsidR="000A19DC" w:rsidRDefault="000A19DC" w:rsidP="0084569A">
            <w:pPr>
              <w:pStyle w:val="TableParagraph"/>
              <w:spacing w:line="249" w:lineRule="auto"/>
              <w:ind w:left="85" w:right="907"/>
              <w:rPr>
                <w:sz w:val="20"/>
              </w:rPr>
            </w:pPr>
            <w:r>
              <w:rPr>
                <w:sz w:val="20"/>
              </w:rPr>
              <w:t>Storage</w:t>
            </w:r>
            <w:r>
              <w:rPr>
                <w:spacing w:val="-14"/>
                <w:sz w:val="20"/>
              </w:rPr>
              <w:t xml:space="preserve"> </w:t>
            </w:r>
            <w:r>
              <w:rPr>
                <w:sz w:val="20"/>
              </w:rPr>
              <w:t xml:space="preserve">and </w:t>
            </w:r>
            <w:r>
              <w:rPr>
                <w:spacing w:val="-2"/>
                <w:sz w:val="20"/>
              </w:rPr>
              <w:t>Disposal:</w:t>
            </w:r>
          </w:p>
        </w:tc>
        <w:tc>
          <w:tcPr>
            <w:tcW w:w="7531" w:type="dxa"/>
          </w:tcPr>
          <w:p w14:paraId="22A748C0" w14:textId="77777777" w:rsidR="000A19DC" w:rsidRDefault="000A19DC" w:rsidP="0084569A">
            <w:pPr>
              <w:pStyle w:val="TableParagraph"/>
              <w:spacing w:line="249" w:lineRule="auto"/>
              <w:ind w:right="467"/>
              <w:jc w:val="both"/>
              <w:rPr>
                <w:sz w:val="20"/>
              </w:rPr>
            </w:pPr>
            <w:r>
              <w:rPr>
                <w:sz w:val="20"/>
              </w:rPr>
              <w:t>Store</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locked</w:t>
            </w:r>
            <w:r>
              <w:rPr>
                <w:spacing w:val="-4"/>
                <w:sz w:val="20"/>
              </w:rPr>
              <w:t xml:space="preserve"> </w:t>
            </w:r>
            <w:r>
              <w:rPr>
                <w:sz w:val="20"/>
              </w:rPr>
              <w:t>room</w:t>
            </w:r>
            <w:r>
              <w:rPr>
                <w:spacing w:val="-4"/>
                <w:sz w:val="20"/>
              </w:rPr>
              <w:t xml:space="preserve"> </w:t>
            </w:r>
            <w:r>
              <w:rPr>
                <w:sz w:val="20"/>
              </w:rPr>
              <w:t>or</w:t>
            </w:r>
            <w:r>
              <w:rPr>
                <w:spacing w:val="-4"/>
                <w:sz w:val="20"/>
              </w:rPr>
              <w:t xml:space="preserve"> </w:t>
            </w:r>
            <w:r>
              <w:rPr>
                <w:sz w:val="20"/>
              </w:rPr>
              <w:t>place</w:t>
            </w:r>
            <w:r>
              <w:rPr>
                <w:spacing w:val="-4"/>
                <w:sz w:val="20"/>
              </w:rPr>
              <w:t xml:space="preserve"> </w:t>
            </w:r>
            <w:r>
              <w:rPr>
                <w:sz w:val="20"/>
              </w:rPr>
              <w:t>away</w:t>
            </w:r>
            <w:r>
              <w:rPr>
                <w:spacing w:val="-4"/>
                <w:sz w:val="20"/>
              </w:rPr>
              <w:t xml:space="preserve"> </w:t>
            </w:r>
            <w:r>
              <w:rPr>
                <w:sz w:val="20"/>
              </w:rPr>
              <w:t>from</w:t>
            </w:r>
            <w:r>
              <w:rPr>
                <w:spacing w:val="-4"/>
                <w:sz w:val="20"/>
              </w:rPr>
              <w:t xml:space="preserve"> </w:t>
            </w:r>
            <w:r>
              <w:rPr>
                <w:sz w:val="20"/>
              </w:rPr>
              <w:t>children,</w:t>
            </w:r>
            <w:r>
              <w:rPr>
                <w:spacing w:val="-4"/>
                <w:sz w:val="20"/>
              </w:rPr>
              <w:t xml:space="preserve"> </w:t>
            </w:r>
            <w:r>
              <w:rPr>
                <w:sz w:val="20"/>
              </w:rPr>
              <w:t>animals,</w:t>
            </w:r>
            <w:r>
              <w:rPr>
                <w:spacing w:val="-4"/>
                <w:sz w:val="20"/>
              </w:rPr>
              <w:t xml:space="preserve"> </w:t>
            </w:r>
            <w:r>
              <w:rPr>
                <w:sz w:val="20"/>
              </w:rPr>
              <w:t>food,</w:t>
            </w:r>
            <w:r>
              <w:rPr>
                <w:spacing w:val="-4"/>
                <w:sz w:val="20"/>
              </w:rPr>
              <w:t xml:space="preserve"> </w:t>
            </w:r>
            <w:r>
              <w:rPr>
                <w:sz w:val="20"/>
              </w:rPr>
              <w:t>feedstuffs,</w:t>
            </w:r>
            <w:r>
              <w:rPr>
                <w:spacing w:val="-4"/>
                <w:sz w:val="20"/>
              </w:rPr>
              <w:t xml:space="preserve"> </w:t>
            </w:r>
            <w:proofErr w:type="gramStart"/>
            <w:r>
              <w:rPr>
                <w:sz w:val="20"/>
              </w:rPr>
              <w:t>seed</w:t>
            </w:r>
            <w:proofErr w:type="gramEnd"/>
            <w:r>
              <w:rPr>
                <w:spacing w:val="-4"/>
                <w:sz w:val="20"/>
              </w:rPr>
              <w:t xml:space="preserve"> </w:t>
            </w:r>
            <w:r>
              <w:rPr>
                <w:sz w:val="20"/>
              </w:rPr>
              <w:t>and fertilizers.</w:t>
            </w:r>
            <w:r>
              <w:rPr>
                <w:spacing w:val="-1"/>
                <w:sz w:val="20"/>
              </w:rPr>
              <w:t xml:space="preserve"> </w:t>
            </w:r>
            <w:r>
              <w:rPr>
                <w:sz w:val="20"/>
              </w:rPr>
              <w:t>Store</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closed</w:t>
            </w:r>
            <w:r>
              <w:rPr>
                <w:spacing w:val="-1"/>
                <w:sz w:val="20"/>
              </w:rPr>
              <w:t xml:space="preserve"> </w:t>
            </w:r>
            <w:r>
              <w:rPr>
                <w:sz w:val="20"/>
              </w:rPr>
              <w:t>original</w:t>
            </w:r>
            <w:r>
              <w:rPr>
                <w:spacing w:val="-1"/>
                <w:sz w:val="20"/>
              </w:rPr>
              <w:t xml:space="preserve"> </w:t>
            </w:r>
            <w:r>
              <w:rPr>
                <w:sz w:val="20"/>
              </w:rPr>
              <w:t>container</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cool,</w:t>
            </w:r>
            <w:r>
              <w:rPr>
                <w:spacing w:val="-1"/>
                <w:sz w:val="20"/>
              </w:rPr>
              <w:t xml:space="preserve"> </w:t>
            </w:r>
            <w:r>
              <w:rPr>
                <w:sz w:val="20"/>
              </w:rPr>
              <w:t>well-ventilated</w:t>
            </w:r>
            <w:r>
              <w:rPr>
                <w:spacing w:val="-1"/>
                <w:sz w:val="20"/>
              </w:rPr>
              <w:t xml:space="preserve"> </w:t>
            </w:r>
            <w:r>
              <w:rPr>
                <w:sz w:val="20"/>
              </w:rPr>
              <w:t>area.</w:t>
            </w:r>
            <w:r>
              <w:rPr>
                <w:spacing w:val="-1"/>
                <w:sz w:val="20"/>
              </w:rPr>
              <w:t xml:space="preserve"> </w:t>
            </w:r>
            <w:r>
              <w:rPr>
                <w:sz w:val="20"/>
              </w:rPr>
              <w:t>DO</w:t>
            </w:r>
            <w:r>
              <w:rPr>
                <w:spacing w:val="-1"/>
                <w:sz w:val="20"/>
              </w:rPr>
              <w:t xml:space="preserve"> </w:t>
            </w:r>
            <w:r>
              <w:rPr>
                <w:sz w:val="20"/>
              </w:rPr>
              <w:t>NOT store for prolonged periods in direct sunlight.</w:t>
            </w:r>
          </w:p>
          <w:p w14:paraId="069EA9EC" w14:textId="77777777" w:rsidR="000A19DC" w:rsidRDefault="000A19DC" w:rsidP="0084569A">
            <w:pPr>
              <w:pStyle w:val="TableParagraph"/>
              <w:spacing w:before="12"/>
              <w:ind w:left="0"/>
              <w:rPr>
                <w:sz w:val="20"/>
              </w:rPr>
            </w:pPr>
          </w:p>
          <w:p w14:paraId="0FE970BE" w14:textId="77777777" w:rsidR="000A19DC" w:rsidRDefault="000A19DC" w:rsidP="0084569A">
            <w:pPr>
              <w:pStyle w:val="TableParagraph"/>
              <w:spacing w:before="0" w:line="249" w:lineRule="auto"/>
              <w:ind w:right="81"/>
              <w:rPr>
                <w:sz w:val="20"/>
              </w:rPr>
            </w:pPr>
            <w:r>
              <w:rPr>
                <w:sz w:val="20"/>
              </w:rPr>
              <w:t>Triple-rinse containers before disposal. Add rinsings to spray tank. DO NOT dispose of undiluted</w:t>
            </w:r>
            <w:r>
              <w:rPr>
                <w:spacing w:val="-4"/>
                <w:sz w:val="20"/>
              </w:rPr>
              <w:t xml:space="preserve"> </w:t>
            </w:r>
            <w:r>
              <w:rPr>
                <w:sz w:val="20"/>
              </w:rPr>
              <w:t>chemicals</w:t>
            </w:r>
            <w:r>
              <w:rPr>
                <w:spacing w:val="-4"/>
                <w:sz w:val="20"/>
              </w:rPr>
              <w:t xml:space="preserve"> </w:t>
            </w:r>
            <w:r>
              <w:rPr>
                <w:sz w:val="20"/>
              </w:rPr>
              <w:t>on</w:t>
            </w:r>
            <w:r>
              <w:rPr>
                <w:spacing w:val="-4"/>
                <w:sz w:val="20"/>
              </w:rPr>
              <w:t xml:space="preserve"> </w:t>
            </w:r>
            <w:r>
              <w:rPr>
                <w:sz w:val="20"/>
              </w:rPr>
              <w:t>site.</w:t>
            </w:r>
            <w:r>
              <w:rPr>
                <w:spacing w:val="-4"/>
                <w:sz w:val="20"/>
              </w:rPr>
              <w:t xml:space="preserve"> </w:t>
            </w:r>
            <w:r>
              <w:rPr>
                <w:sz w:val="20"/>
              </w:rPr>
              <w:t>If</w:t>
            </w:r>
            <w:r>
              <w:rPr>
                <w:spacing w:val="-4"/>
                <w:sz w:val="20"/>
              </w:rPr>
              <w:t xml:space="preserve"> </w:t>
            </w:r>
            <w:r>
              <w:rPr>
                <w:sz w:val="20"/>
              </w:rPr>
              <w:t>recycling,</w:t>
            </w:r>
            <w:r>
              <w:rPr>
                <w:spacing w:val="-4"/>
                <w:sz w:val="20"/>
              </w:rPr>
              <w:t xml:space="preserve"> </w:t>
            </w:r>
            <w:r>
              <w:rPr>
                <w:sz w:val="20"/>
              </w:rPr>
              <w:t>replace</w:t>
            </w:r>
            <w:r>
              <w:rPr>
                <w:spacing w:val="-4"/>
                <w:sz w:val="20"/>
              </w:rPr>
              <w:t xml:space="preserve"> </w:t>
            </w:r>
            <w:r>
              <w:rPr>
                <w:sz w:val="20"/>
              </w:rPr>
              <w:t>cap</w:t>
            </w:r>
            <w:r>
              <w:rPr>
                <w:spacing w:val="-4"/>
                <w:sz w:val="20"/>
              </w:rPr>
              <w:t xml:space="preserve"> </w:t>
            </w:r>
            <w:r>
              <w:rPr>
                <w:sz w:val="20"/>
              </w:rPr>
              <w:t>and</w:t>
            </w:r>
            <w:r>
              <w:rPr>
                <w:spacing w:val="-4"/>
                <w:sz w:val="20"/>
              </w:rPr>
              <w:t xml:space="preserve"> </w:t>
            </w:r>
            <w:r>
              <w:rPr>
                <w:sz w:val="20"/>
              </w:rPr>
              <w:t>return</w:t>
            </w:r>
            <w:r>
              <w:rPr>
                <w:spacing w:val="-4"/>
                <w:sz w:val="20"/>
              </w:rPr>
              <w:t xml:space="preserve"> </w:t>
            </w:r>
            <w:r>
              <w:rPr>
                <w:sz w:val="20"/>
              </w:rPr>
              <w:t>clean</w:t>
            </w:r>
            <w:r>
              <w:rPr>
                <w:spacing w:val="-4"/>
                <w:sz w:val="20"/>
              </w:rPr>
              <w:t xml:space="preserve"> </w:t>
            </w:r>
            <w:r>
              <w:rPr>
                <w:sz w:val="20"/>
              </w:rPr>
              <w:t>containers</w:t>
            </w:r>
            <w:r>
              <w:rPr>
                <w:spacing w:val="-4"/>
                <w:sz w:val="20"/>
              </w:rPr>
              <w:t xml:space="preserve"> </w:t>
            </w:r>
            <w:r>
              <w:rPr>
                <w:sz w:val="20"/>
              </w:rPr>
              <w:t>to</w:t>
            </w:r>
            <w:r>
              <w:rPr>
                <w:spacing w:val="-4"/>
                <w:sz w:val="20"/>
              </w:rPr>
              <w:t xml:space="preserve"> </w:t>
            </w:r>
            <w:r>
              <w:rPr>
                <w:sz w:val="20"/>
              </w:rPr>
              <w:t xml:space="preserve">recycler or designated collection point. If not recycling, break, </w:t>
            </w:r>
            <w:proofErr w:type="gramStart"/>
            <w:r>
              <w:rPr>
                <w:sz w:val="20"/>
              </w:rPr>
              <w:t>crush</w:t>
            </w:r>
            <w:proofErr w:type="gramEnd"/>
            <w:r>
              <w:rPr>
                <w:sz w:val="20"/>
              </w:rPr>
              <w:t>, or puncture and deliver empty packaging to an approved waste management facility. If an approved waste management facility is not available, bury the empty packaging 500 mm below the surface in a disposal pit</w:t>
            </w:r>
            <w:r>
              <w:rPr>
                <w:spacing w:val="-2"/>
                <w:sz w:val="20"/>
              </w:rPr>
              <w:t xml:space="preserve"> </w:t>
            </w:r>
            <w:r>
              <w:rPr>
                <w:sz w:val="20"/>
              </w:rPr>
              <w:t>specifically</w:t>
            </w:r>
            <w:r>
              <w:rPr>
                <w:spacing w:val="-2"/>
                <w:sz w:val="20"/>
              </w:rPr>
              <w:t xml:space="preserve"> </w:t>
            </w:r>
            <w:r>
              <w:rPr>
                <w:sz w:val="20"/>
              </w:rPr>
              <w:t>marked</w:t>
            </w:r>
            <w:r>
              <w:rPr>
                <w:spacing w:val="-2"/>
                <w:sz w:val="20"/>
              </w:rPr>
              <w:t xml:space="preserve"> </w:t>
            </w:r>
            <w:r>
              <w:rPr>
                <w:sz w:val="20"/>
              </w:rPr>
              <w:t>and</w:t>
            </w:r>
            <w:r>
              <w:rPr>
                <w:spacing w:val="-2"/>
                <w:sz w:val="20"/>
              </w:rPr>
              <w:t xml:space="preserve"> </w:t>
            </w:r>
            <w:r>
              <w:rPr>
                <w:sz w:val="20"/>
              </w:rPr>
              <w:t>set</w:t>
            </w:r>
            <w:r>
              <w:rPr>
                <w:spacing w:val="-2"/>
                <w:sz w:val="20"/>
              </w:rPr>
              <w:t xml:space="preserve"> </w:t>
            </w:r>
            <w:r>
              <w:rPr>
                <w:sz w:val="20"/>
              </w:rPr>
              <w:t>up</w:t>
            </w:r>
            <w:r>
              <w:rPr>
                <w:spacing w:val="-2"/>
                <w:sz w:val="20"/>
              </w:rPr>
              <w:t xml:space="preserve"> </w:t>
            </w:r>
            <w:r>
              <w:rPr>
                <w:sz w:val="20"/>
              </w:rPr>
              <w:t>for</w:t>
            </w:r>
            <w:r>
              <w:rPr>
                <w:spacing w:val="-2"/>
                <w:sz w:val="20"/>
              </w:rPr>
              <w:t xml:space="preserve"> </w:t>
            </w:r>
            <w:r>
              <w:rPr>
                <w:sz w:val="20"/>
              </w:rPr>
              <w:t>this</w:t>
            </w:r>
            <w:r>
              <w:rPr>
                <w:spacing w:val="-2"/>
                <w:sz w:val="20"/>
              </w:rPr>
              <w:t xml:space="preserve"> </w:t>
            </w:r>
            <w:r>
              <w:rPr>
                <w:sz w:val="20"/>
              </w:rPr>
              <w:t>purpose,</w:t>
            </w:r>
            <w:r>
              <w:rPr>
                <w:spacing w:val="-2"/>
                <w:sz w:val="20"/>
              </w:rPr>
              <w:t xml:space="preserve"> </w:t>
            </w:r>
            <w:r>
              <w:rPr>
                <w:sz w:val="20"/>
              </w:rPr>
              <w:t>clear</w:t>
            </w:r>
            <w:r>
              <w:rPr>
                <w:spacing w:val="-2"/>
                <w:sz w:val="20"/>
              </w:rPr>
              <w:t xml:space="preserve"> </w:t>
            </w:r>
            <w:r>
              <w:rPr>
                <w:sz w:val="20"/>
              </w:rPr>
              <w:t>of</w:t>
            </w:r>
            <w:r>
              <w:rPr>
                <w:spacing w:val="-2"/>
                <w:sz w:val="20"/>
              </w:rPr>
              <w:t xml:space="preserve"> </w:t>
            </w:r>
            <w:r>
              <w:rPr>
                <w:sz w:val="20"/>
              </w:rPr>
              <w:t>waterways,</w:t>
            </w:r>
            <w:r>
              <w:rPr>
                <w:spacing w:val="-2"/>
                <w:sz w:val="20"/>
              </w:rPr>
              <w:t xml:space="preserve"> </w:t>
            </w:r>
            <w:r>
              <w:rPr>
                <w:sz w:val="20"/>
              </w:rPr>
              <w:t>desirable</w:t>
            </w:r>
            <w:r>
              <w:rPr>
                <w:spacing w:val="-2"/>
                <w:sz w:val="20"/>
              </w:rPr>
              <w:t xml:space="preserve"> </w:t>
            </w:r>
            <w:r>
              <w:rPr>
                <w:sz w:val="20"/>
              </w:rPr>
              <w:t>vegetation and tree roots, in compliance with relevant local, state or territory government regulations. DO NOT burn empty containers or product.</w:t>
            </w:r>
          </w:p>
        </w:tc>
      </w:tr>
    </w:tbl>
    <w:p w14:paraId="7E9E0940"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31151223" w14:textId="77777777" w:rsidTr="000A19DC">
        <w:trPr>
          <w:trHeight w:val="880"/>
        </w:trPr>
        <w:tc>
          <w:tcPr>
            <w:tcW w:w="2098" w:type="dxa"/>
          </w:tcPr>
          <w:p w14:paraId="0FD5DBDB" w14:textId="77777777" w:rsidR="000A19DC" w:rsidRDefault="000A19DC" w:rsidP="0084569A">
            <w:pPr>
              <w:pStyle w:val="TableParagraph"/>
              <w:ind w:left="85"/>
              <w:rPr>
                <w:sz w:val="20"/>
              </w:rPr>
            </w:pPr>
            <w:r>
              <w:rPr>
                <w:sz w:val="20"/>
              </w:rPr>
              <w:t>Safety</w:t>
            </w:r>
            <w:r>
              <w:rPr>
                <w:spacing w:val="-1"/>
                <w:sz w:val="20"/>
              </w:rPr>
              <w:t xml:space="preserve"> </w:t>
            </w:r>
            <w:r>
              <w:rPr>
                <w:spacing w:val="-2"/>
                <w:sz w:val="20"/>
              </w:rPr>
              <w:t>Directions:</w:t>
            </w:r>
          </w:p>
        </w:tc>
        <w:tc>
          <w:tcPr>
            <w:tcW w:w="7531" w:type="dxa"/>
          </w:tcPr>
          <w:p w14:paraId="1A6020ED" w14:textId="77777777" w:rsidR="000A19DC" w:rsidRDefault="000A19DC" w:rsidP="0084569A">
            <w:pPr>
              <w:pStyle w:val="TableParagraph"/>
              <w:spacing w:line="249" w:lineRule="auto"/>
              <w:ind w:right="241"/>
              <w:rPr>
                <w:sz w:val="20"/>
              </w:rPr>
            </w:pPr>
            <w:r>
              <w:rPr>
                <w:sz w:val="20"/>
              </w:rPr>
              <w:t>When</w:t>
            </w:r>
            <w:r>
              <w:rPr>
                <w:spacing w:val="-4"/>
                <w:sz w:val="20"/>
              </w:rPr>
              <w:t xml:space="preserve"> </w:t>
            </w:r>
            <w:r>
              <w:rPr>
                <w:sz w:val="20"/>
              </w:rPr>
              <w:t>using</w:t>
            </w:r>
            <w:r>
              <w:rPr>
                <w:spacing w:val="-4"/>
                <w:sz w:val="20"/>
              </w:rPr>
              <w:t xml:space="preserve"> </w:t>
            </w:r>
            <w:r>
              <w:rPr>
                <w:sz w:val="20"/>
              </w:rPr>
              <w:t>together</w:t>
            </w:r>
            <w:r>
              <w:rPr>
                <w:spacing w:val="-4"/>
                <w:sz w:val="20"/>
              </w:rPr>
              <w:t xml:space="preserve"> </w:t>
            </w:r>
            <w:r>
              <w:rPr>
                <w:sz w:val="20"/>
              </w:rPr>
              <w:t>with</w:t>
            </w:r>
            <w:r>
              <w:rPr>
                <w:spacing w:val="-4"/>
                <w:sz w:val="20"/>
              </w:rPr>
              <w:t xml:space="preserve"> </w:t>
            </w:r>
            <w:r>
              <w:rPr>
                <w:sz w:val="20"/>
              </w:rPr>
              <w:t>other</w:t>
            </w:r>
            <w:r>
              <w:rPr>
                <w:spacing w:val="-4"/>
                <w:sz w:val="20"/>
              </w:rPr>
              <w:t xml:space="preserve"> </w:t>
            </w:r>
            <w:r>
              <w:rPr>
                <w:sz w:val="20"/>
              </w:rPr>
              <w:t>products,</w:t>
            </w:r>
            <w:r>
              <w:rPr>
                <w:spacing w:val="-4"/>
                <w:sz w:val="20"/>
              </w:rPr>
              <w:t xml:space="preserve"> </w:t>
            </w:r>
            <w:r>
              <w:rPr>
                <w:sz w:val="20"/>
              </w:rPr>
              <w:t>consult</w:t>
            </w:r>
            <w:r>
              <w:rPr>
                <w:spacing w:val="-4"/>
                <w:sz w:val="20"/>
              </w:rPr>
              <w:t xml:space="preserve"> </w:t>
            </w:r>
            <w:r>
              <w:rPr>
                <w:sz w:val="20"/>
              </w:rPr>
              <w:t>their</w:t>
            </w:r>
            <w:r>
              <w:rPr>
                <w:spacing w:val="-4"/>
                <w:sz w:val="20"/>
              </w:rPr>
              <w:t xml:space="preserve"> </w:t>
            </w:r>
            <w:r>
              <w:rPr>
                <w:sz w:val="20"/>
              </w:rPr>
              <w:t>label</w:t>
            </w:r>
            <w:r>
              <w:rPr>
                <w:spacing w:val="-4"/>
                <w:sz w:val="20"/>
              </w:rPr>
              <w:t xml:space="preserve"> </w:t>
            </w:r>
            <w:r>
              <w:rPr>
                <w:sz w:val="20"/>
              </w:rPr>
              <w:t>safety</w:t>
            </w:r>
            <w:r>
              <w:rPr>
                <w:spacing w:val="-4"/>
                <w:sz w:val="20"/>
              </w:rPr>
              <w:t xml:space="preserve"> </w:t>
            </w:r>
            <w:r>
              <w:rPr>
                <w:sz w:val="20"/>
              </w:rPr>
              <w:t>directions.</w:t>
            </w:r>
            <w:r>
              <w:rPr>
                <w:spacing w:val="-4"/>
                <w:sz w:val="20"/>
              </w:rPr>
              <w:t xml:space="preserve"> </w:t>
            </w:r>
            <w:r>
              <w:rPr>
                <w:sz w:val="20"/>
              </w:rPr>
              <w:t>When</w:t>
            </w:r>
            <w:r>
              <w:rPr>
                <w:spacing w:val="-4"/>
                <w:sz w:val="20"/>
              </w:rPr>
              <w:t xml:space="preserve"> </w:t>
            </w:r>
            <w:r>
              <w:rPr>
                <w:sz w:val="20"/>
              </w:rPr>
              <w:t>using the product wear cotton overalls buttoned to the neck and wrist (or equivalent clothing).</w:t>
            </w:r>
          </w:p>
          <w:p w14:paraId="74DBD8B2" w14:textId="77777777" w:rsidR="000A19DC" w:rsidRDefault="000A19DC" w:rsidP="0084569A">
            <w:pPr>
              <w:pStyle w:val="TableParagraph"/>
              <w:spacing w:before="2"/>
              <w:rPr>
                <w:sz w:val="20"/>
              </w:rPr>
            </w:pPr>
            <w:r>
              <w:rPr>
                <w:sz w:val="20"/>
              </w:rPr>
              <w:t>Wash</w:t>
            </w:r>
            <w:r>
              <w:rPr>
                <w:spacing w:val="-6"/>
                <w:sz w:val="20"/>
              </w:rPr>
              <w:t xml:space="preserve"> </w:t>
            </w:r>
            <w:r>
              <w:rPr>
                <w:sz w:val="20"/>
              </w:rPr>
              <w:t>hands</w:t>
            </w:r>
            <w:r>
              <w:rPr>
                <w:spacing w:val="-3"/>
                <w:sz w:val="20"/>
              </w:rPr>
              <w:t xml:space="preserve"> </w:t>
            </w:r>
            <w:r>
              <w:rPr>
                <w:sz w:val="20"/>
              </w:rPr>
              <w:t>after</w:t>
            </w:r>
            <w:r>
              <w:rPr>
                <w:spacing w:val="-4"/>
                <w:sz w:val="20"/>
              </w:rPr>
              <w:t xml:space="preserve"> </w:t>
            </w:r>
            <w:r>
              <w:rPr>
                <w:sz w:val="20"/>
              </w:rPr>
              <w:t>use.</w:t>
            </w:r>
            <w:r>
              <w:rPr>
                <w:spacing w:val="-3"/>
                <w:sz w:val="20"/>
              </w:rPr>
              <w:t xml:space="preserve"> </w:t>
            </w:r>
            <w:r>
              <w:rPr>
                <w:sz w:val="20"/>
              </w:rPr>
              <w:t>After</w:t>
            </w:r>
            <w:r>
              <w:rPr>
                <w:spacing w:val="-4"/>
                <w:sz w:val="20"/>
              </w:rPr>
              <w:t xml:space="preserve"> </w:t>
            </w:r>
            <w:r>
              <w:rPr>
                <w:sz w:val="20"/>
              </w:rPr>
              <w:t>each</w:t>
            </w:r>
            <w:r>
              <w:rPr>
                <w:spacing w:val="-3"/>
                <w:sz w:val="20"/>
              </w:rPr>
              <w:t xml:space="preserve"> </w:t>
            </w:r>
            <w:r>
              <w:rPr>
                <w:sz w:val="20"/>
              </w:rPr>
              <w:t>day’s</w:t>
            </w:r>
            <w:r>
              <w:rPr>
                <w:spacing w:val="-4"/>
                <w:sz w:val="20"/>
              </w:rPr>
              <w:t xml:space="preserve"> </w:t>
            </w:r>
            <w:r>
              <w:rPr>
                <w:sz w:val="20"/>
              </w:rPr>
              <w:t>use</w:t>
            </w:r>
            <w:r>
              <w:rPr>
                <w:spacing w:val="-3"/>
                <w:sz w:val="20"/>
              </w:rPr>
              <w:t xml:space="preserve"> </w:t>
            </w:r>
            <w:r>
              <w:rPr>
                <w:sz w:val="20"/>
              </w:rPr>
              <w:t>wash</w:t>
            </w:r>
            <w:r>
              <w:rPr>
                <w:spacing w:val="-4"/>
                <w:sz w:val="20"/>
              </w:rPr>
              <w:t xml:space="preserve"> </w:t>
            </w:r>
            <w:r>
              <w:rPr>
                <w:sz w:val="20"/>
              </w:rPr>
              <w:t>contaminated</w:t>
            </w:r>
            <w:r>
              <w:rPr>
                <w:spacing w:val="-3"/>
                <w:sz w:val="20"/>
              </w:rPr>
              <w:t xml:space="preserve"> </w:t>
            </w:r>
            <w:r>
              <w:rPr>
                <w:spacing w:val="-2"/>
                <w:sz w:val="20"/>
              </w:rPr>
              <w:t>clothing.</w:t>
            </w:r>
          </w:p>
        </w:tc>
      </w:tr>
    </w:tbl>
    <w:p w14:paraId="10658ABB"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1966B7E6" w14:textId="77777777" w:rsidTr="000A19DC">
        <w:trPr>
          <w:trHeight w:val="640"/>
        </w:trPr>
        <w:tc>
          <w:tcPr>
            <w:tcW w:w="2098" w:type="dxa"/>
          </w:tcPr>
          <w:p w14:paraId="2287DC63" w14:textId="77777777" w:rsidR="000A19DC" w:rsidRDefault="000A19DC" w:rsidP="0084569A">
            <w:pPr>
              <w:pStyle w:val="TableParagraph"/>
              <w:ind w:left="85"/>
              <w:rPr>
                <w:sz w:val="20"/>
              </w:rPr>
            </w:pPr>
            <w:r>
              <w:rPr>
                <w:sz w:val="20"/>
              </w:rPr>
              <w:t>First</w:t>
            </w:r>
            <w:r>
              <w:rPr>
                <w:spacing w:val="-4"/>
                <w:sz w:val="20"/>
              </w:rPr>
              <w:t xml:space="preserve"> </w:t>
            </w:r>
            <w:r>
              <w:rPr>
                <w:sz w:val="20"/>
              </w:rPr>
              <w:t>Aid</w:t>
            </w:r>
            <w:r>
              <w:rPr>
                <w:spacing w:val="-4"/>
                <w:sz w:val="20"/>
              </w:rPr>
              <w:t xml:space="preserve"> </w:t>
            </w:r>
            <w:r>
              <w:rPr>
                <w:spacing w:val="-2"/>
                <w:sz w:val="20"/>
              </w:rPr>
              <w:t>Instructions:</w:t>
            </w:r>
          </w:p>
        </w:tc>
        <w:tc>
          <w:tcPr>
            <w:tcW w:w="7531" w:type="dxa"/>
          </w:tcPr>
          <w:p w14:paraId="511E7B22" w14:textId="77777777" w:rsidR="000A19DC" w:rsidRDefault="000A19DC" w:rsidP="0084569A">
            <w:pPr>
              <w:pStyle w:val="TableParagraph"/>
              <w:spacing w:line="249" w:lineRule="auto"/>
              <w:rPr>
                <w:sz w:val="20"/>
              </w:rPr>
            </w:pPr>
            <w:r>
              <w:rPr>
                <w:sz w:val="20"/>
              </w:rPr>
              <w:t>First</w:t>
            </w:r>
            <w:r>
              <w:rPr>
                <w:spacing w:val="-4"/>
                <w:sz w:val="20"/>
              </w:rPr>
              <w:t xml:space="preserve"> </w:t>
            </w:r>
            <w:r>
              <w:rPr>
                <w:sz w:val="20"/>
              </w:rPr>
              <w:t>aid</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generally</w:t>
            </w:r>
            <w:r>
              <w:rPr>
                <w:spacing w:val="-4"/>
                <w:sz w:val="20"/>
              </w:rPr>
              <w:t xml:space="preserve"> </w:t>
            </w:r>
            <w:r>
              <w:rPr>
                <w:sz w:val="20"/>
              </w:rPr>
              <w:t>required.</w:t>
            </w:r>
            <w:r>
              <w:rPr>
                <w:spacing w:val="-4"/>
                <w:sz w:val="20"/>
              </w:rPr>
              <w:t xml:space="preserve"> </w:t>
            </w:r>
            <w:r>
              <w:rPr>
                <w:sz w:val="20"/>
              </w:rPr>
              <w:t>If</w:t>
            </w:r>
            <w:r>
              <w:rPr>
                <w:spacing w:val="-4"/>
                <w:sz w:val="20"/>
              </w:rPr>
              <w:t xml:space="preserve"> </w:t>
            </w:r>
            <w:r>
              <w:rPr>
                <w:sz w:val="20"/>
              </w:rPr>
              <w:t>in</w:t>
            </w:r>
            <w:r>
              <w:rPr>
                <w:spacing w:val="-4"/>
                <w:sz w:val="20"/>
              </w:rPr>
              <w:t xml:space="preserve"> </w:t>
            </w:r>
            <w:r>
              <w:rPr>
                <w:sz w:val="20"/>
              </w:rPr>
              <w:t>doubt,</w:t>
            </w:r>
            <w:r>
              <w:rPr>
                <w:spacing w:val="-4"/>
                <w:sz w:val="20"/>
              </w:rPr>
              <w:t xml:space="preserve"> </w:t>
            </w:r>
            <w:r>
              <w:rPr>
                <w:sz w:val="20"/>
              </w:rPr>
              <w:t>contact</w:t>
            </w:r>
            <w:r>
              <w:rPr>
                <w:spacing w:val="-4"/>
                <w:sz w:val="20"/>
              </w:rPr>
              <w:t xml:space="preserve"> </w:t>
            </w:r>
            <w:r>
              <w:rPr>
                <w:sz w:val="20"/>
              </w:rPr>
              <w:t>a</w:t>
            </w:r>
            <w:r>
              <w:rPr>
                <w:spacing w:val="-4"/>
                <w:sz w:val="20"/>
              </w:rPr>
              <w:t xml:space="preserve"> </w:t>
            </w:r>
            <w:r>
              <w:rPr>
                <w:sz w:val="20"/>
              </w:rPr>
              <w:t>Poisons</w:t>
            </w:r>
            <w:r>
              <w:rPr>
                <w:spacing w:val="-4"/>
                <w:sz w:val="20"/>
              </w:rPr>
              <w:t xml:space="preserve"> </w:t>
            </w:r>
            <w:r>
              <w:rPr>
                <w:sz w:val="20"/>
              </w:rPr>
              <w:t>Information</w:t>
            </w:r>
            <w:r>
              <w:rPr>
                <w:spacing w:val="-4"/>
                <w:sz w:val="20"/>
              </w:rPr>
              <w:t xml:space="preserve"> </w:t>
            </w:r>
            <w:r>
              <w:rPr>
                <w:sz w:val="20"/>
              </w:rPr>
              <w:t>Centre</w:t>
            </w:r>
            <w:r>
              <w:rPr>
                <w:spacing w:val="-4"/>
                <w:sz w:val="20"/>
              </w:rPr>
              <w:t xml:space="preserve"> </w:t>
            </w:r>
            <w:r>
              <w:rPr>
                <w:sz w:val="20"/>
              </w:rPr>
              <w:t>(phone Australia 13 11 26; New Zealand 0800 764 766) or a doctor.</w:t>
            </w:r>
          </w:p>
        </w:tc>
      </w:tr>
    </w:tbl>
    <w:p w14:paraId="14A99F4A" w14:textId="77777777" w:rsidR="000A19DC" w:rsidRDefault="000A19DC" w:rsidP="000A19DC">
      <w:pPr>
        <w:pStyle w:val="BodyText0"/>
        <w:ind w:left="142"/>
      </w:pPr>
    </w:p>
    <w:tbl>
      <w:tblPr>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531"/>
      </w:tblGrid>
      <w:tr w:rsidR="000A19DC" w14:paraId="56F78782" w14:textId="77777777" w:rsidTr="000A19DC">
        <w:trPr>
          <w:trHeight w:val="400"/>
        </w:trPr>
        <w:tc>
          <w:tcPr>
            <w:tcW w:w="2098" w:type="dxa"/>
          </w:tcPr>
          <w:p w14:paraId="4A509E38" w14:textId="77777777" w:rsidR="000A19DC" w:rsidRDefault="000A19DC" w:rsidP="0084569A">
            <w:pPr>
              <w:pStyle w:val="TableParagraph"/>
              <w:ind w:left="85"/>
              <w:rPr>
                <w:sz w:val="20"/>
              </w:rPr>
            </w:pPr>
            <w:r>
              <w:rPr>
                <w:sz w:val="20"/>
              </w:rPr>
              <w:t>First</w:t>
            </w:r>
            <w:r>
              <w:rPr>
                <w:spacing w:val="-4"/>
                <w:sz w:val="20"/>
              </w:rPr>
              <w:t xml:space="preserve"> </w:t>
            </w:r>
            <w:r>
              <w:rPr>
                <w:sz w:val="20"/>
              </w:rPr>
              <w:t>Aid</w:t>
            </w:r>
            <w:r>
              <w:rPr>
                <w:spacing w:val="-4"/>
                <w:sz w:val="20"/>
              </w:rPr>
              <w:t xml:space="preserve"> </w:t>
            </w:r>
            <w:r>
              <w:rPr>
                <w:spacing w:val="-2"/>
                <w:sz w:val="20"/>
              </w:rPr>
              <w:t>Warnings:</w:t>
            </w:r>
          </w:p>
        </w:tc>
        <w:tc>
          <w:tcPr>
            <w:tcW w:w="7531" w:type="dxa"/>
          </w:tcPr>
          <w:p w14:paraId="11D29700" w14:textId="77777777" w:rsidR="000A19DC" w:rsidRDefault="000A19DC" w:rsidP="0084569A">
            <w:pPr>
              <w:pStyle w:val="TableParagraph"/>
              <w:spacing w:before="0"/>
              <w:ind w:left="0"/>
              <w:rPr>
                <w:rFonts w:ascii="Times New Roman"/>
                <w:sz w:val="18"/>
              </w:rPr>
            </w:pPr>
          </w:p>
        </w:tc>
      </w:tr>
    </w:tbl>
    <w:p w14:paraId="71165C04" w14:textId="77777777" w:rsidR="000A19DC" w:rsidRDefault="000A19DC" w:rsidP="000A19DC">
      <w:pPr>
        <w:ind w:left="142"/>
      </w:pPr>
    </w:p>
    <w:p w14:paraId="01D504D6" w14:textId="77777777" w:rsidR="000A19DC" w:rsidRDefault="000A19DC" w:rsidP="000A19DC">
      <w:pPr>
        <w:ind w:left="142"/>
      </w:pPr>
    </w:p>
    <w:p w14:paraId="4E9478FC" w14:textId="3C0CC3CC" w:rsidR="000A19DC" w:rsidRPr="00E252E4" w:rsidRDefault="000A19DC" w:rsidP="000A19DC">
      <w:pPr>
        <w:spacing w:before="40"/>
        <w:ind w:left="142" w:right="712"/>
        <w:rPr>
          <w:b/>
          <w:bCs/>
          <w:szCs w:val="20"/>
        </w:rPr>
      </w:pPr>
      <w:r w:rsidRPr="00E252E4">
        <w:rPr>
          <w:rFonts w:cs="Arial"/>
          <w:b/>
          <w:bCs/>
          <w:szCs w:val="20"/>
        </w:rPr>
        <w:lastRenderedPageBreak/>
        <w:t>RESTRAINTS</w:t>
      </w:r>
    </w:p>
    <w:p w14:paraId="30F23CA8" w14:textId="77777777" w:rsidR="000A19DC" w:rsidRPr="00BD5677" w:rsidRDefault="000A19DC" w:rsidP="000A19DC">
      <w:pPr>
        <w:spacing w:before="40"/>
        <w:ind w:left="142" w:right="712"/>
        <w:rPr>
          <w:rFonts w:cs="Arial"/>
          <w:b/>
          <w:bCs/>
          <w:szCs w:val="20"/>
        </w:rPr>
      </w:pPr>
    </w:p>
    <w:p w14:paraId="43762AC6" w14:textId="1B97ADFC" w:rsidR="00AB4AB3" w:rsidRDefault="00AB4AB3"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b/>
          <w:bCs/>
          <w:sz w:val="20"/>
          <w:szCs w:val="20"/>
          <w:lang w:val="en-AU"/>
        </w:rPr>
      </w:pPr>
      <w:r w:rsidRPr="00BD5677">
        <w:rPr>
          <w:rFonts w:ascii="Arial" w:hAnsi="Arial" w:cs="Arial"/>
          <w:b/>
          <w:bCs/>
          <w:sz w:val="20"/>
          <w:szCs w:val="20"/>
          <w:lang w:val="en-AU"/>
        </w:rPr>
        <w:t xml:space="preserve">DO NOT </w:t>
      </w:r>
      <w:r w:rsidRPr="00BD5677">
        <w:rPr>
          <w:rFonts w:ascii="Arial" w:hAnsi="Arial" w:cs="Arial"/>
          <w:sz w:val="20"/>
          <w:szCs w:val="20"/>
          <w:lang w:val="en-AU"/>
        </w:rPr>
        <w:t>apply</w:t>
      </w:r>
      <w:r>
        <w:rPr>
          <w:rFonts w:ascii="Arial" w:hAnsi="Arial" w:cs="Arial"/>
          <w:sz w:val="20"/>
          <w:szCs w:val="20"/>
          <w:lang w:val="en-AU"/>
        </w:rPr>
        <w:t xml:space="preserve"> by aircraft</w:t>
      </w:r>
    </w:p>
    <w:p w14:paraId="69210233" w14:textId="7F608B42"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 xml:space="preserve">DO NOT </w:t>
      </w:r>
      <w:r w:rsidRPr="00BD5677">
        <w:rPr>
          <w:rFonts w:ascii="Arial" w:hAnsi="Arial" w:cs="Arial"/>
          <w:sz w:val="20"/>
          <w:szCs w:val="20"/>
          <w:lang w:val="en-AU"/>
        </w:rPr>
        <w:t xml:space="preserve">apply </w:t>
      </w:r>
      <w:r w:rsidR="00390CAB">
        <w:rPr>
          <w:rFonts w:ascii="Arial" w:hAnsi="Arial" w:cs="Arial"/>
          <w:sz w:val="20"/>
          <w:szCs w:val="20"/>
          <w:lang w:val="en-AU"/>
        </w:rPr>
        <w:t>Accede</w:t>
      </w:r>
      <w:r w:rsidRPr="00BD5677">
        <w:rPr>
          <w:rFonts w:ascii="Arial" w:hAnsi="Arial" w:cs="Arial"/>
          <w:sz w:val="20"/>
          <w:szCs w:val="20"/>
          <w:lang w:val="en-AU"/>
        </w:rPr>
        <w:t xml:space="preserve"> through any type of irrigation system.</w:t>
      </w:r>
    </w:p>
    <w:p w14:paraId="622B7CD1" w14:textId="77777777" w:rsidR="00AB4AB3" w:rsidRPr="00BD5677" w:rsidRDefault="00AB4AB3"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b/>
          <w:bCs/>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if heavy rains or storms are forecast within 3 days.</w:t>
      </w:r>
    </w:p>
    <w:p w14:paraId="6BA7D420" w14:textId="77777777" w:rsidR="00AB4AB3" w:rsidRDefault="00AB4AB3"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irrigate to the point of water runoff from the treatment area for at least 3 days after application.</w:t>
      </w:r>
    </w:p>
    <w:p w14:paraId="67D56F94" w14:textId="40613129"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Accede if frost is expected or has occurred within 2 days, or daytime maximum temperature is expected to be less than 10°C. For best results apply when daily temperatures range is between 5°C and 25°C. </w:t>
      </w:r>
    </w:p>
    <w:p w14:paraId="02267DE6" w14:textId="77777777"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Accede to injured or stressed plants or fruits e.g. drought/heat stress, waterlogging, freeze injury, girdled trees, etc.</w:t>
      </w:r>
    </w:p>
    <w:p w14:paraId="19B8A112" w14:textId="74BFC62A"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use overhead </w:t>
      </w:r>
      <w:r w:rsidR="00334254">
        <w:rPr>
          <w:rFonts w:ascii="Arial" w:hAnsi="Arial" w:cs="Arial"/>
          <w:sz w:val="20"/>
          <w:szCs w:val="20"/>
          <w:lang w:val="en-AU"/>
        </w:rPr>
        <w:t>fans</w:t>
      </w:r>
      <w:r w:rsidRPr="00BD5677">
        <w:rPr>
          <w:rFonts w:ascii="Arial" w:hAnsi="Arial" w:cs="Arial"/>
          <w:sz w:val="20"/>
          <w:szCs w:val="20"/>
          <w:lang w:val="en-AU"/>
        </w:rPr>
        <w:t xml:space="preserve"> or irrigation equipment for at least 6 hours following Accede</w:t>
      </w:r>
      <w:r w:rsidRPr="00BD5677">
        <w:rPr>
          <w:rFonts w:ascii="Arial" w:hAnsi="Arial" w:cs="Arial"/>
          <w:sz w:val="20"/>
          <w:szCs w:val="20"/>
          <w:vertAlign w:val="superscript"/>
          <w:lang w:val="en-AU"/>
        </w:rPr>
        <w:t xml:space="preserve"> </w:t>
      </w:r>
      <w:r w:rsidRPr="00BD5677">
        <w:rPr>
          <w:rFonts w:ascii="Arial" w:hAnsi="Arial" w:cs="Arial"/>
          <w:sz w:val="20"/>
          <w:szCs w:val="20"/>
          <w:lang w:val="en-AU"/>
        </w:rPr>
        <w:t>application.</w:t>
      </w:r>
    </w:p>
    <w:p w14:paraId="5B07F214" w14:textId="77777777"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to wet foliage, for example, early in the morning after a dew or soon after rain.</w:t>
      </w:r>
    </w:p>
    <w:p w14:paraId="5ADEBF22" w14:textId="7DE2D64D"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Accede if rain is expected within 6 hours of application. Light rain shortly after application may lead to rewetting and over thinning but heavy rain may lead to wash off and under thinning.</w:t>
      </w:r>
    </w:p>
    <w:p w14:paraId="09688862" w14:textId="63CAD4F0"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Accede within 2 days of spraying oil-based products or foliar fertilisers</w:t>
      </w:r>
      <w:r w:rsidR="00390CAB">
        <w:rPr>
          <w:rFonts w:ascii="Arial" w:hAnsi="Arial" w:cs="Arial"/>
          <w:sz w:val="20"/>
          <w:szCs w:val="20"/>
          <w:lang w:val="en-AU"/>
        </w:rPr>
        <w:t xml:space="preserve"> </w:t>
      </w:r>
      <w:r w:rsidR="00390CAB" w:rsidRPr="00390CAB">
        <w:rPr>
          <w:rFonts w:ascii="Arial" w:hAnsi="Arial" w:cs="Arial"/>
          <w:sz w:val="20"/>
          <w:szCs w:val="20"/>
          <w:lang w:val="en-AU"/>
        </w:rPr>
        <w:t>as may cause phytotoxicity</w:t>
      </w:r>
      <w:r w:rsidRPr="00BD5677">
        <w:rPr>
          <w:rFonts w:ascii="Arial" w:hAnsi="Arial" w:cs="Arial"/>
          <w:sz w:val="20"/>
          <w:szCs w:val="20"/>
          <w:lang w:val="en-AU"/>
        </w:rPr>
        <w:t>.</w:t>
      </w:r>
    </w:p>
    <w:p w14:paraId="0F0C8EF6" w14:textId="05955774" w:rsidR="000A19DC" w:rsidRPr="00BD5677"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lang w:val="en-AU"/>
        </w:rPr>
        <w:t>DO NOT</w:t>
      </w:r>
      <w:r w:rsidRPr="00BD5677">
        <w:rPr>
          <w:rFonts w:ascii="Arial" w:hAnsi="Arial" w:cs="Arial"/>
          <w:sz w:val="20"/>
          <w:szCs w:val="20"/>
          <w:lang w:val="en-AU"/>
        </w:rPr>
        <w:t xml:space="preserve"> apply to trees younger than 4 years planted in the orchard</w:t>
      </w:r>
      <w:r w:rsidR="00390CAB">
        <w:rPr>
          <w:rFonts w:ascii="Arial" w:hAnsi="Arial" w:cs="Arial"/>
          <w:sz w:val="20"/>
          <w:szCs w:val="20"/>
          <w:lang w:val="en-AU"/>
        </w:rPr>
        <w:t xml:space="preserve"> </w:t>
      </w:r>
      <w:r w:rsidR="00390CAB" w:rsidRPr="00390CAB">
        <w:rPr>
          <w:rFonts w:ascii="Arial" w:hAnsi="Arial" w:cs="Arial"/>
          <w:sz w:val="20"/>
          <w:szCs w:val="20"/>
          <w:lang w:val="en-AU"/>
        </w:rPr>
        <w:t>as may cause phytotoxicity</w:t>
      </w:r>
      <w:r w:rsidRPr="00BD5677">
        <w:rPr>
          <w:rFonts w:ascii="Arial" w:hAnsi="Arial" w:cs="Arial"/>
          <w:sz w:val="20"/>
          <w:szCs w:val="20"/>
          <w:lang w:val="en-AU"/>
        </w:rPr>
        <w:t xml:space="preserve">. </w:t>
      </w:r>
    </w:p>
    <w:p w14:paraId="6FD53DB2" w14:textId="34FBECB9" w:rsidR="000A19DC"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p>
    <w:p w14:paraId="62ACB6B2" w14:textId="77777777" w:rsidR="000A19DC"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b/>
          <w:bCs/>
          <w:sz w:val="20"/>
          <w:szCs w:val="20"/>
        </w:rPr>
      </w:pPr>
    </w:p>
    <w:p w14:paraId="16E9AD33" w14:textId="77777777" w:rsidR="000A19DC" w:rsidRPr="0083596D" w:rsidRDefault="000A19DC" w:rsidP="00AB4AB3">
      <w:pPr>
        <w:pStyle w:val="DefaultText"/>
        <w:widowControl w:val="0"/>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40"/>
        <w:ind w:left="142" w:right="282"/>
        <w:rPr>
          <w:rFonts w:ascii="Arial" w:hAnsi="Arial" w:cs="Arial"/>
          <w:sz w:val="20"/>
          <w:szCs w:val="20"/>
          <w:lang w:val="en-AU"/>
        </w:rPr>
      </w:pPr>
      <w:r w:rsidRPr="00BD5677">
        <w:rPr>
          <w:rFonts w:ascii="Arial" w:hAnsi="Arial" w:cs="Arial"/>
          <w:b/>
          <w:bCs/>
          <w:sz w:val="20"/>
          <w:szCs w:val="20"/>
        </w:rPr>
        <w:t>SPRAY DRIFT RESTRAINTS</w:t>
      </w:r>
      <w:r w:rsidRPr="00BD5677">
        <w:rPr>
          <w:rFonts w:ascii="Arial" w:hAnsi="Arial" w:cs="Arial"/>
          <w:sz w:val="20"/>
          <w:szCs w:val="20"/>
        </w:rPr>
        <w:t>:</w:t>
      </w:r>
    </w:p>
    <w:p w14:paraId="1DA62B89" w14:textId="77777777" w:rsidR="000A19DC" w:rsidRPr="00BD5677" w:rsidRDefault="000A19DC" w:rsidP="00AB4AB3">
      <w:pPr>
        <w:spacing w:before="40"/>
        <w:ind w:left="142" w:right="282"/>
        <w:jc w:val="both"/>
        <w:rPr>
          <w:rFonts w:cs="Arial"/>
          <w:szCs w:val="20"/>
        </w:rPr>
      </w:pPr>
      <w:r w:rsidRPr="00BD5677">
        <w:rPr>
          <w:rFonts w:cs="Arial"/>
          <w:szCs w:val="20"/>
        </w:rPr>
        <w:t xml:space="preserve">Specific definitions for terms used in this section of the label can be found at apvma.gov.au/spraydrift. </w:t>
      </w:r>
      <w:r w:rsidRPr="00BD5677">
        <w:rPr>
          <w:rFonts w:cs="Arial"/>
          <w:szCs w:val="20"/>
        </w:rPr>
        <w:br/>
      </w:r>
      <w:r w:rsidRPr="00BD5677">
        <w:rPr>
          <w:rFonts w:cs="Arial"/>
          <w:b/>
          <w:bCs/>
          <w:szCs w:val="20"/>
        </w:rPr>
        <w:t>DO NOT</w:t>
      </w:r>
      <w:r w:rsidRPr="00BD5677">
        <w:rPr>
          <w:rFonts w:cs="Arial"/>
          <w:szCs w:val="20"/>
        </w:rPr>
        <w:t xml:space="preserve"> allow bystanders to </w:t>
      </w:r>
      <w:proofErr w:type="gramStart"/>
      <w:r w:rsidRPr="00BD5677">
        <w:rPr>
          <w:rFonts w:cs="Arial"/>
          <w:szCs w:val="20"/>
        </w:rPr>
        <w:t>come into contact with</w:t>
      </w:r>
      <w:proofErr w:type="gramEnd"/>
      <w:r w:rsidRPr="00BD5677">
        <w:rPr>
          <w:rFonts w:cs="Arial"/>
          <w:szCs w:val="20"/>
        </w:rPr>
        <w:t xml:space="preserve"> the spray cloud.</w:t>
      </w:r>
    </w:p>
    <w:p w14:paraId="0AE0EE7B" w14:textId="77777777" w:rsidR="000A19DC" w:rsidRPr="00BD5677" w:rsidRDefault="000A19DC" w:rsidP="00AB4AB3">
      <w:pPr>
        <w:spacing w:before="40"/>
        <w:ind w:left="142" w:right="282"/>
        <w:jc w:val="both"/>
        <w:rPr>
          <w:rFonts w:cs="Arial"/>
          <w:szCs w:val="20"/>
        </w:rPr>
      </w:pPr>
      <w:r w:rsidRPr="00BD5677">
        <w:rPr>
          <w:rFonts w:cs="Arial"/>
          <w:b/>
          <w:bCs/>
          <w:szCs w:val="20"/>
        </w:rPr>
        <w:t>DO NOT</w:t>
      </w:r>
      <w:r w:rsidRPr="00BD5677">
        <w:rPr>
          <w:rFonts w:cs="Arial"/>
          <w:szCs w:val="20"/>
        </w:rPr>
        <w:t xml:space="preserve">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722991A3" w14:textId="77777777" w:rsidR="000A19DC" w:rsidRPr="00BD5677" w:rsidRDefault="000A19DC" w:rsidP="00AB4AB3">
      <w:pPr>
        <w:spacing w:before="40"/>
        <w:ind w:left="142" w:right="282"/>
        <w:jc w:val="both"/>
        <w:rPr>
          <w:rFonts w:cs="Arial"/>
          <w:szCs w:val="20"/>
        </w:rPr>
      </w:pPr>
      <w:r w:rsidRPr="00BD5677">
        <w:rPr>
          <w:rFonts w:cs="Arial"/>
          <w:b/>
          <w:bCs/>
          <w:szCs w:val="20"/>
        </w:rPr>
        <w:t>DO NOT</w:t>
      </w:r>
      <w:r w:rsidRPr="00BD5677">
        <w:rPr>
          <w:rFonts w:cs="Arial"/>
          <w:szCs w:val="20"/>
        </w:rPr>
        <w:t xml:space="preserve"> apply unless the wind speed is between 3 and 20 kilometres per hour at the application site during the time of application.</w:t>
      </w:r>
    </w:p>
    <w:p w14:paraId="3FC519D1" w14:textId="77777777" w:rsidR="000A19DC" w:rsidRPr="00BD5677" w:rsidRDefault="000A19DC" w:rsidP="00AB4AB3">
      <w:pPr>
        <w:spacing w:before="40"/>
        <w:ind w:left="142" w:right="282"/>
        <w:jc w:val="both"/>
        <w:rPr>
          <w:rFonts w:cs="Arial"/>
          <w:szCs w:val="20"/>
        </w:rPr>
      </w:pPr>
      <w:r w:rsidRPr="00BD5677">
        <w:rPr>
          <w:rFonts w:cs="Arial"/>
          <w:b/>
          <w:bCs/>
          <w:szCs w:val="20"/>
        </w:rPr>
        <w:t>DO NOT</w:t>
      </w:r>
      <w:r w:rsidRPr="00BD5677">
        <w:rPr>
          <w:rFonts w:cs="Arial"/>
          <w:szCs w:val="20"/>
        </w:rPr>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077C4DA8" w14:textId="77777777" w:rsidR="000A19DC" w:rsidRPr="00BD5677" w:rsidRDefault="000A19DC" w:rsidP="00AB4AB3">
      <w:pPr>
        <w:spacing w:before="40"/>
        <w:ind w:left="142" w:right="282"/>
        <w:rPr>
          <w:b/>
          <w:szCs w:val="20"/>
        </w:rPr>
      </w:pPr>
    </w:p>
    <w:p w14:paraId="46BBDAA1" w14:textId="77777777" w:rsidR="000A19DC" w:rsidRPr="00BD5677" w:rsidRDefault="000A19DC" w:rsidP="00AB4AB3">
      <w:pPr>
        <w:spacing w:before="40"/>
        <w:ind w:left="142" w:right="282"/>
        <w:rPr>
          <w:rFonts w:cs="Arial"/>
          <w:b/>
          <w:szCs w:val="20"/>
        </w:rPr>
      </w:pPr>
      <w:r w:rsidRPr="00BD5677">
        <w:rPr>
          <w:rFonts w:cs="Arial"/>
          <w:b/>
          <w:szCs w:val="20"/>
        </w:rPr>
        <w:t>Vertical sprayers</w:t>
      </w:r>
    </w:p>
    <w:p w14:paraId="2FBF3FF6" w14:textId="77777777" w:rsidR="000A19DC" w:rsidRPr="00BD5677" w:rsidRDefault="000A19DC" w:rsidP="00AB4AB3">
      <w:pPr>
        <w:ind w:left="142" w:right="282"/>
        <w:rPr>
          <w:rFonts w:cs="Arial"/>
          <w:szCs w:val="20"/>
        </w:rPr>
      </w:pPr>
      <w:r w:rsidRPr="00BD5677">
        <w:rPr>
          <w:rFonts w:cs="Arial"/>
          <w:b/>
          <w:bCs/>
          <w:szCs w:val="20"/>
        </w:rPr>
        <w:t>DO NOT</w:t>
      </w:r>
      <w:r w:rsidRPr="00BD5677">
        <w:rPr>
          <w:rFonts w:cs="Arial"/>
          <w:szCs w:val="20"/>
        </w:rPr>
        <w:t xml:space="preserve"> apply by a vertical sprayer unless the following requirements are met:</w:t>
      </w:r>
    </w:p>
    <w:p w14:paraId="5705824E" w14:textId="77777777" w:rsidR="000A19DC" w:rsidRPr="00BD5677" w:rsidRDefault="000A19DC" w:rsidP="00AB4AB3">
      <w:pPr>
        <w:pStyle w:val="ListParagraph"/>
        <w:numPr>
          <w:ilvl w:val="0"/>
          <w:numId w:val="38"/>
        </w:numPr>
        <w:tabs>
          <w:tab w:val="left" w:pos="881"/>
          <w:tab w:val="left" w:pos="882"/>
        </w:tabs>
        <w:ind w:left="142" w:right="282" w:firstLine="0"/>
        <w:rPr>
          <w:sz w:val="20"/>
          <w:szCs w:val="20"/>
        </w:rPr>
      </w:pPr>
      <w:r w:rsidRPr="00BD5677">
        <w:rPr>
          <w:sz w:val="20"/>
          <w:szCs w:val="20"/>
        </w:rPr>
        <w:t>spray is not directed above the target canopy</w:t>
      </w:r>
    </w:p>
    <w:p w14:paraId="78E0CE5D" w14:textId="44DA1100" w:rsidR="000A19DC" w:rsidRPr="00FD76E9" w:rsidRDefault="000A19DC" w:rsidP="00AB4AB3">
      <w:pPr>
        <w:pStyle w:val="ListParagraph"/>
        <w:numPr>
          <w:ilvl w:val="0"/>
          <w:numId w:val="38"/>
        </w:numPr>
        <w:tabs>
          <w:tab w:val="left" w:pos="993"/>
        </w:tabs>
        <w:spacing w:line="298" w:lineRule="auto"/>
        <w:ind w:left="851" w:right="282" w:hanging="709"/>
        <w:rPr>
          <w:color w:val="52284F"/>
          <w:sz w:val="20"/>
          <w:szCs w:val="20"/>
        </w:rPr>
      </w:pPr>
      <w:r w:rsidRPr="00BD5677">
        <w:rPr>
          <w:sz w:val="20"/>
          <w:szCs w:val="20"/>
        </w:rPr>
        <w:t xml:space="preserve">the outside of the sprayer is turned off when turning at the end of rows and when spraying </w:t>
      </w:r>
      <w:r w:rsidRPr="00FD76E9">
        <w:rPr>
          <w:sz w:val="20"/>
          <w:szCs w:val="20"/>
        </w:rPr>
        <w:t>the outer row</w:t>
      </w:r>
      <w:r w:rsidR="00FD76E9" w:rsidRPr="00FD76E9">
        <w:rPr>
          <w:sz w:val="20"/>
          <w:szCs w:val="20"/>
        </w:rPr>
        <w:t xml:space="preserve"> </w:t>
      </w:r>
      <w:r w:rsidRPr="00FD76E9">
        <w:rPr>
          <w:sz w:val="20"/>
          <w:szCs w:val="20"/>
        </w:rPr>
        <w:t>on each side of the application</w:t>
      </w:r>
      <w:r w:rsidRPr="00FD76E9">
        <w:rPr>
          <w:spacing w:val="-15"/>
          <w:sz w:val="20"/>
          <w:szCs w:val="20"/>
        </w:rPr>
        <w:t xml:space="preserve"> </w:t>
      </w:r>
      <w:r w:rsidRPr="00FD76E9">
        <w:rPr>
          <w:sz w:val="20"/>
          <w:szCs w:val="20"/>
        </w:rPr>
        <w:t>site</w:t>
      </w:r>
    </w:p>
    <w:p w14:paraId="6359B5F3" w14:textId="77777777" w:rsidR="000A19DC" w:rsidRPr="00BD5677" w:rsidRDefault="000A19DC" w:rsidP="00AB4AB3">
      <w:pPr>
        <w:pStyle w:val="ListParagraph"/>
        <w:numPr>
          <w:ilvl w:val="0"/>
          <w:numId w:val="38"/>
        </w:numPr>
        <w:tabs>
          <w:tab w:val="left" w:pos="881"/>
          <w:tab w:val="left" w:pos="882"/>
        </w:tabs>
        <w:spacing w:line="302" w:lineRule="auto"/>
        <w:ind w:left="851" w:right="282" w:hanging="709"/>
        <w:rPr>
          <w:color w:val="52284F"/>
          <w:sz w:val="20"/>
          <w:szCs w:val="20"/>
        </w:rPr>
      </w:pPr>
      <w:r w:rsidRPr="00BD5677">
        <w:rPr>
          <w:sz w:val="20"/>
          <w:szCs w:val="20"/>
        </w:rPr>
        <w:t xml:space="preserve">for </w:t>
      </w:r>
      <w:proofErr w:type="gramStart"/>
      <w:r w:rsidRPr="00BD5677">
        <w:rPr>
          <w:sz w:val="20"/>
          <w:szCs w:val="20"/>
        </w:rPr>
        <w:t>dilute</w:t>
      </w:r>
      <w:proofErr w:type="gramEnd"/>
      <w:r w:rsidRPr="00BD5677">
        <w:rPr>
          <w:sz w:val="20"/>
          <w:szCs w:val="20"/>
        </w:rPr>
        <w:t xml:space="preserve"> water rates up to the maximum listed for each type of canopy specified, minimum distances between the application site and downwind sensitive areas (see ‘Mandatory buffer zones’ section of the following table titled ‘Buffer zones for vertical sprayers’) are</w:t>
      </w:r>
      <w:r w:rsidRPr="00BD5677">
        <w:rPr>
          <w:spacing w:val="-31"/>
          <w:sz w:val="20"/>
          <w:szCs w:val="20"/>
        </w:rPr>
        <w:t xml:space="preserve"> </w:t>
      </w:r>
      <w:r w:rsidRPr="00BD5677">
        <w:rPr>
          <w:sz w:val="20"/>
          <w:szCs w:val="20"/>
        </w:rPr>
        <w:t>observed.</w:t>
      </w:r>
    </w:p>
    <w:p w14:paraId="2DFD5335" w14:textId="77777777" w:rsidR="00A218C7" w:rsidRDefault="00A218C7" w:rsidP="000A19DC">
      <w:pPr>
        <w:pStyle w:val="ListParagraph"/>
        <w:tabs>
          <w:tab w:val="left" w:pos="881"/>
          <w:tab w:val="left" w:pos="882"/>
        </w:tabs>
        <w:spacing w:line="302" w:lineRule="auto"/>
        <w:ind w:left="142" w:right="712"/>
        <w:rPr>
          <w:color w:val="52284F"/>
          <w:sz w:val="20"/>
          <w:szCs w:val="20"/>
        </w:rPr>
      </w:pPr>
    </w:p>
    <w:p w14:paraId="77711D01" w14:textId="77777777" w:rsidR="00AA5A11" w:rsidRDefault="00AA5A11" w:rsidP="000A19DC">
      <w:pPr>
        <w:pStyle w:val="ListParagraph"/>
        <w:tabs>
          <w:tab w:val="left" w:pos="881"/>
          <w:tab w:val="left" w:pos="882"/>
        </w:tabs>
        <w:spacing w:line="302" w:lineRule="auto"/>
        <w:ind w:left="142" w:right="712"/>
        <w:rPr>
          <w:color w:val="52284F"/>
          <w:sz w:val="20"/>
          <w:szCs w:val="20"/>
        </w:rPr>
      </w:pPr>
    </w:p>
    <w:p w14:paraId="4C7EC52F" w14:textId="77777777" w:rsidR="00AA5A11" w:rsidRDefault="00AA5A11" w:rsidP="000A19DC">
      <w:pPr>
        <w:pStyle w:val="ListParagraph"/>
        <w:tabs>
          <w:tab w:val="left" w:pos="881"/>
          <w:tab w:val="left" w:pos="882"/>
        </w:tabs>
        <w:spacing w:line="302" w:lineRule="auto"/>
        <w:ind w:left="142" w:right="712"/>
        <w:rPr>
          <w:color w:val="52284F"/>
          <w:sz w:val="20"/>
          <w:szCs w:val="20"/>
        </w:rPr>
      </w:pPr>
    </w:p>
    <w:p w14:paraId="0A51E01E" w14:textId="77777777" w:rsidR="00AA5A11" w:rsidRDefault="00AA5A11" w:rsidP="000A19DC">
      <w:pPr>
        <w:pStyle w:val="ListParagraph"/>
        <w:tabs>
          <w:tab w:val="left" w:pos="881"/>
          <w:tab w:val="left" w:pos="882"/>
        </w:tabs>
        <w:spacing w:line="302" w:lineRule="auto"/>
        <w:ind w:left="142" w:right="712"/>
        <w:rPr>
          <w:color w:val="52284F"/>
          <w:sz w:val="20"/>
          <w:szCs w:val="20"/>
        </w:rPr>
      </w:pPr>
    </w:p>
    <w:p w14:paraId="2D0180EF" w14:textId="77777777" w:rsidR="00AA5A11" w:rsidRPr="00BD5677" w:rsidRDefault="00AA5A11" w:rsidP="000A19DC">
      <w:pPr>
        <w:pStyle w:val="ListParagraph"/>
        <w:tabs>
          <w:tab w:val="left" w:pos="881"/>
          <w:tab w:val="left" w:pos="882"/>
        </w:tabs>
        <w:spacing w:line="302" w:lineRule="auto"/>
        <w:ind w:left="142" w:right="712"/>
        <w:rPr>
          <w:color w:val="52284F"/>
          <w:sz w:val="20"/>
          <w:szCs w:val="20"/>
        </w:rPr>
      </w:pPr>
    </w:p>
    <w:p w14:paraId="186624CA" w14:textId="77777777" w:rsidR="000A19DC" w:rsidRDefault="000A19DC" w:rsidP="000A19DC">
      <w:pPr>
        <w:ind w:left="142" w:right="145"/>
        <w:rPr>
          <w:rFonts w:cs="Arial"/>
          <w:b/>
          <w:szCs w:val="20"/>
        </w:rPr>
      </w:pPr>
      <w:r w:rsidRPr="00BD5677">
        <w:rPr>
          <w:rFonts w:cs="Arial"/>
          <w:b/>
          <w:szCs w:val="20"/>
        </w:rPr>
        <w:t>Buffer zones for vertical sprayers</w:t>
      </w:r>
    </w:p>
    <w:p w14:paraId="29FB4B8F" w14:textId="77777777" w:rsidR="00274331" w:rsidRPr="00BD5677" w:rsidRDefault="00274331" w:rsidP="000A19DC">
      <w:pPr>
        <w:ind w:left="142" w:right="145"/>
        <w:rPr>
          <w:b/>
          <w:szCs w:val="20"/>
        </w:rPr>
      </w:pPr>
    </w:p>
    <w:tbl>
      <w:tblPr>
        <w:tblW w:w="453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2"/>
        <w:gridCol w:w="1013"/>
        <w:gridCol w:w="1013"/>
        <w:gridCol w:w="887"/>
        <w:gridCol w:w="1013"/>
        <w:gridCol w:w="1013"/>
      </w:tblGrid>
      <w:tr w:rsidR="000A19DC" w:rsidRPr="00B31C20" w14:paraId="14F8F59F" w14:textId="77777777" w:rsidTr="0084569A">
        <w:tc>
          <w:tcPr>
            <w:tcW w:w="4253" w:type="dxa"/>
            <w:vMerge w:val="restart"/>
          </w:tcPr>
          <w:p w14:paraId="219E200B" w14:textId="77777777" w:rsidR="000A19DC" w:rsidRPr="00B31C20" w:rsidRDefault="000A19DC" w:rsidP="0084569A">
            <w:pPr>
              <w:spacing w:line="259" w:lineRule="auto"/>
              <w:rPr>
                <w:b/>
                <w:szCs w:val="20"/>
              </w:rPr>
            </w:pPr>
            <w:r w:rsidRPr="00B31C20">
              <w:rPr>
                <w:b/>
                <w:szCs w:val="20"/>
              </w:rPr>
              <w:t>Type of target canopy and dilute water rate</w:t>
            </w:r>
          </w:p>
        </w:tc>
        <w:tc>
          <w:tcPr>
            <w:tcW w:w="5528" w:type="dxa"/>
            <w:gridSpan w:val="5"/>
          </w:tcPr>
          <w:p w14:paraId="4A40047C" w14:textId="77777777" w:rsidR="000A19DC" w:rsidRPr="00B31C20" w:rsidRDefault="000A19DC" w:rsidP="0084569A">
            <w:pPr>
              <w:jc w:val="center"/>
              <w:rPr>
                <w:b/>
                <w:szCs w:val="20"/>
              </w:rPr>
            </w:pPr>
            <w:r w:rsidRPr="00B31C20">
              <w:rPr>
                <w:b/>
                <w:szCs w:val="20"/>
              </w:rPr>
              <w:t>Mandatory buffer zones</w:t>
            </w:r>
          </w:p>
        </w:tc>
      </w:tr>
      <w:tr w:rsidR="000A19DC" w:rsidRPr="00B31C20" w14:paraId="00CC15F4" w14:textId="77777777" w:rsidTr="0084569A">
        <w:tc>
          <w:tcPr>
            <w:tcW w:w="4253" w:type="dxa"/>
            <w:vMerge/>
          </w:tcPr>
          <w:p w14:paraId="2DF38FCF" w14:textId="77777777" w:rsidR="000A19DC" w:rsidRPr="00B31C20" w:rsidRDefault="000A19DC" w:rsidP="0084569A">
            <w:pPr>
              <w:rPr>
                <w:szCs w:val="20"/>
              </w:rPr>
            </w:pPr>
          </w:p>
        </w:tc>
        <w:tc>
          <w:tcPr>
            <w:tcW w:w="1134" w:type="dxa"/>
          </w:tcPr>
          <w:p w14:paraId="73E0B0C4" w14:textId="77777777" w:rsidR="000A19DC" w:rsidRPr="00B31C20" w:rsidRDefault="000A19DC" w:rsidP="0084569A">
            <w:pPr>
              <w:spacing w:line="259" w:lineRule="auto"/>
              <w:jc w:val="center"/>
              <w:rPr>
                <w:b/>
                <w:szCs w:val="20"/>
              </w:rPr>
            </w:pPr>
            <w:r w:rsidRPr="00B31C20">
              <w:rPr>
                <w:b/>
                <w:szCs w:val="20"/>
              </w:rPr>
              <w:t xml:space="preserve">Bystander </w:t>
            </w:r>
            <w:r w:rsidRPr="00B31C20">
              <w:rPr>
                <w:b/>
                <w:szCs w:val="20"/>
              </w:rPr>
              <w:br/>
              <w:t>areas</w:t>
            </w:r>
          </w:p>
        </w:tc>
        <w:tc>
          <w:tcPr>
            <w:tcW w:w="1134" w:type="dxa"/>
          </w:tcPr>
          <w:p w14:paraId="0DEA54BB" w14:textId="77777777" w:rsidR="000A19DC" w:rsidRPr="00B31C20" w:rsidRDefault="000A19DC" w:rsidP="0084569A">
            <w:pPr>
              <w:spacing w:line="259" w:lineRule="auto"/>
              <w:jc w:val="center"/>
              <w:rPr>
                <w:b/>
                <w:szCs w:val="20"/>
              </w:rPr>
            </w:pPr>
            <w:r w:rsidRPr="00B31C20">
              <w:rPr>
                <w:b/>
                <w:szCs w:val="20"/>
              </w:rPr>
              <w:t>Natural aquatic areas</w:t>
            </w:r>
          </w:p>
        </w:tc>
        <w:tc>
          <w:tcPr>
            <w:tcW w:w="992" w:type="dxa"/>
          </w:tcPr>
          <w:p w14:paraId="71C1316B" w14:textId="77777777" w:rsidR="000A19DC" w:rsidRPr="00B31C20" w:rsidRDefault="000A19DC" w:rsidP="0084569A">
            <w:pPr>
              <w:spacing w:line="259" w:lineRule="auto"/>
              <w:jc w:val="center"/>
              <w:rPr>
                <w:b/>
                <w:szCs w:val="20"/>
              </w:rPr>
            </w:pPr>
            <w:r w:rsidRPr="00B31C20">
              <w:rPr>
                <w:b/>
                <w:szCs w:val="20"/>
              </w:rPr>
              <w:t xml:space="preserve">Pollinator </w:t>
            </w:r>
            <w:r w:rsidRPr="00B31C20">
              <w:rPr>
                <w:b/>
                <w:szCs w:val="20"/>
              </w:rPr>
              <w:br/>
              <w:t>areas</w:t>
            </w:r>
          </w:p>
        </w:tc>
        <w:tc>
          <w:tcPr>
            <w:tcW w:w="1134" w:type="dxa"/>
          </w:tcPr>
          <w:p w14:paraId="1B91CB83" w14:textId="77777777" w:rsidR="000A19DC" w:rsidRPr="00B31C20" w:rsidRDefault="000A19DC" w:rsidP="0084569A">
            <w:pPr>
              <w:spacing w:line="259" w:lineRule="auto"/>
              <w:jc w:val="center"/>
              <w:rPr>
                <w:b/>
                <w:szCs w:val="20"/>
              </w:rPr>
            </w:pPr>
            <w:r w:rsidRPr="00B31C20">
              <w:rPr>
                <w:b/>
                <w:szCs w:val="20"/>
              </w:rPr>
              <w:t xml:space="preserve">Vegetation </w:t>
            </w:r>
            <w:r w:rsidRPr="00B31C20">
              <w:rPr>
                <w:b/>
                <w:szCs w:val="20"/>
              </w:rPr>
              <w:br/>
              <w:t>areas</w:t>
            </w:r>
          </w:p>
        </w:tc>
        <w:tc>
          <w:tcPr>
            <w:tcW w:w="1134" w:type="dxa"/>
          </w:tcPr>
          <w:p w14:paraId="43391AF6" w14:textId="77777777" w:rsidR="000A19DC" w:rsidRPr="00B31C20" w:rsidRDefault="000A19DC" w:rsidP="0084569A">
            <w:pPr>
              <w:spacing w:line="259" w:lineRule="auto"/>
              <w:jc w:val="center"/>
              <w:rPr>
                <w:b/>
                <w:szCs w:val="20"/>
              </w:rPr>
            </w:pPr>
            <w:r w:rsidRPr="00B31C20">
              <w:rPr>
                <w:b/>
                <w:szCs w:val="20"/>
              </w:rPr>
              <w:t xml:space="preserve">Livestock </w:t>
            </w:r>
            <w:r w:rsidRPr="00B31C20">
              <w:rPr>
                <w:b/>
                <w:szCs w:val="20"/>
              </w:rPr>
              <w:br/>
              <w:t>areas</w:t>
            </w:r>
          </w:p>
        </w:tc>
      </w:tr>
      <w:tr w:rsidR="000A19DC" w:rsidRPr="00B31C20" w14:paraId="3FD14F7C" w14:textId="77777777" w:rsidTr="0084569A">
        <w:tc>
          <w:tcPr>
            <w:tcW w:w="4253" w:type="dxa"/>
          </w:tcPr>
          <w:p w14:paraId="3072E92A" w14:textId="77777777" w:rsidR="000A19DC" w:rsidRPr="00B31C20" w:rsidRDefault="000A19DC" w:rsidP="0084569A">
            <w:pPr>
              <w:spacing w:line="259" w:lineRule="auto"/>
              <w:rPr>
                <w:bCs/>
                <w:szCs w:val="20"/>
              </w:rPr>
            </w:pPr>
            <w:r w:rsidRPr="00B31C20">
              <w:rPr>
                <w:bCs/>
                <w:szCs w:val="20"/>
              </w:rPr>
              <w:t>2 m tall and shorter, maximum dilute water rate of 1000 L/ha</w:t>
            </w:r>
          </w:p>
        </w:tc>
        <w:tc>
          <w:tcPr>
            <w:tcW w:w="1134" w:type="dxa"/>
          </w:tcPr>
          <w:p w14:paraId="4367BA97" w14:textId="77777777" w:rsidR="000A19DC" w:rsidRPr="00B31C20" w:rsidRDefault="000A19DC" w:rsidP="0084569A">
            <w:pPr>
              <w:jc w:val="center"/>
              <w:rPr>
                <w:bCs/>
                <w:szCs w:val="20"/>
              </w:rPr>
            </w:pPr>
            <w:r w:rsidRPr="00B31C20">
              <w:rPr>
                <w:bCs/>
                <w:szCs w:val="20"/>
              </w:rPr>
              <w:t>0 m</w:t>
            </w:r>
          </w:p>
        </w:tc>
        <w:tc>
          <w:tcPr>
            <w:tcW w:w="1134" w:type="dxa"/>
          </w:tcPr>
          <w:p w14:paraId="7D6DF906" w14:textId="279A8A7E" w:rsidR="000A19DC" w:rsidRPr="00B31C20" w:rsidRDefault="000A19DC" w:rsidP="0084569A">
            <w:pPr>
              <w:jc w:val="center"/>
              <w:rPr>
                <w:bCs/>
                <w:szCs w:val="20"/>
              </w:rPr>
            </w:pPr>
            <w:r w:rsidRPr="00B31C20">
              <w:rPr>
                <w:bCs/>
                <w:szCs w:val="20"/>
              </w:rPr>
              <w:t>5 m</w:t>
            </w:r>
          </w:p>
        </w:tc>
        <w:tc>
          <w:tcPr>
            <w:tcW w:w="992" w:type="dxa"/>
          </w:tcPr>
          <w:p w14:paraId="7EF74C51" w14:textId="77777777" w:rsidR="000A19DC" w:rsidRPr="00B31C20" w:rsidRDefault="000A19DC" w:rsidP="0084569A">
            <w:pPr>
              <w:jc w:val="center"/>
              <w:rPr>
                <w:bCs/>
                <w:szCs w:val="20"/>
              </w:rPr>
            </w:pPr>
            <w:r w:rsidRPr="00B31C20">
              <w:rPr>
                <w:bCs/>
                <w:szCs w:val="20"/>
              </w:rPr>
              <w:t>0 m</w:t>
            </w:r>
          </w:p>
        </w:tc>
        <w:tc>
          <w:tcPr>
            <w:tcW w:w="1134" w:type="dxa"/>
          </w:tcPr>
          <w:p w14:paraId="7037CA6A" w14:textId="3173A1F9" w:rsidR="000A19DC" w:rsidRPr="00B31C20" w:rsidRDefault="000A19DC" w:rsidP="0084569A">
            <w:pPr>
              <w:jc w:val="center"/>
              <w:rPr>
                <w:bCs/>
                <w:szCs w:val="20"/>
              </w:rPr>
            </w:pPr>
            <w:r w:rsidRPr="00B31C20">
              <w:rPr>
                <w:bCs/>
                <w:szCs w:val="20"/>
              </w:rPr>
              <w:t>10 m</w:t>
            </w:r>
          </w:p>
        </w:tc>
        <w:tc>
          <w:tcPr>
            <w:tcW w:w="1134" w:type="dxa"/>
          </w:tcPr>
          <w:p w14:paraId="275D429D" w14:textId="77777777" w:rsidR="000A19DC" w:rsidRPr="00B31C20" w:rsidRDefault="000A19DC" w:rsidP="0084569A">
            <w:pPr>
              <w:jc w:val="center"/>
              <w:rPr>
                <w:bCs/>
                <w:szCs w:val="20"/>
              </w:rPr>
            </w:pPr>
            <w:r w:rsidRPr="00B31C20">
              <w:rPr>
                <w:bCs/>
                <w:szCs w:val="20"/>
              </w:rPr>
              <w:t>0 m</w:t>
            </w:r>
          </w:p>
        </w:tc>
      </w:tr>
      <w:tr w:rsidR="000A19DC" w:rsidRPr="00B31C20" w14:paraId="6FD91577" w14:textId="77777777" w:rsidTr="0084569A">
        <w:tc>
          <w:tcPr>
            <w:tcW w:w="4253" w:type="dxa"/>
          </w:tcPr>
          <w:p w14:paraId="5BE328B4" w14:textId="77777777" w:rsidR="000A19DC" w:rsidRPr="00B31C20" w:rsidRDefault="000A19DC" w:rsidP="0084569A">
            <w:pPr>
              <w:spacing w:line="256" w:lineRule="auto"/>
              <w:rPr>
                <w:bCs/>
                <w:szCs w:val="20"/>
              </w:rPr>
            </w:pPr>
            <w:r w:rsidRPr="00B31C20">
              <w:rPr>
                <w:bCs/>
                <w:szCs w:val="20"/>
              </w:rPr>
              <w:t xml:space="preserve">Taller than 2 m (not </w:t>
            </w:r>
            <w:proofErr w:type="gramStart"/>
            <w:r w:rsidRPr="00B31C20">
              <w:rPr>
                <w:bCs/>
                <w:szCs w:val="20"/>
              </w:rPr>
              <w:t>fully-foliated</w:t>
            </w:r>
            <w:proofErr w:type="gramEnd"/>
            <w:r w:rsidRPr="00B31C20">
              <w:rPr>
                <w:bCs/>
                <w:szCs w:val="20"/>
              </w:rPr>
              <w:t>), maximum dilute water rate of 1000 L/ha</w:t>
            </w:r>
          </w:p>
        </w:tc>
        <w:tc>
          <w:tcPr>
            <w:tcW w:w="1134" w:type="dxa"/>
          </w:tcPr>
          <w:p w14:paraId="349D675E" w14:textId="77777777" w:rsidR="000A19DC" w:rsidRPr="00B31C20" w:rsidRDefault="000A19DC" w:rsidP="0084569A">
            <w:pPr>
              <w:jc w:val="center"/>
              <w:rPr>
                <w:bCs/>
                <w:szCs w:val="20"/>
              </w:rPr>
            </w:pPr>
            <w:r w:rsidRPr="00B31C20">
              <w:rPr>
                <w:bCs/>
                <w:szCs w:val="20"/>
              </w:rPr>
              <w:t>0 m</w:t>
            </w:r>
          </w:p>
        </w:tc>
        <w:tc>
          <w:tcPr>
            <w:tcW w:w="1134" w:type="dxa"/>
          </w:tcPr>
          <w:p w14:paraId="15936328" w14:textId="4C531F02" w:rsidR="000A19DC" w:rsidRPr="00B31C20" w:rsidRDefault="000A19DC" w:rsidP="0084569A">
            <w:pPr>
              <w:jc w:val="center"/>
              <w:rPr>
                <w:bCs/>
                <w:szCs w:val="20"/>
              </w:rPr>
            </w:pPr>
            <w:r w:rsidRPr="00B31C20">
              <w:rPr>
                <w:bCs/>
                <w:szCs w:val="20"/>
              </w:rPr>
              <w:t>20 m</w:t>
            </w:r>
          </w:p>
        </w:tc>
        <w:tc>
          <w:tcPr>
            <w:tcW w:w="992" w:type="dxa"/>
          </w:tcPr>
          <w:p w14:paraId="524FBF7C" w14:textId="77777777" w:rsidR="000A19DC" w:rsidRPr="00B31C20" w:rsidRDefault="000A19DC" w:rsidP="0084569A">
            <w:pPr>
              <w:jc w:val="center"/>
              <w:rPr>
                <w:bCs/>
                <w:szCs w:val="20"/>
              </w:rPr>
            </w:pPr>
            <w:r w:rsidRPr="00B31C20">
              <w:rPr>
                <w:bCs/>
                <w:szCs w:val="20"/>
              </w:rPr>
              <w:t>0 m</w:t>
            </w:r>
          </w:p>
        </w:tc>
        <w:tc>
          <w:tcPr>
            <w:tcW w:w="1134" w:type="dxa"/>
          </w:tcPr>
          <w:p w14:paraId="5871DC99" w14:textId="3AC4735E" w:rsidR="000A19DC" w:rsidRPr="00B31C20" w:rsidRDefault="000A19DC" w:rsidP="0084569A">
            <w:pPr>
              <w:jc w:val="center"/>
              <w:rPr>
                <w:bCs/>
                <w:szCs w:val="20"/>
              </w:rPr>
            </w:pPr>
            <w:r w:rsidRPr="00B31C20">
              <w:rPr>
                <w:bCs/>
                <w:szCs w:val="20"/>
              </w:rPr>
              <w:t>35 m</w:t>
            </w:r>
          </w:p>
        </w:tc>
        <w:tc>
          <w:tcPr>
            <w:tcW w:w="1134" w:type="dxa"/>
          </w:tcPr>
          <w:p w14:paraId="2328D0A5" w14:textId="77777777" w:rsidR="000A19DC" w:rsidRPr="00B31C20" w:rsidRDefault="000A19DC" w:rsidP="0084569A">
            <w:pPr>
              <w:jc w:val="center"/>
              <w:rPr>
                <w:bCs/>
                <w:szCs w:val="20"/>
              </w:rPr>
            </w:pPr>
            <w:r w:rsidRPr="00B31C20">
              <w:rPr>
                <w:bCs/>
                <w:szCs w:val="20"/>
              </w:rPr>
              <w:t>0 m</w:t>
            </w:r>
          </w:p>
        </w:tc>
      </w:tr>
      <w:tr w:rsidR="000A19DC" w:rsidRPr="00B31C20" w14:paraId="431FEAC6" w14:textId="77777777" w:rsidTr="0084569A">
        <w:tc>
          <w:tcPr>
            <w:tcW w:w="4253" w:type="dxa"/>
          </w:tcPr>
          <w:p w14:paraId="76197A07" w14:textId="77777777" w:rsidR="000A19DC" w:rsidRPr="00B31C20" w:rsidRDefault="000A19DC" w:rsidP="0084569A">
            <w:pPr>
              <w:spacing w:line="256" w:lineRule="auto"/>
              <w:rPr>
                <w:bCs/>
                <w:szCs w:val="20"/>
              </w:rPr>
            </w:pPr>
            <w:r w:rsidRPr="00B31C20">
              <w:rPr>
                <w:bCs/>
                <w:szCs w:val="20"/>
              </w:rPr>
              <w:t>Taller than 2 m (</w:t>
            </w:r>
            <w:proofErr w:type="gramStart"/>
            <w:r w:rsidRPr="00B31C20">
              <w:rPr>
                <w:bCs/>
                <w:szCs w:val="20"/>
              </w:rPr>
              <w:t>fully-foliated</w:t>
            </w:r>
            <w:proofErr w:type="gramEnd"/>
            <w:r w:rsidRPr="00B31C20">
              <w:rPr>
                <w:bCs/>
                <w:szCs w:val="20"/>
              </w:rPr>
              <w:t>), maximum dilute water rate of 1000 L/ha</w:t>
            </w:r>
          </w:p>
        </w:tc>
        <w:tc>
          <w:tcPr>
            <w:tcW w:w="1134" w:type="dxa"/>
          </w:tcPr>
          <w:p w14:paraId="4A6B4BDD" w14:textId="77777777" w:rsidR="000A19DC" w:rsidRPr="00B31C20" w:rsidRDefault="000A19DC" w:rsidP="0084569A">
            <w:pPr>
              <w:jc w:val="center"/>
              <w:rPr>
                <w:bCs/>
                <w:szCs w:val="20"/>
              </w:rPr>
            </w:pPr>
            <w:r w:rsidRPr="00B31C20">
              <w:rPr>
                <w:bCs/>
                <w:szCs w:val="20"/>
              </w:rPr>
              <w:t>0 m</w:t>
            </w:r>
          </w:p>
        </w:tc>
        <w:tc>
          <w:tcPr>
            <w:tcW w:w="1134" w:type="dxa"/>
          </w:tcPr>
          <w:p w14:paraId="114A37BA" w14:textId="2BD965F8" w:rsidR="000A19DC" w:rsidRPr="00B31C20" w:rsidRDefault="000A19DC" w:rsidP="0084569A">
            <w:pPr>
              <w:jc w:val="center"/>
              <w:rPr>
                <w:bCs/>
                <w:szCs w:val="20"/>
              </w:rPr>
            </w:pPr>
            <w:r w:rsidRPr="00B31C20">
              <w:rPr>
                <w:bCs/>
                <w:szCs w:val="20"/>
              </w:rPr>
              <w:t>15 m</w:t>
            </w:r>
          </w:p>
        </w:tc>
        <w:tc>
          <w:tcPr>
            <w:tcW w:w="992" w:type="dxa"/>
          </w:tcPr>
          <w:p w14:paraId="67489743" w14:textId="77777777" w:rsidR="000A19DC" w:rsidRPr="00B31C20" w:rsidRDefault="000A19DC" w:rsidP="0084569A">
            <w:pPr>
              <w:jc w:val="center"/>
              <w:rPr>
                <w:bCs/>
                <w:szCs w:val="20"/>
              </w:rPr>
            </w:pPr>
            <w:r w:rsidRPr="00B31C20">
              <w:rPr>
                <w:bCs/>
                <w:szCs w:val="20"/>
              </w:rPr>
              <w:t>0 m</w:t>
            </w:r>
          </w:p>
        </w:tc>
        <w:tc>
          <w:tcPr>
            <w:tcW w:w="1134" w:type="dxa"/>
          </w:tcPr>
          <w:p w14:paraId="66DFC41F" w14:textId="6A451FFD" w:rsidR="000A19DC" w:rsidRPr="00B31C20" w:rsidRDefault="000A19DC" w:rsidP="0084569A">
            <w:pPr>
              <w:jc w:val="center"/>
              <w:rPr>
                <w:bCs/>
                <w:szCs w:val="20"/>
              </w:rPr>
            </w:pPr>
            <w:r w:rsidRPr="00B31C20">
              <w:rPr>
                <w:bCs/>
                <w:szCs w:val="20"/>
              </w:rPr>
              <w:t>25 m</w:t>
            </w:r>
          </w:p>
        </w:tc>
        <w:tc>
          <w:tcPr>
            <w:tcW w:w="1134" w:type="dxa"/>
          </w:tcPr>
          <w:p w14:paraId="3173D0D9" w14:textId="77777777" w:rsidR="000A19DC" w:rsidRPr="00B31C20" w:rsidRDefault="000A19DC" w:rsidP="0084569A">
            <w:pPr>
              <w:jc w:val="center"/>
              <w:rPr>
                <w:bCs/>
                <w:szCs w:val="20"/>
              </w:rPr>
            </w:pPr>
            <w:r w:rsidRPr="00B31C20">
              <w:rPr>
                <w:bCs/>
                <w:szCs w:val="20"/>
              </w:rPr>
              <w:t>0 m</w:t>
            </w:r>
          </w:p>
        </w:tc>
      </w:tr>
    </w:tbl>
    <w:p w14:paraId="3A7E94E2" w14:textId="77777777" w:rsidR="000A19DC" w:rsidRPr="00BD5677" w:rsidRDefault="000A19DC" w:rsidP="000A19DC">
      <w:pPr>
        <w:ind w:left="142"/>
        <w:rPr>
          <w:szCs w:val="20"/>
        </w:rPr>
      </w:pPr>
    </w:p>
    <w:p w14:paraId="25226B9C" w14:textId="77777777" w:rsidR="000A19DC" w:rsidRDefault="000A19DC" w:rsidP="000A19DC">
      <w:pPr>
        <w:ind w:left="142"/>
        <w:rPr>
          <w:szCs w:val="20"/>
        </w:rPr>
      </w:pPr>
    </w:p>
    <w:p w14:paraId="3486FA6B" w14:textId="77777777" w:rsidR="000A19DC" w:rsidRPr="00BD5677" w:rsidRDefault="000A19DC" w:rsidP="000A19DC">
      <w:pPr>
        <w:ind w:left="142"/>
        <w:rPr>
          <w:szCs w:val="20"/>
        </w:rPr>
      </w:pPr>
    </w:p>
    <w:p w14:paraId="39419DEF" w14:textId="77777777" w:rsidR="000A19DC" w:rsidRPr="00E252E4" w:rsidRDefault="000A19DC" w:rsidP="000A19DC">
      <w:pPr>
        <w:ind w:left="142"/>
        <w:outlineLvl w:val="1"/>
        <w:rPr>
          <w:b/>
          <w:bCs/>
          <w:szCs w:val="20"/>
        </w:rPr>
      </w:pPr>
      <w:bookmarkStart w:id="166" w:name="_Toc225169355"/>
      <w:r w:rsidRPr="00B31C20">
        <w:rPr>
          <w:rFonts w:cs="Arial"/>
          <w:b/>
          <w:bCs/>
          <w:szCs w:val="20"/>
        </w:rPr>
        <w:t>DIRECTIONS FOR USE:</w:t>
      </w:r>
      <w:bookmarkEnd w:id="166"/>
    </w:p>
    <w:p w14:paraId="2554A31B" w14:textId="77777777" w:rsidR="000A19DC" w:rsidRDefault="000A19DC" w:rsidP="000A19DC">
      <w:pPr>
        <w:ind w:left="142"/>
        <w:outlineLvl w:val="1"/>
        <w:rPr>
          <w:b/>
          <w:bCs/>
          <w:szCs w:val="20"/>
        </w:rPr>
      </w:pPr>
    </w:p>
    <w:p w14:paraId="3B020F03" w14:textId="77777777" w:rsidR="000A19DC" w:rsidRPr="00B31C20" w:rsidRDefault="000A19DC" w:rsidP="000A19DC">
      <w:pPr>
        <w:ind w:left="142"/>
        <w:outlineLvl w:val="1"/>
        <w:rPr>
          <w:rFonts w:cs="Arial"/>
          <w:b/>
          <w:bCs/>
          <w:sz w:val="22"/>
          <w:szCs w:val="22"/>
        </w:rPr>
      </w:pPr>
      <w:bookmarkStart w:id="167" w:name="_Toc225169356"/>
      <w:r w:rsidRPr="00B31C20">
        <w:rPr>
          <w:rFonts w:cs="Arial"/>
          <w:b/>
          <w:bCs/>
          <w:szCs w:val="20"/>
        </w:rPr>
        <w:t>Read the GENERAL INSTRUCTIONS section carefully before setting up to spray and deciding on a rate.</w:t>
      </w:r>
      <w:bookmarkEnd w:id="167"/>
    </w:p>
    <w:tbl>
      <w:tblPr>
        <w:tblW w:w="46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550"/>
        <w:gridCol w:w="1265"/>
        <w:gridCol w:w="2278"/>
        <w:gridCol w:w="2785"/>
      </w:tblGrid>
      <w:tr w:rsidR="000A19DC" w:rsidRPr="00B31C20" w14:paraId="2C58EC21" w14:textId="77777777" w:rsidTr="0084569A">
        <w:trPr>
          <w:cantSplit/>
        </w:trPr>
        <w:tc>
          <w:tcPr>
            <w:tcW w:w="553" w:type="pct"/>
            <w:tcBorders>
              <w:bottom w:val="single" w:sz="4" w:space="0" w:color="auto"/>
            </w:tcBorders>
          </w:tcPr>
          <w:p w14:paraId="5906B583" w14:textId="77777777" w:rsidR="000A19DC" w:rsidRPr="00B31C20" w:rsidRDefault="000A19DC" w:rsidP="0084569A">
            <w:pPr>
              <w:spacing w:before="120" w:after="120"/>
              <w:rPr>
                <w:rFonts w:cs="Arial"/>
                <w:b/>
                <w:bCs/>
                <w:szCs w:val="20"/>
              </w:rPr>
            </w:pPr>
            <w:r w:rsidRPr="00B31C20">
              <w:rPr>
                <w:rFonts w:cs="Arial"/>
                <w:b/>
                <w:bCs/>
                <w:szCs w:val="20"/>
              </w:rPr>
              <w:t>CROP</w:t>
            </w:r>
          </w:p>
        </w:tc>
        <w:tc>
          <w:tcPr>
            <w:tcW w:w="875" w:type="pct"/>
            <w:tcBorders>
              <w:bottom w:val="single" w:sz="4" w:space="0" w:color="auto"/>
            </w:tcBorders>
          </w:tcPr>
          <w:p w14:paraId="716E511B"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spacing w:before="120" w:after="120"/>
              <w:rPr>
                <w:rFonts w:cs="Arial"/>
                <w:b/>
                <w:bCs/>
                <w:szCs w:val="20"/>
              </w:rPr>
            </w:pPr>
            <w:r w:rsidRPr="00B31C20">
              <w:rPr>
                <w:rFonts w:cs="Arial"/>
                <w:b/>
                <w:bCs/>
                <w:szCs w:val="20"/>
              </w:rPr>
              <w:t>VARIETY</w:t>
            </w:r>
          </w:p>
        </w:tc>
        <w:tc>
          <w:tcPr>
            <w:tcW w:w="714" w:type="pct"/>
            <w:tcBorders>
              <w:bottom w:val="single" w:sz="4" w:space="0" w:color="auto"/>
            </w:tcBorders>
          </w:tcPr>
          <w:p w14:paraId="302A75F1" w14:textId="77777777" w:rsidR="000A19DC" w:rsidRPr="00B31C20" w:rsidRDefault="000A19DC" w:rsidP="0084569A">
            <w:pPr>
              <w:spacing w:before="120" w:after="120"/>
              <w:jc w:val="center"/>
              <w:rPr>
                <w:rFonts w:cs="Arial"/>
                <w:b/>
                <w:bCs/>
                <w:szCs w:val="20"/>
              </w:rPr>
            </w:pPr>
            <w:r w:rsidRPr="00B31C20">
              <w:rPr>
                <w:rFonts w:cs="Arial"/>
                <w:b/>
                <w:bCs/>
                <w:szCs w:val="20"/>
              </w:rPr>
              <w:t>TIMING</w:t>
            </w:r>
          </w:p>
        </w:tc>
        <w:tc>
          <w:tcPr>
            <w:tcW w:w="1286" w:type="pct"/>
            <w:tcBorders>
              <w:bottom w:val="single" w:sz="4" w:space="0" w:color="auto"/>
            </w:tcBorders>
          </w:tcPr>
          <w:p w14:paraId="67FB5F36" w14:textId="77777777" w:rsidR="000A19DC" w:rsidRPr="00B31C20" w:rsidRDefault="000A19DC" w:rsidP="0084569A">
            <w:pPr>
              <w:spacing w:before="120" w:after="120"/>
              <w:jc w:val="center"/>
              <w:rPr>
                <w:rFonts w:cs="Arial"/>
                <w:b/>
                <w:bCs/>
                <w:szCs w:val="20"/>
              </w:rPr>
            </w:pPr>
            <w:r w:rsidRPr="00B31C20">
              <w:rPr>
                <w:rFonts w:cs="Arial"/>
                <w:b/>
                <w:bCs/>
                <w:szCs w:val="20"/>
              </w:rPr>
              <w:t>RATE</w:t>
            </w:r>
          </w:p>
        </w:tc>
        <w:tc>
          <w:tcPr>
            <w:tcW w:w="1572" w:type="pct"/>
            <w:tcBorders>
              <w:bottom w:val="single" w:sz="4" w:space="0" w:color="auto"/>
            </w:tcBorders>
          </w:tcPr>
          <w:p w14:paraId="31809174" w14:textId="77777777" w:rsidR="000A19DC" w:rsidRPr="00B31C20" w:rsidRDefault="000A19DC" w:rsidP="0084569A">
            <w:pPr>
              <w:spacing w:before="120" w:after="120"/>
              <w:rPr>
                <w:rFonts w:cs="Arial"/>
                <w:b/>
                <w:bCs/>
                <w:szCs w:val="20"/>
              </w:rPr>
            </w:pPr>
            <w:r w:rsidRPr="00B31C20">
              <w:rPr>
                <w:rFonts w:cs="Arial"/>
                <w:b/>
                <w:bCs/>
                <w:szCs w:val="20"/>
              </w:rPr>
              <w:t>CRITICAL COMMENTS</w:t>
            </w:r>
          </w:p>
        </w:tc>
      </w:tr>
      <w:tr w:rsidR="000A19DC" w:rsidRPr="00B31C20" w14:paraId="1D77285C" w14:textId="77777777" w:rsidTr="0084569A">
        <w:trPr>
          <w:cantSplit/>
        </w:trPr>
        <w:tc>
          <w:tcPr>
            <w:tcW w:w="5000" w:type="pct"/>
            <w:gridSpan w:val="5"/>
            <w:tcBorders>
              <w:bottom w:val="nil"/>
            </w:tcBorders>
          </w:tcPr>
          <w:p w14:paraId="6A67716C" w14:textId="13C06DA5" w:rsidR="000A19DC" w:rsidRPr="00B31C20" w:rsidRDefault="000A19DC" w:rsidP="0084569A">
            <w:pPr>
              <w:spacing w:after="120"/>
              <w:rPr>
                <w:rFonts w:cs="Arial"/>
                <w:b/>
                <w:bCs/>
                <w:szCs w:val="20"/>
              </w:rPr>
            </w:pPr>
            <w:r w:rsidRPr="00B31C20">
              <w:rPr>
                <w:rFonts w:cs="Arial"/>
                <w:b/>
                <w:bCs/>
                <w:szCs w:val="20"/>
              </w:rPr>
              <w:t>APPLES:</w:t>
            </w:r>
          </w:p>
        </w:tc>
      </w:tr>
      <w:tr w:rsidR="000A19DC" w:rsidRPr="00B31C20" w14:paraId="2D24F386" w14:textId="77777777" w:rsidTr="0084569A">
        <w:trPr>
          <w:cantSplit/>
        </w:trPr>
        <w:tc>
          <w:tcPr>
            <w:tcW w:w="5000" w:type="pct"/>
            <w:gridSpan w:val="5"/>
            <w:tcBorders>
              <w:top w:val="nil"/>
            </w:tcBorders>
          </w:tcPr>
          <w:p w14:paraId="7F540904" w14:textId="02444F99" w:rsidR="000A19DC" w:rsidRPr="00B31C20" w:rsidRDefault="000A19DC" w:rsidP="0084569A">
            <w:pPr>
              <w:spacing w:after="120"/>
              <w:rPr>
                <w:rFonts w:cs="Arial"/>
                <w:szCs w:val="20"/>
              </w:rPr>
            </w:pPr>
            <w:r w:rsidRPr="00B31C20">
              <w:rPr>
                <w:rFonts w:cs="Arial"/>
                <w:b/>
                <w:bCs/>
                <w:szCs w:val="20"/>
              </w:rPr>
              <w:t>DO NOT</w:t>
            </w:r>
            <w:r w:rsidRPr="00B31C20">
              <w:rPr>
                <w:rFonts w:cs="Arial"/>
                <w:szCs w:val="20"/>
              </w:rPr>
              <w:t xml:space="preserve"> apply during the heat of the day for the second application on Apple fruitlets. For best results in hot conditions, apply Accede under slow drying conditions, e.g. early in the morning or at night </w:t>
            </w:r>
            <w:proofErr w:type="gramStart"/>
            <w:r w:rsidRPr="00B31C20">
              <w:rPr>
                <w:rFonts w:cs="Arial"/>
                <w:szCs w:val="20"/>
              </w:rPr>
              <w:t>in order to</w:t>
            </w:r>
            <w:proofErr w:type="gramEnd"/>
            <w:r w:rsidRPr="00B31C20">
              <w:rPr>
                <w:rFonts w:cs="Arial"/>
                <w:szCs w:val="20"/>
              </w:rPr>
              <w:t xml:space="preserve"> maximize absorption.</w:t>
            </w:r>
          </w:p>
          <w:p w14:paraId="55EAD61D" w14:textId="77777777" w:rsidR="000A19DC" w:rsidRPr="00B31C20" w:rsidRDefault="000A19DC" w:rsidP="0084569A">
            <w:pPr>
              <w:spacing w:after="120"/>
              <w:rPr>
                <w:rFonts w:cs="Arial"/>
                <w:szCs w:val="20"/>
              </w:rPr>
            </w:pPr>
            <w:r w:rsidRPr="00B31C20">
              <w:rPr>
                <w:rFonts w:cs="Arial"/>
                <w:b/>
                <w:bCs/>
                <w:szCs w:val="20"/>
              </w:rPr>
              <w:t>DO NOT</w:t>
            </w:r>
            <w:r w:rsidRPr="00B31C20">
              <w:rPr>
                <w:rFonts w:cs="Arial"/>
                <w:szCs w:val="20"/>
              </w:rPr>
              <w:t xml:space="preserve"> apply more than two applications of Accede in Apples (Primary and/or secondary thinning) per season.</w:t>
            </w:r>
          </w:p>
        </w:tc>
      </w:tr>
      <w:tr w:rsidR="000A19DC" w:rsidRPr="00B31C20" w14:paraId="2C1C4E39" w14:textId="77777777" w:rsidTr="0084569A">
        <w:trPr>
          <w:cantSplit/>
        </w:trPr>
        <w:tc>
          <w:tcPr>
            <w:tcW w:w="553" w:type="pct"/>
            <w:vMerge w:val="restart"/>
          </w:tcPr>
          <w:p w14:paraId="7D9F1F1D" w14:textId="77777777" w:rsidR="000A19DC" w:rsidRPr="00B31C20" w:rsidRDefault="000A19DC" w:rsidP="0084569A">
            <w:pPr>
              <w:rPr>
                <w:rFonts w:cs="Arial"/>
                <w:szCs w:val="20"/>
              </w:rPr>
            </w:pPr>
            <w:r w:rsidRPr="00B31C20">
              <w:rPr>
                <w:rFonts w:cs="Arial"/>
                <w:szCs w:val="20"/>
              </w:rPr>
              <w:t>APPLE</w:t>
            </w:r>
          </w:p>
        </w:tc>
        <w:tc>
          <w:tcPr>
            <w:tcW w:w="875" w:type="pct"/>
            <w:vMerge w:val="restart"/>
          </w:tcPr>
          <w:p w14:paraId="5C7987A8"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 xml:space="preserve">Gala </w:t>
            </w:r>
            <w:r w:rsidRPr="00B31C20">
              <w:rPr>
                <w:rFonts w:cs="Arial"/>
                <w:szCs w:val="20"/>
              </w:rPr>
              <w:br/>
              <w:t xml:space="preserve">Royal Gala </w:t>
            </w:r>
            <w:r w:rsidRPr="00B31C20">
              <w:rPr>
                <w:rFonts w:cs="Arial"/>
                <w:szCs w:val="20"/>
              </w:rPr>
              <w:br/>
              <w:t>Jazz</w:t>
            </w:r>
          </w:p>
          <w:p w14:paraId="3D561611"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Envy and related varieties</w:t>
            </w:r>
          </w:p>
        </w:tc>
        <w:tc>
          <w:tcPr>
            <w:tcW w:w="714" w:type="pct"/>
          </w:tcPr>
          <w:p w14:paraId="2A996271" w14:textId="77777777" w:rsidR="000A19DC" w:rsidRPr="00B31C20" w:rsidRDefault="000A19DC" w:rsidP="0084569A">
            <w:pPr>
              <w:jc w:val="center"/>
              <w:rPr>
                <w:rFonts w:cs="Arial"/>
                <w:b/>
                <w:bCs/>
                <w:szCs w:val="20"/>
              </w:rPr>
            </w:pPr>
            <w:r w:rsidRPr="00B31C20">
              <w:rPr>
                <w:rFonts w:cs="Arial"/>
                <w:szCs w:val="20"/>
              </w:rPr>
              <w:t xml:space="preserve">Primary thinning </w:t>
            </w:r>
            <w:r w:rsidRPr="00B31C20">
              <w:rPr>
                <w:rFonts w:cs="Arial"/>
                <w:szCs w:val="20"/>
              </w:rPr>
              <w:br/>
              <w:t>at 80 – 100% flowering</w:t>
            </w:r>
          </w:p>
        </w:tc>
        <w:tc>
          <w:tcPr>
            <w:tcW w:w="1286" w:type="pct"/>
            <w:vMerge w:val="restart"/>
          </w:tcPr>
          <w:p w14:paraId="596261D7" w14:textId="77777777" w:rsidR="000A19DC" w:rsidRPr="00B31C20" w:rsidRDefault="000A19DC" w:rsidP="0084569A">
            <w:pPr>
              <w:spacing w:after="120"/>
              <w:jc w:val="center"/>
              <w:rPr>
                <w:rFonts w:ascii="Calibri" w:hAnsi="Calibri" w:cs="Calibri"/>
                <w:szCs w:val="20"/>
              </w:rPr>
            </w:pPr>
            <w:r w:rsidRPr="00B31C20">
              <w:rPr>
                <w:rFonts w:ascii="Calibri" w:hAnsi="Calibri" w:cs="Calibri"/>
                <w:b/>
                <w:bCs/>
                <w:szCs w:val="20"/>
              </w:rPr>
              <w:t>Lighter setting warmer regions:</w:t>
            </w:r>
            <w:r w:rsidRPr="00B31C20">
              <w:rPr>
                <w:rFonts w:ascii="Calibri" w:hAnsi="Calibri" w:cs="Calibri"/>
                <w:szCs w:val="20"/>
              </w:rPr>
              <w:br/>
              <w:t xml:space="preserve">50 – 62.5 g/100 L </w:t>
            </w:r>
            <w:r w:rsidRPr="00B31C20">
              <w:rPr>
                <w:rFonts w:ascii="Calibri" w:hAnsi="Calibri" w:cs="Calibri"/>
                <w:szCs w:val="20"/>
              </w:rPr>
              <w:br/>
              <w:t>(200 - 250 ppm)</w:t>
            </w:r>
          </w:p>
          <w:p w14:paraId="2E505850" w14:textId="77777777" w:rsidR="000A19DC" w:rsidRPr="00B31C20" w:rsidRDefault="000A19DC" w:rsidP="0084569A">
            <w:pPr>
              <w:spacing w:after="120"/>
              <w:jc w:val="center"/>
              <w:rPr>
                <w:rFonts w:ascii="Calibri" w:hAnsi="Calibri" w:cs="Calibri"/>
                <w:szCs w:val="20"/>
              </w:rPr>
            </w:pPr>
            <w:r w:rsidRPr="00B31C20">
              <w:rPr>
                <w:rFonts w:ascii="Calibri" w:hAnsi="Calibri" w:cs="Calibri"/>
                <w:b/>
                <w:bCs/>
                <w:szCs w:val="20"/>
              </w:rPr>
              <w:t xml:space="preserve">Heavy setting cooler regions - </w:t>
            </w:r>
            <w:r w:rsidRPr="00B31C20">
              <w:rPr>
                <w:rFonts w:ascii="Calibri" w:hAnsi="Calibri" w:cs="Calibri"/>
                <w:b/>
                <w:bCs/>
                <w:szCs w:val="20"/>
              </w:rPr>
              <w:br/>
              <w:t>like Huon valley Tasmania:</w:t>
            </w:r>
            <w:r w:rsidRPr="00B31C20">
              <w:rPr>
                <w:rFonts w:ascii="Calibri" w:hAnsi="Calibri" w:cs="Calibri"/>
                <w:szCs w:val="20"/>
              </w:rPr>
              <w:br/>
              <w:t xml:space="preserve">62.5 – 75 g/100 L </w:t>
            </w:r>
            <w:r w:rsidRPr="00B31C20">
              <w:rPr>
                <w:rFonts w:ascii="Calibri" w:hAnsi="Calibri" w:cs="Calibri"/>
                <w:szCs w:val="20"/>
              </w:rPr>
              <w:br/>
              <w:t>(250 – 300 ppm)</w:t>
            </w:r>
          </w:p>
        </w:tc>
        <w:tc>
          <w:tcPr>
            <w:tcW w:w="1572" w:type="pct"/>
            <w:vMerge w:val="restart"/>
          </w:tcPr>
          <w:p w14:paraId="5B58BB6B" w14:textId="77777777" w:rsidR="000A19DC" w:rsidRPr="00B31C20" w:rsidRDefault="000A19DC" w:rsidP="0084569A">
            <w:pPr>
              <w:spacing w:after="120"/>
              <w:rPr>
                <w:rFonts w:cs="Arial"/>
                <w:szCs w:val="20"/>
              </w:rPr>
            </w:pPr>
            <w:r w:rsidRPr="00B31C20">
              <w:rPr>
                <w:rFonts w:cs="Arial"/>
                <w:szCs w:val="20"/>
              </w:rPr>
              <w:t>Accede will thin when applied at any stage between 80 % flowering and 25 mm fruitlet size so application timing can be adjusted to avoid poor weather.</w:t>
            </w:r>
          </w:p>
          <w:p w14:paraId="761AE736" w14:textId="77777777" w:rsidR="000A19DC" w:rsidRPr="00B31C20" w:rsidRDefault="000A19DC" w:rsidP="0084569A">
            <w:pPr>
              <w:spacing w:after="120"/>
              <w:rPr>
                <w:rFonts w:cs="Arial"/>
                <w:szCs w:val="20"/>
              </w:rPr>
            </w:pPr>
            <w:r w:rsidRPr="00B31C20">
              <w:rPr>
                <w:rFonts w:cs="Arial"/>
                <w:szCs w:val="20"/>
              </w:rPr>
              <w:t xml:space="preserve">The rate to be used in </w:t>
            </w:r>
            <w:r w:rsidRPr="00B31C20">
              <w:rPr>
                <w:rFonts w:cs="Arial"/>
                <w:szCs w:val="20"/>
                <w:u w:val="single"/>
              </w:rPr>
              <w:t>primary thinning</w:t>
            </w:r>
            <w:r w:rsidRPr="00B31C20">
              <w:rPr>
                <w:rFonts w:cs="Arial"/>
                <w:szCs w:val="20"/>
              </w:rPr>
              <w:t xml:space="preserve"> depends on how heavy the flowering is and the expected influence of factors affecting fruit set under GENERAL APPLICATION INSTUCTIONS.</w:t>
            </w:r>
          </w:p>
          <w:p w14:paraId="0124FFAD" w14:textId="22D180EF" w:rsidR="000A19DC" w:rsidRPr="00B31C20" w:rsidRDefault="000A19DC" w:rsidP="0084569A">
            <w:pPr>
              <w:spacing w:after="120"/>
              <w:rPr>
                <w:rFonts w:cs="Arial"/>
                <w:szCs w:val="20"/>
              </w:rPr>
            </w:pPr>
            <w:r w:rsidRPr="00B31C20">
              <w:rPr>
                <w:rFonts w:cs="Arial"/>
                <w:szCs w:val="20"/>
              </w:rPr>
              <w:t xml:space="preserve">The rate to be used in </w:t>
            </w:r>
            <w:r w:rsidRPr="00B31C20">
              <w:rPr>
                <w:rFonts w:cs="Arial"/>
                <w:szCs w:val="20"/>
                <w:u w:val="single"/>
              </w:rPr>
              <w:t xml:space="preserve">secondary thinning </w:t>
            </w:r>
            <w:r w:rsidRPr="00B31C20">
              <w:rPr>
                <w:rFonts w:cs="Arial"/>
                <w:szCs w:val="20"/>
              </w:rPr>
              <w:t>depends on the level of primary thinning achieved, the target fruit load and weather conditions.</w:t>
            </w:r>
            <w:r w:rsidR="00274331">
              <w:rPr>
                <w:rFonts w:cs="Arial"/>
                <w:szCs w:val="20"/>
              </w:rPr>
              <w:t xml:space="preserve"> </w:t>
            </w:r>
            <w:r w:rsidRPr="00B31C20">
              <w:rPr>
                <w:rFonts w:cs="Arial"/>
                <w:szCs w:val="20"/>
              </w:rPr>
              <w:t xml:space="preserve">Because Accede is active on larger sized fruitlets and primary thinning gives early size increase, wait until the effect of primary thinning is </w:t>
            </w:r>
            <w:r w:rsidRPr="00B31C20">
              <w:rPr>
                <w:rFonts w:cs="Arial"/>
                <w:szCs w:val="20"/>
              </w:rPr>
              <w:lastRenderedPageBreak/>
              <w:t>clear before deciding on the rate and using Accede for secondary thinning. Use the higher rate for greater thinning effect. Generally, the later Accede is applied the greater the thinning effect for a given concentration. If Accede is used as a primary thinner this interval can vary from 3 - 4 weeks for Gala types to 5 – 6 weeks for Pink Lady. If shedding of large fruitlets is expected to cause damage to fruitlets lower in the tree, then the secondary thinner can be applied earlier - once fruitlets reach 15 mm.</w:t>
            </w:r>
          </w:p>
          <w:p w14:paraId="7EF953D5" w14:textId="3BD52B7C" w:rsidR="00166CA5"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spacing w:after="120"/>
              <w:rPr>
                <w:rFonts w:cs="Arial"/>
                <w:szCs w:val="20"/>
              </w:rPr>
            </w:pPr>
            <w:r w:rsidRPr="00B31C20">
              <w:rPr>
                <w:rFonts w:cs="Arial"/>
                <w:szCs w:val="20"/>
              </w:rPr>
              <w:t>Application of Accede as a secondary thinner at rates greater than 62.5 g/100 L (250 ppm), particularly in warmer conditions, may result in minor leaf yellowing and drop</w:t>
            </w:r>
            <w:r w:rsidR="00682283" w:rsidRPr="00682283">
              <w:rPr>
                <w:rFonts w:cs="Arial"/>
                <w:szCs w:val="20"/>
              </w:rPr>
              <w:t xml:space="preserve"> but has no long-term impact on yield or quality</w:t>
            </w:r>
            <w:r w:rsidRPr="00B31C20">
              <w:rPr>
                <w:rFonts w:cs="Arial"/>
                <w:szCs w:val="20"/>
              </w:rPr>
              <w:t>.</w:t>
            </w:r>
            <w:r w:rsidR="00274331">
              <w:rPr>
                <w:rFonts w:cs="Arial"/>
                <w:szCs w:val="20"/>
              </w:rPr>
              <w:t xml:space="preserve"> </w:t>
            </w:r>
            <w:r w:rsidRPr="00B31C20">
              <w:rPr>
                <w:rFonts w:cs="Arial"/>
                <w:szCs w:val="20"/>
              </w:rPr>
              <w:t>Consider reducing the concentration by 50 ppm or changing the day of application if temperatures are expected to exceed 30° on the day of application.</w:t>
            </w:r>
          </w:p>
          <w:p w14:paraId="03714979" w14:textId="6A16AA12" w:rsidR="000A19DC" w:rsidRPr="00166CA5" w:rsidRDefault="00166CA5"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spacing w:after="120"/>
              <w:rPr>
                <w:rFonts w:cs="Arial"/>
                <w:szCs w:val="20"/>
              </w:rPr>
            </w:pPr>
            <w:r w:rsidRPr="00166CA5">
              <w:rPr>
                <w:rFonts w:cs="Arial"/>
                <w:szCs w:val="20"/>
              </w:rPr>
              <w:t>A tree-fruit safe non-ionic surfactant such as Pomade* at 50 mL/100L should be used with all Accede applications.</w:t>
            </w:r>
            <w:r w:rsidR="000A19DC" w:rsidRPr="00166CA5">
              <w:rPr>
                <w:rFonts w:cs="Arial"/>
                <w:szCs w:val="20"/>
              </w:rPr>
              <w:t xml:space="preserve"> </w:t>
            </w:r>
          </w:p>
        </w:tc>
      </w:tr>
      <w:tr w:rsidR="000A19DC" w:rsidRPr="00B31C20" w14:paraId="576D1D88" w14:textId="77777777" w:rsidTr="0084569A">
        <w:trPr>
          <w:cantSplit/>
        </w:trPr>
        <w:tc>
          <w:tcPr>
            <w:tcW w:w="553" w:type="pct"/>
            <w:vMerge/>
          </w:tcPr>
          <w:p w14:paraId="54F1A692" w14:textId="77777777" w:rsidR="000A19DC" w:rsidRPr="00B31C20" w:rsidRDefault="000A19DC" w:rsidP="0084569A">
            <w:pPr>
              <w:rPr>
                <w:rFonts w:cs="Arial"/>
                <w:sz w:val="16"/>
                <w:szCs w:val="16"/>
              </w:rPr>
            </w:pPr>
          </w:p>
        </w:tc>
        <w:tc>
          <w:tcPr>
            <w:tcW w:w="875" w:type="pct"/>
            <w:vMerge/>
          </w:tcPr>
          <w:p w14:paraId="559022FD"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p>
        </w:tc>
        <w:tc>
          <w:tcPr>
            <w:tcW w:w="714" w:type="pct"/>
          </w:tcPr>
          <w:p w14:paraId="159B344E" w14:textId="77777777" w:rsidR="000A19DC" w:rsidRPr="00B31C20" w:rsidRDefault="000A19DC" w:rsidP="0084569A">
            <w:pPr>
              <w:jc w:val="center"/>
              <w:rPr>
                <w:rFonts w:cs="Arial"/>
                <w:szCs w:val="20"/>
              </w:rPr>
            </w:pPr>
            <w:r w:rsidRPr="00B31C20">
              <w:rPr>
                <w:rFonts w:cs="Arial"/>
                <w:szCs w:val="20"/>
              </w:rPr>
              <w:t>Secondary thinning at 15 – 25 mm fruitlet size</w:t>
            </w:r>
          </w:p>
        </w:tc>
        <w:tc>
          <w:tcPr>
            <w:tcW w:w="1286" w:type="pct"/>
            <w:vMerge/>
          </w:tcPr>
          <w:p w14:paraId="7E32597E" w14:textId="77777777" w:rsidR="000A19DC" w:rsidRPr="00B31C20" w:rsidRDefault="000A19DC" w:rsidP="0084569A">
            <w:pPr>
              <w:spacing w:after="120"/>
              <w:jc w:val="center"/>
              <w:rPr>
                <w:rFonts w:ascii="Calibri" w:hAnsi="Calibri" w:cs="Calibri"/>
                <w:szCs w:val="20"/>
              </w:rPr>
            </w:pPr>
          </w:p>
        </w:tc>
        <w:tc>
          <w:tcPr>
            <w:tcW w:w="1572" w:type="pct"/>
            <w:vMerge/>
          </w:tcPr>
          <w:p w14:paraId="6CA029B6" w14:textId="77777777" w:rsidR="000A19DC" w:rsidRPr="00B31C20" w:rsidRDefault="000A19DC" w:rsidP="000A19DC">
            <w:pPr>
              <w:widowControl w:val="0"/>
              <w:numPr>
                <w:ilvl w:val="0"/>
                <w:numId w:val="39"/>
              </w:num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line="240" w:lineRule="auto"/>
              <w:ind w:left="0" w:firstLine="0"/>
              <w:rPr>
                <w:rFonts w:ascii="Calibri" w:hAnsi="Calibri" w:cs="Calibri"/>
                <w:sz w:val="16"/>
                <w:szCs w:val="16"/>
              </w:rPr>
            </w:pPr>
          </w:p>
        </w:tc>
      </w:tr>
      <w:tr w:rsidR="000A19DC" w:rsidRPr="00B31C20" w14:paraId="21D96A3E" w14:textId="77777777" w:rsidTr="0084569A">
        <w:trPr>
          <w:cantSplit/>
        </w:trPr>
        <w:tc>
          <w:tcPr>
            <w:tcW w:w="553" w:type="pct"/>
            <w:vMerge/>
          </w:tcPr>
          <w:p w14:paraId="1012D256" w14:textId="77777777" w:rsidR="000A19DC" w:rsidRPr="00B31C20" w:rsidRDefault="000A19DC" w:rsidP="0084569A">
            <w:pPr>
              <w:rPr>
                <w:rFonts w:cs="Arial"/>
                <w:sz w:val="16"/>
                <w:szCs w:val="16"/>
              </w:rPr>
            </w:pPr>
          </w:p>
        </w:tc>
        <w:tc>
          <w:tcPr>
            <w:tcW w:w="875" w:type="pct"/>
            <w:vMerge w:val="restart"/>
          </w:tcPr>
          <w:p w14:paraId="3D1BDE3F"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Pink lady</w:t>
            </w:r>
          </w:p>
          <w:p w14:paraId="6FD42EF3" w14:textId="7FE3562F" w:rsidR="000A19DC" w:rsidRPr="00B31C20" w:rsidRDefault="000A19DC" w:rsidP="00AA5A11">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Fuji</w:t>
            </w:r>
          </w:p>
        </w:tc>
        <w:tc>
          <w:tcPr>
            <w:tcW w:w="714" w:type="pct"/>
          </w:tcPr>
          <w:p w14:paraId="3A1A0881" w14:textId="77777777" w:rsidR="000A19DC" w:rsidRPr="00B31C20" w:rsidRDefault="000A19DC" w:rsidP="0084569A">
            <w:pPr>
              <w:jc w:val="center"/>
              <w:rPr>
                <w:rFonts w:cs="Arial"/>
                <w:szCs w:val="20"/>
              </w:rPr>
            </w:pPr>
            <w:r w:rsidRPr="00B31C20">
              <w:rPr>
                <w:rFonts w:cs="Arial"/>
                <w:szCs w:val="20"/>
              </w:rPr>
              <w:t>Primary thinning</w:t>
            </w:r>
            <w:r w:rsidRPr="00B31C20">
              <w:rPr>
                <w:rFonts w:cs="Arial"/>
                <w:szCs w:val="20"/>
              </w:rPr>
              <w:br/>
              <w:t xml:space="preserve"> at 80 – 100% flowering</w:t>
            </w:r>
          </w:p>
          <w:p w14:paraId="13C509D1" w14:textId="77777777" w:rsidR="000A19DC" w:rsidRPr="00B31C20" w:rsidRDefault="000A19DC" w:rsidP="0084569A">
            <w:pPr>
              <w:jc w:val="center"/>
              <w:rPr>
                <w:rFonts w:cs="Arial"/>
                <w:szCs w:val="20"/>
              </w:rPr>
            </w:pPr>
          </w:p>
        </w:tc>
        <w:tc>
          <w:tcPr>
            <w:tcW w:w="1286" w:type="pct"/>
            <w:vMerge w:val="restart"/>
          </w:tcPr>
          <w:p w14:paraId="09165F4F" w14:textId="77777777" w:rsidR="000A19DC" w:rsidRPr="00B31C20" w:rsidRDefault="000A19DC" w:rsidP="0084569A">
            <w:pPr>
              <w:spacing w:after="120"/>
              <w:jc w:val="center"/>
              <w:rPr>
                <w:rFonts w:ascii="Calibri" w:hAnsi="Calibri" w:cs="Calibri"/>
                <w:szCs w:val="20"/>
              </w:rPr>
            </w:pPr>
            <w:r w:rsidRPr="00B31C20">
              <w:rPr>
                <w:rFonts w:ascii="Calibri" w:hAnsi="Calibri" w:cs="Calibri"/>
                <w:szCs w:val="20"/>
              </w:rPr>
              <w:t xml:space="preserve">62.5 – 75 g/100 L </w:t>
            </w:r>
            <w:r w:rsidRPr="00B31C20">
              <w:rPr>
                <w:rFonts w:ascii="Calibri" w:hAnsi="Calibri" w:cs="Calibri"/>
                <w:szCs w:val="20"/>
              </w:rPr>
              <w:br/>
              <w:t>(250 – 300 ppm)</w:t>
            </w:r>
          </w:p>
        </w:tc>
        <w:tc>
          <w:tcPr>
            <w:tcW w:w="1572" w:type="pct"/>
            <w:vMerge/>
          </w:tcPr>
          <w:p w14:paraId="3A531F02" w14:textId="77777777" w:rsidR="000A19DC" w:rsidRPr="00B31C20" w:rsidRDefault="000A19DC" w:rsidP="000A19DC">
            <w:pPr>
              <w:widowControl w:val="0"/>
              <w:numPr>
                <w:ilvl w:val="0"/>
                <w:numId w:val="39"/>
              </w:num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line="240" w:lineRule="auto"/>
              <w:ind w:left="0" w:firstLine="0"/>
              <w:rPr>
                <w:rFonts w:ascii="Calibri" w:hAnsi="Calibri" w:cs="Calibri"/>
                <w:sz w:val="16"/>
                <w:szCs w:val="16"/>
              </w:rPr>
            </w:pPr>
          </w:p>
        </w:tc>
      </w:tr>
      <w:tr w:rsidR="000A19DC" w:rsidRPr="00B31C20" w14:paraId="5D66A9C2" w14:textId="77777777" w:rsidTr="0084569A">
        <w:trPr>
          <w:cantSplit/>
        </w:trPr>
        <w:tc>
          <w:tcPr>
            <w:tcW w:w="553" w:type="pct"/>
            <w:vMerge/>
          </w:tcPr>
          <w:p w14:paraId="2CCD902F" w14:textId="77777777" w:rsidR="000A19DC" w:rsidRPr="00B31C20" w:rsidRDefault="000A19DC" w:rsidP="0084569A">
            <w:pPr>
              <w:rPr>
                <w:rFonts w:cs="Arial"/>
                <w:sz w:val="16"/>
                <w:szCs w:val="16"/>
              </w:rPr>
            </w:pPr>
          </w:p>
        </w:tc>
        <w:tc>
          <w:tcPr>
            <w:tcW w:w="875" w:type="pct"/>
            <w:vMerge/>
          </w:tcPr>
          <w:p w14:paraId="652135BC"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p>
        </w:tc>
        <w:tc>
          <w:tcPr>
            <w:tcW w:w="714" w:type="pct"/>
          </w:tcPr>
          <w:p w14:paraId="46176542" w14:textId="77777777" w:rsidR="000A19DC" w:rsidRPr="00B31C20" w:rsidRDefault="000A19DC" w:rsidP="0084569A">
            <w:pPr>
              <w:jc w:val="center"/>
              <w:rPr>
                <w:rFonts w:cs="Arial"/>
                <w:szCs w:val="20"/>
              </w:rPr>
            </w:pPr>
            <w:r w:rsidRPr="00B31C20">
              <w:rPr>
                <w:rFonts w:cs="Arial"/>
                <w:szCs w:val="20"/>
              </w:rPr>
              <w:t>Secondary thinning at 15 – 25 mm fruitlet size</w:t>
            </w:r>
          </w:p>
          <w:p w14:paraId="0A946767" w14:textId="77777777" w:rsidR="000A19DC" w:rsidRPr="00B31C20" w:rsidRDefault="000A19DC" w:rsidP="0084569A">
            <w:pPr>
              <w:jc w:val="center"/>
              <w:rPr>
                <w:rFonts w:cs="Arial"/>
                <w:szCs w:val="20"/>
              </w:rPr>
            </w:pPr>
          </w:p>
        </w:tc>
        <w:tc>
          <w:tcPr>
            <w:tcW w:w="1286" w:type="pct"/>
            <w:vMerge/>
          </w:tcPr>
          <w:p w14:paraId="7A4F8666" w14:textId="77777777" w:rsidR="000A19DC" w:rsidRPr="00B31C20" w:rsidRDefault="000A19DC" w:rsidP="0084569A">
            <w:pPr>
              <w:spacing w:after="120"/>
              <w:jc w:val="center"/>
              <w:rPr>
                <w:rFonts w:ascii="Calibri" w:hAnsi="Calibri" w:cs="Calibri"/>
                <w:szCs w:val="20"/>
              </w:rPr>
            </w:pPr>
          </w:p>
        </w:tc>
        <w:tc>
          <w:tcPr>
            <w:tcW w:w="1572" w:type="pct"/>
            <w:vMerge/>
          </w:tcPr>
          <w:p w14:paraId="57E3E8CB" w14:textId="77777777" w:rsidR="000A19DC" w:rsidRPr="00B31C20" w:rsidRDefault="000A19DC" w:rsidP="000A19DC">
            <w:pPr>
              <w:widowControl w:val="0"/>
              <w:numPr>
                <w:ilvl w:val="0"/>
                <w:numId w:val="39"/>
              </w:num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line="240" w:lineRule="auto"/>
              <w:ind w:left="0" w:firstLine="0"/>
              <w:rPr>
                <w:rFonts w:ascii="Calibri" w:hAnsi="Calibri" w:cs="Calibri"/>
                <w:sz w:val="16"/>
                <w:szCs w:val="16"/>
              </w:rPr>
            </w:pPr>
          </w:p>
        </w:tc>
      </w:tr>
      <w:tr w:rsidR="000A19DC" w:rsidRPr="00B31C20" w14:paraId="6614A18A" w14:textId="77777777" w:rsidTr="0084569A">
        <w:trPr>
          <w:cantSplit/>
          <w:trHeight w:val="965"/>
        </w:trPr>
        <w:tc>
          <w:tcPr>
            <w:tcW w:w="553" w:type="pct"/>
            <w:vMerge/>
          </w:tcPr>
          <w:p w14:paraId="468B548A" w14:textId="77777777" w:rsidR="000A19DC" w:rsidRPr="00B31C20" w:rsidRDefault="000A19DC" w:rsidP="0084569A">
            <w:pPr>
              <w:rPr>
                <w:rFonts w:cs="Arial"/>
                <w:sz w:val="16"/>
                <w:szCs w:val="16"/>
              </w:rPr>
            </w:pPr>
          </w:p>
        </w:tc>
        <w:tc>
          <w:tcPr>
            <w:tcW w:w="875" w:type="pct"/>
            <w:vMerge w:val="restart"/>
          </w:tcPr>
          <w:p w14:paraId="6A36FC89"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Kanzi</w:t>
            </w:r>
          </w:p>
          <w:p w14:paraId="5A82FBC5"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Cs w:val="20"/>
              </w:rPr>
            </w:pPr>
            <w:r w:rsidRPr="00B31C20">
              <w:rPr>
                <w:rFonts w:cs="Arial"/>
                <w:szCs w:val="20"/>
              </w:rPr>
              <w:t>Golden delicious</w:t>
            </w:r>
          </w:p>
          <w:p w14:paraId="6E0192E6" w14:textId="77777777" w:rsidR="000A19DC" w:rsidRPr="00B31C20" w:rsidRDefault="000A19DC" w:rsidP="0084569A">
            <w:pPr>
              <w:spacing w:after="120"/>
              <w:rPr>
                <w:rFonts w:cs="Arial"/>
                <w:szCs w:val="20"/>
              </w:rPr>
            </w:pPr>
            <w:r w:rsidRPr="00B31C20">
              <w:rPr>
                <w:rFonts w:cs="Arial"/>
                <w:szCs w:val="20"/>
              </w:rPr>
              <w:t>Granny Smith</w:t>
            </w:r>
          </w:p>
          <w:p w14:paraId="3916CF8A" w14:textId="2C6B2E7F" w:rsidR="000A19DC" w:rsidRPr="00B31C20" w:rsidRDefault="000A19DC" w:rsidP="00AA5A11">
            <w:pPr>
              <w:spacing w:after="120"/>
              <w:rPr>
                <w:rFonts w:cs="Arial"/>
                <w:szCs w:val="20"/>
              </w:rPr>
            </w:pPr>
            <w:r w:rsidRPr="00B31C20">
              <w:rPr>
                <w:rFonts w:cs="Arial"/>
                <w:szCs w:val="20"/>
              </w:rPr>
              <w:lastRenderedPageBreak/>
              <w:t>(only when thinning required)</w:t>
            </w:r>
          </w:p>
        </w:tc>
        <w:tc>
          <w:tcPr>
            <w:tcW w:w="714" w:type="pct"/>
          </w:tcPr>
          <w:p w14:paraId="3B24B7AD" w14:textId="77777777" w:rsidR="000A19DC" w:rsidRPr="00B31C20" w:rsidRDefault="000A19DC" w:rsidP="0084569A">
            <w:pPr>
              <w:jc w:val="center"/>
              <w:rPr>
                <w:rFonts w:cs="Arial"/>
                <w:szCs w:val="20"/>
              </w:rPr>
            </w:pPr>
            <w:r w:rsidRPr="00B31C20">
              <w:rPr>
                <w:rFonts w:cs="Arial"/>
                <w:szCs w:val="20"/>
              </w:rPr>
              <w:lastRenderedPageBreak/>
              <w:t xml:space="preserve">Primary thinning </w:t>
            </w:r>
            <w:r w:rsidRPr="00B31C20">
              <w:rPr>
                <w:rFonts w:cs="Arial"/>
                <w:szCs w:val="20"/>
              </w:rPr>
              <w:br/>
              <w:t>at 80 – 100% flowering</w:t>
            </w:r>
          </w:p>
        </w:tc>
        <w:tc>
          <w:tcPr>
            <w:tcW w:w="1286" w:type="pct"/>
            <w:vMerge w:val="restart"/>
          </w:tcPr>
          <w:p w14:paraId="0AA739D3" w14:textId="77777777" w:rsidR="000A19DC" w:rsidRPr="00B31C20" w:rsidRDefault="000A19DC" w:rsidP="0084569A">
            <w:pPr>
              <w:spacing w:after="120"/>
              <w:jc w:val="center"/>
              <w:rPr>
                <w:rFonts w:ascii="Calibri" w:hAnsi="Calibri" w:cs="Calibri"/>
                <w:szCs w:val="20"/>
              </w:rPr>
            </w:pPr>
            <w:r w:rsidRPr="00B31C20">
              <w:rPr>
                <w:rFonts w:ascii="Calibri" w:hAnsi="Calibri" w:cs="Calibri"/>
                <w:szCs w:val="20"/>
              </w:rPr>
              <w:t xml:space="preserve">50 - 62.5 g/100 L </w:t>
            </w:r>
            <w:r w:rsidRPr="00B31C20">
              <w:rPr>
                <w:rFonts w:ascii="Calibri" w:hAnsi="Calibri" w:cs="Calibri"/>
                <w:szCs w:val="20"/>
              </w:rPr>
              <w:br/>
              <w:t>(200 – 250 ppm)</w:t>
            </w:r>
          </w:p>
        </w:tc>
        <w:tc>
          <w:tcPr>
            <w:tcW w:w="1572" w:type="pct"/>
            <w:vMerge/>
          </w:tcPr>
          <w:p w14:paraId="4C61FC30" w14:textId="77777777" w:rsidR="000A19DC" w:rsidRPr="00B31C20" w:rsidRDefault="000A19DC" w:rsidP="000A19DC">
            <w:pPr>
              <w:widowControl w:val="0"/>
              <w:numPr>
                <w:ilvl w:val="0"/>
                <w:numId w:val="39"/>
              </w:num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line="240" w:lineRule="auto"/>
              <w:ind w:left="0" w:firstLine="0"/>
              <w:rPr>
                <w:rFonts w:ascii="Calibri" w:hAnsi="Calibri" w:cs="Calibri"/>
                <w:sz w:val="16"/>
                <w:szCs w:val="16"/>
              </w:rPr>
            </w:pPr>
          </w:p>
        </w:tc>
      </w:tr>
      <w:tr w:rsidR="000A19DC" w:rsidRPr="00B31C20" w14:paraId="5703BD3B" w14:textId="77777777" w:rsidTr="0084569A">
        <w:trPr>
          <w:cantSplit/>
          <w:trHeight w:val="979"/>
        </w:trPr>
        <w:tc>
          <w:tcPr>
            <w:tcW w:w="553" w:type="pct"/>
            <w:vMerge/>
          </w:tcPr>
          <w:p w14:paraId="40861EBF"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b/>
                <w:bCs/>
                <w:sz w:val="16"/>
                <w:szCs w:val="16"/>
              </w:rPr>
            </w:pPr>
          </w:p>
        </w:tc>
        <w:tc>
          <w:tcPr>
            <w:tcW w:w="875" w:type="pct"/>
            <w:vMerge/>
          </w:tcPr>
          <w:p w14:paraId="745669A3"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cs="Arial"/>
                <w:sz w:val="18"/>
                <w:szCs w:val="18"/>
              </w:rPr>
            </w:pPr>
          </w:p>
        </w:tc>
        <w:tc>
          <w:tcPr>
            <w:tcW w:w="714" w:type="pct"/>
          </w:tcPr>
          <w:p w14:paraId="321F93C4"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jc w:val="center"/>
              <w:rPr>
                <w:rFonts w:cs="Arial"/>
                <w:sz w:val="18"/>
                <w:szCs w:val="18"/>
              </w:rPr>
            </w:pPr>
            <w:r w:rsidRPr="00B31C20">
              <w:rPr>
                <w:rFonts w:cs="Arial"/>
                <w:szCs w:val="20"/>
              </w:rPr>
              <w:t>Secondary thinning at 15 – 25 mm fruitlet size</w:t>
            </w:r>
          </w:p>
        </w:tc>
        <w:tc>
          <w:tcPr>
            <w:tcW w:w="1286" w:type="pct"/>
            <w:vMerge/>
          </w:tcPr>
          <w:p w14:paraId="0074A24B" w14:textId="77777777" w:rsidR="000A19DC" w:rsidRPr="00B31C20" w:rsidRDefault="000A19DC" w:rsidP="0084569A">
            <w:pPr>
              <w:spacing w:after="120"/>
              <w:rPr>
                <w:rFonts w:ascii="Calibri" w:hAnsi="Calibri" w:cs="Calibri"/>
                <w:sz w:val="16"/>
                <w:szCs w:val="16"/>
              </w:rPr>
            </w:pPr>
          </w:p>
        </w:tc>
        <w:tc>
          <w:tcPr>
            <w:tcW w:w="1572" w:type="pct"/>
            <w:vMerge/>
          </w:tcPr>
          <w:p w14:paraId="1582D3CB" w14:textId="77777777" w:rsidR="000A19DC" w:rsidRPr="00B31C20" w:rsidRDefault="000A19DC" w:rsidP="0084569A">
            <w:pPr>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djustRightInd w:val="0"/>
              <w:rPr>
                <w:rFonts w:ascii="Calibri" w:hAnsi="Calibri" w:cs="Calibri"/>
                <w:b/>
                <w:bCs/>
                <w:sz w:val="16"/>
                <w:szCs w:val="16"/>
              </w:rPr>
            </w:pPr>
          </w:p>
        </w:tc>
      </w:tr>
    </w:tbl>
    <w:p w14:paraId="457F6566" w14:textId="77777777" w:rsidR="000A19DC" w:rsidRDefault="000A19DC" w:rsidP="000A19DC"/>
    <w:tbl>
      <w:tblPr>
        <w:tblW w:w="46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261"/>
        <w:gridCol w:w="1265"/>
        <w:gridCol w:w="2277"/>
        <w:gridCol w:w="2788"/>
      </w:tblGrid>
      <w:tr w:rsidR="000A19DC" w:rsidRPr="00B31C20" w14:paraId="404B9E27" w14:textId="77777777" w:rsidTr="00A218C7">
        <w:trPr>
          <w:cantSplit/>
          <w:tblHeader/>
        </w:trPr>
        <w:tc>
          <w:tcPr>
            <w:tcW w:w="715" w:type="pct"/>
            <w:tcBorders>
              <w:bottom w:val="single" w:sz="4" w:space="0" w:color="auto"/>
            </w:tcBorders>
            <w:vAlign w:val="center"/>
          </w:tcPr>
          <w:p w14:paraId="1C8918AA" w14:textId="77777777" w:rsidR="000A19DC" w:rsidRPr="00B31C20" w:rsidRDefault="000A19DC" w:rsidP="0084569A">
            <w:pPr>
              <w:spacing w:before="120" w:after="120"/>
              <w:rPr>
                <w:rFonts w:cs="Arial"/>
                <w:b/>
                <w:bCs/>
                <w:szCs w:val="20"/>
              </w:rPr>
            </w:pPr>
            <w:r w:rsidRPr="00B31C20">
              <w:rPr>
                <w:rFonts w:cs="Arial"/>
                <w:b/>
                <w:bCs/>
                <w:szCs w:val="20"/>
              </w:rPr>
              <w:lastRenderedPageBreak/>
              <w:t>CROP</w:t>
            </w:r>
          </w:p>
        </w:tc>
        <w:tc>
          <w:tcPr>
            <w:tcW w:w="712" w:type="pct"/>
            <w:tcBorders>
              <w:bottom w:val="single" w:sz="4" w:space="0" w:color="auto"/>
            </w:tcBorders>
            <w:vAlign w:val="center"/>
          </w:tcPr>
          <w:p w14:paraId="52840022" w14:textId="77777777" w:rsidR="000A19DC" w:rsidRPr="00B31C20" w:rsidRDefault="000A19DC" w:rsidP="0084569A">
            <w:pPr>
              <w:spacing w:before="120" w:after="120"/>
              <w:rPr>
                <w:rFonts w:cs="Arial"/>
                <w:b/>
                <w:bCs/>
                <w:szCs w:val="20"/>
              </w:rPr>
            </w:pPr>
            <w:r w:rsidRPr="00B31C20">
              <w:rPr>
                <w:rFonts w:cs="Arial"/>
                <w:b/>
                <w:bCs/>
                <w:szCs w:val="20"/>
              </w:rPr>
              <w:t>VARIETY</w:t>
            </w:r>
          </w:p>
        </w:tc>
        <w:tc>
          <w:tcPr>
            <w:tcW w:w="714" w:type="pct"/>
            <w:tcBorders>
              <w:bottom w:val="single" w:sz="4" w:space="0" w:color="auto"/>
            </w:tcBorders>
            <w:vAlign w:val="center"/>
          </w:tcPr>
          <w:p w14:paraId="2D05F20B" w14:textId="77777777" w:rsidR="000A19DC" w:rsidRPr="00B31C20" w:rsidRDefault="000A19DC" w:rsidP="0084569A">
            <w:pPr>
              <w:spacing w:before="120" w:after="120"/>
              <w:jc w:val="center"/>
              <w:rPr>
                <w:rFonts w:cs="Arial"/>
                <w:b/>
                <w:bCs/>
                <w:szCs w:val="20"/>
              </w:rPr>
            </w:pPr>
            <w:r w:rsidRPr="00B31C20">
              <w:rPr>
                <w:rFonts w:cs="Arial"/>
                <w:b/>
                <w:bCs/>
                <w:szCs w:val="20"/>
              </w:rPr>
              <w:t>TIMING</w:t>
            </w:r>
          </w:p>
        </w:tc>
        <w:tc>
          <w:tcPr>
            <w:tcW w:w="1285" w:type="pct"/>
            <w:tcBorders>
              <w:bottom w:val="single" w:sz="4" w:space="0" w:color="auto"/>
            </w:tcBorders>
            <w:vAlign w:val="center"/>
          </w:tcPr>
          <w:p w14:paraId="582353BB" w14:textId="77777777" w:rsidR="000A19DC" w:rsidRPr="00B31C20" w:rsidRDefault="000A19DC" w:rsidP="0084569A">
            <w:pPr>
              <w:spacing w:before="120" w:after="120"/>
              <w:jc w:val="center"/>
              <w:rPr>
                <w:rFonts w:cs="Arial"/>
                <w:b/>
                <w:bCs/>
                <w:szCs w:val="20"/>
              </w:rPr>
            </w:pPr>
            <w:r w:rsidRPr="00B31C20">
              <w:rPr>
                <w:rFonts w:cs="Arial"/>
                <w:b/>
                <w:bCs/>
                <w:szCs w:val="20"/>
              </w:rPr>
              <w:t>RATE</w:t>
            </w:r>
          </w:p>
        </w:tc>
        <w:tc>
          <w:tcPr>
            <w:tcW w:w="1574" w:type="pct"/>
            <w:tcBorders>
              <w:bottom w:val="single" w:sz="4" w:space="0" w:color="auto"/>
            </w:tcBorders>
            <w:vAlign w:val="center"/>
          </w:tcPr>
          <w:p w14:paraId="5E500E90" w14:textId="77777777" w:rsidR="000A19DC" w:rsidRPr="00B31C20" w:rsidRDefault="000A19DC" w:rsidP="0084569A">
            <w:pPr>
              <w:spacing w:before="120" w:after="120"/>
              <w:rPr>
                <w:rFonts w:cs="Arial"/>
                <w:b/>
                <w:bCs/>
                <w:szCs w:val="20"/>
              </w:rPr>
            </w:pPr>
            <w:r w:rsidRPr="00B31C20">
              <w:rPr>
                <w:rFonts w:cs="Arial"/>
                <w:b/>
                <w:bCs/>
                <w:szCs w:val="20"/>
              </w:rPr>
              <w:t>CRITICAL COMMENTS</w:t>
            </w:r>
          </w:p>
        </w:tc>
      </w:tr>
      <w:tr w:rsidR="000A19DC" w:rsidRPr="00B31C20" w14:paraId="673AA28E" w14:textId="77777777" w:rsidTr="0084569A">
        <w:trPr>
          <w:cantSplit/>
          <w:tblHeader/>
        </w:trPr>
        <w:tc>
          <w:tcPr>
            <w:tcW w:w="5000" w:type="pct"/>
            <w:gridSpan w:val="5"/>
            <w:tcBorders>
              <w:bottom w:val="nil"/>
            </w:tcBorders>
          </w:tcPr>
          <w:p w14:paraId="2FFF10F7" w14:textId="583B1507" w:rsidR="000A19DC" w:rsidRPr="00B31C20" w:rsidRDefault="000A19DC" w:rsidP="0084569A">
            <w:pPr>
              <w:spacing w:after="120"/>
              <w:rPr>
                <w:rFonts w:cs="Arial"/>
                <w:b/>
                <w:bCs/>
                <w:szCs w:val="20"/>
              </w:rPr>
            </w:pPr>
            <w:r w:rsidRPr="00B31C20">
              <w:rPr>
                <w:rFonts w:cs="Arial"/>
                <w:b/>
                <w:bCs/>
                <w:szCs w:val="20"/>
              </w:rPr>
              <w:t>NECTARINES, PEACHES AND PLUMS</w:t>
            </w:r>
          </w:p>
        </w:tc>
      </w:tr>
      <w:tr w:rsidR="000A19DC" w:rsidRPr="00B31C20" w14:paraId="3470A1A5" w14:textId="77777777" w:rsidTr="0084569A">
        <w:trPr>
          <w:cantSplit/>
          <w:tblHeader/>
        </w:trPr>
        <w:tc>
          <w:tcPr>
            <w:tcW w:w="5000" w:type="pct"/>
            <w:gridSpan w:val="5"/>
            <w:tcBorders>
              <w:top w:val="nil"/>
            </w:tcBorders>
          </w:tcPr>
          <w:p w14:paraId="4F7AFEB9" w14:textId="77777777" w:rsidR="000A19DC" w:rsidRPr="00B31C20" w:rsidRDefault="000A19DC" w:rsidP="0084569A">
            <w:pPr>
              <w:spacing w:after="120"/>
              <w:rPr>
                <w:rFonts w:cs="Arial"/>
                <w:szCs w:val="20"/>
              </w:rPr>
            </w:pPr>
            <w:r w:rsidRPr="00B31C20">
              <w:rPr>
                <w:rFonts w:cs="Arial"/>
                <w:b/>
                <w:bCs/>
                <w:szCs w:val="20"/>
              </w:rPr>
              <w:t>DO NOT</w:t>
            </w:r>
            <w:r w:rsidRPr="00B31C20">
              <w:rPr>
                <w:rFonts w:cs="Arial"/>
                <w:szCs w:val="20"/>
              </w:rPr>
              <w:t xml:space="preserve"> apply Accede on Nectarines, Peaches and Plums that are light setting, set only at the tips of branches or biennial bearing (in an off year).</w:t>
            </w:r>
          </w:p>
          <w:p w14:paraId="3C8AD094" w14:textId="45AFBA38" w:rsidR="00AA63A7" w:rsidRPr="00B31C20" w:rsidRDefault="000A19DC" w:rsidP="0084569A">
            <w:pPr>
              <w:spacing w:after="120"/>
              <w:rPr>
                <w:rFonts w:cs="Arial"/>
                <w:szCs w:val="20"/>
              </w:rPr>
            </w:pPr>
            <w:r w:rsidRPr="00B31C20">
              <w:rPr>
                <w:rFonts w:cs="Arial"/>
                <w:b/>
                <w:bCs/>
                <w:szCs w:val="20"/>
              </w:rPr>
              <w:t>DO NOT</w:t>
            </w:r>
            <w:r w:rsidRPr="00B31C20">
              <w:rPr>
                <w:rFonts w:cs="Arial"/>
                <w:szCs w:val="20"/>
              </w:rPr>
              <w:t xml:space="preserve"> apply more than one application of Accede in Nectarines, Peaches and Plums per season</w:t>
            </w:r>
            <w:r w:rsidR="00AA63A7" w:rsidRPr="00AA63A7">
              <w:rPr>
                <w:rFonts w:cs="Arial"/>
                <w:szCs w:val="20"/>
              </w:rPr>
              <w:t>.</w:t>
            </w:r>
          </w:p>
        </w:tc>
      </w:tr>
      <w:tr w:rsidR="000A19DC" w:rsidRPr="00B31C20" w14:paraId="0CB3F1F3" w14:textId="77777777" w:rsidTr="00A218C7">
        <w:trPr>
          <w:cantSplit/>
          <w:trHeight w:val="2269"/>
        </w:trPr>
        <w:tc>
          <w:tcPr>
            <w:tcW w:w="715" w:type="pct"/>
          </w:tcPr>
          <w:p w14:paraId="56F02F02" w14:textId="1BF01351" w:rsidR="000A19DC" w:rsidRPr="00B31C20" w:rsidRDefault="000A19DC" w:rsidP="00AA5A11">
            <w:pPr>
              <w:spacing w:after="120"/>
              <w:rPr>
                <w:rFonts w:cs="Arial"/>
                <w:szCs w:val="20"/>
              </w:rPr>
            </w:pPr>
            <w:r w:rsidRPr="00B31C20">
              <w:rPr>
                <w:rFonts w:cs="Arial"/>
                <w:szCs w:val="20"/>
              </w:rPr>
              <w:t>NECTARINE AND PEACH</w:t>
            </w:r>
          </w:p>
        </w:tc>
        <w:tc>
          <w:tcPr>
            <w:tcW w:w="712" w:type="pct"/>
          </w:tcPr>
          <w:p w14:paraId="574855F6" w14:textId="77777777" w:rsidR="000A19DC" w:rsidRPr="00B31C20" w:rsidRDefault="000A19DC" w:rsidP="0084569A">
            <w:pPr>
              <w:spacing w:after="120"/>
              <w:rPr>
                <w:rFonts w:cs="Arial"/>
                <w:szCs w:val="20"/>
              </w:rPr>
            </w:pPr>
            <w:r w:rsidRPr="00B31C20">
              <w:rPr>
                <w:rFonts w:cs="Arial"/>
                <w:szCs w:val="20"/>
              </w:rPr>
              <w:t>Heavy setting varieties only</w:t>
            </w:r>
          </w:p>
        </w:tc>
        <w:tc>
          <w:tcPr>
            <w:tcW w:w="714" w:type="pct"/>
            <w:vMerge w:val="restart"/>
          </w:tcPr>
          <w:p w14:paraId="0D16B056" w14:textId="77777777" w:rsidR="000A19DC" w:rsidRPr="00B31C20" w:rsidRDefault="000A19DC" w:rsidP="0084569A">
            <w:pPr>
              <w:spacing w:after="120"/>
              <w:jc w:val="center"/>
              <w:rPr>
                <w:rFonts w:cs="Arial"/>
                <w:szCs w:val="20"/>
              </w:rPr>
            </w:pPr>
            <w:r w:rsidRPr="00B31C20">
              <w:rPr>
                <w:rFonts w:cs="Arial"/>
                <w:szCs w:val="20"/>
              </w:rPr>
              <w:t xml:space="preserve">60 – 90% </w:t>
            </w:r>
            <w:r w:rsidRPr="00B31C20">
              <w:rPr>
                <w:rFonts w:cs="Arial"/>
                <w:szCs w:val="20"/>
              </w:rPr>
              <w:br/>
              <w:t>flowering</w:t>
            </w:r>
          </w:p>
        </w:tc>
        <w:tc>
          <w:tcPr>
            <w:tcW w:w="1285" w:type="pct"/>
          </w:tcPr>
          <w:p w14:paraId="3A779149" w14:textId="77777777" w:rsidR="000A19DC" w:rsidRPr="00B31C20" w:rsidRDefault="000A19DC" w:rsidP="0084569A">
            <w:pPr>
              <w:spacing w:after="120"/>
              <w:jc w:val="center"/>
              <w:rPr>
                <w:rFonts w:cs="Arial"/>
                <w:szCs w:val="20"/>
              </w:rPr>
            </w:pPr>
            <w:r w:rsidRPr="00B31C20">
              <w:rPr>
                <w:rFonts w:cs="Arial"/>
                <w:szCs w:val="20"/>
              </w:rPr>
              <w:t xml:space="preserve">75 - 87.5 g/100 L </w:t>
            </w:r>
            <w:r w:rsidRPr="00B31C20">
              <w:rPr>
                <w:rFonts w:cs="Arial"/>
                <w:szCs w:val="20"/>
              </w:rPr>
              <w:br/>
              <w:t>(300 – 350 ppm)</w:t>
            </w:r>
          </w:p>
        </w:tc>
        <w:tc>
          <w:tcPr>
            <w:tcW w:w="1574" w:type="pct"/>
            <w:vMerge w:val="restart"/>
          </w:tcPr>
          <w:p w14:paraId="180D6049" w14:textId="617BB8AB" w:rsidR="000A19DC" w:rsidRPr="00B31C20" w:rsidRDefault="000A19DC" w:rsidP="0084569A">
            <w:pPr>
              <w:spacing w:after="120"/>
              <w:rPr>
                <w:rFonts w:cs="Arial"/>
                <w:szCs w:val="20"/>
              </w:rPr>
            </w:pPr>
            <w:r w:rsidRPr="00B31C20">
              <w:rPr>
                <w:rFonts w:cs="Arial"/>
                <w:szCs w:val="20"/>
              </w:rPr>
              <w:t>Application at higher rates after leaf emergence may lead to significant leaf</w:t>
            </w:r>
            <w:r w:rsidR="00682283">
              <w:rPr>
                <w:rFonts w:cs="Arial"/>
                <w:szCs w:val="20"/>
              </w:rPr>
              <w:t xml:space="preserve"> yellowing and </w:t>
            </w:r>
            <w:r w:rsidRPr="00B31C20">
              <w:rPr>
                <w:rFonts w:cs="Arial"/>
                <w:szCs w:val="20"/>
              </w:rPr>
              <w:t>drop, so only one application at flowering is possible. It is important to carefully consider all factors mentioned under GENERAL INSTRUCTIONS that may affect pollination and fruit set before deciding on the rate and using Accede.</w:t>
            </w:r>
          </w:p>
          <w:p w14:paraId="54337DED" w14:textId="62685DA6" w:rsidR="000A19DC" w:rsidRPr="00B31C20" w:rsidRDefault="000A19DC" w:rsidP="0084569A">
            <w:pPr>
              <w:spacing w:after="120"/>
              <w:rPr>
                <w:rFonts w:cs="Arial"/>
                <w:szCs w:val="20"/>
              </w:rPr>
            </w:pPr>
            <w:r w:rsidRPr="00B31C20">
              <w:rPr>
                <w:rFonts w:cs="Arial"/>
                <w:szCs w:val="20"/>
              </w:rPr>
              <w:t>There are many varieties of Nectarines Peaches and Plums, so it is important that initial applications are done to small trial sections in a block over one or two seasons starting with the lower rate, to determine appropriate timing, rate and likely response before full block treatments are conducted.</w:t>
            </w:r>
          </w:p>
          <w:p w14:paraId="3A6630B8" w14:textId="58DD87DD" w:rsidR="000A19DC" w:rsidRDefault="000A19DC" w:rsidP="0084569A">
            <w:pPr>
              <w:spacing w:after="120"/>
              <w:rPr>
                <w:rFonts w:cs="Arial"/>
                <w:szCs w:val="20"/>
              </w:rPr>
            </w:pPr>
            <w:r w:rsidRPr="00B31C20">
              <w:rPr>
                <w:rFonts w:cs="Arial"/>
                <w:szCs w:val="20"/>
              </w:rPr>
              <w:t>Plums require good pollination with bees to get good fruit set. If this is unlikely to occur, then a lower rate of Accede should be used.</w:t>
            </w:r>
          </w:p>
          <w:p w14:paraId="5672C9C8" w14:textId="6AF64C27" w:rsidR="008A55C9" w:rsidRPr="00B31C20" w:rsidRDefault="008A55C9" w:rsidP="0084569A">
            <w:pPr>
              <w:spacing w:after="120"/>
              <w:rPr>
                <w:rFonts w:ascii="Calibri" w:hAnsi="Calibri" w:cs="Calibri"/>
                <w:szCs w:val="20"/>
              </w:rPr>
            </w:pPr>
            <w:r w:rsidRPr="00AA63A7">
              <w:rPr>
                <w:rFonts w:cs="Arial"/>
                <w:szCs w:val="20"/>
              </w:rPr>
              <w:t>A tree-fruit safe non-ionic surfactant such as Pomade* at 50 mL/100L should be used with all Accede applications</w:t>
            </w:r>
            <w:r w:rsidR="000E52D8">
              <w:rPr>
                <w:rFonts w:cs="Arial"/>
                <w:szCs w:val="20"/>
              </w:rPr>
              <w:t>.</w:t>
            </w:r>
          </w:p>
        </w:tc>
      </w:tr>
      <w:tr w:rsidR="000A19DC" w:rsidRPr="00B31C20" w14:paraId="6FAADA93" w14:textId="77777777" w:rsidTr="00A218C7">
        <w:trPr>
          <w:cantSplit/>
          <w:trHeight w:val="1250"/>
        </w:trPr>
        <w:tc>
          <w:tcPr>
            <w:tcW w:w="715" w:type="pct"/>
          </w:tcPr>
          <w:p w14:paraId="6E55A727" w14:textId="77777777" w:rsidR="000A19DC" w:rsidRPr="00B31C20" w:rsidRDefault="000A19DC" w:rsidP="0084569A">
            <w:pPr>
              <w:spacing w:after="120"/>
              <w:rPr>
                <w:rFonts w:cs="Arial"/>
                <w:szCs w:val="20"/>
              </w:rPr>
            </w:pPr>
            <w:r w:rsidRPr="00B31C20">
              <w:rPr>
                <w:rFonts w:cs="Arial"/>
                <w:szCs w:val="20"/>
              </w:rPr>
              <w:t>PLUM</w:t>
            </w:r>
          </w:p>
        </w:tc>
        <w:tc>
          <w:tcPr>
            <w:tcW w:w="712" w:type="pct"/>
          </w:tcPr>
          <w:p w14:paraId="66FA85FE" w14:textId="77777777" w:rsidR="000A19DC" w:rsidRPr="00B31C20" w:rsidRDefault="000A19DC" w:rsidP="0084569A">
            <w:pPr>
              <w:spacing w:after="120"/>
              <w:rPr>
                <w:rFonts w:cs="Arial"/>
                <w:szCs w:val="20"/>
              </w:rPr>
            </w:pPr>
            <w:r w:rsidRPr="00B31C20">
              <w:rPr>
                <w:rFonts w:cs="Arial"/>
                <w:szCs w:val="20"/>
              </w:rPr>
              <w:t>Queen Garnett</w:t>
            </w:r>
            <w:r w:rsidRPr="00B31C20">
              <w:rPr>
                <w:rFonts w:cs="Arial"/>
                <w:szCs w:val="20"/>
              </w:rPr>
              <w:br/>
              <w:t>only</w:t>
            </w:r>
          </w:p>
        </w:tc>
        <w:tc>
          <w:tcPr>
            <w:tcW w:w="714" w:type="pct"/>
            <w:vMerge/>
          </w:tcPr>
          <w:p w14:paraId="33F340CF" w14:textId="77777777" w:rsidR="000A19DC" w:rsidRPr="00B31C20" w:rsidRDefault="000A19DC" w:rsidP="0084569A">
            <w:pPr>
              <w:spacing w:after="120"/>
              <w:rPr>
                <w:rFonts w:ascii="Calibri" w:hAnsi="Calibri" w:cs="Calibri"/>
                <w:szCs w:val="20"/>
              </w:rPr>
            </w:pPr>
          </w:p>
        </w:tc>
        <w:tc>
          <w:tcPr>
            <w:tcW w:w="1285" w:type="pct"/>
          </w:tcPr>
          <w:p w14:paraId="160A0F62" w14:textId="77777777" w:rsidR="000A19DC" w:rsidRPr="00B31C20" w:rsidRDefault="000A19DC" w:rsidP="0084569A">
            <w:pPr>
              <w:spacing w:after="120"/>
              <w:jc w:val="center"/>
              <w:rPr>
                <w:rFonts w:cs="Arial"/>
                <w:szCs w:val="20"/>
              </w:rPr>
            </w:pPr>
            <w:r w:rsidRPr="00B31C20">
              <w:rPr>
                <w:rFonts w:cs="Arial"/>
                <w:szCs w:val="20"/>
              </w:rPr>
              <w:t xml:space="preserve">37.5 - 50 /100 L </w:t>
            </w:r>
            <w:r w:rsidRPr="00B31C20">
              <w:rPr>
                <w:rFonts w:cs="Arial"/>
                <w:szCs w:val="20"/>
              </w:rPr>
              <w:br/>
              <w:t>(150 – 200 ppm)</w:t>
            </w:r>
          </w:p>
        </w:tc>
        <w:tc>
          <w:tcPr>
            <w:tcW w:w="1574" w:type="pct"/>
            <w:vMerge/>
          </w:tcPr>
          <w:p w14:paraId="1AFCCF56" w14:textId="77777777" w:rsidR="000A19DC" w:rsidRPr="00B31C20" w:rsidRDefault="000A19DC" w:rsidP="0084569A">
            <w:pPr>
              <w:spacing w:after="120"/>
            </w:pPr>
          </w:p>
        </w:tc>
      </w:tr>
    </w:tbl>
    <w:p w14:paraId="08902C6C" w14:textId="77777777" w:rsidR="000A19DC" w:rsidRPr="00B31C20" w:rsidRDefault="000A19DC" w:rsidP="000A19DC">
      <w:pPr>
        <w:spacing w:before="120"/>
        <w:rPr>
          <w:rFonts w:ascii="Calibri" w:hAnsi="Calibri" w:cs="Calibri"/>
        </w:rPr>
      </w:pPr>
    </w:p>
    <w:p w14:paraId="1E04D7D2" w14:textId="4C58A480" w:rsidR="000A19DC" w:rsidRPr="00B31C20" w:rsidRDefault="008A55C9" w:rsidP="008A55C9">
      <w:pPr>
        <w:ind w:left="142" w:right="424"/>
        <w:rPr>
          <w:b/>
          <w:bCs/>
        </w:rPr>
      </w:pPr>
      <w:r w:rsidRPr="008A55C9">
        <w:rPr>
          <w:b/>
          <w:bCs/>
        </w:rPr>
        <w:t>NOT TO BE USED FOR ANY PURPOSE, OR IN ANY MANNER, CONTRARY TO THIS LABEL UNLESS AUTHORISED UNDER APPROPRIATE LEGISLATION.</w:t>
      </w:r>
    </w:p>
    <w:p w14:paraId="15180DDA" w14:textId="77777777" w:rsidR="008A55C9" w:rsidRDefault="008A55C9" w:rsidP="000A19DC">
      <w:pPr>
        <w:spacing w:before="120"/>
        <w:ind w:left="142" w:right="712"/>
        <w:rPr>
          <w:rFonts w:cs="Arial"/>
          <w:b/>
          <w:bCs/>
          <w:szCs w:val="20"/>
        </w:rPr>
      </w:pPr>
    </w:p>
    <w:p w14:paraId="167C4436" w14:textId="77777777" w:rsidR="008A55C9" w:rsidRDefault="008A55C9" w:rsidP="000A19DC">
      <w:pPr>
        <w:spacing w:before="120"/>
        <w:ind w:left="142" w:right="712"/>
        <w:rPr>
          <w:rFonts w:cs="Arial"/>
          <w:b/>
          <w:bCs/>
          <w:szCs w:val="20"/>
        </w:rPr>
      </w:pPr>
    </w:p>
    <w:p w14:paraId="3AD849B0" w14:textId="590E5914" w:rsidR="000A19DC" w:rsidRPr="00E252E4" w:rsidRDefault="000A19DC" w:rsidP="000A19DC">
      <w:pPr>
        <w:spacing w:before="120"/>
        <w:ind w:left="142" w:right="712"/>
        <w:rPr>
          <w:rFonts w:cs="Arial"/>
          <w:b/>
          <w:bCs/>
          <w:szCs w:val="20"/>
        </w:rPr>
      </w:pPr>
      <w:r w:rsidRPr="00E252E4">
        <w:rPr>
          <w:rFonts w:cs="Arial"/>
          <w:b/>
          <w:bCs/>
          <w:szCs w:val="20"/>
        </w:rPr>
        <w:t>GENERAL INSTRUCTIONS</w:t>
      </w:r>
    </w:p>
    <w:p w14:paraId="168FB9D6" w14:textId="77777777" w:rsidR="000A19DC" w:rsidRPr="00F6014C" w:rsidRDefault="000A19DC" w:rsidP="000A19DC">
      <w:pPr>
        <w:spacing w:before="120"/>
        <w:ind w:left="142" w:right="712"/>
        <w:rPr>
          <w:rFonts w:cs="Arial"/>
          <w:b/>
          <w:bCs/>
          <w:szCs w:val="20"/>
        </w:rPr>
      </w:pPr>
    </w:p>
    <w:p w14:paraId="22D8F281" w14:textId="77777777" w:rsidR="000A19DC" w:rsidRPr="00F6014C" w:rsidRDefault="000A19DC" w:rsidP="000A19DC">
      <w:pPr>
        <w:ind w:left="142" w:right="712"/>
        <w:rPr>
          <w:rFonts w:cs="Arial"/>
          <w:szCs w:val="20"/>
        </w:rPr>
      </w:pPr>
      <w:r w:rsidRPr="00F6014C">
        <w:rPr>
          <w:rFonts w:cs="Arial"/>
          <w:szCs w:val="20"/>
        </w:rPr>
        <w:t>Accede® Plant Growth Regulator contains 1-AMINOCYCLOPROPANE-1-CARBOXYLIC ACID (ACC), a natural compound responsible for the biosynthesis of ethylene production in tree fruits. It is ideal for thinning Apples, Nectarines, Peaches and Plums, reducing the need for hand thinning labour and improving fruit quality.</w:t>
      </w:r>
    </w:p>
    <w:p w14:paraId="77DBF555" w14:textId="77777777" w:rsidR="000A19D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4"/>
        <w:rPr>
          <w:rFonts w:ascii="Arial" w:hAnsi="Arial" w:cs="Arial"/>
          <w:b/>
          <w:sz w:val="20"/>
          <w:szCs w:val="20"/>
          <w:lang w:val="en-AU"/>
        </w:rPr>
      </w:pPr>
    </w:p>
    <w:p w14:paraId="4C5FC01B" w14:textId="77777777"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4"/>
        <w:rPr>
          <w:rFonts w:ascii="Arial" w:hAnsi="Arial" w:cs="Arial"/>
          <w:b/>
          <w:bCs/>
          <w:sz w:val="20"/>
          <w:szCs w:val="20"/>
          <w:lang w:val="en-AU"/>
        </w:rPr>
      </w:pPr>
      <w:r w:rsidRPr="00F6014C">
        <w:rPr>
          <w:rFonts w:ascii="Arial" w:hAnsi="Arial" w:cs="Arial"/>
          <w:b/>
          <w:sz w:val="20"/>
          <w:szCs w:val="20"/>
          <w:lang w:val="en-AU"/>
        </w:rPr>
        <w:t xml:space="preserve">IMPORTANT </w:t>
      </w:r>
      <w:r w:rsidRPr="00F6014C">
        <w:rPr>
          <w:rFonts w:ascii="Arial" w:hAnsi="Arial" w:cs="Arial"/>
          <w:b/>
          <w:bCs/>
          <w:sz w:val="20"/>
          <w:szCs w:val="20"/>
          <w:lang w:val="en-AU"/>
        </w:rPr>
        <w:t>FACTORS AFFECTING THINNING AND FRUIT SET</w:t>
      </w:r>
    </w:p>
    <w:p w14:paraId="105999F6" w14:textId="3F89F2B8"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sz w:val="20"/>
          <w:szCs w:val="20"/>
          <w:lang w:val="en-AU"/>
        </w:rPr>
        <w:t xml:space="preserve">Many factors can influence plant stress level, flowering, fruit set or fruit maturation </w:t>
      </w:r>
      <w:proofErr w:type="gramStart"/>
      <w:r w:rsidRPr="00F6014C">
        <w:rPr>
          <w:rFonts w:ascii="Arial" w:hAnsi="Arial" w:cs="Arial"/>
          <w:sz w:val="20"/>
          <w:szCs w:val="20"/>
          <w:lang w:val="en-AU"/>
        </w:rPr>
        <w:t>during the course of</w:t>
      </w:r>
      <w:proofErr w:type="gramEnd"/>
      <w:r w:rsidRPr="00F6014C">
        <w:rPr>
          <w:rFonts w:ascii="Arial" w:hAnsi="Arial" w:cs="Arial"/>
          <w:sz w:val="20"/>
          <w:szCs w:val="20"/>
          <w:lang w:val="en-AU"/>
        </w:rPr>
        <w:t xml:space="preserve"> the season and therefore response to chemical thinners. For example (elevation, sun exposure, soil texture), tree size, root stock, growing conditions (prevailing or anticipated weather patterns such as high or low temperature extremes, chilling, drought or flood conditions, nutrient levels) or production practices (e.g. crop load, pruning severity, trunk girdling, root pruning). </w:t>
      </w:r>
      <w:proofErr w:type="gramStart"/>
      <w:r w:rsidRPr="00F6014C">
        <w:rPr>
          <w:rFonts w:ascii="Arial" w:hAnsi="Arial" w:cs="Arial"/>
          <w:sz w:val="20"/>
          <w:szCs w:val="20"/>
          <w:lang w:val="en-AU"/>
        </w:rPr>
        <w:t>So</w:t>
      </w:r>
      <w:proofErr w:type="gramEnd"/>
      <w:r w:rsidRPr="00F6014C">
        <w:rPr>
          <w:rFonts w:ascii="Arial" w:hAnsi="Arial" w:cs="Arial"/>
          <w:sz w:val="20"/>
          <w:szCs w:val="20"/>
          <w:lang w:val="en-AU"/>
        </w:rPr>
        <w:t xml:space="preserve"> these must all be carefully considered prior to using Accede. Severe pruning which leaves mostly older wood to set fruit will be harder to thin with ACC. Hail nets may affect thinning effect due to reduction in solar radiation. Waterlogging in stone fruit triggers ethylene production in the tree which will cause fruit drop just as a late frost on fruitlets will do. Note that cool, overcast conditions after application will delay fruitlet growth and flower/fruitlet drop and so it may be necessary to wait an extra one or two weeks to see how much the Accede has reduced fruit set </w:t>
      </w:r>
      <w:proofErr w:type="spellStart"/>
      <w:r w:rsidRPr="00F6014C">
        <w:rPr>
          <w:rFonts w:ascii="Arial" w:hAnsi="Arial" w:cs="Arial"/>
          <w:sz w:val="20"/>
          <w:szCs w:val="20"/>
          <w:lang w:val="en-AU"/>
        </w:rPr>
        <w:t>before hand</w:t>
      </w:r>
      <w:proofErr w:type="spellEnd"/>
      <w:r w:rsidRPr="00F6014C">
        <w:rPr>
          <w:rFonts w:ascii="Arial" w:hAnsi="Arial" w:cs="Arial"/>
          <w:sz w:val="20"/>
          <w:szCs w:val="20"/>
          <w:lang w:val="en-AU"/>
        </w:rPr>
        <w:t xml:space="preserve"> </w:t>
      </w:r>
      <w:proofErr w:type="spellStart"/>
      <w:r w:rsidRPr="00F6014C">
        <w:rPr>
          <w:rFonts w:ascii="Arial" w:hAnsi="Arial" w:cs="Arial"/>
          <w:sz w:val="20"/>
          <w:szCs w:val="20"/>
          <w:lang w:val="en-AU"/>
        </w:rPr>
        <w:t>thinning.A</w:t>
      </w:r>
      <w:proofErr w:type="spellEnd"/>
      <w:r w:rsidRPr="00F6014C">
        <w:rPr>
          <w:rFonts w:ascii="Arial" w:hAnsi="Arial" w:cs="Arial"/>
          <w:sz w:val="20"/>
          <w:szCs w:val="20"/>
          <w:lang w:val="en-AU"/>
        </w:rPr>
        <w:t xml:space="preserve"> proportion of the fruitlets will stop developing and these are ones that will eventually drop or can be taken off during hand thinning.</w:t>
      </w:r>
      <w:r w:rsidR="00AB4AB3">
        <w:rPr>
          <w:rFonts w:ascii="Arial" w:hAnsi="Arial" w:cs="Arial"/>
          <w:sz w:val="20"/>
          <w:szCs w:val="20"/>
          <w:lang w:val="en-AU"/>
        </w:rPr>
        <w:t xml:space="preserve"> </w:t>
      </w:r>
      <w:bookmarkStart w:id="168" w:name="_Hlk131425484"/>
      <w:r w:rsidR="00AB4AB3" w:rsidRPr="00AB4AB3">
        <w:rPr>
          <w:rFonts w:ascii="Arial" w:hAnsi="Arial" w:cs="Arial"/>
          <w:sz w:val="20"/>
          <w:szCs w:val="20"/>
          <w:lang w:val="en-AU"/>
        </w:rPr>
        <w:t>DO NOT</w:t>
      </w:r>
      <w:r w:rsidR="00AB4AB3" w:rsidRPr="00BD5677">
        <w:rPr>
          <w:rFonts w:ascii="Arial" w:hAnsi="Arial" w:cs="Arial"/>
          <w:sz w:val="20"/>
          <w:szCs w:val="20"/>
          <w:lang w:val="en-AU"/>
        </w:rPr>
        <w:t xml:space="preserve"> apply fruit setting agents if using Accede at flowering time.</w:t>
      </w:r>
      <w:bookmarkEnd w:id="168"/>
    </w:p>
    <w:p w14:paraId="58743726" w14:textId="77EFE898"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spacing w:before="120"/>
        <w:ind w:left="142" w:right="712"/>
        <w:rPr>
          <w:rFonts w:ascii="Arial" w:hAnsi="Arial" w:cs="Arial"/>
          <w:sz w:val="20"/>
          <w:szCs w:val="20"/>
          <w:lang w:val="en-AU"/>
        </w:rPr>
      </w:pPr>
      <w:r w:rsidRPr="00F6014C">
        <w:rPr>
          <w:rFonts w:ascii="Arial" w:hAnsi="Arial" w:cs="Arial"/>
          <w:sz w:val="20"/>
          <w:szCs w:val="20"/>
          <w:lang w:val="en-AU"/>
        </w:rPr>
        <w:t>Accede is a precursor to ethylene and so varietal response may be different to other apple thinners such as NAA or 6BA. It is recommended that initial applications are on small trial sections in a block over one or two seasons to determine appropriate timing, rate and likely response before full block treatments are conducted.</w:t>
      </w:r>
    </w:p>
    <w:p w14:paraId="7D74A343" w14:textId="77777777" w:rsidR="000A19D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4"/>
        <w:rPr>
          <w:rFonts w:ascii="Arial" w:hAnsi="Arial" w:cs="Arial"/>
          <w:b/>
          <w:bCs/>
          <w:sz w:val="20"/>
          <w:szCs w:val="20"/>
          <w:lang w:val="en-AU"/>
        </w:rPr>
      </w:pPr>
    </w:p>
    <w:p w14:paraId="7EA84835" w14:textId="77777777"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4"/>
        <w:rPr>
          <w:rFonts w:ascii="Arial" w:hAnsi="Arial" w:cs="Arial"/>
          <w:b/>
          <w:bCs/>
          <w:sz w:val="20"/>
          <w:szCs w:val="20"/>
          <w:lang w:val="en-AU"/>
        </w:rPr>
      </w:pPr>
      <w:r w:rsidRPr="00F6014C">
        <w:rPr>
          <w:rFonts w:ascii="Arial" w:hAnsi="Arial" w:cs="Arial"/>
          <w:b/>
          <w:bCs/>
          <w:sz w:val="20"/>
          <w:szCs w:val="20"/>
          <w:lang w:val="en-AU"/>
        </w:rPr>
        <w:t>WATER VOLUME AND SPRAYER SET UP</w:t>
      </w:r>
    </w:p>
    <w:p w14:paraId="18E717A9" w14:textId="0FFA4FEA"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sz w:val="20"/>
          <w:szCs w:val="20"/>
          <w:lang w:val="en-AU"/>
        </w:rPr>
        <w:t>The amount of water applied per hectare and coverage is as important as the concentration applied. On tree crops, apply Accede in just sufficient water to ensure that flowers and fruits, receive light to moderate coverage using calibrated spray equipment. Adjust water volumes based on plant size and spacing. It is not necessary to wet to the point of runoff. Since low water volumes can be used with Accede, concentrate spraying is not needed. Over wetting, leading to spray drift and drip can lead to overthinning - particularly in the bottom of vase shaped trees.</w:t>
      </w:r>
    </w:p>
    <w:p w14:paraId="7483725A" w14:textId="77777777"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p>
    <w:p w14:paraId="71C6DD3B" w14:textId="21178F70"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sz w:val="20"/>
          <w:szCs w:val="20"/>
          <w:lang w:val="en-AU"/>
        </w:rPr>
        <w:t>For higher density, single/dual leader, flat profile pruning systems and trees 2.5 - 4m in height; 500 – 750 L/ha is adequate at flowering; increasing to 750 – 1000 L/ha (apples only) when fruitlets are 20mm in size.</w:t>
      </w:r>
    </w:p>
    <w:p w14:paraId="7522080E" w14:textId="189A74F1"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sz w:val="20"/>
          <w:szCs w:val="20"/>
          <w:lang w:val="en-AU"/>
        </w:rPr>
        <w:t>For larger vase shaped trees or Tatura trellis systems these rates can be increased by around 20% but then 80% of the spray should be directed into the upper 2/3rd of the tree canopy.</w:t>
      </w:r>
    </w:p>
    <w:p w14:paraId="359C0962" w14:textId="77777777"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p>
    <w:p w14:paraId="4787903E" w14:textId="787CCD6D" w:rsidR="00274331"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b/>
          <w:bCs/>
          <w:sz w:val="20"/>
          <w:szCs w:val="20"/>
        </w:rPr>
      </w:pPr>
      <w:r w:rsidRPr="00F6014C">
        <w:rPr>
          <w:rFonts w:ascii="Arial" w:hAnsi="Arial" w:cs="Arial"/>
          <w:sz w:val="20"/>
          <w:szCs w:val="20"/>
          <w:lang w:val="en-AU"/>
        </w:rPr>
        <w:t xml:space="preserve">Accede only has a thinning effect on the parts of the tree sprayed. </w:t>
      </w:r>
      <w:r w:rsidRPr="00F6014C">
        <w:rPr>
          <w:rFonts w:ascii="Arial" w:hAnsi="Arial" w:cs="Arial"/>
          <w:b/>
          <w:bCs/>
          <w:sz w:val="20"/>
          <w:szCs w:val="20"/>
          <w:lang w:val="en-AU"/>
        </w:rPr>
        <w:t>DO NOT</w:t>
      </w:r>
      <w:r w:rsidRPr="00F6014C">
        <w:rPr>
          <w:rFonts w:ascii="Arial" w:hAnsi="Arial" w:cs="Arial"/>
          <w:sz w:val="20"/>
          <w:szCs w:val="20"/>
          <w:lang w:val="en-AU"/>
        </w:rPr>
        <w:t xml:space="preserve"> apply to parts of the tree that do not require thinning.</w:t>
      </w:r>
      <w:r w:rsidR="00274331">
        <w:rPr>
          <w:rFonts w:ascii="Arial" w:hAnsi="Arial" w:cs="Arial"/>
          <w:b/>
          <w:bCs/>
          <w:sz w:val="20"/>
          <w:szCs w:val="20"/>
        </w:rPr>
        <w:br w:type="page"/>
      </w:r>
    </w:p>
    <w:p w14:paraId="1DB151D6" w14:textId="7F8FB7B5" w:rsidR="000A19DC" w:rsidRPr="00F6014C" w:rsidRDefault="000A19DC" w:rsidP="000A19DC">
      <w:pPr>
        <w:pStyle w:val="DefaultText"/>
        <w:tabs>
          <w:tab w:val="left" w:pos="-18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42" w:right="712"/>
        <w:rPr>
          <w:rFonts w:ascii="Arial" w:hAnsi="Arial" w:cs="Arial"/>
          <w:sz w:val="20"/>
          <w:szCs w:val="20"/>
          <w:lang w:val="en-AU"/>
        </w:rPr>
      </w:pPr>
      <w:r w:rsidRPr="00F6014C">
        <w:rPr>
          <w:rFonts w:ascii="Arial" w:hAnsi="Arial" w:cs="Arial"/>
          <w:b/>
          <w:bCs/>
          <w:sz w:val="20"/>
          <w:szCs w:val="20"/>
        </w:rPr>
        <w:t>SPRAY COVERAGE</w:t>
      </w:r>
    </w:p>
    <w:p w14:paraId="369D4E2B" w14:textId="2DF3CDC2" w:rsidR="000A19DC" w:rsidRDefault="000A19DC" w:rsidP="000A19DC">
      <w:pPr>
        <w:spacing w:after="160" w:line="259" w:lineRule="auto"/>
        <w:ind w:left="142" w:right="712"/>
        <w:rPr>
          <w:rFonts w:cs="Arial"/>
          <w:szCs w:val="20"/>
        </w:rPr>
      </w:pPr>
      <w:r w:rsidRPr="00F6014C">
        <w:rPr>
          <w:rFonts w:cs="Arial"/>
          <w:noProof/>
          <w:szCs w:val="20"/>
        </w:rPr>
        <w:drawing>
          <wp:anchor distT="0" distB="0" distL="114300" distR="114300" simplePos="0" relativeHeight="251660288" behindDoc="0" locked="0" layoutInCell="1" allowOverlap="1" wp14:anchorId="6317A444" wp14:editId="1D05B792">
            <wp:simplePos x="0" y="0"/>
            <wp:positionH relativeFrom="column">
              <wp:posOffset>1343660</wp:posOffset>
            </wp:positionH>
            <wp:positionV relativeFrom="paragraph">
              <wp:posOffset>601980</wp:posOffset>
            </wp:positionV>
            <wp:extent cx="3595370" cy="1635760"/>
            <wp:effectExtent l="0" t="0" r="5080" b="2540"/>
            <wp:wrapTopAndBottom/>
            <wp:docPr id="221266975" name="Picture 1" descr="A group of yellow and blue speckled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66975" name="Picture 1" descr="A group of yellow and blue speckled paper&#10;&#10;Description automatically generated"/>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1817" t="20314" r="2875" b="19826"/>
                    <a:stretch/>
                  </pic:blipFill>
                  <pic:spPr bwMode="auto">
                    <a:xfrm>
                      <a:off x="0" y="0"/>
                      <a:ext cx="3595370" cy="163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014C">
        <w:rPr>
          <w:rFonts w:cs="Arial"/>
          <w:noProof/>
          <w:szCs w:val="20"/>
        </w:rPr>
        <mc:AlternateContent>
          <mc:Choice Requires="wpg">
            <w:drawing>
              <wp:anchor distT="0" distB="0" distL="114300" distR="114300" simplePos="0" relativeHeight="251659264" behindDoc="0" locked="0" layoutInCell="1" allowOverlap="1" wp14:anchorId="7F6020F8" wp14:editId="25DDCE7E">
                <wp:simplePos x="0" y="0"/>
                <wp:positionH relativeFrom="margin">
                  <wp:posOffset>1196340</wp:posOffset>
                </wp:positionH>
                <wp:positionV relativeFrom="paragraph">
                  <wp:posOffset>2232660</wp:posOffset>
                </wp:positionV>
                <wp:extent cx="3734441" cy="257175"/>
                <wp:effectExtent l="0" t="0" r="0" b="9525"/>
                <wp:wrapNone/>
                <wp:docPr id="702023274" name="Group 2"/>
                <wp:cNvGraphicFramePr/>
                <a:graphic xmlns:a="http://schemas.openxmlformats.org/drawingml/2006/main">
                  <a:graphicData uri="http://schemas.microsoft.com/office/word/2010/wordprocessingGroup">
                    <wpg:wgp>
                      <wpg:cNvGrpSpPr/>
                      <wpg:grpSpPr>
                        <a:xfrm>
                          <a:off x="0" y="0"/>
                          <a:ext cx="3734441" cy="257175"/>
                          <a:chOff x="83831" y="-1"/>
                          <a:chExt cx="3734686" cy="385140"/>
                        </a:xfrm>
                      </wpg:grpSpPr>
                      <wps:wsp>
                        <wps:cNvPr id="1144683861" name="Text Box 2"/>
                        <wps:cNvSpPr txBox="1">
                          <a:spLocks noChangeArrowheads="1"/>
                        </wps:cNvSpPr>
                        <wps:spPr bwMode="auto">
                          <a:xfrm>
                            <a:off x="1342825" y="12789"/>
                            <a:ext cx="1272487" cy="358087"/>
                          </a:xfrm>
                          <a:prstGeom prst="rect">
                            <a:avLst/>
                          </a:prstGeom>
                          <a:solidFill>
                            <a:srgbClr val="FFFFFF"/>
                          </a:solidFill>
                          <a:ln w="9525">
                            <a:noFill/>
                            <a:miter lim="800000"/>
                            <a:headEnd/>
                            <a:tailEnd/>
                          </a:ln>
                        </wps:spPr>
                        <wps:txbx>
                          <w:txbxContent>
                            <w:p w14:paraId="2AFEDA61" w14:textId="77777777" w:rsidR="000A19DC" w:rsidRPr="001E0E25" w:rsidRDefault="000A19DC" w:rsidP="000A19DC">
                              <w:pPr>
                                <w:jc w:val="center"/>
                                <w:rPr>
                                  <w:rFonts w:asciiTheme="minorHAnsi" w:hAnsiTheme="minorHAnsi" w:cstheme="minorHAnsi"/>
                                  <w:szCs w:val="20"/>
                                </w:rPr>
                              </w:pPr>
                              <w:r w:rsidRPr="001E0E25">
                                <w:rPr>
                                  <w:rFonts w:asciiTheme="minorHAnsi" w:hAnsiTheme="minorHAnsi" w:cstheme="minorHAnsi"/>
                                  <w:szCs w:val="20"/>
                                </w:rPr>
                                <w:t>Ideal coverage</w:t>
                              </w:r>
                            </w:p>
                          </w:txbxContent>
                        </wps:txbx>
                        <wps:bodyPr rot="0" vert="horz" wrap="square" lIns="91440" tIns="45720" rIns="91440" bIns="45720" anchor="t" anchorCtr="0">
                          <a:noAutofit/>
                        </wps:bodyPr>
                      </wps:wsp>
                      <wps:wsp>
                        <wps:cNvPr id="883178435" name="Text Box 2"/>
                        <wps:cNvSpPr txBox="1">
                          <a:spLocks noChangeArrowheads="1"/>
                        </wps:cNvSpPr>
                        <wps:spPr bwMode="auto">
                          <a:xfrm>
                            <a:off x="2546030" y="-1"/>
                            <a:ext cx="1272487" cy="385140"/>
                          </a:xfrm>
                          <a:prstGeom prst="rect">
                            <a:avLst/>
                          </a:prstGeom>
                          <a:solidFill>
                            <a:srgbClr val="FFFFFF"/>
                          </a:solidFill>
                          <a:ln w="9525">
                            <a:noFill/>
                            <a:miter lim="800000"/>
                            <a:headEnd/>
                            <a:tailEnd/>
                          </a:ln>
                        </wps:spPr>
                        <wps:txbx>
                          <w:txbxContent>
                            <w:p w14:paraId="0E0C78E8" w14:textId="77777777" w:rsidR="000A19DC" w:rsidRPr="001E0E25" w:rsidRDefault="000A19DC" w:rsidP="000A19DC">
                              <w:pPr>
                                <w:jc w:val="center"/>
                                <w:rPr>
                                  <w:rFonts w:asciiTheme="minorHAnsi" w:hAnsiTheme="minorHAnsi" w:cstheme="minorHAnsi"/>
                                  <w:szCs w:val="20"/>
                                </w:rPr>
                              </w:pPr>
                              <w:r>
                                <w:rPr>
                                  <w:rFonts w:asciiTheme="minorHAnsi" w:hAnsiTheme="minorHAnsi" w:cstheme="minorHAnsi"/>
                                  <w:szCs w:val="20"/>
                                </w:rPr>
                                <w:t>Too low</w:t>
                              </w:r>
                            </w:p>
                          </w:txbxContent>
                        </wps:txbx>
                        <wps:bodyPr rot="0" vert="horz" wrap="square" lIns="91440" tIns="45720" rIns="91440" bIns="45720" anchor="t" anchorCtr="0">
                          <a:noAutofit/>
                        </wps:bodyPr>
                      </wps:wsp>
                      <wps:wsp>
                        <wps:cNvPr id="505287494" name="Text Box 2"/>
                        <wps:cNvSpPr txBox="1">
                          <a:spLocks noChangeArrowheads="1"/>
                        </wps:cNvSpPr>
                        <wps:spPr bwMode="auto">
                          <a:xfrm>
                            <a:off x="83831" y="12788"/>
                            <a:ext cx="1272487" cy="358088"/>
                          </a:xfrm>
                          <a:prstGeom prst="rect">
                            <a:avLst/>
                          </a:prstGeom>
                          <a:solidFill>
                            <a:srgbClr val="FFFFFF"/>
                          </a:solidFill>
                          <a:ln w="9525">
                            <a:noFill/>
                            <a:miter lim="800000"/>
                            <a:headEnd/>
                            <a:tailEnd/>
                          </a:ln>
                        </wps:spPr>
                        <wps:txbx>
                          <w:txbxContent>
                            <w:p w14:paraId="0F872291" w14:textId="77777777" w:rsidR="000A19DC" w:rsidRPr="001E0E25" w:rsidRDefault="000A19DC" w:rsidP="000A19DC">
                              <w:pPr>
                                <w:jc w:val="center"/>
                                <w:rPr>
                                  <w:rFonts w:asciiTheme="minorHAnsi" w:hAnsiTheme="minorHAnsi" w:cstheme="minorHAnsi"/>
                                  <w:szCs w:val="20"/>
                                </w:rPr>
                              </w:pPr>
                              <w:r>
                                <w:rPr>
                                  <w:rFonts w:asciiTheme="minorHAnsi" w:hAnsiTheme="minorHAnsi" w:cstheme="minorHAnsi"/>
                                  <w:szCs w:val="20"/>
                                </w:rPr>
                                <w:t>Too high</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6020F8" id="Group 2" o:spid="_x0000_s1026" style="position:absolute;left:0;text-align:left;margin-left:94.2pt;margin-top:175.8pt;width:294.05pt;height:20.25pt;z-index:251659264;mso-position-horizontal-relative:margin;mso-width-relative:margin;mso-height-relative:margin" coordorigin="838" coordsize="37346,3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">
                <v:shapetype id="_x0000_t202" coordsize="21600,21600" o:spt="202" path="m,l,21600r21600,l21600,xe">
                  <v:stroke joinstyle="miter"/>
                  <v:path gradientshapeok="t" o:connecttype="rect"/>
                </v:shapetype>
                <v:shape id="Text Box 2" o:spid="_x0000_s1027" type="#_x0000_t202" style="position:absolute;left:13428;top:127;width:1272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" stroked="f">
                  <v:textbox>
                    <w:txbxContent>
                      <w:p w14:paraId="2AFEDA61" w14:textId="77777777" w:rsidR="000A19DC" w:rsidRPr="001E0E25" w:rsidRDefault="000A19DC" w:rsidP="000A19DC">
                        <w:pPr>
                          <w:jc w:val="center"/>
                          <w:rPr>
                            <w:rFonts w:asciiTheme="minorHAnsi" w:hAnsiTheme="minorHAnsi" w:cstheme="minorHAnsi"/>
                            <w:szCs w:val="20"/>
                          </w:rPr>
                        </w:pPr>
                        <w:r w:rsidRPr="001E0E25">
                          <w:rPr>
                            <w:rFonts w:asciiTheme="minorHAnsi" w:hAnsiTheme="minorHAnsi" w:cstheme="minorHAnsi"/>
                            <w:szCs w:val="20"/>
                          </w:rPr>
                          <w:t>Ideal coverage</w:t>
                        </w:r>
                      </w:p>
                    </w:txbxContent>
                  </v:textbox>
                </v:shape>
                <v:shape id="Text Box 2" o:spid="_x0000_s1028" type="#_x0000_t202" style="position:absolute;left:25460;width:12725;height:3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" stroked="f">
                  <v:textbox>
                    <w:txbxContent>
                      <w:p w14:paraId="0E0C78E8" w14:textId="77777777" w:rsidR="000A19DC" w:rsidRPr="001E0E25" w:rsidRDefault="000A19DC" w:rsidP="000A19DC">
                        <w:pPr>
                          <w:jc w:val="center"/>
                          <w:rPr>
                            <w:rFonts w:asciiTheme="minorHAnsi" w:hAnsiTheme="minorHAnsi" w:cstheme="minorHAnsi"/>
                            <w:szCs w:val="20"/>
                          </w:rPr>
                        </w:pPr>
                        <w:r>
                          <w:rPr>
                            <w:rFonts w:asciiTheme="minorHAnsi" w:hAnsiTheme="minorHAnsi" w:cstheme="minorHAnsi"/>
                            <w:szCs w:val="20"/>
                          </w:rPr>
                          <w:t>Too low</w:t>
                        </w:r>
                      </w:p>
                    </w:txbxContent>
                  </v:textbox>
                </v:shape>
                <v:shape id="Text Box 2" o:spid="_x0000_s1029" type="#_x0000_t202" style="position:absolute;left:838;top:127;width:1272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" stroked="f">
                  <v:textbox>
                    <w:txbxContent>
                      <w:p w14:paraId="0F872291" w14:textId="77777777" w:rsidR="000A19DC" w:rsidRPr="001E0E25" w:rsidRDefault="000A19DC" w:rsidP="000A19DC">
                        <w:pPr>
                          <w:jc w:val="center"/>
                          <w:rPr>
                            <w:rFonts w:asciiTheme="minorHAnsi" w:hAnsiTheme="minorHAnsi" w:cstheme="minorHAnsi"/>
                            <w:szCs w:val="20"/>
                          </w:rPr>
                        </w:pPr>
                        <w:r>
                          <w:rPr>
                            <w:rFonts w:asciiTheme="minorHAnsi" w:hAnsiTheme="minorHAnsi" w:cstheme="minorHAnsi"/>
                            <w:szCs w:val="20"/>
                          </w:rPr>
                          <w:t>Too high</w:t>
                        </w:r>
                      </w:p>
                    </w:txbxContent>
                  </v:textbox>
                </v:shape>
                <w10:wrap anchorx="margin"/>
              </v:group>
            </w:pict>
          </mc:Fallback>
        </mc:AlternateContent>
      </w:r>
      <w:r w:rsidRPr="00F6014C">
        <w:rPr>
          <w:rFonts w:cs="Arial"/>
          <w:szCs w:val="20"/>
        </w:rPr>
        <w:t>The picture below shows potential spray coverage. Whilst the coverage on the left card below may be ideal for a fungicide, ideal coverage for Accede is shown on the middle card, with the coverage on the right card being too light.</w:t>
      </w:r>
    </w:p>
    <w:p w14:paraId="0B67F377" w14:textId="77777777" w:rsidR="00274331" w:rsidRPr="00F6014C" w:rsidRDefault="00274331" w:rsidP="000A19DC">
      <w:pPr>
        <w:spacing w:after="160" w:line="259" w:lineRule="auto"/>
        <w:ind w:left="142" w:right="712"/>
        <w:rPr>
          <w:rFonts w:cs="Arial"/>
          <w:szCs w:val="20"/>
        </w:rPr>
      </w:pPr>
    </w:p>
    <w:p w14:paraId="4BCC8FC7" w14:textId="77777777" w:rsidR="000A19DC" w:rsidRPr="00F6014C" w:rsidRDefault="000A19DC" w:rsidP="000A19DC">
      <w:pPr>
        <w:spacing w:after="160" w:line="259" w:lineRule="auto"/>
        <w:ind w:left="142" w:right="712"/>
        <w:jc w:val="center"/>
        <w:rPr>
          <w:rFonts w:cs="Arial"/>
          <w:b/>
          <w:bCs/>
          <w:szCs w:val="20"/>
        </w:rPr>
      </w:pPr>
    </w:p>
    <w:p w14:paraId="01B49C10" w14:textId="77777777" w:rsidR="000A19DC" w:rsidRPr="00F6014C" w:rsidRDefault="000A19DC" w:rsidP="000A19DC">
      <w:pPr>
        <w:ind w:left="142" w:right="712"/>
        <w:rPr>
          <w:rFonts w:cs="Arial"/>
          <w:szCs w:val="20"/>
        </w:rPr>
      </w:pPr>
    </w:p>
    <w:p w14:paraId="08D3D254" w14:textId="77777777" w:rsidR="000A19DC" w:rsidRDefault="000A19DC" w:rsidP="000A19DC">
      <w:pPr>
        <w:spacing w:before="80"/>
        <w:ind w:left="142" w:right="712"/>
        <w:jc w:val="both"/>
        <w:rPr>
          <w:b/>
          <w:bCs/>
          <w:szCs w:val="20"/>
        </w:rPr>
      </w:pPr>
      <w:r w:rsidRPr="00F6014C">
        <w:rPr>
          <w:rFonts w:cs="Arial"/>
          <w:b/>
          <w:bCs/>
          <w:szCs w:val="20"/>
        </w:rPr>
        <w:t>MIXING</w:t>
      </w:r>
    </w:p>
    <w:p w14:paraId="75A93ADC" w14:textId="77777777" w:rsidR="00D45129" w:rsidRPr="00D45129" w:rsidRDefault="00D45129" w:rsidP="00D45129">
      <w:pPr>
        <w:spacing w:before="80"/>
        <w:ind w:left="142" w:right="712"/>
        <w:jc w:val="both"/>
        <w:rPr>
          <w:rFonts w:cs="Arial"/>
          <w:szCs w:val="20"/>
        </w:rPr>
      </w:pPr>
      <w:r w:rsidRPr="00D45129">
        <w:rPr>
          <w:rFonts w:cs="Arial"/>
          <w:szCs w:val="20"/>
        </w:rPr>
        <w:t xml:space="preserve">This product is suitable for application through conventional spray equipment calibrated to ensure thorough crop coverage. </w:t>
      </w:r>
    </w:p>
    <w:p w14:paraId="7843F6B7" w14:textId="5F0FF7D1" w:rsidR="00D45129" w:rsidRPr="00D45129" w:rsidRDefault="00D45129" w:rsidP="00D45129">
      <w:pPr>
        <w:spacing w:before="80"/>
        <w:ind w:left="142" w:right="712"/>
        <w:jc w:val="both"/>
        <w:rPr>
          <w:rFonts w:cs="Arial"/>
          <w:szCs w:val="20"/>
        </w:rPr>
      </w:pPr>
      <w:r w:rsidRPr="00D45129">
        <w:rPr>
          <w:rFonts w:cs="Arial"/>
          <w:b/>
          <w:bCs/>
          <w:szCs w:val="20"/>
        </w:rPr>
        <w:t>DO NOT</w:t>
      </w:r>
      <w:r w:rsidRPr="00D45129">
        <w:rPr>
          <w:rFonts w:cs="Arial"/>
          <w:szCs w:val="20"/>
        </w:rPr>
        <w:t xml:space="preserve"> pre-mix Accede with water as a concentrate in a small container before adding to the spray tank, as this can cause crystallization.</w:t>
      </w:r>
    </w:p>
    <w:p w14:paraId="625CC0CA" w14:textId="66E1D325" w:rsidR="00D45129" w:rsidRPr="00D45129" w:rsidRDefault="00D45129" w:rsidP="00D45129">
      <w:pPr>
        <w:spacing w:before="80"/>
        <w:ind w:left="142" w:right="712"/>
        <w:jc w:val="both"/>
        <w:rPr>
          <w:rFonts w:cs="Arial"/>
          <w:szCs w:val="20"/>
        </w:rPr>
      </w:pPr>
      <w:r w:rsidRPr="00D45129">
        <w:rPr>
          <w:rFonts w:cs="Arial"/>
          <w:szCs w:val="20"/>
        </w:rPr>
        <w:t>Prepare spray solution by mixing the Accede and non-ionic surfactant with water in a clean, empty spray tank. First nearly fill the spray tank before adding the required amount of Accede and surfactant with the agitator running then complete filling the tank with water. Continue thorough agitation during spraying and after a stoppage.</w:t>
      </w:r>
    </w:p>
    <w:p w14:paraId="1B5CFE65" w14:textId="77777777" w:rsidR="00D45129" w:rsidRPr="00D45129" w:rsidRDefault="00D45129" w:rsidP="00D45129">
      <w:pPr>
        <w:spacing w:before="80"/>
        <w:ind w:left="142" w:right="712"/>
        <w:jc w:val="both"/>
        <w:rPr>
          <w:rFonts w:cs="Arial"/>
          <w:szCs w:val="20"/>
        </w:rPr>
      </w:pPr>
      <w:r w:rsidRPr="00D45129">
        <w:rPr>
          <w:rFonts w:cs="Arial"/>
          <w:szCs w:val="20"/>
        </w:rPr>
        <w:t xml:space="preserve">Maintain the spray solution pH between 5 and 8. </w:t>
      </w:r>
    </w:p>
    <w:p w14:paraId="34D425F2" w14:textId="59982994" w:rsidR="000A19DC" w:rsidRPr="00F6014C" w:rsidRDefault="00D45129" w:rsidP="00D45129">
      <w:pPr>
        <w:spacing w:before="80"/>
        <w:ind w:left="142" w:right="712"/>
        <w:jc w:val="both"/>
        <w:rPr>
          <w:rFonts w:cs="Arial"/>
          <w:szCs w:val="20"/>
        </w:rPr>
      </w:pPr>
      <w:r w:rsidRPr="00D45129">
        <w:rPr>
          <w:rFonts w:cs="Arial"/>
          <w:szCs w:val="20"/>
        </w:rPr>
        <w:t xml:space="preserve">Dispose of any unused spray material at the end of each day. </w:t>
      </w:r>
      <w:r w:rsidRPr="00D45129">
        <w:rPr>
          <w:rFonts w:cs="Arial"/>
          <w:b/>
          <w:bCs/>
          <w:szCs w:val="20"/>
        </w:rPr>
        <w:t>DO NOT</w:t>
      </w:r>
      <w:r w:rsidRPr="00D45129">
        <w:rPr>
          <w:rFonts w:cs="Arial"/>
          <w:szCs w:val="20"/>
        </w:rPr>
        <w:t xml:space="preserve"> let prepared spray solution sit in spray tank overnight.</w:t>
      </w:r>
    </w:p>
    <w:p w14:paraId="49C0859D" w14:textId="77777777" w:rsidR="000A19DC" w:rsidRPr="00F6014C" w:rsidRDefault="000A19DC" w:rsidP="000A19DC">
      <w:pPr>
        <w:spacing w:before="80"/>
        <w:ind w:left="142" w:right="712"/>
        <w:jc w:val="both"/>
        <w:rPr>
          <w:rFonts w:cs="Arial"/>
          <w:szCs w:val="20"/>
        </w:rPr>
      </w:pPr>
    </w:p>
    <w:p w14:paraId="79D2A38F" w14:textId="77777777" w:rsidR="000A19DC" w:rsidRDefault="000A19DC" w:rsidP="000A19DC">
      <w:pPr>
        <w:keepNext/>
        <w:keepLines/>
        <w:spacing w:before="80"/>
        <w:ind w:left="142" w:right="712"/>
        <w:rPr>
          <w:b/>
          <w:bCs/>
          <w:szCs w:val="20"/>
        </w:rPr>
      </w:pPr>
      <w:r w:rsidRPr="00F6014C">
        <w:rPr>
          <w:rFonts w:cs="Arial"/>
          <w:b/>
          <w:bCs/>
          <w:szCs w:val="20"/>
        </w:rPr>
        <w:t>SURFACTANT</w:t>
      </w:r>
    </w:p>
    <w:p w14:paraId="0AF71BED" w14:textId="77777777" w:rsidR="000E52D8" w:rsidRDefault="000A19DC" w:rsidP="000A19DC">
      <w:pPr>
        <w:keepNext/>
        <w:keepLines/>
        <w:spacing w:before="80"/>
        <w:ind w:left="142" w:right="712"/>
        <w:rPr>
          <w:rFonts w:cs="Arial"/>
          <w:szCs w:val="20"/>
        </w:rPr>
      </w:pPr>
      <w:r w:rsidRPr="00F6014C">
        <w:rPr>
          <w:rFonts w:cs="Arial"/>
          <w:szCs w:val="20"/>
        </w:rPr>
        <w:t xml:space="preserve">Use of a tree-fruit safe non-ionic surfactant such as Pomade* at 50 mL/100L is recommended with Accede. </w:t>
      </w:r>
    </w:p>
    <w:p w14:paraId="20D9A8C0" w14:textId="36E504D4" w:rsidR="000A19DC" w:rsidRPr="00F6014C" w:rsidRDefault="000A19DC" w:rsidP="000A19DC">
      <w:pPr>
        <w:keepNext/>
        <w:keepLines/>
        <w:spacing w:before="80"/>
        <w:ind w:left="142" w:right="712"/>
        <w:rPr>
          <w:rFonts w:cs="Arial"/>
          <w:szCs w:val="20"/>
        </w:rPr>
      </w:pPr>
      <w:r w:rsidRPr="00F6014C">
        <w:rPr>
          <w:rFonts w:cs="Arial"/>
          <w:b/>
          <w:bCs/>
          <w:szCs w:val="20"/>
        </w:rPr>
        <w:t>DO NOT</w:t>
      </w:r>
      <w:r w:rsidRPr="00F6014C">
        <w:rPr>
          <w:rFonts w:cs="Arial"/>
          <w:szCs w:val="20"/>
        </w:rPr>
        <w:t xml:space="preserve"> use higher rates of surfactant as this may increase the likelihood of phytotoxicity.</w:t>
      </w:r>
    </w:p>
    <w:p w14:paraId="592B94B5" w14:textId="77777777" w:rsidR="000A19DC" w:rsidRPr="00F6014C" w:rsidRDefault="000A19DC" w:rsidP="000A19DC">
      <w:pPr>
        <w:spacing w:before="80"/>
        <w:ind w:left="142" w:right="712"/>
        <w:jc w:val="both"/>
        <w:rPr>
          <w:rFonts w:cs="Arial"/>
          <w:szCs w:val="20"/>
        </w:rPr>
      </w:pPr>
    </w:p>
    <w:p w14:paraId="77F4BE1D" w14:textId="77777777" w:rsidR="000A19DC" w:rsidRDefault="000A19DC" w:rsidP="000A19DC">
      <w:pPr>
        <w:spacing w:before="80"/>
        <w:ind w:left="142" w:right="712"/>
        <w:jc w:val="both"/>
        <w:rPr>
          <w:b/>
          <w:bCs/>
          <w:szCs w:val="20"/>
        </w:rPr>
      </w:pPr>
      <w:r w:rsidRPr="00F6014C">
        <w:rPr>
          <w:rFonts w:cs="Arial"/>
          <w:b/>
          <w:bCs/>
          <w:szCs w:val="20"/>
        </w:rPr>
        <w:t>COMPATIBILITY</w:t>
      </w:r>
      <w:r>
        <w:rPr>
          <w:b/>
          <w:bCs/>
          <w:szCs w:val="20"/>
        </w:rPr>
        <w:t xml:space="preserve"> WARNING</w:t>
      </w:r>
    </w:p>
    <w:p w14:paraId="33D02811" w14:textId="72BFB031" w:rsidR="003F67BE" w:rsidRDefault="000A19DC" w:rsidP="00AA5A11">
      <w:pPr>
        <w:spacing w:before="80"/>
        <w:ind w:left="142" w:right="712"/>
        <w:jc w:val="both"/>
        <w:sectPr w:rsidR="003F67BE" w:rsidSect="00274331">
          <w:headerReference w:type="default" r:id="rId42"/>
          <w:pgSz w:w="11906" w:h="16838" w:code="9"/>
          <w:pgMar w:top="2835" w:right="1134" w:bottom="1134" w:left="1134" w:header="1701" w:footer="680" w:gutter="0"/>
          <w:cols w:space="708"/>
          <w:docGrid w:linePitch="360"/>
        </w:sectPr>
      </w:pPr>
      <w:r w:rsidRPr="00F6014C">
        <w:rPr>
          <w:rFonts w:cs="Arial"/>
          <w:b/>
          <w:bCs/>
          <w:szCs w:val="20"/>
        </w:rPr>
        <w:t>DO NOT</w:t>
      </w:r>
      <w:r w:rsidRPr="00F6014C">
        <w:rPr>
          <w:rFonts w:cs="Arial"/>
          <w:szCs w:val="20"/>
        </w:rPr>
        <w:t xml:space="preserve"> tank mix Accede with other products unless physical and performance compatibility has been verified.</w:t>
      </w:r>
    </w:p>
    <w:p w14:paraId="539DD3DD" w14:textId="60CCAC74" w:rsidR="009346C3" w:rsidRDefault="00CA5B2B" w:rsidP="009346C3">
      <w:pPr>
        <w:pStyle w:val="APVMAAppendixH1"/>
      </w:pPr>
      <w:bookmarkStart w:id="169" w:name="_Toc225169357"/>
      <w:r>
        <w:lastRenderedPageBreak/>
        <w:t>Acronyms and abbreviations</w:t>
      </w:r>
      <w:bookmarkEnd w:id="169"/>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0841A030" w14:textId="77777777" w:rsidTr="00772458">
        <w:tc>
          <w:tcPr>
            <w:tcW w:w="1111" w:type="pct"/>
          </w:tcPr>
          <w:p w14:paraId="688B062C" w14:textId="77777777" w:rsidR="009346C3" w:rsidRDefault="009346C3" w:rsidP="00323CDE">
            <w:pPr>
              <w:pStyle w:val="APVMATableText"/>
            </w:pPr>
            <w:r>
              <w:t>ACCS/ACMS</w:t>
            </w:r>
          </w:p>
        </w:tc>
        <w:tc>
          <w:tcPr>
            <w:tcW w:w="3889" w:type="pct"/>
            <w:gridSpan w:val="2"/>
          </w:tcPr>
          <w:p w14:paraId="3878AAEA" w14:textId="77777777" w:rsidR="009346C3" w:rsidRDefault="009346C3" w:rsidP="00323CDE">
            <w:pPr>
              <w:pStyle w:val="APVMATableText"/>
            </w:pPr>
            <w:r>
              <w:t>Advisory Committee for Chemicals Scheduling/Advisory Committee for Medicines Scheduling</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5A27B9FE" w:rsidR="009346C3" w:rsidRDefault="00B32A6B" w:rsidP="00323CDE">
            <w:pPr>
              <w:pStyle w:val="APVMATableText"/>
            </w:pPr>
            <w:r>
              <w:t xml:space="preserve">Active </w:t>
            </w:r>
            <w:r w:rsidR="009346C3">
              <w:t>constituent</w:t>
            </w:r>
          </w:p>
        </w:tc>
      </w:tr>
      <w:tr w:rsidR="0074652C" w14:paraId="7A18072C" w14:textId="77777777" w:rsidTr="00772458">
        <w:tc>
          <w:tcPr>
            <w:tcW w:w="1111" w:type="pct"/>
          </w:tcPr>
          <w:p w14:paraId="6C21A417" w14:textId="2CD51076" w:rsidR="0074652C" w:rsidRDefault="0074652C" w:rsidP="00323CDE">
            <w:pPr>
              <w:pStyle w:val="APVMATableText"/>
            </w:pPr>
            <w:r>
              <w:t>ACC</w:t>
            </w:r>
          </w:p>
        </w:tc>
        <w:tc>
          <w:tcPr>
            <w:tcW w:w="3889" w:type="pct"/>
            <w:gridSpan w:val="2"/>
          </w:tcPr>
          <w:p w14:paraId="61A10A61" w14:textId="5173820D" w:rsidR="0074652C" w:rsidRDefault="0074652C" w:rsidP="00323CDE">
            <w:pPr>
              <w:pStyle w:val="APVMATableText"/>
            </w:pPr>
            <w:r w:rsidRPr="0074652C">
              <w:t>1-aminocyclpropane-1-carboxylic acid</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4CC10CE" w:rsidR="009346C3" w:rsidRDefault="00B32A6B" w:rsidP="00323CDE">
            <w:pPr>
              <w:pStyle w:val="APVMATableText"/>
            </w:pPr>
            <w:r>
              <w:t xml:space="preserve">Active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r>
              <w:t>ARfD</w:t>
            </w:r>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4B25EDD9" w14:textId="77777777" w:rsidTr="00772458">
        <w:tc>
          <w:tcPr>
            <w:tcW w:w="1111" w:type="pct"/>
          </w:tcPr>
          <w:p w14:paraId="45090D53" w14:textId="77777777" w:rsidR="009346C3" w:rsidRDefault="009346C3" w:rsidP="00323CDE">
            <w:pPr>
              <w:pStyle w:val="APVMATableText"/>
            </w:pPr>
            <w:r>
              <w:t>BBA</w:t>
            </w:r>
          </w:p>
        </w:tc>
        <w:tc>
          <w:tcPr>
            <w:tcW w:w="3889" w:type="pct"/>
            <w:gridSpan w:val="2"/>
          </w:tcPr>
          <w:p w14:paraId="07510B2A" w14:textId="585110DB" w:rsidR="009346C3" w:rsidRDefault="009346C3" w:rsidP="007B74E9">
            <w:pPr>
              <w:pStyle w:val="APVMATableText"/>
            </w:pPr>
            <w:proofErr w:type="spellStart"/>
            <w:r>
              <w:t>Biologische</w:t>
            </w:r>
            <w:proofErr w:type="spellEnd"/>
            <w:r>
              <w:t xml:space="preserve"> </w:t>
            </w:r>
            <w:proofErr w:type="spellStart"/>
            <w:r>
              <w:t>Bundesanalstalt</w:t>
            </w:r>
            <w:proofErr w:type="spellEnd"/>
            <w:r>
              <w:t xml:space="preserve"> fur Land</w:t>
            </w:r>
            <w:r w:rsidR="00B32A6B">
              <w:t xml:space="preserve"> – </w:t>
            </w:r>
            <w:r>
              <w:t xml:space="preserve">und </w:t>
            </w:r>
            <w:proofErr w:type="spellStart"/>
            <w:r>
              <w:t>forstwirschaft</w:t>
            </w:r>
            <w:proofErr w:type="spellEnd"/>
          </w:p>
        </w:tc>
      </w:tr>
      <w:tr w:rsidR="009346C3" w14:paraId="32E7A549" w14:textId="77777777" w:rsidTr="00772458">
        <w:tc>
          <w:tcPr>
            <w:tcW w:w="1111" w:type="pct"/>
          </w:tcPr>
          <w:p w14:paraId="09228264" w14:textId="77777777" w:rsidR="009346C3" w:rsidRDefault="009346C3" w:rsidP="00323CDE">
            <w:pPr>
              <w:pStyle w:val="APVMATableText"/>
            </w:pPr>
            <w:r>
              <w:t>bw</w:t>
            </w:r>
          </w:p>
        </w:tc>
        <w:tc>
          <w:tcPr>
            <w:tcW w:w="3889" w:type="pct"/>
            <w:gridSpan w:val="2"/>
          </w:tcPr>
          <w:p w14:paraId="0BF0E0AB" w14:textId="77777777" w:rsidR="009346C3" w:rsidRDefault="00F84654" w:rsidP="00323CDE">
            <w:pPr>
              <w:pStyle w:val="APVMATableText"/>
            </w:pPr>
            <w:r>
              <w:t>B</w:t>
            </w:r>
            <w:r w:rsidR="009346C3">
              <w:t>odyweight</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9346C3" w14:paraId="52FA2517" w14:textId="77777777" w:rsidTr="00772458">
        <w:tc>
          <w:tcPr>
            <w:tcW w:w="1111" w:type="pct"/>
          </w:tcPr>
          <w:p w14:paraId="0E658DE0" w14:textId="77777777" w:rsidR="009346C3" w:rsidRDefault="009346C3" w:rsidP="00323CDE">
            <w:pPr>
              <w:pStyle w:val="APVMATableText"/>
            </w:pPr>
            <w:r>
              <w:t>DAT</w:t>
            </w:r>
          </w:p>
        </w:tc>
        <w:tc>
          <w:tcPr>
            <w:tcW w:w="3889" w:type="pct"/>
            <w:gridSpan w:val="2"/>
          </w:tcPr>
          <w:p w14:paraId="69007E4C" w14:textId="70B0BC82" w:rsidR="009346C3" w:rsidRDefault="009346C3" w:rsidP="00323CDE">
            <w:pPr>
              <w:pStyle w:val="APVMATableText"/>
            </w:pPr>
            <w:r>
              <w:t xml:space="preserve">Days </w:t>
            </w:r>
            <w:r w:rsidR="00B32A6B">
              <w:t>after treatment</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372ED3D4" w14:textId="77777777" w:rsidTr="00772458">
        <w:tc>
          <w:tcPr>
            <w:tcW w:w="1111" w:type="pct"/>
          </w:tcPr>
          <w:p w14:paraId="05CE2144" w14:textId="77777777" w:rsidR="009346C3" w:rsidRDefault="009346C3" w:rsidP="00323CDE">
            <w:pPr>
              <w:pStyle w:val="APVMATableText"/>
            </w:pPr>
            <w:r>
              <w:t>EA</w:t>
            </w:r>
          </w:p>
        </w:tc>
        <w:tc>
          <w:tcPr>
            <w:tcW w:w="3889" w:type="pct"/>
            <w:gridSpan w:val="2"/>
          </w:tcPr>
          <w:p w14:paraId="4FDEF376" w14:textId="77777777" w:rsidR="009346C3" w:rsidRDefault="009346C3" w:rsidP="00323CDE">
            <w:pPr>
              <w:pStyle w:val="APVMATableText"/>
            </w:pPr>
            <w:r>
              <w:t>Environment Australia</w:t>
            </w:r>
          </w:p>
        </w:tc>
      </w:tr>
      <w:tr w:rsidR="009346C3" w14:paraId="5FF0ED49" w14:textId="77777777" w:rsidTr="00772458">
        <w:tc>
          <w:tcPr>
            <w:tcW w:w="1111" w:type="pct"/>
          </w:tcPr>
          <w:p w14:paraId="1A813D51" w14:textId="77777777" w:rsidR="009346C3" w:rsidRDefault="009346C3" w:rsidP="00323CDE">
            <w:pPr>
              <w:pStyle w:val="APVMATableText"/>
            </w:pPr>
            <w:r>
              <w:t>E</w:t>
            </w:r>
            <w:r>
              <w:rPr>
                <w:vertAlign w:val="subscript"/>
              </w:rPr>
              <w:t>b</w:t>
            </w:r>
            <w:r>
              <w:t>C</w:t>
            </w:r>
            <w:r>
              <w:rPr>
                <w:vertAlign w:val="subscript"/>
              </w:rPr>
              <w:t>50</w:t>
            </w:r>
          </w:p>
        </w:tc>
        <w:tc>
          <w:tcPr>
            <w:tcW w:w="3889" w:type="pct"/>
            <w:gridSpan w:val="2"/>
          </w:tcPr>
          <w:p w14:paraId="6B1A02F9" w14:textId="35AF1CB5" w:rsidR="009346C3" w:rsidRDefault="00B32A6B" w:rsidP="00323CDE">
            <w:pPr>
              <w:pStyle w:val="APVMATableText"/>
            </w:pPr>
            <w:r>
              <w:t xml:space="preserve">Concentration </w:t>
            </w:r>
            <w:r w:rsidR="009346C3">
              <w:t>at which the biomass of 50% of the test population is impacted</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73691B" w14:textId="77777777" w:rsidTr="00772458">
        <w:tc>
          <w:tcPr>
            <w:tcW w:w="1111" w:type="pct"/>
          </w:tcPr>
          <w:p w14:paraId="4E0A893A" w14:textId="77777777" w:rsidR="009346C3" w:rsidRDefault="009346C3" w:rsidP="00323CDE">
            <w:pPr>
              <w:pStyle w:val="APVMATableText"/>
            </w:pPr>
            <w:r>
              <w:t>EEC</w:t>
            </w:r>
          </w:p>
        </w:tc>
        <w:tc>
          <w:tcPr>
            <w:tcW w:w="3889" w:type="pct"/>
            <w:gridSpan w:val="2"/>
          </w:tcPr>
          <w:p w14:paraId="053F5383" w14:textId="6E84E32B" w:rsidR="009346C3" w:rsidRDefault="009346C3" w:rsidP="00323CDE">
            <w:pPr>
              <w:pStyle w:val="APVMATableText"/>
            </w:pPr>
            <w:r>
              <w:t xml:space="preserve">Estimated </w:t>
            </w:r>
            <w:r w:rsidR="00B32A6B">
              <w:t>environmental concentration</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2A3B0ED4" w14:textId="77777777" w:rsidTr="00772458">
        <w:tc>
          <w:tcPr>
            <w:tcW w:w="1111" w:type="pct"/>
          </w:tcPr>
          <w:p w14:paraId="44329739" w14:textId="77777777" w:rsidR="009346C3" w:rsidRDefault="009346C3" w:rsidP="00323CDE">
            <w:pPr>
              <w:pStyle w:val="APVMATableText"/>
            </w:pPr>
            <w:r>
              <w:t>EI</w:t>
            </w:r>
          </w:p>
        </w:tc>
        <w:tc>
          <w:tcPr>
            <w:tcW w:w="3889" w:type="pct"/>
            <w:gridSpan w:val="2"/>
          </w:tcPr>
          <w:p w14:paraId="63E02D69" w14:textId="5825561E" w:rsidR="009346C3" w:rsidRDefault="009346C3" w:rsidP="00323CDE">
            <w:pPr>
              <w:pStyle w:val="APVMATableText"/>
            </w:pPr>
            <w:r>
              <w:t xml:space="preserve">Export </w:t>
            </w:r>
            <w:r w:rsidR="00B32A6B">
              <w:t>interval</w:t>
            </w:r>
          </w:p>
        </w:tc>
      </w:tr>
      <w:tr w:rsidR="009346C3" w14:paraId="776DECB2" w14:textId="77777777" w:rsidTr="00772458">
        <w:tc>
          <w:tcPr>
            <w:tcW w:w="1111" w:type="pct"/>
          </w:tcPr>
          <w:p w14:paraId="36B4B442" w14:textId="77777777" w:rsidR="009346C3" w:rsidRDefault="009346C3" w:rsidP="00323CDE">
            <w:pPr>
              <w:pStyle w:val="APVMATableText"/>
            </w:pPr>
            <w:r>
              <w:t>EGI</w:t>
            </w:r>
          </w:p>
        </w:tc>
        <w:tc>
          <w:tcPr>
            <w:tcW w:w="3889" w:type="pct"/>
            <w:gridSpan w:val="2"/>
          </w:tcPr>
          <w:p w14:paraId="4D740844" w14:textId="495D2421" w:rsidR="009346C3" w:rsidRDefault="009346C3" w:rsidP="00323CDE">
            <w:pPr>
              <w:pStyle w:val="APVMATableText"/>
            </w:pPr>
            <w:r>
              <w:t xml:space="preserve">Export </w:t>
            </w:r>
            <w:r w:rsidR="00B32A6B">
              <w:t>grazing i</w:t>
            </w:r>
            <w:r>
              <w:t>nterval</w:t>
            </w:r>
          </w:p>
        </w:tc>
      </w:tr>
      <w:tr w:rsidR="009346C3" w14:paraId="7C20207F" w14:textId="77777777" w:rsidTr="00772458">
        <w:tc>
          <w:tcPr>
            <w:tcW w:w="1111" w:type="pct"/>
          </w:tcPr>
          <w:p w14:paraId="4F1E5A41" w14:textId="77777777" w:rsidR="009346C3" w:rsidRDefault="009346C3" w:rsidP="00323CDE">
            <w:pPr>
              <w:pStyle w:val="APVMATableText"/>
            </w:pPr>
            <w:r>
              <w:t>ESI</w:t>
            </w:r>
          </w:p>
        </w:tc>
        <w:tc>
          <w:tcPr>
            <w:tcW w:w="3889" w:type="pct"/>
            <w:gridSpan w:val="2"/>
          </w:tcPr>
          <w:p w14:paraId="5A79578A" w14:textId="448C085C" w:rsidR="009346C3" w:rsidRDefault="009346C3" w:rsidP="00323CDE">
            <w:pPr>
              <w:pStyle w:val="APVMATableText"/>
            </w:pPr>
            <w:r>
              <w:t xml:space="preserve">Export </w:t>
            </w:r>
            <w:r w:rsidR="00B32A6B">
              <w:t>slaughter interval</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642B1AC1" w14:textId="77777777" w:rsidTr="00772458">
        <w:tc>
          <w:tcPr>
            <w:tcW w:w="1111" w:type="pct"/>
          </w:tcPr>
          <w:p w14:paraId="7763BD1D" w14:textId="77777777" w:rsidR="009346C3" w:rsidRDefault="009346C3" w:rsidP="00323CDE">
            <w:pPr>
              <w:pStyle w:val="APVMATableText"/>
            </w:pPr>
            <w:r>
              <w:t>GLP</w:t>
            </w:r>
          </w:p>
        </w:tc>
        <w:tc>
          <w:tcPr>
            <w:tcW w:w="3889" w:type="pct"/>
            <w:gridSpan w:val="2"/>
          </w:tcPr>
          <w:p w14:paraId="485AF30D" w14:textId="77777777" w:rsidR="009346C3" w:rsidRDefault="009346C3" w:rsidP="00323CDE">
            <w:pPr>
              <w:pStyle w:val="APVMATableText"/>
            </w:pPr>
            <w:r>
              <w:t>Good Laboratory Practice</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9346C3" w14:paraId="4699A373" w14:textId="77777777" w:rsidTr="00772458">
        <w:tc>
          <w:tcPr>
            <w:tcW w:w="1111" w:type="pct"/>
          </w:tcPr>
          <w:p w14:paraId="71494B55" w14:textId="77777777" w:rsidR="009346C3" w:rsidRDefault="009346C3" w:rsidP="00323CDE">
            <w:pPr>
              <w:pStyle w:val="APVMATableText"/>
            </w:pPr>
            <w:r>
              <w:lastRenderedPageBreak/>
              <w:t>HPLC</w:t>
            </w:r>
          </w:p>
        </w:tc>
        <w:tc>
          <w:tcPr>
            <w:tcW w:w="3889" w:type="pct"/>
            <w:gridSpan w:val="2"/>
          </w:tcPr>
          <w:p w14:paraId="23DBE980" w14:textId="6E445819" w:rsidR="009346C3" w:rsidRDefault="009346C3" w:rsidP="00323CDE">
            <w:pPr>
              <w:pStyle w:val="APVMATableText"/>
            </w:pPr>
            <w:r>
              <w:t xml:space="preserve">High </w:t>
            </w:r>
            <w:r w:rsidR="00B32A6B">
              <w:t xml:space="preserve">pressure liquid chromatography </w:t>
            </w:r>
            <w:r>
              <w:rPr>
                <w:i/>
              </w:rPr>
              <w:t>or</w:t>
            </w:r>
            <w:r>
              <w:t xml:space="preserve"> </w:t>
            </w:r>
            <w:proofErr w:type="gramStart"/>
            <w:r w:rsidR="00B32A6B">
              <w:t>high performance</w:t>
            </w:r>
            <w:proofErr w:type="gramEnd"/>
            <w:r w:rsidR="00B32A6B">
              <w:t xml:space="preserve"> liquid chromatography</w:t>
            </w:r>
          </w:p>
        </w:tc>
      </w:tr>
      <w:tr w:rsidR="009346C3" w14:paraId="1D40009E" w14:textId="77777777" w:rsidTr="00772458">
        <w:tc>
          <w:tcPr>
            <w:tcW w:w="1111" w:type="pct"/>
          </w:tcPr>
          <w:p w14:paraId="1765F395" w14:textId="77777777" w:rsidR="009346C3" w:rsidRDefault="009346C3" w:rsidP="00323CDE">
            <w:pPr>
              <w:pStyle w:val="APVMATableText"/>
            </w:pPr>
            <w:r>
              <w:t>IPM</w:t>
            </w:r>
          </w:p>
        </w:tc>
        <w:tc>
          <w:tcPr>
            <w:tcW w:w="3889" w:type="pct"/>
            <w:gridSpan w:val="2"/>
          </w:tcPr>
          <w:p w14:paraId="3D3E61F0" w14:textId="35C8EB04" w:rsidR="009346C3" w:rsidRDefault="009346C3" w:rsidP="00323CDE">
            <w:pPr>
              <w:pStyle w:val="APVMATableText"/>
            </w:pPr>
            <w:r>
              <w:t xml:space="preserve">Integrated </w:t>
            </w:r>
            <w:r w:rsidR="00B32A6B">
              <w:t>pest management</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162558C7" w14:textId="77777777" w:rsidTr="00772458">
        <w:tc>
          <w:tcPr>
            <w:tcW w:w="1111" w:type="pct"/>
          </w:tcPr>
          <w:p w14:paraId="691214B1" w14:textId="77777777" w:rsidR="009346C3" w:rsidRDefault="009346C3" w:rsidP="00323CDE">
            <w:pPr>
              <w:pStyle w:val="APVMATableText"/>
            </w:pPr>
            <w:r>
              <w:t>K</w:t>
            </w:r>
            <w:r w:rsidRPr="009A5578">
              <w:rPr>
                <w:vertAlign w:val="subscript"/>
              </w:rPr>
              <w:t>OC</w:t>
            </w:r>
          </w:p>
        </w:tc>
        <w:tc>
          <w:tcPr>
            <w:tcW w:w="3889" w:type="pct"/>
            <w:gridSpan w:val="2"/>
          </w:tcPr>
          <w:p w14:paraId="75B0AE8D" w14:textId="77777777" w:rsidR="009346C3" w:rsidRDefault="009346C3" w:rsidP="00323CDE">
            <w:pPr>
              <w:pStyle w:val="APVMATableText"/>
            </w:pPr>
            <w:r>
              <w:t>Organic carbon partitioning coefficient</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6C3EB905" w:rsidR="009346C3" w:rsidRDefault="007B74E9" w:rsidP="007B74E9">
            <w:pPr>
              <w:pStyle w:val="APVMATableText"/>
            </w:pPr>
            <w:r>
              <w:t xml:space="preserve">Limit of </w:t>
            </w:r>
            <w:r w:rsidR="00B32A6B">
              <w:t xml:space="preserve">detection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346C3" w14:paraId="1ABF7811" w14:textId="77777777" w:rsidTr="00772458">
        <w:tc>
          <w:tcPr>
            <w:tcW w:w="1111" w:type="pct"/>
          </w:tcPr>
          <w:p w14:paraId="0A7F6533" w14:textId="146E5E89" w:rsidR="009346C3" w:rsidRDefault="009346C3" w:rsidP="00323CDE">
            <w:pPr>
              <w:pStyle w:val="APVMATableText"/>
            </w:pPr>
            <w:r>
              <w:t>SDS</w:t>
            </w:r>
          </w:p>
        </w:tc>
        <w:tc>
          <w:tcPr>
            <w:tcW w:w="3889" w:type="pct"/>
            <w:gridSpan w:val="2"/>
          </w:tcPr>
          <w:p w14:paraId="5459F958" w14:textId="1D223457" w:rsidR="009346C3" w:rsidRDefault="009346C3" w:rsidP="00323CDE">
            <w:pPr>
              <w:pStyle w:val="APVMATableText"/>
            </w:pPr>
            <w:r>
              <w:t>Safety Data Sheet</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7013A8E" w14:textId="77777777" w:rsidTr="00772458">
        <w:tc>
          <w:tcPr>
            <w:tcW w:w="1111" w:type="pct"/>
          </w:tcPr>
          <w:p w14:paraId="72F453F7" w14:textId="77777777" w:rsidR="009346C3" w:rsidRDefault="009346C3" w:rsidP="00323CDE">
            <w:pPr>
              <w:pStyle w:val="APVMATableText"/>
            </w:pPr>
            <w:r>
              <w:t>NHMRC</w:t>
            </w:r>
          </w:p>
        </w:tc>
        <w:tc>
          <w:tcPr>
            <w:tcW w:w="3889" w:type="pct"/>
            <w:gridSpan w:val="2"/>
          </w:tcPr>
          <w:p w14:paraId="22461E32" w14:textId="77777777" w:rsidR="009346C3" w:rsidRDefault="009346C3" w:rsidP="00323CDE">
            <w:pPr>
              <w:pStyle w:val="APVMATableText"/>
            </w:pPr>
            <w:r>
              <w:t>National Health and Medical Research Council</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45E90829" w:rsidR="009346C3" w:rsidRDefault="009346C3" w:rsidP="00323CDE">
            <w:pPr>
              <w:pStyle w:val="APVMATableText"/>
            </w:pPr>
            <w:r>
              <w:t xml:space="preserve">No </w:t>
            </w:r>
            <w:r w:rsidR="00B32A6B">
              <w:t>observable effect concentration level</w:t>
            </w:r>
          </w:p>
        </w:tc>
      </w:tr>
      <w:tr w:rsidR="009346C3" w14:paraId="321D5F3D" w14:textId="77777777" w:rsidTr="00772458">
        <w:tc>
          <w:tcPr>
            <w:tcW w:w="1111" w:type="pct"/>
          </w:tcPr>
          <w:p w14:paraId="7003A18A" w14:textId="77777777" w:rsidR="009346C3" w:rsidRDefault="009346C3" w:rsidP="00323CDE">
            <w:pPr>
              <w:pStyle w:val="APVMATableText"/>
            </w:pPr>
            <w:r>
              <w:t>NOAEL</w:t>
            </w:r>
          </w:p>
        </w:tc>
        <w:tc>
          <w:tcPr>
            <w:tcW w:w="3889" w:type="pct"/>
            <w:gridSpan w:val="2"/>
          </w:tcPr>
          <w:p w14:paraId="5659123C" w14:textId="05FE613B" w:rsidR="009346C3" w:rsidRDefault="009346C3" w:rsidP="00323CDE">
            <w:pPr>
              <w:pStyle w:val="APVMATableText"/>
            </w:pPr>
            <w:r>
              <w:t xml:space="preserve">No </w:t>
            </w:r>
            <w:r w:rsidR="00B32A6B">
              <w:t>observed adverse effect level</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312355A8" w:rsidR="009346C3" w:rsidRDefault="009346C3" w:rsidP="00323CDE">
            <w:pPr>
              <w:pStyle w:val="APVMATableText"/>
            </w:pPr>
            <w:r>
              <w:t xml:space="preserve">Organic </w:t>
            </w:r>
            <w:r w:rsidR="00B32A6B">
              <w:t>carbon</w:t>
            </w:r>
          </w:p>
        </w:tc>
      </w:tr>
      <w:tr w:rsidR="009346C3" w14:paraId="2B1FDC18" w14:textId="77777777" w:rsidTr="00772458">
        <w:tc>
          <w:tcPr>
            <w:tcW w:w="1111" w:type="pct"/>
          </w:tcPr>
          <w:p w14:paraId="565EADF7" w14:textId="77777777" w:rsidR="009346C3" w:rsidRDefault="009346C3" w:rsidP="00323CDE">
            <w:pPr>
              <w:pStyle w:val="APVMATableText"/>
            </w:pPr>
            <w:r>
              <w:t xml:space="preserve">OM </w:t>
            </w:r>
          </w:p>
        </w:tc>
        <w:tc>
          <w:tcPr>
            <w:tcW w:w="3889" w:type="pct"/>
            <w:gridSpan w:val="2"/>
          </w:tcPr>
          <w:p w14:paraId="0944AFFB" w14:textId="3C05E2BC" w:rsidR="009346C3" w:rsidRDefault="009346C3" w:rsidP="00323CDE">
            <w:pPr>
              <w:pStyle w:val="APVMATableText"/>
            </w:pPr>
            <w:r>
              <w:t xml:space="preserve">Organic </w:t>
            </w:r>
            <w:r w:rsidR="00B32A6B">
              <w:t>matter</w:t>
            </w:r>
          </w:p>
        </w:tc>
      </w:tr>
      <w:tr w:rsidR="009346C3" w14:paraId="5AD8116C" w14:textId="77777777" w:rsidTr="00772458">
        <w:tc>
          <w:tcPr>
            <w:tcW w:w="1111" w:type="pct"/>
          </w:tcPr>
          <w:p w14:paraId="004B4922" w14:textId="77777777" w:rsidR="009346C3" w:rsidRDefault="009346C3" w:rsidP="00323CDE">
            <w:pPr>
              <w:pStyle w:val="APVMATableText"/>
            </w:pPr>
            <w:r>
              <w:t>po</w:t>
            </w:r>
          </w:p>
        </w:tc>
        <w:tc>
          <w:tcPr>
            <w:tcW w:w="3889" w:type="pct"/>
            <w:gridSpan w:val="2"/>
          </w:tcPr>
          <w:p w14:paraId="63414A9B" w14:textId="77777777" w:rsidR="009346C3" w:rsidRDefault="00F84654" w:rsidP="00323CDE">
            <w:pPr>
              <w:pStyle w:val="APVMATableText"/>
            </w:pPr>
            <w:r>
              <w:t>O</w:t>
            </w:r>
            <w:r w:rsidR="009346C3">
              <w:t>ral</w:t>
            </w:r>
          </w:p>
        </w:tc>
      </w:tr>
      <w:tr w:rsidR="009346C3" w14:paraId="63562F28" w14:textId="77777777" w:rsidTr="00772458">
        <w:tc>
          <w:tcPr>
            <w:tcW w:w="1111" w:type="pct"/>
          </w:tcPr>
          <w:p w14:paraId="2E2140CA" w14:textId="77777777" w:rsidR="009346C3" w:rsidRDefault="009346C3" w:rsidP="00323CDE">
            <w:pPr>
              <w:pStyle w:val="APVMATableText"/>
            </w:pPr>
            <w:r>
              <w:t>ppb</w:t>
            </w:r>
          </w:p>
        </w:tc>
        <w:tc>
          <w:tcPr>
            <w:tcW w:w="3889" w:type="pct"/>
            <w:gridSpan w:val="2"/>
          </w:tcPr>
          <w:p w14:paraId="4CBF5615" w14:textId="69D2C41B" w:rsidR="009346C3" w:rsidRDefault="00B32A6B" w:rsidP="00323CDE">
            <w:pPr>
              <w:pStyle w:val="APVMATableText"/>
            </w:pPr>
            <w:r>
              <w:t xml:space="preserve">Parts </w:t>
            </w:r>
            <w:r w:rsidR="009346C3">
              <w:t>per billion</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3CF71A09" w:rsidR="009346C3" w:rsidRDefault="009346C3" w:rsidP="00323CDE">
            <w:pPr>
              <w:pStyle w:val="APVMATableText"/>
            </w:pPr>
            <w:r>
              <w:t xml:space="preserve">Personal </w:t>
            </w:r>
            <w:r w:rsidR="00B32A6B">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27927463" w:rsidR="009346C3" w:rsidRDefault="00B32A6B" w:rsidP="00323CDE">
            <w:pPr>
              <w:pStyle w:val="APVMATableText"/>
            </w:pPr>
            <w:r>
              <w:t xml:space="preserve">Parts </w:t>
            </w:r>
            <w:r w:rsidR="009346C3">
              <w:t>per million</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5D0BB1C2" w14:textId="77777777" w:rsidTr="00772458">
        <w:tc>
          <w:tcPr>
            <w:tcW w:w="1111" w:type="pct"/>
          </w:tcPr>
          <w:p w14:paraId="6E12571C" w14:textId="77777777" w:rsidR="009346C3" w:rsidRDefault="009346C3" w:rsidP="00323CDE">
            <w:pPr>
              <w:pStyle w:val="APVMATableText"/>
            </w:pPr>
            <w:r>
              <w:t>REI</w:t>
            </w:r>
          </w:p>
        </w:tc>
        <w:tc>
          <w:tcPr>
            <w:tcW w:w="3889" w:type="pct"/>
            <w:gridSpan w:val="2"/>
          </w:tcPr>
          <w:p w14:paraId="50A4CAFA" w14:textId="32F50764" w:rsidR="009346C3" w:rsidRDefault="009346C3" w:rsidP="00323CDE">
            <w:pPr>
              <w:pStyle w:val="APVMATableText"/>
            </w:pPr>
            <w:r>
              <w:t>Re-</w:t>
            </w:r>
            <w:r w:rsidR="00B32A6B">
              <w:t>entry interval</w:t>
            </w:r>
          </w:p>
        </w:tc>
      </w:tr>
      <w:tr w:rsidR="009346C3" w14:paraId="50B2FE78" w14:textId="77777777" w:rsidTr="00772458">
        <w:tc>
          <w:tcPr>
            <w:tcW w:w="1111" w:type="pct"/>
          </w:tcPr>
          <w:p w14:paraId="24AF509F" w14:textId="77777777" w:rsidR="009346C3" w:rsidRDefault="009346C3" w:rsidP="00323CDE">
            <w:pPr>
              <w:pStyle w:val="APVMATableText"/>
            </w:pPr>
            <w:r>
              <w:lastRenderedPageBreak/>
              <w:t>s</w:t>
            </w:r>
          </w:p>
        </w:tc>
        <w:tc>
          <w:tcPr>
            <w:tcW w:w="3889" w:type="pct"/>
            <w:gridSpan w:val="2"/>
          </w:tcPr>
          <w:p w14:paraId="74B4A1E0" w14:textId="77777777" w:rsidR="009346C3" w:rsidRDefault="00F84654" w:rsidP="00323CDE">
            <w:pPr>
              <w:pStyle w:val="APVMATableText"/>
            </w:pPr>
            <w:r>
              <w:t>S</w:t>
            </w:r>
            <w:r w:rsidR="009346C3">
              <w:t>econd</w:t>
            </w:r>
          </w:p>
        </w:tc>
      </w:tr>
      <w:tr w:rsidR="0076267D" w14:paraId="7D4ACA06" w14:textId="77777777" w:rsidTr="00772458">
        <w:tc>
          <w:tcPr>
            <w:tcW w:w="1111" w:type="pct"/>
          </w:tcPr>
          <w:p w14:paraId="22C6CCDA" w14:textId="43A34825" w:rsidR="0076267D" w:rsidRDefault="0076267D" w:rsidP="00323CDE">
            <w:pPr>
              <w:pStyle w:val="APVMATableText"/>
            </w:pPr>
            <w:r>
              <w:t>SDMT</w:t>
            </w:r>
          </w:p>
        </w:tc>
        <w:tc>
          <w:tcPr>
            <w:tcW w:w="3889" w:type="pct"/>
            <w:gridSpan w:val="2"/>
          </w:tcPr>
          <w:p w14:paraId="3FAD7ABF" w14:textId="5178A59F" w:rsidR="0076267D" w:rsidRDefault="0076267D" w:rsidP="00323CDE">
            <w:pPr>
              <w:pStyle w:val="APVMATableText"/>
            </w:pPr>
            <w:r>
              <w:t>Spray Drift Management Tool</w:t>
            </w:r>
          </w:p>
        </w:tc>
      </w:tr>
      <w:tr w:rsidR="0076267D" w14:paraId="1EF3877D" w14:textId="77777777" w:rsidTr="00772458">
        <w:tc>
          <w:tcPr>
            <w:tcW w:w="1111" w:type="pct"/>
          </w:tcPr>
          <w:p w14:paraId="5275476E" w14:textId="607EE235" w:rsidR="0076267D" w:rsidRDefault="0076267D" w:rsidP="00323CDE">
            <w:pPr>
              <w:pStyle w:val="APVMATableText"/>
            </w:pPr>
            <w:r>
              <w:t>SDRAT</w:t>
            </w:r>
          </w:p>
        </w:tc>
        <w:tc>
          <w:tcPr>
            <w:tcW w:w="3889" w:type="pct"/>
            <w:gridSpan w:val="2"/>
          </w:tcPr>
          <w:p w14:paraId="784234E1" w14:textId="5481BF43" w:rsidR="0076267D" w:rsidRDefault="0076267D" w:rsidP="00323CDE">
            <w:pPr>
              <w:pStyle w:val="APVMATableText"/>
            </w:pPr>
            <w:r>
              <w:t>Spray Drift Risk Assessment Tool</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0B929733" w14:textId="77777777" w:rsidTr="00772458">
        <w:tc>
          <w:tcPr>
            <w:tcW w:w="1111" w:type="pct"/>
          </w:tcPr>
          <w:p w14:paraId="2237B840" w14:textId="77777777" w:rsidR="009346C3" w:rsidRDefault="009346C3" w:rsidP="00323CDE">
            <w:pPr>
              <w:pStyle w:val="APVMATableText"/>
            </w:pPr>
            <w:r>
              <w:t>TGA</w:t>
            </w:r>
          </w:p>
        </w:tc>
        <w:tc>
          <w:tcPr>
            <w:tcW w:w="3889" w:type="pct"/>
            <w:gridSpan w:val="2"/>
          </w:tcPr>
          <w:p w14:paraId="4EA42E57" w14:textId="77777777" w:rsidR="009346C3" w:rsidRDefault="009346C3" w:rsidP="00323CDE">
            <w:pPr>
              <w:pStyle w:val="APVMATableText"/>
            </w:pPr>
            <w:r>
              <w:t>Therapeutic Goods Administration</w:t>
            </w:r>
          </w:p>
        </w:tc>
      </w:tr>
      <w:tr w:rsidR="009346C3" w14:paraId="05EFE4BF" w14:textId="77777777" w:rsidTr="00772458">
        <w:tc>
          <w:tcPr>
            <w:tcW w:w="1111" w:type="pct"/>
          </w:tcPr>
          <w:p w14:paraId="11BF3FF8" w14:textId="77777777" w:rsidR="009346C3" w:rsidRDefault="009346C3" w:rsidP="00323CDE">
            <w:pPr>
              <w:pStyle w:val="APVMATableText"/>
            </w:pPr>
            <w:r>
              <w:t>TGAC</w:t>
            </w:r>
          </w:p>
        </w:tc>
        <w:tc>
          <w:tcPr>
            <w:tcW w:w="3889" w:type="pct"/>
            <w:gridSpan w:val="2"/>
          </w:tcPr>
          <w:p w14:paraId="7105C8A9" w14:textId="77777777" w:rsidR="009346C3" w:rsidRDefault="009346C3" w:rsidP="00323CDE">
            <w:pPr>
              <w:pStyle w:val="APVMATableText"/>
            </w:pPr>
            <w:r>
              <w:t>Technical grade active constituent</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654377E2" w14:textId="77777777" w:rsidTr="00772458">
        <w:tc>
          <w:tcPr>
            <w:tcW w:w="1111" w:type="pct"/>
          </w:tcPr>
          <w:p w14:paraId="3E8CD2EC" w14:textId="77777777" w:rsidR="009346C3" w:rsidRDefault="009346C3" w:rsidP="00323CDE">
            <w:pPr>
              <w:pStyle w:val="APVMATableText"/>
            </w:pPr>
            <w:r>
              <w:t>WG</w:t>
            </w:r>
          </w:p>
        </w:tc>
        <w:tc>
          <w:tcPr>
            <w:tcW w:w="3889" w:type="pct"/>
            <w:gridSpan w:val="2"/>
          </w:tcPr>
          <w:p w14:paraId="3B848086" w14:textId="75CE1FBB" w:rsidR="009346C3" w:rsidRDefault="009346C3" w:rsidP="00323CDE">
            <w:pPr>
              <w:pStyle w:val="APVMATableText"/>
            </w:pPr>
            <w:r>
              <w:t xml:space="preserve">Water </w:t>
            </w:r>
            <w:r w:rsidR="00B32A6B">
              <w:t>dispersible granule</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79BCD53F" w:rsidR="009346C3" w:rsidRDefault="009346C3" w:rsidP="00323CDE">
            <w:pPr>
              <w:pStyle w:val="APVMATableText"/>
            </w:pPr>
            <w:r>
              <w:rPr>
                <w:lang w:val="en-GB"/>
              </w:rPr>
              <w:t xml:space="preserve">Withholding </w:t>
            </w:r>
            <w:r w:rsidR="00B32A6B">
              <w:rPr>
                <w:lang w:val="en-GB"/>
              </w:rPr>
              <w:t>period</w:t>
            </w:r>
          </w:p>
        </w:tc>
      </w:tr>
    </w:tbl>
    <w:p w14:paraId="35823568" w14:textId="77777777" w:rsidR="009346C3" w:rsidRDefault="009346C3" w:rsidP="00772458">
      <w:pPr>
        <w:pStyle w:val="APVMAText"/>
        <w:sectPr w:rsidR="009346C3">
          <w:headerReference w:type="default" r:id="rId43"/>
          <w:pgSz w:w="11906" w:h="16838" w:code="9"/>
          <w:pgMar w:top="2835" w:right="1134" w:bottom="1134" w:left="1134" w:header="1701" w:footer="680" w:gutter="0"/>
          <w:cols w:space="708"/>
          <w:docGrid w:linePitch="360"/>
        </w:sectPr>
      </w:pPr>
    </w:p>
    <w:p w14:paraId="5F479D70" w14:textId="77777777" w:rsidR="009346C3" w:rsidRDefault="009346C3" w:rsidP="009346C3">
      <w:pPr>
        <w:pStyle w:val="APVMAAppendixH1"/>
      </w:pPr>
      <w:bookmarkStart w:id="170" w:name="_Toc531181110"/>
      <w:bookmarkStart w:id="171" w:name="_Toc7561296"/>
      <w:bookmarkStart w:id="172" w:name="_Toc225169358"/>
      <w:r>
        <w:rPr>
          <w:lang w:val="en-GB"/>
        </w:rPr>
        <w:lastRenderedPageBreak/>
        <w:t>Glossary</w:t>
      </w:r>
      <w:bookmarkEnd w:id="170"/>
      <w:bookmarkEnd w:id="171"/>
      <w:bookmarkEnd w:id="172"/>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tcPr>
          <w:p w14:paraId="2DBAB8B5" w14:textId="77777777" w:rsidR="00CA5B2B" w:rsidRDefault="00CA5B2B" w:rsidP="00CA5B2B">
            <w:pPr>
              <w:pStyle w:val="APVMATableText"/>
            </w:pPr>
            <w:r>
              <w:t>Active constituent</w:t>
            </w:r>
          </w:p>
        </w:tc>
        <w:tc>
          <w:tcPr>
            <w:tcW w:w="3868" w:type="pct"/>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tcPr>
          <w:p w14:paraId="3D3E543B" w14:textId="77777777" w:rsidR="00CA5B2B" w:rsidRDefault="00CA5B2B" w:rsidP="00CA5B2B">
            <w:pPr>
              <w:pStyle w:val="APVMATableText"/>
            </w:pPr>
            <w:r>
              <w:t>Acute</w:t>
            </w:r>
          </w:p>
        </w:tc>
        <w:tc>
          <w:tcPr>
            <w:tcW w:w="3868" w:type="pct"/>
          </w:tcPr>
          <w:p w14:paraId="1B32302E" w14:textId="77777777" w:rsidR="00CA5B2B" w:rsidRDefault="00CA5B2B" w:rsidP="00CA5B2B">
            <w:pPr>
              <w:pStyle w:val="APVMATableText"/>
            </w:pPr>
            <w:r>
              <w:t>Having rapid onset and of short duration</w:t>
            </w:r>
          </w:p>
        </w:tc>
      </w:tr>
      <w:tr w:rsidR="00CA5B2B" w14:paraId="20CAA1A1" w14:textId="77777777" w:rsidTr="00772458">
        <w:tc>
          <w:tcPr>
            <w:tcW w:w="1132" w:type="pct"/>
          </w:tcPr>
          <w:p w14:paraId="141AEE46" w14:textId="77777777" w:rsidR="00CA5B2B" w:rsidRDefault="00CA5B2B" w:rsidP="00CA5B2B">
            <w:pPr>
              <w:pStyle w:val="APVMATableText"/>
            </w:pPr>
            <w:r>
              <w:t>Carcinogenicity</w:t>
            </w:r>
          </w:p>
        </w:tc>
        <w:tc>
          <w:tcPr>
            <w:tcW w:w="3868" w:type="pct"/>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tcPr>
          <w:p w14:paraId="18A75311" w14:textId="77777777" w:rsidR="00CA5B2B" w:rsidRDefault="00CA5B2B" w:rsidP="00CA5B2B">
            <w:pPr>
              <w:pStyle w:val="APVMATableText"/>
            </w:pPr>
            <w:r>
              <w:t>Chronic</w:t>
            </w:r>
          </w:p>
        </w:tc>
        <w:tc>
          <w:tcPr>
            <w:tcW w:w="3868" w:type="pct"/>
          </w:tcPr>
          <w:p w14:paraId="662A61C7" w14:textId="77777777" w:rsidR="00CA5B2B" w:rsidRDefault="00CA5B2B" w:rsidP="00CA5B2B">
            <w:pPr>
              <w:pStyle w:val="APVMATableText"/>
            </w:pPr>
            <w:r>
              <w:t>Of long duration</w:t>
            </w:r>
          </w:p>
        </w:tc>
      </w:tr>
      <w:tr w:rsidR="00CA5B2B" w14:paraId="39C8B60E" w14:textId="77777777" w:rsidTr="00772458">
        <w:tc>
          <w:tcPr>
            <w:tcW w:w="1132" w:type="pct"/>
          </w:tcPr>
          <w:p w14:paraId="34A08E1A" w14:textId="77777777" w:rsidR="00CA5B2B" w:rsidRDefault="00CA5B2B" w:rsidP="00CA5B2B">
            <w:pPr>
              <w:pStyle w:val="APVMATableText"/>
            </w:pPr>
            <w:r>
              <w:t xml:space="preserve">Codex MRL </w:t>
            </w:r>
          </w:p>
        </w:tc>
        <w:tc>
          <w:tcPr>
            <w:tcW w:w="3868" w:type="pct"/>
          </w:tcPr>
          <w:p w14:paraId="0E7857B0" w14:textId="77777777" w:rsidR="00CA5B2B" w:rsidRDefault="00CA5B2B" w:rsidP="00CA5B2B">
            <w:pPr>
              <w:pStyle w:val="APVMATableText"/>
            </w:pPr>
            <w:r>
              <w:t>Internationally published standard maximum residue limit</w:t>
            </w:r>
          </w:p>
        </w:tc>
      </w:tr>
      <w:tr w:rsidR="00CA5B2B" w14:paraId="4921685A" w14:textId="77777777" w:rsidTr="00772458">
        <w:tc>
          <w:tcPr>
            <w:tcW w:w="1132" w:type="pct"/>
          </w:tcPr>
          <w:p w14:paraId="63FD1CFD" w14:textId="77777777" w:rsidR="00CA5B2B" w:rsidRDefault="00CA5B2B" w:rsidP="00CA5B2B">
            <w:pPr>
              <w:pStyle w:val="APVMATableText"/>
            </w:pPr>
            <w:r>
              <w:t>Desorption</w:t>
            </w:r>
          </w:p>
        </w:tc>
        <w:tc>
          <w:tcPr>
            <w:tcW w:w="3868" w:type="pct"/>
          </w:tcPr>
          <w:p w14:paraId="004DF0F4" w14:textId="77777777" w:rsidR="00CA5B2B" w:rsidRDefault="00CA5B2B" w:rsidP="00CA5B2B">
            <w:pPr>
              <w:pStyle w:val="APVMATableText"/>
            </w:pPr>
            <w:r>
              <w:t>Removal of a material from or through a surface</w:t>
            </w:r>
          </w:p>
        </w:tc>
      </w:tr>
      <w:tr w:rsidR="00CA5B2B" w14:paraId="7FA0A785" w14:textId="77777777" w:rsidTr="00772458">
        <w:tc>
          <w:tcPr>
            <w:tcW w:w="1132" w:type="pct"/>
          </w:tcPr>
          <w:p w14:paraId="21AD28E1" w14:textId="77777777" w:rsidR="00CA5B2B" w:rsidRDefault="00CA5B2B" w:rsidP="00CA5B2B">
            <w:pPr>
              <w:pStyle w:val="APVMATableText"/>
            </w:pPr>
            <w:r>
              <w:t>Efficacy</w:t>
            </w:r>
          </w:p>
        </w:tc>
        <w:tc>
          <w:tcPr>
            <w:tcW w:w="3868" w:type="pct"/>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tcPr>
          <w:p w14:paraId="51478344" w14:textId="77777777" w:rsidR="00CA5B2B" w:rsidRDefault="00CA5B2B" w:rsidP="00CA5B2B">
            <w:pPr>
              <w:pStyle w:val="APVMATableText"/>
            </w:pPr>
            <w:r>
              <w:t>Formulation</w:t>
            </w:r>
          </w:p>
        </w:tc>
        <w:tc>
          <w:tcPr>
            <w:tcW w:w="3868" w:type="pct"/>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tcPr>
          <w:p w14:paraId="2A25EAC2" w14:textId="77777777" w:rsidR="00CA5B2B" w:rsidRDefault="00CA5B2B" w:rsidP="00CA5B2B">
            <w:pPr>
              <w:pStyle w:val="APVMATableText"/>
            </w:pPr>
            <w:r>
              <w:t>Genotoxicity</w:t>
            </w:r>
          </w:p>
        </w:tc>
        <w:tc>
          <w:tcPr>
            <w:tcW w:w="3868" w:type="pct"/>
          </w:tcPr>
          <w:p w14:paraId="0BABEB19" w14:textId="77777777" w:rsidR="00CA5B2B" w:rsidRDefault="00CA5B2B" w:rsidP="00CA5B2B">
            <w:pPr>
              <w:pStyle w:val="APVMATableText"/>
            </w:pPr>
            <w:r>
              <w:t>The ability to damage genetic material</w:t>
            </w:r>
          </w:p>
        </w:tc>
      </w:tr>
      <w:tr w:rsidR="00CA5B2B" w14:paraId="2AD6F9CC" w14:textId="77777777" w:rsidTr="00772458">
        <w:tc>
          <w:tcPr>
            <w:tcW w:w="1132" w:type="pct"/>
          </w:tcPr>
          <w:p w14:paraId="67CE640F" w14:textId="77777777" w:rsidR="00CA5B2B" w:rsidRDefault="00CA5B2B" w:rsidP="00CA5B2B">
            <w:pPr>
              <w:pStyle w:val="APVMATableText"/>
            </w:pPr>
            <w:r>
              <w:t>Metabolism</w:t>
            </w:r>
          </w:p>
        </w:tc>
        <w:tc>
          <w:tcPr>
            <w:tcW w:w="3868" w:type="pct"/>
          </w:tcPr>
          <w:p w14:paraId="73E171C8" w14:textId="77777777" w:rsidR="00CA5B2B" w:rsidRDefault="00CA5B2B" w:rsidP="00CA5B2B">
            <w:pPr>
              <w:pStyle w:val="APVMATableText"/>
            </w:pPr>
            <w:r>
              <w:t>The chemical processes that maintain living organisms</w:t>
            </w:r>
          </w:p>
        </w:tc>
      </w:tr>
      <w:tr w:rsidR="00CA5B2B" w14:paraId="16D69C09" w14:textId="77777777" w:rsidTr="00772458">
        <w:tc>
          <w:tcPr>
            <w:tcW w:w="1132" w:type="pct"/>
          </w:tcPr>
          <w:p w14:paraId="1439CF91" w14:textId="77777777" w:rsidR="00CA5B2B" w:rsidRDefault="00CA5B2B" w:rsidP="00CA5B2B">
            <w:pPr>
              <w:pStyle w:val="APVMATableText"/>
            </w:pPr>
            <w:r>
              <w:t>Photodegradation</w:t>
            </w:r>
          </w:p>
        </w:tc>
        <w:tc>
          <w:tcPr>
            <w:tcW w:w="3868" w:type="pct"/>
          </w:tcPr>
          <w:p w14:paraId="08DCB9F5" w14:textId="77777777" w:rsidR="00CA5B2B" w:rsidRDefault="00CA5B2B" w:rsidP="00CA5B2B">
            <w:pPr>
              <w:pStyle w:val="APVMATableText"/>
            </w:pPr>
            <w:r>
              <w:t>Breakdown of chemicals due to the action of light</w:t>
            </w:r>
          </w:p>
        </w:tc>
      </w:tr>
      <w:tr w:rsidR="00CA5B2B" w14:paraId="13A107AE" w14:textId="77777777" w:rsidTr="00772458">
        <w:tc>
          <w:tcPr>
            <w:tcW w:w="1132" w:type="pct"/>
          </w:tcPr>
          <w:p w14:paraId="422CC94E" w14:textId="77777777" w:rsidR="00CA5B2B" w:rsidRDefault="00CA5B2B" w:rsidP="00CA5B2B">
            <w:pPr>
              <w:pStyle w:val="APVMATableText"/>
            </w:pPr>
            <w:r>
              <w:t>Photolysis</w:t>
            </w:r>
          </w:p>
        </w:tc>
        <w:tc>
          <w:tcPr>
            <w:tcW w:w="3868" w:type="pct"/>
          </w:tcPr>
          <w:p w14:paraId="4B338C7A" w14:textId="77777777" w:rsidR="00CA5B2B" w:rsidRDefault="00CA5B2B" w:rsidP="00CA5B2B">
            <w:pPr>
              <w:pStyle w:val="APVMATableText"/>
            </w:pPr>
            <w:r>
              <w:t>Breakdown of chemicals due to the action of light</w:t>
            </w:r>
          </w:p>
        </w:tc>
      </w:tr>
      <w:tr w:rsidR="00CA5B2B" w14:paraId="50303712" w14:textId="77777777" w:rsidTr="00772458">
        <w:tc>
          <w:tcPr>
            <w:tcW w:w="1132" w:type="pct"/>
          </w:tcPr>
          <w:p w14:paraId="06DA7702" w14:textId="77777777" w:rsidR="00CA5B2B" w:rsidRDefault="00CA5B2B" w:rsidP="00CA5B2B">
            <w:pPr>
              <w:pStyle w:val="APVMATableText"/>
            </w:pPr>
            <w:r>
              <w:t>Toxicology</w:t>
            </w:r>
          </w:p>
        </w:tc>
        <w:tc>
          <w:tcPr>
            <w:tcW w:w="3868" w:type="pct"/>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44"/>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173" w:name="_Toc231963196"/>
      <w:bookmarkStart w:id="174" w:name="_Toc531181111"/>
      <w:bookmarkStart w:id="175" w:name="_Toc7561297"/>
      <w:bookmarkStart w:id="176" w:name="_Toc225169359"/>
      <w:r>
        <w:lastRenderedPageBreak/>
        <w:t>References</w:t>
      </w:r>
      <w:bookmarkEnd w:id="173"/>
      <w:bookmarkEnd w:id="174"/>
      <w:bookmarkEnd w:id="175"/>
      <w:bookmarkEnd w:id="176"/>
    </w:p>
    <w:p w14:paraId="4B7AA211" w14:textId="77777777" w:rsidR="00D47B71" w:rsidRPr="00D47B71" w:rsidRDefault="00D47B71" w:rsidP="00D47B71">
      <w:pPr>
        <w:pStyle w:val="InstructionalText"/>
        <w:rPr>
          <w:bCs/>
          <w:color w:val="auto"/>
          <w:sz w:val="20"/>
          <w:szCs w:val="20"/>
        </w:rPr>
      </w:pPr>
      <w:r w:rsidRPr="00D47B71">
        <w:rPr>
          <w:bCs/>
          <w:i/>
          <w:color w:val="auto"/>
          <w:sz w:val="20"/>
          <w:szCs w:val="20"/>
        </w:rPr>
        <w:t>Agricultural and Veterinary Chemicals Code Act</w:t>
      </w:r>
      <w:r w:rsidRPr="00D47B71">
        <w:rPr>
          <w:bCs/>
          <w:color w:val="auto"/>
          <w:sz w:val="20"/>
          <w:szCs w:val="20"/>
        </w:rPr>
        <w:t xml:space="preserve"> (1994) (Cth)</w:t>
      </w:r>
    </w:p>
    <w:p w14:paraId="3AA8408A" w14:textId="77777777" w:rsidR="00D47B71" w:rsidRPr="00D47B71" w:rsidRDefault="00D47B71" w:rsidP="00D47B71">
      <w:pPr>
        <w:pStyle w:val="InstructionalText"/>
        <w:rPr>
          <w:bCs/>
          <w:sz w:val="20"/>
          <w:szCs w:val="20"/>
        </w:rPr>
      </w:pPr>
      <w:r w:rsidRPr="00D47B71">
        <w:rPr>
          <w:bCs/>
          <w:color w:val="auto"/>
          <w:sz w:val="20"/>
          <w:szCs w:val="20"/>
        </w:rPr>
        <w:t>APVMA (2018). Spray Drift Risk Assessment Tool (SDRAT) – Version 1.0. Australian Pesticides and Veterinary Medicines Authority.</w:t>
      </w:r>
      <w:r w:rsidRPr="00D47B71">
        <w:rPr>
          <w:bCs/>
          <w:sz w:val="20"/>
          <w:szCs w:val="20"/>
        </w:rPr>
        <w:t xml:space="preserve"> </w:t>
      </w:r>
      <w:hyperlink r:id="rId45" w:history="1">
        <w:r w:rsidRPr="00D47B71">
          <w:rPr>
            <w:rStyle w:val="Hyperlink"/>
            <w:bCs/>
            <w:sz w:val="20"/>
            <w:szCs w:val="20"/>
          </w:rPr>
          <w:t>https://apvma.gov.au/node/28086</w:t>
        </w:r>
      </w:hyperlink>
      <w:r w:rsidRPr="00D47B71">
        <w:rPr>
          <w:bCs/>
          <w:sz w:val="20"/>
          <w:szCs w:val="20"/>
        </w:rPr>
        <w:t xml:space="preserve">. </w:t>
      </w:r>
    </w:p>
    <w:p w14:paraId="63C0CA38" w14:textId="77777777" w:rsidR="00D47B71" w:rsidRPr="00D47B71" w:rsidRDefault="00D47B71" w:rsidP="00D47B71">
      <w:pPr>
        <w:pStyle w:val="InstructionalText"/>
        <w:rPr>
          <w:bCs/>
          <w:sz w:val="20"/>
          <w:szCs w:val="20"/>
          <w:u w:val="single"/>
        </w:rPr>
      </w:pPr>
      <w:r w:rsidRPr="00D47B71">
        <w:rPr>
          <w:bCs/>
          <w:color w:val="auto"/>
          <w:sz w:val="20"/>
          <w:szCs w:val="20"/>
        </w:rPr>
        <w:t xml:space="preserve">APVMA (2024). FAISD Handbook. </w:t>
      </w:r>
      <w:hyperlink r:id="rId46" w:history="1">
        <w:r w:rsidRPr="00D47B71">
          <w:rPr>
            <w:rStyle w:val="Hyperlink"/>
            <w:bCs/>
            <w:sz w:val="20"/>
            <w:szCs w:val="20"/>
          </w:rPr>
          <w:t>https://apvma.gov.au/node/26586</w:t>
        </w:r>
      </w:hyperlink>
      <w:r w:rsidRPr="00D47B71">
        <w:rPr>
          <w:bCs/>
          <w:sz w:val="20"/>
          <w:szCs w:val="20"/>
          <w:u w:val="single"/>
        </w:rPr>
        <w:t>.</w:t>
      </w:r>
    </w:p>
    <w:p w14:paraId="37994240" w14:textId="5EBF418B" w:rsidR="000F61C3" w:rsidRDefault="000F61C3" w:rsidP="00D47B71">
      <w:pPr>
        <w:pStyle w:val="InstructionalText"/>
        <w:rPr>
          <w:bCs/>
          <w:color w:val="auto"/>
          <w:sz w:val="20"/>
          <w:szCs w:val="20"/>
        </w:rPr>
      </w:pPr>
      <w:r w:rsidRPr="000F61C3">
        <w:rPr>
          <w:bCs/>
          <w:color w:val="auto"/>
          <w:sz w:val="20"/>
          <w:szCs w:val="20"/>
        </w:rPr>
        <w:t>Dorling, S. J.; McManus, M. T.; The Fate of ACC in Higher Plants; Annual Plant Reviews (2012), 44, 83-115.</w:t>
      </w:r>
    </w:p>
    <w:p w14:paraId="660835BE" w14:textId="754372D5" w:rsidR="00D47B71" w:rsidRPr="00D47B71" w:rsidRDefault="00D47B71" w:rsidP="00D47B71">
      <w:pPr>
        <w:pStyle w:val="InstructionalText"/>
        <w:rPr>
          <w:bCs/>
          <w:sz w:val="20"/>
          <w:szCs w:val="20"/>
        </w:rPr>
      </w:pPr>
      <w:r w:rsidRPr="00D47B71">
        <w:rPr>
          <w:bCs/>
          <w:color w:val="auto"/>
          <w:sz w:val="20"/>
          <w:szCs w:val="20"/>
        </w:rPr>
        <w:t>Health (2024). Standard for the Uniform Scheduling of Medicines and Poisons (SUSMP). Legislative Instrument - The Poisons Standard. Australian Federal Government Department of Health and Aged Care. (</w:t>
      </w:r>
      <w:hyperlink r:id="rId47" w:history="1">
        <w:r w:rsidRPr="00D47B71">
          <w:rPr>
            <w:rStyle w:val="Hyperlink"/>
            <w:bCs/>
            <w:sz w:val="20"/>
            <w:szCs w:val="20"/>
          </w:rPr>
          <w:t>https://www.tga.gov.au/publication/poisons-standard-susmp</w:t>
        </w:r>
      </w:hyperlink>
      <w:r w:rsidRPr="00D47B71">
        <w:rPr>
          <w:bCs/>
          <w:color w:val="auto"/>
          <w:sz w:val="20"/>
          <w:szCs w:val="20"/>
        </w:rPr>
        <w:t>)</w:t>
      </w:r>
    </w:p>
    <w:sectPr w:rsidR="00D47B71" w:rsidRPr="00D47B71">
      <w:headerReference w:type="default" r:id="rId4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A297" w14:textId="77777777" w:rsidR="00054B48" w:rsidRDefault="00054B48">
      <w:r>
        <w:separator/>
      </w:r>
    </w:p>
    <w:p w14:paraId="1EB17B0F" w14:textId="77777777" w:rsidR="00054B48" w:rsidRDefault="00054B48"/>
    <w:p w14:paraId="19CAC033" w14:textId="77777777" w:rsidR="00054B48" w:rsidRDefault="00054B48"/>
    <w:p w14:paraId="123C1E86" w14:textId="77777777" w:rsidR="00054B48" w:rsidRDefault="00054B48"/>
  </w:endnote>
  <w:endnote w:type="continuationSeparator" w:id="0">
    <w:p w14:paraId="6C691F25" w14:textId="77777777" w:rsidR="00054B48" w:rsidRDefault="00054B48">
      <w:r>
        <w:continuationSeparator/>
      </w:r>
    </w:p>
    <w:p w14:paraId="17DCBD43" w14:textId="77777777" w:rsidR="00054B48" w:rsidRDefault="00054B48"/>
    <w:p w14:paraId="0A557FB2" w14:textId="77777777" w:rsidR="00054B48" w:rsidRDefault="00054B48"/>
    <w:p w14:paraId="0D1086AA" w14:textId="77777777" w:rsidR="00054B48" w:rsidRDefault="00054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8454" w14:textId="77777777" w:rsidR="000A19DC" w:rsidRDefault="000A19DC">
    <w:pPr>
      <w:pStyle w:val="BodyText0"/>
      <w:spacing w:before="0"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F51C" w14:textId="77777777" w:rsidR="00054B48" w:rsidRDefault="00054B48">
      <w:r>
        <w:separator/>
      </w:r>
    </w:p>
    <w:p w14:paraId="254B193A" w14:textId="77777777" w:rsidR="00054B48" w:rsidRDefault="00054B48"/>
  </w:footnote>
  <w:footnote w:type="continuationSeparator" w:id="0">
    <w:p w14:paraId="016F6769" w14:textId="77777777" w:rsidR="00054B48" w:rsidRDefault="00054B48">
      <w:pPr>
        <w:spacing w:line="180" w:lineRule="exact"/>
        <w:rPr>
          <w:sz w:val="16"/>
        </w:rPr>
      </w:pPr>
      <w:r>
        <w:rPr>
          <w:sz w:val="16"/>
        </w:rPr>
        <w:continuationSeparator/>
      </w:r>
    </w:p>
    <w:p w14:paraId="29DEE5B6" w14:textId="77777777" w:rsidR="00054B48" w:rsidRDefault="00054B48"/>
    <w:p w14:paraId="671F444B" w14:textId="77777777" w:rsidR="00054B48" w:rsidRDefault="00054B48"/>
    <w:p w14:paraId="358BDA09" w14:textId="77777777" w:rsidR="00054B48" w:rsidRDefault="00054B48"/>
  </w:footnote>
  <w:footnote w:type="continuationNotice" w:id="1">
    <w:p w14:paraId="78D13444" w14:textId="77777777" w:rsidR="00054B48" w:rsidRDefault="00054B48"/>
    <w:p w14:paraId="0CCF186E" w14:textId="77777777" w:rsidR="00054B48" w:rsidRDefault="00054B48"/>
    <w:p w14:paraId="7FE8F405" w14:textId="77777777" w:rsidR="00054B48" w:rsidRDefault="00054B48"/>
    <w:p w14:paraId="26E66FA2" w14:textId="77777777" w:rsidR="00054B48" w:rsidRDefault="00054B48"/>
  </w:footnote>
  <w:footnote w:id="2">
    <w:p w14:paraId="28217D15" w14:textId="7EF57208" w:rsidR="00181A72" w:rsidRPr="004B7ED7" w:rsidRDefault="00181A72">
      <w:pPr>
        <w:pStyle w:val="FootnoteText"/>
        <w:rPr>
          <w:i/>
          <w:iCs/>
        </w:rPr>
      </w:pPr>
      <w:r>
        <w:rPr>
          <w:rStyle w:val="FootnoteReference"/>
        </w:rPr>
        <w:footnoteRef/>
      </w:r>
      <w:r>
        <w:t xml:space="preserve"> Dorling, S. J.; McManus, M. T.</w:t>
      </w:r>
      <w:r w:rsidR="004B7ED7">
        <w:t xml:space="preserve">; The Fate of ACC in Higher Plants; </w:t>
      </w:r>
      <w:r w:rsidR="004B7ED7">
        <w:rPr>
          <w:i/>
          <w:iCs/>
        </w:rPr>
        <w:t xml:space="preserve">Annual Plant Reviews </w:t>
      </w:r>
      <w:r w:rsidR="004B7ED7" w:rsidRPr="004B7ED7">
        <w:t>(2012), 44, 83-115</w:t>
      </w:r>
      <w:r w:rsidR="004B7ED7">
        <w:rPr>
          <w:i/>
          <w:iCs/>
        </w:rPr>
        <w:t>.</w:t>
      </w:r>
    </w:p>
  </w:footnote>
  <w:footnote w:id="3">
    <w:p w14:paraId="29C9D8AE" w14:textId="167B344F" w:rsidR="002D3DF8" w:rsidRDefault="002D3DF8">
      <w:pPr>
        <w:pStyle w:val="FootnoteText"/>
      </w:pPr>
      <w:r>
        <w:rPr>
          <w:rStyle w:val="FootnoteReference"/>
        </w:rPr>
        <w:footnoteRef/>
      </w:r>
      <w:r>
        <w:t xml:space="preserve"> </w:t>
      </w:r>
      <w:r w:rsidRPr="002D3DF8">
        <w:t>The abbreviation BBCH derives from Biologische Bundesanstalt, Bundessortenamt and CHemical industry</w:t>
      </w:r>
      <w:r>
        <w:t xml:space="preserve">. </w:t>
      </w:r>
      <w:r w:rsidRPr="002D3DF8">
        <w:t>The BBCH-scale is used to identify the phenological development stages of plants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705" w14:textId="20A5851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F944" w14:textId="77777777" w:rsidR="00274331" w:rsidRDefault="00274331" w:rsidP="00274331">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24</w:t>
    </w:r>
    <w:r>
      <w:rPr>
        <w:rStyle w:val="PageNumber"/>
        <w:b w:val="0"/>
        <w:caps/>
        <w:szCs w:val="24"/>
      </w:rPr>
      <w:fldChar w:fldCharType="end"/>
    </w:r>
    <w:r>
      <w:tab/>
      <w:t>PRS on the evaluation of the new active 1-aminocycloprane-1-carboxylic acid</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2CA4" w14:textId="77777777" w:rsidR="00274331" w:rsidRDefault="00274331" w:rsidP="00274331">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24</w:t>
    </w:r>
    <w:r>
      <w:rPr>
        <w:rStyle w:val="PageNumber"/>
        <w:b w:val="0"/>
        <w:caps/>
        <w:szCs w:val="24"/>
      </w:rPr>
      <w:fldChar w:fldCharType="end"/>
    </w:r>
    <w:r>
      <w:tab/>
      <w:t>PRS on the evaluation of the new active 1-aminocycloprane-1-carboxylic acid</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BF40" w14:textId="6E988489"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388D8DF6"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4DF" w14:textId="19C3B2F9"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72C" w14:textId="0094DCBD" w:rsidR="00CC5161" w:rsidRDefault="00CC5161">
    <w:pPr>
      <w:pStyle w:val="APVMAOddHeader"/>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15</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693621"/>
    <w:multiLevelType w:val="hybridMultilevel"/>
    <w:tmpl w:val="B282AA98"/>
    <w:lvl w:ilvl="0" w:tplc="9D7E5BE0">
      <w:start w:val="1"/>
      <w:numFmt w:val="bullet"/>
      <w:lvlText w:val=""/>
      <w:lvlJc w:val="left"/>
      <w:pPr>
        <w:tabs>
          <w:tab w:val="num" w:pos="684"/>
        </w:tabs>
        <w:ind w:left="684"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3305251"/>
    <w:multiLevelType w:val="hybridMultilevel"/>
    <w:tmpl w:val="F7F05C88"/>
    <w:lvl w:ilvl="0" w:tplc="0C090001">
      <w:start w:val="1"/>
      <w:numFmt w:val="bullet"/>
      <w:lvlText w:val=""/>
      <w:lvlJc w:val="left"/>
      <w:pPr>
        <w:ind w:left="360" w:hanging="360"/>
      </w:pPr>
      <w:rPr>
        <w:rFonts w:ascii="Symbol" w:hAnsi="Symbol" w:hint="default"/>
        <w:w w:val="99"/>
      </w:rPr>
    </w:lvl>
    <w:lvl w:ilvl="1" w:tplc="0C090003" w:tentative="1">
      <w:start w:val="1"/>
      <w:numFmt w:val="bullet"/>
      <w:lvlText w:val="o"/>
      <w:lvlJc w:val="left"/>
      <w:pPr>
        <w:ind w:left="959" w:hanging="360"/>
      </w:pPr>
      <w:rPr>
        <w:rFonts w:ascii="Courier New" w:hAnsi="Courier New" w:cs="Courier New" w:hint="default"/>
      </w:rPr>
    </w:lvl>
    <w:lvl w:ilvl="2" w:tplc="0C090005" w:tentative="1">
      <w:start w:val="1"/>
      <w:numFmt w:val="bullet"/>
      <w:lvlText w:val=""/>
      <w:lvlJc w:val="left"/>
      <w:pPr>
        <w:ind w:left="1679" w:hanging="360"/>
      </w:pPr>
      <w:rPr>
        <w:rFonts w:ascii="Wingdings" w:hAnsi="Wingdings" w:hint="default"/>
      </w:rPr>
    </w:lvl>
    <w:lvl w:ilvl="3" w:tplc="0C090001" w:tentative="1">
      <w:start w:val="1"/>
      <w:numFmt w:val="bullet"/>
      <w:lvlText w:val=""/>
      <w:lvlJc w:val="left"/>
      <w:pPr>
        <w:ind w:left="2399" w:hanging="360"/>
      </w:pPr>
      <w:rPr>
        <w:rFonts w:ascii="Symbol" w:hAnsi="Symbol" w:hint="default"/>
      </w:rPr>
    </w:lvl>
    <w:lvl w:ilvl="4" w:tplc="0C090003" w:tentative="1">
      <w:start w:val="1"/>
      <w:numFmt w:val="bullet"/>
      <w:lvlText w:val="o"/>
      <w:lvlJc w:val="left"/>
      <w:pPr>
        <w:ind w:left="3119" w:hanging="360"/>
      </w:pPr>
      <w:rPr>
        <w:rFonts w:ascii="Courier New" w:hAnsi="Courier New" w:cs="Courier New" w:hint="default"/>
      </w:rPr>
    </w:lvl>
    <w:lvl w:ilvl="5" w:tplc="0C090005" w:tentative="1">
      <w:start w:val="1"/>
      <w:numFmt w:val="bullet"/>
      <w:lvlText w:val=""/>
      <w:lvlJc w:val="left"/>
      <w:pPr>
        <w:ind w:left="3839" w:hanging="360"/>
      </w:pPr>
      <w:rPr>
        <w:rFonts w:ascii="Wingdings" w:hAnsi="Wingdings" w:hint="default"/>
      </w:rPr>
    </w:lvl>
    <w:lvl w:ilvl="6" w:tplc="0C090001" w:tentative="1">
      <w:start w:val="1"/>
      <w:numFmt w:val="bullet"/>
      <w:lvlText w:val=""/>
      <w:lvlJc w:val="left"/>
      <w:pPr>
        <w:ind w:left="4559" w:hanging="360"/>
      </w:pPr>
      <w:rPr>
        <w:rFonts w:ascii="Symbol" w:hAnsi="Symbol" w:hint="default"/>
      </w:rPr>
    </w:lvl>
    <w:lvl w:ilvl="7" w:tplc="0C090003" w:tentative="1">
      <w:start w:val="1"/>
      <w:numFmt w:val="bullet"/>
      <w:lvlText w:val="o"/>
      <w:lvlJc w:val="left"/>
      <w:pPr>
        <w:ind w:left="5279" w:hanging="360"/>
      </w:pPr>
      <w:rPr>
        <w:rFonts w:ascii="Courier New" w:hAnsi="Courier New" w:cs="Courier New" w:hint="default"/>
      </w:rPr>
    </w:lvl>
    <w:lvl w:ilvl="8" w:tplc="0C090005" w:tentative="1">
      <w:start w:val="1"/>
      <w:numFmt w:val="bullet"/>
      <w:lvlText w:val=""/>
      <w:lvlJc w:val="left"/>
      <w:pPr>
        <w:ind w:left="5999" w:hanging="360"/>
      </w:pPr>
      <w:rPr>
        <w:rFonts w:ascii="Wingdings" w:hAnsi="Wingdings" w:hint="default"/>
      </w:rPr>
    </w:lvl>
  </w:abstractNum>
  <w:abstractNum w:abstractNumId="17"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2"/>
  </w:num>
  <w:num w:numId="2" w16cid:durableId="1847817366">
    <w:abstractNumId w:val="22"/>
  </w:num>
  <w:num w:numId="3" w16cid:durableId="628050759">
    <w:abstractNumId w:val="19"/>
  </w:num>
  <w:num w:numId="4" w16cid:durableId="604269072">
    <w:abstractNumId w:val="20"/>
  </w:num>
  <w:num w:numId="5" w16cid:durableId="647785159">
    <w:abstractNumId w:val="19"/>
  </w:num>
  <w:num w:numId="6" w16cid:durableId="955450296">
    <w:abstractNumId w:val="25"/>
  </w:num>
  <w:num w:numId="7" w16cid:durableId="295457348">
    <w:abstractNumId w:val="21"/>
  </w:num>
  <w:num w:numId="8" w16cid:durableId="1343507694">
    <w:abstractNumId w:val="12"/>
  </w:num>
  <w:num w:numId="9" w16cid:durableId="1686057297">
    <w:abstractNumId w:val="10"/>
  </w:num>
  <w:num w:numId="10" w16cid:durableId="1851598727">
    <w:abstractNumId w:val="14"/>
  </w:num>
  <w:num w:numId="11" w16cid:durableId="1106190607">
    <w:abstractNumId w:val="18"/>
  </w:num>
  <w:num w:numId="12" w16cid:durableId="1346205001">
    <w:abstractNumId w:val="25"/>
  </w:num>
  <w:num w:numId="13" w16cid:durableId="661276574">
    <w:abstractNumId w:val="25"/>
  </w:num>
  <w:num w:numId="14" w16cid:durableId="714548653">
    <w:abstractNumId w:val="19"/>
  </w:num>
  <w:num w:numId="15" w16cid:durableId="799765265">
    <w:abstractNumId w:val="12"/>
  </w:num>
  <w:num w:numId="16" w16cid:durableId="1633704688">
    <w:abstractNumId w:val="20"/>
  </w:num>
  <w:num w:numId="17" w16cid:durableId="783810623">
    <w:abstractNumId w:val="10"/>
  </w:num>
  <w:num w:numId="18" w16cid:durableId="921639575">
    <w:abstractNumId w:val="14"/>
  </w:num>
  <w:num w:numId="19" w16cid:durableId="552737622">
    <w:abstractNumId w:val="22"/>
  </w:num>
  <w:num w:numId="20" w16cid:durableId="1700619928">
    <w:abstractNumId w:val="26"/>
  </w:num>
  <w:num w:numId="21" w16cid:durableId="362511644">
    <w:abstractNumId w:val="13"/>
  </w:num>
  <w:num w:numId="22" w16cid:durableId="2122407760">
    <w:abstractNumId w:val="27"/>
  </w:num>
  <w:num w:numId="23" w16cid:durableId="972710519">
    <w:abstractNumId w:val="17"/>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4"/>
  </w:num>
  <w:num w:numId="35" w16cid:durableId="1058287549">
    <w:abstractNumId w:val="15"/>
  </w:num>
  <w:num w:numId="36" w16cid:durableId="796065988">
    <w:abstractNumId w:val="25"/>
  </w:num>
  <w:num w:numId="37" w16cid:durableId="221795795">
    <w:abstractNumId w:val="23"/>
  </w:num>
  <w:num w:numId="38" w16cid:durableId="1818953470">
    <w:abstractNumId w:val="16"/>
  </w:num>
  <w:num w:numId="39" w16cid:durableId="373308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4F9C"/>
    <w:rsid w:val="000124F2"/>
    <w:rsid w:val="00017CE2"/>
    <w:rsid w:val="00032787"/>
    <w:rsid w:val="00043C5D"/>
    <w:rsid w:val="0004611A"/>
    <w:rsid w:val="00047D62"/>
    <w:rsid w:val="000518D6"/>
    <w:rsid w:val="00054B48"/>
    <w:rsid w:val="000642F7"/>
    <w:rsid w:val="00067056"/>
    <w:rsid w:val="00067828"/>
    <w:rsid w:val="000765C1"/>
    <w:rsid w:val="0008350E"/>
    <w:rsid w:val="00083C54"/>
    <w:rsid w:val="00096163"/>
    <w:rsid w:val="000A19DC"/>
    <w:rsid w:val="000A7EF6"/>
    <w:rsid w:val="000B0CF5"/>
    <w:rsid w:val="000B5E64"/>
    <w:rsid w:val="000C1518"/>
    <w:rsid w:val="000C2C1B"/>
    <w:rsid w:val="000C5EB1"/>
    <w:rsid w:val="000D124E"/>
    <w:rsid w:val="000D49ED"/>
    <w:rsid w:val="000D4B2C"/>
    <w:rsid w:val="000E0F2D"/>
    <w:rsid w:val="000E52D8"/>
    <w:rsid w:val="000E7D12"/>
    <w:rsid w:val="000F61C3"/>
    <w:rsid w:val="00102636"/>
    <w:rsid w:val="0011280D"/>
    <w:rsid w:val="00120E00"/>
    <w:rsid w:val="001320D9"/>
    <w:rsid w:val="001358FB"/>
    <w:rsid w:val="001467C0"/>
    <w:rsid w:val="001534D8"/>
    <w:rsid w:val="00161FB5"/>
    <w:rsid w:val="00162023"/>
    <w:rsid w:val="0016652E"/>
    <w:rsid w:val="00166CA5"/>
    <w:rsid w:val="00167BB3"/>
    <w:rsid w:val="00174413"/>
    <w:rsid w:val="00174E15"/>
    <w:rsid w:val="00177D1E"/>
    <w:rsid w:val="00181A72"/>
    <w:rsid w:val="00184190"/>
    <w:rsid w:val="0018440A"/>
    <w:rsid w:val="00192BCD"/>
    <w:rsid w:val="00193533"/>
    <w:rsid w:val="00193BCC"/>
    <w:rsid w:val="001B335C"/>
    <w:rsid w:val="001B7360"/>
    <w:rsid w:val="001B78EA"/>
    <w:rsid w:val="001C6607"/>
    <w:rsid w:val="001D0B2F"/>
    <w:rsid w:val="001D3257"/>
    <w:rsid w:val="001F229A"/>
    <w:rsid w:val="001F5221"/>
    <w:rsid w:val="001F5D05"/>
    <w:rsid w:val="002010DC"/>
    <w:rsid w:val="00210B9D"/>
    <w:rsid w:val="0024289A"/>
    <w:rsid w:val="002549D3"/>
    <w:rsid w:val="002630B2"/>
    <w:rsid w:val="0026493F"/>
    <w:rsid w:val="00266633"/>
    <w:rsid w:val="00270319"/>
    <w:rsid w:val="00273344"/>
    <w:rsid w:val="00274331"/>
    <w:rsid w:val="00280720"/>
    <w:rsid w:val="00282A32"/>
    <w:rsid w:val="002834DF"/>
    <w:rsid w:val="002853BD"/>
    <w:rsid w:val="002A1761"/>
    <w:rsid w:val="002A1B36"/>
    <w:rsid w:val="002A69DD"/>
    <w:rsid w:val="002B20E7"/>
    <w:rsid w:val="002B4618"/>
    <w:rsid w:val="002B5703"/>
    <w:rsid w:val="002C6204"/>
    <w:rsid w:val="002D3DF8"/>
    <w:rsid w:val="002D5CEC"/>
    <w:rsid w:val="002D7779"/>
    <w:rsid w:val="002E20AC"/>
    <w:rsid w:val="002E2D1D"/>
    <w:rsid w:val="002E49F4"/>
    <w:rsid w:val="002F2F98"/>
    <w:rsid w:val="002F4591"/>
    <w:rsid w:val="002F5D1B"/>
    <w:rsid w:val="002F7868"/>
    <w:rsid w:val="0030255E"/>
    <w:rsid w:val="00302D38"/>
    <w:rsid w:val="00311C54"/>
    <w:rsid w:val="0031487D"/>
    <w:rsid w:val="003207F2"/>
    <w:rsid w:val="00323CDE"/>
    <w:rsid w:val="003300BA"/>
    <w:rsid w:val="003329CF"/>
    <w:rsid w:val="00334254"/>
    <w:rsid w:val="00342452"/>
    <w:rsid w:val="00347883"/>
    <w:rsid w:val="003506C5"/>
    <w:rsid w:val="00361222"/>
    <w:rsid w:val="0036328C"/>
    <w:rsid w:val="00364192"/>
    <w:rsid w:val="00381544"/>
    <w:rsid w:val="00390CAB"/>
    <w:rsid w:val="00393FE3"/>
    <w:rsid w:val="003A1BD7"/>
    <w:rsid w:val="003A2363"/>
    <w:rsid w:val="003A558F"/>
    <w:rsid w:val="003B36F6"/>
    <w:rsid w:val="003C0891"/>
    <w:rsid w:val="003D1B7D"/>
    <w:rsid w:val="003F67BE"/>
    <w:rsid w:val="004000DA"/>
    <w:rsid w:val="00401F04"/>
    <w:rsid w:val="004070E1"/>
    <w:rsid w:val="0041228F"/>
    <w:rsid w:val="00416646"/>
    <w:rsid w:val="0042177C"/>
    <w:rsid w:val="00424637"/>
    <w:rsid w:val="00424BBE"/>
    <w:rsid w:val="00444045"/>
    <w:rsid w:val="00452430"/>
    <w:rsid w:val="004616C8"/>
    <w:rsid w:val="00461D26"/>
    <w:rsid w:val="0046400B"/>
    <w:rsid w:val="00467D35"/>
    <w:rsid w:val="00470304"/>
    <w:rsid w:val="004708AB"/>
    <w:rsid w:val="004902A7"/>
    <w:rsid w:val="004B1C65"/>
    <w:rsid w:val="004B7ED7"/>
    <w:rsid w:val="004C1064"/>
    <w:rsid w:val="004D2C4F"/>
    <w:rsid w:val="004E4CD7"/>
    <w:rsid w:val="004F3F03"/>
    <w:rsid w:val="004F66B0"/>
    <w:rsid w:val="005064D5"/>
    <w:rsid w:val="005117E9"/>
    <w:rsid w:val="0051454B"/>
    <w:rsid w:val="005148C0"/>
    <w:rsid w:val="00520963"/>
    <w:rsid w:val="0052189B"/>
    <w:rsid w:val="00522E27"/>
    <w:rsid w:val="0052368C"/>
    <w:rsid w:val="005527B9"/>
    <w:rsid w:val="00556804"/>
    <w:rsid w:val="00560E83"/>
    <w:rsid w:val="005614A4"/>
    <w:rsid w:val="00563297"/>
    <w:rsid w:val="00566590"/>
    <w:rsid w:val="00572412"/>
    <w:rsid w:val="005823A5"/>
    <w:rsid w:val="005958BC"/>
    <w:rsid w:val="00596F1D"/>
    <w:rsid w:val="005A2957"/>
    <w:rsid w:val="005A691A"/>
    <w:rsid w:val="005B001F"/>
    <w:rsid w:val="005B5AD2"/>
    <w:rsid w:val="005C33B9"/>
    <w:rsid w:val="005D00D1"/>
    <w:rsid w:val="005D1A47"/>
    <w:rsid w:val="006110AE"/>
    <w:rsid w:val="00612742"/>
    <w:rsid w:val="0062466B"/>
    <w:rsid w:val="006273D2"/>
    <w:rsid w:val="0063456D"/>
    <w:rsid w:val="00643052"/>
    <w:rsid w:val="00657A28"/>
    <w:rsid w:val="00657F37"/>
    <w:rsid w:val="006616B9"/>
    <w:rsid w:val="00674F85"/>
    <w:rsid w:val="0068153E"/>
    <w:rsid w:val="00682283"/>
    <w:rsid w:val="00695B61"/>
    <w:rsid w:val="006A5315"/>
    <w:rsid w:val="006A7B67"/>
    <w:rsid w:val="006A7E63"/>
    <w:rsid w:val="006C08BC"/>
    <w:rsid w:val="006D0FC8"/>
    <w:rsid w:val="006D36C8"/>
    <w:rsid w:val="006D5D6C"/>
    <w:rsid w:val="006E33F7"/>
    <w:rsid w:val="006E40DF"/>
    <w:rsid w:val="006F1E3F"/>
    <w:rsid w:val="00700C27"/>
    <w:rsid w:val="00702B7D"/>
    <w:rsid w:val="00703BDD"/>
    <w:rsid w:val="00704C88"/>
    <w:rsid w:val="00705195"/>
    <w:rsid w:val="0071715C"/>
    <w:rsid w:val="007275CF"/>
    <w:rsid w:val="00731659"/>
    <w:rsid w:val="00732A46"/>
    <w:rsid w:val="0074111B"/>
    <w:rsid w:val="0074652C"/>
    <w:rsid w:val="00753ED8"/>
    <w:rsid w:val="00754320"/>
    <w:rsid w:val="007606C6"/>
    <w:rsid w:val="0076267D"/>
    <w:rsid w:val="00770B96"/>
    <w:rsid w:val="00772458"/>
    <w:rsid w:val="00783112"/>
    <w:rsid w:val="0079626E"/>
    <w:rsid w:val="0079772A"/>
    <w:rsid w:val="007B322A"/>
    <w:rsid w:val="007B74E9"/>
    <w:rsid w:val="007C379F"/>
    <w:rsid w:val="007C63AA"/>
    <w:rsid w:val="007D21DE"/>
    <w:rsid w:val="007F0146"/>
    <w:rsid w:val="007F06E3"/>
    <w:rsid w:val="007F6D92"/>
    <w:rsid w:val="00800CE6"/>
    <w:rsid w:val="008058FF"/>
    <w:rsid w:val="00806C31"/>
    <w:rsid w:val="00807E27"/>
    <w:rsid w:val="00813BA3"/>
    <w:rsid w:val="008164D5"/>
    <w:rsid w:val="00817D79"/>
    <w:rsid w:val="0082639B"/>
    <w:rsid w:val="00832D38"/>
    <w:rsid w:val="008362F6"/>
    <w:rsid w:val="00836556"/>
    <w:rsid w:val="008366A3"/>
    <w:rsid w:val="00843899"/>
    <w:rsid w:val="00847050"/>
    <w:rsid w:val="00860B66"/>
    <w:rsid w:val="00860F6C"/>
    <w:rsid w:val="008612BD"/>
    <w:rsid w:val="00862E63"/>
    <w:rsid w:val="00863E57"/>
    <w:rsid w:val="00877845"/>
    <w:rsid w:val="00883BCE"/>
    <w:rsid w:val="00892292"/>
    <w:rsid w:val="008A55C9"/>
    <w:rsid w:val="008B2E83"/>
    <w:rsid w:val="008C0089"/>
    <w:rsid w:val="008C5C0D"/>
    <w:rsid w:val="008C6B9D"/>
    <w:rsid w:val="008F14C4"/>
    <w:rsid w:val="00913600"/>
    <w:rsid w:val="00926803"/>
    <w:rsid w:val="00930B7A"/>
    <w:rsid w:val="009346C3"/>
    <w:rsid w:val="0095647E"/>
    <w:rsid w:val="00966603"/>
    <w:rsid w:val="00972247"/>
    <w:rsid w:val="00977CAF"/>
    <w:rsid w:val="009A4448"/>
    <w:rsid w:val="009A7614"/>
    <w:rsid w:val="009A7A8F"/>
    <w:rsid w:val="009B4441"/>
    <w:rsid w:val="009B6ACE"/>
    <w:rsid w:val="009C0E87"/>
    <w:rsid w:val="009D0723"/>
    <w:rsid w:val="009D0E59"/>
    <w:rsid w:val="009D452E"/>
    <w:rsid w:val="009D4B0C"/>
    <w:rsid w:val="009E2BE8"/>
    <w:rsid w:val="009E6ABF"/>
    <w:rsid w:val="009F16FF"/>
    <w:rsid w:val="00A03801"/>
    <w:rsid w:val="00A11221"/>
    <w:rsid w:val="00A20159"/>
    <w:rsid w:val="00A218C7"/>
    <w:rsid w:val="00A23729"/>
    <w:rsid w:val="00A2448D"/>
    <w:rsid w:val="00A25290"/>
    <w:rsid w:val="00A5136D"/>
    <w:rsid w:val="00A60041"/>
    <w:rsid w:val="00A60905"/>
    <w:rsid w:val="00A6283D"/>
    <w:rsid w:val="00A6683A"/>
    <w:rsid w:val="00A77CE7"/>
    <w:rsid w:val="00A81500"/>
    <w:rsid w:val="00A83864"/>
    <w:rsid w:val="00A87101"/>
    <w:rsid w:val="00A91D9F"/>
    <w:rsid w:val="00AA442C"/>
    <w:rsid w:val="00AA4C64"/>
    <w:rsid w:val="00AA5A11"/>
    <w:rsid w:val="00AA63A7"/>
    <w:rsid w:val="00AA68EC"/>
    <w:rsid w:val="00AB45F4"/>
    <w:rsid w:val="00AB4AB3"/>
    <w:rsid w:val="00AB659C"/>
    <w:rsid w:val="00AC096A"/>
    <w:rsid w:val="00AC6409"/>
    <w:rsid w:val="00AC64AB"/>
    <w:rsid w:val="00AC781E"/>
    <w:rsid w:val="00AE396F"/>
    <w:rsid w:val="00AF232A"/>
    <w:rsid w:val="00AF7046"/>
    <w:rsid w:val="00B15647"/>
    <w:rsid w:val="00B23286"/>
    <w:rsid w:val="00B27254"/>
    <w:rsid w:val="00B27675"/>
    <w:rsid w:val="00B32A6B"/>
    <w:rsid w:val="00B50074"/>
    <w:rsid w:val="00B5185A"/>
    <w:rsid w:val="00B53275"/>
    <w:rsid w:val="00B56F61"/>
    <w:rsid w:val="00B622BA"/>
    <w:rsid w:val="00B63914"/>
    <w:rsid w:val="00BA0F29"/>
    <w:rsid w:val="00BA67F0"/>
    <w:rsid w:val="00BB3FFF"/>
    <w:rsid w:val="00BC5423"/>
    <w:rsid w:val="00BD021C"/>
    <w:rsid w:val="00BD1363"/>
    <w:rsid w:val="00BD2289"/>
    <w:rsid w:val="00BD55DB"/>
    <w:rsid w:val="00BD70E8"/>
    <w:rsid w:val="00BD74AF"/>
    <w:rsid w:val="00BF436A"/>
    <w:rsid w:val="00C01FCE"/>
    <w:rsid w:val="00C0349C"/>
    <w:rsid w:val="00C055EA"/>
    <w:rsid w:val="00C056BC"/>
    <w:rsid w:val="00C2197F"/>
    <w:rsid w:val="00C22447"/>
    <w:rsid w:val="00C26FC9"/>
    <w:rsid w:val="00C521E0"/>
    <w:rsid w:val="00C5294C"/>
    <w:rsid w:val="00C53C96"/>
    <w:rsid w:val="00C61E0B"/>
    <w:rsid w:val="00C63B9D"/>
    <w:rsid w:val="00C72FA3"/>
    <w:rsid w:val="00C73D24"/>
    <w:rsid w:val="00C8482F"/>
    <w:rsid w:val="00C95323"/>
    <w:rsid w:val="00C9656F"/>
    <w:rsid w:val="00CA0A44"/>
    <w:rsid w:val="00CA17DC"/>
    <w:rsid w:val="00CA5746"/>
    <w:rsid w:val="00CA5B2B"/>
    <w:rsid w:val="00CC5161"/>
    <w:rsid w:val="00CD11DC"/>
    <w:rsid w:val="00CD6650"/>
    <w:rsid w:val="00CE456A"/>
    <w:rsid w:val="00CE6C51"/>
    <w:rsid w:val="00D022DC"/>
    <w:rsid w:val="00D10F59"/>
    <w:rsid w:val="00D12C25"/>
    <w:rsid w:val="00D12C57"/>
    <w:rsid w:val="00D21782"/>
    <w:rsid w:val="00D22CCB"/>
    <w:rsid w:val="00D36361"/>
    <w:rsid w:val="00D4143D"/>
    <w:rsid w:val="00D45129"/>
    <w:rsid w:val="00D47B71"/>
    <w:rsid w:val="00D505AD"/>
    <w:rsid w:val="00D51E52"/>
    <w:rsid w:val="00D62132"/>
    <w:rsid w:val="00D652F5"/>
    <w:rsid w:val="00D66889"/>
    <w:rsid w:val="00D67788"/>
    <w:rsid w:val="00D705E7"/>
    <w:rsid w:val="00D7163E"/>
    <w:rsid w:val="00D75DA9"/>
    <w:rsid w:val="00D81C23"/>
    <w:rsid w:val="00D874AA"/>
    <w:rsid w:val="00D90D30"/>
    <w:rsid w:val="00D9318E"/>
    <w:rsid w:val="00D942C8"/>
    <w:rsid w:val="00D951A7"/>
    <w:rsid w:val="00D9750C"/>
    <w:rsid w:val="00DB39ED"/>
    <w:rsid w:val="00DB3BF5"/>
    <w:rsid w:val="00DE3FBE"/>
    <w:rsid w:val="00DE6361"/>
    <w:rsid w:val="00E0015C"/>
    <w:rsid w:val="00E013E8"/>
    <w:rsid w:val="00E014E7"/>
    <w:rsid w:val="00E1009B"/>
    <w:rsid w:val="00E16F2E"/>
    <w:rsid w:val="00E23C5B"/>
    <w:rsid w:val="00E318E3"/>
    <w:rsid w:val="00E35DE7"/>
    <w:rsid w:val="00E3761B"/>
    <w:rsid w:val="00E41FED"/>
    <w:rsid w:val="00E42CD4"/>
    <w:rsid w:val="00E52B1F"/>
    <w:rsid w:val="00E70840"/>
    <w:rsid w:val="00E830F0"/>
    <w:rsid w:val="00E96FA8"/>
    <w:rsid w:val="00E97570"/>
    <w:rsid w:val="00EA50DD"/>
    <w:rsid w:val="00EA7005"/>
    <w:rsid w:val="00EB1B04"/>
    <w:rsid w:val="00EC24B6"/>
    <w:rsid w:val="00EC2DE0"/>
    <w:rsid w:val="00EC72D3"/>
    <w:rsid w:val="00ED5564"/>
    <w:rsid w:val="00EE0D34"/>
    <w:rsid w:val="00EE297E"/>
    <w:rsid w:val="00EE5B09"/>
    <w:rsid w:val="00EE6B92"/>
    <w:rsid w:val="00F01CB5"/>
    <w:rsid w:val="00F02476"/>
    <w:rsid w:val="00F14F96"/>
    <w:rsid w:val="00F2357D"/>
    <w:rsid w:val="00F30BDA"/>
    <w:rsid w:val="00F312C7"/>
    <w:rsid w:val="00F51AA7"/>
    <w:rsid w:val="00F56C76"/>
    <w:rsid w:val="00F61242"/>
    <w:rsid w:val="00F63952"/>
    <w:rsid w:val="00F6733A"/>
    <w:rsid w:val="00F7230A"/>
    <w:rsid w:val="00F81727"/>
    <w:rsid w:val="00F836A5"/>
    <w:rsid w:val="00F84654"/>
    <w:rsid w:val="00F9551B"/>
    <w:rsid w:val="00F95D43"/>
    <w:rsid w:val="00FA78E0"/>
    <w:rsid w:val="00FC09D2"/>
    <w:rsid w:val="00FC18D6"/>
    <w:rsid w:val="00FC198C"/>
    <w:rsid w:val="00FC580F"/>
    <w:rsid w:val="00FD344F"/>
    <w:rsid w:val="00FD3DA1"/>
    <w:rsid w:val="00FD66D4"/>
    <w:rsid w:val="00FD76E9"/>
    <w:rsid w:val="00FE54CA"/>
    <w:rsid w:val="00FF5C41"/>
    <w:rsid w:val="00FF7B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styleId="UnresolvedMention">
    <w:name w:val="Unresolved Mention"/>
    <w:basedOn w:val="DefaultParagraphFont"/>
    <w:uiPriority w:val="99"/>
    <w:semiHidden/>
    <w:unhideWhenUsed/>
    <w:rsid w:val="00D47B71"/>
    <w:rPr>
      <w:color w:val="605E5C"/>
      <w:shd w:val="clear" w:color="auto" w:fill="E1DFDD"/>
    </w:rPr>
  </w:style>
  <w:style w:type="character" w:customStyle="1" w:styleId="APVMATextChar">
    <w:name w:val="APVMA_Text Char"/>
    <w:basedOn w:val="DefaultParagraphFont"/>
    <w:link w:val="APVMAText"/>
    <w:rsid w:val="00D022DC"/>
    <w:rPr>
      <w:rFonts w:ascii="Arial" w:hAnsi="Arial" w:cs="Arial"/>
      <w:szCs w:val="24"/>
      <w:u w:color="000000"/>
      <w:lang w:eastAsia="en-US"/>
    </w:rPr>
  </w:style>
  <w:style w:type="paragraph" w:styleId="BodyText0">
    <w:name w:val="Body Text"/>
    <w:basedOn w:val="Normal"/>
    <w:link w:val="BodyTextChar"/>
    <w:uiPriority w:val="1"/>
    <w:qFormat/>
    <w:rsid w:val="000A19DC"/>
    <w:pPr>
      <w:widowControl w:val="0"/>
      <w:autoSpaceDE w:val="0"/>
      <w:autoSpaceDN w:val="0"/>
      <w:spacing w:before="160" w:line="240" w:lineRule="auto"/>
    </w:pPr>
    <w:rPr>
      <w:rFonts w:eastAsia="Arial" w:cs="Arial"/>
      <w:szCs w:val="20"/>
      <w:lang w:val="en-US"/>
    </w:rPr>
  </w:style>
  <w:style w:type="character" w:customStyle="1" w:styleId="BodyTextChar">
    <w:name w:val="Body Text Char"/>
    <w:basedOn w:val="DefaultParagraphFont"/>
    <w:link w:val="BodyText0"/>
    <w:uiPriority w:val="1"/>
    <w:rsid w:val="000A19DC"/>
    <w:rPr>
      <w:rFonts w:ascii="Arial" w:eastAsia="Arial" w:hAnsi="Arial" w:cs="Arial"/>
      <w:lang w:val="en-US" w:eastAsia="en-US"/>
    </w:rPr>
  </w:style>
  <w:style w:type="paragraph" w:styleId="ListParagraph">
    <w:name w:val="List Paragraph"/>
    <w:basedOn w:val="Normal"/>
    <w:uiPriority w:val="1"/>
    <w:qFormat/>
    <w:rsid w:val="000A19DC"/>
    <w:pPr>
      <w:widowControl w:val="0"/>
      <w:autoSpaceDE w:val="0"/>
      <w:autoSpaceDN w:val="0"/>
      <w:spacing w:line="240" w:lineRule="auto"/>
    </w:pPr>
    <w:rPr>
      <w:rFonts w:eastAsia="Arial" w:cs="Arial"/>
      <w:sz w:val="22"/>
      <w:szCs w:val="22"/>
      <w:lang w:val="en-US"/>
    </w:rPr>
  </w:style>
  <w:style w:type="paragraph" w:customStyle="1" w:styleId="TableParagraph">
    <w:name w:val="Table Paragraph"/>
    <w:basedOn w:val="Normal"/>
    <w:uiPriority w:val="1"/>
    <w:qFormat/>
    <w:rsid w:val="000A19DC"/>
    <w:pPr>
      <w:widowControl w:val="0"/>
      <w:autoSpaceDE w:val="0"/>
      <w:autoSpaceDN w:val="0"/>
      <w:spacing w:before="64" w:line="240" w:lineRule="auto"/>
      <w:ind w:left="204"/>
    </w:pPr>
    <w:rPr>
      <w:rFonts w:eastAsia="Arial" w:cs="Arial"/>
      <w:sz w:val="22"/>
      <w:szCs w:val="22"/>
      <w:lang w:val="en-US"/>
    </w:rPr>
  </w:style>
  <w:style w:type="paragraph" w:customStyle="1" w:styleId="DefaultText">
    <w:name w:val="Default Text"/>
    <w:basedOn w:val="Normal"/>
    <w:uiPriority w:val="99"/>
    <w:rsid w:val="000A19DC"/>
    <w:pPr>
      <w:autoSpaceDE w:val="0"/>
      <w:autoSpaceDN w:val="0"/>
      <w:adjustRightInd w:val="0"/>
      <w:spacing w:line="240" w:lineRule="auto"/>
    </w:pPr>
    <w:rPr>
      <w:rFonts w:ascii="Times New Roman" w:hAnsi="Times New Roman"/>
      <w:sz w:val="24"/>
      <w:lang w:val="en-US"/>
    </w:rPr>
  </w:style>
  <w:style w:type="character" w:customStyle="1" w:styleId="Heading3Char">
    <w:name w:val="Heading 3 Char"/>
    <w:aliases w:val="APVMA_H3 Char"/>
    <w:basedOn w:val="DefaultParagraphFont"/>
    <w:link w:val="Heading3"/>
    <w:uiPriority w:val="3"/>
    <w:rsid w:val="00F14F96"/>
    <w:rPr>
      <w:rFonts w:ascii="Franklin Gothic Medium" w:hAnsi="Franklin Gothic Medium" w:cs="Arial"/>
      <w:color w:val="00747A" w:themeColor="background2"/>
      <w:sz w:val="24"/>
      <w:szCs w:val="26"/>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eader" Target="header4.xml" Id="rId26" /><Relationship Type="http://schemas.openxmlformats.org/officeDocument/2006/relationships/header" Target="header14.xml" Id="rId39" /><Relationship Type="http://schemas.openxmlformats.org/officeDocument/2006/relationships/header" Target="header3.xml" Id="rId21" /><Relationship Type="http://schemas.openxmlformats.org/officeDocument/2006/relationships/header" Target="header9.xml" Id="rId34" /><Relationship Type="http://schemas.openxmlformats.org/officeDocument/2006/relationships/header" Target="header15.xml" Id="rId42" /><Relationship Type="http://schemas.openxmlformats.org/officeDocument/2006/relationships/hyperlink" Target="https://www.tga.gov.au/publication/poisons-standard-susmp" TargetMode="External" Id="rId47" /><Relationship Type="http://schemas.openxmlformats.org/officeDocument/2006/relationships/theme" Target="theme/theme1.xml" Id="rId50" /><Relationship Type="http://schemas.openxmlformats.org/officeDocument/2006/relationships/footnotes" Target="footnotes.xml" Id="rId7" /><Relationship Type="http://schemas.openxmlformats.org/officeDocument/2006/relationships/hyperlink" Target="https://creativecommons.org/licenses/by/4.0/legalcode" TargetMode="External" Id="rId16" /><Relationship Type="http://schemas.openxmlformats.org/officeDocument/2006/relationships/image" Target="media/image5.png" Id="rId29"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header" Target="header7.xml" Id="rId32" /><Relationship Type="http://schemas.openxmlformats.org/officeDocument/2006/relationships/header" Target="header12.xml" Id="rId37" /><Relationship Type="http://schemas.openxmlformats.org/officeDocument/2006/relationships/footer" Target="footer2.xml" Id="rId40" /><Relationship Type="http://schemas.openxmlformats.org/officeDocument/2006/relationships/hyperlink" Target="https://apvma.gov.au/node/28086" TargetMode="External" Id="rId45" /><Relationship Type="http://schemas.openxmlformats.org/officeDocument/2006/relationships/settings" Target="settings.xml" Id="rId5" /><Relationship Type="http://schemas.openxmlformats.org/officeDocument/2006/relationships/hyperlink" Target="https://creativecommons.org/licenses/by/4.0/" TargetMode="External" Id="rId15" /><Relationship Type="http://schemas.openxmlformats.org/officeDocument/2006/relationships/hyperlink" Target="https://apvma.gov.au/node/72856" TargetMode="External" Id="rId23" /><Relationship Type="http://schemas.openxmlformats.org/officeDocument/2006/relationships/header" Target="header5.xml" Id="rId28" /><Relationship Type="http://schemas.openxmlformats.org/officeDocument/2006/relationships/header" Target="header11.xml" Id="rId36" /><Relationship Type="http://schemas.openxmlformats.org/officeDocument/2006/relationships/fontTable" Target="fontTable.xml" Id="rId49" /><Relationship Type="http://schemas.openxmlformats.org/officeDocument/2006/relationships/image" Target="media/image2.png" Id="rId10" /><Relationship Type="http://schemas.openxmlformats.org/officeDocument/2006/relationships/hyperlink" Target="http://www.apvma.gov.au" TargetMode="External" Id="rId19" /><Relationship Type="http://schemas.openxmlformats.org/officeDocument/2006/relationships/header" Target="header6.xml" Id="rId31" /><Relationship Type="http://schemas.openxmlformats.org/officeDocument/2006/relationships/header" Target="header17.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hyperlink" Target="https://apvma.gov.au/" TargetMode="External" Id="rId22" /><Relationship Type="http://schemas.openxmlformats.org/officeDocument/2006/relationships/hyperlink" Target="https://apvma.gov.au/" TargetMode="External" Id="rId27" /><Relationship Type="http://schemas.microsoft.com/office/2007/relationships/hdphoto" Target="media/hdphoto1.wdp" Id="rId30" /><Relationship Type="http://schemas.openxmlformats.org/officeDocument/2006/relationships/header" Target="header10.xml" Id="rId35" /><Relationship Type="http://schemas.openxmlformats.org/officeDocument/2006/relationships/header" Target="header16.xml" Id="rId43" /><Relationship Type="http://schemas.openxmlformats.org/officeDocument/2006/relationships/header" Target="header18.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honours-and-symbols/commonwealth-coat-arms" TargetMode="External" Id="rId17" /><Relationship Type="http://schemas.openxmlformats.org/officeDocument/2006/relationships/hyperlink" Target="mailto:casemanagement@apvma.gov.au" TargetMode="External" Id="rId25" /><Relationship Type="http://schemas.openxmlformats.org/officeDocument/2006/relationships/header" Target="header8.xml" Id="rId33" /><Relationship Type="http://schemas.openxmlformats.org/officeDocument/2006/relationships/header" Target="header13.xml" Id="rId38" /><Relationship Type="http://schemas.openxmlformats.org/officeDocument/2006/relationships/hyperlink" Target="https://apvma.gov.au/node/26586" TargetMode="External" Id="rId46" /><Relationship Type="http://schemas.openxmlformats.org/officeDocument/2006/relationships/header" Target="header2.xml" Id="rId20" /><Relationship Type="http://schemas.openxmlformats.org/officeDocument/2006/relationships/image" Target="media/image6.jpeg"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8682e4640e574fb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A3400982</value>
    </field>
    <field name="Objective-Title">
      <value order="0">94490 - 142575 - Accede Plant Growth Regulator - Public Release Summary</value>
    </field>
    <field name="Objective-Description">
      <value order="0"/>
    </field>
    <field name="Objective-CreationStamp">
      <value order="0">2024-11-11T22:33:56Z</value>
    </field>
    <field name="Objective-IsApproved">
      <value order="0">false</value>
    </field>
    <field name="Objective-IsPublished">
      <value order="0">false</value>
    </field>
    <field name="Objective-DatePublished">
      <value order="0"/>
    </field>
    <field name="Objective-ModificationStamp">
      <value order="0">2026-03-23T03:50:17Z</value>
    </field>
    <field name="Objective-Owner">
      <value order="0">Ken Robinson</value>
    </field>
    <field name="Objective-Path">
      <value order="0">APVMA:REGISTRATION:Registration - Product, Permit and Active Files:Product, Permit and Active Files 92500 - 94999:94490 - Accede SG Plant Growth Regulator:94490 - 142575 - Accede Plant Growth Regulator:06-Evaluation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vA5701458</value>
    </field>
    <field name="Objective-Version">
      <value order="0">0.22</value>
    </field>
    <field name="Objective-VersionNumber">
      <value order="0">22</value>
    </field>
    <field name="Objective-VersionComment">
      <value order="0"/>
    </field>
    <field name="Objective-FileNumber">
      <value order="0">qA496942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696</TotalTime>
  <Pages>42</Pages>
  <Words>10450</Words>
  <Characters>61798</Characters>
  <Application>Microsoft Office Word</Application>
  <DocSecurity>0</DocSecurity>
  <Lines>2207</Lines>
  <Paragraphs>1762</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70486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64</cp:revision>
  <cp:lastPrinted>2019-04-25T12:55:00Z</cp:lastPrinted>
  <dcterms:created xsi:type="dcterms:W3CDTF">2024-11-11T22:33:00Z</dcterms:created>
  <dcterms:modified xsi:type="dcterms:W3CDTF">2026-03-23T03:49:00Z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A3400982</vt:lpwstr>
  </property>
  <property fmtid="{D5CDD505-2E9C-101B-9397-08002B2CF9AE}" pid="4" name="Objective-Title">
    <vt:lpwstr>94490 - 142575 - Accede Plant Growth Regulator - Public Release Summary</vt:lpwstr>
  </property>
  <property fmtid="{D5CDD505-2E9C-101B-9397-08002B2CF9AE}" pid="5" name="Objective-Comment">
    <vt:lpwstr/>
  </property>
  <property fmtid="{D5CDD505-2E9C-101B-9397-08002B2CF9AE}" pid="6" name="Objective-CreationStamp">
    <vt:filetime>2024-11-11T22:33:56Z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2026-03-23T03:50:17Z</vt:filetime>
  </property>
  <property fmtid="{D5CDD505-2E9C-101B-9397-08002B2CF9AE}" pid="11" name="Objective-Owner">
    <vt:lpwstr>Ken Robinson</vt:lpwstr>
  </property>
  <property fmtid="{D5CDD505-2E9C-101B-9397-08002B2CF9AE}" pid="12" name="Objective-Path">
    <vt:lpwstr>APVMA:REGISTRATION:Registration - Product, Permit and Active Files:Product, Permit and Active Files 92500 - 94999:94490 - Accede SG Plant Growth Regulator:94490 - 142575 - Accede Plant Growth Regulator:06-Evaluation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0.22</vt:lpwstr>
  </property>
  <property fmtid="{D5CDD505-2E9C-101B-9397-08002B2CF9AE}" pid="16" name="Objective-VersionNumber">
    <vt:r8>22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vA5701458</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