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1859" w14:textId="77777777" w:rsidR="002F4591" w:rsidRDefault="002F4591" w:rsidP="009D0723">
      <w:pPr>
        <w:pStyle w:val="APVMACoverTitle"/>
        <w:spacing w:before="1440"/>
        <w:jc w:val="center"/>
      </w:pPr>
      <w:bookmarkStart w:id="0" w:name="_Toc168724484"/>
      <w:r w:rsidRPr="005D1A47">
        <w:rPr>
          <w:noProof/>
        </w:rPr>
        <w:drawing>
          <wp:inline distT="0" distB="0" distL="0" distR="0" wp14:anchorId="5C6E37C0" wp14:editId="360B6EBE">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3C093523">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r>
        <w:t xml:space="preserve">Public </w:t>
      </w:r>
      <w:r w:rsidR="006A7B67">
        <w:t>Release S</w:t>
      </w:r>
      <w:r>
        <w:t>ummary</w:t>
      </w:r>
    </w:p>
    <w:p w14:paraId="4798F63F" w14:textId="58E574C5" w:rsidR="003C0891" w:rsidRDefault="007F6D92" w:rsidP="00193533">
      <w:pPr>
        <w:pStyle w:val="APVMACoverSubtitle"/>
        <w:jc w:val="center"/>
      </w:pPr>
      <w:r>
        <w:t>o</w:t>
      </w:r>
      <w:r w:rsidR="006D36C8">
        <w:t>n</w:t>
      </w:r>
      <w:r w:rsidR="002F5D1B">
        <w:t xml:space="preserve"> the evaluation of the new</w:t>
      </w:r>
      <w:r w:rsidR="006D36C8">
        <w:t xml:space="preserve"> </w:t>
      </w:r>
      <w:r w:rsidR="00424637">
        <w:t xml:space="preserve">active </w:t>
      </w:r>
      <w:bookmarkStart w:id="1" w:name="_Hlk212722054"/>
      <w:r w:rsidR="002E003D" w:rsidRPr="002E003D">
        <w:t>(</w:t>
      </w:r>
      <w:r w:rsidR="002E003D" w:rsidRPr="00B51E46">
        <w:rPr>
          <w:i/>
          <w:iCs/>
        </w:rPr>
        <w:t>Z,E</w:t>
      </w:r>
      <w:r w:rsidR="002E003D" w:rsidRPr="002E003D">
        <w:t>)-7,9,11-dodecatrienyl formate</w:t>
      </w:r>
      <w:r w:rsidR="006D36C8">
        <w:t xml:space="preserve"> </w:t>
      </w:r>
      <w:bookmarkEnd w:id="1"/>
      <w:r w:rsidR="006D36C8">
        <w:t xml:space="preserve">in the product </w:t>
      </w:r>
      <w:r w:rsidR="00E75559">
        <w:t>Semios Carob Moth Aerosol Pheromone</w:t>
      </w:r>
    </w:p>
    <w:p w14:paraId="522BA979" w14:textId="2CB337BC" w:rsidR="006D36C8" w:rsidRDefault="006D36C8" w:rsidP="00193533">
      <w:pPr>
        <w:pStyle w:val="APVMACoverSubtitle"/>
        <w:jc w:val="center"/>
      </w:pPr>
      <w:r>
        <w:t xml:space="preserve">APVMA product number </w:t>
      </w:r>
      <w:r w:rsidR="00E74265" w:rsidRPr="00E74265">
        <w:t>93848</w:t>
      </w:r>
    </w:p>
    <w:p w14:paraId="69337BD1" w14:textId="19B2B798" w:rsidR="00193533" w:rsidRPr="00E41FED" w:rsidRDefault="00BB65FC" w:rsidP="007F6D92">
      <w:pPr>
        <w:pStyle w:val="APVMACoverSubtitle"/>
        <w:jc w:val="center"/>
        <w:sectPr w:rsidR="00193533" w:rsidRPr="00E41FED" w:rsidSect="008C5C0D">
          <w:headerReference w:type="first" r:id="rId11"/>
          <w:footerReference w:type="first" r:id="rId12"/>
          <w:pgSz w:w="11906" w:h="16838" w:code="9"/>
          <w:pgMar w:top="2127" w:right="1134" w:bottom="1134" w:left="1134" w:header="1701" w:footer="450" w:gutter="0"/>
          <w:pgNumType w:fmt="lowerRoman"/>
          <w:cols w:space="708"/>
          <w:docGrid w:linePitch="360"/>
        </w:sectPr>
      </w:pPr>
      <w:r>
        <w:t>February</w:t>
      </w:r>
      <w:r w:rsidR="00AA7964">
        <w:t xml:space="preserve"> 2026</w:t>
      </w:r>
    </w:p>
    <w:p w14:paraId="7721F955" w14:textId="1B15F4AC" w:rsidR="00862E63" w:rsidRPr="005C0ACC" w:rsidRDefault="00862E63" w:rsidP="00CA5B2B">
      <w:pPr>
        <w:pStyle w:val="Copyrightpage"/>
      </w:pPr>
      <w:r w:rsidRPr="005C0ACC">
        <w:lastRenderedPageBreak/>
        <w:t xml:space="preserve">© Australian Pesticides and Veterinary Medicines Authority </w:t>
      </w:r>
      <w:r w:rsidR="00E74265" w:rsidRPr="003D1D4A">
        <w:t>202</w:t>
      </w:r>
      <w:r w:rsidR="006F79EF" w:rsidRPr="003D1D4A">
        <w:t>6</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5" w:history="1">
        <w:r w:rsidRPr="008545E1">
          <w:rPr>
            <w:rStyle w:val="Hyperlink"/>
          </w:rPr>
          <w:t>summary of the licence terms</w:t>
        </w:r>
      </w:hyperlink>
      <w:r>
        <w:t xml:space="preserve"> and </w:t>
      </w:r>
      <w:hyperlink r:id="rId16" w:history="1">
        <w:r w:rsidRPr="008545E1">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77777777"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 xml:space="preserve">.0 Australia Licence. </w:t>
      </w:r>
    </w:p>
    <w:p w14:paraId="326BD5E0" w14:textId="77777777" w:rsidR="008366A3" w:rsidRPr="005C0ACC" w:rsidRDefault="008366A3" w:rsidP="00CA5B2B">
      <w:pPr>
        <w:pStyle w:val="Copyrightpage"/>
      </w:pPr>
      <w:r w:rsidRPr="005C0ACC">
        <w:t>In referencing this document the Australian Pesticides and Veterinary Medicines Authority should be cited as the author, publisher and copyright owner.</w:t>
      </w:r>
    </w:p>
    <w:p w14:paraId="03B89D16" w14:textId="77777777" w:rsidR="00862E63" w:rsidRPr="005C0ACC" w:rsidRDefault="00862E63" w:rsidP="00CA5B2B">
      <w:pPr>
        <w:pStyle w:val="Copyrightpage"/>
        <w:rPr>
          <w:b/>
          <w:bCs/>
        </w:rPr>
      </w:pPr>
      <w:r w:rsidRPr="005C0ACC">
        <w:rPr>
          <w:b/>
          <w:bCs/>
        </w:rPr>
        <w:t>Use of the Coat of Arms</w:t>
      </w:r>
    </w:p>
    <w:p w14:paraId="5C6EFDD4" w14:textId="46CE5E68" w:rsidR="001F5D05" w:rsidRDefault="001F5D05" w:rsidP="00CA5B2B">
      <w:pPr>
        <w:pStyle w:val="Copyrightpage"/>
      </w:pPr>
      <w:r w:rsidRPr="005C0ACC">
        <w:t xml:space="preserve">The terms under which the Coat of Arms can be used are set out on the </w:t>
      </w:r>
      <w:hyperlink r:id="rId17" w:history="1">
        <w:r w:rsidRPr="008545E1">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77777777" w:rsidR="00862E63" w:rsidRPr="009A7614" w:rsidRDefault="00862E63" w:rsidP="00CA5B2B">
      <w:pPr>
        <w:pStyle w:val="Copyrightpage"/>
      </w:pPr>
      <w:r w:rsidRPr="005C0ACC">
        <w:t>The material in or linking from this report may contain the views or recommendations of third parties. Third party material does not necessarily reflect the views of the APVMA, or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36AD497A" w:rsidR="00862E63" w:rsidRPr="005C0ACC" w:rsidRDefault="00AA68EC" w:rsidP="00CA5B2B">
      <w:pPr>
        <w:pStyle w:val="Copyrightpage"/>
      </w:pPr>
      <w:r>
        <w:t>Assistant Director, Communications</w:t>
      </w:r>
      <w:r w:rsidR="00CA5B2B">
        <w:br/>
      </w:r>
      <w:r w:rsidR="00862E63" w:rsidRPr="005C0ACC">
        <w:t>Australian Pesticides and Veterinary Medicines Authority</w:t>
      </w:r>
      <w:r w:rsidR="00CA5B2B">
        <w:br/>
      </w:r>
      <w:r w:rsidR="003D1D4A" w:rsidRPr="003D1D4A">
        <w:t>GPO Box 574</w:t>
      </w:r>
      <w:r w:rsidR="003D1D4A">
        <w:br/>
      </w:r>
      <w:r w:rsidR="003D1D4A" w:rsidRPr="003D1D4A">
        <w:t>Canberra ACT 2601, Australia</w:t>
      </w:r>
    </w:p>
    <w:p w14:paraId="3BFC4D2F" w14:textId="667337CF" w:rsidR="00862E63" w:rsidRPr="005C0ACC" w:rsidRDefault="006110AE" w:rsidP="00CA5B2B">
      <w:pPr>
        <w:pStyle w:val="Copyrightpage"/>
        <w:rPr>
          <w:color w:val="0000FF"/>
          <w:u w:val="single"/>
        </w:rPr>
      </w:pPr>
      <w:r>
        <w:t xml:space="preserve">Telephone: +61 2 </w:t>
      </w:r>
      <w:r w:rsidR="001F5D05">
        <w:t>6770 2300</w:t>
      </w:r>
      <w:r w:rsidR="003D1D4A">
        <w:br/>
      </w:r>
      <w:r w:rsidR="00862E63" w:rsidRPr="005C0ACC">
        <w:t xml:space="preserve">Email: </w:t>
      </w:r>
      <w:hyperlink r:id="rId18" w:history="1">
        <w:r w:rsidR="00862E63" w:rsidRPr="005C0ACC">
          <w:rPr>
            <w:color w:val="0000FF"/>
            <w:u w:val="single"/>
          </w:rPr>
          <w:t>communications@apvma.gov.au</w:t>
        </w:r>
      </w:hyperlink>
      <w:r w:rsidR="00862E63">
        <w:rPr>
          <w:color w:val="0000FF"/>
          <w:u w:val="single"/>
        </w:rPr>
        <w:t>.</w:t>
      </w:r>
    </w:p>
    <w:p w14:paraId="358F530D" w14:textId="48F05AB2" w:rsidR="002E20AC" w:rsidRPr="007F6D92" w:rsidRDefault="00862E63" w:rsidP="00CA5B2B">
      <w:pPr>
        <w:pStyle w:val="Copyrightpage"/>
        <w:sectPr w:rsidR="002E20AC" w:rsidRPr="007F6D92" w:rsidSect="008C5C0D">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19" w:history="1">
        <w:r w:rsidR="00AA68EC" w:rsidRPr="00AA68EC">
          <w:rPr>
            <w:rStyle w:val="Hyperlink"/>
          </w:rPr>
          <w:t>APVMA website</w:t>
        </w:r>
      </w:hyperlink>
      <w:r w:rsidRPr="005C0ACC">
        <w:t>.</w:t>
      </w:r>
      <w:bookmarkEnd w:id="0"/>
    </w:p>
    <w:p w14:paraId="5671F7D5" w14:textId="77777777" w:rsidR="000D124E" w:rsidRDefault="002E20AC" w:rsidP="00CA5B2B">
      <w:pPr>
        <w:pStyle w:val="ToCH1"/>
        <w:rPr>
          <w:rFonts w:ascii="Trebuchet MS" w:hAnsi="Trebuchet MS"/>
          <w:caps/>
          <w:noProof/>
          <w:sz w:val="19"/>
          <w:szCs w:val="30"/>
        </w:rPr>
      </w:pPr>
      <w:r>
        <w:lastRenderedPageBreak/>
        <w:t>Contents</w:t>
      </w:r>
    </w:p>
    <w:p w14:paraId="011A58C6" w14:textId="610CEC65" w:rsidR="00AC131B" w:rsidRDefault="000D124E">
      <w:pPr>
        <w:pStyle w:val="TOC1"/>
        <w:rPr>
          <w:rFonts w:asciiTheme="minorHAnsi" w:eastAsiaTheme="minorEastAsia" w:hAnsiTheme="minorHAnsi" w:cstheme="minorBidi"/>
          <w:bCs w:val="0"/>
          <w:color w:val="auto"/>
          <w:kern w:val="2"/>
          <w:sz w:val="24"/>
          <w:szCs w:val="24"/>
          <w:lang w:eastAsia="en-AU"/>
          <w14:ligatures w14:val="standardContextual"/>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221272389" w:history="1">
        <w:r w:rsidR="00AC131B" w:rsidRPr="00B5261F">
          <w:rPr>
            <w:rStyle w:val="Hyperlink"/>
          </w:rPr>
          <w:t>Preface</w:t>
        </w:r>
        <w:r w:rsidR="00AC131B">
          <w:rPr>
            <w:webHidden/>
          </w:rPr>
          <w:tab/>
        </w:r>
        <w:r w:rsidR="00AC131B">
          <w:rPr>
            <w:webHidden/>
          </w:rPr>
          <w:fldChar w:fldCharType="begin"/>
        </w:r>
        <w:r w:rsidR="00AC131B">
          <w:rPr>
            <w:webHidden/>
          </w:rPr>
          <w:instrText xml:space="preserve"> PAGEREF _Toc221272389 \h </w:instrText>
        </w:r>
        <w:r w:rsidR="00AC131B">
          <w:rPr>
            <w:webHidden/>
          </w:rPr>
        </w:r>
        <w:r w:rsidR="00AC131B">
          <w:rPr>
            <w:webHidden/>
          </w:rPr>
          <w:fldChar w:fldCharType="separate"/>
        </w:r>
        <w:r w:rsidR="00AC131B">
          <w:rPr>
            <w:webHidden/>
          </w:rPr>
          <w:t>1</w:t>
        </w:r>
        <w:r w:rsidR="00AC131B">
          <w:rPr>
            <w:webHidden/>
          </w:rPr>
          <w:fldChar w:fldCharType="end"/>
        </w:r>
      </w:hyperlink>
    </w:p>
    <w:p w14:paraId="6ACC53E2" w14:textId="6D9C24FF"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390" w:history="1">
        <w:r w:rsidRPr="00B5261F">
          <w:rPr>
            <w:rStyle w:val="Hyperlink"/>
          </w:rPr>
          <w:t>About this document</w:t>
        </w:r>
        <w:r>
          <w:rPr>
            <w:webHidden/>
          </w:rPr>
          <w:tab/>
        </w:r>
        <w:r>
          <w:rPr>
            <w:webHidden/>
          </w:rPr>
          <w:fldChar w:fldCharType="begin"/>
        </w:r>
        <w:r>
          <w:rPr>
            <w:webHidden/>
          </w:rPr>
          <w:instrText xml:space="preserve"> PAGEREF _Toc221272390 \h </w:instrText>
        </w:r>
        <w:r>
          <w:rPr>
            <w:webHidden/>
          </w:rPr>
        </w:r>
        <w:r>
          <w:rPr>
            <w:webHidden/>
          </w:rPr>
          <w:fldChar w:fldCharType="separate"/>
        </w:r>
        <w:r>
          <w:rPr>
            <w:webHidden/>
          </w:rPr>
          <w:t>1</w:t>
        </w:r>
        <w:r>
          <w:rPr>
            <w:webHidden/>
          </w:rPr>
          <w:fldChar w:fldCharType="end"/>
        </w:r>
      </w:hyperlink>
    </w:p>
    <w:p w14:paraId="3BBAE888" w14:textId="489ECFC9"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391" w:history="1">
        <w:r w:rsidRPr="00B5261F">
          <w:rPr>
            <w:rStyle w:val="Hyperlink"/>
          </w:rPr>
          <w:t>Making a submission</w:t>
        </w:r>
        <w:r>
          <w:rPr>
            <w:webHidden/>
          </w:rPr>
          <w:tab/>
        </w:r>
        <w:r>
          <w:rPr>
            <w:webHidden/>
          </w:rPr>
          <w:fldChar w:fldCharType="begin"/>
        </w:r>
        <w:r>
          <w:rPr>
            <w:webHidden/>
          </w:rPr>
          <w:instrText xml:space="preserve"> PAGEREF _Toc221272391 \h </w:instrText>
        </w:r>
        <w:r>
          <w:rPr>
            <w:webHidden/>
          </w:rPr>
        </w:r>
        <w:r>
          <w:rPr>
            <w:webHidden/>
          </w:rPr>
          <w:fldChar w:fldCharType="separate"/>
        </w:r>
        <w:r>
          <w:rPr>
            <w:webHidden/>
          </w:rPr>
          <w:t>1</w:t>
        </w:r>
        <w:r>
          <w:rPr>
            <w:webHidden/>
          </w:rPr>
          <w:fldChar w:fldCharType="end"/>
        </w:r>
      </w:hyperlink>
    </w:p>
    <w:p w14:paraId="0C779049" w14:textId="10F1F384"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392" w:history="1">
        <w:r w:rsidRPr="00B5261F">
          <w:rPr>
            <w:rStyle w:val="Hyperlink"/>
          </w:rPr>
          <w:t>Further information</w:t>
        </w:r>
        <w:r>
          <w:rPr>
            <w:webHidden/>
          </w:rPr>
          <w:tab/>
        </w:r>
        <w:r>
          <w:rPr>
            <w:webHidden/>
          </w:rPr>
          <w:fldChar w:fldCharType="begin"/>
        </w:r>
        <w:r>
          <w:rPr>
            <w:webHidden/>
          </w:rPr>
          <w:instrText xml:space="preserve"> PAGEREF _Toc221272392 \h </w:instrText>
        </w:r>
        <w:r>
          <w:rPr>
            <w:webHidden/>
          </w:rPr>
        </w:r>
        <w:r>
          <w:rPr>
            <w:webHidden/>
          </w:rPr>
          <w:fldChar w:fldCharType="separate"/>
        </w:r>
        <w:r>
          <w:rPr>
            <w:webHidden/>
          </w:rPr>
          <w:t>3</w:t>
        </w:r>
        <w:r>
          <w:rPr>
            <w:webHidden/>
          </w:rPr>
          <w:fldChar w:fldCharType="end"/>
        </w:r>
      </w:hyperlink>
    </w:p>
    <w:p w14:paraId="61E7030E" w14:textId="064B07F4" w:rsidR="00AC131B" w:rsidRDefault="00AC131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72393" w:history="1">
        <w:r w:rsidRPr="00B5261F">
          <w:rPr>
            <w:rStyle w:val="Hyperlink"/>
          </w:rPr>
          <w:t>Introduction</w:t>
        </w:r>
        <w:r>
          <w:rPr>
            <w:webHidden/>
          </w:rPr>
          <w:tab/>
        </w:r>
        <w:r>
          <w:rPr>
            <w:webHidden/>
          </w:rPr>
          <w:fldChar w:fldCharType="begin"/>
        </w:r>
        <w:r>
          <w:rPr>
            <w:webHidden/>
          </w:rPr>
          <w:instrText xml:space="preserve"> PAGEREF _Toc221272393 \h </w:instrText>
        </w:r>
        <w:r>
          <w:rPr>
            <w:webHidden/>
          </w:rPr>
        </w:r>
        <w:r>
          <w:rPr>
            <w:webHidden/>
          </w:rPr>
          <w:fldChar w:fldCharType="separate"/>
        </w:r>
        <w:r>
          <w:rPr>
            <w:webHidden/>
          </w:rPr>
          <w:t>4</w:t>
        </w:r>
        <w:r>
          <w:rPr>
            <w:webHidden/>
          </w:rPr>
          <w:fldChar w:fldCharType="end"/>
        </w:r>
      </w:hyperlink>
    </w:p>
    <w:p w14:paraId="766D1550" w14:textId="583CB96D"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394" w:history="1">
        <w:r w:rsidRPr="00B5261F">
          <w:rPr>
            <w:rStyle w:val="Hyperlink"/>
          </w:rPr>
          <w:t>Applicant</w:t>
        </w:r>
        <w:r>
          <w:rPr>
            <w:webHidden/>
          </w:rPr>
          <w:tab/>
        </w:r>
        <w:r>
          <w:rPr>
            <w:webHidden/>
          </w:rPr>
          <w:fldChar w:fldCharType="begin"/>
        </w:r>
        <w:r>
          <w:rPr>
            <w:webHidden/>
          </w:rPr>
          <w:instrText xml:space="preserve"> PAGEREF _Toc221272394 \h </w:instrText>
        </w:r>
        <w:r>
          <w:rPr>
            <w:webHidden/>
          </w:rPr>
        </w:r>
        <w:r>
          <w:rPr>
            <w:webHidden/>
          </w:rPr>
          <w:fldChar w:fldCharType="separate"/>
        </w:r>
        <w:r>
          <w:rPr>
            <w:webHidden/>
          </w:rPr>
          <w:t>4</w:t>
        </w:r>
        <w:r>
          <w:rPr>
            <w:webHidden/>
          </w:rPr>
          <w:fldChar w:fldCharType="end"/>
        </w:r>
      </w:hyperlink>
    </w:p>
    <w:p w14:paraId="51D7871C" w14:textId="6DC5C4EB"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395" w:history="1">
        <w:r w:rsidRPr="00B5261F">
          <w:rPr>
            <w:rStyle w:val="Hyperlink"/>
          </w:rPr>
          <w:t>Purpose of application</w:t>
        </w:r>
        <w:r>
          <w:rPr>
            <w:webHidden/>
          </w:rPr>
          <w:tab/>
        </w:r>
        <w:r>
          <w:rPr>
            <w:webHidden/>
          </w:rPr>
          <w:fldChar w:fldCharType="begin"/>
        </w:r>
        <w:r>
          <w:rPr>
            <w:webHidden/>
          </w:rPr>
          <w:instrText xml:space="preserve"> PAGEREF _Toc221272395 \h </w:instrText>
        </w:r>
        <w:r>
          <w:rPr>
            <w:webHidden/>
          </w:rPr>
        </w:r>
        <w:r>
          <w:rPr>
            <w:webHidden/>
          </w:rPr>
          <w:fldChar w:fldCharType="separate"/>
        </w:r>
        <w:r>
          <w:rPr>
            <w:webHidden/>
          </w:rPr>
          <w:t>4</w:t>
        </w:r>
        <w:r>
          <w:rPr>
            <w:webHidden/>
          </w:rPr>
          <w:fldChar w:fldCharType="end"/>
        </w:r>
      </w:hyperlink>
    </w:p>
    <w:p w14:paraId="5467307C" w14:textId="0CE390BE"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396" w:history="1">
        <w:r w:rsidRPr="00B5261F">
          <w:rPr>
            <w:rStyle w:val="Hyperlink"/>
          </w:rPr>
          <w:t>Proposed claims and use pattern</w:t>
        </w:r>
        <w:r>
          <w:rPr>
            <w:webHidden/>
          </w:rPr>
          <w:tab/>
        </w:r>
        <w:r>
          <w:rPr>
            <w:webHidden/>
          </w:rPr>
          <w:fldChar w:fldCharType="begin"/>
        </w:r>
        <w:r>
          <w:rPr>
            <w:webHidden/>
          </w:rPr>
          <w:instrText xml:space="preserve"> PAGEREF _Toc221272396 \h </w:instrText>
        </w:r>
        <w:r>
          <w:rPr>
            <w:webHidden/>
          </w:rPr>
        </w:r>
        <w:r>
          <w:rPr>
            <w:webHidden/>
          </w:rPr>
          <w:fldChar w:fldCharType="separate"/>
        </w:r>
        <w:r>
          <w:rPr>
            <w:webHidden/>
          </w:rPr>
          <w:t>4</w:t>
        </w:r>
        <w:r>
          <w:rPr>
            <w:webHidden/>
          </w:rPr>
          <w:fldChar w:fldCharType="end"/>
        </w:r>
      </w:hyperlink>
    </w:p>
    <w:p w14:paraId="15BBF3CB" w14:textId="274B18A5"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397" w:history="1">
        <w:r w:rsidRPr="00B5261F">
          <w:rPr>
            <w:rStyle w:val="Hyperlink"/>
          </w:rPr>
          <w:t>Mode of action</w:t>
        </w:r>
        <w:r>
          <w:rPr>
            <w:webHidden/>
          </w:rPr>
          <w:tab/>
        </w:r>
        <w:r>
          <w:rPr>
            <w:webHidden/>
          </w:rPr>
          <w:fldChar w:fldCharType="begin"/>
        </w:r>
        <w:r>
          <w:rPr>
            <w:webHidden/>
          </w:rPr>
          <w:instrText xml:space="preserve"> PAGEREF _Toc221272397 \h </w:instrText>
        </w:r>
        <w:r>
          <w:rPr>
            <w:webHidden/>
          </w:rPr>
        </w:r>
        <w:r>
          <w:rPr>
            <w:webHidden/>
          </w:rPr>
          <w:fldChar w:fldCharType="separate"/>
        </w:r>
        <w:r>
          <w:rPr>
            <w:webHidden/>
          </w:rPr>
          <w:t>4</w:t>
        </w:r>
        <w:r>
          <w:rPr>
            <w:webHidden/>
          </w:rPr>
          <w:fldChar w:fldCharType="end"/>
        </w:r>
      </w:hyperlink>
    </w:p>
    <w:p w14:paraId="6684780E" w14:textId="3CFAF8B8"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398" w:history="1">
        <w:r w:rsidRPr="00B5261F">
          <w:rPr>
            <w:rStyle w:val="Hyperlink"/>
          </w:rPr>
          <w:t>Overseas registrations</w:t>
        </w:r>
        <w:r>
          <w:rPr>
            <w:webHidden/>
          </w:rPr>
          <w:tab/>
        </w:r>
        <w:r>
          <w:rPr>
            <w:webHidden/>
          </w:rPr>
          <w:fldChar w:fldCharType="begin"/>
        </w:r>
        <w:r>
          <w:rPr>
            <w:webHidden/>
          </w:rPr>
          <w:instrText xml:space="preserve"> PAGEREF _Toc221272398 \h </w:instrText>
        </w:r>
        <w:r>
          <w:rPr>
            <w:webHidden/>
          </w:rPr>
        </w:r>
        <w:r>
          <w:rPr>
            <w:webHidden/>
          </w:rPr>
          <w:fldChar w:fldCharType="separate"/>
        </w:r>
        <w:r>
          <w:rPr>
            <w:webHidden/>
          </w:rPr>
          <w:t>4</w:t>
        </w:r>
        <w:r>
          <w:rPr>
            <w:webHidden/>
          </w:rPr>
          <w:fldChar w:fldCharType="end"/>
        </w:r>
      </w:hyperlink>
    </w:p>
    <w:p w14:paraId="02FE8B9A" w14:textId="29B2AE61" w:rsidR="00AC131B" w:rsidRDefault="00AC131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72399" w:history="1">
        <w:r w:rsidRPr="00B5261F">
          <w:rPr>
            <w:rStyle w:val="Hyperlink"/>
          </w:rPr>
          <w:t>Chemistry and manufacture</w:t>
        </w:r>
        <w:r>
          <w:rPr>
            <w:webHidden/>
          </w:rPr>
          <w:tab/>
        </w:r>
        <w:r>
          <w:rPr>
            <w:webHidden/>
          </w:rPr>
          <w:fldChar w:fldCharType="begin"/>
        </w:r>
        <w:r>
          <w:rPr>
            <w:webHidden/>
          </w:rPr>
          <w:instrText xml:space="preserve"> PAGEREF _Toc221272399 \h </w:instrText>
        </w:r>
        <w:r>
          <w:rPr>
            <w:webHidden/>
          </w:rPr>
        </w:r>
        <w:r>
          <w:rPr>
            <w:webHidden/>
          </w:rPr>
          <w:fldChar w:fldCharType="separate"/>
        </w:r>
        <w:r>
          <w:rPr>
            <w:webHidden/>
          </w:rPr>
          <w:t>5</w:t>
        </w:r>
        <w:r>
          <w:rPr>
            <w:webHidden/>
          </w:rPr>
          <w:fldChar w:fldCharType="end"/>
        </w:r>
      </w:hyperlink>
    </w:p>
    <w:p w14:paraId="7A3E569A" w14:textId="7BE8FA4B"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00" w:history="1">
        <w:r w:rsidRPr="00B5261F">
          <w:rPr>
            <w:rStyle w:val="Hyperlink"/>
          </w:rPr>
          <w:t>Active constituent</w:t>
        </w:r>
        <w:r>
          <w:rPr>
            <w:webHidden/>
          </w:rPr>
          <w:tab/>
        </w:r>
        <w:r>
          <w:rPr>
            <w:webHidden/>
          </w:rPr>
          <w:fldChar w:fldCharType="begin"/>
        </w:r>
        <w:r>
          <w:rPr>
            <w:webHidden/>
          </w:rPr>
          <w:instrText xml:space="preserve"> PAGEREF _Toc221272400 \h </w:instrText>
        </w:r>
        <w:r>
          <w:rPr>
            <w:webHidden/>
          </w:rPr>
        </w:r>
        <w:r>
          <w:rPr>
            <w:webHidden/>
          </w:rPr>
          <w:fldChar w:fldCharType="separate"/>
        </w:r>
        <w:r>
          <w:rPr>
            <w:webHidden/>
          </w:rPr>
          <w:t>5</w:t>
        </w:r>
        <w:r>
          <w:rPr>
            <w:webHidden/>
          </w:rPr>
          <w:fldChar w:fldCharType="end"/>
        </w:r>
      </w:hyperlink>
    </w:p>
    <w:p w14:paraId="448D52F9" w14:textId="5D41B778"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01" w:history="1">
        <w:r w:rsidRPr="00B5261F">
          <w:rPr>
            <w:rStyle w:val="Hyperlink"/>
          </w:rPr>
          <w:t>Formulated product</w:t>
        </w:r>
        <w:r>
          <w:rPr>
            <w:webHidden/>
          </w:rPr>
          <w:tab/>
        </w:r>
        <w:r>
          <w:rPr>
            <w:webHidden/>
          </w:rPr>
          <w:fldChar w:fldCharType="begin"/>
        </w:r>
        <w:r>
          <w:rPr>
            <w:webHidden/>
          </w:rPr>
          <w:instrText xml:space="preserve"> PAGEREF _Toc221272401 \h </w:instrText>
        </w:r>
        <w:r>
          <w:rPr>
            <w:webHidden/>
          </w:rPr>
        </w:r>
        <w:r>
          <w:rPr>
            <w:webHidden/>
          </w:rPr>
          <w:fldChar w:fldCharType="separate"/>
        </w:r>
        <w:r>
          <w:rPr>
            <w:webHidden/>
          </w:rPr>
          <w:t>6</w:t>
        </w:r>
        <w:r>
          <w:rPr>
            <w:webHidden/>
          </w:rPr>
          <w:fldChar w:fldCharType="end"/>
        </w:r>
      </w:hyperlink>
    </w:p>
    <w:p w14:paraId="7CB50321" w14:textId="525FB8EE"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02" w:history="1">
        <w:r w:rsidRPr="00B5261F">
          <w:rPr>
            <w:rStyle w:val="Hyperlink"/>
          </w:rPr>
          <w:t>Recommendations</w:t>
        </w:r>
        <w:r>
          <w:rPr>
            <w:webHidden/>
          </w:rPr>
          <w:tab/>
        </w:r>
        <w:r>
          <w:rPr>
            <w:webHidden/>
          </w:rPr>
          <w:fldChar w:fldCharType="begin"/>
        </w:r>
        <w:r>
          <w:rPr>
            <w:webHidden/>
          </w:rPr>
          <w:instrText xml:space="preserve"> PAGEREF _Toc221272402 \h </w:instrText>
        </w:r>
        <w:r>
          <w:rPr>
            <w:webHidden/>
          </w:rPr>
        </w:r>
        <w:r>
          <w:rPr>
            <w:webHidden/>
          </w:rPr>
          <w:fldChar w:fldCharType="separate"/>
        </w:r>
        <w:r>
          <w:rPr>
            <w:webHidden/>
          </w:rPr>
          <w:t>7</w:t>
        </w:r>
        <w:r>
          <w:rPr>
            <w:webHidden/>
          </w:rPr>
          <w:fldChar w:fldCharType="end"/>
        </w:r>
      </w:hyperlink>
    </w:p>
    <w:p w14:paraId="4745FFAD" w14:textId="508ED94A" w:rsidR="00AC131B" w:rsidRDefault="00AC131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72403" w:history="1">
        <w:r w:rsidRPr="00B5261F">
          <w:rPr>
            <w:rStyle w:val="Hyperlink"/>
          </w:rPr>
          <w:t>Toxicological assessment</w:t>
        </w:r>
        <w:r>
          <w:rPr>
            <w:webHidden/>
          </w:rPr>
          <w:tab/>
        </w:r>
        <w:r>
          <w:rPr>
            <w:webHidden/>
          </w:rPr>
          <w:fldChar w:fldCharType="begin"/>
        </w:r>
        <w:r>
          <w:rPr>
            <w:webHidden/>
          </w:rPr>
          <w:instrText xml:space="preserve"> PAGEREF _Toc221272403 \h </w:instrText>
        </w:r>
        <w:r>
          <w:rPr>
            <w:webHidden/>
          </w:rPr>
        </w:r>
        <w:r>
          <w:rPr>
            <w:webHidden/>
          </w:rPr>
          <w:fldChar w:fldCharType="separate"/>
        </w:r>
        <w:r>
          <w:rPr>
            <w:webHidden/>
          </w:rPr>
          <w:t>8</w:t>
        </w:r>
        <w:r>
          <w:rPr>
            <w:webHidden/>
          </w:rPr>
          <w:fldChar w:fldCharType="end"/>
        </w:r>
      </w:hyperlink>
    </w:p>
    <w:p w14:paraId="636E5EE5" w14:textId="1E36F79D"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04" w:history="1">
        <w:r w:rsidRPr="00B5261F">
          <w:rPr>
            <w:rStyle w:val="Hyperlink"/>
          </w:rPr>
          <w:t>Evaluation of toxicology</w:t>
        </w:r>
        <w:r>
          <w:rPr>
            <w:webHidden/>
          </w:rPr>
          <w:tab/>
        </w:r>
        <w:r>
          <w:rPr>
            <w:webHidden/>
          </w:rPr>
          <w:fldChar w:fldCharType="begin"/>
        </w:r>
        <w:r>
          <w:rPr>
            <w:webHidden/>
          </w:rPr>
          <w:instrText xml:space="preserve"> PAGEREF _Toc221272404 \h </w:instrText>
        </w:r>
        <w:r>
          <w:rPr>
            <w:webHidden/>
          </w:rPr>
        </w:r>
        <w:r>
          <w:rPr>
            <w:webHidden/>
          </w:rPr>
          <w:fldChar w:fldCharType="separate"/>
        </w:r>
        <w:r>
          <w:rPr>
            <w:webHidden/>
          </w:rPr>
          <w:t>8</w:t>
        </w:r>
        <w:r>
          <w:rPr>
            <w:webHidden/>
          </w:rPr>
          <w:fldChar w:fldCharType="end"/>
        </w:r>
      </w:hyperlink>
    </w:p>
    <w:p w14:paraId="1C3B693C" w14:textId="70F4F6E7"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05" w:history="1">
        <w:r w:rsidRPr="00B5261F">
          <w:rPr>
            <w:rStyle w:val="Hyperlink"/>
          </w:rPr>
          <w:t>Health-based guidance values and poisons scheduling</w:t>
        </w:r>
        <w:r>
          <w:rPr>
            <w:webHidden/>
          </w:rPr>
          <w:tab/>
        </w:r>
        <w:r>
          <w:rPr>
            <w:webHidden/>
          </w:rPr>
          <w:fldChar w:fldCharType="begin"/>
        </w:r>
        <w:r>
          <w:rPr>
            <w:webHidden/>
          </w:rPr>
          <w:instrText xml:space="preserve"> PAGEREF _Toc221272405 \h </w:instrText>
        </w:r>
        <w:r>
          <w:rPr>
            <w:webHidden/>
          </w:rPr>
        </w:r>
        <w:r>
          <w:rPr>
            <w:webHidden/>
          </w:rPr>
          <w:fldChar w:fldCharType="separate"/>
        </w:r>
        <w:r>
          <w:rPr>
            <w:webHidden/>
          </w:rPr>
          <w:t>9</w:t>
        </w:r>
        <w:r>
          <w:rPr>
            <w:webHidden/>
          </w:rPr>
          <w:fldChar w:fldCharType="end"/>
        </w:r>
      </w:hyperlink>
    </w:p>
    <w:p w14:paraId="2E40E7CF" w14:textId="1E7D7D30"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06" w:history="1">
        <w:r w:rsidRPr="00B5261F">
          <w:rPr>
            <w:rStyle w:val="Hyperlink"/>
          </w:rPr>
          <w:t>Recommendations</w:t>
        </w:r>
        <w:r>
          <w:rPr>
            <w:webHidden/>
          </w:rPr>
          <w:tab/>
        </w:r>
        <w:r>
          <w:rPr>
            <w:webHidden/>
          </w:rPr>
          <w:fldChar w:fldCharType="begin"/>
        </w:r>
        <w:r>
          <w:rPr>
            <w:webHidden/>
          </w:rPr>
          <w:instrText xml:space="preserve"> PAGEREF _Toc221272406 \h </w:instrText>
        </w:r>
        <w:r>
          <w:rPr>
            <w:webHidden/>
          </w:rPr>
        </w:r>
        <w:r>
          <w:rPr>
            <w:webHidden/>
          </w:rPr>
          <w:fldChar w:fldCharType="separate"/>
        </w:r>
        <w:r>
          <w:rPr>
            <w:webHidden/>
          </w:rPr>
          <w:t>10</w:t>
        </w:r>
        <w:r>
          <w:rPr>
            <w:webHidden/>
          </w:rPr>
          <w:fldChar w:fldCharType="end"/>
        </w:r>
      </w:hyperlink>
    </w:p>
    <w:p w14:paraId="0B09AED8" w14:textId="42A3D28C" w:rsidR="00AC131B" w:rsidRDefault="00AC131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72407" w:history="1">
        <w:r w:rsidRPr="00B5261F">
          <w:rPr>
            <w:rStyle w:val="Hyperlink"/>
            <w:lang w:val="en-GB"/>
          </w:rPr>
          <w:t>Residues assessment</w:t>
        </w:r>
        <w:r>
          <w:rPr>
            <w:webHidden/>
          </w:rPr>
          <w:tab/>
        </w:r>
        <w:r>
          <w:rPr>
            <w:webHidden/>
          </w:rPr>
          <w:fldChar w:fldCharType="begin"/>
        </w:r>
        <w:r>
          <w:rPr>
            <w:webHidden/>
          </w:rPr>
          <w:instrText xml:space="preserve"> PAGEREF _Toc221272407 \h </w:instrText>
        </w:r>
        <w:r>
          <w:rPr>
            <w:webHidden/>
          </w:rPr>
        </w:r>
        <w:r>
          <w:rPr>
            <w:webHidden/>
          </w:rPr>
          <w:fldChar w:fldCharType="separate"/>
        </w:r>
        <w:r>
          <w:rPr>
            <w:webHidden/>
          </w:rPr>
          <w:t>11</w:t>
        </w:r>
        <w:r>
          <w:rPr>
            <w:webHidden/>
          </w:rPr>
          <w:fldChar w:fldCharType="end"/>
        </w:r>
      </w:hyperlink>
    </w:p>
    <w:p w14:paraId="0D854241" w14:textId="6C9101D9"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08" w:history="1">
        <w:r w:rsidRPr="00B5261F">
          <w:rPr>
            <w:rStyle w:val="Hyperlink"/>
            <w:lang w:val="en-GB"/>
          </w:rPr>
          <w:t>Metabolism</w:t>
        </w:r>
        <w:r>
          <w:rPr>
            <w:webHidden/>
          </w:rPr>
          <w:tab/>
        </w:r>
        <w:r>
          <w:rPr>
            <w:webHidden/>
          </w:rPr>
          <w:fldChar w:fldCharType="begin"/>
        </w:r>
        <w:r>
          <w:rPr>
            <w:webHidden/>
          </w:rPr>
          <w:instrText xml:space="preserve"> PAGEREF _Toc221272408 \h </w:instrText>
        </w:r>
        <w:r>
          <w:rPr>
            <w:webHidden/>
          </w:rPr>
        </w:r>
        <w:r>
          <w:rPr>
            <w:webHidden/>
          </w:rPr>
          <w:fldChar w:fldCharType="separate"/>
        </w:r>
        <w:r>
          <w:rPr>
            <w:webHidden/>
          </w:rPr>
          <w:t>11</w:t>
        </w:r>
        <w:r>
          <w:rPr>
            <w:webHidden/>
          </w:rPr>
          <w:fldChar w:fldCharType="end"/>
        </w:r>
      </w:hyperlink>
    </w:p>
    <w:p w14:paraId="4C4B6A6A" w14:textId="426B98F3"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09" w:history="1">
        <w:r w:rsidRPr="00B5261F">
          <w:rPr>
            <w:rStyle w:val="Hyperlink"/>
            <w:lang w:val="en-GB"/>
          </w:rPr>
          <w:t>Residue definition</w:t>
        </w:r>
        <w:r>
          <w:rPr>
            <w:webHidden/>
          </w:rPr>
          <w:tab/>
        </w:r>
        <w:r>
          <w:rPr>
            <w:webHidden/>
          </w:rPr>
          <w:fldChar w:fldCharType="begin"/>
        </w:r>
        <w:r>
          <w:rPr>
            <w:webHidden/>
          </w:rPr>
          <w:instrText xml:space="preserve"> PAGEREF _Toc221272409 \h </w:instrText>
        </w:r>
        <w:r>
          <w:rPr>
            <w:webHidden/>
          </w:rPr>
        </w:r>
        <w:r>
          <w:rPr>
            <w:webHidden/>
          </w:rPr>
          <w:fldChar w:fldCharType="separate"/>
        </w:r>
        <w:r>
          <w:rPr>
            <w:webHidden/>
          </w:rPr>
          <w:t>11</w:t>
        </w:r>
        <w:r>
          <w:rPr>
            <w:webHidden/>
          </w:rPr>
          <w:fldChar w:fldCharType="end"/>
        </w:r>
      </w:hyperlink>
    </w:p>
    <w:p w14:paraId="043E4432" w14:textId="4C36E03F"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10" w:history="1">
        <w:r w:rsidRPr="00B5261F">
          <w:rPr>
            <w:rStyle w:val="Hyperlink"/>
            <w:lang w:val="en-GB"/>
          </w:rPr>
          <w:t>Residues in food and animal feeds</w:t>
        </w:r>
        <w:r>
          <w:rPr>
            <w:webHidden/>
          </w:rPr>
          <w:tab/>
        </w:r>
        <w:r>
          <w:rPr>
            <w:webHidden/>
          </w:rPr>
          <w:fldChar w:fldCharType="begin"/>
        </w:r>
        <w:r>
          <w:rPr>
            <w:webHidden/>
          </w:rPr>
          <w:instrText xml:space="preserve"> PAGEREF _Toc221272410 \h </w:instrText>
        </w:r>
        <w:r>
          <w:rPr>
            <w:webHidden/>
          </w:rPr>
        </w:r>
        <w:r>
          <w:rPr>
            <w:webHidden/>
          </w:rPr>
          <w:fldChar w:fldCharType="separate"/>
        </w:r>
        <w:r>
          <w:rPr>
            <w:webHidden/>
          </w:rPr>
          <w:t>11</w:t>
        </w:r>
        <w:r>
          <w:rPr>
            <w:webHidden/>
          </w:rPr>
          <w:fldChar w:fldCharType="end"/>
        </w:r>
      </w:hyperlink>
    </w:p>
    <w:p w14:paraId="63CAE3EA" w14:textId="3E5CB498"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11" w:history="1">
        <w:r w:rsidRPr="00B5261F">
          <w:rPr>
            <w:rStyle w:val="Hyperlink"/>
            <w:lang w:val="en-GB"/>
          </w:rPr>
          <w:t>Residues in animal commodities</w:t>
        </w:r>
        <w:r>
          <w:rPr>
            <w:webHidden/>
          </w:rPr>
          <w:tab/>
        </w:r>
        <w:r>
          <w:rPr>
            <w:webHidden/>
          </w:rPr>
          <w:fldChar w:fldCharType="begin"/>
        </w:r>
        <w:r>
          <w:rPr>
            <w:webHidden/>
          </w:rPr>
          <w:instrText xml:space="preserve"> PAGEREF _Toc221272411 \h </w:instrText>
        </w:r>
        <w:r>
          <w:rPr>
            <w:webHidden/>
          </w:rPr>
        </w:r>
        <w:r>
          <w:rPr>
            <w:webHidden/>
          </w:rPr>
          <w:fldChar w:fldCharType="separate"/>
        </w:r>
        <w:r>
          <w:rPr>
            <w:webHidden/>
          </w:rPr>
          <w:t>12</w:t>
        </w:r>
        <w:r>
          <w:rPr>
            <w:webHidden/>
          </w:rPr>
          <w:fldChar w:fldCharType="end"/>
        </w:r>
      </w:hyperlink>
    </w:p>
    <w:p w14:paraId="79967939" w14:textId="71E20128"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12" w:history="1">
        <w:r w:rsidRPr="00B5261F">
          <w:rPr>
            <w:rStyle w:val="Hyperlink"/>
            <w:lang w:val="en-GB"/>
          </w:rPr>
          <w:t>Dietary risk assessment</w:t>
        </w:r>
        <w:r>
          <w:rPr>
            <w:webHidden/>
          </w:rPr>
          <w:tab/>
        </w:r>
        <w:r>
          <w:rPr>
            <w:webHidden/>
          </w:rPr>
          <w:fldChar w:fldCharType="begin"/>
        </w:r>
        <w:r>
          <w:rPr>
            <w:webHidden/>
          </w:rPr>
          <w:instrText xml:space="preserve"> PAGEREF _Toc221272412 \h </w:instrText>
        </w:r>
        <w:r>
          <w:rPr>
            <w:webHidden/>
          </w:rPr>
        </w:r>
        <w:r>
          <w:rPr>
            <w:webHidden/>
          </w:rPr>
          <w:fldChar w:fldCharType="separate"/>
        </w:r>
        <w:r>
          <w:rPr>
            <w:webHidden/>
          </w:rPr>
          <w:t>12</w:t>
        </w:r>
        <w:r>
          <w:rPr>
            <w:webHidden/>
          </w:rPr>
          <w:fldChar w:fldCharType="end"/>
        </w:r>
      </w:hyperlink>
    </w:p>
    <w:p w14:paraId="1CB56B28" w14:textId="459FDC4E"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13" w:history="1">
        <w:r w:rsidRPr="00B5261F">
          <w:rPr>
            <w:rStyle w:val="Hyperlink"/>
          </w:rPr>
          <w:t>Recommendations</w:t>
        </w:r>
        <w:r>
          <w:rPr>
            <w:webHidden/>
          </w:rPr>
          <w:tab/>
        </w:r>
        <w:r>
          <w:rPr>
            <w:webHidden/>
          </w:rPr>
          <w:fldChar w:fldCharType="begin"/>
        </w:r>
        <w:r>
          <w:rPr>
            <w:webHidden/>
          </w:rPr>
          <w:instrText xml:space="preserve"> PAGEREF _Toc221272413 \h </w:instrText>
        </w:r>
        <w:r>
          <w:rPr>
            <w:webHidden/>
          </w:rPr>
        </w:r>
        <w:r>
          <w:rPr>
            <w:webHidden/>
          </w:rPr>
          <w:fldChar w:fldCharType="separate"/>
        </w:r>
        <w:r>
          <w:rPr>
            <w:webHidden/>
          </w:rPr>
          <w:t>12</w:t>
        </w:r>
        <w:r>
          <w:rPr>
            <w:webHidden/>
          </w:rPr>
          <w:fldChar w:fldCharType="end"/>
        </w:r>
      </w:hyperlink>
    </w:p>
    <w:p w14:paraId="76DCA349" w14:textId="6A86583C" w:rsidR="00AC131B" w:rsidRDefault="00AC131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72414" w:history="1">
        <w:r w:rsidRPr="00B5261F">
          <w:rPr>
            <w:rStyle w:val="Hyperlink"/>
          </w:rPr>
          <w:t>Assessment of overseas trade aspects of residues in food</w:t>
        </w:r>
        <w:r>
          <w:rPr>
            <w:webHidden/>
          </w:rPr>
          <w:tab/>
        </w:r>
        <w:r>
          <w:rPr>
            <w:webHidden/>
          </w:rPr>
          <w:fldChar w:fldCharType="begin"/>
        </w:r>
        <w:r>
          <w:rPr>
            <w:webHidden/>
          </w:rPr>
          <w:instrText xml:space="preserve"> PAGEREF _Toc221272414 \h </w:instrText>
        </w:r>
        <w:r>
          <w:rPr>
            <w:webHidden/>
          </w:rPr>
        </w:r>
        <w:r>
          <w:rPr>
            <w:webHidden/>
          </w:rPr>
          <w:fldChar w:fldCharType="separate"/>
        </w:r>
        <w:r>
          <w:rPr>
            <w:webHidden/>
          </w:rPr>
          <w:t>13</w:t>
        </w:r>
        <w:r>
          <w:rPr>
            <w:webHidden/>
          </w:rPr>
          <w:fldChar w:fldCharType="end"/>
        </w:r>
      </w:hyperlink>
    </w:p>
    <w:p w14:paraId="09712BD9" w14:textId="2D2BF276" w:rsidR="00AC131B" w:rsidRDefault="00AC131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72415" w:history="1">
        <w:r w:rsidRPr="00B5261F">
          <w:rPr>
            <w:rStyle w:val="Hyperlink"/>
          </w:rPr>
          <w:t>Work health and safety assessment</w:t>
        </w:r>
        <w:r>
          <w:rPr>
            <w:webHidden/>
          </w:rPr>
          <w:tab/>
        </w:r>
        <w:r>
          <w:rPr>
            <w:webHidden/>
          </w:rPr>
          <w:fldChar w:fldCharType="begin"/>
        </w:r>
        <w:r>
          <w:rPr>
            <w:webHidden/>
          </w:rPr>
          <w:instrText xml:space="preserve"> PAGEREF _Toc221272415 \h </w:instrText>
        </w:r>
        <w:r>
          <w:rPr>
            <w:webHidden/>
          </w:rPr>
        </w:r>
        <w:r>
          <w:rPr>
            <w:webHidden/>
          </w:rPr>
          <w:fldChar w:fldCharType="separate"/>
        </w:r>
        <w:r>
          <w:rPr>
            <w:webHidden/>
          </w:rPr>
          <w:t>14</w:t>
        </w:r>
        <w:r>
          <w:rPr>
            <w:webHidden/>
          </w:rPr>
          <w:fldChar w:fldCharType="end"/>
        </w:r>
      </w:hyperlink>
    </w:p>
    <w:p w14:paraId="55ABCEEA" w14:textId="73F0C30E"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16" w:history="1">
        <w:r w:rsidRPr="00B5261F">
          <w:rPr>
            <w:rStyle w:val="Hyperlink"/>
          </w:rPr>
          <w:t>Health hazards</w:t>
        </w:r>
        <w:r>
          <w:rPr>
            <w:webHidden/>
          </w:rPr>
          <w:tab/>
        </w:r>
        <w:r>
          <w:rPr>
            <w:webHidden/>
          </w:rPr>
          <w:fldChar w:fldCharType="begin"/>
        </w:r>
        <w:r>
          <w:rPr>
            <w:webHidden/>
          </w:rPr>
          <w:instrText xml:space="preserve"> PAGEREF _Toc221272416 \h </w:instrText>
        </w:r>
        <w:r>
          <w:rPr>
            <w:webHidden/>
          </w:rPr>
        </w:r>
        <w:r>
          <w:rPr>
            <w:webHidden/>
          </w:rPr>
          <w:fldChar w:fldCharType="separate"/>
        </w:r>
        <w:r>
          <w:rPr>
            <w:webHidden/>
          </w:rPr>
          <w:t>14</w:t>
        </w:r>
        <w:r>
          <w:rPr>
            <w:webHidden/>
          </w:rPr>
          <w:fldChar w:fldCharType="end"/>
        </w:r>
      </w:hyperlink>
    </w:p>
    <w:p w14:paraId="3B2DD1DB" w14:textId="6E6A6552"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17" w:history="1">
        <w:r w:rsidRPr="00B5261F">
          <w:rPr>
            <w:rStyle w:val="Hyperlink"/>
          </w:rPr>
          <w:t>Occupational exposure</w:t>
        </w:r>
        <w:r>
          <w:rPr>
            <w:webHidden/>
          </w:rPr>
          <w:tab/>
        </w:r>
        <w:r>
          <w:rPr>
            <w:webHidden/>
          </w:rPr>
          <w:fldChar w:fldCharType="begin"/>
        </w:r>
        <w:r>
          <w:rPr>
            <w:webHidden/>
          </w:rPr>
          <w:instrText xml:space="preserve"> PAGEREF _Toc221272417 \h </w:instrText>
        </w:r>
        <w:r>
          <w:rPr>
            <w:webHidden/>
          </w:rPr>
        </w:r>
        <w:r>
          <w:rPr>
            <w:webHidden/>
          </w:rPr>
          <w:fldChar w:fldCharType="separate"/>
        </w:r>
        <w:r>
          <w:rPr>
            <w:webHidden/>
          </w:rPr>
          <w:t>14</w:t>
        </w:r>
        <w:r>
          <w:rPr>
            <w:webHidden/>
          </w:rPr>
          <w:fldChar w:fldCharType="end"/>
        </w:r>
      </w:hyperlink>
    </w:p>
    <w:p w14:paraId="67D89925" w14:textId="49F45AD1"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18" w:history="1">
        <w:r w:rsidRPr="00B5261F">
          <w:rPr>
            <w:rStyle w:val="Hyperlink"/>
          </w:rPr>
          <w:t>Public exposure</w:t>
        </w:r>
        <w:r>
          <w:rPr>
            <w:webHidden/>
          </w:rPr>
          <w:tab/>
        </w:r>
        <w:r>
          <w:rPr>
            <w:webHidden/>
          </w:rPr>
          <w:fldChar w:fldCharType="begin"/>
        </w:r>
        <w:r>
          <w:rPr>
            <w:webHidden/>
          </w:rPr>
          <w:instrText xml:space="preserve"> PAGEREF _Toc221272418 \h </w:instrText>
        </w:r>
        <w:r>
          <w:rPr>
            <w:webHidden/>
          </w:rPr>
        </w:r>
        <w:r>
          <w:rPr>
            <w:webHidden/>
          </w:rPr>
          <w:fldChar w:fldCharType="separate"/>
        </w:r>
        <w:r>
          <w:rPr>
            <w:webHidden/>
          </w:rPr>
          <w:t>14</w:t>
        </w:r>
        <w:r>
          <w:rPr>
            <w:webHidden/>
          </w:rPr>
          <w:fldChar w:fldCharType="end"/>
        </w:r>
      </w:hyperlink>
    </w:p>
    <w:p w14:paraId="7B78116E" w14:textId="282C16A0"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19" w:history="1">
        <w:r w:rsidRPr="00B5261F">
          <w:rPr>
            <w:rStyle w:val="Hyperlink"/>
          </w:rPr>
          <w:t>Recommendations</w:t>
        </w:r>
        <w:r>
          <w:rPr>
            <w:webHidden/>
          </w:rPr>
          <w:tab/>
        </w:r>
        <w:r>
          <w:rPr>
            <w:webHidden/>
          </w:rPr>
          <w:fldChar w:fldCharType="begin"/>
        </w:r>
        <w:r>
          <w:rPr>
            <w:webHidden/>
          </w:rPr>
          <w:instrText xml:space="preserve"> PAGEREF _Toc221272419 \h </w:instrText>
        </w:r>
        <w:r>
          <w:rPr>
            <w:webHidden/>
          </w:rPr>
        </w:r>
        <w:r>
          <w:rPr>
            <w:webHidden/>
          </w:rPr>
          <w:fldChar w:fldCharType="separate"/>
        </w:r>
        <w:r>
          <w:rPr>
            <w:webHidden/>
          </w:rPr>
          <w:t>15</w:t>
        </w:r>
        <w:r>
          <w:rPr>
            <w:webHidden/>
          </w:rPr>
          <w:fldChar w:fldCharType="end"/>
        </w:r>
      </w:hyperlink>
    </w:p>
    <w:p w14:paraId="4841A5DE" w14:textId="6F6F4605" w:rsidR="00AC131B" w:rsidRDefault="00AC131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72420" w:history="1">
        <w:r w:rsidRPr="00B5261F">
          <w:rPr>
            <w:rStyle w:val="Hyperlink"/>
          </w:rPr>
          <w:t>Environmental assessment</w:t>
        </w:r>
        <w:r>
          <w:rPr>
            <w:webHidden/>
          </w:rPr>
          <w:tab/>
        </w:r>
        <w:r>
          <w:rPr>
            <w:webHidden/>
          </w:rPr>
          <w:fldChar w:fldCharType="begin"/>
        </w:r>
        <w:r>
          <w:rPr>
            <w:webHidden/>
          </w:rPr>
          <w:instrText xml:space="preserve"> PAGEREF _Toc221272420 \h </w:instrText>
        </w:r>
        <w:r>
          <w:rPr>
            <w:webHidden/>
          </w:rPr>
        </w:r>
        <w:r>
          <w:rPr>
            <w:webHidden/>
          </w:rPr>
          <w:fldChar w:fldCharType="separate"/>
        </w:r>
        <w:r>
          <w:rPr>
            <w:webHidden/>
          </w:rPr>
          <w:t>16</w:t>
        </w:r>
        <w:r>
          <w:rPr>
            <w:webHidden/>
          </w:rPr>
          <w:fldChar w:fldCharType="end"/>
        </w:r>
      </w:hyperlink>
    </w:p>
    <w:p w14:paraId="198507B3" w14:textId="589287D2"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21" w:history="1">
        <w:r w:rsidRPr="00B5261F">
          <w:rPr>
            <w:rStyle w:val="Hyperlink"/>
            <w:lang w:val="en-GB"/>
          </w:rPr>
          <w:t>Recommendations</w:t>
        </w:r>
        <w:r>
          <w:rPr>
            <w:webHidden/>
          </w:rPr>
          <w:tab/>
        </w:r>
        <w:r>
          <w:rPr>
            <w:webHidden/>
          </w:rPr>
          <w:fldChar w:fldCharType="begin"/>
        </w:r>
        <w:r>
          <w:rPr>
            <w:webHidden/>
          </w:rPr>
          <w:instrText xml:space="preserve"> PAGEREF _Toc221272421 \h </w:instrText>
        </w:r>
        <w:r>
          <w:rPr>
            <w:webHidden/>
          </w:rPr>
        </w:r>
        <w:r>
          <w:rPr>
            <w:webHidden/>
          </w:rPr>
          <w:fldChar w:fldCharType="separate"/>
        </w:r>
        <w:r>
          <w:rPr>
            <w:webHidden/>
          </w:rPr>
          <w:t>16</w:t>
        </w:r>
        <w:r>
          <w:rPr>
            <w:webHidden/>
          </w:rPr>
          <w:fldChar w:fldCharType="end"/>
        </w:r>
      </w:hyperlink>
    </w:p>
    <w:p w14:paraId="1F850D89" w14:textId="0244D330" w:rsidR="00AC131B" w:rsidRDefault="00AC131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72422" w:history="1">
        <w:r w:rsidRPr="00B5261F">
          <w:rPr>
            <w:rStyle w:val="Hyperlink"/>
          </w:rPr>
          <w:t>Efficacy and safety assessment</w:t>
        </w:r>
        <w:r>
          <w:rPr>
            <w:webHidden/>
          </w:rPr>
          <w:tab/>
        </w:r>
        <w:r>
          <w:rPr>
            <w:webHidden/>
          </w:rPr>
          <w:fldChar w:fldCharType="begin"/>
        </w:r>
        <w:r>
          <w:rPr>
            <w:webHidden/>
          </w:rPr>
          <w:instrText xml:space="preserve"> PAGEREF _Toc221272422 \h </w:instrText>
        </w:r>
        <w:r>
          <w:rPr>
            <w:webHidden/>
          </w:rPr>
        </w:r>
        <w:r>
          <w:rPr>
            <w:webHidden/>
          </w:rPr>
          <w:fldChar w:fldCharType="separate"/>
        </w:r>
        <w:r>
          <w:rPr>
            <w:webHidden/>
          </w:rPr>
          <w:t>17</w:t>
        </w:r>
        <w:r>
          <w:rPr>
            <w:webHidden/>
          </w:rPr>
          <w:fldChar w:fldCharType="end"/>
        </w:r>
      </w:hyperlink>
    </w:p>
    <w:p w14:paraId="4E64FA64" w14:textId="69128D31"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23" w:history="1">
        <w:r w:rsidRPr="00B5261F">
          <w:rPr>
            <w:rStyle w:val="Hyperlink"/>
          </w:rPr>
          <w:t>Proposed product use pattern</w:t>
        </w:r>
        <w:r>
          <w:rPr>
            <w:webHidden/>
          </w:rPr>
          <w:tab/>
        </w:r>
        <w:r>
          <w:rPr>
            <w:webHidden/>
          </w:rPr>
          <w:fldChar w:fldCharType="begin"/>
        </w:r>
        <w:r>
          <w:rPr>
            <w:webHidden/>
          </w:rPr>
          <w:instrText xml:space="preserve"> PAGEREF _Toc221272423 \h </w:instrText>
        </w:r>
        <w:r>
          <w:rPr>
            <w:webHidden/>
          </w:rPr>
        </w:r>
        <w:r>
          <w:rPr>
            <w:webHidden/>
          </w:rPr>
          <w:fldChar w:fldCharType="separate"/>
        </w:r>
        <w:r>
          <w:rPr>
            <w:webHidden/>
          </w:rPr>
          <w:t>17</w:t>
        </w:r>
        <w:r>
          <w:rPr>
            <w:webHidden/>
          </w:rPr>
          <w:fldChar w:fldCharType="end"/>
        </w:r>
      </w:hyperlink>
    </w:p>
    <w:p w14:paraId="12E69BF5" w14:textId="56455D6C"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24" w:history="1">
        <w:r w:rsidRPr="00B5261F">
          <w:rPr>
            <w:rStyle w:val="Hyperlink"/>
          </w:rPr>
          <w:t>Efficacy and target crop/animal safety</w:t>
        </w:r>
        <w:r>
          <w:rPr>
            <w:webHidden/>
          </w:rPr>
          <w:tab/>
        </w:r>
        <w:r>
          <w:rPr>
            <w:webHidden/>
          </w:rPr>
          <w:fldChar w:fldCharType="begin"/>
        </w:r>
        <w:r>
          <w:rPr>
            <w:webHidden/>
          </w:rPr>
          <w:instrText xml:space="preserve"> PAGEREF _Toc221272424 \h </w:instrText>
        </w:r>
        <w:r>
          <w:rPr>
            <w:webHidden/>
          </w:rPr>
        </w:r>
        <w:r>
          <w:rPr>
            <w:webHidden/>
          </w:rPr>
          <w:fldChar w:fldCharType="separate"/>
        </w:r>
        <w:r>
          <w:rPr>
            <w:webHidden/>
          </w:rPr>
          <w:t>17</w:t>
        </w:r>
        <w:r>
          <w:rPr>
            <w:webHidden/>
          </w:rPr>
          <w:fldChar w:fldCharType="end"/>
        </w:r>
      </w:hyperlink>
    </w:p>
    <w:p w14:paraId="33F9C060" w14:textId="180E4037" w:rsidR="00AC131B" w:rsidRDefault="00AC131B">
      <w:pPr>
        <w:pStyle w:val="TOC2"/>
        <w:rPr>
          <w:rFonts w:asciiTheme="minorHAnsi" w:eastAsiaTheme="minorEastAsia" w:hAnsiTheme="minorHAnsi" w:cstheme="minorBidi"/>
          <w:b w:val="0"/>
          <w:color w:val="auto"/>
          <w:kern w:val="2"/>
          <w:sz w:val="24"/>
          <w:lang w:eastAsia="en-AU"/>
          <w14:ligatures w14:val="standardContextual"/>
        </w:rPr>
      </w:pPr>
      <w:hyperlink w:anchor="_Toc221272425" w:history="1">
        <w:r w:rsidRPr="00B5261F">
          <w:rPr>
            <w:rStyle w:val="Hyperlink"/>
          </w:rPr>
          <w:t>Recommendations</w:t>
        </w:r>
        <w:r>
          <w:rPr>
            <w:webHidden/>
          </w:rPr>
          <w:tab/>
        </w:r>
        <w:r>
          <w:rPr>
            <w:webHidden/>
          </w:rPr>
          <w:fldChar w:fldCharType="begin"/>
        </w:r>
        <w:r>
          <w:rPr>
            <w:webHidden/>
          </w:rPr>
          <w:instrText xml:space="preserve"> PAGEREF _Toc221272425 \h </w:instrText>
        </w:r>
        <w:r>
          <w:rPr>
            <w:webHidden/>
          </w:rPr>
        </w:r>
        <w:r>
          <w:rPr>
            <w:webHidden/>
          </w:rPr>
          <w:fldChar w:fldCharType="separate"/>
        </w:r>
        <w:r>
          <w:rPr>
            <w:webHidden/>
          </w:rPr>
          <w:t>18</w:t>
        </w:r>
        <w:r>
          <w:rPr>
            <w:webHidden/>
          </w:rPr>
          <w:fldChar w:fldCharType="end"/>
        </w:r>
      </w:hyperlink>
    </w:p>
    <w:p w14:paraId="0F55E976" w14:textId="39B5FBB9" w:rsidR="00AC131B" w:rsidRDefault="00AC131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72426" w:history="1">
        <w:r w:rsidRPr="00B5261F">
          <w:rPr>
            <w:rStyle w:val="Hyperlink"/>
          </w:rPr>
          <w:t>Spray drift assessment</w:t>
        </w:r>
        <w:r>
          <w:rPr>
            <w:webHidden/>
          </w:rPr>
          <w:tab/>
        </w:r>
        <w:r>
          <w:rPr>
            <w:webHidden/>
          </w:rPr>
          <w:fldChar w:fldCharType="begin"/>
        </w:r>
        <w:r>
          <w:rPr>
            <w:webHidden/>
          </w:rPr>
          <w:instrText xml:space="preserve"> PAGEREF _Toc221272426 \h </w:instrText>
        </w:r>
        <w:r>
          <w:rPr>
            <w:webHidden/>
          </w:rPr>
        </w:r>
        <w:r>
          <w:rPr>
            <w:webHidden/>
          </w:rPr>
          <w:fldChar w:fldCharType="separate"/>
        </w:r>
        <w:r>
          <w:rPr>
            <w:webHidden/>
          </w:rPr>
          <w:t>19</w:t>
        </w:r>
        <w:r>
          <w:rPr>
            <w:webHidden/>
          </w:rPr>
          <w:fldChar w:fldCharType="end"/>
        </w:r>
      </w:hyperlink>
    </w:p>
    <w:p w14:paraId="6DEA0B63" w14:textId="6D399EC1" w:rsidR="00AC131B" w:rsidRDefault="00AC131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72427" w:history="1">
        <w:r w:rsidRPr="00B5261F">
          <w:rPr>
            <w:rStyle w:val="Hyperlink"/>
          </w:rPr>
          <w:t>Labelling requirements</w:t>
        </w:r>
        <w:r>
          <w:rPr>
            <w:webHidden/>
          </w:rPr>
          <w:tab/>
        </w:r>
        <w:r>
          <w:rPr>
            <w:webHidden/>
          </w:rPr>
          <w:fldChar w:fldCharType="begin"/>
        </w:r>
        <w:r>
          <w:rPr>
            <w:webHidden/>
          </w:rPr>
          <w:instrText xml:space="preserve"> PAGEREF _Toc221272427 \h </w:instrText>
        </w:r>
        <w:r>
          <w:rPr>
            <w:webHidden/>
          </w:rPr>
        </w:r>
        <w:r>
          <w:rPr>
            <w:webHidden/>
          </w:rPr>
          <w:fldChar w:fldCharType="separate"/>
        </w:r>
        <w:r>
          <w:rPr>
            <w:webHidden/>
          </w:rPr>
          <w:t>20</w:t>
        </w:r>
        <w:r>
          <w:rPr>
            <w:webHidden/>
          </w:rPr>
          <w:fldChar w:fldCharType="end"/>
        </w:r>
      </w:hyperlink>
    </w:p>
    <w:p w14:paraId="46C3C5A8" w14:textId="5DCC1B5D" w:rsidR="00AC131B" w:rsidRDefault="00AC131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72428" w:history="1">
        <w:r w:rsidRPr="00B5261F">
          <w:rPr>
            <w:rStyle w:val="Hyperlink"/>
          </w:rPr>
          <w:t>Acronyms and abbreviations</w:t>
        </w:r>
        <w:r>
          <w:rPr>
            <w:webHidden/>
          </w:rPr>
          <w:tab/>
        </w:r>
        <w:r>
          <w:rPr>
            <w:webHidden/>
          </w:rPr>
          <w:fldChar w:fldCharType="begin"/>
        </w:r>
        <w:r>
          <w:rPr>
            <w:webHidden/>
          </w:rPr>
          <w:instrText xml:space="preserve"> PAGEREF _Toc221272428 \h </w:instrText>
        </w:r>
        <w:r>
          <w:rPr>
            <w:webHidden/>
          </w:rPr>
        </w:r>
        <w:r>
          <w:rPr>
            <w:webHidden/>
          </w:rPr>
          <w:fldChar w:fldCharType="separate"/>
        </w:r>
        <w:r>
          <w:rPr>
            <w:webHidden/>
          </w:rPr>
          <w:t>23</w:t>
        </w:r>
        <w:r>
          <w:rPr>
            <w:webHidden/>
          </w:rPr>
          <w:fldChar w:fldCharType="end"/>
        </w:r>
      </w:hyperlink>
    </w:p>
    <w:p w14:paraId="5F829F10" w14:textId="6B473CDE" w:rsidR="00AC131B" w:rsidRDefault="00AC131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72429" w:history="1">
        <w:r w:rsidRPr="00B5261F">
          <w:rPr>
            <w:rStyle w:val="Hyperlink"/>
            <w:lang w:val="en-GB"/>
          </w:rPr>
          <w:t>Glossary</w:t>
        </w:r>
        <w:r>
          <w:rPr>
            <w:webHidden/>
          </w:rPr>
          <w:tab/>
        </w:r>
        <w:r>
          <w:rPr>
            <w:webHidden/>
          </w:rPr>
          <w:fldChar w:fldCharType="begin"/>
        </w:r>
        <w:r>
          <w:rPr>
            <w:webHidden/>
          </w:rPr>
          <w:instrText xml:space="preserve"> PAGEREF _Toc221272429 \h </w:instrText>
        </w:r>
        <w:r>
          <w:rPr>
            <w:webHidden/>
          </w:rPr>
        </w:r>
        <w:r>
          <w:rPr>
            <w:webHidden/>
          </w:rPr>
          <w:fldChar w:fldCharType="separate"/>
        </w:r>
        <w:r>
          <w:rPr>
            <w:webHidden/>
          </w:rPr>
          <w:t>26</w:t>
        </w:r>
        <w:r>
          <w:rPr>
            <w:webHidden/>
          </w:rPr>
          <w:fldChar w:fldCharType="end"/>
        </w:r>
      </w:hyperlink>
    </w:p>
    <w:p w14:paraId="311D0B45" w14:textId="6D5463B3" w:rsidR="00AC131B" w:rsidRDefault="00AC131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221272430" w:history="1">
        <w:r w:rsidRPr="00B5261F">
          <w:rPr>
            <w:rStyle w:val="Hyperlink"/>
          </w:rPr>
          <w:t>References</w:t>
        </w:r>
        <w:r>
          <w:rPr>
            <w:webHidden/>
          </w:rPr>
          <w:tab/>
        </w:r>
        <w:r>
          <w:rPr>
            <w:webHidden/>
          </w:rPr>
          <w:fldChar w:fldCharType="begin"/>
        </w:r>
        <w:r>
          <w:rPr>
            <w:webHidden/>
          </w:rPr>
          <w:instrText xml:space="preserve"> PAGEREF _Toc221272430 \h </w:instrText>
        </w:r>
        <w:r>
          <w:rPr>
            <w:webHidden/>
          </w:rPr>
        </w:r>
        <w:r>
          <w:rPr>
            <w:webHidden/>
          </w:rPr>
          <w:fldChar w:fldCharType="separate"/>
        </w:r>
        <w:r>
          <w:rPr>
            <w:webHidden/>
          </w:rPr>
          <w:t>27</w:t>
        </w:r>
        <w:r>
          <w:rPr>
            <w:webHidden/>
          </w:rPr>
          <w:fldChar w:fldCharType="end"/>
        </w:r>
      </w:hyperlink>
    </w:p>
    <w:p w14:paraId="47BAD96A" w14:textId="42462378" w:rsidR="002C6204" w:rsidRDefault="000D124E" w:rsidP="002C6204">
      <w:pPr>
        <w:pStyle w:val="ToCH1"/>
        <w:spacing w:before="500"/>
        <w:rPr>
          <w:noProof/>
        </w:rPr>
      </w:pPr>
      <w:r>
        <w:rPr>
          <w:sz w:val="16"/>
          <w:szCs w:val="16"/>
          <w:lang w:eastAsia="en-AU"/>
        </w:rPr>
        <w:fldChar w:fldCharType="end"/>
      </w:r>
      <w:r w:rsidR="002C6204">
        <w:rPr>
          <w:noProof/>
        </w:rPr>
        <w:t>List of tables</w:t>
      </w:r>
    </w:p>
    <w:p w14:paraId="202EE1ED" w14:textId="7E97EDAA" w:rsidR="00AC131B" w:rsidRDefault="002C6204">
      <w:pPr>
        <w:pStyle w:val="TableofFigures"/>
        <w:rPr>
          <w:rFonts w:asciiTheme="minorHAnsi" w:eastAsiaTheme="minorEastAsia" w:hAnsiTheme="minorHAnsi" w:cstheme="minorBidi"/>
          <w:kern w:val="2"/>
          <w:sz w:val="24"/>
          <w:lang w:eastAsia="en-AU"/>
          <w14:ligatures w14:val="standardContextual"/>
        </w:rPr>
      </w:pPr>
      <w:r>
        <w:rPr>
          <w:caps/>
        </w:rPr>
        <w:fldChar w:fldCharType="begin"/>
      </w:r>
      <w:r>
        <w:rPr>
          <w:caps/>
        </w:rPr>
        <w:instrText xml:space="preserve"> TOC \h \z \t "Caption,1,APVMA_Caption,1" \c "Table" </w:instrText>
      </w:r>
      <w:r>
        <w:rPr>
          <w:caps/>
        </w:rPr>
        <w:fldChar w:fldCharType="separate"/>
      </w:r>
      <w:hyperlink w:anchor="_Toc221272431" w:history="1">
        <w:r w:rsidR="00AC131B" w:rsidRPr="00353A83">
          <w:rPr>
            <w:rStyle w:val="Hyperlink"/>
          </w:rPr>
          <w:t>Table 1: Nomenclature and structural formula of the active constituent [active constituent]</w:t>
        </w:r>
        <w:r w:rsidR="00AC131B">
          <w:rPr>
            <w:webHidden/>
          </w:rPr>
          <w:tab/>
        </w:r>
        <w:r w:rsidR="00AC131B">
          <w:rPr>
            <w:webHidden/>
          </w:rPr>
          <w:fldChar w:fldCharType="begin"/>
        </w:r>
        <w:r w:rsidR="00AC131B">
          <w:rPr>
            <w:webHidden/>
          </w:rPr>
          <w:instrText xml:space="preserve"> PAGEREF _Toc221272431 \h </w:instrText>
        </w:r>
        <w:r w:rsidR="00AC131B">
          <w:rPr>
            <w:webHidden/>
          </w:rPr>
        </w:r>
        <w:r w:rsidR="00AC131B">
          <w:rPr>
            <w:webHidden/>
          </w:rPr>
          <w:fldChar w:fldCharType="separate"/>
        </w:r>
        <w:r w:rsidR="00AC131B">
          <w:rPr>
            <w:webHidden/>
          </w:rPr>
          <w:t>5</w:t>
        </w:r>
        <w:r w:rsidR="00AC131B">
          <w:rPr>
            <w:webHidden/>
          </w:rPr>
          <w:fldChar w:fldCharType="end"/>
        </w:r>
      </w:hyperlink>
    </w:p>
    <w:p w14:paraId="419DFA6B" w14:textId="102A3BB4" w:rsidR="00AC131B" w:rsidRDefault="00AC131B">
      <w:pPr>
        <w:pStyle w:val="TableofFigures"/>
        <w:rPr>
          <w:rFonts w:asciiTheme="minorHAnsi" w:eastAsiaTheme="minorEastAsia" w:hAnsiTheme="minorHAnsi" w:cstheme="minorBidi"/>
          <w:kern w:val="2"/>
          <w:sz w:val="24"/>
          <w:lang w:eastAsia="en-AU"/>
          <w14:ligatures w14:val="standardContextual"/>
        </w:rPr>
      </w:pPr>
      <w:hyperlink w:anchor="_Toc221272432" w:history="1">
        <w:r w:rsidRPr="00353A83">
          <w:rPr>
            <w:rStyle w:val="Hyperlink"/>
          </w:rPr>
          <w:t>Table 2: Key physicochemical properties of the active constituent [active constituent]</w:t>
        </w:r>
        <w:r>
          <w:rPr>
            <w:webHidden/>
          </w:rPr>
          <w:tab/>
        </w:r>
        <w:r>
          <w:rPr>
            <w:webHidden/>
          </w:rPr>
          <w:fldChar w:fldCharType="begin"/>
        </w:r>
        <w:r>
          <w:rPr>
            <w:webHidden/>
          </w:rPr>
          <w:instrText xml:space="preserve"> PAGEREF _Toc221272432 \h </w:instrText>
        </w:r>
        <w:r>
          <w:rPr>
            <w:webHidden/>
          </w:rPr>
        </w:r>
        <w:r>
          <w:rPr>
            <w:webHidden/>
          </w:rPr>
          <w:fldChar w:fldCharType="separate"/>
        </w:r>
        <w:r>
          <w:rPr>
            <w:webHidden/>
          </w:rPr>
          <w:t>6</w:t>
        </w:r>
        <w:r>
          <w:rPr>
            <w:webHidden/>
          </w:rPr>
          <w:fldChar w:fldCharType="end"/>
        </w:r>
      </w:hyperlink>
    </w:p>
    <w:p w14:paraId="649CB2FC" w14:textId="41AB703E" w:rsidR="00AC131B" w:rsidRDefault="00AC131B">
      <w:pPr>
        <w:pStyle w:val="TableofFigures"/>
        <w:rPr>
          <w:rFonts w:asciiTheme="minorHAnsi" w:eastAsiaTheme="minorEastAsia" w:hAnsiTheme="minorHAnsi" w:cstheme="minorBidi"/>
          <w:kern w:val="2"/>
          <w:sz w:val="24"/>
          <w:lang w:eastAsia="en-AU"/>
          <w14:ligatures w14:val="standardContextual"/>
        </w:rPr>
      </w:pPr>
      <w:hyperlink w:anchor="_Toc221272433" w:history="1">
        <w:r w:rsidRPr="00353A83">
          <w:rPr>
            <w:rStyle w:val="Hyperlink"/>
          </w:rPr>
          <w:t xml:space="preserve">Table 3: Key aspects of the formulation of the product </w:t>
        </w:r>
        <w:r w:rsidRPr="00353A83">
          <w:rPr>
            <w:rStyle w:val="Hyperlink"/>
            <w:i/>
            <w:iCs/>
          </w:rPr>
          <w:t>Semios Carob Moth Aerosol Pheromone</w:t>
        </w:r>
        <w:r>
          <w:rPr>
            <w:webHidden/>
          </w:rPr>
          <w:tab/>
        </w:r>
        <w:r>
          <w:rPr>
            <w:webHidden/>
          </w:rPr>
          <w:fldChar w:fldCharType="begin"/>
        </w:r>
        <w:r>
          <w:rPr>
            <w:webHidden/>
          </w:rPr>
          <w:instrText xml:space="preserve"> PAGEREF _Toc221272433 \h </w:instrText>
        </w:r>
        <w:r>
          <w:rPr>
            <w:webHidden/>
          </w:rPr>
        </w:r>
        <w:r>
          <w:rPr>
            <w:webHidden/>
          </w:rPr>
          <w:fldChar w:fldCharType="separate"/>
        </w:r>
        <w:r>
          <w:rPr>
            <w:webHidden/>
          </w:rPr>
          <w:t>7</w:t>
        </w:r>
        <w:r>
          <w:rPr>
            <w:webHidden/>
          </w:rPr>
          <w:fldChar w:fldCharType="end"/>
        </w:r>
      </w:hyperlink>
    </w:p>
    <w:p w14:paraId="6A8B5EC3" w14:textId="69C947FC" w:rsidR="00AC131B" w:rsidRDefault="00AC131B">
      <w:pPr>
        <w:pStyle w:val="TableofFigures"/>
        <w:rPr>
          <w:rFonts w:asciiTheme="minorHAnsi" w:eastAsiaTheme="minorEastAsia" w:hAnsiTheme="minorHAnsi" w:cstheme="minorBidi"/>
          <w:kern w:val="2"/>
          <w:sz w:val="24"/>
          <w:lang w:eastAsia="en-AU"/>
          <w14:ligatures w14:val="standardContextual"/>
        </w:rPr>
      </w:pPr>
      <w:hyperlink w:anchor="_Toc221272434" w:history="1">
        <w:r w:rsidRPr="00353A83">
          <w:rPr>
            <w:rStyle w:val="Hyperlink"/>
          </w:rPr>
          <w:t xml:space="preserve">Table 4: Physicochemical properties of the product </w:t>
        </w:r>
        <w:r w:rsidRPr="00353A83">
          <w:rPr>
            <w:rStyle w:val="Hyperlink"/>
            <w:i/>
            <w:iCs/>
          </w:rPr>
          <w:t>Semios Carob Moth Aerosol Pheromone</w:t>
        </w:r>
        <w:r>
          <w:rPr>
            <w:webHidden/>
          </w:rPr>
          <w:tab/>
        </w:r>
        <w:r>
          <w:rPr>
            <w:webHidden/>
          </w:rPr>
          <w:fldChar w:fldCharType="begin"/>
        </w:r>
        <w:r>
          <w:rPr>
            <w:webHidden/>
          </w:rPr>
          <w:instrText xml:space="preserve"> PAGEREF _Toc221272434 \h </w:instrText>
        </w:r>
        <w:r>
          <w:rPr>
            <w:webHidden/>
          </w:rPr>
        </w:r>
        <w:r>
          <w:rPr>
            <w:webHidden/>
          </w:rPr>
          <w:fldChar w:fldCharType="separate"/>
        </w:r>
        <w:r>
          <w:rPr>
            <w:webHidden/>
          </w:rPr>
          <w:t>7</w:t>
        </w:r>
        <w:r>
          <w:rPr>
            <w:webHidden/>
          </w:rPr>
          <w:fldChar w:fldCharType="end"/>
        </w:r>
      </w:hyperlink>
    </w:p>
    <w:p w14:paraId="7FBF4A49" w14:textId="251A6348" w:rsidR="00AC131B" w:rsidRDefault="00AC131B">
      <w:pPr>
        <w:pStyle w:val="TableofFigures"/>
        <w:rPr>
          <w:rFonts w:asciiTheme="minorHAnsi" w:eastAsiaTheme="minorEastAsia" w:hAnsiTheme="minorHAnsi" w:cstheme="minorBidi"/>
          <w:kern w:val="2"/>
          <w:sz w:val="24"/>
          <w:lang w:eastAsia="en-AU"/>
          <w14:ligatures w14:val="standardContextual"/>
        </w:rPr>
      </w:pPr>
      <w:hyperlink w:anchor="_Toc221272435" w:history="1">
        <w:r w:rsidRPr="00353A83">
          <w:rPr>
            <w:rStyle w:val="Hyperlink"/>
          </w:rPr>
          <w:t xml:space="preserve">Table 5: Amendments to the APVMA </w:t>
        </w:r>
        <w:r w:rsidRPr="00353A83">
          <w:rPr>
            <w:rStyle w:val="Hyperlink"/>
            <w:bCs/>
          </w:rPr>
          <w:t>MRL Standard</w:t>
        </w:r>
        <w:r>
          <w:rPr>
            <w:webHidden/>
          </w:rPr>
          <w:tab/>
        </w:r>
        <w:r>
          <w:rPr>
            <w:webHidden/>
          </w:rPr>
          <w:fldChar w:fldCharType="begin"/>
        </w:r>
        <w:r>
          <w:rPr>
            <w:webHidden/>
          </w:rPr>
          <w:instrText xml:space="preserve"> PAGEREF _Toc221272435 \h </w:instrText>
        </w:r>
        <w:r>
          <w:rPr>
            <w:webHidden/>
          </w:rPr>
        </w:r>
        <w:r>
          <w:rPr>
            <w:webHidden/>
          </w:rPr>
          <w:fldChar w:fldCharType="separate"/>
        </w:r>
        <w:r>
          <w:rPr>
            <w:webHidden/>
          </w:rPr>
          <w:t>12</w:t>
        </w:r>
        <w:r>
          <w:rPr>
            <w:webHidden/>
          </w:rPr>
          <w:fldChar w:fldCharType="end"/>
        </w:r>
      </w:hyperlink>
    </w:p>
    <w:p w14:paraId="7E66E09D" w14:textId="6891BE7D" w:rsidR="00424637" w:rsidRDefault="002C6204" w:rsidP="002C6204">
      <w:pPr>
        <w:pStyle w:val="ToCH1"/>
        <w:spacing w:before="500"/>
        <w:rPr>
          <w:caps/>
          <w:noProof/>
        </w:rPr>
        <w:sectPr w:rsidR="00424637" w:rsidSect="00424637">
          <w:headerReference w:type="even" r:id="rId20"/>
          <w:headerReference w:type="default" r:id="rId21"/>
          <w:pgSz w:w="11906" w:h="16838" w:code="9"/>
          <w:pgMar w:top="2835" w:right="1134" w:bottom="1134" w:left="1134" w:header="1701" w:footer="680" w:gutter="0"/>
          <w:pgNumType w:fmt="lowerRoman"/>
          <w:cols w:space="708"/>
          <w:docGrid w:linePitch="360"/>
        </w:sectPr>
      </w:pPr>
      <w:r>
        <w:rPr>
          <w:caps/>
          <w:noProof/>
        </w:rPr>
        <w:fldChar w:fldCharType="end"/>
      </w:r>
      <w:bookmarkStart w:id="2" w:name="_Toc234063054"/>
      <w:bookmarkStart w:id="3" w:name="_Toc414373831"/>
      <w:bookmarkStart w:id="4" w:name="_Toc7561213"/>
    </w:p>
    <w:p w14:paraId="0A1F4403" w14:textId="1024FCBE" w:rsidR="002E20AC" w:rsidRPr="00424637" w:rsidRDefault="002E20AC" w:rsidP="00424637">
      <w:pPr>
        <w:pStyle w:val="Heading1"/>
      </w:pPr>
      <w:bookmarkStart w:id="5" w:name="_Toc221272389"/>
      <w:r w:rsidRPr="00424637">
        <w:lastRenderedPageBreak/>
        <w:t>Preface</w:t>
      </w:r>
      <w:bookmarkEnd w:id="2"/>
      <w:bookmarkEnd w:id="3"/>
      <w:bookmarkEnd w:id="4"/>
      <w:bookmarkEnd w:id="5"/>
    </w:p>
    <w:p w14:paraId="6C80D611" w14:textId="01B4540A" w:rsidR="002F5D1B" w:rsidRDefault="002F5D1B" w:rsidP="002F5D1B">
      <w:pPr>
        <w:pStyle w:val="APVMAText"/>
      </w:pPr>
      <w:bookmarkStart w:id="6"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t>,</w:t>
      </w:r>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2" w:history="1">
        <w:r w:rsidRPr="006C539B">
          <w:rPr>
            <w:rStyle w:val="Hyperlink"/>
          </w:rPr>
          <w:t>APVMA website</w:t>
        </w:r>
      </w:hyperlink>
      <w:r>
        <w:t>.</w:t>
      </w:r>
    </w:p>
    <w:p w14:paraId="25A1461C" w14:textId="2AAE51D9" w:rsidR="002F5D1B" w:rsidRDefault="002F5D1B" w:rsidP="002F5D1B">
      <w:pPr>
        <w:pStyle w:val="APVMAText"/>
      </w:pPr>
      <w:r>
        <w:t xml:space="preserve">The APVMA has a policy of encouraging transparency in its activities and seeking community involvement in decision making. Part of that process is the publication of </w:t>
      </w:r>
      <w:r w:rsidR="00E1009B">
        <w:t>Public Release S</w:t>
      </w:r>
      <w:r>
        <w:t>ummaries for products containing new active constituents.</w:t>
      </w:r>
      <w:r w:rsidR="002853BD">
        <w:t xml:space="preserve"> This Public Release S</w:t>
      </w:r>
      <w:r>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14:paraId="370B646F" w14:textId="77777777" w:rsidR="002E20AC" w:rsidRDefault="006D36C8" w:rsidP="00032787">
      <w:pPr>
        <w:pStyle w:val="APVMAPreliminariesH2"/>
      </w:pPr>
      <w:bookmarkStart w:id="7" w:name="_Toc7561214"/>
      <w:bookmarkStart w:id="8" w:name="_Toc221272390"/>
      <w:r>
        <w:t>About this document</w:t>
      </w:r>
      <w:bookmarkEnd w:id="6"/>
      <w:bookmarkEnd w:id="7"/>
      <w:bookmarkEnd w:id="8"/>
    </w:p>
    <w:p w14:paraId="4B18BC02" w14:textId="77777777" w:rsidR="002F5D1B" w:rsidRDefault="002853BD" w:rsidP="002F5D1B">
      <w:pPr>
        <w:pStyle w:val="APVMAText"/>
        <w:tabs>
          <w:tab w:val="left" w:pos="1361"/>
        </w:tabs>
      </w:pPr>
      <w:r>
        <w:t>This P</w:t>
      </w:r>
      <w:proofErr w:type="spellStart"/>
      <w:r>
        <w:rPr>
          <w:lang w:val="en-GB"/>
        </w:rPr>
        <w:t>ublic</w:t>
      </w:r>
      <w:proofErr w:type="spellEnd"/>
      <w:r>
        <w:rPr>
          <w:lang w:val="en-GB"/>
        </w:rPr>
        <w:t xml:space="preserve">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14:paraId="0EF16FB9" w14:textId="77777777" w:rsidR="002F5D1B" w:rsidRDefault="002F5D1B" w:rsidP="00CA0A44">
      <w:pPr>
        <w:pStyle w:val="APVMABullet1"/>
      </w:pPr>
      <w:r>
        <w:t>the toxicology of both the active constituent and product</w:t>
      </w:r>
    </w:p>
    <w:p w14:paraId="5F57BB43" w14:textId="77777777" w:rsidR="002F5D1B" w:rsidRDefault="002F5D1B" w:rsidP="00CA0A44">
      <w:pPr>
        <w:pStyle w:val="APVMABullet1"/>
      </w:pPr>
      <w:r>
        <w:t>the residues and trade assessment</w:t>
      </w:r>
    </w:p>
    <w:p w14:paraId="43B7D5E0" w14:textId="77777777" w:rsidR="002F5D1B" w:rsidRDefault="002F5D1B" w:rsidP="00CA0A44">
      <w:pPr>
        <w:pStyle w:val="APVMABullet1"/>
      </w:pPr>
      <w:r>
        <w:t>occupational exposure aspects</w:t>
      </w:r>
    </w:p>
    <w:p w14:paraId="7E94D8B9" w14:textId="77777777" w:rsidR="002F5D1B" w:rsidRDefault="002F5D1B" w:rsidP="00CA0A44">
      <w:pPr>
        <w:pStyle w:val="APVMABullet1"/>
      </w:pPr>
      <w:r>
        <w:t>environmental fate, toxicity, potential exposure and hazard</w:t>
      </w:r>
    </w:p>
    <w:p w14:paraId="2F4B360E" w14:textId="77777777" w:rsidR="002F5D1B" w:rsidRDefault="002F5D1B" w:rsidP="00CA0A44">
      <w:pPr>
        <w:pStyle w:val="APVMABullet1"/>
      </w:pPr>
      <w:r>
        <w:t>efficacy and target crop or animal safety.</w:t>
      </w:r>
    </w:p>
    <w:p w14:paraId="736592DF" w14:textId="77777777" w:rsidR="002F5D1B" w:rsidRDefault="002F5D1B" w:rsidP="002F5D1B">
      <w:pPr>
        <w:pStyle w:val="APVMAText"/>
        <w:tabs>
          <w:tab w:val="left" w:pos="1361"/>
        </w:tabs>
      </w:pPr>
      <w:r>
        <w:t>Comment is sought from interested stakeholders on the information contained within this document.</w:t>
      </w:r>
    </w:p>
    <w:p w14:paraId="1AC06269" w14:textId="77777777" w:rsidR="006D36C8" w:rsidRDefault="006D36C8" w:rsidP="00032787">
      <w:pPr>
        <w:pStyle w:val="APVMAPreliminariesH2"/>
      </w:pPr>
      <w:bookmarkStart w:id="9" w:name="_Toc7561215"/>
      <w:bookmarkStart w:id="10" w:name="_Toc221272391"/>
      <w:r>
        <w:t>Making a submission</w:t>
      </w:r>
      <w:bookmarkEnd w:id="9"/>
      <w:bookmarkEnd w:id="10"/>
    </w:p>
    <w:p w14:paraId="618C111D" w14:textId="5BB6F482" w:rsidR="002F5D1B" w:rsidRDefault="002F5D1B" w:rsidP="002F5D1B">
      <w:pPr>
        <w:pStyle w:val="APVMAText"/>
      </w:pPr>
      <w:r>
        <w:t xml:space="preserve">In accordance with sections 12 and 13 of the Agvet Code, the APVMA invites any person to submit a relevant written submission as to whether the application for registration of </w:t>
      </w:r>
      <w:r w:rsidR="00CA5B2B">
        <w:t xml:space="preserve">[Product Name(s)] </w:t>
      </w:r>
      <w:r w:rsidR="00D81C23">
        <w:t xml:space="preserve">should be granted. </w:t>
      </w:r>
      <w:r>
        <w:t xml:space="preserve">Submissions should relate only to matters that the APVMA is required, by legislation, to take into account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2C04DAC8" w14:textId="68E50C08" w:rsidR="002F5D1B" w:rsidRDefault="002F5D1B" w:rsidP="002F5D1B">
      <w:pPr>
        <w:pStyle w:val="APVMAText"/>
      </w:pPr>
      <w:r>
        <w:lastRenderedPageBreak/>
        <w:t xml:space="preserve">Submissions must be received by the APVMA by </w:t>
      </w:r>
      <w:r w:rsidRPr="00FE7A6B">
        <w:rPr>
          <w:b/>
          <w:bCs/>
        </w:rPr>
        <w:t xml:space="preserve">close of business on </w:t>
      </w:r>
      <w:r w:rsidR="00FE7A6B" w:rsidRPr="00FE7A6B">
        <w:rPr>
          <w:b/>
          <w:bCs/>
        </w:rPr>
        <w:t xml:space="preserve">Tuesday </w:t>
      </w:r>
      <w:r w:rsidR="00FE7A6B" w:rsidRPr="00FE7A6B">
        <w:rPr>
          <w:b/>
          <w:bCs/>
        </w:rPr>
        <w:t>10 March 2026</w:t>
      </w:r>
      <w:r w:rsidR="00FE7A6B">
        <w:t xml:space="preserve"> </w:t>
      </w:r>
      <w:r>
        <w:t>and be directed to the contact listed below. All submissions to the APVMA will be acknowledged in writing via email or by post.</w:t>
      </w:r>
    </w:p>
    <w:p w14:paraId="5149F7FB" w14:textId="77777777" w:rsidR="002F5D1B" w:rsidRDefault="002F5D1B" w:rsidP="002F5D1B">
      <w:pPr>
        <w:pStyle w:val="APVMAText"/>
      </w:pPr>
      <w:r>
        <w:t>Relevant comments will be taken into account by the APVMA in deciding whether the product should be registered and in determining appropriate conditions of registration and product labelling.</w:t>
      </w:r>
    </w:p>
    <w:p w14:paraId="1DBB4369" w14:textId="626268AE" w:rsidR="002F5D1B" w:rsidRDefault="002F5D1B" w:rsidP="002F5D1B">
      <w:pPr>
        <w:pStyle w:val="APVMAText"/>
      </w:pPr>
      <w:r>
        <w:t>When making a submission please include:</w:t>
      </w:r>
    </w:p>
    <w:p w14:paraId="3415C3D9" w14:textId="3D52A68F" w:rsidR="002F5D1B" w:rsidRDefault="00772458" w:rsidP="002F5D1B">
      <w:pPr>
        <w:pStyle w:val="APVMABullet1"/>
      </w:pPr>
      <w:r>
        <w:t xml:space="preserve">a </w:t>
      </w:r>
      <w:r w:rsidR="002F5D1B">
        <w:t>contact name</w:t>
      </w:r>
    </w:p>
    <w:p w14:paraId="42073838" w14:textId="7698F0AA" w:rsidR="002F5D1B" w:rsidRDefault="00772458" w:rsidP="002F5D1B">
      <w:pPr>
        <w:pStyle w:val="APVMABullet1"/>
      </w:pPr>
      <w:r>
        <w:t xml:space="preserve">the </w:t>
      </w:r>
      <w:r w:rsidR="002F5D1B">
        <w:t xml:space="preserve">company or </w:t>
      </w:r>
      <w:r w:rsidR="00F836A5">
        <w:t xml:space="preserve">organisation </w:t>
      </w:r>
      <w:r w:rsidR="002F5D1B">
        <w:t>name (if relevant)</w:t>
      </w:r>
    </w:p>
    <w:p w14:paraId="2A0494C3" w14:textId="7044B26C" w:rsidR="002F5D1B" w:rsidRDefault="00772458" w:rsidP="002F5D1B">
      <w:pPr>
        <w:pStyle w:val="APVMABullet1"/>
      </w:pPr>
      <w:r>
        <w:t xml:space="preserve">an </w:t>
      </w:r>
      <w:r w:rsidR="002F5D1B">
        <w:t>email or postal address (if available)</w:t>
      </w:r>
    </w:p>
    <w:p w14:paraId="0CCBBD35" w14:textId="77777777" w:rsidR="002F5D1B" w:rsidRDefault="002F5D1B" w:rsidP="002F5D1B">
      <w:pPr>
        <w:pStyle w:val="APVMABullet1"/>
      </w:pPr>
      <w:r>
        <w:t>the date you made the submission.</w:t>
      </w:r>
    </w:p>
    <w:p w14:paraId="7F264EDA" w14:textId="35BB044C" w:rsidR="00D81C23" w:rsidRDefault="00D81C23" w:rsidP="002F5D1B">
      <w:pPr>
        <w:pStyle w:val="APVMAText"/>
      </w:pPr>
      <w:r w:rsidRPr="005958BC">
        <w:rPr>
          <w:b/>
        </w:rPr>
        <w:t>Please note</w:t>
      </w:r>
      <w:r>
        <w:t xml:space="preserve">: </w:t>
      </w:r>
      <w:r w:rsidR="00F836A5">
        <w:t>s</w:t>
      </w:r>
      <w:r w:rsidR="00F836A5" w:rsidRPr="00F836A5">
        <w:t>ubmissions will be published on the APVMA website unless you have asked for the sub</w:t>
      </w:r>
      <w:r w:rsidR="00F836A5">
        <w:t xml:space="preserve">mission to remain confidential, or </w:t>
      </w:r>
      <w:r w:rsidR="0046400B">
        <w:t xml:space="preserve">if the APVMA chooses at its discretion not to publish any submissions received </w:t>
      </w:r>
      <w:r w:rsidR="00F836A5">
        <w:t xml:space="preserve">(refer to the </w:t>
      </w:r>
      <w:hyperlink r:id="rId23" w:history="1">
        <w:r w:rsidR="00F836A5" w:rsidRPr="00401F04">
          <w:rPr>
            <w:rStyle w:val="Hyperlink"/>
          </w:rPr>
          <w:t>public consultation coversheet</w:t>
        </w:r>
      </w:hyperlink>
      <w:r w:rsidR="00F836A5">
        <w:t>)</w:t>
      </w:r>
      <w:r w:rsidR="00CA5B2B">
        <w:t>.</w:t>
      </w:r>
    </w:p>
    <w:p w14:paraId="7BABEEAA" w14:textId="1515682E" w:rsidR="00D81C23" w:rsidRDefault="00F836A5" w:rsidP="002F5D1B">
      <w:pPr>
        <w:pStyle w:val="APVMAText"/>
      </w:pPr>
      <w:r>
        <w:t>Please</w:t>
      </w:r>
      <w:r w:rsidR="00D81C23">
        <w:t xml:space="preserve"> lodge </w:t>
      </w:r>
      <w:r>
        <w:t xml:space="preserve">your </w:t>
      </w:r>
      <w:r w:rsidR="00D81C23">
        <w:t xml:space="preserve">submission using </w:t>
      </w:r>
      <w:r w:rsidR="00D81C23" w:rsidRPr="00D81C23">
        <w:t xml:space="preserve">the </w:t>
      </w:r>
      <w:hyperlink r:id="rId24" w:history="1">
        <w:r w:rsidR="00D81C23" w:rsidRPr="00401F04">
          <w:rPr>
            <w:rStyle w:val="Hyperlink"/>
          </w:rPr>
          <w:t>public consultation coversheet</w:t>
        </w:r>
      </w:hyperlink>
      <w:r w:rsidR="00D81C23">
        <w:t xml:space="preserve">, which provides options for how your submission </w:t>
      </w:r>
      <w:r>
        <w:t>will be</w:t>
      </w:r>
      <w:r w:rsidR="00D81C23">
        <w:t xml:space="preserve"> published.</w:t>
      </w:r>
    </w:p>
    <w:p w14:paraId="35CECD91" w14:textId="3773BB88" w:rsidR="00E1009B" w:rsidRDefault="00E1009B" w:rsidP="002F5D1B">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0DEFD823" w14:textId="2E99F4B5" w:rsidR="002F5D1B" w:rsidRDefault="002F5D1B" w:rsidP="002F5D1B">
      <w:pPr>
        <w:pStyle w:val="APVMAText"/>
      </w:pPr>
      <w:r>
        <w:t xml:space="preserve">Unless </w:t>
      </w:r>
      <w:r w:rsidR="00F836A5">
        <w:t xml:space="preserve">you </w:t>
      </w:r>
      <w:r>
        <w:t xml:space="preserve">request </w:t>
      </w:r>
      <w:r w:rsidR="00F836A5">
        <w:t>for your submission to remain confident</w:t>
      </w:r>
      <w:r w:rsidR="002549D3">
        <w:t>ial</w:t>
      </w:r>
      <w:r w:rsidR="00F836A5">
        <w:t>,</w:t>
      </w:r>
      <w:r>
        <w:t xml:space="preserve"> the APVMA may release </w:t>
      </w:r>
      <w:r w:rsidR="00F836A5">
        <w:t xml:space="preserve">your </w:t>
      </w:r>
      <w:r>
        <w:t>submission</w:t>
      </w:r>
      <w:r w:rsidR="00F836A5">
        <w:t xml:space="preserve"> </w:t>
      </w:r>
      <w:r>
        <w:t>to the applicant for comment.</w:t>
      </w:r>
    </w:p>
    <w:p w14:paraId="45436B3D" w14:textId="79C571E4" w:rsidR="002F5D1B" w:rsidRDefault="002F5D1B" w:rsidP="005958BC">
      <w:pPr>
        <w:pStyle w:val="APVMAText"/>
        <w:tabs>
          <w:tab w:val="center" w:pos="4819"/>
        </w:tabs>
      </w:pPr>
      <w:r>
        <w:t>Written submissions should be addressed to:</w:t>
      </w:r>
    </w:p>
    <w:p w14:paraId="1F837EDF" w14:textId="11AD4F21" w:rsidR="006D36C8" w:rsidRDefault="00705195" w:rsidP="005148C0">
      <w:pPr>
        <w:pStyle w:val="APVMAAddress"/>
        <w:tabs>
          <w:tab w:val="clear" w:pos="1361"/>
          <w:tab w:val="left" w:pos="851"/>
        </w:tabs>
        <w:ind w:left="0"/>
      </w:pPr>
      <w:r>
        <w:t xml:space="preserve">Case Management Team </w:t>
      </w:r>
      <w:r w:rsidR="00772458">
        <w:t>–</w:t>
      </w:r>
      <w:r>
        <w:t xml:space="preserve"> Pesticides</w:t>
      </w:r>
      <w:r w:rsidR="003D1D4A">
        <w:br/>
      </w:r>
      <w:r w:rsidR="006D36C8">
        <w:t>Australian Pesticides and Veterinary Medicines Authority</w:t>
      </w:r>
      <w:r w:rsidR="003D1D4A">
        <w:br/>
      </w:r>
      <w:r w:rsidR="003D1D4A" w:rsidRPr="003D1D4A">
        <w:t>GPO Box 574</w:t>
      </w:r>
      <w:r w:rsidR="003D1D4A">
        <w:br/>
      </w:r>
      <w:r w:rsidR="003D1D4A" w:rsidRPr="003D1D4A">
        <w:t>Canberra ACT 2601, Australia</w:t>
      </w:r>
    </w:p>
    <w:p w14:paraId="2847B932" w14:textId="30C04D98" w:rsidR="003D1D4A" w:rsidRDefault="006D36C8" w:rsidP="003D1D4A">
      <w:pPr>
        <w:pStyle w:val="APVMAAddress"/>
        <w:tabs>
          <w:tab w:val="clear" w:pos="1361"/>
          <w:tab w:val="left" w:pos="851"/>
        </w:tabs>
        <w:spacing w:before="240"/>
        <w:ind w:left="0"/>
      </w:pPr>
      <w:r>
        <w:rPr>
          <w:b/>
        </w:rPr>
        <w:t>Phone:</w:t>
      </w:r>
      <w:r>
        <w:tab/>
        <w:t xml:space="preserve">+61 2 </w:t>
      </w:r>
      <w:r w:rsidR="00913600">
        <w:t>6770 2300</w:t>
      </w:r>
      <w:r w:rsidR="003D1D4A">
        <w:br/>
      </w:r>
      <w:r>
        <w:rPr>
          <w:b/>
        </w:rPr>
        <w:t>Email:</w:t>
      </w:r>
      <w:r>
        <w:tab/>
      </w:r>
      <w:hyperlink r:id="rId25" w:history="1">
        <w:r w:rsidR="00705195" w:rsidRPr="00772458">
          <w:rPr>
            <w:rStyle w:val="Hyperlink"/>
          </w:rPr>
          <w:t>casemanagement@apvma.gov.au</w:t>
        </w:r>
      </w:hyperlink>
      <w:r>
        <w:t>.</w:t>
      </w:r>
      <w:r w:rsidR="003D1D4A">
        <w:br w:type="page"/>
      </w:r>
    </w:p>
    <w:p w14:paraId="62987759" w14:textId="77777777" w:rsidR="006D36C8" w:rsidRDefault="006D36C8" w:rsidP="00032787">
      <w:pPr>
        <w:pStyle w:val="APVMAPreliminariesH2"/>
      </w:pPr>
      <w:bookmarkStart w:id="11" w:name="_Toc2243844"/>
      <w:bookmarkStart w:id="12" w:name="_Toc7561216"/>
      <w:bookmarkStart w:id="13" w:name="_Toc221272392"/>
      <w:r>
        <w:lastRenderedPageBreak/>
        <w:t>Further information</w:t>
      </w:r>
      <w:bookmarkEnd w:id="11"/>
      <w:bookmarkEnd w:id="12"/>
      <w:bookmarkEnd w:id="13"/>
    </w:p>
    <w:p w14:paraId="0E27766A" w14:textId="77777777" w:rsidR="002F5D1B" w:rsidRDefault="002F5D1B" w:rsidP="002F5D1B">
      <w:pPr>
        <w:pStyle w:val="APVMAText"/>
      </w:pPr>
      <w:r>
        <w:t>Further information can be obtained via the contact details provided above.</w:t>
      </w:r>
    </w:p>
    <w:p w14:paraId="1AF67543" w14:textId="77777777" w:rsidR="002F5D1B" w:rsidRDefault="002F5D1B" w:rsidP="002F5D1B">
      <w:pPr>
        <w:pStyle w:val="APVMAText"/>
      </w:pPr>
      <w:r>
        <w:t>Copies of technical evaluation reports covering chemistry, efficacy and safety, toxicology, occupational health and safety aspects, residues in food and environmental aspects are available from the APVMA on request.</w:t>
      </w:r>
    </w:p>
    <w:p w14:paraId="3CA7B1E0" w14:textId="31A7919F" w:rsidR="00D22CCB" w:rsidRDefault="00E1009B" w:rsidP="00EA7005">
      <w:pPr>
        <w:pStyle w:val="APVMAText"/>
        <w:sectPr w:rsidR="00D22CCB" w:rsidSect="00424637">
          <w:headerReference w:type="default" r:id="rId26"/>
          <w:pgSz w:w="11906" w:h="16838" w:code="9"/>
          <w:pgMar w:top="2835" w:right="1134" w:bottom="1134" w:left="1134" w:header="1701" w:footer="680" w:gutter="0"/>
          <w:pgNumType w:start="1"/>
          <w:cols w:space="708"/>
          <w:docGrid w:linePitch="360"/>
        </w:sectPr>
      </w:pPr>
      <w:r>
        <w:t>Further information on Public Release S</w:t>
      </w:r>
      <w:r w:rsidR="002F5D1B">
        <w:t xml:space="preserve">ummaries can be found on the </w:t>
      </w:r>
      <w:hyperlink r:id="rId27" w:history="1">
        <w:r w:rsidR="002F5D1B" w:rsidRPr="006C539B">
          <w:rPr>
            <w:rStyle w:val="Hyperlink"/>
          </w:rPr>
          <w:t>APVMA website</w:t>
        </w:r>
      </w:hyperlink>
      <w:r w:rsidR="002F5D1B">
        <w:t>.</w:t>
      </w:r>
    </w:p>
    <w:p w14:paraId="085FB31F" w14:textId="617B6EBF" w:rsidR="002E20AC" w:rsidRDefault="00CA5B2B" w:rsidP="00032787">
      <w:pPr>
        <w:pStyle w:val="Heading1"/>
      </w:pPr>
      <w:bookmarkStart w:id="14" w:name="_Toc7561217"/>
      <w:bookmarkStart w:id="15" w:name="_Toc221272393"/>
      <w:r>
        <w:lastRenderedPageBreak/>
        <w:t>I</w:t>
      </w:r>
      <w:r w:rsidR="006D36C8">
        <w:t>ntroduction</w:t>
      </w:r>
      <w:bookmarkEnd w:id="14"/>
      <w:bookmarkEnd w:id="15"/>
    </w:p>
    <w:p w14:paraId="0DF95F9D" w14:textId="1D91E545" w:rsidR="005A2957" w:rsidRDefault="005A2957" w:rsidP="005A2957">
      <w:pPr>
        <w:pStyle w:val="APVMAText"/>
      </w:pPr>
      <w:r>
        <w:t xml:space="preserve">This publication provides a summary of the data reviewed and an outline of the regulatory considerations for the proposed registration of </w:t>
      </w:r>
      <w:r w:rsidR="00E75559">
        <w:t>Semios Carob Moth Aerosol Pheromone</w:t>
      </w:r>
      <w:r>
        <w:t xml:space="preserve">, and approval of the new active constituent, </w:t>
      </w:r>
      <w:r w:rsidR="00790132" w:rsidRPr="00790132">
        <w:t>(Z,E)-7,9,11-dodecatrienyl formate</w:t>
      </w:r>
      <w:r>
        <w:t>.</w:t>
      </w:r>
    </w:p>
    <w:p w14:paraId="32D5C8FA" w14:textId="77777777" w:rsidR="005A2957" w:rsidRDefault="005A2957" w:rsidP="005A2957">
      <w:pPr>
        <w:pStyle w:val="Heading2"/>
        <w:ind w:left="907" w:hanging="907"/>
      </w:pPr>
      <w:bookmarkStart w:id="16" w:name="_Toc461366927"/>
      <w:bookmarkStart w:id="17" w:name="_Toc531181066"/>
      <w:bookmarkStart w:id="18" w:name="_Toc7561218"/>
      <w:bookmarkStart w:id="19" w:name="_Toc221272394"/>
      <w:r>
        <w:t>Applicant</w:t>
      </w:r>
      <w:bookmarkEnd w:id="16"/>
      <w:bookmarkEnd w:id="17"/>
      <w:bookmarkEnd w:id="18"/>
      <w:bookmarkEnd w:id="19"/>
    </w:p>
    <w:p w14:paraId="4E8BE879" w14:textId="55DC7D3D" w:rsidR="005A2957" w:rsidRDefault="00790132" w:rsidP="005A2957">
      <w:pPr>
        <w:spacing w:before="240" w:after="240" w:line="280" w:lineRule="exact"/>
      </w:pPr>
      <w:bookmarkStart w:id="20" w:name="_Toc461366928"/>
      <w:r w:rsidRPr="00790132">
        <w:t>SEMIOS AUSTRALIA PTY LTD</w:t>
      </w:r>
      <w:r w:rsidR="00CA5B2B">
        <w:t>.</w:t>
      </w:r>
    </w:p>
    <w:p w14:paraId="68625900" w14:textId="77777777" w:rsidR="005A2957" w:rsidRPr="00002B5B" w:rsidRDefault="005A2957" w:rsidP="005A2957">
      <w:pPr>
        <w:pStyle w:val="Heading2"/>
        <w:ind w:left="907" w:hanging="907"/>
      </w:pPr>
      <w:bookmarkStart w:id="21" w:name="_Toc531181067"/>
      <w:bookmarkStart w:id="22" w:name="_Toc7561219"/>
      <w:bookmarkStart w:id="23" w:name="_Toc221272395"/>
      <w:bookmarkEnd w:id="20"/>
      <w:r>
        <w:t>Purpose of application</w:t>
      </w:r>
      <w:bookmarkEnd w:id="21"/>
      <w:bookmarkEnd w:id="22"/>
      <w:bookmarkEnd w:id="23"/>
    </w:p>
    <w:p w14:paraId="1FFD362F" w14:textId="135B8AE4" w:rsidR="005A2957" w:rsidRDefault="00790132" w:rsidP="005A2957">
      <w:pPr>
        <w:pStyle w:val="APVMAText"/>
      </w:pPr>
      <w:r w:rsidRPr="00790132">
        <w:t xml:space="preserve">SEMIOS AUSTRALIA PTY LTD </w:t>
      </w:r>
      <w:r w:rsidR="005A2957">
        <w:t xml:space="preserve">has applied to the APVMA for registration of the new product </w:t>
      </w:r>
      <w:r w:rsidR="00E75559">
        <w:t>Semios Carob Moth Aerosol Pheromone</w:t>
      </w:r>
      <w:r w:rsidR="005A2957">
        <w:t xml:space="preserve">, an </w:t>
      </w:r>
      <w:r w:rsidR="00651A92">
        <w:t>aerosol</w:t>
      </w:r>
      <w:r w:rsidR="005A2957">
        <w:t xml:space="preserve"> formulation </w:t>
      </w:r>
      <w:r w:rsidR="00BB65FC">
        <w:t xml:space="preserve">containing </w:t>
      </w:r>
      <w:r w:rsidR="00BB65FC" w:rsidRPr="00651A92">
        <w:t>12.5 g/kg</w:t>
      </w:r>
      <w:r w:rsidR="00BB65FC">
        <w:t xml:space="preserve"> </w:t>
      </w:r>
      <w:r w:rsidR="005A2957">
        <w:t xml:space="preserve">of the new active constituent </w:t>
      </w:r>
      <w:r w:rsidR="00651A92" w:rsidRPr="00651A92">
        <w:rPr>
          <w:iCs/>
        </w:rPr>
        <w:t>(Z, E) -7,9,11-dodecatrienyl formate</w:t>
      </w:r>
      <w:r w:rsidR="00651A92">
        <w:rPr>
          <w:iCs/>
        </w:rPr>
        <w:t>.</w:t>
      </w:r>
    </w:p>
    <w:p w14:paraId="3B9097F8" w14:textId="77777777" w:rsidR="005A2957" w:rsidRDefault="005A2957" w:rsidP="005A2957">
      <w:pPr>
        <w:pStyle w:val="Heading2"/>
        <w:ind w:left="907" w:hanging="907"/>
      </w:pPr>
      <w:bookmarkStart w:id="24" w:name="_Toc531181068"/>
      <w:bookmarkStart w:id="25" w:name="_Toc7561220"/>
      <w:bookmarkStart w:id="26" w:name="_Toc221272396"/>
      <w:bookmarkStart w:id="27" w:name="_Toc461366929"/>
      <w:r>
        <w:t>Proposed claims and use pattern</w:t>
      </w:r>
      <w:bookmarkEnd w:id="24"/>
      <w:bookmarkEnd w:id="25"/>
      <w:bookmarkEnd w:id="26"/>
    </w:p>
    <w:p w14:paraId="3522D1AC" w14:textId="54069305" w:rsidR="005A2957" w:rsidRDefault="006F79EF" w:rsidP="005A2957">
      <w:pPr>
        <w:pStyle w:val="APVMAText"/>
      </w:pPr>
      <w:r>
        <w:t>F</w:t>
      </w:r>
      <w:r w:rsidR="00651A92" w:rsidRPr="00651A92">
        <w:t>or the management of Carob Moth (</w:t>
      </w:r>
      <w:r w:rsidR="00651A92" w:rsidRPr="005F260F">
        <w:rPr>
          <w:i/>
          <w:iCs/>
        </w:rPr>
        <w:t>Ectomyelois ceratoniae</w:t>
      </w:r>
      <w:r w:rsidR="00651A92" w:rsidRPr="00651A92">
        <w:t xml:space="preserve">) in </w:t>
      </w:r>
      <w:r>
        <w:t>almond trees</w:t>
      </w:r>
      <w:r w:rsidR="00651A92" w:rsidRPr="00651A92">
        <w:t xml:space="preserve"> through the process of mating disruption in orchards.</w:t>
      </w:r>
    </w:p>
    <w:p w14:paraId="774CF248" w14:textId="77777777" w:rsidR="00B21275" w:rsidRPr="00B21275" w:rsidRDefault="00B21275" w:rsidP="00B21275">
      <w:pPr>
        <w:rPr>
          <w:rFonts w:cs="Arial"/>
          <w:u w:color="000000"/>
        </w:rPr>
      </w:pPr>
      <w:r w:rsidRPr="00B21275">
        <w:rPr>
          <w:rFonts w:cs="Arial"/>
          <w:u w:color="000000"/>
        </w:rPr>
        <w:t>Semios aerosol dispensing system involves the placing of up to 5 automatically controlled dispensers per hectare. A single metered release of Carob Moth pheromone from each dispenser is released typically every 5 -20 minutes for approximately 12 hours per day.</w:t>
      </w:r>
    </w:p>
    <w:p w14:paraId="13D27F64" w14:textId="77777777" w:rsidR="005A2957" w:rsidRDefault="005A2957" w:rsidP="005A2957">
      <w:pPr>
        <w:pStyle w:val="Heading2"/>
        <w:ind w:left="907" w:hanging="907"/>
      </w:pPr>
      <w:bookmarkStart w:id="28" w:name="_Toc531181069"/>
      <w:bookmarkStart w:id="29" w:name="_Toc7561221"/>
      <w:bookmarkStart w:id="30" w:name="_Toc221272397"/>
      <w:r>
        <w:t>Mode of action</w:t>
      </w:r>
      <w:bookmarkEnd w:id="28"/>
      <w:bookmarkEnd w:id="29"/>
      <w:bookmarkEnd w:id="30"/>
    </w:p>
    <w:p w14:paraId="0D6DD2E2" w14:textId="4B9143B3" w:rsidR="005A2957" w:rsidRPr="00C73E9F" w:rsidRDefault="00000000" w:rsidP="005A2957">
      <w:pPr>
        <w:pStyle w:val="APVMAText"/>
      </w:pPr>
      <w:sdt>
        <w:sdtPr>
          <w:rPr>
            <w:rStyle w:val="Response"/>
          </w:rPr>
          <w:tag w:val="txt_B_15_6_001"/>
          <w:id w:val="1173762420"/>
          <w:placeholder>
            <w:docPart w:val="9DE9D989740140CD8339DF7AE1827A75"/>
          </w:placeholder>
          <w15:appearance w15:val="hidden"/>
        </w:sdtPr>
        <w:sdtEndPr>
          <w:rPr>
            <w:rStyle w:val="DefaultParagraphFont"/>
            <w:color w:val="auto"/>
          </w:rPr>
        </w:sdtEndPr>
        <w:sdtContent>
          <w:r w:rsidR="006F79EF" w:rsidRPr="006F79EF">
            <w:t xml:space="preserve">INSECTICIDE </w:t>
          </w:r>
          <w:r w:rsidR="006F79EF">
            <w:t>–</w:t>
          </w:r>
          <w:r w:rsidR="006F79EF" w:rsidRPr="006F79EF">
            <w:t xml:space="preserve"> </w:t>
          </w:r>
          <w:r w:rsidR="006F79EF">
            <w:t xml:space="preserve">a </w:t>
          </w:r>
          <w:r w:rsidR="006F79EF" w:rsidRPr="006F79EF">
            <w:t>synthetic pheromone</w:t>
          </w:r>
          <w:r w:rsidR="006F79EF">
            <w:t xml:space="preserve"> that</w:t>
          </w:r>
          <w:r w:rsidR="006F79EF" w:rsidRPr="006F79EF">
            <w:t xml:space="preserve"> disrupts mating and prevents successful egg laying without killing the insects</w:t>
          </w:r>
        </w:sdtContent>
      </w:sdt>
    </w:p>
    <w:p w14:paraId="493FDA61" w14:textId="77777777" w:rsidR="005A2957" w:rsidRDefault="005A2957" w:rsidP="005A2957">
      <w:pPr>
        <w:pStyle w:val="Heading2"/>
        <w:ind w:left="907" w:hanging="907"/>
      </w:pPr>
      <w:bookmarkStart w:id="31" w:name="_Toc531181070"/>
      <w:bookmarkStart w:id="32" w:name="_Toc7561222"/>
      <w:bookmarkStart w:id="33" w:name="_Toc221272398"/>
      <w:r>
        <w:t>Overseas registrations</w:t>
      </w:r>
      <w:bookmarkEnd w:id="27"/>
      <w:bookmarkEnd w:id="31"/>
      <w:bookmarkEnd w:id="32"/>
      <w:bookmarkEnd w:id="33"/>
    </w:p>
    <w:p w14:paraId="5E2F223F" w14:textId="40D3CBDE" w:rsidR="00AF7046" w:rsidRDefault="005A2957" w:rsidP="005A2957">
      <w:pPr>
        <w:pStyle w:val="APVMAText"/>
        <w:sectPr w:rsidR="00AF7046">
          <w:headerReference w:type="default" r:id="rId28"/>
          <w:pgSz w:w="11906" w:h="16838" w:code="9"/>
          <w:pgMar w:top="2835" w:right="1134" w:bottom="1134" w:left="1134" w:header="1701" w:footer="680" w:gutter="0"/>
          <w:cols w:space="708"/>
          <w:docGrid w:linePitch="360"/>
        </w:sectPr>
      </w:pPr>
      <w:r>
        <w:rPr>
          <w:szCs w:val="20"/>
        </w:rPr>
        <w:t xml:space="preserve">The product is currently registered in </w:t>
      </w:r>
      <w:r w:rsidR="0026183C">
        <w:rPr>
          <w:szCs w:val="20"/>
        </w:rPr>
        <w:t>USA</w:t>
      </w:r>
      <w:r w:rsidR="00CA5B2B">
        <w:rPr>
          <w:szCs w:val="20"/>
        </w:rPr>
        <w:t xml:space="preserve"> </w:t>
      </w:r>
      <w:r>
        <w:rPr>
          <w:szCs w:val="20"/>
        </w:rPr>
        <w:t xml:space="preserve">as </w:t>
      </w:r>
      <w:r w:rsidR="0026183C" w:rsidRPr="0026183C">
        <w:t>Splat EC-O</w:t>
      </w:r>
      <w:r>
        <w:rPr>
          <w:szCs w:val="20"/>
        </w:rPr>
        <w:t>, for</w:t>
      </w:r>
      <w:r w:rsidR="00CA5B2B">
        <w:rPr>
          <w:szCs w:val="20"/>
        </w:rPr>
        <w:t xml:space="preserve"> </w:t>
      </w:r>
      <w:r w:rsidR="0026183C" w:rsidRPr="0026183C">
        <w:rPr>
          <w:szCs w:val="20"/>
        </w:rPr>
        <w:t xml:space="preserve">the management of Carob Moth </w:t>
      </w:r>
      <w:r w:rsidR="0026183C" w:rsidRPr="0026183C">
        <w:rPr>
          <w:i/>
          <w:iCs/>
          <w:szCs w:val="20"/>
        </w:rPr>
        <w:t>(Ectomyelois ceratoniae</w:t>
      </w:r>
      <w:r w:rsidR="0026183C" w:rsidRPr="0026183C">
        <w:rPr>
          <w:szCs w:val="20"/>
        </w:rPr>
        <w:t>) in almond trees</w:t>
      </w:r>
      <w:r w:rsidR="0026183C">
        <w:rPr>
          <w:szCs w:val="20"/>
        </w:rPr>
        <w:t>.</w:t>
      </w:r>
    </w:p>
    <w:p w14:paraId="5141A89F" w14:textId="5698D8E9" w:rsidR="006D36C8" w:rsidRDefault="00CA5B2B" w:rsidP="00032787">
      <w:pPr>
        <w:pStyle w:val="Heading1"/>
      </w:pPr>
      <w:bookmarkStart w:id="34" w:name="_Toc221272399"/>
      <w:r>
        <w:lastRenderedPageBreak/>
        <w:t>C</w:t>
      </w:r>
      <w:r w:rsidR="000C1518">
        <w:t>hemistry and manufacture</w:t>
      </w:r>
      <w:bookmarkEnd w:id="34"/>
    </w:p>
    <w:p w14:paraId="080FB73B" w14:textId="77777777" w:rsidR="006D36C8" w:rsidRDefault="000C1518" w:rsidP="00032787">
      <w:pPr>
        <w:pStyle w:val="Heading2"/>
      </w:pPr>
      <w:bookmarkStart w:id="35" w:name="_Toc221272400"/>
      <w:r>
        <w:t>Active constituent</w:t>
      </w:r>
      <w:bookmarkEnd w:id="35"/>
    </w:p>
    <w:p w14:paraId="5DF50DC6" w14:textId="54077D42" w:rsidR="005A2957" w:rsidRDefault="005A2957" w:rsidP="005A2957">
      <w:pPr>
        <w:pStyle w:val="APVMAText"/>
        <w:rPr>
          <w:szCs w:val="20"/>
        </w:rPr>
      </w:pPr>
      <w:r>
        <w:t xml:space="preserve">The active constituent </w:t>
      </w:r>
      <w:r w:rsidR="00800BB2" w:rsidRPr="00800BB2">
        <w:rPr>
          <w:szCs w:val="20"/>
          <w:lang w:eastAsia="en-AU"/>
        </w:rPr>
        <w:t>(Z,E)-7,9,11-dodecatrienyl formate</w:t>
      </w:r>
      <w:r w:rsidR="00800BB2">
        <w:t xml:space="preserve"> </w:t>
      </w:r>
      <w:r w:rsidR="00CA5B2B">
        <w:t>is manufactured overseas</w:t>
      </w:r>
      <w:r>
        <w:t xml:space="preserve">. </w:t>
      </w:r>
      <w:r>
        <w:rPr>
          <w:szCs w:val="20"/>
        </w:rPr>
        <w:t xml:space="preserve">Details of the chemical name, structure, and physicochemical properties of </w:t>
      </w:r>
      <w:r w:rsidR="00800BB2" w:rsidRPr="00800BB2">
        <w:rPr>
          <w:szCs w:val="20"/>
          <w:lang w:eastAsia="en-AU"/>
        </w:rPr>
        <w:t>(Z,E)-7,9,11-dodecatrienyl formate</w:t>
      </w:r>
      <w:r w:rsidR="00800BB2">
        <w:rPr>
          <w:szCs w:val="20"/>
        </w:rPr>
        <w:t xml:space="preserve"> </w:t>
      </w:r>
      <w:r>
        <w:rPr>
          <w:szCs w:val="20"/>
        </w:rPr>
        <w:t>are</w:t>
      </w:r>
      <w:r w:rsidR="00CA5B2B">
        <w:rPr>
          <w:szCs w:val="20"/>
        </w:rPr>
        <w:t xml:space="preserve"> listed below </w:t>
      </w:r>
      <w:r w:rsidR="00772458">
        <w:rPr>
          <w:szCs w:val="20"/>
        </w:rPr>
        <w:t xml:space="preserve">in </w:t>
      </w:r>
      <w:r w:rsidR="00CA5B2B">
        <w:rPr>
          <w:szCs w:val="20"/>
        </w:rPr>
        <w:t xml:space="preserve">Tables 1 to </w:t>
      </w:r>
      <w:r>
        <w:rPr>
          <w:szCs w:val="20"/>
        </w:rPr>
        <w:t>2.</w:t>
      </w:r>
    </w:p>
    <w:p w14:paraId="314BA456" w14:textId="73184915" w:rsidR="006D36C8" w:rsidRDefault="00772458" w:rsidP="00772458">
      <w:pPr>
        <w:pStyle w:val="Caption"/>
      </w:pPr>
      <w:bookmarkStart w:id="36" w:name="_Toc252955166"/>
      <w:bookmarkStart w:id="37" w:name="_Toc56686265"/>
      <w:bookmarkStart w:id="38" w:name="_Toc56686278"/>
      <w:bookmarkStart w:id="39" w:name="_Toc221272431"/>
      <w:r>
        <w:t xml:space="preserve">Table </w:t>
      </w:r>
      <w:r>
        <w:fldChar w:fldCharType="begin"/>
      </w:r>
      <w:r>
        <w:instrText xml:space="preserve"> SEQ Table \* ARABIC </w:instrText>
      </w:r>
      <w:r>
        <w:fldChar w:fldCharType="separate"/>
      </w:r>
      <w:r>
        <w:rPr>
          <w:noProof/>
        </w:rPr>
        <w:t>1</w:t>
      </w:r>
      <w:r>
        <w:rPr>
          <w:noProof/>
        </w:rPr>
        <w:fldChar w:fldCharType="end"/>
      </w:r>
      <w:r w:rsidR="006D36C8">
        <w:t>:</w:t>
      </w:r>
      <w:bookmarkEnd w:id="36"/>
      <w:r w:rsidR="007B322A">
        <w:t xml:space="preserve"> </w:t>
      </w:r>
      <w:r w:rsidR="005A2957">
        <w:t xml:space="preserve">Nomenclature and structural formula of the active constituent </w:t>
      </w:r>
      <w:r w:rsidR="00CA5B2B">
        <w:t>[active constituent]</w:t>
      </w:r>
      <w:bookmarkEnd w:id="37"/>
      <w:bookmarkEnd w:id="38"/>
      <w:bookmarkEnd w:id="39"/>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5A2957" w14:paraId="28D8FAE4" w14:textId="77777777" w:rsidTr="00424637">
        <w:trPr>
          <w:tblHeader/>
        </w:trPr>
        <w:tc>
          <w:tcPr>
            <w:tcW w:w="1580" w:type="pct"/>
            <w:tcBorders>
              <w:top w:val="single" w:sz="4" w:space="0" w:color="auto"/>
            </w:tcBorders>
            <w:shd w:val="clear" w:color="auto" w:fill="00747A" w:themeFill="background2"/>
          </w:tcPr>
          <w:p w14:paraId="3DEC4671" w14:textId="77777777" w:rsidR="005A2957" w:rsidRDefault="005A2957" w:rsidP="00424637">
            <w:pPr>
              <w:pStyle w:val="APVMATableHead"/>
            </w:pPr>
            <w:r>
              <w:t>Common name (ISO):</w:t>
            </w:r>
          </w:p>
        </w:tc>
        <w:tc>
          <w:tcPr>
            <w:tcW w:w="3420" w:type="pct"/>
            <w:tcBorders>
              <w:top w:val="single" w:sz="4" w:space="0" w:color="auto"/>
            </w:tcBorders>
          </w:tcPr>
          <w:p w14:paraId="2C5736AB" w14:textId="3A9F37D9" w:rsidR="005A2957" w:rsidRPr="003D1D4A" w:rsidRDefault="001E6757" w:rsidP="003D1D4A">
            <w:pPr>
              <w:pStyle w:val="APVMATableText"/>
            </w:pPr>
            <w:r w:rsidRPr="003D1D4A">
              <w:t>(</w:t>
            </w:r>
            <w:proofErr w:type="gramStart"/>
            <w:r w:rsidRPr="003D1D4A">
              <w:t>Z,E</w:t>
            </w:r>
            <w:proofErr w:type="gramEnd"/>
            <w:r w:rsidRPr="003D1D4A">
              <w:t xml:space="preserve">)-7,9,11-dodecatrienyl </w:t>
            </w:r>
            <w:proofErr w:type="spellStart"/>
            <w:r w:rsidRPr="003D1D4A">
              <w:t>formate</w:t>
            </w:r>
            <w:proofErr w:type="spellEnd"/>
          </w:p>
        </w:tc>
      </w:tr>
      <w:tr w:rsidR="001E6757" w14:paraId="053B54BC" w14:textId="77777777" w:rsidTr="00424637">
        <w:trPr>
          <w:tblHeader/>
        </w:trPr>
        <w:tc>
          <w:tcPr>
            <w:tcW w:w="1580" w:type="pct"/>
            <w:shd w:val="clear" w:color="auto" w:fill="00747A" w:themeFill="background2"/>
          </w:tcPr>
          <w:p w14:paraId="271DBC38" w14:textId="77777777" w:rsidR="001E6757" w:rsidRDefault="001E6757" w:rsidP="001E6757">
            <w:pPr>
              <w:pStyle w:val="APVMATableHead"/>
            </w:pPr>
            <w:r>
              <w:t>IUPAC name:</w:t>
            </w:r>
          </w:p>
        </w:tc>
        <w:tc>
          <w:tcPr>
            <w:tcW w:w="3420" w:type="pct"/>
          </w:tcPr>
          <w:p w14:paraId="3ACA7D72" w14:textId="3C45AEC4" w:rsidR="001E6757" w:rsidRPr="003D1D4A" w:rsidRDefault="001E6757" w:rsidP="003D1D4A">
            <w:pPr>
              <w:pStyle w:val="APVMATableText"/>
            </w:pPr>
            <w:r w:rsidRPr="003D1D4A">
              <w:t xml:space="preserve">(7Z,9E)-dodeca-7,9,11-trienyl] </w:t>
            </w:r>
            <w:proofErr w:type="spellStart"/>
            <w:r w:rsidRPr="003D1D4A">
              <w:t>formate</w:t>
            </w:r>
            <w:proofErr w:type="spellEnd"/>
          </w:p>
        </w:tc>
      </w:tr>
      <w:tr w:rsidR="001E6757" w14:paraId="7BD90356" w14:textId="77777777" w:rsidTr="00424637">
        <w:trPr>
          <w:tblHeader/>
        </w:trPr>
        <w:tc>
          <w:tcPr>
            <w:tcW w:w="1580" w:type="pct"/>
            <w:shd w:val="clear" w:color="auto" w:fill="00747A" w:themeFill="background2"/>
          </w:tcPr>
          <w:p w14:paraId="502E6D5D" w14:textId="77777777" w:rsidR="001E6757" w:rsidRDefault="001E6757" w:rsidP="001E6757">
            <w:pPr>
              <w:pStyle w:val="APVMATableHead"/>
            </w:pPr>
            <w:r>
              <w:t>CAS registry number:</w:t>
            </w:r>
          </w:p>
        </w:tc>
        <w:tc>
          <w:tcPr>
            <w:tcW w:w="3420" w:type="pct"/>
          </w:tcPr>
          <w:p w14:paraId="2026640D" w14:textId="3D46C579" w:rsidR="001E6757" w:rsidRPr="003D1D4A" w:rsidRDefault="001E6757" w:rsidP="003D1D4A">
            <w:pPr>
              <w:pStyle w:val="APVMATableText"/>
            </w:pPr>
            <w:r w:rsidRPr="003D1D4A">
              <w:t>146321-32-6</w:t>
            </w:r>
          </w:p>
        </w:tc>
      </w:tr>
      <w:tr w:rsidR="001E6757" w14:paraId="73492F55" w14:textId="77777777" w:rsidTr="00424637">
        <w:trPr>
          <w:tblHeader/>
        </w:trPr>
        <w:tc>
          <w:tcPr>
            <w:tcW w:w="1580" w:type="pct"/>
            <w:shd w:val="clear" w:color="auto" w:fill="00747A" w:themeFill="background2"/>
          </w:tcPr>
          <w:p w14:paraId="4F61F86C" w14:textId="77777777" w:rsidR="001E6757" w:rsidRDefault="001E6757" w:rsidP="001E6757">
            <w:pPr>
              <w:pStyle w:val="APVMATableHead"/>
            </w:pPr>
            <w:r>
              <w:t>Molecular formula:</w:t>
            </w:r>
          </w:p>
        </w:tc>
        <w:tc>
          <w:tcPr>
            <w:tcW w:w="3420" w:type="pct"/>
          </w:tcPr>
          <w:p w14:paraId="7C841C93" w14:textId="47222765" w:rsidR="001E6757" w:rsidRPr="003D1D4A" w:rsidRDefault="001E6757" w:rsidP="003D1D4A">
            <w:pPr>
              <w:pStyle w:val="APVMATableText"/>
            </w:pPr>
            <w:r w:rsidRPr="003D1D4A">
              <w:t>C</w:t>
            </w:r>
            <w:r w:rsidRPr="003D1D4A">
              <w:rPr>
                <w:vertAlign w:val="subscript"/>
              </w:rPr>
              <w:t>13</w:t>
            </w:r>
            <w:r w:rsidRPr="003D1D4A">
              <w:t>H</w:t>
            </w:r>
            <w:r w:rsidRPr="003D1D4A">
              <w:rPr>
                <w:vertAlign w:val="subscript"/>
              </w:rPr>
              <w:t>20</w:t>
            </w:r>
            <w:r w:rsidRPr="003D1D4A">
              <w:t>O</w:t>
            </w:r>
            <w:r w:rsidRPr="003D1D4A">
              <w:rPr>
                <w:vertAlign w:val="subscript"/>
              </w:rPr>
              <w:t>2</w:t>
            </w:r>
          </w:p>
        </w:tc>
      </w:tr>
      <w:tr w:rsidR="001E6757" w14:paraId="343F2DB9" w14:textId="77777777" w:rsidTr="00424637">
        <w:trPr>
          <w:tblHeader/>
        </w:trPr>
        <w:tc>
          <w:tcPr>
            <w:tcW w:w="1580" w:type="pct"/>
            <w:shd w:val="clear" w:color="auto" w:fill="00747A" w:themeFill="background2"/>
          </w:tcPr>
          <w:p w14:paraId="59A9BA80" w14:textId="77777777" w:rsidR="001E6757" w:rsidRDefault="001E6757" w:rsidP="001E6757">
            <w:pPr>
              <w:pStyle w:val="APVMATableHead"/>
            </w:pPr>
            <w:r>
              <w:t>Molecular weight:</w:t>
            </w:r>
          </w:p>
        </w:tc>
        <w:tc>
          <w:tcPr>
            <w:tcW w:w="3420" w:type="pct"/>
          </w:tcPr>
          <w:p w14:paraId="5F64AC9F" w14:textId="0288829D" w:rsidR="001E6757" w:rsidRPr="003D1D4A" w:rsidRDefault="001E6757" w:rsidP="003D1D4A">
            <w:pPr>
              <w:pStyle w:val="APVMATableText"/>
            </w:pPr>
            <w:r w:rsidRPr="003D1D4A">
              <w:t>208.30 g/mol</w:t>
            </w:r>
          </w:p>
        </w:tc>
      </w:tr>
      <w:tr w:rsidR="001E6757" w14:paraId="6B3C96C2" w14:textId="77777777" w:rsidTr="00424637">
        <w:trPr>
          <w:tblHeader/>
        </w:trPr>
        <w:tc>
          <w:tcPr>
            <w:tcW w:w="1580" w:type="pct"/>
            <w:shd w:val="clear" w:color="auto" w:fill="00747A" w:themeFill="background2"/>
          </w:tcPr>
          <w:p w14:paraId="76C9E380" w14:textId="77777777" w:rsidR="001E6757" w:rsidRDefault="001E6757" w:rsidP="001E6757">
            <w:pPr>
              <w:pStyle w:val="APVMATableHead"/>
            </w:pPr>
            <w:r>
              <w:t>Structural formula:</w:t>
            </w:r>
          </w:p>
        </w:tc>
        <w:tc>
          <w:tcPr>
            <w:tcW w:w="3420" w:type="pct"/>
          </w:tcPr>
          <w:p w14:paraId="3A29A8C6" w14:textId="674A9B1C" w:rsidR="001E6757" w:rsidRDefault="001E6757" w:rsidP="001E6757">
            <w:pPr>
              <w:pStyle w:val="APVMATableText"/>
            </w:pPr>
            <w:r w:rsidRPr="00ED6824">
              <w:rPr>
                <w:noProof/>
                <w:sz w:val="24"/>
              </w:rPr>
              <w:drawing>
                <wp:anchor distT="0" distB="0" distL="114300" distR="114300" simplePos="0" relativeHeight="251658240" behindDoc="0" locked="0" layoutInCell="1" allowOverlap="1" wp14:anchorId="342D6234" wp14:editId="122479FD">
                  <wp:simplePos x="0" y="0"/>
                  <wp:positionH relativeFrom="column">
                    <wp:posOffset>1270</wp:posOffset>
                  </wp:positionH>
                  <wp:positionV relativeFrom="paragraph">
                    <wp:posOffset>0</wp:posOffset>
                  </wp:positionV>
                  <wp:extent cx="3675053" cy="1752600"/>
                  <wp:effectExtent l="0" t="0" r="1905" b="0"/>
                  <wp:wrapTopAndBottom/>
                  <wp:docPr id="203929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9066" name=""/>
                          <pic:cNvPicPr/>
                        </pic:nvPicPr>
                        <pic:blipFill>
                          <a:blip r:embed="rId29">
                            <a:extLst>
                              <a:ext uri="{28A0092B-C50C-407E-A947-70E740481C1C}">
                                <a14:useLocalDpi xmlns:a14="http://schemas.microsoft.com/office/drawing/2010/main" val="0"/>
                              </a:ext>
                            </a:extLst>
                          </a:blip>
                          <a:stretch>
                            <a:fillRect/>
                          </a:stretch>
                        </pic:blipFill>
                        <pic:spPr>
                          <a:xfrm>
                            <a:off x="0" y="0"/>
                            <a:ext cx="3675053" cy="1752600"/>
                          </a:xfrm>
                          <a:prstGeom prst="rect">
                            <a:avLst/>
                          </a:prstGeom>
                        </pic:spPr>
                      </pic:pic>
                    </a:graphicData>
                  </a:graphic>
                </wp:anchor>
              </w:drawing>
            </w:r>
          </w:p>
        </w:tc>
      </w:tr>
    </w:tbl>
    <w:p w14:paraId="672FE812" w14:textId="77777777" w:rsidR="005A2957" w:rsidRDefault="005A2957" w:rsidP="00772458">
      <w:pPr>
        <w:pStyle w:val="APVMAText"/>
      </w:pPr>
      <w:bookmarkStart w:id="40" w:name="_Toc252955167"/>
      <w:r>
        <w:br w:type="page"/>
      </w:r>
    </w:p>
    <w:p w14:paraId="33E6F1E7" w14:textId="2E78FBA5" w:rsidR="006D36C8" w:rsidRDefault="00772458" w:rsidP="00772458">
      <w:pPr>
        <w:pStyle w:val="Caption"/>
      </w:pPr>
      <w:bookmarkStart w:id="41" w:name="_Toc56686266"/>
      <w:bookmarkStart w:id="42" w:name="_Toc56686279"/>
      <w:bookmarkStart w:id="43" w:name="_Toc221272432"/>
      <w:r>
        <w:lastRenderedPageBreak/>
        <w:t xml:space="preserve">Table </w:t>
      </w:r>
      <w:r>
        <w:fldChar w:fldCharType="begin"/>
      </w:r>
      <w:r>
        <w:instrText xml:space="preserve"> SEQ Table \* ARABIC </w:instrText>
      </w:r>
      <w:r>
        <w:fldChar w:fldCharType="separate"/>
      </w:r>
      <w:r>
        <w:rPr>
          <w:noProof/>
        </w:rPr>
        <w:t>2</w:t>
      </w:r>
      <w:r>
        <w:rPr>
          <w:noProof/>
        </w:rPr>
        <w:fldChar w:fldCharType="end"/>
      </w:r>
      <w:r w:rsidR="006D36C8">
        <w:t>:</w:t>
      </w:r>
      <w:bookmarkEnd w:id="40"/>
      <w:r w:rsidR="007B322A">
        <w:t xml:space="preserve"> </w:t>
      </w:r>
      <w:r w:rsidR="005A2957">
        <w:t xml:space="preserve">Key physicochemical properties of the active constituent </w:t>
      </w:r>
      <w:r w:rsidR="00CA5B2B">
        <w:t>[active constituent]</w:t>
      </w:r>
      <w:bookmarkEnd w:id="41"/>
      <w:bookmarkEnd w:id="42"/>
      <w:bookmarkEnd w:id="43"/>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046"/>
        <w:gridCol w:w="6592"/>
      </w:tblGrid>
      <w:tr w:rsidR="00800BB2" w14:paraId="5B019962" w14:textId="77777777" w:rsidTr="00424637">
        <w:trPr>
          <w:tblHeader/>
        </w:trPr>
        <w:tc>
          <w:tcPr>
            <w:tcW w:w="1580" w:type="pct"/>
            <w:shd w:val="clear" w:color="auto" w:fill="00747A" w:themeFill="background2"/>
          </w:tcPr>
          <w:p w14:paraId="3DDAEBF5" w14:textId="77777777" w:rsidR="00800BB2" w:rsidRDefault="00800BB2" w:rsidP="00800BB2">
            <w:pPr>
              <w:pStyle w:val="APVMATableHead"/>
            </w:pPr>
            <w:r>
              <w:t>Physical form:</w:t>
            </w:r>
          </w:p>
        </w:tc>
        <w:tc>
          <w:tcPr>
            <w:tcW w:w="3420" w:type="pct"/>
          </w:tcPr>
          <w:p w14:paraId="129AE2F5" w14:textId="2A7C9FBD" w:rsidR="00800BB2" w:rsidRPr="003D1D4A" w:rsidRDefault="00800BB2" w:rsidP="003D1D4A">
            <w:pPr>
              <w:pStyle w:val="APVMATableText"/>
            </w:pPr>
            <w:r w:rsidRPr="003D1D4A">
              <w:rPr>
                <w:rFonts w:eastAsia="Aptos"/>
              </w:rPr>
              <w:t>Liquid</w:t>
            </w:r>
          </w:p>
        </w:tc>
      </w:tr>
      <w:tr w:rsidR="00800BB2" w14:paraId="5A415293" w14:textId="77777777" w:rsidTr="00424637">
        <w:trPr>
          <w:tblHeader/>
        </w:trPr>
        <w:tc>
          <w:tcPr>
            <w:tcW w:w="1580" w:type="pct"/>
            <w:shd w:val="clear" w:color="auto" w:fill="00747A" w:themeFill="background2"/>
          </w:tcPr>
          <w:p w14:paraId="67663045" w14:textId="77777777" w:rsidR="00800BB2" w:rsidRDefault="00800BB2" w:rsidP="00800BB2">
            <w:pPr>
              <w:pStyle w:val="APVMATableHead"/>
            </w:pPr>
            <w:r>
              <w:t>Colour:</w:t>
            </w:r>
          </w:p>
        </w:tc>
        <w:tc>
          <w:tcPr>
            <w:tcW w:w="3420" w:type="pct"/>
          </w:tcPr>
          <w:p w14:paraId="5656C7F1" w14:textId="209E4CBC" w:rsidR="00800BB2" w:rsidRPr="003D1D4A" w:rsidRDefault="00800BB2" w:rsidP="003D1D4A">
            <w:pPr>
              <w:pStyle w:val="APVMATableText"/>
            </w:pPr>
            <w:r w:rsidRPr="003D1D4A">
              <w:rPr>
                <w:rFonts w:eastAsia="Aptos"/>
              </w:rPr>
              <w:t>Yellow</w:t>
            </w:r>
          </w:p>
        </w:tc>
      </w:tr>
      <w:tr w:rsidR="00800BB2" w14:paraId="4621535A" w14:textId="77777777" w:rsidTr="00424637">
        <w:trPr>
          <w:tblHeader/>
        </w:trPr>
        <w:tc>
          <w:tcPr>
            <w:tcW w:w="1580" w:type="pct"/>
            <w:shd w:val="clear" w:color="auto" w:fill="00747A" w:themeFill="background2"/>
          </w:tcPr>
          <w:p w14:paraId="1709AC12" w14:textId="77777777" w:rsidR="00800BB2" w:rsidRDefault="00800BB2" w:rsidP="00800BB2">
            <w:pPr>
              <w:pStyle w:val="APVMATableHead"/>
            </w:pPr>
            <w:r>
              <w:t>Odour:</w:t>
            </w:r>
          </w:p>
        </w:tc>
        <w:tc>
          <w:tcPr>
            <w:tcW w:w="3420" w:type="pct"/>
          </w:tcPr>
          <w:p w14:paraId="691AD9C5" w14:textId="4FD33004" w:rsidR="00800BB2" w:rsidRPr="003D1D4A" w:rsidRDefault="00800BB2" w:rsidP="003D1D4A">
            <w:pPr>
              <w:pStyle w:val="APVMATableText"/>
            </w:pPr>
            <w:r w:rsidRPr="003D1D4A">
              <w:rPr>
                <w:rFonts w:eastAsia="Aptos"/>
              </w:rPr>
              <w:t>Not available</w:t>
            </w:r>
          </w:p>
        </w:tc>
      </w:tr>
      <w:tr w:rsidR="00800BB2" w14:paraId="0999E561" w14:textId="77777777" w:rsidTr="00424637">
        <w:trPr>
          <w:tblHeader/>
        </w:trPr>
        <w:tc>
          <w:tcPr>
            <w:tcW w:w="1580" w:type="pct"/>
            <w:shd w:val="clear" w:color="auto" w:fill="00747A" w:themeFill="background2"/>
          </w:tcPr>
          <w:p w14:paraId="0787760C" w14:textId="77777777" w:rsidR="00800BB2" w:rsidRDefault="00800BB2" w:rsidP="00800BB2">
            <w:pPr>
              <w:pStyle w:val="APVMATableHead"/>
            </w:pPr>
            <w:r>
              <w:t>Melting point:</w:t>
            </w:r>
          </w:p>
        </w:tc>
        <w:tc>
          <w:tcPr>
            <w:tcW w:w="3420" w:type="pct"/>
          </w:tcPr>
          <w:p w14:paraId="72C84F5F" w14:textId="4F174F7D" w:rsidR="00800BB2" w:rsidRPr="003D1D4A" w:rsidRDefault="00800BB2" w:rsidP="003D1D4A">
            <w:pPr>
              <w:pStyle w:val="APVMATableText"/>
            </w:pPr>
            <w:r w:rsidRPr="003D1D4A">
              <w:rPr>
                <w:rFonts w:eastAsia="Aptos"/>
              </w:rPr>
              <w:t>Not available</w:t>
            </w:r>
          </w:p>
        </w:tc>
      </w:tr>
      <w:tr w:rsidR="00800BB2" w14:paraId="186E1016" w14:textId="77777777" w:rsidTr="00424637">
        <w:trPr>
          <w:tblHeader/>
        </w:trPr>
        <w:tc>
          <w:tcPr>
            <w:tcW w:w="1580" w:type="pct"/>
            <w:shd w:val="clear" w:color="auto" w:fill="00747A" w:themeFill="background2"/>
          </w:tcPr>
          <w:p w14:paraId="70016312" w14:textId="7F4B2CCB" w:rsidR="00800BB2" w:rsidRDefault="00800BB2" w:rsidP="00800BB2">
            <w:pPr>
              <w:pStyle w:val="APVMATableHead"/>
            </w:pPr>
            <w:r>
              <w:t>Boiling point (predicted):</w:t>
            </w:r>
          </w:p>
        </w:tc>
        <w:tc>
          <w:tcPr>
            <w:tcW w:w="3420" w:type="pct"/>
          </w:tcPr>
          <w:p w14:paraId="0042A985" w14:textId="620B12D0" w:rsidR="00800BB2" w:rsidRPr="003D1D4A" w:rsidRDefault="00800BB2" w:rsidP="003D1D4A">
            <w:pPr>
              <w:pStyle w:val="APVMATableText"/>
            </w:pPr>
            <w:r w:rsidRPr="003D1D4A">
              <w:rPr>
                <w:rFonts w:eastAsia="Aptos"/>
              </w:rPr>
              <w:t>305.8 ± 21.0 °C</w:t>
            </w:r>
            <w:r w:rsidRPr="003D1D4A">
              <w:rPr>
                <w:rFonts w:eastAsia="Aptos"/>
              </w:rPr>
              <w:tab/>
              <w:t>(Press: 760 Torr)</w:t>
            </w:r>
          </w:p>
        </w:tc>
      </w:tr>
      <w:tr w:rsidR="00800BB2" w14:paraId="7E10FDED" w14:textId="77777777" w:rsidTr="00424637">
        <w:trPr>
          <w:tblHeader/>
        </w:trPr>
        <w:tc>
          <w:tcPr>
            <w:tcW w:w="1580" w:type="pct"/>
            <w:shd w:val="clear" w:color="auto" w:fill="00747A" w:themeFill="background2"/>
          </w:tcPr>
          <w:p w14:paraId="516BDB62" w14:textId="387277A3" w:rsidR="00800BB2" w:rsidRDefault="00800BB2" w:rsidP="00800BB2">
            <w:pPr>
              <w:pStyle w:val="APVMATableHead"/>
            </w:pPr>
            <w:r>
              <w:t>Specific gravity/density/bulk density (predicted)</w:t>
            </w:r>
          </w:p>
        </w:tc>
        <w:tc>
          <w:tcPr>
            <w:tcW w:w="3420" w:type="pct"/>
          </w:tcPr>
          <w:p w14:paraId="31CC1A12" w14:textId="037E7C34" w:rsidR="00800BB2" w:rsidRPr="003D1D4A" w:rsidRDefault="00800BB2" w:rsidP="003D1D4A">
            <w:pPr>
              <w:pStyle w:val="APVMATableText"/>
            </w:pPr>
            <w:r w:rsidRPr="003D1D4A">
              <w:rPr>
                <w:rFonts w:eastAsia="Aptos"/>
              </w:rPr>
              <w:t>0.909 ± 0.06 g/cm</w:t>
            </w:r>
            <w:r w:rsidRPr="003D1D4A">
              <w:rPr>
                <w:rFonts w:eastAsia="Aptos"/>
                <w:vertAlign w:val="superscript"/>
              </w:rPr>
              <w:t>3</w:t>
            </w:r>
            <w:r w:rsidRPr="003D1D4A">
              <w:rPr>
                <w:rFonts w:eastAsia="Aptos"/>
              </w:rPr>
              <w:t xml:space="preserve"> (Temp: 20 °C; Press: 760 Torr)</w:t>
            </w:r>
          </w:p>
        </w:tc>
      </w:tr>
      <w:tr w:rsidR="00800BB2" w14:paraId="35671A5B" w14:textId="77777777" w:rsidTr="00424637">
        <w:trPr>
          <w:trHeight w:val="613"/>
          <w:tblHeader/>
        </w:trPr>
        <w:tc>
          <w:tcPr>
            <w:tcW w:w="1580" w:type="pct"/>
            <w:tcBorders>
              <w:bottom w:val="single" w:sz="4" w:space="0" w:color="auto"/>
            </w:tcBorders>
            <w:shd w:val="clear" w:color="auto" w:fill="00747A" w:themeFill="background2"/>
          </w:tcPr>
          <w:p w14:paraId="6CEA61AF" w14:textId="77777777" w:rsidR="00800BB2" w:rsidRDefault="00800BB2" w:rsidP="00800BB2">
            <w:pPr>
              <w:pStyle w:val="APVMATableHead"/>
            </w:pPr>
            <w:r>
              <w:t>Stability:</w:t>
            </w:r>
          </w:p>
        </w:tc>
        <w:tc>
          <w:tcPr>
            <w:tcW w:w="3420" w:type="pct"/>
          </w:tcPr>
          <w:p w14:paraId="76B268B0" w14:textId="42970950" w:rsidR="00800BB2" w:rsidRPr="003D1D4A" w:rsidRDefault="009B5AB4" w:rsidP="003D1D4A">
            <w:pPr>
              <w:pStyle w:val="APVMATableText"/>
            </w:pPr>
            <w:r w:rsidRPr="003D1D4A">
              <w:t>Stable based on the stability of the formulated product containing the active</w:t>
            </w:r>
          </w:p>
        </w:tc>
      </w:tr>
      <w:tr w:rsidR="00800BB2" w14:paraId="4DA5E8E2" w14:textId="77777777" w:rsidTr="00424637">
        <w:trPr>
          <w:tblHeader/>
        </w:trPr>
        <w:tc>
          <w:tcPr>
            <w:tcW w:w="1580" w:type="pct"/>
            <w:tcBorders>
              <w:bottom w:val="single" w:sz="4" w:space="0" w:color="auto"/>
            </w:tcBorders>
            <w:shd w:val="clear" w:color="auto" w:fill="00747A" w:themeFill="background2"/>
          </w:tcPr>
          <w:p w14:paraId="4F6AD69F" w14:textId="77777777" w:rsidR="00800BB2" w:rsidRDefault="00800BB2" w:rsidP="00800BB2">
            <w:pPr>
              <w:pStyle w:val="APVMATableHead"/>
            </w:pPr>
            <w:r>
              <w:t>Safety properties:</w:t>
            </w:r>
          </w:p>
        </w:tc>
        <w:tc>
          <w:tcPr>
            <w:tcW w:w="3420" w:type="pct"/>
          </w:tcPr>
          <w:p w14:paraId="50B86921" w14:textId="0CFE0809" w:rsidR="00800BB2" w:rsidRPr="003D1D4A" w:rsidRDefault="009B5AB4" w:rsidP="003D1D4A">
            <w:pPr>
              <w:pStyle w:val="APVMATableText"/>
            </w:pPr>
            <w:r w:rsidRPr="003D1D4A">
              <w:t>Safe based on the stability of the formulated product containing the active</w:t>
            </w:r>
          </w:p>
        </w:tc>
      </w:tr>
      <w:tr w:rsidR="00800BB2" w14:paraId="0FB35A53" w14:textId="77777777" w:rsidTr="00424637">
        <w:trPr>
          <w:tblHeader/>
        </w:trPr>
        <w:tc>
          <w:tcPr>
            <w:tcW w:w="1580" w:type="pct"/>
            <w:tcBorders>
              <w:top w:val="single" w:sz="4" w:space="0" w:color="auto"/>
            </w:tcBorders>
            <w:shd w:val="clear" w:color="auto" w:fill="00747A" w:themeFill="background2"/>
          </w:tcPr>
          <w:p w14:paraId="70E41465" w14:textId="77777777" w:rsidR="00800BB2" w:rsidRDefault="00800BB2" w:rsidP="00800BB2">
            <w:pPr>
              <w:pStyle w:val="APVMATableHead"/>
            </w:pPr>
            <w:r>
              <w:t>Solubility in water:</w:t>
            </w:r>
          </w:p>
        </w:tc>
        <w:tc>
          <w:tcPr>
            <w:tcW w:w="3420" w:type="pct"/>
          </w:tcPr>
          <w:p w14:paraId="78EF4EEA" w14:textId="44B4223C" w:rsidR="00800BB2" w:rsidRPr="003D1D4A" w:rsidRDefault="00800BB2" w:rsidP="003D1D4A">
            <w:pPr>
              <w:pStyle w:val="APVMATableText"/>
            </w:pPr>
            <w:r w:rsidRPr="003D1D4A">
              <w:t>58.3 mg/L (Temp: 25 °C)</w:t>
            </w:r>
          </w:p>
        </w:tc>
      </w:tr>
      <w:tr w:rsidR="00800BB2" w14:paraId="1DD2F6D2" w14:textId="77777777" w:rsidTr="00424637">
        <w:trPr>
          <w:tblHeader/>
        </w:trPr>
        <w:tc>
          <w:tcPr>
            <w:tcW w:w="1580" w:type="pct"/>
            <w:shd w:val="clear" w:color="auto" w:fill="00747A" w:themeFill="background2"/>
          </w:tcPr>
          <w:p w14:paraId="6E9CEA9B" w14:textId="77777777" w:rsidR="00800BB2" w:rsidRDefault="00800BB2" w:rsidP="00800BB2">
            <w:pPr>
              <w:pStyle w:val="APVMATableHead"/>
            </w:pPr>
            <w:r>
              <w:t>Organic solvent solubility:</w:t>
            </w:r>
          </w:p>
        </w:tc>
        <w:tc>
          <w:tcPr>
            <w:tcW w:w="3420" w:type="pct"/>
          </w:tcPr>
          <w:p w14:paraId="14E12EF4" w14:textId="08D9A968" w:rsidR="00800BB2" w:rsidRPr="003D1D4A" w:rsidRDefault="00800BB2" w:rsidP="003D1D4A">
            <w:pPr>
              <w:pStyle w:val="APVMATableText"/>
            </w:pPr>
            <w:r w:rsidRPr="003D1D4A">
              <w:t>Hexane and other common organic solvents</w:t>
            </w:r>
          </w:p>
        </w:tc>
      </w:tr>
      <w:tr w:rsidR="00800BB2" w14:paraId="3C4FC544" w14:textId="77777777" w:rsidTr="00424637">
        <w:trPr>
          <w:tblHeader/>
        </w:trPr>
        <w:tc>
          <w:tcPr>
            <w:tcW w:w="1580" w:type="pct"/>
            <w:shd w:val="clear" w:color="auto" w:fill="00747A" w:themeFill="background2"/>
          </w:tcPr>
          <w:p w14:paraId="4153A843" w14:textId="77777777" w:rsidR="00800BB2" w:rsidRDefault="00800BB2" w:rsidP="00800BB2">
            <w:pPr>
              <w:pStyle w:val="APVMATableHead"/>
            </w:pPr>
            <w:r>
              <w:t>Dissociation constant (</w:t>
            </w:r>
            <w:proofErr w:type="spellStart"/>
            <w:r>
              <w:t>PK</w:t>
            </w:r>
            <w:r w:rsidRPr="00B75B0D">
              <w:rPr>
                <w:vertAlign w:val="subscript"/>
              </w:rPr>
              <w:t>a</w:t>
            </w:r>
            <w:proofErr w:type="spellEnd"/>
            <w:r w:rsidRPr="009A5578">
              <w:t>)</w:t>
            </w:r>
            <w:r>
              <w:t>:</w:t>
            </w:r>
          </w:p>
        </w:tc>
        <w:tc>
          <w:tcPr>
            <w:tcW w:w="3420" w:type="pct"/>
          </w:tcPr>
          <w:p w14:paraId="416AE13D" w14:textId="061D1EF0" w:rsidR="00800BB2" w:rsidRPr="003D1D4A" w:rsidRDefault="00800BB2" w:rsidP="003D1D4A">
            <w:pPr>
              <w:pStyle w:val="APVMATableText"/>
            </w:pPr>
            <w:r w:rsidRPr="003D1D4A">
              <w:rPr>
                <w:rFonts w:eastAsia="Aptos"/>
              </w:rPr>
              <w:t>Not available</w:t>
            </w:r>
          </w:p>
        </w:tc>
      </w:tr>
      <w:tr w:rsidR="00800BB2" w14:paraId="32AACE61" w14:textId="77777777" w:rsidTr="00424637">
        <w:trPr>
          <w:tblHeader/>
        </w:trPr>
        <w:tc>
          <w:tcPr>
            <w:tcW w:w="1580" w:type="pct"/>
            <w:shd w:val="clear" w:color="auto" w:fill="00747A" w:themeFill="background2"/>
          </w:tcPr>
          <w:p w14:paraId="5B4F8EF4" w14:textId="77777777" w:rsidR="00800BB2" w:rsidRDefault="00800BB2" w:rsidP="00800BB2">
            <w:pPr>
              <w:pStyle w:val="APVMATableHead"/>
            </w:pPr>
            <w:r>
              <w:t>PH:</w:t>
            </w:r>
          </w:p>
        </w:tc>
        <w:tc>
          <w:tcPr>
            <w:tcW w:w="3420" w:type="pct"/>
          </w:tcPr>
          <w:p w14:paraId="162C0AE6" w14:textId="50FFCB0A" w:rsidR="00800BB2" w:rsidRPr="003D1D4A" w:rsidRDefault="00800BB2" w:rsidP="003D1D4A">
            <w:pPr>
              <w:pStyle w:val="APVMATableText"/>
            </w:pPr>
            <w:r w:rsidRPr="003D1D4A">
              <w:rPr>
                <w:rFonts w:eastAsia="Aptos"/>
              </w:rPr>
              <w:t>Not available</w:t>
            </w:r>
          </w:p>
        </w:tc>
      </w:tr>
      <w:tr w:rsidR="00800BB2" w14:paraId="5CA72068" w14:textId="77777777" w:rsidTr="00424637">
        <w:trPr>
          <w:tblHeader/>
        </w:trPr>
        <w:tc>
          <w:tcPr>
            <w:tcW w:w="1580" w:type="pct"/>
            <w:shd w:val="clear" w:color="auto" w:fill="00747A" w:themeFill="background2"/>
          </w:tcPr>
          <w:p w14:paraId="5DBC3B40" w14:textId="77777777" w:rsidR="00800BB2" w:rsidRDefault="00800BB2" w:rsidP="00800BB2">
            <w:pPr>
              <w:pStyle w:val="APVMATableHead"/>
            </w:pPr>
            <w:r>
              <w:t>Octanol/water partition coefficient (Log K</w:t>
            </w:r>
            <w:r w:rsidRPr="00B75B0D">
              <w:rPr>
                <w:vertAlign w:val="subscript"/>
              </w:rPr>
              <w:t>ow</w:t>
            </w:r>
            <w:r>
              <w:t>/K</w:t>
            </w:r>
            <w:r w:rsidRPr="00B75B0D">
              <w:rPr>
                <w:vertAlign w:val="subscript"/>
              </w:rPr>
              <w:t>OW</w:t>
            </w:r>
            <w:r>
              <w:t>):</w:t>
            </w:r>
          </w:p>
        </w:tc>
        <w:tc>
          <w:tcPr>
            <w:tcW w:w="3420" w:type="pct"/>
          </w:tcPr>
          <w:p w14:paraId="1939E231" w14:textId="17C20C87" w:rsidR="00800BB2" w:rsidRPr="003D1D4A" w:rsidRDefault="00800BB2" w:rsidP="003D1D4A">
            <w:pPr>
              <w:pStyle w:val="APVMATableText"/>
            </w:pPr>
            <w:r w:rsidRPr="003D1D4A">
              <w:rPr>
                <w:rFonts w:eastAsia="Aptos"/>
              </w:rPr>
              <w:t>Not available</w:t>
            </w:r>
          </w:p>
        </w:tc>
      </w:tr>
      <w:tr w:rsidR="00800BB2" w14:paraId="71B510CE" w14:textId="77777777" w:rsidTr="00424637">
        <w:trPr>
          <w:tblHeader/>
        </w:trPr>
        <w:tc>
          <w:tcPr>
            <w:tcW w:w="1580" w:type="pct"/>
            <w:shd w:val="clear" w:color="auto" w:fill="00747A" w:themeFill="background2"/>
          </w:tcPr>
          <w:p w14:paraId="12930EE0" w14:textId="53098AF7" w:rsidR="00800BB2" w:rsidRDefault="00800BB2" w:rsidP="00800BB2">
            <w:pPr>
              <w:pStyle w:val="APVMATableHead"/>
            </w:pPr>
            <w:r>
              <w:t>Vapour pressure (Predicted):</w:t>
            </w:r>
          </w:p>
        </w:tc>
        <w:tc>
          <w:tcPr>
            <w:tcW w:w="3420" w:type="pct"/>
          </w:tcPr>
          <w:p w14:paraId="2EAE59BA" w14:textId="2C127429" w:rsidR="00800BB2" w:rsidRPr="003D1D4A" w:rsidRDefault="00FA2BFE" w:rsidP="003D1D4A">
            <w:pPr>
              <w:pStyle w:val="APVMATableText"/>
            </w:pPr>
            <w:r w:rsidRPr="003D1D4A">
              <w:rPr>
                <w:rFonts w:eastAsia="Aptos"/>
              </w:rPr>
              <w:t>1</w:t>
            </w:r>
            <w:r w:rsidR="00BB254A" w:rsidRPr="003D1D4A">
              <w:rPr>
                <w:rFonts w:eastAsia="Aptos"/>
              </w:rPr>
              <w:t>.</w:t>
            </w:r>
            <w:r w:rsidRPr="003D1D4A">
              <w:rPr>
                <w:rFonts w:eastAsia="Aptos"/>
              </w:rPr>
              <w:t>1</w:t>
            </w:r>
            <w:r w:rsidR="00BB254A" w:rsidRPr="003D1D4A">
              <w:rPr>
                <w:rFonts w:eastAsia="Aptos"/>
              </w:rPr>
              <w:t xml:space="preserve"> x 10-</w:t>
            </w:r>
            <w:r w:rsidR="00BB254A" w:rsidRPr="003D1D4A">
              <w:rPr>
                <w:rFonts w:eastAsia="Aptos"/>
                <w:vertAlign w:val="superscript"/>
              </w:rPr>
              <w:t>4</w:t>
            </w:r>
            <w:r w:rsidR="00800BB2" w:rsidRPr="003D1D4A">
              <w:rPr>
                <w:rFonts w:eastAsia="Aptos"/>
              </w:rPr>
              <w:t xml:space="preserve"> </w:t>
            </w:r>
            <w:r w:rsidR="00BB254A" w:rsidRPr="003D1D4A">
              <w:rPr>
                <w:rFonts w:eastAsia="Aptos"/>
              </w:rPr>
              <w:t>k</w:t>
            </w:r>
            <w:r w:rsidRPr="003D1D4A">
              <w:rPr>
                <w:rFonts w:eastAsia="Aptos"/>
              </w:rPr>
              <w:t>Pa</w:t>
            </w:r>
            <w:r w:rsidR="00800BB2" w:rsidRPr="003D1D4A">
              <w:rPr>
                <w:rFonts w:eastAsia="Aptos"/>
              </w:rPr>
              <w:t xml:space="preserve"> (Temp: 25 °C)</w:t>
            </w:r>
          </w:p>
        </w:tc>
      </w:tr>
      <w:tr w:rsidR="00800BB2" w14:paraId="381351E2" w14:textId="77777777" w:rsidTr="00424637">
        <w:trPr>
          <w:trHeight w:val="613"/>
          <w:tblHeader/>
        </w:trPr>
        <w:tc>
          <w:tcPr>
            <w:tcW w:w="1580" w:type="pct"/>
            <w:shd w:val="clear" w:color="auto" w:fill="00747A" w:themeFill="background2"/>
          </w:tcPr>
          <w:p w14:paraId="4A529FAD" w14:textId="77777777" w:rsidR="00800BB2" w:rsidRDefault="00800BB2" w:rsidP="00800BB2">
            <w:pPr>
              <w:pStyle w:val="APVMATableHead"/>
            </w:pPr>
            <w:r>
              <w:t>Henry’s law constant:</w:t>
            </w:r>
          </w:p>
        </w:tc>
        <w:tc>
          <w:tcPr>
            <w:tcW w:w="3420" w:type="pct"/>
          </w:tcPr>
          <w:p w14:paraId="5EC49EF7" w14:textId="0A6747FA" w:rsidR="00800BB2" w:rsidRPr="003D1D4A" w:rsidRDefault="00800BB2" w:rsidP="003D1D4A">
            <w:pPr>
              <w:pStyle w:val="APVMATableText"/>
            </w:pPr>
            <w:r w:rsidRPr="003D1D4A">
              <w:rPr>
                <w:rFonts w:eastAsia="Aptos"/>
              </w:rPr>
              <w:t>Not available</w:t>
            </w:r>
          </w:p>
        </w:tc>
      </w:tr>
      <w:tr w:rsidR="00800BB2" w14:paraId="7A9D742D" w14:textId="77777777" w:rsidTr="00424637">
        <w:trPr>
          <w:trHeight w:val="613"/>
          <w:tblHeader/>
        </w:trPr>
        <w:tc>
          <w:tcPr>
            <w:tcW w:w="1580" w:type="pct"/>
            <w:shd w:val="clear" w:color="auto" w:fill="00747A" w:themeFill="background2"/>
          </w:tcPr>
          <w:p w14:paraId="58391102" w14:textId="77777777" w:rsidR="00800BB2" w:rsidRDefault="00800BB2" w:rsidP="00800BB2">
            <w:pPr>
              <w:pStyle w:val="APVMATableHead"/>
            </w:pPr>
            <w:r>
              <w:t>UV/</w:t>
            </w:r>
            <w:proofErr w:type="gramStart"/>
            <w:r>
              <w:t>VIS</w:t>
            </w:r>
            <w:proofErr w:type="gramEnd"/>
            <w:r>
              <w:t xml:space="preserve"> absorption spectra:</w:t>
            </w:r>
          </w:p>
        </w:tc>
        <w:tc>
          <w:tcPr>
            <w:tcW w:w="3420" w:type="pct"/>
          </w:tcPr>
          <w:p w14:paraId="204E65A0" w14:textId="3740E663" w:rsidR="00800BB2" w:rsidRPr="003D1D4A" w:rsidRDefault="00800BB2" w:rsidP="003D1D4A">
            <w:pPr>
              <w:pStyle w:val="APVMATableText"/>
            </w:pPr>
            <w:r w:rsidRPr="003D1D4A">
              <w:rPr>
                <w:rFonts w:eastAsia="Aptos"/>
              </w:rPr>
              <w:t>Not available</w:t>
            </w:r>
          </w:p>
        </w:tc>
      </w:tr>
    </w:tbl>
    <w:p w14:paraId="7917E5D9" w14:textId="77777777" w:rsidR="006D36C8" w:rsidRDefault="005A2957" w:rsidP="00032787">
      <w:pPr>
        <w:pStyle w:val="Heading2"/>
      </w:pPr>
      <w:bookmarkStart w:id="44" w:name="_Toc7561225"/>
      <w:bookmarkStart w:id="45" w:name="_Toc221272401"/>
      <w:r>
        <w:t>Formulated product</w:t>
      </w:r>
      <w:bookmarkEnd w:id="44"/>
      <w:bookmarkEnd w:id="45"/>
    </w:p>
    <w:p w14:paraId="24D9BBE1" w14:textId="5C64AAB4" w:rsidR="005A2957" w:rsidRDefault="005A2957" w:rsidP="005A2957">
      <w:pPr>
        <w:pStyle w:val="APVMAText"/>
      </w:pPr>
      <w:r>
        <w:t xml:space="preserve">The product </w:t>
      </w:r>
      <w:bookmarkStart w:id="46" w:name="_Hlk208932753"/>
      <w:proofErr w:type="spellStart"/>
      <w:r w:rsidR="00F425F6">
        <w:rPr>
          <w:i/>
          <w:iCs/>
        </w:rPr>
        <w:t>Semios</w:t>
      </w:r>
      <w:proofErr w:type="spellEnd"/>
      <w:r w:rsidR="00F425F6">
        <w:rPr>
          <w:i/>
          <w:iCs/>
        </w:rPr>
        <w:t xml:space="preserve"> Carob Moth Aerosol</w:t>
      </w:r>
      <w:r w:rsidR="00F40160" w:rsidRPr="00F40160">
        <w:rPr>
          <w:i/>
          <w:iCs/>
        </w:rPr>
        <w:t xml:space="preserve"> Pheromone</w:t>
      </w:r>
      <w:r w:rsidR="00F40160" w:rsidRPr="00F40160">
        <w:t xml:space="preserve"> </w:t>
      </w:r>
      <w:bookmarkEnd w:id="46"/>
      <w:r w:rsidR="00CA5B2B">
        <w:t>will be manufactured overseas</w:t>
      </w:r>
      <w:r>
        <w:t>. Tables 3 and 4 outline some key aspects of the formulation and physicochemical properties of the product.</w:t>
      </w:r>
    </w:p>
    <w:p w14:paraId="50097EEE" w14:textId="7FB74ED6" w:rsidR="005A2957" w:rsidRDefault="00F40160" w:rsidP="005A2957">
      <w:pPr>
        <w:pStyle w:val="APVMAText"/>
        <w:rPr>
          <w:szCs w:val="20"/>
        </w:rPr>
      </w:pPr>
      <w:r>
        <w:rPr>
          <w:szCs w:val="20"/>
        </w:rPr>
        <w:t xml:space="preserve">The proposed </w:t>
      </w:r>
      <w:r w:rsidRPr="00F40160">
        <w:rPr>
          <w:szCs w:val="20"/>
        </w:rPr>
        <w:t xml:space="preserve">product is a ready to use aerosol (AE) formulation, in which </w:t>
      </w:r>
      <w:r w:rsidR="00BB65FC">
        <w:rPr>
          <w:szCs w:val="20"/>
        </w:rPr>
        <w:t>the</w:t>
      </w:r>
      <w:r w:rsidRPr="00F40160">
        <w:rPr>
          <w:szCs w:val="20"/>
        </w:rPr>
        <w:t xml:space="preserve"> active together with the active stabiliser are dissolved in ethyl acetate to form an organic solution (the aerosol concentrate), while an aerosol propellant (dimethyl ether) is added in the aerosol </w:t>
      </w:r>
      <w:proofErr w:type="gramStart"/>
      <w:r w:rsidRPr="00F40160">
        <w:rPr>
          <w:szCs w:val="20"/>
        </w:rPr>
        <w:t>can to</w:t>
      </w:r>
      <w:proofErr w:type="gramEnd"/>
      <w:r w:rsidRPr="00F40160">
        <w:rPr>
          <w:szCs w:val="20"/>
        </w:rPr>
        <w:t xml:space="preserve"> provide the driving force for the spray</w:t>
      </w:r>
      <w:r>
        <w:rPr>
          <w:szCs w:val="20"/>
        </w:rPr>
        <w:t>.</w:t>
      </w:r>
    </w:p>
    <w:p w14:paraId="2C9EC953" w14:textId="70EA3E61" w:rsidR="00F40160" w:rsidRPr="00F40160" w:rsidRDefault="00E65533" w:rsidP="005A2957">
      <w:pPr>
        <w:pStyle w:val="APVMAText"/>
        <w:rPr>
          <w:szCs w:val="20"/>
        </w:rPr>
      </w:pPr>
      <w:r w:rsidRPr="00E65533">
        <w:rPr>
          <w:szCs w:val="20"/>
        </w:rPr>
        <w:t xml:space="preserve">Once it is needed, the propellant’s higher vapour pressure (at ~ 6 bar at 25 </w:t>
      </w:r>
      <w:r>
        <w:rPr>
          <w:szCs w:val="20"/>
        </w:rPr>
        <w:t>°</w:t>
      </w:r>
      <w:r w:rsidRPr="00E65533">
        <w:rPr>
          <w:szCs w:val="20"/>
        </w:rPr>
        <w:t xml:space="preserve">C) will spontaneously force the aerosol concentrate out of the can via the standpipe and the nozzle, </w:t>
      </w:r>
      <w:r w:rsidR="00BB65FC">
        <w:rPr>
          <w:szCs w:val="20"/>
        </w:rPr>
        <w:t>dispersing</w:t>
      </w:r>
      <w:r w:rsidRPr="00E65533">
        <w:rPr>
          <w:szCs w:val="20"/>
        </w:rPr>
        <w:t xml:space="preserve"> a layer of the organic solution containing the sex pheromone, to act as a mating disruptor for the management of Carob Moth (</w:t>
      </w:r>
      <w:r w:rsidRPr="00E65533">
        <w:rPr>
          <w:i/>
          <w:iCs/>
          <w:szCs w:val="20"/>
        </w:rPr>
        <w:t>Ectomyelois ceratoniae</w:t>
      </w:r>
      <w:r w:rsidRPr="00E65533">
        <w:rPr>
          <w:szCs w:val="20"/>
        </w:rPr>
        <w:t>) in tree nuts.</w:t>
      </w:r>
    </w:p>
    <w:p w14:paraId="0996AB7C" w14:textId="51FB2C02" w:rsidR="006D36C8" w:rsidRDefault="00772458" w:rsidP="00772458">
      <w:pPr>
        <w:pStyle w:val="Caption"/>
      </w:pPr>
      <w:bookmarkStart w:id="47" w:name="_Toc252955168"/>
      <w:bookmarkStart w:id="48" w:name="_Toc56686267"/>
      <w:bookmarkStart w:id="49" w:name="_Toc56686280"/>
      <w:bookmarkStart w:id="50" w:name="_Toc221272433"/>
      <w:r>
        <w:lastRenderedPageBreak/>
        <w:t xml:space="preserve">Table </w:t>
      </w:r>
      <w:r>
        <w:fldChar w:fldCharType="begin"/>
      </w:r>
      <w:r>
        <w:instrText xml:space="preserve"> SEQ Table \* ARABIC </w:instrText>
      </w:r>
      <w:r>
        <w:fldChar w:fldCharType="separate"/>
      </w:r>
      <w:r>
        <w:rPr>
          <w:noProof/>
        </w:rPr>
        <w:t>3</w:t>
      </w:r>
      <w:r>
        <w:rPr>
          <w:noProof/>
        </w:rPr>
        <w:fldChar w:fldCharType="end"/>
      </w:r>
      <w:r w:rsidR="006D36C8">
        <w:t>:</w:t>
      </w:r>
      <w:bookmarkEnd w:id="47"/>
      <w:r w:rsidR="007B322A">
        <w:t xml:space="preserve"> </w:t>
      </w:r>
      <w:r w:rsidR="005A2957">
        <w:t xml:space="preserve">Key aspects of the formulation of the product </w:t>
      </w:r>
      <w:bookmarkEnd w:id="48"/>
      <w:bookmarkEnd w:id="49"/>
      <w:proofErr w:type="spellStart"/>
      <w:r w:rsidR="00F425F6">
        <w:rPr>
          <w:i/>
          <w:iCs/>
        </w:rPr>
        <w:t>Semios</w:t>
      </w:r>
      <w:proofErr w:type="spellEnd"/>
      <w:r w:rsidR="00F425F6">
        <w:rPr>
          <w:i/>
          <w:iCs/>
        </w:rPr>
        <w:t xml:space="preserve"> Carob Moth Aerosol</w:t>
      </w:r>
      <w:r w:rsidR="00E65533" w:rsidRPr="00E65533">
        <w:rPr>
          <w:i/>
          <w:iCs/>
        </w:rPr>
        <w:t xml:space="preserve"> Pheromone</w:t>
      </w:r>
      <w:bookmarkEnd w:id="50"/>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3043"/>
        <w:gridCol w:w="6593"/>
      </w:tblGrid>
      <w:tr w:rsidR="005C33B9" w14:paraId="3062EE28" w14:textId="77777777" w:rsidTr="00424637">
        <w:trPr>
          <w:tblHeader/>
        </w:trPr>
        <w:tc>
          <w:tcPr>
            <w:tcW w:w="1579" w:type="pct"/>
            <w:shd w:val="clear" w:color="auto" w:fill="00747A" w:themeFill="background2"/>
          </w:tcPr>
          <w:p w14:paraId="743D7A07" w14:textId="77777777" w:rsidR="005C33B9" w:rsidRDefault="005C33B9" w:rsidP="00424637">
            <w:pPr>
              <w:pStyle w:val="APVMATableHead"/>
            </w:pPr>
            <w:r>
              <w:t>Distinguishing name:</w:t>
            </w:r>
          </w:p>
        </w:tc>
        <w:tc>
          <w:tcPr>
            <w:tcW w:w="3421" w:type="pct"/>
          </w:tcPr>
          <w:p w14:paraId="757F5168" w14:textId="05BD3527" w:rsidR="005C33B9" w:rsidRDefault="00F425F6" w:rsidP="00323CDE">
            <w:pPr>
              <w:pStyle w:val="APVMATableText"/>
            </w:pPr>
            <w:proofErr w:type="spellStart"/>
            <w:r>
              <w:t>Semios</w:t>
            </w:r>
            <w:proofErr w:type="spellEnd"/>
            <w:r>
              <w:t xml:space="preserve"> Carob Moth Aerosol</w:t>
            </w:r>
            <w:r w:rsidR="00E65533" w:rsidRPr="00E65533">
              <w:t xml:space="preserve"> Pheromone</w:t>
            </w:r>
          </w:p>
        </w:tc>
      </w:tr>
      <w:tr w:rsidR="005C33B9" w14:paraId="418C7C0B" w14:textId="77777777" w:rsidTr="00424637">
        <w:trPr>
          <w:tblHeader/>
        </w:trPr>
        <w:tc>
          <w:tcPr>
            <w:tcW w:w="1579" w:type="pct"/>
            <w:shd w:val="clear" w:color="auto" w:fill="00747A" w:themeFill="background2"/>
          </w:tcPr>
          <w:p w14:paraId="5E57333F" w14:textId="77777777" w:rsidR="005C33B9" w:rsidRDefault="005C33B9" w:rsidP="00424637">
            <w:pPr>
              <w:pStyle w:val="APVMATableHead"/>
            </w:pPr>
            <w:r>
              <w:t>Formulation type:</w:t>
            </w:r>
          </w:p>
        </w:tc>
        <w:tc>
          <w:tcPr>
            <w:tcW w:w="3421" w:type="pct"/>
          </w:tcPr>
          <w:p w14:paraId="5255D300" w14:textId="68C8E1BE" w:rsidR="005C33B9" w:rsidRDefault="00E65533" w:rsidP="00323CDE">
            <w:pPr>
              <w:pStyle w:val="APVMATableText"/>
            </w:pPr>
            <w:r w:rsidRPr="00E65533">
              <w:t>Aerosol (AE)</w:t>
            </w:r>
          </w:p>
        </w:tc>
      </w:tr>
      <w:tr w:rsidR="005C33B9" w14:paraId="54B4AAD2" w14:textId="77777777" w:rsidTr="00424637">
        <w:trPr>
          <w:tblHeader/>
        </w:trPr>
        <w:tc>
          <w:tcPr>
            <w:tcW w:w="1579" w:type="pct"/>
            <w:shd w:val="clear" w:color="auto" w:fill="00747A" w:themeFill="background2"/>
          </w:tcPr>
          <w:p w14:paraId="457F920E" w14:textId="1071548F" w:rsidR="005C33B9" w:rsidRDefault="005C33B9" w:rsidP="00424637">
            <w:pPr>
              <w:pStyle w:val="APVMATableHead"/>
            </w:pPr>
            <w:r>
              <w:t>Active constituent concentration:</w:t>
            </w:r>
          </w:p>
        </w:tc>
        <w:tc>
          <w:tcPr>
            <w:tcW w:w="3421" w:type="pct"/>
          </w:tcPr>
          <w:p w14:paraId="4A12F7AE" w14:textId="4DDD716A" w:rsidR="005C33B9" w:rsidRDefault="00E65533" w:rsidP="00323CDE">
            <w:pPr>
              <w:pStyle w:val="APVMATableText"/>
            </w:pPr>
            <w:r w:rsidRPr="00E65533">
              <w:t>12.5 g/kg (</w:t>
            </w:r>
            <w:proofErr w:type="gramStart"/>
            <w:r w:rsidRPr="00E65533">
              <w:rPr>
                <w:i/>
                <w:iCs/>
              </w:rPr>
              <w:t>Z,E</w:t>
            </w:r>
            <w:proofErr w:type="gramEnd"/>
            <w:r w:rsidRPr="00E65533">
              <w:t xml:space="preserve">) -7,9,11-dodecatrienyl </w:t>
            </w:r>
            <w:proofErr w:type="spellStart"/>
            <w:r w:rsidRPr="00E65533">
              <w:t>formate</w:t>
            </w:r>
            <w:proofErr w:type="spellEnd"/>
            <w:r w:rsidRPr="00E65533">
              <w:t xml:space="preserve"> active constituent in the whole product, equivalent to 26 g/kg active in the aerosol concentrate (excluding of the aerosol propellant)</w:t>
            </w:r>
            <w:r>
              <w:t>.</w:t>
            </w:r>
          </w:p>
        </w:tc>
      </w:tr>
    </w:tbl>
    <w:p w14:paraId="320A279C" w14:textId="6C7BDB66" w:rsidR="005C33B9" w:rsidRDefault="00772458" w:rsidP="00772458">
      <w:pPr>
        <w:pStyle w:val="Caption"/>
      </w:pPr>
      <w:bookmarkStart w:id="51" w:name="_Toc523995125"/>
      <w:bookmarkStart w:id="52" w:name="_Toc56686268"/>
      <w:bookmarkStart w:id="53" w:name="_Toc56686281"/>
      <w:bookmarkStart w:id="54" w:name="_Toc221272434"/>
      <w:r>
        <w:t xml:space="preserve">Table </w:t>
      </w:r>
      <w:r>
        <w:fldChar w:fldCharType="begin"/>
      </w:r>
      <w:r>
        <w:instrText xml:space="preserve"> SEQ Table \* ARABIC </w:instrText>
      </w:r>
      <w:r>
        <w:fldChar w:fldCharType="separate"/>
      </w:r>
      <w:r>
        <w:rPr>
          <w:noProof/>
        </w:rPr>
        <w:t>4</w:t>
      </w:r>
      <w:r>
        <w:rPr>
          <w:noProof/>
        </w:rPr>
        <w:fldChar w:fldCharType="end"/>
      </w:r>
      <w:r w:rsidR="005C33B9">
        <w:t xml:space="preserve">: Physicochemical properties of the product </w:t>
      </w:r>
      <w:bookmarkEnd w:id="51"/>
      <w:bookmarkEnd w:id="52"/>
      <w:bookmarkEnd w:id="53"/>
      <w:proofErr w:type="spellStart"/>
      <w:r w:rsidR="00F425F6">
        <w:rPr>
          <w:i/>
          <w:iCs/>
        </w:rPr>
        <w:t>Semios</w:t>
      </w:r>
      <w:proofErr w:type="spellEnd"/>
      <w:r w:rsidR="00F425F6">
        <w:rPr>
          <w:i/>
          <w:iCs/>
        </w:rPr>
        <w:t xml:space="preserve"> Carob Moth Aerosol</w:t>
      </w:r>
      <w:r w:rsidR="00E65533" w:rsidRPr="00F40160">
        <w:rPr>
          <w:i/>
          <w:iCs/>
        </w:rPr>
        <w:t xml:space="preserve"> Pheromone</w:t>
      </w:r>
      <w:bookmarkEnd w:id="54"/>
    </w:p>
    <w:tbl>
      <w:tblPr>
        <w:tblW w:w="4999"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3043"/>
        <w:gridCol w:w="6593"/>
      </w:tblGrid>
      <w:tr w:rsidR="005C33B9" w14:paraId="2CCDDCF7" w14:textId="77777777" w:rsidTr="00424637">
        <w:trPr>
          <w:tblHeader/>
        </w:trPr>
        <w:tc>
          <w:tcPr>
            <w:tcW w:w="1579" w:type="pct"/>
            <w:shd w:val="clear" w:color="auto" w:fill="00747A" w:themeFill="background2"/>
          </w:tcPr>
          <w:p w14:paraId="4A9E6609" w14:textId="77777777" w:rsidR="005C33B9" w:rsidRDefault="005C33B9" w:rsidP="00424637">
            <w:pPr>
              <w:pStyle w:val="APVMATableHead"/>
            </w:pPr>
            <w:r>
              <w:t>Physical form:</w:t>
            </w:r>
          </w:p>
        </w:tc>
        <w:tc>
          <w:tcPr>
            <w:tcW w:w="3421" w:type="pct"/>
          </w:tcPr>
          <w:p w14:paraId="39BD435B" w14:textId="717FCAFF" w:rsidR="005C33B9" w:rsidRDefault="00E65533" w:rsidP="00323CDE">
            <w:pPr>
              <w:pStyle w:val="APVMATableText"/>
            </w:pPr>
            <w:r>
              <w:t xml:space="preserve">The </w:t>
            </w:r>
            <w:r w:rsidRPr="00E65533">
              <w:t>aerosol concentrate</w:t>
            </w:r>
            <w:r>
              <w:t xml:space="preserve">: </w:t>
            </w:r>
            <w:r w:rsidRPr="00E65533">
              <w:t>transparent, light-yellow solution</w:t>
            </w:r>
            <w:r>
              <w:t xml:space="preserve"> </w:t>
            </w:r>
          </w:p>
        </w:tc>
      </w:tr>
      <w:tr w:rsidR="005C33B9" w14:paraId="0161F7C8" w14:textId="77777777" w:rsidTr="00424637">
        <w:trPr>
          <w:tblHeader/>
        </w:trPr>
        <w:tc>
          <w:tcPr>
            <w:tcW w:w="1579" w:type="pct"/>
            <w:shd w:val="clear" w:color="auto" w:fill="00747A" w:themeFill="background2"/>
          </w:tcPr>
          <w:p w14:paraId="70A2C093" w14:textId="77777777" w:rsidR="005C33B9" w:rsidRDefault="005C33B9" w:rsidP="00424637">
            <w:pPr>
              <w:pStyle w:val="APVMATableHead"/>
            </w:pPr>
            <w:r>
              <w:t>PH:</w:t>
            </w:r>
          </w:p>
        </w:tc>
        <w:tc>
          <w:tcPr>
            <w:tcW w:w="3421" w:type="pct"/>
          </w:tcPr>
          <w:p w14:paraId="2EC2C73B" w14:textId="547D0EFA" w:rsidR="005C33B9" w:rsidRPr="00EA7005" w:rsidRDefault="00E65533" w:rsidP="00EA7005">
            <w:pPr>
              <w:pStyle w:val="APVMATableText"/>
            </w:pPr>
            <w:r w:rsidRPr="00E65533">
              <w:t>The aerosol concentrate</w:t>
            </w:r>
            <w:r>
              <w:t xml:space="preserve">: </w:t>
            </w:r>
            <w:r w:rsidRPr="00E65533">
              <w:t>5.1 – 6.4</w:t>
            </w:r>
          </w:p>
        </w:tc>
      </w:tr>
      <w:tr w:rsidR="005C33B9" w14:paraId="59FD184D" w14:textId="77777777" w:rsidTr="00424637">
        <w:trPr>
          <w:tblHeader/>
        </w:trPr>
        <w:tc>
          <w:tcPr>
            <w:tcW w:w="1579" w:type="pct"/>
            <w:shd w:val="clear" w:color="auto" w:fill="00747A" w:themeFill="background2"/>
          </w:tcPr>
          <w:p w14:paraId="266B62DD" w14:textId="2F273114" w:rsidR="005C33B9" w:rsidRDefault="00E65533" w:rsidP="00424637">
            <w:pPr>
              <w:pStyle w:val="APVMATableHead"/>
            </w:pPr>
            <w:r w:rsidRPr="00E65533">
              <w:t>Clogging of aerosol dispenser valves</w:t>
            </w:r>
            <w:r w:rsidR="005C33B9">
              <w:t>:</w:t>
            </w:r>
          </w:p>
        </w:tc>
        <w:tc>
          <w:tcPr>
            <w:tcW w:w="3421" w:type="pct"/>
          </w:tcPr>
          <w:p w14:paraId="5CD596B3" w14:textId="77777777" w:rsidR="00E65533" w:rsidRDefault="00E65533" w:rsidP="00E65533">
            <w:pPr>
              <w:pStyle w:val="APVMATableText"/>
            </w:pPr>
            <w:r>
              <w:t>Aerosol Valve: Sprays well, no abnormal sprays. No signs of crystallization.</w:t>
            </w:r>
          </w:p>
          <w:p w14:paraId="00BC7C66" w14:textId="09032985" w:rsidR="005C33B9" w:rsidRPr="00EA7005" w:rsidRDefault="00E65533" w:rsidP="00E65533">
            <w:pPr>
              <w:pStyle w:val="APVMATableText"/>
            </w:pPr>
            <w:r>
              <w:t>Actuator: Sprays well, no abnormal sprays. No signs of crystallization.</w:t>
            </w:r>
          </w:p>
        </w:tc>
      </w:tr>
      <w:tr w:rsidR="005C33B9" w14:paraId="7A84510E" w14:textId="77777777" w:rsidTr="00424637">
        <w:trPr>
          <w:trHeight w:val="435"/>
          <w:tblHeader/>
        </w:trPr>
        <w:tc>
          <w:tcPr>
            <w:tcW w:w="1579" w:type="pct"/>
            <w:shd w:val="clear" w:color="auto" w:fill="00747A" w:themeFill="background2"/>
          </w:tcPr>
          <w:p w14:paraId="0DB4A0BA" w14:textId="77777777" w:rsidR="005C33B9" w:rsidRDefault="005C33B9" w:rsidP="00424637">
            <w:pPr>
              <w:pStyle w:val="APVMATableHead"/>
            </w:pPr>
            <w:r>
              <w:t>Safety properties:</w:t>
            </w:r>
          </w:p>
        </w:tc>
        <w:tc>
          <w:tcPr>
            <w:tcW w:w="3421" w:type="pct"/>
          </w:tcPr>
          <w:p w14:paraId="6586AC13" w14:textId="45EF4A62" w:rsidR="005C33B9" w:rsidRPr="00EA7005" w:rsidRDefault="00533D3A" w:rsidP="00EA7005">
            <w:pPr>
              <w:pStyle w:val="APVMATableText"/>
            </w:pPr>
            <w:r>
              <w:t>The packaging had no signs of cracks, rust, discoloration, distortion or other signs of corrosion.</w:t>
            </w:r>
          </w:p>
        </w:tc>
      </w:tr>
      <w:tr w:rsidR="005C33B9" w14:paraId="5468122D" w14:textId="77777777" w:rsidTr="00424637">
        <w:trPr>
          <w:trHeight w:val="435"/>
          <w:tblHeader/>
        </w:trPr>
        <w:tc>
          <w:tcPr>
            <w:tcW w:w="1579" w:type="pct"/>
            <w:shd w:val="clear" w:color="auto" w:fill="00747A" w:themeFill="background2"/>
          </w:tcPr>
          <w:p w14:paraId="41268577" w14:textId="77777777" w:rsidR="005C33B9" w:rsidRDefault="005C33B9" w:rsidP="00424637">
            <w:pPr>
              <w:pStyle w:val="APVMATableHead"/>
            </w:pPr>
            <w:r>
              <w:t>Storage stability:</w:t>
            </w:r>
          </w:p>
        </w:tc>
        <w:tc>
          <w:tcPr>
            <w:tcW w:w="3421" w:type="pct"/>
          </w:tcPr>
          <w:p w14:paraId="7DDAF7F9" w14:textId="17A8E4CF" w:rsidR="005C33B9" w:rsidRDefault="00533D3A" w:rsidP="00323CDE">
            <w:pPr>
              <w:pStyle w:val="APVMATableText"/>
              <w:rPr>
                <w:noProof/>
                <w:lang w:eastAsia="en-AU"/>
              </w:rPr>
            </w:pPr>
            <w:r>
              <w:rPr>
                <w:noProof/>
                <w:lang w:eastAsia="en-AU"/>
              </w:rPr>
              <w:t xml:space="preserve">The product was stable during storge at </w:t>
            </w:r>
            <w:r w:rsidRPr="00533D3A">
              <w:rPr>
                <w:noProof/>
                <w:lang w:eastAsia="en-AU"/>
              </w:rPr>
              <w:t xml:space="preserve">40 </w:t>
            </w:r>
            <w:r>
              <w:rPr>
                <w:noProof/>
                <w:lang w:eastAsia="en-AU"/>
              </w:rPr>
              <w:t>°</w:t>
            </w:r>
            <w:r w:rsidRPr="00533D3A">
              <w:rPr>
                <w:noProof/>
                <w:lang w:eastAsia="en-AU"/>
              </w:rPr>
              <w:t>C</w:t>
            </w:r>
            <w:r>
              <w:rPr>
                <w:noProof/>
                <w:lang w:eastAsia="en-AU"/>
              </w:rPr>
              <w:t xml:space="preserve"> for 8 weeks</w:t>
            </w:r>
          </w:p>
        </w:tc>
      </w:tr>
    </w:tbl>
    <w:p w14:paraId="378E38F7" w14:textId="77777777" w:rsidR="005C33B9" w:rsidRDefault="00783112" w:rsidP="00032787">
      <w:pPr>
        <w:pStyle w:val="Heading2"/>
      </w:pPr>
      <w:bookmarkStart w:id="55" w:name="_Toc7561226"/>
      <w:bookmarkStart w:id="56" w:name="_Toc221272402"/>
      <w:r>
        <w:t>Recommendations</w:t>
      </w:r>
      <w:bookmarkEnd w:id="55"/>
      <w:bookmarkEnd w:id="56"/>
    </w:p>
    <w:p w14:paraId="662C35CB" w14:textId="26D133CD" w:rsidR="008C0089" w:rsidRDefault="008C0089" w:rsidP="003D1D4A">
      <w:pPr>
        <w:pStyle w:val="APVMAText"/>
        <w:rPr>
          <w:szCs w:val="20"/>
        </w:rPr>
      </w:pPr>
      <w:r w:rsidRPr="00AF1470">
        <w:t xml:space="preserve">The </w:t>
      </w:r>
      <w:r>
        <w:t>APVMA Chemistry section h</w:t>
      </w:r>
      <w:r w:rsidRPr="00AF1470">
        <w:t xml:space="preserve">as evaluated the chemistry of </w:t>
      </w:r>
      <w:r>
        <w:t xml:space="preserve">the </w:t>
      </w:r>
      <w:r w:rsidRPr="00AF1470">
        <w:t xml:space="preserve">active constituent </w:t>
      </w:r>
      <w:r w:rsidR="00533D3A" w:rsidRPr="00533D3A">
        <w:rPr>
          <w:szCs w:val="20"/>
        </w:rPr>
        <w:t>(</w:t>
      </w:r>
      <w:proofErr w:type="gramStart"/>
      <w:r w:rsidR="00533D3A" w:rsidRPr="00533D3A">
        <w:rPr>
          <w:i/>
          <w:iCs/>
          <w:szCs w:val="20"/>
        </w:rPr>
        <w:t>Z,E</w:t>
      </w:r>
      <w:proofErr w:type="gramEnd"/>
      <w:r w:rsidR="00533D3A" w:rsidRPr="00533D3A">
        <w:rPr>
          <w:szCs w:val="20"/>
        </w:rPr>
        <w:t>)-7,9,11-dodecatrienyl formate</w:t>
      </w:r>
      <w:r>
        <w:rPr>
          <w:szCs w:val="20"/>
        </w:rPr>
        <w:t xml:space="preserve"> </w:t>
      </w:r>
      <w:r>
        <w:t xml:space="preserve">and associated product </w:t>
      </w:r>
      <w:proofErr w:type="spellStart"/>
      <w:r w:rsidR="00F425F6">
        <w:rPr>
          <w:i/>
          <w:iCs/>
        </w:rPr>
        <w:t>Semios</w:t>
      </w:r>
      <w:proofErr w:type="spellEnd"/>
      <w:r w:rsidR="00F425F6">
        <w:rPr>
          <w:i/>
          <w:iCs/>
        </w:rPr>
        <w:t xml:space="preserve"> Carob Moth Aerosol</w:t>
      </w:r>
      <w:r w:rsidR="00533D3A" w:rsidRPr="00533D3A">
        <w:rPr>
          <w:i/>
          <w:iCs/>
        </w:rPr>
        <w:t xml:space="preserve"> Pheromone</w:t>
      </w:r>
      <w:r>
        <w:t>,</w:t>
      </w:r>
      <w:r w:rsidRPr="00AF1470">
        <w:t xml:space="preserve"> </w:t>
      </w:r>
      <w:r>
        <w:t xml:space="preserve">including the </w:t>
      </w:r>
      <w:r w:rsidRPr="00AF1470">
        <w:t xml:space="preserve">manufacturing process, quality </w:t>
      </w:r>
      <w:r w:rsidRPr="003D1D4A">
        <w:t>control</w:t>
      </w:r>
      <w:r w:rsidRPr="00AF1470">
        <w:t xml:space="preserve"> procedures, </w:t>
      </w:r>
      <w:r>
        <w:t xml:space="preserve">stability, </w:t>
      </w:r>
      <w:r w:rsidRPr="00AF1470">
        <w:t>batch analysis results and analytical methods</w:t>
      </w:r>
      <w:r>
        <w:t>,</w:t>
      </w:r>
      <w:r w:rsidRPr="00AF1470">
        <w:t xml:space="preserve"> </w:t>
      </w:r>
      <w:r w:rsidRPr="003D1D4A">
        <w:t>and found them to be acceptable. The available storage stability data indicate that the</w:t>
      </w:r>
      <w:r>
        <w:rPr>
          <w:szCs w:val="20"/>
        </w:rPr>
        <w:t xml:space="preserve"> formulated product is expected to remain stable for at least </w:t>
      </w:r>
      <w:r w:rsidR="00533D3A">
        <w:rPr>
          <w:szCs w:val="20"/>
        </w:rPr>
        <w:t xml:space="preserve">two </w:t>
      </w:r>
      <w:r>
        <w:rPr>
          <w:szCs w:val="20"/>
        </w:rPr>
        <w:t>years when stored under normal conditions.</w:t>
      </w:r>
    </w:p>
    <w:p w14:paraId="4ED8A42E" w14:textId="69A69912" w:rsidR="006D36C8" w:rsidRDefault="008C0089" w:rsidP="00EA7005">
      <w:pPr>
        <w:pStyle w:val="APVMAText"/>
        <w:sectPr w:rsidR="006D36C8">
          <w:headerReference w:type="default" r:id="rId30"/>
          <w:pgSz w:w="11906" w:h="16838" w:code="9"/>
          <w:pgMar w:top="2835" w:right="1134" w:bottom="1134" w:left="1134" w:header="1701" w:footer="680" w:gutter="0"/>
          <w:cols w:space="708"/>
          <w:docGrid w:linePitch="360"/>
        </w:sectPr>
      </w:pPr>
      <w:r>
        <w:rPr>
          <w:szCs w:val="20"/>
        </w:rPr>
        <w:t xml:space="preserve">Based on a review of the chemistry and manufacturing details, the registration of </w:t>
      </w:r>
      <w:proofErr w:type="spellStart"/>
      <w:r w:rsidR="00F425F6">
        <w:rPr>
          <w:i/>
          <w:iCs/>
        </w:rPr>
        <w:t>Semios</w:t>
      </w:r>
      <w:proofErr w:type="spellEnd"/>
      <w:r w:rsidR="00F425F6">
        <w:rPr>
          <w:i/>
          <w:iCs/>
        </w:rPr>
        <w:t xml:space="preserve"> Carob Moth Aerosol</w:t>
      </w:r>
      <w:r w:rsidR="00533D3A" w:rsidRPr="00533D3A">
        <w:rPr>
          <w:i/>
          <w:iCs/>
        </w:rPr>
        <w:t xml:space="preserve"> Pheromone</w:t>
      </w:r>
      <w:r>
        <w:t>,</w:t>
      </w:r>
      <w:r>
        <w:rPr>
          <w:szCs w:val="20"/>
        </w:rPr>
        <w:t xml:space="preserve"> and approval of the active constituent </w:t>
      </w:r>
      <w:r w:rsidR="00533D3A" w:rsidRPr="00533D3A">
        <w:rPr>
          <w:szCs w:val="20"/>
        </w:rPr>
        <w:t>(</w:t>
      </w:r>
      <w:proofErr w:type="gramStart"/>
      <w:r w:rsidR="00533D3A" w:rsidRPr="00533D3A">
        <w:rPr>
          <w:i/>
          <w:iCs/>
          <w:szCs w:val="20"/>
        </w:rPr>
        <w:t>Z,E</w:t>
      </w:r>
      <w:proofErr w:type="gramEnd"/>
      <w:r w:rsidR="00533D3A" w:rsidRPr="00533D3A">
        <w:rPr>
          <w:szCs w:val="20"/>
        </w:rPr>
        <w:t>)-7,9,11-dodecatrienyl formate</w:t>
      </w:r>
      <w:r>
        <w:rPr>
          <w:szCs w:val="20"/>
        </w:rPr>
        <w:t>, are supported from a chemistry perspective.</w:t>
      </w:r>
    </w:p>
    <w:p w14:paraId="681F480F" w14:textId="3886A71C" w:rsidR="002E20AC" w:rsidRDefault="00CA5B2B" w:rsidP="00032787">
      <w:pPr>
        <w:pStyle w:val="Heading1"/>
      </w:pPr>
      <w:bookmarkStart w:id="57" w:name="_Toc7561227"/>
      <w:bookmarkStart w:id="58" w:name="_Toc221272403"/>
      <w:r>
        <w:lastRenderedPageBreak/>
        <w:t>T</w:t>
      </w:r>
      <w:r w:rsidR="008C0089">
        <w:t>oxicological assessment</w:t>
      </w:r>
      <w:bookmarkEnd w:id="57"/>
      <w:bookmarkEnd w:id="58"/>
    </w:p>
    <w:p w14:paraId="1F4812D4" w14:textId="56DE26F8" w:rsidR="00926473" w:rsidRPr="005F260F" w:rsidRDefault="00926473" w:rsidP="00926473">
      <w:pPr>
        <w:pStyle w:val="APVMAText"/>
      </w:pPr>
      <w:r w:rsidRPr="005F260F">
        <w:t>The applicant provided a package of acute toxicological studies on the active constituent</w:t>
      </w:r>
      <w:r w:rsidR="00163C91" w:rsidRPr="005F260F">
        <w:t>, (Z,</w:t>
      </w:r>
      <w:r w:rsidR="00C913DC" w:rsidRPr="005F260F">
        <w:t xml:space="preserve"> </w:t>
      </w:r>
      <w:r w:rsidR="00163C91" w:rsidRPr="005F260F">
        <w:t>E)-7,9,11-dodecatrienyl formate</w:t>
      </w:r>
      <w:r w:rsidRPr="005F260F">
        <w:t xml:space="preserve"> with a waiver for repeat-dose studies</w:t>
      </w:r>
      <w:r w:rsidR="00E66307" w:rsidRPr="005F260F">
        <w:t xml:space="preserve">, </w:t>
      </w:r>
      <w:r w:rsidRPr="005F260F">
        <w:t>request</w:t>
      </w:r>
      <w:r w:rsidR="00E66307" w:rsidRPr="005F260F">
        <w:t>ing</w:t>
      </w:r>
      <w:r w:rsidRPr="005F260F">
        <w:t xml:space="preserve"> that available data and information be accepted in lieu of the data requirement for repeat-dose toxicity studies, based on the following:</w:t>
      </w:r>
    </w:p>
    <w:p w14:paraId="2B070A96" w14:textId="402497BE" w:rsidR="00926473" w:rsidRPr="005F260F" w:rsidRDefault="00926473" w:rsidP="00C913DC">
      <w:pPr>
        <w:pStyle w:val="ListParagraph"/>
        <w:numPr>
          <w:ilvl w:val="0"/>
          <w:numId w:val="43"/>
        </w:numPr>
      </w:pPr>
      <w:r w:rsidRPr="005F260F">
        <w:t>The active constituent is of low acute toxicity based on studies submitted.</w:t>
      </w:r>
    </w:p>
    <w:p w14:paraId="482DDF7A" w14:textId="3BC54680" w:rsidR="00926473" w:rsidRPr="005F260F" w:rsidRDefault="00926473" w:rsidP="00C913DC">
      <w:pPr>
        <w:pStyle w:val="ListParagraph"/>
        <w:numPr>
          <w:ilvl w:val="0"/>
          <w:numId w:val="43"/>
        </w:numPr>
      </w:pPr>
      <w:r w:rsidRPr="005F260F">
        <w:t>US EPA (2008) determined that no risks to human health are expected from lepidopteran pheromones.</w:t>
      </w:r>
    </w:p>
    <w:p w14:paraId="22E333FF" w14:textId="7251EB2B" w:rsidR="00926473" w:rsidRPr="005F260F" w:rsidRDefault="00926473" w:rsidP="00C913DC">
      <w:pPr>
        <w:pStyle w:val="ListParagraph"/>
        <w:numPr>
          <w:ilvl w:val="0"/>
          <w:numId w:val="43"/>
        </w:numPr>
      </w:pPr>
      <w:r w:rsidRPr="005F260F">
        <w:t xml:space="preserve">Pheromone-based products, such as </w:t>
      </w:r>
      <w:proofErr w:type="spellStart"/>
      <w:r w:rsidRPr="005F260F">
        <w:t>Semios</w:t>
      </w:r>
      <w:proofErr w:type="spellEnd"/>
      <w:r w:rsidRPr="005F260F">
        <w:t xml:space="preserve"> EC work via a non-toxic, species-specific mechanism.</w:t>
      </w:r>
    </w:p>
    <w:p w14:paraId="014E8DF7" w14:textId="2389D4DB" w:rsidR="00926473" w:rsidRPr="005F260F" w:rsidRDefault="00926473" w:rsidP="00C913DC">
      <w:pPr>
        <w:pStyle w:val="ListParagraph"/>
        <w:numPr>
          <w:ilvl w:val="0"/>
          <w:numId w:val="43"/>
        </w:numPr>
      </w:pPr>
      <w:r w:rsidRPr="005F260F">
        <w:t>Significant exposure is not expected due to the low concentration of active constituent in the aerosol formulation and the automated method of application.</w:t>
      </w:r>
    </w:p>
    <w:p w14:paraId="3DA8E56B" w14:textId="79B7AA73" w:rsidR="00926473" w:rsidRPr="005F260F" w:rsidRDefault="00926473" w:rsidP="00C913DC">
      <w:pPr>
        <w:pStyle w:val="ListParagraph"/>
        <w:numPr>
          <w:ilvl w:val="0"/>
          <w:numId w:val="43"/>
        </w:numPr>
      </w:pPr>
      <w:r w:rsidRPr="005F260F">
        <w:t>Emissions of the pheromone are below natural levels estimated in the environment.</w:t>
      </w:r>
    </w:p>
    <w:p w14:paraId="1376058E" w14:textId="1612F644" w:rsidR="00926473" w:rsidRPr="005F260F" w:rsidRDefault="00926473" w:rsidP="00C913DC">
      <w:pPr>
        <w:pStyle w:val="ListParagraph"/>
        <w:numPr>
          <w:ilvl w:val="0"/>
          <w:numId w:val="43"/>
        </w:numPr>
      </w:pPr>
      <w:r w:rsidRPr="005F260F">
        <w:t>The active constituent is volatile (1.1 x 10</w:t>
      </w:r>
      <w:r w:rsidRPr="005F260F">
        <w:rPr>
          <w:vertAlign w:val="superscript"/>
        </w:rPr>
        <w:t>-4</w:t>
      </w:r>
      <w:r w:rsidRPr="005F260F">
        <w:t xml:space="preserve"> kPa) and dissipates rapidly in air once dispensed.</w:t>
      </w:r>
    </w:p>
    <w:p w14:paraId="722C8900" w14:textId="4E88634A" w:rsidR="00CE6DF8" w:rsidRDefault="00CE6DF8" w:rsidP="00926473">
      <w:pPr>
        <w:pStyle w:val="APVMAText"/>
      </w:pPr>
      <w:r w:rsidRPr="005F260F">
        <w:t>The APVMA accepted the applicant’s waiver request based on these grounds.</w:t>
      </w:r>
    </w:p>
    <w:p w14:paraId="400F8DE3" w14:textId="77777777" w:rsidR="008C0089" w:rsidRDefault="008C0089" w:rsidP="008C0089">
      <w:pPr>
        <w:pStyle w:val="Heading2"/>
        <w:ind w:left="907" w:hanging="907"/>
      </w:pPr>
      <w:bookmarkStart w:id="59" w:name="_Toc531181076"/>
      <w:bookmarkStart w:id="60" w:name="_Toc7561228"/>
      <w:bookmarkStart w:id="61" w:name="_Toc221272404"/>
      <w:r>
        <w:t>Evaluation of toxicology</w:t>
      </w:r>
      <w:bookmarkEnd w:id="59"/>
      <w:bookmarkEnd w:id="60"/>
      <w:bookmarkEnd w:id="61"/>
    </w:p>
    <w:p w14:paraId="6C47A726" w14:textId="77777777" w:rsidR="008C0089" w:rsidRDefault="008C0089" w:rsidP="008C0089">
      <w:pPr>
        <w:pStyle w:val="Heading3"/>
      </w:pPr>
      <w:bookmarkStart w:id="62" w:name="_Toc7561229"/>
      <w:r>
        <w:t>Chemical class</w:t>
      </w:r>
      <w:bookmarkEnd w:id="62"/>
    </w:p>
    <w:p w14:paraId="12E465B1" w14:textId="707E452C" w:rsidR="000270DF" w:rsidRDefault="000270DF" w:rsidP="008C0089">
      <w:pPr>
        <w:pStyle w:val="Heading3"/>
        <w:rPr>
          <w:rFonts w:ascii="Arial" w:hAnsi="Arial"/>
          <w:color w:val="auto"/>
          <w:sz w:val="20"/>
          <w:szCs w:val="24"/>
        </w:rPr>
      </w:pPr>
      <w:bookmarkStart w:id="63" w:name="_Toc7561230"/>
      <w:r w:rsidRPr="005F260F">
        <w:rPr>
          <w:rFonts w:ascii="Arial" w:hAnsi="Arial"/>
          <w:color w:val="auto"/>
          <w:sz w:val="20"/>
          <w:szCs w:val="24"/>
        </w:rPr>
        <w:t>(</w:t>
      </w:r>
      <w:proofErr w:type="gramStart"/>
      <w:r w:rsidRPr="005F260F">
        <w:rPr>
          <w:rFonts w:ascii="Arial" w:hAnsi="Arial"/>
          <w:color w:val="auto"/>
          <w:sz w:val="20"/>
          <w:szCs w:val="24"/>
        </w:rPr>
        <w:t>Z,E</w:t>
      </w:r>
      <w:proofErr w:type="gramEnd"/>
      <w:r w:rsidRPr="005F260F">
        <w:rPr>
          <w:rFonts w:ascii="Arial" w:hAnsi="Arial"/>
          <w:color w:val="auto"/>
          <w:sz w:val="20"/>
          <w:szCs w:val="24"/>
        </w:rPr>
        <w:t xml:space="preserve">)-7,9,11-Dodecatrienyl formate belongs to the biological </w:t>
      </w:r>
      <w:r w:rsidR="00BB65FC" w:rsidRPr="005F260F">
        <w:rPr>
          <w:rFonts w:ascii="Arial" w:hAnsi="Arial"/>
          <w:color w:val="auto"/>
          <w:sz w:val="20"/>
          <w:szCs w:val="24"/>
        </w:rPr>
        <w:t xml:space="preserve">insect </w:t>
      </w:r>
      <w:r w:rsidRPr="005F260F">
        <w:rPr>
          <w:rFonts w:ascii="Arial" w:hAnsi="Arial"/>
          <w:color w:val="auto"/>
          <w:sz w:val="20"/>
          <w:szCs w:val="24"/>
        </w:rPr>
        <w:t xml:space="preserve">pheromone </w:t>
      </w:r>
      <w:r w:rsidR="00741DB2" w:rsidRPr="005F260F">
        <w:rPr>
          <w:rFonts w:ascii="Arial" w:hAnsi="Arial"/>
          <w:color w:val="auto"/>
          <w:sz w:val="20"/>
          <w:szCs w:val="24"/>
        </w:rPr>
        <w:t xml:space="preserve">chemical </w:t>
      </w:r>
      <w:r w:rsidRPr="005F260F">
        <w:rPr>
          <w:rFonts w:ascii="Arial" w:hAnsi="Arial"/>
          <w:color w:val="auto"/>
          <w:sz w:val="20"/>
          <w:szCs w:val="24"/>
        </w:rPr>
        <w:t>group.</w:t>
      </w:r>
    </w:p>
    <w:p w14:paraId="39DC928B" w14:textId="4FC9FC64" w:rsidR="008C0089" w:rsidRDefault="008C0089" w:rsidP="008C0089">
      <w:pPr>
        <w:pStyle w:val="Heading3"/>
      </w:pPr>
      <w:r>
        <w:t>Pharmacokinetics</w:t>
      </w:r>
      <w:bookmarkEnd w:id="63"/>
    </w:p>
    <w:p w14:paraId="5DEEA47A" w14:textId="2D1BC645" w:rsidR="008C0089" w:rsidRPr="00C876F1" w:rsidRDefault="00741DB2" w:rsidP="008C0089">
      <w:pPr>
        <w:pStyle w:val="APVMAText"/>
      </w:pPr>
      <w:r w:rsidRPr="005F260F">
        <w:t>No studies provided.</w:t>
      </w:r>
    </w:p>
    <w:p w14:paraId="2728CF30" w14:textId="77777777" w:rsidR="008C0089" w:rsidRDefault="008C0089" w:rsidP="008C0089">
      <w:pPr>
        <w:pStyle w:val="Heading3"/>
      </w:pPr>
      <w:bookmarkStart w:id="64" w:name="_Toc7561231"/>
      <w:r>
        <w:t>Acute toxicity (active constituent)</w:t>
      </w:r>
      <w:bookmarkEnd w:id="64"/>
    </w:p>
    <w:p w14:paraId="57DFBB70" w14:textId="2A12150E" w:rsidR="00CD2755" w:rsidRDefault="00163C91" w:rsidP="008C0089">
      <w:pPr>
        <w:pStyle w:val="APVMAText"/>
      </w:pPr>
      <w:bookmarkStart w:id="65" w:name="_Hlk212745502"/>
      <w:r w:rsidRPr="005F260F">
        <w:t>The acute oral, dermal and inhalation toxicity of (Z, E)-7,9,11-dodecatrienyl formate can be classified as being low with oral and LD</w:t>
      </w:r>
      <w:r w:rsidRPr="005F260F">
        <w:rPr>
          <w:vertAlign w:val="subscript"/>
        </w:rPr>
        <w:t xml:space="preserve">50 </w:t>
      </w:r>
      <w:r w:rsidRPr="005F260F">
        <w:t>greater than 5000 mg/kg bw and LC</w:t>
      </w:r>
      <w:r w:rsidRPr="005F260F">
        <w:rPr>
          <w:vertAlign w:val="subscript"/>
        </w:rPr>
        <w:t>50</w:t>
      </w:r>
      <w:r w:rsidRPr="005F260F">
        <w:t xml:space="preserve"> greater than 2080 mg/m</w:t>
      </w:r>
      <w:r w:rsidRPr="005F260F">
        <w:rPr>
          <w:vertAlign w:val="superscript"/>
        </w:rPr>
        <w:t>3</w:t>
      </w:r>
      <w:r w:rsidRPr="005F260F">
        <w:t xml:space="preserve"> in rats. Additionally, </w:t>
      </w:r>
      <w:bookmarkStart w:id="66" w:name="_Hlk212722398"/>
      <w:r w:rsidRPr="005F260F">
        <w:t xml:space="preserve">(Z, E)-7,9,11-dodecatrienyl formate </w:t>
      </w:r>
      <w:bookmarkEnd w:id="66"/>
      <w:r w:rsidRPr="005F260F">
        <w:t xml:space="preserve">is classified as a slight skin irritant and a moderate eye irritant in rabbits. (Z, E)-7,9,11-dodecatrienyl formate was a skin sensitiser in the murine </w:t>
      </w:r>
      <w:r w:rsidR="00CA70E1" w:rsidRPr="005F260F">
        <w:t>local lymph node assay (</w:t>
      </w:r>
      <w:r w:rsidRPr="005F260F">
        <w:t>LLNA</w:t>
      </w:r>
      <w:r w:rsidR="00CA70E1" w:rsidRPr="005F260F">
        <w:t>)</w:t>
      </w:r>
      <w:r w:rsidRPr="005F260F">
        <w:t>.</w:t>
      </w:r>
    </w:p>
    <w:p w14:paraId="38BCFF8C" w14:textId="77777777" w:rsidR="008C0089" w:rsidRPr="002C36C4" w:rsidRDefault="008C0089" w:rsidP="008C0089">
      <w:pPr>
        <w:pStyle w:val="Heading3"/>
      </w:pPr>
      <w:bookmarkStart w:id="67" w:name="_Toc7561232"/>
      <w:bookmarkEnd w:id="65"/>
      <w:r>
        <w:t>Acute toxicity (product)</w:t>
      </w:r>
      <w:bookmarkEnd w:id="67"/>
    </w:p>
    <w:p w14:paraId="45A47620" w14:textId="20C5F80E" w:rsidR="008C0089" w:rsidRPr="00C876F1" w:rsidRDefault="00CD2755" w:rsidP="008C0089">
      <w:pPr>
        <w:pStyle w:val="APVMAText"/>
      </w:pPr>
      <w:r w:rsidRPr="005F260F">
        <w:t xml:space="preserve">The applicant did not submit toxicology studies on the formulated product. APVMA therefore estimated the acute toxicity profile from the studies submitted on the active constituent and available data on the excipients in the formulation. The estimated acute toxicity profile of </w:t>
      </w:r>
      <w:proofErr w:type="spellStart"/>
      <w:r w:rsidRPr="005F260F">
        <w:t>Semios</w:t>
      </w:r>
      <w:proofErr w:type="spellEnd"/>
      <w:r w:rsidRPr="005F260F">
        <w:t xml:space="preserve"> EC Eco Aerosol Pheromone is </w:t>
      </w:r>
      <w:r w:rsidR="00C913DC" w:rsidRPr="005F260F">
        <w:t>similar</w:t>
      </w:r>
      <w:r w:rsidRPr="005F260F">
        <w:t xml:space="preserve"> to</w:t>
      </w:r>
      <w:r w:rsidR="00CA70E1" w:rsidRPr="005F260F">
        <w:t xml:space="preserve"> the active constituent,</w:t>
      </w:r>
      <w:r w:rsidRPr="005F260F">
        <w:t xml:space="preserve"> (Z, E)-7,9,11-dodecatrienyl formate.</w:t>
      </w:r>
    </w:p>
    <w:p w14:paraId="5154826A" w14:textId="77777777" w:rsidR="008C0089" w:rsidRDefault="008C0089" w:rsidP="008C0089">
      <w:pPr>
        <w:pStyle w:val="Heading3"/>
      </w:pPr>
      <w:bookmarkStart w:id="68" w:name="_Toc7561233"/>
      <w:r>
        <w:t>Repeat-dose toxicity</w:t>
      </w:r>
      <w:bookmarkEnd w:id="68"/>
    </w:p>
    <w:p w14:paraId="321BFFB7" w14:textId="4FF32F05" w:rsidR="008C0089" w:rsidRPr="00C876F1" w:rsidRDefault="000270DF" w:rsidP="008C0089">
      <w:pPr>
        <w:pStyle w:val="APVMAText"/>
      </w:pPr>
      <w:r w:rsidRPr="007D1F65">
        <w:t>No studies provided. The APVMA accepted the applicant’s waiver request.</w:t>
      </w:r>
    </w:p>
    <w:p w14:paraId="772DD5D6" w14:textId="77777777" w:rsidR="008C0089" w:rsidRPr="00C876F1" w:rsidRDefault="008C0089" w:rsidP="008C0089">
      <w:pPr>
        <w:pStyle w:val="Heading3"/>
      </w:pPr>
      <w:bookmarkStart w:id="69" w:name="_Toc7561234"/>
      <w:r w:rsidRPr="00C876F1">
        <w:lastRenderedPageBreak/>
        <w:t>Chronic toxicity and carcinogenicity</w:t>
      </w:r>
      <w:bookmarkEnd w:id="69"/>
    </w:p>
    <w:p w14:paraId="58019194" w14:textId="77777777" w:rsidR="000270DF" w:rsidRPr="00C876F1" w:rsidRDefault="000270DF" w:rsidP="000270DF">
      <w:pPr>
        <w:pStyle w:val="APVMAText"/>
      </w:pPr>
      <w:bookmarkStart w:id="70" w:name="_Toc7561235"/>
      <w:r w:rsidRPr="007D1F65">
        <w:t>No studies provided. The APVMA accepted the applicant’s waiver request.</w:t>
      </w:r>
    </w:p>
    <w:p w14:paraId="7CCCBCD5" w14:textId="77777777" w:rsidR="008C0089" w:rsidRDefault="008C0089" w:rsidP="008C0089">
      <w:pPr>
        <w:pStyle w:val="Heading3"/>
      </w:pPr>
      <w:r>
        <w:t>Reproductive and developmental toxicity</w:t>
      </w:r>
      <w:bookmarkEnd w:id="70"/>
    </w:p>
    <w:p w14:paraId="4F3AAE03" w14:textId="77777777" w:rsidR="000270DF" w:rsidRPr="00C876F1" w:rsidRDefault="000270DF" w:rsidP="000270DF">
      <w:pPr>
        <w:pStyle w:val="APVMAText"/>
      </w:pPr>
      <w:bookmarkStart w:id="71" w:name="_Toc7561236"/>
      <w:r w:rsidRPr="007D1F65">
        <w:t>No studies provided. The APVMA accepted the applicant’s waiver request.</w:t>
      </w:r>
    </w:p>
    <w:p w14:paraId="0A21E0A4" w14:textId="77777777" w:rsidR="008C0089" w:rsidRDefault="008C0089" w:rsidP="008C0089">
      <w:pPr>
        <w:pStyle w:val="Heading3"/>
      </w:pPr>
      <w:r>
        <w:t>Genotoxicity</w:t>
      </w:r>
      <w:bookmarkEnd w:id="71"/>
    </w:p>
    <w:p w14:paraId="50B39A64" w14:textId="1D9208F4" w:rsidR="008C0089" w:rsidRDefault="000270DF" w:rsidP="008C0089">
      <w:pPr>
        <w:pStyle w:val="APVMAText"/>
      </w:pPr>
      <w:r w:rsidRPr="007D1F65">
        <w:t>No studies provided</w:t>
      </w:r>
      <w:r w:rsidR="00741DB2" w:rsidRPr="007D1F65">
        <w:t>.</w:t>
      </w:r>
    </w:p>
    <w:p w14:paraId="1536CB9E" w14:textId="77777777" w:rsidR="008C0089" w:rsidRDefault="008C0089" w:rsidP="008C0089">
      <w:pPr>
        <w:pStyle w:val="Heading3"/>
      </w:pPr>
      <w:bookmarkStart w:id="72" w:name="_Toc7561237"/>
      <w:r>
        <w:t>Neurotoxicity/immunotoxicity</w:t>
      </w:r>
      <w:bookmarkEnd w:id="72"/>
    </w:p>
    <w:p w14:paraId="51E61FF9" w14:textId="066E41D9" w:rsidR="000270DF" w:rsidRDefault="000270DF" w:rsidP="000270DF">
      <w:pPr>
        <w:pStyle w:val="APVMAText"/>
      </w:pPr>
      <w:bookmarkStart w:id="73" w:name="_Toc7561238"/>
      <w:r w:rsidRPr="007D1F65">
        <w:t>No studies provided</w:t>
      </w:r>
      <w:r w:rsidR="00741DB2" w:rsidRPr="007D1F65">
        <w:t>.</w:t>
      </w:r>
    </w:p>
    <w:p w14:paraId="6F5B7C9A" w14:textId="77777777" w:rsidR="008C0089" w:rsidRPr="00162654" w:rsidRDefault="008C0089" w:rsidP="008C0089">
      <w:pPr>
        <w:pStyle w:val="Heading3"/>
      </w:pPr>
      <w:r>
        <w:t>Mode of action (toxicology)</w:t>
      </w:r>
      <w:bookmarkEnd w:id="73"/>
    </w:p>
    <w:p w14:paraId="250D4AB9" w14:textId="77AF24C9" w:rsidR="00741DB2" w:rsidRDefault="00741DB2" w:rsidP="00741DB2">
      <w:pPr>
        <w:pStyle w:val="APVMAText"/>
      </w:pPr>
      <w:bookmarkStart w:id="74" w:name="_Toc7561239"/>
      <w:r w:rsidRPr="007D1F65">
        <w:t>No studies provided.</w:t>
      </w:r>
      <w:r w:rsidR="0033051B">
        <w:t xml:space="preserve"> The active has a non-toxic mode of action in the target species.</w:t>
      </w:r>
    </w:p>
    <w:p w14:paraId="506099B9" w14:textId="77777777" w:rsidR="008C0089" w:rsidRDefault="008C0089" w:rsidP="008C0089">
      <w:pPr>
        <w:pStyle w:val="Heading3"/>
      </w:pPr>
      <w:r>
        <w:t>Toxicity of metabolites and/or impurities</w:t>
      </w:r>
      <w:bookmarkEnd w:id="74"/>
    </w:p>
    <w:p w14:paraId="24F62846" w14:textId="159715B7" w:rsidR="008C0089" w:rsidRPr="001C3EF7" w:rsidRDefault="00C913DC" w:rsidP="00F2418F">
      <w:pPr>
        <w:spacing w:before="120" w:after="120"/>
        <w:jc w:val="both"/>
        <w:rPr>
          <w:rFonts w:eastAsia="Yu Mincho" w:cs="Arial"/>
          <w:szCs w:val="20"/>
          <w:lang w:eastAsia="en-AU"/>
        </w:rPr>
      </w:pPr>
      <w:r w:rsidRPr="007D1F65">
        <w:rPr>
          <w:rFonts w:eastAsia="Yu Mincho" w:cs="Arial"/>
          <w:szCs w:val="20"/>
          <w:lang w:eastAsia="en-AU"/>
        </w:rPr>
        <w:t>A</w:t>
      </w:r>
      <w:r w:rsidR="001C3EF7" w:rsidRPr="007D1F65">
        <w:rPr>
          <w:rFonts w:eastAsia="Yu Mincho" w:cs="Arial"/>
          <w:szCs w:val="20"/>
          <w:lang w:eastAsia="en-AU"/>
        </w:rPr>
        <w:t xml:space="preserve"> 5-batch analysis confirm</w:t>
      </w:r>
      <w:r w:rsidRPr="007D1F65">
        <w:rPr>
          <w:rFonts w:eastAsia="Yu Mincho" w:cs="Arial"/>
          <w:szCs w:val="20"/>
          <w:lang w:eastAsia="en-AU"/>
        </w:rPr>
        <w:t>ed</w:t>
      </w:r>
      <w:r w:rsidR="001C3EF7" w:rsidRPr="007D1F65">
        <w:rPr>
          <w:rFonts w:eastAsia="Yu Mincho" w:cs="Arial"/>
          <w:szCs w:val="20"/>
          <w:lang w:eastAsia="en-AU"/>
        </w:rPr>
        <w:t xml:space="preserve"> the purity of the active constituent </w:t>
      </w:r>
      <w:r w:rsidRPr="007D1F65">
        <w:rPr>
          <w:rFonts w:eastAsia="Yu Mincho" w:cs="Arial"/>
          <w:szCs w:val="20"/>
          <w:lang w:eastAsia="en-AU"/>
        </w:rPr>
        <w:t>and provided</w:t>
      </w:r>
      <w:r w:rsidR="001C3EF7" w:rsidRPr="007D1F65">
        <w:rPr>
          <w:rFonts w:eastAsia="Yu Mincho" w:cs="Arial"/>
          <w:szCs w:val="20"/>
          <w:lang w:eastAsia="en-AU"/>
        </w:rPr>
        <w:t xml:space="preserve"> </w:t>
      </w:r>
      <w:r w:rsidRPr="007D1F65">
        <w:rPr>
          <w:rFonts w:eastAsia="Yu Mincho" w:cs="Arial"/>
          <w:szCs w:val="20"/>
          <w:lang w:eastAsia="en-AU"/>
        </w:rPr>
        <w:t xml:space="preserve">details </w:t>
      </w:r>
      <w:r w:rsidR="001C3EF7" w:rsidRPr="007D1F65">
        <w:rPr>
          <w:rFonts w:eastAsia="Yu Mincho" w:cs="Arial"/>
          <w:szCs w:val="20"/>
          <w:lang w:eastAsia="en-AU"/>
        </w:rPr>
        <w:t>of impurities.</w:t>
      </w:r>
      <w:r w:rsidR="00F2418F">
        <w:rPr>
          <w:rFonts w:eastAsia="Yu Mincho" w:cs="Arial"/>
          <w:szCs w:val="20"/>
          <w:lang w:eastAsia="en-AU"/>
        </w:rPr>
        <w:t xml:space="preserve"> </w:t>
      </w:r>
      <w:r w:rsidR="00F2418F" w:rsidRPr="00F2418F">
        <w:rPr>
          <w:rFonts w:eastAsia="Yu Mincho" w:cs="Arial"/>
          <w:szCs w:val="20"/>
          <w:lang w:eastAsia="en-AU"/>
        </w:rPr>
        <w:t>T</w:t>
      </w:r>
      <w:r w:rsidR="001C3EF7" w:rsidRPr="00F2418F">
        <w:rPr>
          <w:rFonts w:eastAsia="Yu Mincho" w:cs="Arial"/>
          <w:szCs w:val="20"/>
          <w:lang w:eastAsia="en-AU"/>
        </w:rPr>
        <w:t xml:space="preserve">he impurities </w:t>
      </w:r>
      <w:r w:rsidR="00F2418F" w:rsidRPr="00F2418F">
        <w:rPr>
          <w:rFonts w:eastAsia="Yu Mincho" w:cs="Arial"/>
          <w:szCs w:val="20"/>
          <w:lang w:eastAsia="en-AU"/>
        </w:rPr>
        <w:t>are</w:t>
      </w:r>
      <w:r w:rsidR="001C3EF7" w:rsidRPr="00F2418F">
        <w:rPr>
          <w:rFonts w:eastAsia="Yu Mincho" w:cs="Arial"/>
          <w:szCs w:val="20"/>
          <w:lang w:eastAsia="en-AU"/>
        </w:rPr>
        <w:t xml:space="preserve"> of no increased hazard </w:t>
      </w:r>
      <w:r w:rsidR="00F2418F" w:rsidRPr="00F2418F">
        <w:rPr>
          <w:rFonts w:eastAsia="Yu Mincho" w:cs="Arial"/>
          <w:szCs w:val="20"/>
          <w:lang w:eastAsia="en-AU"/>
        </w:rPr>
        <w:t xml:space="preserve">compared </w:t>
      </w:r>
      <w:r w:rsidR="001C3EF7" w:rsidRPr="00F2418F">
        <w:rPr>
          <w:rFonts w:eastAsia="Yu Mincho" w:cs="Arial"/>
          <w:szCs w:val="20"/>
          <w:lang w:eastAsia="en-AU"/>
        </w:rPr>
        <w:t>to the parent molecule.</w:t>
      </w:r>
    </w:p>
    <w:p w14:paraId="1273C5A5" w14:textId="77777777" w:rsidR="008C0089" w:rsidRDefault="008C0089" w:rsidP="008C0089">
      <w:pPr>
        <w:pStyle w:val="Heading3"/>
      </w:pPr>
      <w:bookmarkStart w:id="75" w:name="_Toc7561240"/>
      <w:r>
        <w:t>Reports related to human toxicity</w:t>
      </w:r>
      <w:bookmarkEnd w:id="75"/>
    </w:p>
    <w:p w14:paraId="118D2FE4" w14:textId="64B70E46" w:rsidR="00ED4F18" w:rsidRPr="007D1F65" w:rsidRDefault="00ED4F18" w:rsidP="00ED4F18">
      <w:pPr>
        <w:pStyle w:val="NormalText"/>
        <w:rPr>
          <w:sz w:val="20"/>
          <w:szCs w:val="20"/>
        </w:rPr>
      </w:pPr>
      <w:r w:rsidRPr="007D1F65">
        <w:rPr>
          <w:sz w:val="20"/>
          <w:szCs w:val="20"/>
        </w:rPr>
        <w:t>A search of the scientific literature using the PubMed database of the United States National Library of Medicine yielded no reference relat</w:t>
      </w:r>
      <w:r w:rsidR="00936A6A" w:rsidRPr="007D1F65">
        <w:rPr>
          <w:sz w:val="20"/>
          <w:szCs w:val="20"/>
        </w:rPr>
        <w:t>ing</w:t>
      </w:r>
      <w:r w:rsidRPr="007D1F65">
        <w:rPr>
          <w:sz w:val="20"/>
          <w:szCs w:val="20"/>
        </w:rPr>
        <w:t xml:space="preserve"> to effects of </w:t>
      </w:r>
      <w:proofErr w:type="spellStart"/>
      <w:r w:rsidRPr="007D1F65">
        <w:rPr>
          <w:sz w:val="20"/>
          <w:szCs w:val="20"/>
        </w:rPr>
        <w:t>dodecatrienyl</w:t>
      </w:r>
      <w:proofErr w:type="spellEnd"/>
      <w:r w:rsidRPr="007D1F65">
        <w:rPr>
          <w:sz w:val="20"/>
          <w:szCs w:val="20"/>
        </w:rPr>
        <w:t xml:space="preserve"> </w:t>
      </w:r>
      <w:proofErr w:type="spellStart"/>
      <w:r w:rsidRPr="007D1F65">
        <w:rPr>
          <w:sz w:val="20"/>
          <w:szCs w:val="20"/>
        </w:rPr>
        <w:t>formate</w:t>
      </w:r>
      <w:proofErr w:type="spellEnd"/>
      <w:r w:rsidRPr="007D1F65">
        <w:rPr>
          <w:sz w:val="20"/>
          <w:szCs w:val="20"/>
        </w:rPr>
        <w:t xml:space="preserve"> (CAS No 146321-32-6) in humans or laboratory animals.</w:t>
      </w:r>
    </w:p>
    <w:p w14:paraId="66C25604" w14:textId="77777777" w:rsidR="008C0089" w:rsidRDefault="008C0089" w:rsidP="008C0089">
      <w:pPr>
        <w:pStyle w:val="Heading2"/>
        <w:ind w:left="907" w:hanging="907"/>
      </w:pPr>
      <w:bookmarkStart w:id="76" w:name="_Toc531181077"/>
      <w:bookmarkStart w:id="77" w:name="_Toc7561244"/>
      <w:bookmarkStart w:id="78" w:name="_Toc221272405"/>
      <w:r>
        <w:t>Health-based guidance values and poisons scheduling</w:t>
      </w:r>
      <w:bookmarkEnd w:id="76"/>
      <w:bookmarkEnd w:id="77"/>
      <w:bookmarkEnd w:id="78"/>
    </w:p>
    <w:p w14:paraId="486ACA3E" w14:textId="265CEE4E" w:rsidR="008C0089" w:rsidRDefault="00CA5B2B" w:rsidP="008C0089">
      <w:pPr>
        <w:pStyle w:val="Heading3"/>
      </w:pPr>
      <w:bookmarkStart w:id="79" w:name="_Toc7561245"/>
      <w:r>
        <w:t>Poisons S</w:t>
      </w:r>
      <w:r w:rsidR="008C0089">
        <w:t>tandard</w:t>
      </w:r>
      <w:bookmarkEnd w:id="79"/>
    </w:p>
    <w:p w14:paraId="43DD90DA" w14:textId="4C51F272" w:rsidR="008C0089" w:rsidRDefault="001C3EF7" w:rsidP="008C0089">
      <w:pPr>
        <w:pStyle w:val="APVMAText"/>
      </w:pPr>
      <w:r w:rsidRPr="007D1F65">
        <w:t xml:space="preserve">(Z,E)-7,9,11-Dodecatrienyl </w:t>
      </w:r>
      <w:r w:rsidR="00C913DC" w:rsidRPr="007D1F65">
        <w:t>f</w:t>
      </w:r>
      <w:r w:rsidRPr="007D1F65">
        <w:t>ormate is listed in Schedule 6 of the TGA Poisons Standard</w:t>
      </w:r>
      <w:r w:rsidR="00C913DC" w:rsidRPr="007D1F65">
        <w:t xml:space="preserve"> (SUSMP)</w:t>
      </w:r>
      <w:r w:rsidRPr="007D1F65">
        <w:t xml:space="preserve"> for agricultural use as an insect pheromone, except when enclosed in a device which, in normal use, prevents access to its contents.</w:t>
      </w:r>
    </w:p>
    <w:p w14:paraId="260ADD5A" w14:textId="77777777" w:rsidR="008C0089" w:rsidRDefault="008C0089" w:rsidP="008C0089">
      <w:pPr>
        <w:pStyle w:val="Heading3"/>
      </w:pPr>
      <w:bookmarkStart w:id="80" w:name="_Toc7561246"/>
      <w:r>
        <w:t>Health-based guidance values</w:t>
      </w:r>
      <w:bookmarkEnd w:id="80"/>
    </w:p>
    <w:p w14:paraId="09DA9D97" w14:textId="78D0ED77" w:rsidR="008C0089" w:rsidRDefault="008C0089" w:rsidP="00C913DC">
      <w:pPr>
        <w:pStyle w:val="Heading4"/>
      </w:pPr>
      <w:r>
        <w:t xml:space="preserve">Acceptable </w:t>
      </w:r>
      <w:r w:rsidR="007F6D92">
        <w:t xml:space="preserve">daily </w:t>
      </w:r>
      <w:r w:rsidR="007F6D92" w:rsidRPr="00424637">
        <w:t>intake</w:t>
      </w:r>
      <w:r w:rsidR="00C913DC">
        <w:t xml:space="preserve"> /</w:t>
      </w:r>
      <w:r w:rsidR="00C913DC" w:rsidRPr="00C913DC">
        <w:t xml:space="preserve"> </w:t>
      </w:r>
      <w:r w:rsidR="00C913DC">
        <w:t>Acute reference dose</w:t>
      </w:r>
    </w:p>
    <w:p w14:paraId="22DC5FCE" w14:textId="47E71DB1" w:rsidR="008C0089" w:rsidRDefault="00C913DC" w:rsidP="00C913DC">
      <w:pPr>
        <w:pStyle w:val="NormalText"/>
      </w:pPr>
      <w:r w:rsidRPr="00F2418F">
        <w:t xml:space="preserve">No repeat dose toxicological studies are available for (Z,E)-7,9,11-dodecatrienyl formate. Given the use pattern of the proposed product </w:t>
      </w:r>
      <w:r w:rsidR="0033051B">
        <w:t xml:space="preserve">does not require direct application to edible portions of crops, </w:t>
      </w:r>
      <w:r w:rsidRPr="00F2418F">
        <w:t xml:space="preserve">and the relatively high volatility </w:t>
      </w:r>
      <w:r w:rsidRPr="00F2418F">
        <w:lastRenderedPageBreak/>
        <w:t>of the active constituent (1.1 x 10</w:t>
      </w:r>
      <w:r w:rsidRPr="00F2418F">
        <w:rPr>
          <w:vertAlign w:val="superscript"/>
        </w:rPr>
        <w:t>-4</w:t>
      </w:r>
      <w:r w:rsidRPr="00F2418F">
        <w:t xml:space="preserve"> kPa), food (nut) residues are unlikely to occur. Accordingly, no acceptable daily intake (ADI) or acute reference dose (ARfD) ha</w:t>
      </w:r>
      <w:r w:rsidR="00936A6A" w:rsidRPr="00F2418F">
        <w:t>ve</w:t>
      </w:r>
      <w:r w:rsidRPr="00F2418F">
        <w:t xml:space="preserve"> been determined or considered necessary.</w:t>
      </w:r>
    </w:p>
    <w:p w14:paraId="151E0677" w14:textId="0D125887" w:rsidR="00CE6DF8" w:rsidRDefault="008C0089" w:rsidP="00CE6DF8">
      <w:pPr>
        <w:pStyle w:val="Heading2"/>
        <w:ind w:left="907" w:hanging="907"/>
      </w:pPr>
      <w:bookmarkStart w:id="81" w:name="_Toc531181078"/>
      <w:bookmarkStart w:id="82" w:name="_Toc7561247"/>
      <w:bookmarkStart w:id="83" w:name="_Toc221272406"/>
      <w:r>
        <w:t>Recommendations</w:t>
      </w:r>
      <w:bookmarkEnd w:id="81"/>
      <w:bookmarkEnd w:id="82"/>
      <w:bookmarkEnd w:id="83"/>
    </w:p>
    <w:p w14:paraId="7D64B0AB" w14:textId="167C68CF" w:rsidR="00F570DC" w:rsidRDefault="00F570DC" w:rsidP="00F570DC">
      <w:pPr>
        <w:pStyle w:val="NormalText"/>
      </w:pPr>
      <w:r w:rsidRPr="00F2418F">
        <w:t xml:space="preserve">The APVMA has evaluated the toxicology of the active constituent (Z,E)-7,9,11-dodecatrienyl formate and the associated product </w:t>
      </w:r>
      <w:proofErr w:type="spellStart"/>
      <w:r w:rsidRPr="00F2418F">
        <w:t>Semios</w:t>
      </w:r>
      <w:proofErr w:type="spellEnd"/>
      <w:r w:rsidRPr="00F2418F">
        <w:t xml:space="preserve"> EC Eco Aerosol Pheromone</w:t>
      </w:r>
      <w:r w:rsidR="00936A6A" w:rsidRPr="00F2418F">
        <w:t>. APVMA</w:t>
      </w:r>
      <w:r w:rsidRPr="00F2418F">
        <w:t xml:space="preserve"> has no objections on human health grounds to the approval of the technical grade active constituent </w:t>
      </w:r>
      <w:r w:rsidR="00936A6A" w:rsidRPr="00F2418F">
        <w:t xml:space="preserve">(TGAC) </w:t>
      </w:r>
      <w:r w:rsidRPr="00F2418F">
        <w:t xml:space="preserve">and registration of the product, </w:t>
      </w:r>
      <w:proofErr w:type="spellStart"/>
      <w:r w:rsidR="005F1312" w:rsidRPr="00F2418F">
        <w:t>Semios</w:t>
      </w:r>
      <w:proofErr w:type="spellEnd"/>
      <w:r w:rsidR="005F1312" w:rsidRPr="00F2418F">
        <w:t xml:space="preserve"> Carob Moth Aerosol Pheromone, </w:t>
      </w:r>
      <w:r w:rsidRPr="00F2418F">
        <w:t>when used in accordance with the proposed directions for use and adhering to the recommended safety directions</w:t>
      </w:r>
      <w:r w:rsidR="00970008" w:rsidRPr="00F2418F">
        <w:t xml:space="preserve"> (below)</w:t>
      </w:r>
      <w:r w:rsidRPr="00F2418F">
        <w:t>. For the protection of public health from dietary consumption of (Z,E)-7,9,11-dodecatrienyl formate residues in food, neither an acceptable daily intake (ADI) nor acute reference dose (ARfD) were considered necessary.</w:t>
      </w:r>
    </w:p>
    <w:p w14:paraId="67AB3702" w14:textId="1ADA7B32" w:rsidR="00F570DC" w:rsidRPr="00CE6DF8" w:rsidRDefault="00F570DC" w:rsidP="00CE6DF8">
      <w:pPr>
        <w:pStyle w:val="APVMAText"/>
        <w:sectPr w:rsidR="00F570DC" w:rsidRPr="00CE6DF8">
          <w:headerReference w:type="default" r:id="rId31"/>
          <w:pgSz w:w="11906" w:h="16838" w:code="9"/>
          <w:pgMar w:top="2835" w:right="1134" w:bottom="1134" w:left="1134" w:header="1701" w:footer="680" w:gutter="0"/>
          <w:cols w:space="708"/>
          <w:docGrid w:linePitch="360"/>
        </w:sectPr>
      </w:pPr>
    </w:p>
    <w:p w14:paraId="2E6A3C65" w14:textId="77777777" w:rsidR="00302D38" w:rsidRDefault="00302D38" w:rsidP="00302D38">
      <w:pPr>
        <w:pStyle w:val="Heading1"/>
        <w:tabs>
          <w:tab w:val="num" w:pos="907"/>
        </w:tabs>
        <w:ind w:left="907" w:hanging="907"/>
        <w:rPr>
          <w:lang w:val="en-GB"/>
        </w:rPr>
      </w:pPr>
      <w:bookmarkStart w:id="84" w:name="_Toc231963188"/>
      <w:bookmarkStart w:id="85" w:name="_Toc531181079"/>
      <w:bookmarkStart w:id="86" w:name="_Toc7561248"/>
      <w:bookmarkStart w:id="87" w:name="_Toc221272407"/>
      <w:r>
        <w:rPr>
          <w:lang w:val="en-GB"/>
        </w:rPr>
        <w:lastRenderedPageBreak/>
        <w:t>Residues assessment</w:t>
      </w:r>
      <w:bookmarkEnd w:id="84"/>
      <w:bookmarkEnd w:id="85"/>
      <w:bookmarkEnd w:id="86"/>
      <w:bookmarkEnd w:id="87"/>
    </w:p>
    <w:p w14:paraId="7A255074" w14:textId="27260C02" w:rsidR="00302D38" w:rsidRDefault="00302D38" w:rsidP="00302D38">
      <w:pPr>
        <w:pStyle w:val="Heading2"/>
        <w:ind w:left="907" w:hanging="907"/>
        <w:rPr>
          <w:lang w:val="en-GB"/>
        </w:rPr>
      </w:pPr>
      <w:bookmarkStart w:id="88" w:name="_Toc531181080"/>
      <w:bookmarkStart w:id="89" w:name="_Toc7561249"/>
      <w:bookmarkStart w:id="90" w:name="_Toc221272408"/>
      <w:r>
        <w:rPr>
          <w:lang w:val="en-GB"/>
        </w:rPr>
        <w:t>Metabolism</w:t>
      </w:r>
      <w:bookmarkEnd w:id="88"/>
      <w:bookmarkEnd w:id="89"/>
      <w:bookmarkEnd w:id="90"/>
    </w:p>
    <w:p w14:paraId="36CDA9DD" w14:textId="757594C8" w:rsidR="002A7595" w:rsidRDefault="000415BC" w:rsidP="00302D38">
      <w:pPr>
        <w:pStyle w:val="APVMAText"/>
      </w:pPr>
      <w:r>
        <w:t>S</w:t>
      </w:r>
      <w:r w:rsidR="008E772E" w:rsidRPr="008E772E">
        <w:t xml:space="preserve">traight chain lepidopteran pheromones </w:t>
      </w:r>
      <w:r w:rsidR="008E772E">
        <w:t>(</w:t>
      </w:r>
      <w:r w:rsidR="002A7595" w:rsidRPr="002A7595">
        <w:t>SCLPs</w:t>
      </w:r>
      <w:r w:rsidR="008E772E">
        <w:t>)</w:t>
      </w:r>
      <w:r w:rsidR="002A7595" w:rsidRPr="002A7595">
        <w:t xml:space="preserve"> and other similar arthropod semiochemicals are biodegradable by enzyme systems present in most living organisms and should present no problems with their normal physiology. Pheromones are short lived in the environment due to their volatile nature and rapid environmental transformation</w:t>
      </w:r>
      <w:r w:rsidR="008C0FA2" w:rsidRPr="002A6791">
        <w:rPr>
          <w:vertAlign w:val="superscript"/>
        </w:rPr>
        <w:t>,</w:t>
      </w:r>
      <w:r w:rsidR="008E32D0">
        <w:rPr>
          <w:rStyle w:val="FootnoteReference"/>
        </w:rPr>
        <w:footnoteReference w:id="2"/>
      </w:r>
      <w:r w:rsidR="002A7595" w:rsidRPr="002A7595">
        <w:t xml:space="preserve">. (Z, E)-7, 9, 11-dodecatrienyl formate is not intended to be applied directly onto the crop but rather released in the air through Semios automated aerosol dispensers. Therefore, no residues of (Z, E)-7, 9, 11-dodecatrienyl formate are expected in crops from the proposed use of </w:t>
      </w:r>
      <w:proofErr w:type="spellStart"/>
      <w:r w:rsidR="00F425F6">
        <w:t>Semios</w:t>
      </w:r>
      <w:proofErr w:type="spellEnd"/>
      <w:r w:rsidR="00F425F6">
        <w:t xml:space="preserve"> Carob Moth Aerosol</w:t>
      </w:r>
      <w:r w:rsidR="002A7595" w:rsidRPr="002A7595">
        <w:t xml:space="preserve"> Pheromone. For the purposes of this this evaluation, no further consideration of the metabolism of (Z,E)-7,9,11-dodecatrienyl formate is required.</w:t>
      </w:r>
    </w:p>
    <w:p w14:paraId="7C4EEF30" w14:textId="77777777" w:rsidR="00302D38" w:rsidRDefault="00302D38" w:rsidP="00302D38">
      <w:pPr>
        <w:pStyle w:val="Heading2"/>
        <w:ind w:left="907" w:hanging="907"/>
        <w:rPr>
          <w:lang w:val="en-GB"/>
        </w:rPr>
      </w:pPr>
      <w:bookmarkStart w:id="91" w:name="_Toc531181082"/>
      <w:bookmarkStart w:id="92" w:name="_Toc7561251"/>
      <w:bookmarkStart w:id="93" w:name="_Toc221272409"/>
      <w:r>
        <w:rPr>
          <w:lang w:val="en-GB"/>
        </w:rPr>
        <w:t>Residue definition</w:t>
      </w:r>
      <w:bookmarkEnd w:id="91"/>
      <w:bookmarkEnd w:id="92"/>
      <w:bookmarkEnd w:id="93"/>
    </w:p>
    <w:p w14:paraId="297FBD71" w14:textId="6764F884" w:rsidR="002A7595" w:rsidRPr="00642A09" w:rsidRDefault="008E772E" w:rsidP="00302D38">
      <w:pPr>
        <w:pStyle w:val="APVMAText"/>
        <w:rPr>
          <w:lang w:val="en-GB"/>
        </w:rPr>
      </w:pPr>
      <w:r>
        <w:t>A</w:t>
      </w:r>
      <w:r w:rsidR="002A7595" w:rsidRPr="002A7595">
        <w:t xml:space="preserve"> residue definition </w:t>
      </w:r>
      <w:r>
        <w:t xml:space="preserve">is not required </w:t>
      </w:r>
      <w:r w:rsidR="002A7595" w:rsidRPr="002A7595">
        <w:t>for (Z,E)-7,9,11-dodecatrienyl formate</w:t>
      </w:r>
      <w:r>
        <w:t xml:space="preserve"> as an entry in Table 5 of the Maximum Residue Limit (MRL) Standard is being considered</w:t>
      </w:r>
      <w:r w:rsidR="002516CA">
        <w:t xml:space="preserve">. </w:t>
      </w:r>
      <w:r w:rsidR="002516CA" w:rsidRPr="002516CA">
        <w:t>Table 5 entries are considered for substances</w:t>
      </w:r>
      <w:r w:rsidR="002516CA" w:rsidRPr="002516CA">
        <w:rPr>
          <w:lang w:val="en-GB"/>
        </w:rPr>
        <w:t xml:space="preserve"> where </w:t>
      </w:r>
      <w:r>
        <w:t>MRLs are not necessary</w:t>
      </w:r>
      <w:r w:rsidR="002A7595" w:rsidRPr="002A7595">
        <w:t>.</w:t>
      </w:r>
    </w:p>
    <w:p w14:paraId="1FA1569C" w14:textId="77777777" w:rsidR="00302D38" w:rsidRDefault="00302D38" w:rsidP="00302D38">
      <w:pPr>
        <w:pStyle w:val="Heading2"/>
        <w:ind w:left="907" w:hanging="907"/>
        <w:rPr>
          <w:lang w:val="en-GB"/>
        </w:rPr>
      </w:pPr>
      <w:bookmarkStart w:id="94" w:name="_Toc531181083"/>
      <w:bookmarkStart w:id="95" w:name="_Toc7561252"/>
      <w:bookmarkStart w:id="96" w:name="_Toc221272410"/>
      <w:r>
        <w:rPr>
          <w:lang w:val="en-GB"/>
        </w:rPr>
        <w:t>Residues in food and animal feeds</w:t>
      </w:r>
      <w:bookmarkEnd w:id="94"/>
      <w:bookmarkEnd w:id="95"/>
      <w:bookmarkEnd w:id="96"/>
    </w:p>
    <w:p w14:paraId="0B84608A" w14:textId="4DC4BA87" w:rsidR="00302D38" w:rsidRDefault="00471A26" w:rsidP="00302D38">
      <w:pPr>
        <w:pStyle w:val="APVMAText"/>
      </w:pPr>
      <w:r w:rsidRPr="00471A26">
        <w:t xml:space="preserve">The proposed </w:t>
      </w:r>
      <w:r>
        <w:t>use pattern</w:t>
      </w:r>
      <w:r w:rsidRPr="00471A26">
        <w:t xml:space="preserve"> for </w:t>
      </w:r>
      <w:proofErr w:type="spellStart"/>
      <w:r w:rsidR="00F425F6">
        <w:t>Semios</w:t>
      </w:r>
      <w:proofErr w:type="spellEnd"/>
      <w:r w:rsidR="00F425F6">
        <w:t xml:space="preserve"> Carob Moth Aerosol</w:t>
      </w:r>
      <w:r w:rsidRPr="00471A26">
        <w:t xml:space="preserve"> Pheromone in tree nuts is the addition of 1-5 dispensers of product/ha (25 g ai/ha).</w:t>
      </w:r>
    </w:p>
    <w:p w14:paraId="206E0C42" w14:textId="746D6EB3" w:rsidR="0054633B" w:rsidRDefault="008C0FA2" w:rsidP="008C0FA2">
      <w:pPr>
        <w:pStyle w:val="APVMAText"/>
        <w:rPr>
          <w:lang w:val="en-GB"/>
        </w:rPr>
      </w:pPr>
      <w:r w:rsidRPr="008C0FA2">
        <w:rPr>
          <w:lang w:val="en-GB"/>
        </w:rPr>
        <w:t>For semiochemicals, residue data may not be required if it has been determined that quantifiable</w:t>
      </w:r>
      <w:r>
        <w:rPr>
          <w:lang w:val="en-GB"/>
        </w:rPr>
        <w:t xml:space="preserve"> </w:t>
      </w:r>
      <w:r w:rsidRPr="008C0FA2">
        <w:rPr>
          <w:lang w:val="en-GB"/>
        </w:rPr>
        <w:t>residues on the consumable commodity are unlikely to occur or that residue levels are unlikely to exceed</w:t>
      </w:r>
      <w:r>
        <w:rPr>
          <w:lang w:val="en-GB"/>
        </w:rPr>
        <w:t xml:space="preserve"> </w:t>
      </w:r>
      <w:r w:rsidRPr="008C0FA2">
        <w:rPr>
          <w:lang w:val="en-GB"/>
        </w:rPr>
        <w:t>natural exposure levels during outbreaks of the pest. This can be demonstrated by a scientific rationale</w:t>
      </w:r>
      <w:r w:rsidR="00C06A12" w:rsidRPr="00C06A12">
        <w:rPr>
          <w:vertAlign w:val="superscript"/>
          <w:lang w:val="en-GB"/>
        </w:rPr>
        <w:t>3</w:t>
      </w:r>
      <w:r w:rsidRPr="008C0FA2">
        <w:rPr>
          <w:lang w:val="en-GB"/>
        </w:rPr>
        <w:t>.</w:t>
      </w:r>
    </w:p>
    <w:p w14:paraId="231EE53C" w14:textId="3CD52088" w:rsidR="00E712DD" w:rsidRPr="00E712DD" w:rsidRDefault="00E712DD" w:rsidP="00E712DD">
      <w:pPr>
        <w:pStyle w:val="APVMAText"/>
        <w:rPr>
          <w:lang w:val="en-GB"/>
        </w:rPr>
      </w:pPr>
      <w:r>
        <w:rPr>
          <w:lang w:val="en-GB"/>
        </w:rPr>
        <w:t>R</w:t>
      </w:r>
      <w:r w:rsidRPr="00E712DD">
        <w:rPr>
          <w:lang w:val="en-GB"/>
        </w:rPr>
        <w:t>isk assessment</w:t>
      </w:r>
    </w:p>
    <w:p w14:paraId="105F253B" w14:textId="3730AB36" w:rsidR="00EE4706" w:rsidRPr="00EE4706" w:rsidRDefault="005222E2" w:rsidP="00EE4706">
      <w:pPr>
        <w:pStyle w:val="APVMAText"/>
        <w:rPr>
          <w:lang w:val="en-GB"/>
        </w:rPr>
      </w:pPr>
      <w:bookmarkStart w:id="97" w:name="_Hlk221021987"/>
      <w:r>
        <w:rPr>
          <w:lang w:val="en-GB"/>
        </w:rPr>
        <w:t>N</w:t>
      </w:r>
      <w:r w:rsidRPr="00EE4706">
        <w:rPr>
          <w:lang w:val="en-GB"/>
        </w:rPr>
        <w:t>o acceptable daily intake (ADI) or acute reference dose (</w:t>
      </w:r>
      <w:proofErr w:type="spellStart"/>
      <w:r w:rsidRPr="00EE4706">
        <w:rPr>
          <w:lang w:val="en-GB"/>
        </w:rPr>
        <w:t>ARfD</w:t>
      </w:r>
      <w:proofErr w:type="spellEnd"/>
      <w:r w:rsidRPr="00EE4706">
        <w:rPr>
          <w:lang w:val="en-GB"/>
        </w:rPr>
        <w:t xml:space="preserve">) </w:t>
      </w:r>
      <w:r>
        <w:rPr>
          <w:lang w:val="en-GB"/>
        </w:rPr>
        <w:t>are</w:t>
      </w:r>
      <w:r w:rsidRPr="00EE4706">
        <w:rPr>
          <w:lang w:val="en-GB"/>
        </w:rPr>
        <w:t xml:space="preserve"> considered necessary</w:t>
      </w:r>
      <w:bookmarkEnd w:id="97"/>
      <w:r>
        <w:rPr>
          <w:lang w:val="en-GB"/>
        </w:rPr>
        <w:t>.</w:t>
      </w:r>
    </w:p>
    <w:p w14:paraId="49F738FE" w14:textId="340BC234" w:rsidR="008E772E" w:rsidRDefault="00D3438C" w:rsidP="00E712DD">
      <w:pPr>
        <w:pStyle w:val="APVMAText"/>
        <w:rPr>
          <w:lang w:val="en-GB"/>
        </w:rPr>
      </w:pPr>
      <w:r w:rsidRPr="00D3438C">
        <w:rPr>
          <w:lang w:val="en-GB"/>
        </w:rPr>
        <w:t>The application rate is typically low and comparable to natural emissions.</w:t>
      </w:r>
      <w:r>
        <w:rPr>
          <w:lang w:val="en-GB"/>
        </w:rPr>
        <w:t xml:space="preserve"> </w:t>
      </w:r>
      <w:r w:rsidRPr="00D3438C">
        <w:rPr>
          <w:lang w:val="en-GB"/>
        </w:rPr>
        <w:t>Volatility and rapid environmental transformation minimize residues in crops and exposure of non-target organisms.</w:t>
      </w:r>
      <w:r>
        <w:rPr>
          <w:lang w:val="en-GB"/>
        </w:rPr>
        <w:t xml:space="preserve"> </w:t>
      </w:r>
      <w:r w:rsidRPr="00D3438C">
        <w:rPr>
          <w:lang w:val="en-GB"/>
        </w:rPr>
        <w:t>As the product formulation is contained in a sealed aerosol can that is electronically actuated by remote control to emit a small-metered dose, no residues are expected to be present in the environment and on food crops.</w:t>
      </w:r>
    </w:p>
    <w:p w14:paraId="734CF826" w14:textId="39D5B447" w:rsidR="00E712DD" w:rsidRPr="00E712DD" w:rsidRDefault="003E54B7" w:rsidP="00E712DD">
      <w:pPr>
        <w:pStyle w:val="APVMAText"/>
        <w:rPr>
          <w:lang w:val="en-GB"/>
        </w:rPr>
      </w:pPr>
      <w:r>
        <w:rPr>
          <w:lang w:val="en-GB"/>
        </w:rPr>
        <w:t>U</w:t>
      </w:r>
      <w:r w:rsidR="00E712DD" w:rsidRPr="00E712DD">
        <w:rPr>
          <w:lang w:val="en-GB"/>
        </w:rPr>
        <w:t xml:space="preserve">ses of substances where maximum residue limits are not necessary, and </w:t>
      </w:r>
      <w:proofErr w:type="gramStart"/>
      <w:r w:rsidR="00E712DD" w:rsidRPr="00E712DD">
        <w:rPr>
          <w:lang w:val="en-GB"/>
        </w:rPr>
        <w:t>entered into</w:t>
      </w:r>
      <w:proofErr w:type="gramEnd"/>
      <w:r w:rsidR="00E712DD" w:rsidRPr="00E712DD">
        <w:rPr>
          <w:lang w:val="en-GB"/>
        </w:rPr>
        <w:t xml:space="preserve"> Table 5 of the APVMA MRL Standard for Residues of Chemical Products, are considered for:</w:t>
      </w:r>
    </w:p>
    <w:p w14:paraId="6AD8C356" w14:textId="444D45AB" w:rsidR="00E712DD" w:rsidRPr="00E712DD" w:rsidRDefault="00E712DD" w:rsidP="00487C65">
      <w:pPr>
        <w:pStyle w:val="APVMAText"/>
        <w:numPr>
          <w:ilvl w:val="0"/>
          <w:numId w:val="42"/>
        </w:numPr>
        <w:rPr>
          <w:lang w:val="en-GB"/>
        </w:rPr>
      </w:pPr>
      <w:r w:rsidRPr="00E712DD">
        <w:rPr>
          <w:lang w:val="en-GB"/>
        </w:rPr>
        <w:lastRenderedPageBreak/>
        <w:t>situations where residues do not or should not occur in foods or animal feeds; or,</w:t>
      </w:r>
    </w:p>
    <w:p w14:paraId="18CAAC10" w14:textId="1599EACB" w:rsidR="00E712DD" w:rsidRPr="00E712DD" w:rsidRDefault="00E712DD" w:rsidP="00487C65">
      <w:pPr>
        <w:pStyle w:val="APVMAText"/>
        <w:numPr>
          <w:ilvl w:val="0"/>
          <w:numId w:val="42"/>
        </w:numPr>
        <w:rPr>
          <w:lang w:val="en-GB"/>
        </w:rPr>
      </w:pPr>
      <w:r w:rsidRPr="00E712DD">
        <w:rPr>
          <w:lang w:val="en-GB"/>
        </w:rPr>
        <w:t>where the residues are identical to or indistinguishable from natural food components; or,</w:t>
      </w:r>
    </w:p>
    <w:p w14:paraId="323791FE" w14:textId="4CD1251E" w:rsidR="00E712DD" w:rsidRPr="00E712DD" w:rsidRDefault="00E712DD" w:rsidP="00487C65">
      <w:pPr>
        <w:pStyle w:val="APVMAText"/>
        <w:numPr>
          <w:ilvl w:val="0"/>
          <w:numId w:val="42"/>
        </w:numPr>
        <w:rPr>
          <w:lang w:val="en-GB"/>
        </w:rPr>
      </w:pPr>
      <w:r w:rsidRPr="00E712DD">
        <w:rPr>
          <w:lang w:val="en-GB"/>
        </w:rPr>
        <w:t>are otherwise of no toxicological significance.</w:t>
      </w:r>
    </w:p>
    <w:p w14:paraId="43C798F8" w14:textId="2CCC32CA" w:rsidR="00E712DD" w:rsidRDefault="00E712DD" w:rsidP="00E712DD">
      <w:pPr>
        <w:pStyle w:val="APVMAText"/>
        <w:rPr>
          <w:lang w:val="en-GB"/>
        </w:rPr>
      </w:pPr>
      <w:r w:rsidRPr="00E712DD">
        <w:rPr>
          <w:lang w:val="en-GB"/>
        </w:rPr>
        <w:t>Based on the scientific argument, the proposed rate and application method, which is not directly applied to the produce, detectable residues are not expected in food. The active (Z, E)-7, 9, 11-dodecatrienyl formate has been shown to meet these criteria as described above and is therefore recommended for entry into Table 5 of the MRL Standard for Residues of Chemical Products.</w:t>
      </w:r>
    </w:p>
    <w:p w14:paraId="667EAD59" w14:textId="77777777" w:rsidR="00302D38" w:rsidRDefault="00302D38" w:rsidP="00302D38">
      <w:pPr>
        <w:pStyle w:val="Heading2"/>
        <w:ind w:left="907" w:hanging="907"/>
        <w:rPr>
          <w:lang w:val="en-GB"/>
        </w:rPr>
      </w:pPr>
      <w:bookmarkStart w:id="98" w:name="_Toc531181085"/>
      <w:bookmarkStart w:id="99" w:name="_Toc7561254"/>
      <w:bookmarkStart w:id="100" w:name="_Toc221272411"/>
      <w:r>
        <w:rPr>
          <w:lang w:val="en-GB"/>
        </w:rPr>
        <w:t>Residues in animal commodities</w:t>
      </w:r>
      <w:bookmarkEnd w:id="98"/>
      <w:bookmarkEnd w:id="99"/>
      <w:bookmarkEnd w:id="100"/>
    </w:p>
    <w:p w14:paraId="24CD1071" w14:textId="63D5D6C7" w:rsidR="00302D38" w:rsidRDefault="00E712DD" w:rsidP="00302D38">
      <w:pPr>
        <w:pStyle w:val="APVMAText"/>
        <w:rPr>
          <w:lang w:val="en-GB"/>
        </w:rPr>
      </w:pPr>
      <w:r w:rsidRPr="00E712DD">
        <w:t>Significant residues are not expected to be present in crops. Therefore, further consideration of animal feeding is not required.</w:t>
      </w:r>
    </w:p>
    <w:p w14:paraId="1C872D21" w14:textId="77777777" w:rsidR="00302D38" w:rsidRDefault="00302D38" w:rsidP="00302D38">
      <w:pPr>
        <w:pStyle w:val="Heading2"/>
        <w:ind w:left="907" w:hanging="907"/>
        <w:rPr>
          <w:lang w:val="en-GB"/>
        </w:rPr>
      </w:pPr>
      <w:bookmarkStart w:id="101" w:name="_Toc531181087"/>
      <w:bookmarkStart w:id="102" w:name="_Toc7561256"/>
      <w:bookmarkStart w:id="103" w:name="_Toc221272412"/>
      <w:r>
        <w:rPr>
          <w:lang w:val="en-GB"/>
        </w:rPr>
        <w:t>Dietary risk assessment</w:t>
      </w:r>
      <w:bookmarkEnd w:id="101"/>
      <w:bookmarkEnd w:id="102"/>
      <w:bookmarkEnd w:id="103"/>
    </w:p>
    <w:p w14:paraId="08DB1A6A" w14:textId="6B24E953" w:rsidR="009D452E" w:rsidRDefault="00E712DD" w:rsidP="00772458">
      <w:pPr>
        <w:pStyle w:val="APVMAText"/>
      </w:pPr>
      <w:r w:rsidRPr="00E712DD">
        <w:t>Based on the available information, notably the negligible or limited expected consumer exposure to (Z,E)-7,9,11-dodecatrienyl formate, it is concluded that the dietary risk associated with the proposed use is small and acceptable.</w:t>
      </w:r>
    </w:p>
    <w:p w14:paraId="58911CAA" w14:textId="77777777" w:rsidR="00302D38" w:rsidRDefault="00302D38" w:rsidP="00302D38">
      <w:pPr>
        <w:pStyle w:val="Heading2"/>
        <w:ind w:left="907" w:hanging="907"/>
      </w:pPr>
      <w:bookmarkStart w:id="104" w:name="_Toc531181088"/>
      <w:bookmarkStart w:id="105" w:name="_Toc7561257"/>
      <w:bookmarkStart w:id="106" w:name="_Toc221272413"/>
      <w:r>
        <w:t>Recommendations</w:t>
      </w:r>
      <w:bookmarkEnd w:id="104"/>
      <w:bookmarkEnd w:id="105"/>
      <w:bookmarkEnd w:id="106"/>
    </w:p>
    <w:p w14:paraId="52057C86" w14:textId="77777777" w:rsidR="00302D38" w:rsidRDefault="00302D38" w:rsidP="00302D38">
      <w:pPr>
        <w:pStyle w:val="APVMAText"/>
      </w:pPr>
      <w:r>
        <w:rPr>
          <w:szCs w:val="20"/>
        </w:rPr>
        <w:t>The following amendments are required to be made to the APVMA MRL Standard (Table 5).</w:t>
      </w:r>
    </w:p>
    <w:p w14:paraId="3787078F" w14:textId="19DAAA34" w:rsidR="00302D38" w:rsidRDefault="00772458" w:rsidP="00772458">
      <w:pPr>
        <w:pStyle w:val="Caption"/>
      </w:pPr>
      <w:bookmarkStart w:id="107" w:name="_Toc523995126"/>
      <w:bookmarkStart w:id="108" w:name="_Toc56686270"/>
      <w:bookmarkStart w:id="109" w:name="_Toc56686283"/>
      <w:bookmarkStart w:id="110" w:name="_Toc221272435"/>
      <w:r>
        <w:t xml:space="preserve">Table </w:t>
      </w:r>
      <w:r>
        <w:fldChar w:fldCharType="begin"/>
      </w:r>
      <w:r>
        <w:instrText xml:space="preserve"> SEQ Table \* ARABIC </w:instrText>
      </w:r>
      <w:r>
        <w:fldChar w:fldCharType="separate"/>
      </w:r>
      <w:r>
        <w:rPr>
          <w:noProof/>
        </w:rPr>
        <w:t>5</w:t>
      </w:r>
      <w:r>
        <w:rPr>
          <w:noProof/>
        </w:rPr>
        <w:fldChar w:fldCharType="end"/>
      </w:r>
      <w:r w:rsidR="00302D38">
        <w:t>:</w:t>
      </w:r>
      <w:r w:rsidR="00302D38" w:rsidRPr="001D4D17">
        <w:t xml:space="preserve"> </w:t>
      </w:r>
      <w:r w:rsidR="00302D38">
        <w:t xml:space="preserve">Amendments to the APVMA </w:t>
      </w:r>
      <w:r w:rsidR="00302D38">
        <w:rPr>
          <w:bCs/>
        </w:rPr>
        <w:t>MRL Standard</w:t>
      </w:r>
      <w:bookmarkEnd w:id="107"/>
      <w:bookmarkEnd w:id="108"/>
      <w:bookmarkEnd w:id="109"/>
      <w:bookmarkEnd w:id="110"/>
    </w:p>
    <w:tbl>
      <w:tblPr>
        <w:tblW w:w="5000" w:type="pct"/>
        <w:tblBorders>
          <w:top w:val="single" w:sz="4" w:space="0" w:color="auto"/>
          <w:bottom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400"/>
        <w:gridCol w:w="6238"/>
      </w:tblGrid>
      <w:tr w:rsidR="00D90D30" w14:paraId="4A3723A7" w14:textId="77777777" w:rsidTr="009111B3">
        <w:trPr>
          <w:tblHeader/>
        </w:trPr>
        <w:tc>
          <w:tcPr>
            <w:tcW w:w="1764" w:type="pct"/>
            <w:tcBorders>
              <w:top w:val="single" w:sz="4" w:space="0" w:color="auto"/>
              <w:bottom w:val="single" w:sz="4" w:space="0" w:color="auto"/>
            </w:tcBorders>
            <w:shd w:val="clear" w:color="auto" w:fill="00747A" w:themeFill="background2"/>
          </w:tcPr>
          <w:p w14:paraId="3023FB25" w14:textId="6F5F6EE5" w:rsidR="00D90D30" w:rsidRDefault="00CA5B2B" w:rsidP="009D0723">
            <w:pPr>
              <w:pStyle w:val="APVMATableHead"/>
            </w:pPr>
            <w:r>
              <w:t>Amendments to T</w:t>
            </w:r>
            <w:r w:rsidR="00D90D30">
              <w:t>able 5</w:t>
            </w:r>
          </w:p>
        </w:tc>
        <w:tc>
          <w:tcPr>
            <w:tcW w:w="3236" w:type="pct"/>
            <w:tcBorders>
              <w:top w:val="single" w:sz="4" w:space="0" w:color="auto"/>
              <w:bottom w:val="single" w:sz="4" w:space="0" w:color="auto"/>
            </w:tcBorders>
            <w:shd w:val="clear" w:color="auto" w:fill="00747A" w:themeFill="background2"/>
          </w:tcPr>
          <w:p w14:paraId="6F667F86" w14:textId="77777777" w:rsidR="00D90D30" w:rsidRDefault="00D90D30" w:rsidP="009D0723">
            <w:pPr>
              <w:pStyle w:val="APVMATableHead"/>
            </w:pPr>
          </w:p>
        </w:tc>
      </w:tr>
      <w:tr w:rsidR="00D90D30" w14:paraId="07F9B629" w14:textId="77777777" w:rsidTr="009111B3">
        <w:trPr>
          <w:tblHeader/>
        </w:trPr>
        <w:tc>
          <w:tcPr>
            <w:tcW w:w="1764" w:type="pct"/>
            <w:tcBorders>
              <w:top w:val="single" w:sz="4" w:space="0" w:color="auto"/>
            </w:tcBorders>
            <w:shd w:val="clear" w:color="auto" w:fill="00747A" w:themeFill="background2"/>
          </w:tcPr>
          <w:p w14:paraId="405F8DC4" w14:textId="77777777" w:rsidR="00D90D30" w:rsidRDefault="00D90D30" w:rsidP="009D0723">
            <w:pPr>
              <w:pStyle w:val="APVMATableHead"/>
            </w:pPr>
            <w:r>
              <w:t>Substance</w:t>
            </w:r>
          </w:p>
        </w:tc>
        <w:tc>
          <w:tcPr>
            <w:tcW w:w="3236" w:type="pct"/>
            <w:tcBorders>
              <w:top w:val="single" w:sz="4" w:space="0" w:color="auto"/>
            </w:tcBorders>
            <w:shd w:val="clear" w:color="auto" w:fill="00747A" w:themeFill="background2"/>
          </w:tcPr>
          <w:p w14:paraId="2CCE78B6" w14:textId="77777777" w:rsidR="00D90D30" w:rsidRDefault="00D90D30" w:rsidP="009D0723">
            <w:pPr>
              <w:pStyle w:val="APVMATableHead"/>
            </w:pPr>
            <w:r>
              <w:t>Use</w:t>
            </w:r>
          </w:p>
        </w:tc>
      </w:tr>
      <w:tr w:rsidR="009111B3" w:rsidRPr="00EA7005" w14:paraId="5066C590" w14:textId="77777777" w:rsidTr="009111B3">
        <w:tc>
          <w:tcPr>
            <w:tcW w:w="1764" w:type="pct"/>
          </w:tcPr>
          <w:p w14:paraId="4885A417" w14:textId="310E25D9" w:rsidR="009111B3" w:rsidRDefault="009111B3" w:rsidP="00EA7005">
            <w:pPr>
              <w:pStyle w:val="APVMATableText"/>
            </w:pPr>
            <w:r>
              <w:t>Delete:</w:t>
            </w:r>
          </w:p>
        </w:tc>
        <w:tc>
          <w:tcPr>
            <w:tcW w:w="3236" w:type="pct"/>
          </w:tcPr>
          <w:p w14:paraId="49F4D39B" w14:textId="77777777" w:rsidR="009111B3" w:rsidRDefault="009111B3" w:rsidP="00EA7005">
            <w:pPr>
              <w:pStyle w:val="APVMATableText"/>
            </w:pPr>
          </w:p>
        </w:tc>
      </w:tr>
      <w:tr w:rsidR="009111B3" w:rsidRPr="00EA7005" w14:paraId="04554B18" w14:textId="77777777" w:rsidTr="009111B3">
        <w:tc>
          <w:tcPr>
            <w:tcW w:w="1764" w:type="pct"/>
          </w:tcPr>
          <w:p w14:paraId="6B3564A5" w14:textId="5F3EEC1F" w:rsidR="009111B3" w:rsidRDefault="009111B3" w:rsidP="00EA7005">
            <w:pPr>
              <w:pStyle w:val="APVMATableText"/>
            </w:pPr>
            <w:r w:rsidRPr="009111B3">
              <w:t>(Z, E)-7, 9, 11-dodecatrienyl formate</w:t>
            </w:r>
          </w:p>
        </w:tc>
        <w:tc>
          <w:tcPr>
            <w:tcW w:w="3236" w:type="pct"/>
          </w:tcPr>
          <w:p w14:paraId="579B854A" w14:textId="61A6FF14" w:rsidR="009111B3" w:rsidRDefault="009111B3" w:rsidP="00EA7005">
            <w:pPr>
              <w:pStyle w:val="APVMATableText"/>
            </w:pPr>
            <w:r w:rsidRPr="009111B3">
              <w:t>{T} Pheromone for mating disruption of carob moth (Ectomyelois ceratoniae)</w:t>
            </w:r>
          </w:p>
        </w:tc>
      </w:tr>
      <w:tr w:rsidR="00D90D30" w:rsidRPr="00EA7005" w14:paraId="27E6EFDD" w14:textId="77777777" w:rsidTr="009111B3">
        <w:tc>
          <w:tcPr>
            <w:tcW w:w="5000" w:type="pct"/>
            <w:gridSpan w:val="2"/>
          </w:tcPr>
          <w:p w14:paraId="11CE06C8" w14:textId="506FA357" w:rsidR="00D90D30" w:rsidRPr="00EA7005" w:rsidRDefault="00CA5B2B" w:rsidP="00EA7005">
            <w:pPr>
              <w:pStyle w:val="APVMATableText"/>
            </w:pPr>
            <w:r>
              <w:t>Add:</w:t>
            </w:r>
          </w:p>
        </w:tc>
      </w:tr>
      <w:tr w:rsidR="00D90D30" w:rsidRPr="00EA7005" w14:paraId="1692E912" w14:textId="77777777" w:rsidTr="009111B3">
        <w:tc>
          <w:tcPr>
            <w:tcW w:w="1764" w:type="pct"/>
          </w:tcPr>
          <w:p w14:paraId="618CB684" w14:textId="22468944" w:rsidR="00D90D30" w:rsidRPr="00EA7005" w:rsidRDefault="009111B3" w:rsidP="009111B3">
            <w:pPr>
              <w:pStyle w:val="APVMATableText"/>
            </w:pPr>
            <w:r w:rsidRPr="009111B3">
              <w:t>(Z, E)-7, 9, 11-dodecatrienyl formate</w:t>
            </w:r>
          </w:p>
        </w:tc>
        <w:tc>
          <w:tcPr>
            <w:tcW w:w="3236" w:type="pct"/>
          </w:tcPr>
          <w:p w14:paraId="6E42DFDC" w14:textId="49FBA206" w:rsidR="00D90D30" w:rsidRPr="00EA7005" w:rsidRDefault="009111B3" w:rsidP="00EA7005">
            <w:pPr>
              <w:pStyle w:val="APVMATableText"/>
            </w:pPr>
            <w:r w:rsidRPr="009111B3">
              <w:t>Pheromone</w:t>
            </w:r>
          </w:p>
        </w:tc>
      </w:tr>
    </w:tbl>
    <w:p w14:paraId="3F3E6917" w14:textId="77777777" w:rsidR="00D90D30" w:rsidRDefault="00D90D30" w:rsidP="00021D6F">
      <w:pPr>
        <w:pStyle w:val="Heading1"/>
        <w:tabs>
          <w:tab w:val="num" w:pos="907"/>
        </w:tabs>
      </w:pPr>
      <w:bookmarkStart w:id="111" w:name="_Toc531181089"/>
      <w:bookmarkStart w:id="112" w:name="_Toc7561258"/>
      <w:bookmarkStart w:id="113" w:name="_Toc221272414"/>
      <w:r>
        <w:lastRenderedPageBreak/>
        <w:t>Assessment of overseas trade aspects of residues in food</w:t>
      </w:r>
      <w:bookmarkEnd w:id="111"/>
      <w:bookmarkEnd w:id="112"/>
      <w:bookmarkEnd w:id="113"/>
    </w:p>
    <w:p w14:paraId="1E50FFED" w14:textId="64BBF30F" w:rsidR="00974475" w:rsidRDefault="007E2E02" w:rsidP="00974475">
      <w:pPr>
        <w:pStyle w:val="NormalText"/>
      </w:pPr>
      <w:r>
        <w:t xml:space="preserve">Detectable residues are not expected to occur in </w:t>
      </w:r>
      <w:r w:rsidR="002D5A72">
        <w:t>almond trees</w:t>
      </w:r>
      <w:r>
        <w:t xml:space="preserve"> from the proposed use. The risk to trade is low.</w:t>
      </w:r>
    </w:p>
    <w:p w14:paraId="5B3651C2" w14:textId="42A2D356" w:rsidR="00F2357D" w:rsidRDefault="00F2357D" w:rsidP="00CA5B2B">
      <w:pPr>
        <w:pStyle w:val="APVMAText"/>
        <w:sectPr w:rsidR="00F2357D">
          <w:headerReference w:type="default" r:id="rId32"/>
          <w:pgSz w:w="11906" w:h="16838" w:code="9"/>
          <w:pgMar w:top="2835" w:right="1134" w:bottom="1134" w:left="1134" w:header="1701" w:footer="680" w:gutter="0"/>
          <w:cols w:space="708"/>
          <w:docGrid w:linePitch="360"/>
        </w:sectPr>
      </w:pPr>
    </w:p>
    <w:p w14:paraId="4DEB5711" w14:textId="6815805E" w:rsidR="00A6683A" w:rsidRDefault="00CA5B2B" w:rsidP="00A6683A">
      <w:pPr>
        <w:pStyle w:val="Heading1"/>
        <w:tabs>
          <w:tab w:val="num" w:pos="907"/>
        </w:tabs>
        <w:ind w:left="907" w:hanging="907"/>
      </w:pPr>
      <w:bookmarkStart w:id="114" w:name="_Toc531181094"/>
      <w:bookmarkStart w:id="115" w:name="_Toc7561263"/>
      <w:bookmarkStart w:id="116" w:name="_Toc221272415"/>
      <w:r>
        <w:lastRenderedPageBreak/>
        <w:t>W</w:t>
      </w:r>
      <w:r w:rsidR="00A6683A">
        <w:t xml:space="preserve">ork </w:t>
      </w:r>
      <w:r>
        <w:t>h</w:t>
      </w:r>
      <w:r w:rsidR="00A6683A">
        <w:t xml:space="preserve">ealth and </w:t>
      </w:r>
      <w:r>
        <w:t>s</w:t>
      </w:r>
      <w:r w:rsidR="00A6683A">
        <w:t>afety assessment</w:t>
      </w:r>
      <w:bookmarkEnd w:id="114"/>
      <w:bookmarkEnd w:id="115"/>
      <w:bookmarkEnd w:id="116"/>
    </w:p>
    <w:p w14:paraId="10BD11C1" w14:textId="77777777" w:rsidR="00A6683A" w:rsidRDefault="00A6683A" w:rsidP="00A6683A">
      <w:pPr>
        <w:pStyle w:val="Heading2"/>
        <w:ind w:left="907" w:hanging="907"/>
      </w:pPr>
      <w:bookmarkStart w:id="117" w:name="_Toc531181095"/>
      <w:bookmarkStart w:id="118" w:name="_Toc7561264"/>
      <w:bookmarkStart w:id="119" w:name="_Toc221272416"/>
      <w:r>
        <w:t>Health hazards</w:t>
      </w:r>
      <w:bookmarkEnd w:id="117"/>
      <w:bookmarkEnd w:id="118"/>
      <w:bookmarkEnd w:id="119"/>
    </w:p>
    <w:p w14:paraId="10EA42FA" w14:textId="4960A367" w:rsidR="00ED4F18" w:rsidRPr="00ED4F18" w:rsidRDefault="00ED4F18" w:rsidP="00ED4F18">
      <w:pPr>
        <w:pStyle w:val="NormalText"/>
        <w:rPr>
          <w:sz w:val="20"/>
          <w:szCs w:val="20"/>
        </w:rPr>
      </w:pPr>
      <w:bookmarkStart w:id="120" w:name="_Toc531181096"/>
      <w:bookmarkStart w:id="121" w:name="_Toc7561265"/>
      <w:r w:rsidRPr="00F2418F">
        <w:rPr>
          <w:sz w:val="20"/>
          <w:szCs w:val="20"/>
        </w:rPr>
        <w:t xml:space="preserve">The </w:t>
      </w:r>
      <w:r w:rsidR="00A677CE" w:rsidRPr="00F2418F">
        <w:rPr>
          <w:sz w:val="20"/>
          <w:szCs w:val="20"/>
        </w:rPr>
        <w:t xml:space="preserve">estimated </w:t>
      </w:r>
      <w:r w:rsidRPr="00F2418F">
        <w:rPr>
          <w:sz w:val="20"/>
          <w:szCs w:val="20"/>
        </w:rPr>
        <w:t>acute oral, dermal and inhalation toxicity of</w:t>
      </w:r>
      <w:r w:rsidRPr="00F2418F">
        <w:t xml:space="preserve"> </w:t>
      </w:r>
      <w:proofErr w:type="spellStart"/>
      <w:r w:rsidRPr="00F2418F">
        <w:rPr>
          <w:sz w:val="20"/>
          <w:szCs w:val="20"/>
        </w:rPr>
        <w:t>Semios</w:t>
      </w:r>
      <w:proofErr w:type="spellEnd"/>
      <w:r w:rsidRPr="00F2418F">
        <w:rPr>
          <w:sz w:val="20"/>
          <w:szCs w:val="20"/>
        </w:rPr>
        <w:t xml:space="preserve"> EC Eco Aerosol Pheromone </w:t>
      </w:r>
      <w:r w:rsidR="005F1312" w:rsidRPr="00F2418F">
        <w:rPr>
          <w:sz w:val="20"/>
          <w:szCs w:val="20"/>
        </w:rPr>
        <w:t>are</w:t>
      </w:r>
      <w:r w:rsidRPr="00F2418F">
        <w:rPr>
          <w:sz w:val="20"/>
          <w:szCs w:val="20"/>
        </w:rPr>
        <w:t xml:space="preserve"> classified as low. Additionally, </w:t>
      </w:r>
      <w:r w:rsidR="00A677CE" w:rsidRPr="00F2418F">
        <w:rPr>
          <w:sz w:val="20"/>
          <w:szCs w:val="20"/>
        </w:rPr>
        <w:t>the product</w:t>
      </w:r>
      <w:r w:rsidRPr="00F2418F">
        <w:rPr>
          <w:sz w:val="20"/>
          <w:szCs w:val="20"/>
        </w:rPr>
        <w:t xml:space="preserve"> is classified as </w:t>
      </w:r>
      <w:r w:rsidR="00A677CE" w:rsidRPr="00F2418F">
        <w:rPr>
          <w:sz w:val="20"/>
          <w:szCs w:val="20"/>
        </w:rPr>
        <w:t>a moderate eye irritant</w:t>
      </w:r>
      <w:r w:rsidR="00F570DC" w:rsidRPr="00F2418F">
        <w:rPr>
          <w:sz w:val="20"/>
          <w:szCs w:val="20"/>
        </w:rPr>
        <w:t xml:space="preserve"> and</w:t>
      </w:r>
      <w:r w:rsidR="00A677CE" w:rsidRPr="00F2418F">
        <w:rPr>
          <w:sz w:val="20"/>
          <w:szCs w:val="20"/>
        </w:rPr>
        <w:t xml:space="preserve"> </w:t>
      </w:r>
      <w:r w:rsidRPr="00F2418F">
        <w:rPr>
          <w:sz w:val="20"/>
          <w:szCs w:val="20"/>
        </w:rPr>
        <w:t xml:space="preserve">a slight skin </w:t>
      </w:r>
      <w:r w:rsidR="00A677CE" w:rsidRPr="00F2418F">
        <w:rPr>
          <w:sz w:val="20"/>
          <w:szCs w:val="20"/>
        </w:rPr>
        <w:t>irritant in rabbits. It is likely to be a skin sensiti</w:t>
      </w:r>
      <w:r w:rsidR="00F570DC" w:rsidRPr="00F2418F">
        <w:rPr>
          <w:sz w:val="20"/>
          <w:szCs w:val="20"/>
        </w:rPr>
        <w:t>s</w:t>
      </w:r>
      <w:r w:rsidR="00A677CE" w:rsidRPr="00F2418F">
        <w:rPr>
          <w:sz w:val="20"/>
          <w:szCs w:val="20"/>
        </w:rPr>
        <w:t xml:space="preserve">er based on results with the active constituent in the </w:t>
      </w:r>
      <w:r w:rsidRPr="00F2418F">
        <w:rPr>
          <w:sz w:val="20"/>
          <w:szCs w:val="20"/>
        </w:rPr>
        <w:t>murine local lymph node assay (LLNA).</w:t>
      </w:r>
    </w:p>
    <w:p w14:paraId="122E93C3" w14:textId="18625F2F" w:rsidR="00A6683A" w:rsidRDefault="00A6683A" w:rsidP="00A6683A">
      <w:pPr>
        <w:pStyle w:val="Heading2"/>
        <w:ind w:left="907" w:hanging="907"/>
      </w:pPr>
      <w:bookmarkStart w:id="122" w:name="_Toc221272417"/>
      <w:r>
        <w:t>Occupational exposure</w:t>
      </w:r>
      <w:bookmarkEnd w:id="120"/>
      <w:bookmarkEnd w:id="121"/>
      <w:bookmarkEnd w:id="122"/>
    </w:p>
    <w:p w14:paraId="1FE749CD" w14:textId="77777777" w:rsidR="00A6683A" w:rsidRDefault="00A6683A" w:rsidP="00A6683A">
      <w:pPr>
        <w:pStyle w:val="Heading3"/>
      </w:pPr>
      <w:bookmarkStart w:id="123" w:name="_Toc7561266"/>
      <w:r>
        <w:t>Exposure during use</w:t>
      </w:r>
      <w:bookmarkEnd w:id="123"/>
    </w:p>
    <w:p w14:paraId="3B83BD77" w14:textId="44D36B91" w:rsidR="005F1312" w:rsidRPr="005F1312" w:rsidRDefault="00F570DC" w:rsidP="00F570DC">
      <w:pPr>
        <w:pStyle w:val="InstructionalText"/>
        <w:rPr>
          <w:rFonts w:cs="Arial"/>
          <w:color w:val="auto"/>
          <w:sz w:val="20"/>
          <w:szCs w:val="20"/>
          <w:lang w:val="en-GB"/>
        </w:rPr>
      </w:pPr>
      <w:r w:rsidRPr="00F2418F">
        <w:rPr>
          <w:rFonts w:cs="Arial"/>
          <w:color w:val="auto"/>
          <w:sz w:val="20"/>
          <w:szCs w:val="20"/>
          <w:lang w:val="en-GB"/>
        </w:rPr>
        <w:t>The product</w:t>
      </w:r>
      <w:r w:rsidR="005F1312" w:rsidRPr="00F2418F">
        <w:rPr>
          <w:rFonts w:cs="Arial"/>
          <w:color w:val="auto"/>
          <w:sz w:val="20"/>
          <w:szCs w:val="20"/>
          <w:lang w:eastAsia="en-AU"/>
        </w:rPr>
        <w:t xml:space="preserve"> containing </w:t>
      </w:r>
      <w:r w:rsidR="005F1312" w:rsidRPr="00F2418F">
        <w:rPr>
          <w:rFonts w:eastAsia="Yu Mincho" w:cs="Arial"/>
          <w:color w:val="auto"/>
          <w:sz w:val="20"/>
          <w:szCs w:val="20"/>
          <w:lang w:eastAsia="en-AU"/>
        </w:rPr>
        <w:t>12.5 g/kg</w:t>
      </w:r>
      <w:r w:rsidR="005F1312" w:rsidRPr="00F2418F">
        <w:rPr>
          <w:rFonts w:cs="Arial"/>
          <w:color w:val="auto"/>
          <w:sz w:val="20"/>
          <w:szCs w:val="20"/>
          <w:lang w:eastAsia="en-AU"/>
        </w:rPr>
        <w:t xml:space="preserve"> </w:t>
      </w:r>
      <w:bookmarkStart w:id="124" w:name="_Hlk213071234"/>
      <w:r w:rsidR="005F1312" w:rsidRPr="00F2418F">
        <w:rPr>
          <w:rFonts w:eastAsia="Yu Mincho" w:cs="Arial"/>
          <w:color w:val="auto"/>
          <w:sz w:val="20"/>
          <w:szCs w:val="20"/>
          <w:lang w:eastAsia="en-AU"/>
        </w:rPr>
        <w:t>(</w:t>
      </w:r>
      <w:proofErr w:type="gramStart"/>
      <w:r w:rsidR="005F1312" w:rsidRPr="00F2418F">
        <w:rPr>
          <w:rFonts w:eastAsia="Yu Mincho" w:cs="Arial"/>
          <w:color w:val="auto"/>
          <w:sz w:val="20"/>
          <w:szCs w:val="20"/>
          <w:lang w:eastAsia="en-AU"/>
        </w:rPr>
        <w:t>Z,E</w:t>
      </w:r>
      <w:proofErr w:type="gramEnd"/>
      <w:r w:rsidR="005F1312" w:rsidRPr="00F2418F">
        <w:rPr>
          <w:rFonts w:eastAsia="Yu Mincho" w:cs="Arial"/>
          <w:color w:val="auto"/>
          <w:sz w:val="20"/>
          <w:szCs w:val="20"/>
          <w:lang w:eastAsia="en-AU"/>
        </w:rPr>
        <w:t xml:space="preserve">)-7,9,11-dodecatrienyl formate </w:t>
      </w:r>
      <w:bookmarkEnd w:id="124"/>
      <w:r w:rsidR="005F1312" w:rsidRPr="00F2418F">
        <w:rPr>
          <w:rFonts w:eastAsia="Yu Mincho" w:cs="Arial"/>
          <w:color w:val="auto"/>
          <w:sz w:val="20"/>
          <w:szCs w:val="20"/>
          <w:lang w:eastAsia="en-AU"/>
        </w:rPr>
        <w:t>in aerosol canister</w:t>
      </w:r>
      <w:r w:rsidR="00105214" w:rsidRPr="00F2418F">
        <w:rPr>
          <w:rFonts w:eastAsia="Yu Mincho" w:cs="Arial"/>
          <w:color w:val="auto"/>
          <w:sz w:val="20"/>
          <w:szCs w:val="20"/>
          <w:lang w:eastAsia="en-AU"/>
        </w:rPr>
        <w:t>s</w:t>
      </w:r>
      <w:r w:rsidR="00105214" w:rsidRPr="00F2418F">
        <w:rPr>
          <w:rStyle w:val="FootnoteReference"/>
          <w:rFonts w:eastAsia="Yu Mincho" w:cs="Arial"/>
          <w:color w:val="auto"/>
          <w:sz w:val="20"/>
          <w:szCs w:val="20"/>
          <w:lang w:eastAsia="en-AU"/>
        </w:rPr>
        <w:footnoteReference w:id="3"/>
      </w:r>
      <w:r w:rsidR="00105214" w:rsidRPr="00F2418F">
        <w:rPr>
          <w:rFonts w:eastAsia="Yu Mincho" w:cs="Arial"/>
          <w:color w:val="auto"/>
          <w:sz w:val="20"/>
          <w:szCs w:val="20"/>
          <w:lang w:eastAsia="en-AU"/>
        </w:rPr>
        <w:t xml:space="preserve"> (400 g)</w:t>
      </w:r>
      <w:r w:rsidR="005F1312" w:rsidRPr="00F2418F">
        <w:rPr>
          <w:rFonts w:eastAsia="Yu Mincho" w:cs="Arial"/>
          <w:color w:val="auto"/>
          <w:sz w:val="20"/>
          <w:szCs w:val="20"/>
          <w:lang w:eastAsia="en-AU"/>
        </w:rPr>
        <w:t>,</w:t>
      </w:r>
      <w:r w:rsidRPr="00F2418F">
        <w:rPr>
          <w:rFonts w:cs="Arial"/>
          <w:color w:val="auto"/>
          <w:sz w:val="20"/>
          <w:szCs w:val="20"/>
          <w:lang w:val="en-GB"/>
        </w:rPr>
        <w:t xml:space="preserve"> is deployed in the field and activated by a remote web-based system (metered release system) that controls each aerosol canister. The maximum amount of active constituent released from the canisters is approximately 60 g/ha per season. </w:t>
      </w:r>
      <w:r w:rsidR="005F1312" w:rsidRPr="00F2418F">
        <w:rPr>
          <w:rFonts w:cs="Arial"/>
          <w:color w:val="auto"/>
          <w:sz w:val="20"/>
          <w:szCs w:val="20"/>
          <w:lang w:val="en-GB"/>
        </w:rPr>
        <w:t>Once released, the active constituent quickly dissipates in air and is short-lived in the environment.</w:t>
      </w:r>
      <w:r w:rsidR="00105214" w:rsidRPr="00F2418F">
        <w:rPr>
          <w:rFonts w:cs="Arial"/>
          <w:color w:val="auto"/>
          <w:sz w:val="20"/>
          <w:szCs w:val="20"/>
          <w:lang w:val="en-GB"/>
        </w:rPr>
        <w:t xml:space="preserve"> No monitoring studies were provided for assessment.</w:t>
      </w:r>
    </w:p>
    <w:p w14:paraId="07070C87" w14:textId="0862F068" w:rsidR="00A6683A" w:rsidRPr="005F1312" w:rsidRDefault="00F570DC" w:rsidP="00F570DC">
      <w:pPr>
        <w:pStyle w:val="InstructionalText"/>
        <w:rPr>
          <w:rFonts w:cs="Arial"/>
          <w:color w:val="auto"/>
          <w:sz w:val="20"/>
          <w:szCs w:val="20"/>
        </w:rPr>
      </w:pPr>
      <w:r w:rsidRPr="00F2418F">
        <w:rPr>
          <w:rFonts w:cs="Arial"/>
          <w:color w:val="auto"/>
          <w:sz w:val="20"/>
          <w:szCs w:val="20"/>
          <w:lang w:val="en-GB"/>
        </w:rPr>
        <w:t xml:space="preserve">The OECD Guidance for Registration Requirements for Pheromones (OECD 2002) suggests that </w:t>
      </w:r>
      <w:r w:rsidR="005F1312" w:rsidRPr="00F2418F">
        <w:rPr>
          <w:rFonts w:cs="Arial"/>
          <w:color w:val="auto"/>
          <w:sz w:val="20"/>
          <w:szCs w:val="20"/>
          <w:lang w:val="en-GB"/>
        </w:rPr>
        <w:t xml:space="preserve">the natural background concentration of straight chain lepidopteran pheromones (SCLPs) is up to </w:t>
      </w:r>
      <w:r w:rsidRPr="00F2418F">
        <w:rPr>
          <w:rFonts w:cs="Arial"/>
          <w:color w:val="auto"/>
          <w:sz w:val="20"/>
          <w:szCs w:val="20"/>
          <w:lang w:val="en-GB"/>
        </w:rPr>
        <w:t>375 g</w:t>
      </w:r>
      <w:r w:rsidR="005F1312" w:rsidRPr="00F2418F">
        <w:rPr>
          <w:rFonts w:cs="Arial"/>
          <w:color w:val="auto"/>
          <w:sz w:val="20"/>
          <w:szCs w:val="20"/>
          <w:lang w:val="en-GB"/>
        </w:rPr>
        <w:t>/</w:t>
      </w:r>
      <w:r w:rsidRPr="00F2418F">
        <w:rPr>
          <w:rFonts w:cs="Arial"/>
          <w:color w:val="auto"/>
          <w:sz w:val="20"/>
          <w:szCs w:val="20"/>
          <w:lang w:val="en-GB"/>
        </w:rPr>
        <w:t>ha</w:t>
      </w:r>
      <w:r w:rsidR="005F1312" w:rsidRPr="00F2418F">
        <w:rPr>
          <w:rFonts w:cs="Arial"/>
          <w:color w:val="auto"/>
          <w:sz w:val="20"/>
          <w:szCs w:val="20"/>
          <w:lang w:val="en-GB"/>
        </w:rPr>
        <w:t xml:space="preserve">. </w:t>
      </w:r>
      <w:r w:rsidR="00105214" w:rsidRPr="00F2418F">
        <w:rPr>
          <w:rFonts w:cs="Arial"/>
          <w:color w:val="auto"/>
          <w:sz w:val="20"/>
          <w:szCs w:val="20"/>
          <w:lang w:val="en-GB"/>
        </w:rPr>
        <w:t xml:space="preserve">As such, </w:t>
      </w:r>
      <w:r w:rsidR="005F1312" w:rsidRPr="00F2418F">
        <w:rPr>
          <w:rFonts w:cs="Arial"/>
          <w:color w:val="auto"/>
          <w:sz w:val="20"/>
          <w:szCs w:val="20"/>
          <w:lang w:val="en-GB"/>
        </w:rPr>
        <w:t xml:space="preserve">APVMA concludes that </w:t>
      </w:r>
      <w:r w:rsidR="00105214" w:rsidRPr="00F2418F">
        <w:rPr>
          <w:rFonts w:cs="Arial"/>
          <w:color w:val="auto"/>
          <w:sz w:val="20"/>
          <w:szCs w:val="20"/>
          <w:lang w:val="en-GB"/>
        </w:rPr>
        <w:t>risks from inhalation of (</w:t>
      </w:r>
      <w:proofErr w:type="gramStart"/>
      <w:r w:rsidR="00105214" w:rsidRPr="00F2418F">
        <w:rPr>
          <w:rFonts w:cs="Arial"/>
          <w:color w:val="auto"/>
          <w:sz w:val="20"/>
          <w:szCs w:val="20"/>
          <w:lang w:val="en-GB"/>
        </w:rPr>
        <w:t>Z,E</w:t>
      </w:r>
      <w:proofErr w:type="gramEnd"/>
      <w:r w:rsidR="00105214" w:rsidRPr="00F2418F">
        <w:rPr>
          <w:rFonts w:cs="Arial"/>
          <w:color w:val="auto"/>
          <w:sz w:val="20"/>
          <w:szCs w:val="20"/>
          <w:lang w:val="en-GB"/>
        </w:rPr>
        <w:t>)-7,9,11-dodecatrienyl formate are negligible. Similarly, as the aerosol spray cannot be activated manually, risks from dermal exposure during use are also considered negligible.</w:t>
      </w:r>
    </w:p>
    <w:p w14:paraId="34783C5C" w14:textId="77777777" w:rsidR="00A6683A" w:rsidRDefault="00A6683A" w:rsidP="00A6683A">
      <w:pPr>
        <w:pStyle w:val="Heading3"/>
      </w:pPr>
      <w:bookmarkStart w:id="125" w:name="_Toc7561267"/>
      <w:r>
        <w:t>Exposure during re-entry or rehandling</w:t>
      </w:r>
      <w:bookmarkEnd w:id="125"/>
    </w:p>
    <w:p w14:paraId="17942592" w14:textId="795F131C" w:rsidR="00134991" w:rsidRPr="00F2418F" w:rsidRDefault="00105214" w:rsidP="00A6683A">
      <w:pPr>
        <w:pStyle w:val="APVMAText"/>
      </w:pPr>
      <w:r w:rsidRPr="00F2418F">
        <w:t>Exposure via inhalation and dermal contact with the product during re-entry are unlikely as the product is highly volatile</w:t>
      </w:r>
      <w:r w:rsidR="00F2418F" w:rsidRPr="00F2418F">
        <w:t>.</w:t>
      </w:r>
    </w:p>
    <w:p w14:paraId="03B05A6F" w14:textId="29F20938" w:rsidR="00A6683A" w:rsidRDefault="00134991" w:rsidP="00A6683A">
      <w:pPr>
        <w:pStyle w:val="APVMAText"/>
      </w:pPr>
      <w:r w:rsidRPr="00F2418F">
        <w:t>Similarly, the</w:t>
      </w:r>
      <w:r w:rsidR="00105214" w:rsidRPr="00F2418F">
        <w:t xml:space="preserve"> </w:t>
      </w:r>
      <w:r w:rsidRPr="00F2418F">
        <w:t>a</w:t>
      </w:r>
      <w:r w:rsidR="00105214" w:rsidRPr="00F2418F">
        <w:t>erosol can</w:t>
      </w:r>
      <w:r w:rsidRPr="00F2418F">
        <w:t>isters</w:t>
      </w:r>
      <w:r w:rsidR="00105214" w:rsidRPr="00F2418F">
        <w:t xml:space="preserve"> are not </w:t>
      </w:r>
      <w:r w:rsidRPr="00F2418F">
        <w:t>refillable, and the only rehandling activity will be the collection of spent cannisters</w:t>
      </w:r>
      <w:r w:rsidR="00105214" w:rsidRPr="00F2418F">
        <w:t>.</w:t>
      </w:r>
      <w:r w:rsidRPr="00F2418F">
        <w:t xml:space="preserve"> Gloves should be worn during this activity to mitigate risk of skin </w:t>
      </w:r>
      <w:r w:rsidR="000006ED" w:rsidRPr="00F2418F">
        <w:t xml:space="preserve">irritation or </w:t>
      </w:r>
      <w:r w:rsidRPr="00F2418F">
        <w:t>sensitisation from dermal exposure to product residues.</w:t>
      </w:r>
    </w:p>
    <w:p w14:paraId="1F8A12F7" w14:textId="77777777" w:rsidR="00A6683A" w:rsidRPr="003D1D4A" w:rsidRDefault="00A6683A" w:rsidP="003D1D4A">
      <w:pPr>
        <w:pStyle w:val="Heading2"/>
      </w:pPr>
      <w:bookmarkStart w:id="126" w:name="_Toc531181097"/>
      <w:bookmarkStart w:id="127" w:name="_Toc7561268"/>
      <w:bookmarkStart w:id="128" w:name="_Toc221272418"/>
      <w:r w:rsidRPr="003D1D4A">
        <w:t>Public exposure</w:t>
      </w:r>
      <w:bookmarkEnd w:id="126"/>
      <w:bookmarkEnd w:id="127"/>
      <w:bookmarkEnd w:id="128"/>
    </w:p>
    <w:p w14:paraId="176A97E3" w14:textId="6148484A" w:rsidR="00134991" w:rsidRDefault="00134991" w:rsidP="003D1D4A">
      <w:pPr>
        <w:pStyle w:val="APVMAText"/>
        <w:rPr>
          <w:rFonts w:eastAsia="Yu Mincho"/>
          <w:lang w:eastAsia="en-AU"/>
        </w:rPr>
      </w:pPr>
      <w:r w:rsidRPr="00F2418F">
        <w:t>T</w:t>
      </w:r>
      <w:r w:rsidRPr="00F2418F">
        <w:rPr>
          <w:rFonts w:eastAsia="Yu Mincho"/>
          <w:lang w:eastAsia="en-AU"/>
        </w:rPr>
        <w:t xml:space="preserve">he product is intended for professional use only. Therefore, risks from use are not relevant for the </w:t>
      </w:r>
      <w:proofErr w:type="gramStart"/>
      <w:r w:rsidRPr="00F2418F">
        <w:rPr>
          <w:rFonts w:eastAsia="Yu Mincho"/>
          <w:lang w:eastAsia="en-AU"/>
        </w:rPr>
        <w:t>general public</w:t>
      </w:r>
      <w:proofErr w:type="gramEnd"/>
      <w:r w:rsidRPr="00F2418F">
        <w:rPr>
          <w:rFonts w:eastAsia="Yu Mincho"/>
          <w:lang w:eastAsia="en-AU"/>
        </w:rPr>
        <w:t>.</w:t>
      </w:r>
    </w:p>
    <w:p w14:paraId="0F0661E1" w14:textId="56AD7968" w:rsidR="00A6683A" w:rsidRPr="00134991" w:rsidRDefault="00134991" w:rsidP="003D1D4A">
      <w:pPr>
        <w:pStyle w:val="APVMAText"/>
        <w:rPr>
          <w:rFonts w:eastAsia="Calibri"/>
          <w:color w:val="385623"/>
          <w:lang w:eastAsia="en-AU"/>
        </w:rPr>
      </w:pPr>
      <w:r w:rsidRPr="00F2418F">
        <w:rPr>
          <w:lang w:eastAsia="en-AU"/>
        </w:rPr>
        <w:lastRenderedPageBreak/>
        <w:t>Exposure to product residues is possible from ingestion of residues in crops treated with product</w:t>
      </w:r>
      <w:r w:rsidRPr="00F2418F">
        <w:rPr>
          <w:rFonts w:eastAsia="Yu Mincho"/>
          <w:lang w:eastAsia="en-AU"/>
        </w:rPr>
        <w:t>.</w:t>
      </w:r>
      <w:r w:rsidRPr="00F2418F">
        <w:rPr>
          <w:lang w:eastAsia="en-AU"/>
        </w:rPr>
        <w:t xml:space="preserve"> However, residues of </w:t>
      </w:r>
      <w:r w:rsidRPr="00F2418F">
        <w:rPr>
          <w:rFonts w:eastAsia="Yu Mincho"/>
          <w:lang w:eastAsia="en-AU"/>
        </w:rPr>
        <w:t>(</w:t>
      </w:r>
      <w:proofErr w:type="gramStart"/>
      <w:r w:rsidRPr="00F2418F">
        <w:rPr>
          <w:rFonts w:eastAsia="Yu Mincho"/>
          <w:lang w:eastAsia="en-AU"/>
        </w:rPr>
        <w:t>Z,E</w:t>
      </w:r>
      <w:proofErr w:type="gramEnd"/>
      <w:r w:rsidRPr="00F2418F">
        <w:rPr>
          <w:rFonts w:eastAsia="Yu Mincho"/>
          <w:lang w:eastAsia="en-AU"/>
        </w:rPr>
        <w:t xml:space="preserve">)-7,9,11-dodecatrienyl </w:t>
      </w:r>
      <w:proofErr w:type="spellStart"/>
      <w:r w:rsidRPr="00F2418F">
        <w:rPr>
          <w:rFonts w:eastAsia="Yu Mincho"/>
          <w:lang w:eastAsia="en-AU"/>
        </w:rPr>
        <w:t>formate</w:t>
      </w:r>
      <w:proofErr w:type="spellEnd"/>
      <w:r w:rsidRPr="00F2418F">
        <w:rPr>
          <w:rFonts w:eastAsia="Yu Mincho"/>
          <w:lang w:eastAsia="en-AU"/>
        </w:rPr>
        <w:t xml:space="preserve"> </w:t>
      </w:r>
      <w:r w:rsidRPr="00F2418F">
        <w:rPr>
          <w:lang w:eastAsia="en-AU"/>
        </w:rPr>
        <w:t xml:space="preserve">in tree nuts are highly unlikely due to the use pattern of the product. </w:t>
      </w:r>
      <w:r w:rsidRPr="00F2418F">
        <w:rPr>
          <w:rFonts w:eastAsia="Yu Mincho"/>
          <w:lang w:eastAsia="en-AU"/>
        </w:rPr>
        <w:t>(</w:t>
      </w:r>
      <w:proofErr w:type="gramStart"/>
      <w:r w:rsidRPr="00F2418F">
        <w:rPr>
          <w:rFonts w:eastAsia="Yu Mincho"/>
          <w:lang w:eastAsia="en-AU"/>
        </w:rPr>
        <w:t>Z,E</w:t>
      </w:r>
      <w:proofErr w:type="gramEnd"/>
      <w:r w:rsidRPr="00F2418F">
        <w:rPr>
          <w:rFonts w:eastAsia="Yu Mincho"/>
          <w:lang w:eastAsia="en-AU"/>
        </w:rPr>
        <w:t xml:space="preserve">)-7,9,11-Dodecatrienyl </w:t>
      </w:r>
      <w:proofErr w:type="spellStart"/>
      <w:r w:rsidRPr="00F2418F">
        <w:rPr>
          <w:rFonts w:eastAsia="Yu Mincho"/>
          <w:lang w:eastAsia="en-AU"/>
        </w:rPr>
        <w:t>formate</w:t>
      </w:r>
      <w:proofErr w:type="spellEnd"/>
      <w:r w:rsidRPr="00F2418F">
        <w:rPr>
          <w:rFonts w:eastAsia="Yu Mincho"/>
          <w:lang w:eastAsia="en-AU"/>
        </w:rPr>
        <w:t xml:space="preserve"> is currently covered by a temporary entry in Table 5 of the MRL standard for use as a </w:t>
      </w:r>
      <w:r w:rsidR="00AC131B">
        <w:rPr>
          <w:rFonts w:eastAsia="Yu Mincho"/>
          <w:lang w:eastAsia="en-AU"/>
        </w:rPr>
        <w:t>‘</w:t>
      </w:r>
      <w:r w:rsidRPr="00F2418F">
        <w:rPr>
          <w:rFonts w:eastAsia="Yu Mincho"/>
          <w:lang w:eastAsia="en-AU"/>
        </w:rPr>
        <w:t>Pheromone for mating disruption of carob moth (</w:t>
      </w:r>
      <w:proofErr w:type="spellStart"/>
      <w:r w:rsidRPr="00F2418F">
        <w:rPr>
          <w:rFonts w:eastAsia="Yu Mincho"/>
          <w:i/>
          <w:iCs/>
          <w:lang w:eastAsia="en-AU"/>
        </w:rPr>
        <w:t>Ectomyelois</w:t>
      </w:r>
      <w:proofErr w:type="spellEnd"/>
      <w:r w:rsidRPr="00F2418F">
        <w:rPr>
          <w:rFonts w:eastAsia="Yu Mincho"/>
          <w:i/>
          <w:iCs/>
          <w:lang w:eastAsia="en-AU"/>
        </w:rPr>
        <w:t xml:space="preserve"> </w:t>
      </w:r>
      <w:proofErr w:type="spellStart"/>
      <w:r w:rsidRPr="00F2418F">
        <w:rPr>
          <w:rFonts w:eastAsia="Yu Mincho"/>
          <w:i/>
          <w:iCs/>
          <w:lang w:eastAsia="en-AU"/>
        </w:rPr>
        <w:t>ceratoniae</w:t>
      </w:r>
      <w:proofErr w:type="spellEnd"/>
      <w:r w:rsidRPr="00F2418F">
        <w:rPr>
          <w:rFonts w:eastAsia="Yu Mincho"/>
          <w:lang w:eastAsia="en-AU"/>
        </w:rPr>
        <w:t>)</w:t>
      </w:r>
      <w:r w:rsidR="00AC131B">
        <w:rPr>
          <w:rFonts w:eastAsia="Yu Mincho"/>
          <w:lang w:eastAsia="en-AU"/>
        </w:rPr>
        <w:t>’</w:t>
      </w:r>
      <w:r w:rsidRPr="00F2418F">
        <w:rPr>
          <w:rFonts w:eastAsia="Yu Mincho"/>
          <w:lang w:eastAsia="en-AU"/>
        </w:rPr>
        <w:t>. Table 5 lists the uses of substances for which MRLs are not necessary.</w:t>
      </w:r>
    </w:p>
    <w:p w14:paraId="02E5A78B" w14:textId="77777777" w:rsidR="00A6683A" w:rsidRDefault="00A6683A" w:rsidP="00A6683A">
      <w:pPr>
        <w:pStyle w:val="Heading2"/>
        <w:ind w:left="907" w:hanging="907"/>
      </w:pPr>
      <w:bookmarkStart w:id="129" w:name="_Toc531181098"/>
      <w:bookmarkStart w:id="130" w:name="_Toc7561269"/>
      <w:bookmarkStart w:id="131" w:name="_Toc221272419"/>
      <w:r>
        <w:t>Recommendations</w:t>
      </w:r>
      <w:bookmarkEnd w:id="129"/>
      <w:bookmarkEnd w:id="130"/>
      <w:bookmarkEnd w:id="131"/>
    </w:p>
    <w:p w14:paraId="3F5938D1" w14:textId="292FBC2E" w:rsidR="00A6683A" w:rsidRDefault="00A6683A" w:rsidP="00A6683A">
      <w:pPr>
        <w:pStyle w:val="APVMAText"/>
        <w:rPr>
          <w:szCs w:val="20"/>
        </w:rPr>
      </w:pPr>
      <w:r w:rsidRPr="00F2418F">
        <w:rPr>
          <w:szCs w:val="20"/>
        </w:rPr>
        <w:t>The following first aid instructions, safety directions and precautionary statements are recommended for the product label.</w:t>
      </w:r>
    </w:p>
    <w:p w14:paraId="5CE5820B" w14:textId="77777777" w:rsidR="00A6683A" w:rsidRDefault="00A6683A" w:rsidP="00A6683A">
      <w:pPr>
        <w:pStyle w:val="Heading3"/>
      </w:pPr>
      <w:bookmarkStart w:id="132" w:name="_Toc7561270"/>
      <w:r>
        <w:t>First aid instructions</w:t>
      </w:r>
      <w:bookmarkEnd w:id="132"/>
    </w:p>
    <w:p w14:paraId="716B8E84" w14:textId="5FA36534" w:rsidR="00645A64" w:rsidRPr="0019799F" w:rsidRDefault="00645A64" w:rsidP="00AC131B">
      <w:pPr>
        <w:pStyle w:val="APVMAText"/>
        <w:rPr>
          <w:rFonts w:eastAsia="Yu Mincho"/>
          <w:lang w:eastAsia="en-AU"/>
        </w:rPr>
      </w:pPr>
      <w:r w:rsidRPr="0019799F">
        <w:t xml:space="preserve">The following First Aid Instructions apply to </w:t>
      </w:r>
      <w:r w:rsidRPr="0019799F">
        <w:rPr>
          <w:noProof/>
          <w:lang w:eastAsia="en-AU"/>
        </w:rPr>
        <w:t>(Z,E)-7,9,11-dodecatrienyl formate</w:t>
      </w:r>
      <w:r w:rsidR="00134991" w:rsidRPr="0019799F">
        <w:rPr>
          <w:rFonts w:eastAsia="Yu Mincho"/>
          <w:lang w:eastAsia="en-AU"/>
        </w:rPr>
        <w:t>:</w:t>
      </w:r>
    </w:p>
    <w:p w14:paraId="1817BEDF" w14:textId="42854A85" w:rsidR="00134991" w:rsidRPr="0019799F" w:rsidRDefault="00134991" w:rsidP="00AC131B">
      <w:pPr>
        <w:pStyle w:val="APVMABullet1"/>
        <w:rPr>
          <w:rFonts w:eastAsia="Yu Mincho"/>
          <w:lang w:eastAsia="en-AU"/>
        </w:rPr>
      </w:pPr>
      <w:r w:rsidRPr="0019799F">
        <w:rPr>
          <w:rFonts w:eastAsia="Yu Mincho"/>
          <w:lang w:eastAsia="en-AU"/>
        </w:rPr>
        <w:t>If poisoning occurs, contact a doctor or Poisons Information Centre. Phone Australia 13 11 26, New Zealand 0800 764 766</w:t>
      </w:r>
    </w:p>
    <w:p w14:paraId="3E559E83" w14:textId="298A8E03" w:rsidR="00134991" w:rsidRPr="0019799F" w:rsidRDefault="00134991" w:rsidP="00AC131B">
      <w:pPr>
        <w:pStyle w:val="APVMABullet1"/>
        <w:rPr>
          <w:rFonts w:eastAsia="Yu Mincho"/>
          <w:lang w:eastAsia="en-AU"/>
        </w:rPr>
      </w:pPr>
      <w:r w:rsidRPr="0019799F">
        <w:rPr>
          <w:rFonts w:eastAsia="Yu Mincho"/>
          <w:lang w:eastAsia="en-AU"/>
        </w:rPr>
        <w:t>If in eyes wash out immediately with water</w:t>
      </w:r>
    </w:p>
    <w:p w14:paraId="76ABAA93" w14:textId="77777777" w:rsidR="00A6683A" w:rsidRDefault="00A6683A" w:rsidP="00A6683A">
      <w:pPr>
        <w:pStyle w:val="Heading3"/>
      </w:pPr>
      <w:bookmarkStart w:id="133" w:name="_Toc7561271"/>
      <w:r>
        <w:t>Safety directions</w:t>
      </w:r>
      <w:bookmarkEnd w:id="133"/>
    </w:p>
    <w:p w14:paraId="32BBB646" w14:textId="2E2D418C" w:rsidR="00A6683A" w:rsidRPr="00970008" w:rsidRDefault="00645A64" w:rsidP="00645A64">
      <w:pPr>
        <w:pStyle w:val="APVMAText"/>
        <w:rPr>
          <w:strike/>
        </w:rPr>
      </w:pPr>
      <w:r w:rsidRPr="0019799F">
        <w:t xml:space="preserve">Will irritate the eyes. May irritate the skin. Repeated exposure may cause allergic disorders. Avoid contact with skin and eyes. Do not inhale spray mist. </w:t>
      </w:r>
      <w:r w:rsidRPr="0026183C">
        <w:t>W</w:t>
      </w:r>
      <w:r w:rsidR="00970008" w:rsidRPr="0026183C">
        <w:t xml:space="preserve">hen </w:t>
      </w:r>
      <w:r w:rsidR="003A2D37" w:rsidRPr="0026183C">
        <w:t>using the</w:t>
      </w:r>
      <w:r w:rsidR="00970008" w:rsidRPr="0026183C">
        <w:t xml:space="preserve"> product w</w:t>
      </w:r>
      <w:r w:rsidRPr="0026183C">
        <w:t>ear disposable gloves</w:t>
      </w:r>
      <w:r w:rsidR="00970008" w:rsidRPr="0026183C">
        <w:t>.</w:t>
      </w:r>
      <w:r w:rsidR="007D08BB" w:rsidRPr="0026183C">
        <w:t xml:space="preserve"> Wash hands after use.</w:t>
      </w:r>
    </w:p>
    <w:p w14:paraId="291186AB" w14:textId="6E7B3BD8" w:rsidR="00970008" w:rsidRDefault="00A6683A" w:rsidP="00970008">
      <w:pPr>
        <w:pStyle w:val="Heading3"/>
      </w:pPr>
      <w:bookmarkStart w:id="134" w:name="_Toc7561272"/>
      <w:r>
        <w:t>Precautionary statements</w:t>
      </w:r>
      <w:bookmarkStart w:id="135" w:name="_Toc531181099"/>
      <w:bookmarkStart w:id="136" w:name="_Toc7561273"/>
      <w:bookmarkEnd w:id="134"/>
    </w:p>
    <w:p w14:paraId="66F19D9B" w14:textId="77777777" w:rsidR="00AC131B" w:rsidRDefault="00970008" w:rsidP="00AC131B">
      <w:pPr>
        <w:pStyle w:val="APVMAText"/>
        <w:sectPr w:rsidR="00AC131B">
          <w:headerReference w:type="default" r:id="rId33"/>
          <w:pgSz w:w="11906" w:h="16838" w:code="9"/>
          <w:pgMar w:top="2835" w:right="1134" w:bottom="1134" w:left="1134" w:header="1701" w:footer="680" w:gutter="0"/>
          <w:cols w:space="708"/>
          <w:docGrid w:linePitch="360"/>
        </w:sectPr>
      </w:pPr>
      <w:r w:rsidRPr="0019799F">
        <w:t>When handling spent canisters, wear disposable gloves.</w:t>
      </w:r>
    </w:p>
    <w:p w14:paraId="2F2ED702" w14:textId="603C14D1" w:rsidR="002F7868" w:rsidRDefault="002F7868" w:rsidP="002F7868">
      <w:pPr>
        <w:pStyle w:val="Heading1"/>
        <w:tabs>
          <w:tab w:val="num" w:pos="907"/>
        </w:tabs>
        <w:ind w:left="907" w:hanging="907"/>
      </w:pPr>
      <w:bookmarkStart w:id="137" w:name="_Toc221272420"/>
      <w:r>
        <w:lastRenderedPageBreak/>
        <w:t>Environmental assessment</w:t>
      </w:r>
      <w:bookmarkEnd w:id="135"/>
      <w:bookmarkEnd w:id="136"/>
      <w:bookmarkEnd w:id="137"/>
    </w:p>
    <w:p w14:paraId="415FD37B" w14:textId="77777777" w:rsidR="00C164F3" w:rsidRDefault="00C164F3" w:rsidP="00C164F3">
      <w:pPr>
        <w:pStyle w:val="APVMAText"/>
      </w:pPr>
      <w:bookmarkStart w:id="138" w:name="_Toc531181102"/>
      <w:bookmarkStart w:id="139" w:name="_Toc7561284"/>
      <w:r>
        <w:t xml:space="preserve">The proposed use of </w:t>
      </w:r>
      <w:proofErr w:type="spellStart"/>
      <w:r>
        <w:t>Semios</w:t>
      </w:r>
      <w:proofErr w:type="spellEnd"/>
      <w:r>
        <w:t xml:space="preserve"> Carob Moth Aerosol involves aerosolized emission of (</w:t>
      </w:r>
      <w:r w:rsidRPr="00D40A9E">
        <w:rPr>
          <w:i/>
          <w:iCs/>
        </w:rPr>
        <w:t>Z,E</w:t>
      </w:r>
      <w:r>
        <w:t xml:space="preserve">)-7,9,11-dodecatrienyl </w:t>
      </w:r>
      <w:proofErr w:type="spellStart"/>
      <w:r>
        <w:t>formate</w:t>
      </w:r>
      <w:proofErr w:type="spellEnd"/>
      <w:r>
        <w:t xml:space="preserve">, a straight chain lepidopteran pheromones (SCLP) vapour from the tree canopy at up to 25 g SCLP/ha/year (using five dispenser units/ha/year). Dispersion of (Z,E)-7,9,11-dodecatrienyl </w:t>
      </w:r>
      <w:proofErr w:type="spellStart"/>
      <w:r>
        <w:t>formate</w:t>
      </w:r>
      <w:proofErr w:type="spellEnd"/>
      <w:r>
        <w:t xml:space="preserve"> vapour in air will occur via diffusion and air movement.</w:t>
      </w:r>
    </w:p>
    <w:p w14:paraId="1440E4D0" w14:textId="77777777" w:rsidR="00C164F3" w:rsidRDefault="00C164F3" w:rsidP="00C164F3">
      <w:pPr>
        <w:pStyle w:val="APVMAText"/>
      </w:pPr>
      <w:r>
        <w:t xml:space="preserve">The APVMA follows OECD guidelines for pheromones, including SCLP and other </w:t>
      </w:r>
      <w:proofErr w:type="spellStart"/>
      <w:r>
        <w:t>semiochemicals</w:t>
      </w:r>
      <w:proofErr w:type="spellEnd"/>
      <w:r>
        <w:t xml:space="preserve">. </w:t>
      </w:r>
      <w:r w:rsidRPr="00A76A1B">
        <w:t xml:space="preserve">These guidelines state that application rates up to 375 grams per hectare per year are considered safe and </w:t>
      </w:r>
      <w:proofErr w:type="gramStart"/>
      <w:r w:rsidRPr="00A76A1B">
        <w:t>similar to</w:t>
      </w:r>
      <w:proofErr w:type="gramEnd"/>
      <w:r w:rsidRPr="00A76A1B">
        <w:t xml:space="preserve"> natural levels, posing no risk to other species</w:t>
      </w:r>
      <w:r>
        <w:rPr>
          <w:rStyle w:val="FootnoteReference"/>
        </w:rPr>
        <w:footnoteReference w:id="4"/>
      </w:r>
      <w:r>
        <w:t>.</w:t>
      </w:r>
    </w:p>
    <w:p w14:paraId="1896ABD9" w14:textId="77777777" w:rsidR="00C164F3" w:rsidRDefault="00C164F3" w:rsidP="00C164F3">
      <w:pPr>
        <w:pStyle w:val="APVMAText"/>
      </w:pPr>
      <w:r w:rsidRPr="00A76A1B">
        <w:t xml:space="preserve">Since the </w:t>
      </w:r>
      <w:proofErr w:type="spellStart"/>
      <w:r w:rsidRPr="00A76A1B">
        <w:t>Semios</w:t>
      </w:r>
      <w:proofErr w:type="spellEnd"/>
      <w:r w:rsidRPr="00A76A1B">
        <w:t xml:space="preserve"> product uses much less than this threshold (25 grams</w:t>
      </w:r>
      <w:r>
        <w:t xml:space="preserve"> vs 375</w:t>
      </w:r>
      <w:r w:rsidRPr="00A76A1B">
        <w:t xml:space="preserve"> per hectare per year)</w:t>
      </w:r>
      <w:r>
        <w:t xml:space="preserve"> which is considered negligible</w:t>
      </w:r>
      <w:r w:rsidRPr="00A76A1B">
        <w:t xml:space="preserve">, and because pheromones are </w:t>
      </w:r>
      <w:r>
        <w:t xml:space="preserve">considered </w:t>
      </w:r>
      <w:r w:rsidRPr="00A76A1B">
        <w:t>non-toxic and have minimal environmental impact, a detailed environmental assessment is not required.</w:t>
      </w:r>
    </w:p>
    <w:p w14:paraId="60E61D2E" w14:textId="77777777" w:rsidR="002F7868" w:rsidRDefault="002F7868" w:rsidP="002F7868">
      <w:pPr>
        <w:pStyle w:val="Heading2"/>
        <w:ind w:left="907" w:hanging="907"/>
        <w:rPr>
          <w:lang w:val="en-GB"/>
        </w:rPr>
      </w:pPr>
      <w:bookmarkStart w:id="140" w:name="_Toc221272421"/>
      <w:r>
        <w:rPr>
          <w:lang w:val="en-GB"/>
        </w:rPr>
        <w:t>Recommendations</w:t>
      </w:r>
      <w:bookmarkEnd w:id="138"/>
      <w:bookmarkEnd w:id="139"/>
      <w:bookmarkEnd w:id="140"/>
    </w:p>
    <w:p w14:paraId="72EBD5DE" w14:textId="316C668A" w:rsidR="002F7868" w:rsidRDefault="00F425F6" w:rsidP="00CA5B2B">
      <w:pPr>
        <w:pStyle w:val="APVMAText"/>
        <w:sectPr w:rsidR="002F7868">
          <w:pgSz w:w="11906" w:h="16838" w:code="9"/>
          <w:pgMar w:top="2835" w:right="1134" w:bottom="1134" w:left="1134" w:header="1701" w:footer="680" w:gutter="0"/>
          <w:cols w:space="708"/>
          <w:docGrid w:linePitch="360"/>
        </w:sectPr>
      </w:pPr>
      <w:r>
        <w:rPr>
          <w:szCs w:val="20"/>
        </w:rPr>
        <w:t xml:space="preserve">The registration of </w:t>
      </w:r>
      <w:proofErr w:type="spellStart"/>
      <w:r>
        <w:rPr>
          <w:i/>
          <w:iCs/>
        </w:rPr>
        <w:t>Semios</w:t>
      </w:r>
      <w:proofErr w:type="spellEnd"/>
      <w:r>
        <w:rPr>
          <w:i/>
          <w:iCs/>
        </w:rPr>
        <w:t xml:space="preserve"> Carob Moth Aerosol</w:t>
      </w:r>
      <w:r w:rsidRPr="00533D3A">
        <w:rPr>
          <w:i/>
          <w:iCs/>
        </w:rPr>
        <w:t xml:space="preserve"> Pheromone</w:t>
      </w:r>
      <w:r>
        <w:t>,</w:t>
      </w:r>
      <w:r>
        <w:rPr>
          <w:szCs w:val="20"/>
        </w:rPr>
        <w:t xml:space="preserve"> and approval of the active constituent </w:t>
      </w:r>
      <w:r w:rsidRPr="00533D3A">
        <w:rPr>
          <w:szCs w:val="20"/>
        </w:rPr>
        <w:t>(</w:t>
      </w:r>
      <w:r w:rsidRPr="00533D3A">
        <w:rPr>
          <w:i/>
          <w:iCs/>
          <w:szCs w:val="20"/>
        </w:rPr>
        <w:t>Z,E</w:t>
      </w:r>
      <w:r w:rsidRPr="00533D3A">
        <w:rPr>
          <w:szCs w:val="20"/>
        </w:rPr>
        <w:t>)-7,9,11-dodecatrienyl formate</w:t>
      </w:r>
      <w:r>
        <w:rPr>
          <w:szCs w:val="20"/>
        </w:rPr>
        <w:t>, are supported from an environment perspective.</w:t>
      </w:r>
    </w:p>
    <w:p w14:paraId="5C788A47" w14:textId="77777777" w:rsidR="003B36F6" w:rsidRDefault="003B36F6" w:rsidP="003B36F6">
      <w:pPr>
        <w:pStyle w:val="Heading1"/>
        <w:tabs>
          <w:tab w:val="num" w:pos="907"/>
        </w:tabs>
        <w:ind w:left="907" w:hanging="907"/>
      </w:pPr>
      <w:bookmarkStart w:id="141" w:name="_Toc531181103"/>
      <w:bookmarkStart w:id="142" w:name="_Toc7561285"/>
      <w:bookmarkStart w:id="143" w:name="_Toc221272422"/>
      <w:r>
        <w:lastRenderedPageBreak/>
        <w:t>Efficacy and safety assessment</w:t>
      </w:r>
      <w:bookmarkEnd w:id="141"/>
      <w:bookmarkEnd w:id="142"/>
      <w:bookmarkEnd w:id="143"/>
    </w:p>
    <w:p w14:paraId="015BE822" w14:textId="77777777" w:rsidR="003B36F6" w:rsidRDefault="003B36F6" w:rsidP="003B36F6">
      <w:pPr>
        <w:pStyle w:val="Heading2"/>
        <w:ind w:left="907" w:hanging="907"/>
      </w:pPr>
      <w:bookmarkStart w:id="144" w:name="_Toc531181104"/>
      <w:bookmarkStart w:id="145" w:name="_Toc7561286"/>
      <w:bookmarkStart w:id="146" w:name="_Toc221272423"/>
      <w:r>
        <w:t>Proposed product use pattern</w:t>
      </w:r>
      <w:bookmarkEnd w:id="144"/>
      <w:bookmarkEnd w:id="145"/>
      <w:bookmarkEnd w:id="146"/>
    </w:p>
    <w:p w14:paraId="5B61F029" w14:textId="1840DEC4" w:rsidR="00A8029A" w:rsidRPr="0026183C" w:rsidRDefault="008665D2" w:rsidP="003B36F6">
      <w:pPr>
        <w:pStyle w:val="APVMAText"/>
      </w:pPr>
      <w:proofErr w:type="spellStart"/>
      <w:r w:rsidRPr="0026183C">
        <w:t>Semios</w:t>
      </w:r>
      <w:proofErr w:type="spellEnd"/>
      <w:r w:rsidRPr="0026183C">
        <w:t xml:space="preserve"> Carob Moth Aerosol Pheromone is a novel mating disruption product containing 12.5 g/kg (Z,E)-7,9,11-dodecatrienyl </w:t>
      </w:r>
      <w:proofErr w:type="spellStart"/>
      <w:r w:rsidRPr="0026183C">
        <w:t>formate</w:t>
      </w:r>
      <w:proofErr w:type="spellEnd"/>
      <w:r w:rsidRPr="0026183C">
        <w:t>, proposed for the control of carob moth (Ectomyelois ceratoniae) in almond orchards. Application is via electronically controlled aerosol dispensers integrated with a smart monitoring system</w:t>
      </w:r>
      <w:r w:rsidR="0026183C">
        <w:t>.</w:t>
      </w:r>
    </w:p>
    <w:p w14:paraId="1AA92180" w14:textId="77777777" w:rsidR="003B36F6" w:rsidRDefault="003B36F6" w:rsidP="003B36F6">
      <w:pPr>
        <w:pStyle w:val="Heading2"/>
        <w:ind w:left="907" w:hanging="907"/>
      </w:pPr>
      <w:bookmarkStart w:id="147" w:name="_Toc531181105"/>
      <w:bookmarkStart w:id="148" w:name="_Toc7561287"/>
      <w:bookmarkStart w:id="149" w:name="_Toc221272424"/>
      <w:r>
        <w:t>Efficacy and target crop/animal safety</w:t>
      </w:r>
      <w:bookmarkEnd w:id="147"/>
      <w:bookmarkEnd w:id="148"/>
      <w:bookmarkEnd w:id="149"/>
    </w:p>
    <w:p w14:paraId="2189E269" w14:textId="77777777" w:rsidR="00A56C4A" w:rsidRDefault="00A56C4A" w:rsidP="00B51E46">
      <w:pPr>
        <w:pStyle w:val="APVMAText"/>
      </w:pPr>
      <w:bookmarkStart w:id="150" w:name="_Toc7561288"/>
      <w:r>
        <w:t xml:space="preserve">Efficacy and crop safety field trials conducted in Australia were provided to support a label claim for the management of carob moth (Ectomyelois ceratoniae) in almonds using </w:t>
      </w:r>
      <w:proofErr w:type="spellStart"/>
      <w:r>
        <w:t>Semios</w:t>
      </w:r>
      <w:proofErr w:type="spellEnd"/>
      <w:r>
        <w:t xml:space="preserve"> Carob Moth Aerosol Pheromone. Two large</w:t>
      </w:r>
      <w:r w:rsidRPr="00B51E46">
        <w:rPr>
          <w:rFonts w:ascii="Cambria Math" w:hAnsi="Cambria Math" w:cs="Cambria Math"/>
        </w:rPr>
        <w:t>‑</w:t>
      </w:r>
      <w:r>
        <w:t>plot commercial trials were undertaken over two consecutive growing seasons (September–</w:t>
      </w:r>
      <w:proofErr w:type="gramStart"/>
      <w:r>
        <w:t>April,</w:t>
      </w:r>
      <w:proofErr w:type="gramEnd"/>
      <w:r>
        <w:t xml:space="preserve"> 2021–22 and 2022–23) in a 20</w:t>
      </w:r>
      <w:r w:rsidRPr="00B51E46">
        <w:rPr>
          <w:rFonts w:ascii="Cambria Math" w:hAnsi="Cambria Math" w:cs="Cambria Math"/>
        </w:rPr>
        <w:t>‑</w:t>
      </w:r>
      <w:r>
        <w:t>ha almond orchard at Loxton, South Australia, and a 28</w:t>
      </w:r>
      <w:r w:rsidRPr="00B51E46">
        <w:rPr>
          <w:rFonts w:ascii="Cambria Math" w:hAnsi="Cambria Math" w:cs="Cambria Math"/>
        </w:rPr>
        <w:t>‑</w:t>
      </w:r>
      <w:r>
        <w:t xml:space="preserve">ha almond orchard at Lake Powell, Victoria. </w:t>
      </w:r>
      <w:proofErr w:type="spellStart"/>
      <w:r>
        <w:t>Semios</w:t>
      </w:r>
      <w:proofErr w:type="spellEnd"/>
      <w:r>
        <w:t xml:space="preserve"> single</w:t>
      </w:r>
      <w:r w:rsidRPr="00B51E46">
        <w:rPr>
          <w:rFonts w:ascii="Cambria Math" w:hAnsi="Cambria Math" w:cs="Cambria Math"/>
        </w:rPr>
        <w:t>‑</w:t>
      </w:r>
      <w:r>
        <w:t>can dispensers (SCDs) loaded with canisters at low rate (1.2475% (Z,E)-7,9,11</w:t>
      </w:r>
      <w:r w:rsidRPr="00B51E46">
        <w:rPr>
          <w:rFonts w:ascii="Cambria Math" w:hAnsi="Cambria Math" w:cs="Cambria Math"/>
        </w:rPr>
        <w:t>‑</w:t>
      </w:r>
      <w:r>
        <w:t xml:space="preserve">dodecatrienyl </w:t>
      </w:r>
      <w:proofErr w:type="spellStart"/>
      <w:r>
        <w:t>formate</w:t>
      </w:r>
      <w:proofErr w:type="spellEnd"/>
      <w:r>
        <w:t>) and high rate (2.0750% (Z,E)-7,9,11</w:t>
      </w:r>
      <w:r w:rsidRPr="00B51E46">
        <w:rPr>
          <w:rFonts w:ascii="Cambria Math" w:hAnsi="Cambria Math" w:cs="Cambria Math"/>
        </w:rPr>
        <w:t>‑</w:t>
      </w:r>
      <w:r>
        <w:t xml:space="preserve">dodecatrienyl </w:t>
      </w:r>
      <w:proofErr w:type="spellStart"/>
      <w:r>
        <w:t>formate</w:t>
      </w:r>
      <w:proofErr w:type="spellEnd"/>
      <w:r>
        <w:t xml:space="preserve">) were deployed at a density of 1–2 dispensers per acre (approximately 2.5 dispensers per hectare) in each treatment block and were remotely activated prior to the first moth flight. The </w:t>
      </w:r>
      <w:proofErr w:type="spellStart"/>
      <w:r>
        <w:t>Semios</w:t>
      </w:r>
      <w:proofErr w:type="spellEnd"/>
      <w:r>
        <w:t xml:space="preserve"> Carob Moth Aerosol Pheromone treatments (low and high rates) were evaluated in conjunction with the industry</w:t>
      </w:r>
      <w:r w:rsidRPr="00B51E46">
        <w:rPr>
          <w:rFonts w:ascii="Cambria Math" w:hAnsi="Cambria Math" w:cs="Cambria Math"/>
        </w:rPr>
        <w:t>‑</w:t>
      </w:r>
      <w:r>
        <w:t>standard spray program and compared against the industry</w:t>
      </w:r>
      <w:r w:rsidRPr="00B51E46">
        <w:rPr>
          <w:rFonts w:ascii="Cambria Math" w:hAnsi="Cambria Math" w:cs="Cambria Math"/>
        </w:rPr>
        <w:t>‑</w:t>
      </w:r>
      <w:r>
        <w:t>standard spray program alone under commercial production conditions.</w:t>
      </w:r>
    </w:p>
    <w:p w14:paraId="0A990E27" w14:textId="57A317BF" w:rsidR="00285FDE" w:rsidRDefault="00A56C4A" w:rsidP="00A56C4A">
      <w:pPr>
        <w:pStyle w:val="APVMAText"/>
      </w:pPr>
      <w:r>
        <w:t>Trials were conducted according to acceptable scientific practices appropriate for measuring the efficacy of mating disruption, including regular trap</w:t>
      </w:r>
      <w:r w:rsidRPr="00B51E46">
        <w:rPr>
          <w:rFonts w:ascii="Cambria Math" w:hAnsi="Cambria Math" w:cs="Cambria Math"/>
        </w:rPr>
        <w:t>‑</w:t>
      </w:r>
      <w:r>
        <w:t>based monitoring (five traps per treated plot and five traps per corresponding control plot), assessment of trap captures and nut damage at harvest, and evaluation of crop safety as phytotoxicity. In Year 1 (2021–22), product performance was assessed based on trap captures, nut damage, and phytotoxicity. In Year 2 (2022–23), nut damage at harvest was further evaluated in both early and late maturing varieties (Nonpareil and Carmel) to provide additional context to the Year 1 outcomes. To ensure accurate attribution of damage to carob moth, the incidence of Carpophilus beetle was also monitored throughout the trials. All trial work examined both efficacy and crop safety over time under commercial orchard conditions, with remote activation and continuous monitoring to align deployment with pest flight phenology</w:t>
      </w:r>
      <w:r w:rsidR="00285FDE" w:rsidRPr="00285FDE">
        <w:t>.</w:t>
      </w:r>
    </w:p>
    <w:p w14:paraId="1B945729" w14:textId="77777777" w:rsidR="003B36F6" w:rsidRDefault="003B36F6" w:rsidP="003B36F6">
      <w:pPr>
        <w:pStyle w:val="Heading3"/>
      </w:pPr>
      <w:r>
        <w:t>Efficacy</w:t>
      </w:r>
      <w:bookmarkEnd w:id="150"/>
    </w:p>
    <w:p w14:paraId="75226FF5" w14:textId="4EE8DF8B" w:rsidR="001E68E0" w:rsidRPr="00B51E46" w:rsidRDefault="00413B6C" w:rsidP="00B51E46">
      <w:pPr>
        <w:pStyle w:val="APVMAText"/>
      </w:pPr>
      <w:r w:rsidRPr="00B51E46">
        <w:t xml:space="preserve">Trials results indicate that </w:t>
      </w:r>
      <w:proofErr w:type="spellStart"/>
      <w:r w:rsidRPr="00B51E46">
        <w:t>Semios</w:t>
      </w:r>
      <w:proofErr w:type="spellEnd"/>
      <w:r w:rsidRPr="00B51E46">
        <w:t xml:space="preserve"> Carob Moth Aerosol Pheromone can achieve strong mating disruption under commercial conditions; however, consistent reductions in egg density and crop damage were not demonstrated. Accordingly, the available data do not support a stand</w:t>
      </w:r>
      <w:r w:rsidRPr="00B51E46">
        <w:rPr>
          <w:rFonts w:ascii="Cambria Math" w:hAnsi="Cambria Math" w:cs="Cambria Math"/>
        </w:rPr>
        <w:t>‑</w:t>
      </w:r>
      <w:r w:rsidRPr="00B51E46">
        <w:t>alone label claim for control of carob moth damage. A limited claim for mating disruption/</w:t>
      </w:r>
      <w:r w:rsidR="00532F11" w:rsidRPr="00B51E46">
        <w:t>management</w:t>
      </w:r>
      <w:r w:rsidRPr="00B51E46">
        <w:t xml:space="preserve"> of adult activity may be considered only when used as part of an integrated pest management (IPM) program in conjunction with insecticides, with the expectation that efficacy would be greater over larger, contiguous treated areas. On this basis, the label claim for the use of </w:t>
      </w:r>
      <w:proofErr w:type="spellStart"/>
      <w:r w:rsidRPr="00B51E46">
        <w:t>Semios</w:t>
      </w:r>
      <w:proofErr w:type="spellEnd"/>
      <w:r w:rsidRPr="00B51E46">
        <w:t xml:space="preserve"> Carob Moth Aerosol Pheromone for the management of carob moth in almonds, when applied as an IPM tool in conjunction with insecticides, is accepted.</w:t>
      </w:r>
    </w:p>
    <w:p w14:paraId="52C7E8E6" w14:textId="734D5C18" w:rsidR="003B36F6" w:rsidRDefault="003B36F6" w:rsidP="003B36F6">
      <w:pPr>
        <w:pStyle w:val="Heading3"/>
      </w:pPr>
      <w:bookmarkStart w:id="151" w:name="_Toc7561289"/>
      <w:r>
        <w:lastRenderedPageBreak/>
        <w:t>Crop safety</w:t>
      </w:r>
      <w:bookmarkEnd w:id="151"/>
    </w:p>
    <w:p w14:paraId="24C79D6E" w14:textId="3C6E50E2" w:rsidR="001E68E0" w:rsidRPr="00B51E46" w:rsidRDefault="00A56C4A" w:rsidP="00B51E46">
      <w:pPr>
        <w:pStyle w:val="APVMAText"/>
      </w:pPr>
      <w:r w:rsidRPr="00B51E46">
        <w:t>The product is a pheromone analogue which is released in very low concentrations to the atmosphere rather than directly to the plant. It would not be expected to cause any phytotoxicity problems and none were found in any of the trials. The product was tested at high and low recommended application rates, but not at 2 x the highest rate. However, given the nature of the product it is highly unlikely that any crop safety issues will arise.</w:t>
      </w:r>
    </w:p>
    <w:p w14:paraId="654537E5" w14:textId="77777777" w:rsidR="003B36F6" w:rsidRDefault="003B36F6" w:rsidP="003B36F6">
      <w:pPr>
        <w:pStyle w:val="Heading2"/>
        <w:ind w:left="907" w:hanging="907"/>
      </w:pPr>
      <w:bookmarkStart w:id="152" w:name="_Toc531181106"/>
      <w:bookmarkStart w:id="153" w:name="_Toc7561292"/>
      <w:bookmarkStart w:id="154" w:name="_Toc221272425"/>
      <w:r>
        <w:t>Recommendations</w:t>
      </w:r>
      <w:bookmarkEnd w:id="152"/>
      <w:bookmarkEnd w:id="153"/>
      <w:bookmarkEnd w:id="154"/>
    </w:p>
    <w:p w14:paraId="2493AF67" w14:textId="667FC8D8" w:rsidR="003B36F6" w:rsidRPr="0026183C" w:rsidRDefault="00413B6C" w:rsidP="00772458">
      <w:pPr>
        <w:pStyle w:val="APVMAText"/>
        <w:sectPr w:rsidR="003B36F6" w:rsidRPr="0026183C">
          <w:headerReference w:type="default" r:id="rId34"/>
          <w:pgSz w:w="11906" w:h="16838" w:code="9"/>
          <w:pgMar w:top="2835" w:right="1134" w:bottom="1134" w:left="1134" w:header="1701" w:footer="680" w:gutter="0"/>
          <w:cols w:space="708"/>
          <w:docGrid w:linePitch="360"/>
        </w:sectPr>
      </w:pPr>
      <w:r w:rsidRPr="00413B6C">
        <w:t xml:space="preserve">Based on the trials and evidence provided, a label claim for the </w:t>
      </w:r>
      <w:r w:rsidRPr="0026183C">
        <w:t>management of carob moth</w:t>
      </w:r>
      <w:r w:rsidRPr="00413B6C">
        <w:t xml:space="preserve"> </w:t>
      </w:r>
      <w:r w:rsidRPr="00B51E46">
        <w:t>the management of carob moth in almonds, when applied as an IPM tool in conjunction with insecticides, is supported</w:t>
      </w:r>
      <w:r w:rsidRPr="00413B6C">
        <w:t xml:space="preserve">. The trial work also supported label claims for crop safety of </w:t>
      </w:r>
      <w:proofErr w:type="spellStart"/>
      <w:r w:rsidRPr="00B51E46">
        <w:t>Semios</w:t>
      </w:r>
      <w:proofErr w:type="spellEnd"/>
      <w:r w:rsidRPr="00B51E46">
        <w:t xml:space="preserve"> Carob Moth Aerosol Pheromone</w:t>
      </w:r>
      <w:r w:rsidRPr="00413B6C">
        <w:t xml:space="preserve"> in </w:t>
      </w:r>
      <w:r w:rsidRPr="0026183C">
        <w:t>almond</w:t>
      </w:r>
      <w:r w:rsidRPr="00413B6C">
        <w:t xml:space="preserve">. </w:t>
      </w:r>
    </w:p>
    <w:p w14:paraId="00142BFE" w14:textId="222120FD" w:rsidR="00705195" w:rsidRDefault="00705195">
      <w:pPr>
        <w:pStyle w:val="Heading1"/>
      </w:pPr>
      <w:bookmarkStart w:id="155" w:name="_Toc221272426"/>
      <w:bookmarkStart w:id="156" w:name="_Toc531181107"/>
      <w:bookmarkStart w:id="157" w:name="_Toc7561293"/>
      <w:r>
        <w:lastRenderedPageBreak/>
        <w:t>Spray drift assessment</w:t>
      </w:r>
      <w:bookmarkEnd w:id="155"/>
    </w:p>
    <w:p w14:paraId="1BF40747" w14:textId="7A53E8E9" w:rsidR="00705195" w:rsidRPr="00AC131B" w:rsidRDefault="00413B6C" w:rsidP="00AC131B">
      <w:pPr>
        <w:pStyle w:val="APVMAText"/>
      </w:pPr>
      <w:r w:rsidRPr="00AC131B">
        <w:t xml:space="preserve">The method of application will not lead to </w:t>
      </w:r>
      <w:r w:rsidR="0048093B" w:rsidRPr="00AC131B">
        <w:t xml:space="preserve">expected </w:t>
      </w:r>
      <w:r w:rsidRPr="00AC131B">
        <w:t>spray drift.</w:t>
      </w:r>
      <w:r w:rsidR="0048093B" w:rsidRPr="00AC131B">
        <w:t xml:space="preserve"> In addition, </w:t>
      </w:r>
      <w:r w:rsidR="0048093B" w:rsidRPr="00AC131B">
        <w:rPr>
          <w:rStyle w:val="Response"/>
          <w:color w:val="auto"/>
        </w:rPr>
        <w:t xml:space="preserve">Application rates of up to </w:t>
      </w:r>
      <w:r w:rsidR="00D40A9E" w:rsidRPr="00AC131B">
        <w:rPr>
          <w:rStyle w:val="Response"/>
          <w:color w:val="auto"/>
        </w:rPr>
        <w:t>25</w:t>
      </w:r>
      <w:r w:rsidR="0048093B" w:rsidRPr="00AC131B">
        <w:rPr>
          <w:rStyle w:val="Response"/>
          <w:color w:val="auto"/>
        </w:rPr>
        <w:t xml:space="preserve"> g SCLP/ha/year are generally understood to result in exposure levels which are comparable to natural emissions and safe for human and non-target species.</w:t>
      </w:r>
    </w:p>
    <w:bookmarkEnd w:id="156"/>
    <w:bookmarkEnd w:id="157"/>
    <w:p w14:paraId="132A210A" w14:textId="77777777" w:rsidR="003B36F6" w:rsidRDefault="003B36F6" w:rsidP="00772458">
      <w:pPr>
        <w:pStyle w:val="APVMAText"/>
        <w:sectPr w:rsidR="003B36F6">
          <w:headerReference w:type="default" r:id="rId35"/>
          <w:pgSz w:w="11906" w:h="16838" w:code="9"/>
          <w:pgMar w:top="2835" w:right="1134" w:bottom="1134" w:left="1134" w:header="1701" w:footer="680" w:gutter="0"/>
          <w:cols w:space="708"/>
          <w:docGrid w:linePitch="360"/>
        </w:sectPr>
      </w:pPr>
    </w:p>
    <w:p w14:paraId="524248FC" w14:textId="77777777" w:rsidR="003F67BE" w:rsidRDefault="003F67BE" w:rsidP="003F67BE">
      <w:pPr>
        <w:pStyle w:val="Heading1"/>
        <w:tabs>
          <w:tab w:val="num" w:pos="907"/>
        </w:tabs>
        <w:ind w:left="907" w:hanging="907"/>
      </w:pPr>
      <w:bookmarkStart w:id="158" w:name="_Toc531181108"/>
      <w:bookmarkStart w:id="159" w:name="_Toc7561294"/>
      <w:bookmarkStart w:id="160" w:name="_Toc221272427"/>
      <w:r>
        <w:lastRenderedPageBreak/>
        <w:t>Labelling requirements</w:t>
      </w:r>
      <w:bookmarkEnd w:id="158"/>
      <w:bookmarkEnd w:id="159"/>
      <w:bookmarkEnd w:id="160"/>
    </w:p>
    <w:p w14:paraId="651A0F77" w14:textId="2F07F260" w:rsidR="003B36F6" w:rsidRDefault="003F45F3" w:rsidP="003F45F3">
      <w:pPr>
        <w:pStyle w:val="APVMAText"/>
        <w:spacing w:before="120" w:line="240" w:lineRule="auto"/>
      </w:pPr>
      <w:r w:rsidRPr="003F45F3">
        <w:t>Product Name:</w:t>
      </w:r>
      <w:r>
        <w:tab/>
      </w:r>
      <w:r>
        <w:tab/>
      </w:r>
      <w:proofErr w:type="spellStart"/>
      <w:r w:rsidRPr="003F45F3">
        <w:t>Semios</w:t>
      </w:r>
      <w:proofErr w:type="spellEnd"/>
      <w:r w:rsidRPr="003F45F3">
        <w:t xml:space="preserve"> Carob Moth Aerosol Pheromone</w:t>
      </w:r>
    </w:p>
    <w:p w14:paraId="55DC632C" w14:textId="77777777" w:rsidR="003F45F3" w:rsidRDefault="003F45F3" w:rsidP="003F45F3">
      <w:pPr>
        <w:pStyle w:val="APVMAText"/>
        <w:spacing w:before="120" w:line="240" w:lineRule="auto"/>
      </w:pPr>
      <w:r w:rsidRPr="003F45F3">
        <w:t>APVMA Approval no:</w:t>
      </w:r>
      <w:r>
        <w:tab/>
      </w:r>
      <w:r w:rsidRPr="003F45F3">
        <w:t>93848 / 140698</w:t>
      </w:r>
    </w:p>
    <w:p w14:paraId="3C80B97C" w14:textId="77777777" w:rsidR="003F45F3" w:rsidRDefault="003F45F3" w:rsidP="003F45F3">
      <w:pPr>
        <w:pStyle w:val="BodyText0"/>
        <w:spacing w:before="120"/>
      </w:pPr>
    </w:p>
    <w:tbl>
      <w:tblPr>
        <w:tblW w:w="94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389"/>
      </w:tblGrid>
      <w:tr w:rsidR="003F45F3" w14:paraId="2116536C" w14:textId="77777777" w:rsidTr="003F45F3">
        <w:trPr>
          <w:trHeight w:val="400"/>
        </w:trPr>
        <w:tc>
          <w:tcPr>
            <w:tcW w:w="2098" w:type="dxa"/>
          </w:tcPr>
          <w:p w14:paraId="3158A7C9" w14:textId="77777777" w:rsidR="003F45F3" w:rsidRDefault="003F45F3" w:rsidP="003F45F3">
            <w:pPr>
              <w:pStyle w:val="TableParagraph"/>
              <w:spacing w:before="120"/>
              <w:ind w:left="84"/>
              <w:rPr>
                <w:sz w:val="20"/>
              </w:rPr>
            </w:pPr>
            <w:r>
              <w:rPr>
                <w:sz w:val="20"/>
              </w:rPr>
              <w:t>Label</w:t>
            </w:r>
            <w:r>
              <w:rPr>
                <w:spacing w:val="-5"/>
                <w:sz w:val="20"/>
              </w:rPr>
              <w:t xml:space="preserve"> </w:t>
            </w:r>
            <w:r>
              <w:rPr>
                <w:spacing w:val="-2"/>
                <w:sz w:val="20"/>
              </w:rPr>
              <w:t>Name:</w:t>
            </w:r>
          </w:p>
        </w:tc>
        <w:tc>
          <w:tcPr>
            <w:tcW w:w="7389" w:type="dxa"/>
          </w:tcPr>
          <w:p w14:paraId="3129866A" w14:textId="77777777" w:rsidR="003F45F3" w:rsidRDefault="003F45F3" w:rsidP="003F45F3">
            <w:pPr>
              <w:pStyle w:val="TableParagraph"/>
              <w:spacing w:before="120"/>
              <w:ind w:left="204"/>
              <w:rPr>
                <w:sz w:val="20"/>
              </w:rPr>
            </w:pPr>
            <w:proofErr w:type="spellStart"/>
            <w:r>
              <w:rPr>
                <w:sz w:val="20"/>
              </w:rPr>
              <w:t>Semios</w:t>
            </w:r>
            <w:proofErr w:type="spellEnd"/>
            <w:r>
              <w:rPr>
                <w:spacing w:val="-4"/>
                <w:sz w:val="20"/>
              </w:rPr>
              <w:t xml:space="preserve"> </w:t>
            </w:r>
            <w:r>
              <w:rPr>
                <w:sz w:val="20"/>
              </w:rPr>
              <w:t>Carob</w:t>
            </w:r>
            <w:r>
              <w:rPr>
                <w:spacing w:val="-3"/>
                <w:sz w:val="20"/>
              </w:rPr>
              <w:t xml:space="preserve"> </w:t>
            </w:r>
            <w:r>
              <w:rPr>
                <w:sz w:val="20"/>
              </w:rPr>
              <w:t>Moth</w:t>
            </w:r>
            <w:r>
              <w:rPr>
                <w:spacing w:val="-3"/>
                <w:sz w:val="20"/>
              </w:rPr>
              <w:t xml:space="preserve"> </w:t>
            </w:r>
            <w:r>
              <w:rPr>
                <w:sz w:val="20"/>
              </w:rPr>
              <w:t>Aerosol</w:t>
            </w:r>
            <w:r>
              <w:rPr>
                <w:spacing w:val="-3"/>
                <w:sz w:val="20"/>
              </w:rPr>
              <w:t xml:space="preserve"> </w:t>
            </w:r>
            <w:r>
              <w:rPr>
                <w:spacing w:val="-2"/>
                <w:sz w:val="20"/>
              </w:rPr>
              <w:t>Pheromone</w:t>
            </w:r>
          </w:p>
        </w:tc>
      </w:tr>
    </w:tbl>
    <w:p w14:paraId="708B1193" w14:textId="77777777" w:rsidR="003F45F3" w:rsidRDefault="003F45F3" w:rsidP="003F45F3">
      <w:pPr>
        <w:pStyle w:val="BodyText0"/>
        <w:spacing w:before="120"/>
      </w:pPr>
    </w:p>
    <w:tbl>
      <w:tblPr>
        <w:tblW w:w="949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392"/>
      </w:tblGrid>
      <w:tr w:rsidR="003F45F3" w14:paraId="35E271F5" w14:textId="77777777" w:rsidTr="003F45F3">
        <w:trPr>
          <w:trHeight w:val="515"/>
        </w:trPr>
        <w:tc>
          <w:tcPr>
            <w:tcW w:w="2098" w:type="dxa"/>
            <w:tcBorders>
              <w:right w:val="single" w:sz="6" w:space="0" w:color="000000"/>
            </w:tcBorders>
          </w:tcPr>
          <w:p w14:paraId="23A934FC" w14:textId="77777777" w:rsidR="003F45F3" w:rsidRDefault="003F45F3" w:rsidP="003F45F3">
            <w:pPr>
              <w:pStyle w:val="TableParagraph"/>
              <w:spacing w:before="120"/>
              <w:ind w:left="87"/>
              <w:rPr>
                <w:sz w:val="20"/>
              </w:rPr>
            </w:pPr>
            <w:r>
              <w:rPr>
                <w:sz w:val="20"/>
              </w:rPr>
              <w:t>Signal</w:t>
            </w:r>
            <w:r>
              <w:rPr>
                <w:spacing w:val="-6"/>
                <w:sz w:val="20"/>
              </w:rPr>
              <w:t xml:space="preserve"> </w:t>
            </w:r>
            <w:r>
              <w:rPr>
                <w:spacing w:val="-2"/>
                <w:sz w:val="20"/>
              </w:rPr>
              <w:t>Headings:</w:t>
            </w:r>
          </w:p>
        </w:tc>
        <w:tc>
          <w:tcPr>
            <w:tcW w:w="7392" w:type="dxa"/>
          </w:tcPr>
          <w:p w14:paraId="2D6279AB" w14:textId="1A02DA68" w:rsidR="003F45F3" w:rsidRDefault="003F45F3" w:rsidP="003F45F3">
            <w:pPr>
              <w:pStyle w:val="TableParagraph"/>
              <w:spacing w:before="120"/>
              <w:rPr>
                <w:sz w:val="20"/>
              </w:rPr>
            </w:pPr>
            <w:r>
              <w:rPr>
                <w:sz w:val="20"/>
              </w:rPr>
              <w:t>READ</w:t>
            </w:r>
            <w:r>
              <w:rPr>
                <w:spacing w:val="-1"/>
                <w:sz w:val="20"/>
              </w:rPr>
              <w:t xml:space="preserve"> </w:t>
            </w:r>
            <w:r>
              <w:rPr>
                <w:sz w:val="20"/>
              </w:rPr>
              <w:t>SAFETY</w:t>
            </w:r>
            <w:r>
              <w:rPr>
                <w:spacing w:val="-1"/>
                <w:sz w:val="20"/>
              </w:rPr>
              <w:t xml:space="preserve"> </w:t>
            </w:r>
            <w:r>
              <w:rPr>
                <w:sz w:val="20"/>
              </w:rPr>
              <w:t>DIRECTIONS BEFORE</w:t>
            </w:r>
            <w:r>
              <w:rPr>
                <w:spacing w:val="-1"/>
                <w:sz w:val="20"/>
              </w:rPr>
              <w:t xml:space="preserve"> </w:t>
            </w:r>
            <w:r>
              <w:rPr>
                <w:spacing w:val="-2"/>
                <w:sz w:val="20"/>
              </w:rPr>
              <w:t>USING</w:t>
            </w:r>
          </w:p>
        </w:tc>
      </w:tr>
    </w:tbl>
    <w:p w14:paraId="3ADA44E8" w14:textId="77777777" w:rsidR="003F45F3" w:rsidRDefault="003F45F3" w:rsidP="003F45F3">
      <w:pPr>
        <w:pStyle w:val="APVMAText"/>
        <w:spacing w:before="120" w:after="0" w:line="240" w:lineRule="auto"/>
      </w:pPr>
    </w:p>
    <w:tbl>
      <w:tblPr>
        <w:tblW w:w="94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389"/>
      </w:tblGrid>
      <w:tr w:rsidR="003F45F3" w14:paraId="4AFE19F2" w14:textId="77777777" w:rsidTr="003F45F3">
        <w:trPr>
          <w:trHeight w:val="680"/>
        </w:trPr>
        <w:tc>
          <w:tcPr>
            <w:tcW w:w="2098" w:type="dxa"/>
          </w:tcPr>
          <w:p w14:paraId="62924B73" w14:textId="77777777" w:rsidR="003F45F3" w:rsidRDefault="003F45F3" w:rsidP="003F45F3">
            <w:pPr>
              <w:pStyle w:val="TableParagraph"/>
              <w:spacing w:before="120"/>
              <w:ind w:left="84" w:right="764"/>
              <w:rPr>
                <w:sz w:val="20"/>
              </w:rPr>
            </w:pPr>
            <w:r>
              <w:rPr>
                <w:spacing w:val="-2"/>
                <w:sz w:val="20"/>
              </w:rPr>
              <w:t>Constituent Statements:</w:t>
            </w:r>
          </w:p>
        </w:tc>
        <w:tc>
          <w:tcPr>
            <w:tcW w:w="7389" w:type="dxa"/>
          </w:tcPr>
          <w:p w14:paraId="21656C72" w14:textId="77777777" w:rsidR="003F45F3" w:rsidRDefault="003F45F3" w:rsidP="003F45F3">
            <w:pPr>
              <w:pStyle w:val="TableParagraph"/>
              <w:spacing w:before="120"/>
              <w:ind w:left="204"/>
              <w:rPr>
                <w:sz w:val="20"/>
              </w:rPr>
            </w:pPr>
            <w:r>
              <w:rPr>
                <w:sz w:val="20"/>
              </w:rPr>
              <w:t>ACTIVE</w:t>
            </w:r>
            <w:r>
              <w:rPr>
                <w:spacing w:val="-11"/>
                <w:sz w:val="20"/>
              </w:rPr>
              <w:t xml:space="preserve"> </w:t>
            </w:r>
            <w:r>
              <w:rPr>
                <w:sz w:val="20"/>
              </w:rPr>
              <w:t>CONSTITUENT:</w:t>
            </w:r>
            <w:r>
              <w:rPr>
                <w:spacing w:val="-10"/>
                <w:sz w:val="20"/>
              </w:rPr>
              <w:t xml:space="preserve"> </w:t>
            </w:r>
            <w:r>
              <w:rPr>
                <w:sz w:val="20"/>
              </w:rPr>
              <w:t>12.5</w:t>
            </w:r>
            <w:r>
              <w:rPr>
                <w:spacing w:val="-11"/>
                <w:sz w:val="20"/>
              </w:rPr>
              <w:t xml:space="preserve"> </w:t>
            </w:r>
            <w:r>
              <w:rPr>
                <w:sz w:val="20"/>
              </w:rPr>
              <w:t>g/kg</w:t>
            </w:r>
            <w:r>
              <w:rPr>
                <w:spacing w:val="-10"/>
                <w:sz w:val="20"/>
              </w:rPr>
              <w:t xml:space="preserve"> </w:t>
            </w:r>
            <w:r>
              <w:rPr>
                <w:sz w:val="20"/>
              </w:rPr>
              <w:t>(</w:t>
            </w:r>
            <w:proofErr w:type="gramStart"/>
            <w:r>
              <w:rPr>
                <w:sz w:val="20"/>
              </w:rPr>
              <w:t>Z,E</w:t>
            </w:r>
            <w:proofErr w:type="gramEnd"/>
            <w:r>
              <w:rPr>
                <w:sz w:val="20"/>
              </w:rPr>
              <w:t>)-7,9,11-dodecatrienyl</w:t>
            </w:r>
            <w:r>
              <w:rPr>
                <w:spacing w:val="-10"/>
                <w:sz w:val="20"/>
              </w:rPr>
              <w:t xml:space="preserve"> </w:t>
            </w:r>
            <w:proofErr w:type="spellStart"/>
            <w:r>
              <w:rPr>
                <w:spacing w:val="-2"/>
                <w:sz w:val="20"/>
              </w:rPr>
              <w:t>formate</w:t>
            </w:r>
            <w:proofErr w:type="spellEnd"/>
          </w:p>
        </w:tc>
      </w:tr>
    </w:tbl>
    <w:p w14:paraId="47BF0458" w14:textId="77777777" w:rsidR="003F45F3" w:rsidRDefault="003F45F3" w:rsidP="003F45F3">
      <w:pPr>
        <w:pStyle w:val="APVMAText"/>
        <w:spacing w:before="120" w:after="0" w:line="240" w:lineRule="auto"/>
      </w:pPr>
    </w:p>
    <w:tbl>
      <w:tblPr>
        <w:tblW w:w="94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389"/>
      </w:tblGrid>
      <w:tr w:rsidR="003F45F3" w14:paraId="38E3569F" w14:textId="77777777" w:rsidTr="003F45F3">
        <w:trPr>
          <w:trHeight w:val="640"/>
        </w:trPr>
        <w:tc>
          <w:tcPr>
            <w:tcW w:w="2098" w:type="dxa"/>
          </w:tcPr>
          <w:p w14:paraId="3AC28F3F" w14:textId="77777777" w:rsidR="003F45F3" w:rsidRDefault="003F45F3" w:rsidP="003F45F3">
            <w:pPr>
              <w:pStyle w:val="TableParagraph"/>
              <w:spacing w:before="120"/>
              <w:ind w:left="84"/>
              <w:rPr>
                <w:sz w:val="20"/>
              </w:rPr>
            </w:pPr>
            <w:r>
              <w:rPr>
                <w:sz w:val="20"/>
              </w:rPr>
              <w:t>Statement</w:t>
            </w:r>
            <w:r>
              <w:rPr>
                <w:spacing w:val="-6"/>
                <w:sz w:val="20"/>
              </w:rPr>
              <w:t xml:space="preserve"> </w:t>
            </w:r>
            <w:r>
              <w:rPr>
                <w:sz w:val="20"/>
              </w:rPr>
              <w:t>of</w:t>
            </w:r>
            <w:r>
              <w:rPr>
                <w:spacing w:val="-5"/>
                <w:sz w:val="20"/>
              </w:rPr>
              <w:t xml:space="preserve"> </w:t>
            </w:r>
            <w:r>
              <w:rPr>
                <w:spacing w:val="-2"/>
                <w:sz w:val="20"/>
              </w:rPr>
              <w:t>Claims:</w:t>
            </w:r>
          </w:p>
        </w:tc>
        <w:tc>
          <w:tcPr>
            <w:tcW w:w="7389" w:type="dxa"/>
          </w:tcPr>
          <w:p w14:paraId="54FE3FD3" w14:textId="77777777" w:rsidR="003F45F3" w:rsidRDefault="003F45F3" w:rsidP="003F45F3">
            <w:pPr>
              <w:pStyle w:val="TableParagraph"/>
              <w:spacing w:before="120"/>
              <w:ind w:left="204" w:right="360"/>
              <w:rPr>
                <w:sz w:val="20"/>
              </w:rPr>
            </w:pPr>
            <w:r>
              <w:rPr>
                <w:sz w:val="20"/>
              </w:rPr>
              <w:t>A</w:t>
            </w:r>
            <w:r>
              <w:rPr>
                <w:spacing w:val="-5"/>
                <w:sz w:val="20"/>
              </w:rPr>
              <w:t xml:space="preserve"> </w:t>
            </w:r>
            <w:r>
              <w:rPr>
                <w:sz w:val="20"/>
              </w:rPr>
              <w:t>pheromone</w:t>
            </w:r>
            <w:r>
              <w:rPr>
                <w:spacing w:val="-5"/>
                <w:sz w:val="20"/>
              </w:rPr>
              <w:t xml:space="preserve"> </w:t>
            </w:r>
            <w:r>
              <w:rPr>
                <w:sz w:val="20"/>
              </w:rPr>
              <w:t>product</w:t>
            </w:r>
            <w:r>
              <w:rPr>
                <w:spacing w:val="-5"/>
                <w:sz w:val="20"/>
              </w:rPr>
              <w:t xml:space="preserve"> </w:t>
            </w:r>
            <w:r>
              <w:rPr>
                <w:sz w:val="20"/>
              </w:rPr>
              <w:t>for</w:t>
            </w:r>
            <w:r>
              <w:rPr>
                <w:spacing w:val="-5"/>
                <w:sz w:val="20"/>
              </w:rPr>
              <w:t xml:space="preserve"> </w:t>
            </w:r>
            <w:r>
              <w:rPr>
                <w:sz w:val="20"/>
              </w:rPr>
              <w:t>management</w:t>
            </w:r>
            <w:r>
              <w:rPr>
                <w:spacing w:val="-5"/>
                <w:sz w:val="20"/>
              </w:rPr>
              <w:t xml:space="preserve"> </w:t>
            </w:r>
            <w:r>
              <w:rPr>
                <w:sz w:val="20"/>
              </w:rPr>
              <w:t>of</w:t>
            </w:r>
            <w:r>
              <w:rPr>
                <w:spacing w:val="-5"/>
                <w:sz w:val="20"/>
              </w:rPr>
              <w:t xml:space="preserve"> </w:t>
            </w:r>
            <w:r>
              <w:rPr>
                <w:sz w:val="20"/>
              </w:rPr>
              <w:t>Carob</w:t>
            </w:r>
            <w:r>
              <w:rPr>
                <w:spacing w:val="-5"/>
                <w:sz w:val="20"/>
              </w:rPr>
              <w:t xml:space="preserve"> </w:t>
            </w:r>
            <w:r>
              <w:rPr>
                <w:sz w:val="20"/>
              </w:rPr>
              <w:t>Moth</w:t>
            </w:r>
            <w:r>
              <w:rPr>
                <w:spacing w:val="-5"/>
                <w:sz w:val="20"/>
              </w:rPr>
              <w:t xml:space="preserve"> </w:t>
            </w:r>
            <w:r>
              <w:rPr>
                <w:sz w:val="20"/>
              </w:rPr>
              <w:t>(Ectomyelois</w:t>
            </w:r>
            <w:r>
              <w:rPr>
                <w:spacing w:val="-5"/>
                <w:sz w:val="20"/>
              </w:rPr>
              <w:t xml:space="preserve"> </w:t>
            </w:r>
            <w:r>
              <w:rPr>
                <w:sz w:val="20"/>
              </w:rPr>
              <w:t>ceratoniae) in almond trees.</w:t>
            </w:r>
          </w:p>
        </w:tc>
      </w:tr>
    </w:tbl>
    <w:p w14:paraId="6670F2ED" w14:textId="77777777" w:rsidR="003F45F3" w:rsidRDefault="003F45F3" w:rsidP="003F45F3">
      <w:pPr>
        <w:pStyle w:val="APVMAText"/>
        <w:spacing w:before="120" w:after="0" w:line="240" w:lineRule="auto"/>
      </w:pPr>
    </w:p>
    <w:p w14:paraId="760C230B" w14:textId="77777777" w:rsidR="006B7FAE" w:rsidRDefault="006B7FAE" w:rsidP="003F45F3">
      <w:pPr>
        <w:pStyle w:val="APVMAText"/>
        <w:spacing w:before="120" w:after="0" w:line="240" w:lineRule="auto"/>
      </w:pPr>
    </w:p>
    <w:tbl>
      <w:tblPr>
        <w:tblW w:w="94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389"/>
      </w:tblGrid>
      <w:tr w:rsidR="003F45F3" w14:paraId="5EC88AD7" w14:textId="77777777" w:rsidTr="003F45F3">
        <w:trPr>
          <w:trHeight w:val="440"/>
        </w:trPr>
        <w:tc>
          <w:tcPr>
            <w:tcW w:w="2098" w:type="dxa"/>
          </w:tcPr>
          <w:p w14:paraId="162462FD" w14:textId="77777777" w:rsidR="003F45F3" w:rsidRDefault="003F45F3" w:rsidP="003F45F3">
            <w:pPr>
              <w:pStyle w:val="TableParagraph"/>
              <w:spacing w:before="120"/>
              <w:ind w:left="84"/>
              <w:rPr>
                <w:sz w:val="20"/>
              </w:rPr>
            </w:pPr>
            <w:r>
              <w:rPr>
                <w:sz w:val="20"/>
              </w:rPr>
              <w:t>Net</w:t>
            </w:r>
            <w:r>
              <w:rPr>
                <w:spacing w:val="-3"/>
                <w:sz w:val="20"/>
              </w:rPr>
              <w:t xml:space="preserve"> </w:t>
            </w:r>
            <w:r>
              <w:rPr>
                <w:spacing w:val="-2"/>
                <w:sz w:val="20"/>
              </w:rPr>
              <w:t>Contents:</w:t>
            </w:r>
          </w:p>
        </w:tc>
        <w:tc>
          <w:tcPr>
            <w:tcW w:w="7389" w:type="dxa"/>
          </w:tcPr>
          <w:p w14:paraId="0CF6452D" w14:textId="0616E33D" w:rsidR="003F45F3" w:rsidRDefault="003F45F3" w:rsidP="003F45F3">
            <w:pPr>
              <w:pStyle w:val="TableParagraph"/>
              <w:spacing w:before="120"/>
              <w:ind w:left="204"/>
              <w:rPr>
                <w:sz w:val="20"/>
              </w:rPr>
            </w:pPr>
            <w:r>
              <w:rPr>
                <w:sz w:val="20"/>
              </w:rPr>
              <w:t>400</w:t>
            </w:r>
            <w:r>
              <w:rPr>
                <w:spacing w:val="-5"/>
                <w:sz w:val="20"/>
              </w:rPr>
              <w:t xml:space="preserve"> </w:t>
            </w:r>
            <w:r>
              <w:rPr>
                <w:spacing w:val="-10"/>
                <w:sz w:val="20"/>
              </w:rPr>
              <w:t>g</w:t>
            </w:r>
          </w:p>
        </w:tc>
      </w:tr>
    </w:tbl>
    <w:p w14:paraId="40C1B8DE" w14:textId="77777777" w:rsidR="003F45F3" w:rsidRDefault="003F45F3" w:rsidP="003F45F3">
      <w:pPr>
        <w:pStyle w:val="APVMAText"/>
        <w:spacing w:before="120" w:after="0" w:line="240" w:lineRule="auto"/>
      </w:pPr>
    </w:p>
    <w:tbl>
      <w:tblPr>
        <w:tblW w:w="94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389"/>
      </w:tblGrid>
      <w:tr w:rsidR="006B149D" w14:paraId="1CDDE99B" w14:textId="77777777" w:rsidTr="006B149D">
        <w:trPr>
          <w:trHeight w:val="440"/>
        </w:trPr>
        <w:tc>
          <w:tcPr>
            <w:tcW w:w="2098" w:type="dxa"/>
          </w:tcPr>
          <w:p w14:paraId="36F686CF" w14:textId="77777777" w:rsidR="006B149D" w:rsidRDefault="006B149D" w:rsidP="00DD3D04">
            <w:pPr>
              <w:pStyle w:val="TableParagraph"/>
              <w:ind w:left="84"/>
              <w:rPr>
                <w:sz w:val="20"/>
              </w:rPr>
            </w:pPr>
            <w:r>
              <w:rPr>
                <w:spacing w:val="-2"/>
                <w:sz w:val="20"/>
              </w:rPr>
              <w:t>Restraints:</w:t>
            </w:r>
          </w:p>
        </w:tc>
        <w:tc>
          <w:tcPr>
            <w:tcW w:w="7389" w:type="dxa"/>
          </w:tcPr>
          <w:p w14:paraId="2A9E7AE8" w14:textId="77777777" w:rsidR="006B149D" w:rsidRDefault="006B149D" w:rsidP="00DD3D04">
            <w:pPr>
              <w:pStyle w:val="TableParagraph"/>
              <w:spacing w:before="0"/>
              <w:ind w:left="0"/>
              <w:rPr>
                <w:rFonts w:ascii="Times New Roman"/>
                <w:sz w:val="18"/>
              </w:rPr>
            </w:pPr>
          </w:p>
        </w:tc>
      </w:tr>
    </w:tbl>
    <w:p w14:paraId="76F88440" w14:textId="77777777" w:rsidR="006B149D" w:rsidRDefault="006B149D" w:rsidP="003F45F3">
      <w:pPr>
        <w:pStyle w:val="APVMAText"/>
        <w:spacing w:before="120" w:after="0" w:line="240" w:lineRule="auto"/>
      </w:pPr>
    </w:p>
    <w:tbl>
      <w:tblPr>
        <w:tblW w:w="94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389"/>
      </w:tblGrid>
      <w:tr w:rsidR="003F45F3" w14:paraId="48B7749C" w14:textId="77777777" w:rsidTr="003F45F3">
        <w:trPr>
          <w:trHeight w:val="477"/>
        </w:trPr>
        <w:tc>
          <w:tcPr>
            <w:tcW w:w="2098" w:type="dxa"/>
          </w:tcPr>
          <w:p w14:paraId="1D313412" w14:textId="77777777" w:rsidR="003F45F3" w:rsidRDefault="003F45F3" w:rsidP="00DD3D04">
            <w:pPr>
              <w:pStyle w:val="TableParagraph"/>
              <w:ind w:left="84"/>
              <w:rPr>
                <w:sz w:val="20"/>
              </w:rPr>
            </w:pPr>
            <w:r>
              <w:rPr>
                <w:sz w:val="20"/>
              </w:rPr>
              <w:t>Directions</w:t>
            </w:r>
            <w:r>
              <w:rPr>
                <w:spacing w:val="-1"/>
                <w:sz w:val="20"/>
              </w:rPr>
              <w:t xml:space="preserve"> </w:t>
            </w:r>
            <w:r>
              <w:rPr>
                <w:sz w:val="20"/>
              </w:rPr>
              <w:t>for</w:t>
            </w:r>
            <w:r>
              <w:rPr>
                <w:spacing w:val="-1"/>
                <w:sz w:val="20"/>
              </w:rPr>
              <w:t xml:space="preserve"> </w:t>
            </w:r>
            <w:r>
              <w:rPr>
                <w:spacing w:val="-4"/>
                <w:sz w:val="20"/>
              </w:rPr>
              <w:t>Use:</w:t>
            </w:r>
          </w:p>
        </w:tc>
        <w:tc>
          <w:tcPr>
            <w:tcW w:w="7389" w:type="dxa"/>
          </w:tcPr>
          <w:p w14:paraId="03A76AC3" w14:textId="48BF2FCD" w:rsidR="003F45F3" w:rsidRPr="003F45F3" w:rsidRDefault="003F45F3" w:rsidP="003F45F3">
            <w:pPr>
              <w:pStyle w:val="TableParagraph"/>
              <w:ind w:left="204"/>
              <w:rPr>
                <w:spacing w:val="-2"/>
                <w:sz w:val="20"/>
              </w:rPr>
            </w:pPr>
            <w:r>
              <w:rPr>
                <w:sz w:val="20"/>
              </w:rPr>
              <w:t>This</w:t>
            </w:r>
            <w:r>
              <w:rPr>
                <w:spacing w:val="-6"/>
                <w:sz w:val="20"/>
              </w:rPr>
              <w:t xml:space="preserve"> </w:t>
            </w:r>
            <w:r>
              <w:rPr>
                <w:sz w:val="20"/>
              </w:rPr>
              <w:t>section</w:t>
            </w:r>
            <w:r>
              <w:rPr>
                <w:spacing w:val="-3"/>
                <w:sz w:val="20"/>
              </w:rPr>
              <w:t xml:space="preserve"> </w:t>
            </w:r>
            <w:r>
              <w:rPr>
                <w:sz w:val="20"/>
              </w:rPr>
              <w:t>contains</w:t>
            </w:r>
            <w:r>
              <w:rPr>
                <w:spacing w:val="-3"/>
                <w:sz w:val="20"/>
              </w:rPr>
              <w:t xml:space="preserve"> </w:t>
            </w:r>
            <w:r>
              <w:rPr>
                <w:sz w:val="20"/>
              </w:rPr>
              <w:t>file</w:t>
            </w:r>
            <w:r>
              <w:rPr>
                <w:spacing w:val="-3"/>
                <w:sz w:val="20"/>
              </w:rPr>
              <w:t xml:space="preserve"> </w:t>
            </w:r>
            <w:r>
              <w:rPr>
                <w:spacing w:val="-2"/>
                <w:sz w:val="20"/>
              </w:rPr>
              <w:t>attachment.</w:t>
            </w:r>
          </w:p>
        </w:tc>
      </w:tr>
    </w:tbl>
    <w:p w14:paraId="299BA59B" w14:textId="77777777" w:rsidR="003F45F3" w:rsidRDefault="003F45F3" w:rsidP="003F45F3">
      <w:pPr>
        <w:pStyle w:val="APVMAText"/>
        <w:spacing w:before="120" w:after="0" w:line="240" w:lineRule="auto"/>
      </w:pPr>
    </w:p>
    <w:tbl>
      <w:tblPr>
        <w:tblW w:w="94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389"/>
      </w:tblGrid>
      <w:tr w:rsidR="006B149D" w14:paraId="007F7B2A" w14:textId="77777777" w:rsidTr="006B149D">
        <w:trPr>
          <w:trHeight w:val="440"/>
        </w:trPr>
        <w:tc>
          <w:tcPr>
            <w:tcW w:w="2098" w:type="dxa"/>
          </w:tcPr>
          <w:p w14:paraId="37EDC964" w14:textId="77777777" w:rsidR="006B149D" w:rsidRDefault="006B149D" w:rsidP="00DD3D04">
            <w:pPr>
              <w:pStyle w:val="TableParagraph"/>
              <w:ind w:left="84"/>
              <w:rPr>
                <w:sz w:val="20"/>
              </w:rPr>
            </w:pPr>
            <w:r>
              <w:rPr>
                <w:sz w:val="20"/>
              </w:rPr>
              <w:t>Other</w:t>
            </w:r>
            <w:r>
              <w:rPr>
                <w:spacing w:val="-1"/>
                <w:sz w:val="20"/>
              </w:rPr>
              <w:t xml:space="preserve"> </w:t>
            </w:r>
            <w:r>
              <w:rPr>
                <w:spacing w:val="-2"/>
                <w:sz w:val="20"/>
              </w:rPr>
              <w:t>Limitations:</w:t>
            </w:r>
          </w:p>
        </w:tc>
        <w:tc>
          <w:tcPr>
            <w:tcW w:w="7389" w:type="dxa"/>
          </w:tcPr>
          <w:p w14:paraId="3853C37E" w14:textId="77777777" w:rsidR="006B149D" w:rsidRDefault="006B149D" w:rsidP="00DD3D04">
            <w:pPr>
              <w:pStyle w:val="TableParagraph"/>
              <w:spacing w:before="0"/>
              <w:ind w:left="0"/>
              <w:rPr>
                <w:rFonts w:ascii="Times New Roman"/>
                <w:sz w:val="18"/>
              </w:rPr>
            </w:pPr>
          </w:p>
        </w:tc>
      </w:tr>
    </w:tbl>
    <w:p w14:paraId="7C9F004E" w14:textId="77777777" w:rsidR="006B149D" w:rsidRDefault="006B149D" w:rsidP="003F45F3">
      <w:pPr>
        <w:pStyle w:val="APVMAText"/>
        <w:spacing w:before="120" w:after="0" w:line="240" w:lineRule="auto"/>
      </w:pPr>
    </w:p>
    <w:tbl>
      <w:tblPr>
        <w:tblW w:w="94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389"/>
      </w:tblGrid>
      <w:tr w:rsidR="003F45F3" w14:paraId="35FCC537" w14:textId="77777777" w:rsidTr="003F45F3">
        <w:trPr>
          <w:trHeight w:val="440"/>
        </w:trPr>
        <w:tc>
          <w:tcPr>
            <w:tcW w:w="2098" w:type="dxa"/>
          </w:tcPr>
          <w:p w14:paraId="532CEB72" w14:textId="77777777" w:rsidR="003F45F3" w:rsidRDefault="003F45F3" w:rsidP="00DD3D04">
            <w:pPr>
              <w:pStyle w:val="TableParagraph"/>
              <w:spacing w:before="63"/>
              <w:ind w:left="84"/>
              <w:rPr>
                <w:sz w:val="20"/>
              </w:rPr>
            </w:pPr>
            <w:r>
              <w:rPr>
                <w:sz w:val="20"/>
              </w:rPr>
              <w:t>Withholding</w:t>
            </w:r>
            <w:r>
              <w:rPr>
                <w:spacing w:val="-11"/>
                <w:sz w:val="20"/>
              </w:rPr>
              <w:t xml:space="preserve"> </w:t>
            </w:r>
            <w:r>
              <w:rPr>
                <w:spacing w:val="-2"/>
                <w:sz w:val="20"/>
              </w:rPr>
              <w:t>Periods:</w:t>
            </w:r>
          </w:p>
        </w:tc>
        <w:tc>
          <w:tcPr>
            <w:tcW w:w="7389" w:type="dxa"/>
          </w:tcPr>
          <w:p w14:paraId="7D5160D5" w14:textId="77777777" w:rsidR="003F45F3" w:rsidRDefault="003F45F3" w:rsidP="00DD3D04">
            <w:pPr>
              <w:pStyle w:val="TableParagraph"/>
              <w:spacing w:before="63"/>
              <w:ind w:left="204"/>
              <w:rPr>
                <w:sz w:val="20"/>
              </w:rPr>
            </w:pPr>
            <w:r>
              <w:rPr>
                <w:sz w:val="20"/>
              </w:rPr>
              <w:t>WITHHOLDING</w:t>
            </w:r>
            <w:r>
              <w:rPr>
                <w:spacing w:val="-6"/>
                <w:sz w:val="20"/>
              </w:rPr>
              <w:t xml:space="preserve"> </w:t>
            </w:r>
            <w:r>
              <w:rPr>
                <w:sz w:val="20"/>
              </w:rPr>
              <w:t>PERIOD:</w:t>
            </w:r>
            <w:r>
              <w:rPr>
                <w:spacing w:val="-6"/>
                <w:sz w:val="20"/>
              </w:rPr>
              <w:t xml:space="preserve"> </w:t>
            </w:r>
            <w:r>
              <w:rPr>
                <w:sz w:val="20"/>
              </w:rPr>
              <w:t>NOT</w:t>
            </w:r>
            <w:r>
              <w:rPr>
                <w:spacing w:val="-5"/>
                <w:sz w:val="20"/>
              </w:rPr>
              <w:t xml:space="preserve"> </w:t>
            </w:r>
            <w:r>
              <w:rPr>
                <w:sz w:val="20"/>
              </w:rPr>
              <w:t>REQUIRED</w:t>
            </w:r>
            <w:r>
              <w:rPr>
                <w:spacing w:val="-6"/>
                <w:sz w:val="20"/>
              </w:rPr>
              <w:t xml:space="preserve"> </w:t>
            </w:r>
            <w:r>
              <w:rPr>
                <w:sz w:val="20"/>
              </w:rPr>
              <w:t>WHEN</w:t>
            </w:r>
            <w:r>
              <w:rPr>
                <w:spacing w:val="-5"/>
                <w:sz w:val="20"/>
              </w:rPr>
              <w:t xml:space="preserve"> </w:t>
            </w:r>
            <w:r>
              <w:rPr>
                <w:sz w:val="20"/>
              </w:rPr>
              <w:t>USED</w:t>
            </w:r>
            <w:r>
              <w:rPr>
                <w:spacing w:val="-6"/>
                <w:sz w:val="20"/>
              </w:rPr>
              <w:t xml:space="preserve"> </w:t>
            </w:r>
            <w:r>
              <w:rPr>
                <w:sz w:val="20"/>
              </w:rPr>
              <w:t>AS</w:t>
            </w:r>
            <w:r>
              <w:rPr>
                <w:spacing w:val="-5"/>
                <w:sz w:val="20"/>
              </w:rPr>
              <w:t xml:space="preserve"> </w:t>
            </w:r>
            <w:r>
              <w:rPr>
                <w:spacing w:val="-2"/>
                <w:sz w:val="20"/>
              </w:rPr>
              <w:t>DIRECTED.</w:t>
            </w:r>
          </w:p>
        </w:tc>
      </w:tr>
    </w:tbl>
    <w:p w14:paraId="7E0A270F" w14:textId="77777777" w:rsidR="006B149D" w:rsidRDefault="006B149D" w:rsidP="003F45F3">
      <w:pPr>
        <w:pStyle w:val="APVMAText"/>
        <w:spacing w:before="120" w:after="0" w:line="240" w:lineRule="auto"/>
      </w:pPr>
    </w:p>
    <w:tbl>
      <w:tblPr>
        <w:tblW w:w="948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389"/>
      </w:tblGrid>
      <w:tr w:rsidR="006B149D" w14:paraId="17138C1F" w14:textId="77777777" w:rsidTr="006B149D">
        <w:trPr>
          <w:trHeight w:val="440"/>
        </w:trPr>
        <w:tc>
          <w:tcPr>
            <w:tcW w:w="2098" w:type="dxa"/>
          </w:tcPr>
          <w:p w14:paraId="668970A5" w14:textId="77777777" w:rsidR="006B149D" w:rsidRDefault="006B149D" w:rsidP="00DD3D04">
            <w:pPr>
              <w:pStyle w:val="TableParagraph"/>
              <w:ind w:left="84"/>
              <w:rPr>
                <w:sz w:val="20"/>
              </w:rPr>
            </w:pPr>
            <w:r>
              <w:rPr>
                <w:sz w:val="20"/>
              </w:rPr>
              <w:t>Trade</w:t>
            </w:r>
            <w:r>
              <w:rPr>
                <w:spacing w:val="-5"/>
                <w:sz w:val="20"/>
              </w:rPr>
              <w:t xml:space="preserve"> </w:t>
            </w:r>
            <w:r>
              <w:rPr>
                <w:spacing w:val="-2"/>
                <w:sz w:val="20"/>
              </w:rPr>
              <w:t>Advice:</w:t>
            </w:r>
          </w:p>
        </w:tc>
        <w:tc>
          <w:tcPr>
            <w:tcW w:w="7389" w:type="dxa"/>
          </w:tcPr>
          <w:p w14:paraId="41B35012" w14:textId="77777777" w:rsidR="006B149D" w:rsidRDefault="006B149D" w:rsidP="00DD3D04">
            <w:pPr>
              <w:pStyle w:val="TableParagraph"/>
              <w:spacing w:before="0"/>
              <w:ind w:left="0"/>
              <w:rPr>
                <w:rFonts w:ascii="Times New Roman"/>
                <w:sz w:val="18"/>
              </w:rPr>
            </w:pPr>
          </w:p>
        </w:tc>
      </w:tr>
    </w:tbl>
    <w:p w14:paraId="0EEB37C8" w14:textId="77777777" w:rsidR="006B149D" w:rsidRDefault="006B149D" w:rsidP="003F45F3">
      <w:pPr>
        <w:pStyle w:val="APVMAText"/>
        <w:spacing w:before="120" w:after="0" w:line="240" w:lineRule="auto"/>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251"/>
      </w:tblGrid>
      <w:tr w:rsidR="006B149D" w14:paraId="1DA58341" w14:textId="77777777" w:rsidTr="006B149D">
        <w:trPr>
          <w:trHeight w:val="4115"/>
        </w:trPr>
        <w:tc>
          <w:tcPr>
            <w:tcW w:w="2098" w:type="dxa"/>
            <w:tcBorders>
              <w:right w:val="single" w:sz="6" w:space="0" w:color="000000"/>
            </w:tcBorders>
          </w:tcPr>
          <w:p w14:paraId="70C7A40F" w14:textId="77777777" w:rsidR="006B149D" w:rsidRDefault="006B149D" w:rsidP="00DD3D04">
            <w:pPr>
              <w:pStyle w:val="TableParagraph"/>
              <w:ind w:left="87"/>
              <w:rPr>
                <w:sz w:val="20"/>
              </w:rPr>
            </w:pPr>
            <w:r>
              <w:rPr>
                <w:sz w:val="20"/>
              </w:rPr>
              <w:lastRenderedPageBreak/>
              <w:t>General</w:t>
            </w:r>
            <w:r>
              <w:rPr>
                <w:spacing w:val="-7"/>
                <w:sz w:val="20"/>
              </w:rPr>
              <w:t xml:space="preserve"> </w:t>
            </w:r>
            <w:r>
              <w:rPr>
                <w:spacing w:val="-2"/>
                <w:sz w:val="20"/>
              </w:rPr>
              <w:t>Instructions:</w:t>
            </w:r>
          </w:p>
        </w:tc>
        <w:tc>
          <w:tcPr>
            <w:tcW w:w="7251" w:type="dxa"/>
          </w:tcPr>
          <w:p w14:paraId="35EDBA54" w14:textId="77777777" w:rsidR="006B149D" w:rsidRDefault="006B149D" w:rsidP="00DD3D04">
            <w:pPr>
              <w:pStyle w:val="TableParagraph"/>
              <w:rPr>
                <w:sz w:val="20"/>
              </w:rPr>
            </w:pPr>
            <w:r>
              <w:rPr>
                <w:sz w:val="20"/>
              </w:rPr>
              <w:t>GENERAL</w:t>
            </w:r>
            <w:r>
              <w:rPr>
                <w:spacing w:val="-7"/>
                <w:sz w:val="20"/>
              </w:rPr>
              <w:t xml:space="preserve"> </w:t>
            </w:r>
            <w:r>
              <w:rPr>
                <w:spacing w:val="-2"/>
                <w:sz w:val="20"/>
              </w:rPr>
              <w:t>INSTRUCTIONS</w:t>
            </w:r>
          </w:p>
          <w:p w14:paraId="7C11EB20" w14:textId="77777777" w:rsidR="006B149D" w:rsidRDefault="006B149D" w:rsidP="00DD3D04">
            <w:pPr>
              <w:pStyle w:val="TableParagraph"/>
              <w:spacing w:before="10" w:line="249" w:lineRule="auto"/>
              <w:rPr>
                <w:sz w:val="20"/>
              </w:rPr>
            </w:pPr>
            <w:proofErr w:type="spellStart"/>
            <w:r>
              <w:rPr>
                <w:sz w:val="20"/>
              </w:rPr>
              <w:t>Semios</w:t>
            </w:r>
            <w:proofErr w:type="spellEnd"/>
            <w:r>
              <w:rPr>
                <w:spacing w:val="-3"/>
                <w:sz w:val="20"/>
              </w:rPr>
              <w:t xml:space="preserve"> </w:t>
            </w:r>
            <w:r>
              <w:rPr>
                <w:sz w:val="20"/>
              </w:rPr>
              <w:t>Carob</w:t>
            </w:r>
            <w:r>
              <w:rPr>
                <w:spacing w:val="-3"/>
                <w:sz w:val="20"/>
              </w:rPr>
              <w:t xml:space="preserve"> </w:t>
            </w:r>
            <w:r>
              <w:rPr>
                <w:sz w:val="20"/>
              </w:rPr>
              <w:t>Moth</w:t>
            </w:r>
            <w:r>
              <w:rPr>
                <w:spacing w:val="40"/>
                <w:sz w:val="20"/>
              </w:rPr>
              <w:t xml:space="preserve"> </w:t>
            </w:r>
            <w:r>
              <w:rPr>
                <w:sz w:val="20"/>
              </w:rPr>
              <w:t>is</w:t>
            </w:r>
            <w:r>
              <w:rPr>
                <w:spacing w:val="-4"/>
                <w:sz w:val="20"/>
              </w:rPr>
              <w:t xml:space="preserve"> </w:t>
            </w:r>
            <w:r>
              <w:rPr>
                <w:sz w:val="20"/>
              </w:rPr>
              <w:t>an</w:t>
            </w:r>
            <w:r>
              <w:rPr>
                <w:spacing w:val="-4"/>
                <w:sz w:val="20"/>
              </w:rPr>
              <w:t xml:space="preserve"> </w:t>
            </w:r>
            <w:r>
              <w:rPr>
                <w:sz w:val="20"/>
              </w:rPr>
              <w:t>“auto-confusion”</w:t>
            </w:r>
            <w:r>
              <w:rPr>
                <w:spacing w:val="-4"/>
                <w:sz w:val="20"/>
              </w:rPr>
              <w:t xml:space="preserve"> </w:t>
            </w:r>
            <w:r>
              <w:rPr>
                <w:sz w:val="20"/>
              </w:rPr>
              <w:t>product</w:t>
            </w:r>
            <w:r>
              <w:rPr>
                <w:spacing w:val="-4"/>
                <w:sz w:val="20"/>
              </w:rPr>
              <w:t xml:space="preserve"> </w:t>
            </w:r>
            <w:r>
              <w:rPr>
                <w:sz w:val="20"/>
              </w:rPr>
              <w:t>containing</w:t>
            </w:r>
            <w:r>
              <w:rPr>
                <w:spacing w:val="-4"/>
                <w:sz w:val="20"/>
              </w:rPr>
              <w:t xml:space="preserve"> </w:t>
            </w:r>
            <w:r>
              <w:rPr>
                <w:sz w:val="20"/>
              </w:rPr>
              <w:t>a</w:t>
            </w:r>
            <w:r>
              <w:rPr>
                <w:spacing w:val="-4"/>
                <w:sz w:val="20"/>
              </w:rPr>
              <w:t xml:space="preserve"> </w:t>
            </w:r>
            <w:r>
              <w:rPr>
                <w:sz w:val="20"/>
              </w:rPr>
              <w:t>synthetic</w:t>
            </w:r>
            <w:r>
              <w:rPr>
                <w:spacing w:val="-4"/>
                <w:sz w:val="20"/>
              </w:rPr>
              <w:t xml:space="preserve"> </w:t>
            </w:r>
            <w:r>
              <w:rPr>
                <w:sz w:val="20"/>
              </w:rPr>
              <w:t>pheromone.</w:t>
            </w:r>
            <w:r>
              <w:rPr>
                <w:spacing w:val="-4"/>
                <w:sz w:val="20"/>
              </w:rPr>
              <w:t xml:space="preserve"> </w:t>
            </w:r>
            <w:r>
              <w:rPr>
                <w:sz w:val="20"/>
              </w:rPr>
              <w:t>This system disrupts mating and prevents successful egg laying without killing the insects.</w:t>
            </w:r>
          </w:p>
          <w:p w14:paraId="567616D2" w14:textId="77777777" w:rsidR="006B149D" w:rsidRDefault="006B149D" w:rsidP="00DD3D04">
            <w:pPr>
              <w:pStyle w:val="TableParagraph"/>
              <w:spacing w:before="2" w:line="249" w:lineRule="auto"/>
              <w:rPr>
                <w:sz w:val="20"/>
              </w:rPr>
            </w:pPr>
            <w:proofErr w:type="spellStart"/>
            <w:r>
              <w:rPr>
                <w:sz w:val="20"/>
              </w:rPr>
              <w:t>Semios</w:t>
            </w:r>
            <w:proofErr w:type="spellEnd"/>
            <w:r>
              <w:rPr>
                <w:spacing w:val="-4"/>
                <w:sz w:val="20"/>
              </w:rPr>
              <w:t xml:space="preserve"> </w:t>
            </w:r>
            <w:r>
              <w:rPr>
                <w:sz w:val="20"/>
              </w:rPr>
              <w:t>Carob</w:t>
            </w:r>
            <w:r>
              <w:rPr>
                <w:spacing w:val="-4"/>
                <w:sz w:val="20"/>
              </w:rPr>
              <w:t xml:space="preserve"> </w:t>
            </w:r>
            <w:r>
              <w:rPr>
                <w:sz w:val="20"/>
              </w:rPr>
              <w:t>Moth</w:t>
            </w:r>
            <w:r>
              <w:rPr>
                <w:spacing w:val="-4"/>
                <w:sz w:val="20"/>
              </w:rPr>
              <w:t xml:space="preserve"> </w:t>
            </w:r>
            <w:r>
              <w:rPr>
                <w:sz w:val="20"/>
              </w:rPr>
              <w:t>Aerosol</w:t>
            </w:r>
            <w:r>
              <w:rPr>
                <w:spacing w:val="-4"/>
                <w:sz w:val="20"/>
              </w:rPr>
              <w:t xml:space="preserve"> </w:t>
            </w:r>
            <w:r>
              <w:rPr>
                <w:sz w:val="20"/>
              </w:rPr>
              <w:t>Pheromone</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used</w:t>
            </w:r>
            <w:r>
              <w:rPr>
                <w:spacing w:val="-4"/>
                <w:sz w:val="20"/>
              </w:rPr>
              <w:t xml:space="preserve"> </w:t>
            </w:r>
            <w:r>
              <w:rPr>
                <w:sz w:val="20"/>
              </w:rPr>
              <w:t>as</w:t>
            </w:r>
            <w:r>
              <w:rPr>
                <w:spacing w:val="-4"/>
                <w:sz w:val="20"/>
              </w:rPr>
              <w:t xml:space="preserve"> </w:t>
            </w:r>
            <w:r>
              <w:rPr>
                <w:sz w:val="20"/>
              </w:rPr>
              <w:t>part</w:t>
            </w:r>
            <w:r>
              <w:rPr>
                <w:spacing w:val="-4"/>
                <w:sz w:val="20"/>
              </w:rPr>
              <w:t xml:space="preserve"> </w:t>
            </w:r>
            <w:r>
              <w:rPr>
                <w:sz w:val="20"/>
              </w:rPr>
              <w:t>of</w:t>
            </w:r>
            <w:r>
              <w:rPr>
                <w:spacing w:val="-4"/>
                <w:sz w:val="20"/>
              </w:rPr>
              <w:t xml:space="preserve"> </w:t>
            </w:r>
            <w:r>
              <w:rPr>
                <w:sz w:val="20"/>
              </w:rPr>
              <w:t>an</w:t>
            </w:r>
            <w:r>
              <w:rPr>
                <w:spacing w:val="-4"/>
                <w:sz w:val="20"/>
              </w:rPr>
              <w:t xml:space="preserve"> </w:t>
            </w:r>
            <w:r>
              <w:rPr>
                <w:sz w:val="20"/>
              </w:rPr>
              <w:t>Integrated</w:t>
            </w:r>
            <w:r>
              <w:rPr>
                <w:spacing w:val="-4"/>
                <w:sz w:val="20"/>
              </w:rPr>
              <w:t xml:space="preserve"> </w:t>
            </w:r>
            <w:r>
              <w:rPr>
                <w:sz w:val="20"/>
              </w:rPr>
              <w:t>Pest Management (IPM) program to manage Carob Moth.</w:t>
            </w:r>
          </w:p>
          <w:p w14:paraId="0B565B39" w14:textId="77777777" w:rsidR="006B149D" w:rsidRDefault="006B149D" w:rsidP="00DD3D04">
            <w:pPr>
              <w:pStyle w:val="TableParagraph"/>
              <w:spacing w:before="11"/>
              <w:ind w:left="0"/>
              <w:rPr>
                <w:sz w:val="20"/>
              </w:rPr>
            </w:pPr>
          </w:p>
          <w:p w14:paraId="0AF64086" w14:textId="77777777" w:rsidR="006B149D" w:rsidRDefault="006B149D" w:rsidP="00DD3D04">
            <w:pPr>
              <w:pStyle w:val="TableParagraph"/>
              <w:spacing w:before="0"/>
              <w:rPr>
                <w:sz w:val="20"/>
              </w:rPr>
            </w:pPr>
            <w:r>
              <w:rPr>
                <w:sz w:val="20"/>
              </w:rPr>
              <w:t>APPLICATION</w:t>
            </w:r>
            <w:r>
              <w:rPr>
                <w:spacing w:val="-11"/>
                <w:sz w:val="20"/>
              </w:rPr>
              <w:t xml:space="preserve"> </w:t>
            </w:r>
            <w:r>
              <w:rPr>
                <w:spacing w:val="-2"/>
                <w:sz w:val="20"/>
              </w:rPr>
              <w:t>INSTRUCTIONS</w:t>
            </w:r>
          </w:p>
          <w:p w14:paraId="24160B9B" w14:textId="4224BC8C" w:rsidR="006B149D" w:rsidRDefault="006B149D" w:rsidP="00DD3D04">
            <w:pPr>
              <w:pStyle w:val="TableParagraph"/>
              <w:spacing w:before="10" w:line="249" w:lineRule="auto"/>
              <w:ind w:right="250"/>
              <w:rPr>
                <w:sz w:val="20"/>
              </w:rPr>
            </w:pPr>
            <w:r>
              <w:rPr>
                <w:sz w:val="20"/>
              </w:rPr>
              <w:t xml:space="preserve">Use only with </w:t>
            </w:r>
            <w:proofErr w:type="spellStart"/>
            <w:r>
              <w:rPr>
                <w:sz w:val="20"/>
              </w:rPr>
              <w:t>Semios</w:t>
            </w:r>
            <w:proofErr w:type="spellEnd"/>
            <w:r>
              <w:rPr>
                <w:sz w:val="20"/>
              </w:rPr>
              <w:t xml:space="preserve"> automated aerosol dispensers. Load aerosol canister in </w:t>
            </w:r>
            <w:proofErr w:type="spellStart"/>
            <w:r>
              <w:rPr>
                <w:sz w:val="20"/>
              </w:rPr>
              <w:t>Semios</w:t>
            </w:r>
            <w:proofErr w:type="spellEnd"/>
            <w:r>
              <w:rPr>
                <w:sz w:val="20"/>
              </w:rPr>
              <w:t xml:space="preserve"> dispenser.</w:t>
            </w:r>
            <w:r>
              <w:rPr>
                <w:spacing w:val="-3"/>
                <w:sz w:val="20"/>
              </w:rPr>
              <w:t xml:space="preserve"> </w:t>
            </w:r>
            <w:r>
              <w:rPr>
                <w:sz w:val="20"/>
              </w:rPr>
              <w:t>Hang</w:t>
            </w:r>
            <w:r>
              <w:rPr>
                <w:spacing w:val="-3"/>
                <w:sz w:val="20"/>
              </w:rPr>
              <w:t xml:space="preserve"> </w:t>
            </w:r>
            <w:r>
              <w:rPr>
                <w:sz w:val="20"/>
              </w:rPr>
              <w:t>dispenser</w:t>
            </w:r>
            <w:r>
              <w:rPr>
                <w:spacing w:val="-3"/>
                <w:sz w:val="20"/>
              </w:rPr>
              <w:t xml:space="preserve"> </w:t>
            </w:r>
            <w:r>
              <w:rPr>
                <w:sz w:val="20"/>
              </w:rPr>
              <w:t>level</w:t>
            </w:r>
            <w:r>
              <w:rPr>
                <w:spacing w:val="-3"/>
                <w:sz w:val="20"/>
              </w:rPr>
              <w:t xml:space="preserve"> </w:t>
            </w:r>
            <w:r>
              <w:rPr>
                <w:sz w:val="20"/>
              </w:rPr>
              <w:t>with</w:t>
            </w:r>
            <w:r>
              <w:rPr>
                <w:spacing w:val="-3"/>
                <w:sz w:val="20"/>
              </w:rPr>
              <w:t xml:space="preserve"> </w:t>
            </w:r>
            <w:r>
              <w:rPr>
                <w:sz w:val="20"/>
              </w:rPr>
              <w:t>upper</w:t>
            </w:r>
            <w:r>
              <w:rPr>
                <w:spacing w:val="-3"/>
                <w:sz w:val="20"/>
              </w:rPr>
              <w:t xml:space="preserve"> </w:t>
            </w:r>
            <w:r>
              <w:rPr>
                <w:sz w:val="20"/>
              </w:rPr>
              <w:t>third</w:t>
            </w:r>
            <w:r>
              <w:rPr>
                <w:spacing w:val="-3"/>
                <w:sz w:val="20"/>
              </w:rPr>
              <w:t xml:space="preserve"> </w:t>
            </w:r>
            <w:r>
              <w:rPr>
                <w:sz w:val="20"/>
              </w:rPr>
              <w:t>of</w:t>
            </w:r>
            <w:r>
              <w:rPr>
                <w:spacing w:val="-3"/>
                <w:sz w:val="20"/>
              </w:rPr>
              <w:t xml:space="preserve"> </w:t>
            </w:r>
            <w:r>
              <w:rPr>
                <w:sz w:val="20"/>
              </w:rPr>
              <w:t>tree</w:t>
            </w:r>
            <w:r>
              <w:rPr>
                <w:spacing w:val="-3"/>
                <w:sz w:val="20"/>
              </w:rPr>
              <w:t xml:space="preserve"> </w:t>
            </w:r>
            <w:r>
              <w:rPr>
                <w:sz w:val="20"/>
              </w:rPr>
              <w:t>canopy</w:t>
            </w:r>
            <w:r>
              <w:rPr>
                <w:spacing w:val="-3"/>
                <w:sz w:val="20"/>
              </w:rPr>
              <w:t xml:space="preserve"> </w:t>
            </w:r>
            <w:r>
              <w:rPr>
                <w:sz w:val="20"/>
              </w:rPr>
              <w:t>with</w:t>
            </w:r>
            <w:r>
              <w:rPr>
                <w:spacing w:val="-3"/>
                <w:sz w:val="20"/>
              </w:rPr>
              <w:t xml:space="preserve"> </w:t>
            </w:r>
            <w:r>
              <w:rPr>
                <w:sz w:val="20"/>
              </w:rPr>
              <w:t>nozzle</w:t>
            </w:r>
            <w:r>
              <w:rPr>
                <w:spacing w:val="-3"/>
                <w:sz w:val="20"/>
              </w:rPr>
              <w:t xml:space="preserve"> </w:t>
            </w:r>
            <w:r>
              <w:rPr>
                <w:sz w:val="20"/>
              </w:rPr>
              <w:t>pointing</w:t>
            </w:r>
            <w:r>
              <w:rPr>
                <w:spacing w:val="-3"/>
                <w:sz w:val="20"/>
              </w:rPr>
              <w:t xml:space="preserve"> </w:t>
            </w:r>
            <w:r>
              <w:rPr>
                <w:sz w:val="20"/>
              </w:rPr>
              <w:t>away from foliage and fruit. Evenly place dispensers at an average density of 2.5 dispensers per</w:t>
            </w:r>
            <w:r>
              <w:rPr>
                <w:spacing w:val="-3"/>
                <w:sz w:val="20"/>
              </w:rPr>
              <w:t xml:space="preserve"> </w:t>
            </w:r>
            <w:r>
              <w:rPr>
                <w:sz w:val="20"/>
              </w:rPr>
              <w:t>hectare,</w:t>
            </w:r>
            <w:r>
              <w:rPr>
                <w:spacing w:val="-3"/>
                <w:sz w:val="20"/>
              </w:rPr>
              <w:t xml:space="preserve"> </w:t>
            </w:r>
            <w:r>
              <w:rPr>
                <w:sz w:val="20"/>
              </w:rPr>
              <w:t>placing</w:t>
            </w:r>
            <w:r>
              <w:rPr>
                <w:spacing w:val="-3"/>
                <w:sz w:val="20"/>
              </w:rPr>
              <w:t xml:space="preserve"> </w:t>
            </w:r>
            <w:r>
              <w:rPr>
                <w:sz w:val="20"/>
              </w:rPr>
              <w:t>up</w:t>
            </w:r>
            <w:r>
              <w:rPr>
                <w:spacing w:val="-3"/>
                <w:sz w:val="20"/>
              </w:rPr>
              <w:t xml:space="preserve"> </w:t>
            </w:r>
            <w:r>
              <w:rPr>
                <w:sz w:val="20"/>
              </w:rPr>
              <w:t>to</w:t>
            </w:r>
            <w:r>
              <w:rPr>
                <w:spacing w:val="-3"/>
                <w:sz w:val="20"/>
              </w:rPr>
              <w:t xml:space="preserve"> </w:t>
            </w:r>
            <w:r>
              <w:rPr>
                <w:sz w:val="20"/>
              </w:rPr>
              <w:t>5</w:t>
            </w:r>
            <w:r>
              <w:rPr>
                <w:spacing w:val="-3"/>
                <w:sz w:val="20"/>
              </w:rPr>
              <w:t xml:space="preserve"> </w:t>
            </w:r>
            <w:r>
              <w:rPr>
                <w:sz w:val="20"/>
              </w:rPr>
              <w:t>dispensers</w:t>
            </w:r>
            <w:r>
              <w:rPr>
                <w:spacing w:val="-3"/>
                <w:sz w:val="20"/>
              </w:rPr>
              <w:t xml:space="preserve"> </w:t>
            </w:r>
            <w:r>
              <w:rPr>
                <w:sz w:val="20"/>
              </w:rPr>
              <w:t>per</w:t>
            </w:r>
            <w:r>
              <w:rPr>
                <w:spacing w:val="-3"/>
                <w:sz w:val="20"/>
              </w:rPr>
              <w:t xml:space="preserve"> </w:t>
            </w:r>
            <w:r>
              <w:rPr>
                <w:sz w:val="20"/>
              </w:rPr>
              <w:t>hectare,</w:t>
            </w:r>
            <w:r>
              <w:rPr>
                <w:spacing w:val="-3"/>
                <w:sz w:val="20"/>
              </w:rPr>
              <w:t xml:space="preserve"> </w:t>
            </w:r>
            <w:r>
              <w:rPr>
                <w:sz w:val="20"/>
              </w:rPr>
              <w:t>and</w:t>
            </w:r>
            <w:r>
              <w:rPr>
                <w:spacing w:val="-3"/>
                <w:sz w:val="20"/>
              </w:rPr>
              <w:t xml:space="preserve"> </w:t>
            </w:r>
            <w:r>
              <w:rPr>
                <w:sz w:val="20"/>
              </w:rPr>
              <w:t>down</w:t>
            </w:r>
            <w:r>
              <w:rPr>
                <w:spacing w:val="-3"/>
                <w:sz w:val="20"/>
              </w:rPr>
              <w:t xml:space="preserve"> </w:t>
            </w:r>
            <w:r>
              <w:rPr>
                <w:sz w:val="20"/>
              </w:rPr>
              <w:t>to</w:t>
            </w:r>
            <w:r>
              <w:rPr>
                <w:spacing w:val="-3"/>
                <w:sz w:val="20"/>
              </w:rPr>
              <w:t xml:space="preserve"> </w:t>
            </w:r>
            <w:r>
              <w:rPr>
                <w:sz w:val="20"/>
              </w:rPr>
              <w:t>1</w:t>
            </w:r>
            <w:r>
              <w:rPr>
                <w:spacing w:val="-3"/>
                <w:sz w:val="20"/>
              </w:rPr>
              <w:t xml:space="preserve"> </w:t>
            </w:r>
            <w:r>
              <w:rPr>
                <w:sz w:val="20"/>
              </w:rPr>
              <w:t>dispenser</w:t>
            </w:r>
            <w:r>
              <w:rPr>
                <w:spacing w:val="-3"/>
                <w:sz w:val="20"/>
              </w:rPr>
              <w:t xml:space="preserve"> </w:t>
            </w:r>
            <w:r>
              <w:rPr>
                <w:sz w:val="20"/>
              </w:rPr>
              <w:t>per</w:t>
            </w:r>
            <w:r>
              <w:rPr>
                <w:spacing w:val="-3"/>
                <w:sz w:val="20"/>
              </w:rPr>
              <w:t xml:space="preserve"> </w:t>
            </w:r>
            <w:r>
              <w:rPr>
                <w:sz w:val="20"/>
              </w:rPr>
              <w:t xml:space="preserve">hectare, with standard dosing levels between 400g and 2000 g of </w:t>
            </w:r>
            <w:proofErr w:type="spellStart"/>
            <w:r>
              <w:rPr>
                <w:sz w:val="20"/>
              </w:rPr>
              <w:t>Semios</w:t>
            </w:r>
            <w:proofErr w:type="spellEnd"/>
            <w:r>
              <w:rPr>
                <w:sz w:val="20"/>
              </w:rPr>
              <w:t xml:space="preserve"> </w:t>
            </w:r>
            <w:r w:rsidR="00CD19CB">
              <w:rPr>
                <w:sz w:val="20"/>
              </w:rPr>
              <w:t>Carob</w:t>
            </w:r>
            <w:r w:rsidR="00CD19CB">
              <w:rPr>
                <w:spacing w:val="-3"/>
                <w:sz w:val="20"/>
              </w:rPr>
              <w:t xml:space="preserve"> </w:t>
            </w:r>
            <w:r w:rsidR="00CD19CB">
              <w:rPr>
                <w:sz w:val="20"/>
              </w:rPr>
              <w:t>Moth</w:t>
            </w:r>
            <w:r w:rsidR="00CD19CB">
              <w:rPr>
                <w:spacing w:val="40"/>
                <w:sz w:val="20"/>
              </w:rPr>
              <w:t xml:space="preserve"> </w:t>
            </w:r>
            <w:r>
              <w:rPr>
                <w:sz w:val="20"/>
              </w:rPr>
              <w:t>formulation</w:t>
            </w:r>
          </w:p>
          <w:p w14:paraId="7CC7F240" w14:textId="77777777" w:rsidR="006B149D" w:rsidRDefault="006B149D" w:rsidP="00DD3D04">
            <w:pPr>
              <w:pStyle w:val="TableParagraph"/>
              <w:spacing w:before="4" w:line="249" w:lineRule="auto"/>
              <w:ind w:right="32"/>
              <w:rPr>
                <w:sz w:val="20"/>
              </w:rPr>
            </w:pPr>
            <w:r>
              <w:rPr>
                <w:sz w:val="20"/>
              </w:rPr>
              <w:t xml:space="preserve">per hectare per year. Use higher density under high pest pressure or along orchard/ vineyard edges and facing prevailing winds. Access </w:t>
            </w:r>
            <w:proofErr w:type="spellStart"/>
            <w:r>
              <w:rPr>
                <w:sz w:val="20"/>
              </w:rPr>
              <w:t>Semios</w:t>
            </w:r>
            <w:proofErr w:type="spellEnd"/>
            <w:r>
              <w:rPr>
                <w:sz w:val="20"/>
              </w:rPr>
              <w:t xml:space="preserve"> web-based user interface to commence</w:t>
            </w:r>
            <w:r>
              <w:rPr>
                <w:spacing w:val="-4"/>
                <w:sz w:val="20"/>
              </w:rPr>
              <w:t xml:space="preserve"> </w:t>
            </w:r>
            <w:r>
              <w:rPr>
                <w:sz w:val="20"/>
              </w:rPr>
              <w:t>operation</w:t>
            </w:r>
            <w:r>
              <w:rPr>
                <w:spacing w:val="-4"/>
                <w:sz w:val="20"/>
              </w:rPr>
              <w:t xml:space="preserve"> </w:t>
            </w:r>
            <w:r>
              <w:rPr>
                <w:sz w:val="20"/>
              </w:rPr>
              <w:t>of</w:t>
            </w:r>
            <w:r>
              <w:rPr>
                <w:spacing w:val="-4"/>
                <w:sz w:val="20"/>
              </w:rPr>
              <w:t xml:space="preserve"> </w:t>
            </w:r>
            <w:r>
              <w:rPr>
                <w:sz w:val="20"/>
              </w:rPr>
              <w:t>networked</w:t>
            </w:r>
            <w:r>
              <w:rPr>
                <w:spacing w:val="-4"/>
                <w:sz w:val="20"/>
              </w:rPr>
              <w:t xml:space="preserve"> </w:t>
            </w:r>
            <w:r>
              <w:rPr>
                <w:sz w:val="20"/>
              </w:rPr>
              <w:t>dispensers</w:t>
            </w:r>
            <w:r>
              <w:rPr>
                <w:spacing w:val="-4"/>
                <w:sz w:val="20"/>
              </w:rPr>
              <w:t xml:space="preserve"> </w:t>
            </w:r>
            <w:r>
              <w:rPr>
                <w:sz w:val="20"/>
              </w:rPr>
              <w:t>as</w:t>
            </w:r>
            <w:r>
              <w:rPr>
                <w:spacing w:val="-4"/>
                <w:sz w:val="20"/>
              </w:rPr>
              <w:t xml:space="preserve"> </w:t>
            </w:r>
            <w:r>
              <w:rPr>
                <w:sz w:val="20"/>
              </w:rPr>
              <w:t>moths</w:t>
            </w:r>
            <w:r>
              <w:rPr>
                <w:spacing w:val="-4"/>
                <w:sz w:val="20"/>
              </w:rPr>
              <w:t xml:space="preserve"> </w:t>
            </w:r>
            <w:r>
              <w:rPr>
                <w:sz w:val="20"/>
              </w:rPr>
              <w:t>begin</w:t>
            </w:r>
            <w:r>
              <w:rPr>
                <w:spacing w:val="-4"/>
                <w:sz w:val="20"/>
              </w:rPr>
              <w:t xml:space="preserve"> </w:t>
            </w:r>
            <w:r>
              <w:rPr>
                <w:sz w:val="20"/>
              </w:rPr>
              <w:t>mating/flight</w:t>
            </w:r>
            <w:r>
              <w:rPr>
                <w:spacing w:val="-4"/>
                <w:sz w:val="20"/>
              </w:rPr>
              <w:t xml:space="preserve"> </w:t>
            </w:r>
            <w:r>
              <w:rPr>
                <w:sz w:val="20"/>
              </w:rPr>
              <w:t>activity</w:t>
            </w:r>
            <w:r>
              <w:rPr>
                <w:spacing w:val="-4"/>
                <w:sz w:val="20"/>
              </w:rPr>
              <w:t xml:space="preserve"> </w:t>
            </w:r>
            <w:r>
              <w:rPr>
                <w:sz w:val="20"/>
              </w:rPr>
              <w:t>and</w:t>
            </w:r>
            <w:r>
              <w:rPr>
                <w:spacing w:val="-4"/>
                <w:sz w:val="20"/>
              </w:rPr>
              <w:t xml:space="preserve"> </w:t>
            </w:r>
            <w:r>
              <w:rPr>
                <w:sz w:val="20"/>
              </w:rPr>
              <w:t>turn off dispensers at the end of the season.</w:t>
            </w:r>
          </w:p>
        </w:tc>
      </w:tr>
    </w:tbl>
    <w:p w14:paraId="783AF088" w14:textId="77777777" w:rsidR="006B149D" w:rsidRDefault="006B149D" w:rsidP="003F45F3">
      <w:pPr>
        <w:pStyle w:val="APVMAText"/>
        <w:spacing w:before="120" w:after="0" w:line="240" w:lineRule="auto"/>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248"/>
      </w:tblGrid>
      <w:tr w:rsidR="006B149D" w14:paraId="278CB5EE" w14:textId="77777777" w:rsidTr="006B149D">
        <w:trPr>
          <w:trHeight w:val="440"/>
        </w:trPr>
        <w:tc>
          <w:tcPr>
            <w:tcW w:w="2098" w:type="dxa"/>
          </w:tcPr>
          <w:p w14:paraId="03A66001" w14:textId="77777777" w:rsidR="006B149D" w:rsidRDefault="006B149D" w:rsidP="00DD3D04">
            <w:pPr>
              <w:pStyle w:val="TableParagraph"/>
              <w:ind w:left="84"/>
              <w:rPr>
                <w:sz w:val="20"/>
              </w:rPr>
            </w:pPr>
            <w:r>
              <w:rPr>
                <w:sz w:val="20"/>
              </w:rPr>
              <w:t>Resistance</w:t>
            </w:r>
            <w:r>
              <w:rPr>
                <w:spacing w:val="-10"/>
                <w:sz w:val="20"/>
              </w:rPr>
              <w:t xml:space="preserve"> </w:t>
            </w:r>
            <w:r>
              <w:rPr>
                <w:spacing w:val="-2"/>
                <w:sz w:val="20"/>
              </w:rPr>
              <w:t>Warning:</w:t>
            </w:r>
          </w:p>
        </w:tc>
        <w:tc>
          <w:tcPr>
            <w:tcW w:w="7248" w:type="dxa"/>
          </w:tcPr>
          <w:p w14:paraId="20BDAC6E" w14:textId="77777777" w:rsidR="006B149D" w:rsidRDefault="006B149D" w:rsidP="00DD3D04">
            <w:pPr>
              <w:pStyle w:val="TableParagraph"/>
              <w:spacing w:before="0"/>
              <w:ind w:left="0"/>
              <w:rPr>
                <w:rFonts w:ascii="Times New Roman"/>
                <w:sz w:val="18"/>
              </w:rPr>
            </w:pPr>
          </w:p>
        </w:tc>
      </w:tr>
    </w:tbl>
    <w:p w14:paraId="6D659D72" w14:textId="77777777" w:rsidR="006B149D" w:rsidRDefault="006B149D" w:rsidP="003F45F3">
      <w:pPr>
        <w:pStyle w:val="APVMAText"/>
        <w:spacing w:before="120" w:after="0" w:line="240" w:lineRule="auto"/>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251"/>
      </w:tblGrid>
      <w:tr w:rsidR="006B149D" w14:paraId="3C98F776" w14:textId="77777777" w:rsidTr="006B149D">
        <w:trPr>
          <w:trHeight w:val="585"/>
        </w:trPr>
        <w:tc>
          <w:tcPr>
            <w:tcW w:w="2098" w:type="dxa"/>
            <w:tcBorders>
              <w:right w:val="single" w:sz="6" w:space="0" w:color="000000"/>
            </w:tcBorders>
          </w:tcPr>
          <w:p w14:paraId="2D61E18C" w14:textId="77777777" w:rsidR="006B149D" w:rsidRDefault="006B149D" w:rsidP="00DD3D04">
            <w:pPr>
              <w:pStyle w:val="TableParagraph"/>
              <w:ind w:left="87"/>
              <w:rPr>
                <w:sz w:val="20"/>
              </w:rPr>
            </w:pPr>
            <w:r>
              <w:rPr>
                <w:spacing w:val="-2"/>
                <w:sz w:val="20"/>
              </w:rPr>
              <w:t>Precautions:</w:t>
            </w:r>
          </w:p>
        </w:tc>
        <w:tc>
          <w:tcPr>
            <w:tcW w:w="7251" w:type="dxa"/>
          </w:tcPr>
          <w:p w14:paraId="1F167BD2" w14:textId="77777777" w:rsidR="006B149D" w:rsidRDefault="006B149D" w:rsidP="00DD3D04">
            <w:pPr>
              <w:pStyle w:val="TableParagraph"/>
              <w:rPr>
                <w:sz w:val="20"/>
              </w:rPr>
            </w:pPr>
            <w:r>
              <w:rPr>
                <w:sz w:val="20"/>
              </w:rPr>
              <w:t>When</w:t>
            </w:r>
            <w:r>
              <w:rPr>
                <w:spacing w:val="-7"/>
                <w:sz w:val="20"/>
              </w:rPr>
              <w:t xml:space="preserve"> </w:t>
            </w:r>
            <w:r>
              <w:rPr>
                <w:sz w:val="20"/>
              </w:rPr>
              <w:t>handling</w:t>
            </w:r>
            <w:r>
              <w:rPr>
                <w:spacing w:val="-6"/>
                <w:sz w:val="20"/>
              </w:rPr>
              <w:t xml:space="preserve"> </w:t>
            </w:r>
            <w:r>
              <w:rPr>
                <w:sz w:val="20"/>
              </w:rPr>
              <w:t>spent</w:t>
            </w:r>
            <w:r>
              <w:rPr>
                <w:spacing w:val="-6"/>
                <w:sz w:val="20"/>
              </w:rPr>
              <w:t xml:space="preserve"> </w:t>
            </w:r>
            <w:r>
              <w:rPr>
                <w:sz w:val="20"/>
              </w:rPr>
              <w:t>canisters,</w:t>
            </w:r>
            <w:r>
              <w:rPr>
                <w:spacing w:val="-7"/>
                <w:sz w:val="20"/>
              </w:rPr>
              <w:t xml:space="preserve"> </w:t>
            </w:r>
            <w:r>
              <w:rPr>
                <w:sz w:val="20"/>
              </w:rPr>
              <w:t>wear</w:t>
            </w:r>
            <w:r>
              <w:rPr>
                <w:spacing w:val="-6"/>
                <w:sz w:val="20"/>
              </w:rPr>
              <w:t xml:space="preserve"> </w:t>
            </w:r>
            <w:r>
              <w:rPr>
                <w:sz w:val="20"/>
              </w:rPr>
              <w:t>disposable</w:t>
            </w:r>
            <w:r>
              <w:rPr>
                <w:spacing w:val="-6"/>
                <w:sz w:val="20"/>
              </w:rPr>
              <w:t xml:space="preserve"> </w:t>
            </w:r>
            <w:r>
              <w:rPr>
                <w:spacing w:val="-2"/>
                <w:sz w:val="20"/>
              </w:rPr>
              <w:t>gloves.</w:t>
            </w:r>
          </w:p>
        </w:tc>
      </w:tr>
    </w:tbl>
    <w:p w14:paraId="00952E7C" w14:textId="77777777" w:rsidR="006B149D" w:rsidRDefault="006B149D" w:rsidP="003F45F3">
      <w:pPr>
        <w:pStyle w:val="APVMAText"/>
        <w:spacing w:before="120" w:after="0" w:line="240" w:lineRule="auto"/>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248"/>
      </w:tblGrid>
      <w:tr w:rsidR="006B149D" w14:paraId="5B0E37BB" w14:textId="77777777" w:rsidTr="006B149D">
        <w:trPr>
          <w:trHeight w:val="1600"/>
        </w:trPr>
        <w:tc>
          <w:tcPr>
            <w:tcW w:w="2098" w:type="dxa"/>
          </w:tcPr>
          <w:p w14:paraId="7624F36E" w14:textId="77777777" w:rsidR="006B149D" w:rsidRDefault="006B149D" w:rsidP="00DD3D04">
            <w:pPr>
              <w:pStyle w:val="TableParagraph"/>
              <w:ind w:left="84"/>
              <w:rPr>
                <w:sz w:val="20"/>
              </w:rPr>
            </w:pPr>
            <w:r>
              <w:rPr>
                <w:spacing w:val="-2"/>
                <w:sz w:val="20"/>
              </w:rPr>
              <w:t>Protections:</w:t>
            </w:r>
          </w:p>
        </w:tc>
        <w:tc>
          <w:tcPr>
            <w:tcW w:w="7248" w:type="dxa"/>
          </w:tcPr>
          <w:p w14:paraId="029BBF7F" w14:textId="77777777" w:rsidR="006B149D" w:rsidRDefault="006B149D" w:rsidP="00DD3D04">
            <w:pPr>
              <w:pStyle w:val="TableParagraph"/>
              <w:ind w:left="204"/>
              <w:rPr>
                <w:sz w:val="20"/>
              </w:rPr>
            </w:pPr>
            <w:r>
              <w:rPr>
                <w:sz w:val="20"/>
              </w:rPr>
              <w:t>PROTECTION</w:t>
            </w:r>
            <w:r>
              <w:rPr>
                <w:spacing w:val="-5"/>
                <w:sz w:val="20"/>
              </w:rPr>
              <w:t xml:space="preserve"> </w:t>
            </w:r>
            <w:r>
              <w:rPr>
                <w:sz w:val="20"/>
              </w:rPr>
              <w:t>OF</w:t>
            </w:r>
            <w:r>
              <w:rPr>
                <w:spacing w:val="-5"/>
                <w:sz w:val="20"/>
              </w:rPr>
              <w:t xml:space="preserve"> </w:t>
            </w:r>
            <w:proofErr w:type="gramStart"/>
            <w:r>
              <w:rPr>
                <w:sz w:val="20"/>
              </w:rPr>
              <w:t>HONEY</w:t>
            </w:r>
            <w:r>
              <w:rPr>
                <w:spacing w:val="-5"/>
                <w:sz w:val="20"/>
              </w:rPr>
              <w:t xml:space="preserve"> </w:t>
            </w:r>
            <w:r>
              <w:rPr>
                <w:sz w:val="20"/>
              </w:rPr>
              <w:t>BEES</w:t>
            </w:r>
            <w:proofErr w:type="gramEnd"/>
            <w:r>
              <w:rPr>
                <w:spacing w:val="-5"/>
                <w:sz w:val="20"/>
              </w:rPr>
              <w:t xml:space="preserve"> </w:t>
            </w:r>
            <w:r>
              <w:rPr>
                <w:sz w:val="20"/>
              </w:rPr>
              <w:t>AND</w:t>
            </w:r>
            <w:r>
              <w:rPr>
                <w:spacing w:val="-5"/>
                <w:sz w:val="20"/>
              </w:rPr>
              <w:t xml:space="preserve"> </w:t>
            </w:r>
            <w:r>
              <w:rPr>
                <w:sz w:val="20"/>
              </w:rPr>
              <w:t>OTHER</w:t>
            </w:r>
            <w:r>
              <w:rPr>
                <w:spacing w:val="-5"/>
                <w:sz w:val="20"/>
              </w:rPr>
              <w:t xml:space="preserve"> </w:t>
            </w:r>
            <w:r>
              <w:rPr>
                <w:sz w:val="20"/>
              </w:rPr>
              <w:t>INSECT</w:t>
            </w:r>
            <w:r>
              <w:rPr>
                <w:spacing w:val="-5"/>
                <w:sz w:val="20"/>
              </w:rPr>
              <w:t xml:space="preserve"> </w:t>
            </w:r>
            <w:r>
              <w:rPr>
                <w:spacing w:val="-2"/>
                <w:sz w:val="20"/>
              </w:rPr>
              <w:t>POLLINATORS</w:t>
            </w:r>
          </w:p>
          <w:p w14:paraId="2C0E25CF" w14:textId="77777777" w:rsidR="006B149D" w:rsidRDefault="006B149D" w:rsidP="00DD3D04">
            <w:pPr>
              <w:pStyle w:val="TableParagraph"/>
              <w:spacing w:before="10"/>
              <w:ind w:left="204"/>
              <w:rPr>
                <w:sz w:val="20"/>
              </w:rPr>
            </w:pPr>
            <w:r>
              <w:rPr>
                <w:sz w:val="20"/>
              </w:rPr>
              <w:t>Low</w:t>
            </w:r>
            <w:r>
              <w:rPr>
                <w:spacing w:val="-4"/>
                <w:sz w:val="20"/>
              </w:rPr>
              <w:t xml:space="preserve"> </w:t>
            </w:r>
            <w:r>
              <w:rPr>
                <w:sz w:val="20"/>
              </w:rPr>
              <w:t>hazard</w:t>
            </w:r>
            <w:r>
              <w:rPr>
                <w:spacing w:val="-4"/>
                <w:sz w:val="20"/>
              </w:rPr>
              <w:t xml:space="preserve"> </w:t>
            </w:r>
            <w:r>
              <w:rPr>
                <w:sz w:val="20"/>
              </w:rPr>
              <w:t>to</w:t>
            </w:r>
            <w:r>
              <w:rPr>
                <w:spacing w:val="-3"/>
                <w:sz w:val="20"/>
              </w:rPr>
              <w:t xml:space="preserve"> </w:t>
            </w:r>
            <w:r>
              <w:rPr>
                <w:spacing w:val="-2"/>
                <w:sz w:val="20"/>
              </w:rPr>
              <w:t>bees.</w:t>
            </w:r>
          </w:p>
          <w:p w14:paraId="35CD324C" w14:textId="77777777" w:rsidR="006B149D" w:rsidRDefault="006B149D" w:rsidP="00DD3D04">
            <w:pPr>
              <w:pStyle w:val="TableParagraph"/>
              <w:spacing w:before="20"/>
              <w:ind w:left="0"/>
              <w:rPr>
                <w:sz w:val="20"/>
              </w:rPr>
            </w:pPr>
          </w:p>
          <w:p w14:paraId="1C0F4BA7" w14:textId="77777777" w:rsidR="006B149D" w:rsidRDefault="006B149D" w:rsidP="00DD3D04">
            <w:pPr>
              <w:pStyle w:val="TableParagraph"/>
              <w:spacing w:before="0"/>
              <w:ind w:left="204"/>
              <w:rPr>
                <w:sz w:val="20"/>
              </w:rPr>
            </w:pPr>
            <w:r>
              <w:rPr>
                <w:sz w:val="20"/>
              </w:rPr>
              <w:t>PROTECTION</w:t>
            </w:r>
            <w:r>
              <w:rPr>
                <w:spacing w:val="-7"/>
                <w:sz w:val="20"/>
              </w:rPr>
              <w:t xml:space="preserve"> </w:t>
            </w:r>
            <w:r>
              <w:rPr>
                <w:sz w:val="20"/>
              </w:rPr>
              <w:t>OF</w:t>
            </w:r>
            <w:r>
              <w:rPr>
                <w:spacing w:val="-7"/>
                <w:sz w:val="20"/>
              </w:rPr>
              <w:t xml:space="preserve"> </w:t>
            </w:r>
            <w:r>
              <w:rPr>
                <w:sz w:val="20"/>
              </w:rPr>
              <w:t>WILDLIFE,</w:t>
            </w:r>
            <w:r>
              <w:rPr>
                <w:spacing w:val="-6"/>
                <w:sz w:val="20"/>
              </w:rPr>
              <w:t xml:space="preserve"> </w:t>
            </w:r>
            <w:r>
              <w:rPr>
                <w:sz w:val="20"/>
              </w:rPr>
              <w:t>FISH,</w:t>
            </w:r>
            <w:r>
              <w:rPr>
                <w:spacing w:val="-7"/>
                <w:sz w:val="20"/>
              </w:rPr>
              <w:t xml:space="preserve"> </w:t>
            </w:r>
            <w:r>
              <w:rPr>
                <w:sz w:val="20"/>
              </w:rPr>
              <w:t>CRUSTACEANS</w:t>
            </w:r>
            <w:r>
              <w:rPr>
                <w:spacing w:val="-7"/>
                <w:sz w:val="20"/>
              </w:rPr>
              <w:t xml:space="preserve"> </w:t>
            </w:r>
            <w:r>
              <w:rPr>
                <w:sz w:val="20"/>
              </w:rPr>
              <w:t>AND</w:t>
            </w:r>
            <w:r>
              <w:rPr>
                <w:spacing w:val="-6"/>
                <w:sz w:val="20"/>
              </w:rPr>
              <w:t xml:space="preserve"> </w:t>
            </w:r>
            <w:r>
              <w:rPr>
                <w:spacing w:val="-2"/>
                <w:sz w:val="20"/>
              </w:rPr>
              <w:t>ENVIRONMENT:</w:t>
            </w:r>
          </w:p>
          <w:p w14:paraId="11D6086F" w14:textId="7E0BA486" w:rsidR="006B149D" w:rsidRDefault="006B149D" w:rsidP="00DD3D04">
            <w:pPr>
              <w:pStyle w:val="TableParagraph"/>
              <w:spacing w:before="10" w:line="249" w:lineRule="auto"/>
              <w:ind w:left="204" w:right="360"/>
              <w:rPr>
                <w:sz w:val="20"/>
              </w:rPr>
            </w:pPr>
            <w:r>
              <w:rPr>
                <w:sz w:val="20"/>
              </w:rPr>
              <w:t>DO</w:t>
            </w:r>
            <w:r>
              <w:rPr>
                <w:spacing w:val="-4"/>
                <w:sz w:val="20"/>
              </w:rPr>
              <w:t xml:space="preserve"> </w:t>
            </w:r>
            <w:r>
              <w:rPr>
                <w:sz w:val="20"/>
              </w:rPr>
              <w:t>NOT</w:t>
            </w:r>
            <w:r>
              <w:rPr>
                <w:spacing w:val="-4"/>
                <w:sz w:val="20"/>
              </w:rPr>
              <w:t xml:space="preserve"> </w:t>
            </w:r>
            <w:r>
              <w:rPr>
                <w:sz w:val="20"/>
              </w:rPr>
              <w:t>contaminate</w:t>
            </w:r>
            <w:r>
              <w:rPr>
                <w:spacing w:val="-4"/>
                <w:sz w:val="20"/>
              </w:rPr>
              <w:t xml:space="preserve"> </w:t>
            </w:r>
            <w:r>
              <w:rPr>
                <w:sz w:val="20"/>
              </w:rPr>
              <w:t>streams,</w:t>
            </w:r>
            <w:r>
              <w:rPr>
                <w:spacing w:val="-4"/>
                <w:sz w:val="20"/>
              </w:rPr>
              <w:t xml:space="preserve"> </w:t>
            </w:r>
            <w:r>
              <w:rPr>
                <w:sz w:val="20"/>
              </w:rPr>
              <w:t>rivers</w:t>
            </w:r>
            <w:r>
              <w:rPr>
                <w:spacing w:val="-4"/>
                <w:sz w:val="20"/>
              </w:rPr>
              <w:t xml:space="preserve"> </w:t>
            </w:r>
            <w:r>
              <w:rPr>
                <w:sz w:val="20"/>
              </w:rPr>
              <w:t>or</w:t>
            </w:r>
            <w:r>
              <w:rPr>
                <w:spacing w:val="-4"/>
                <w:sz w:val="20"/>
              </w:rPr>
              <w:t xml:space="preserve"> </w:t>
            </w:r>
            <w:r>
              <w:rPr>
                <w:sz w:val="20"/>
              </w:rPr>
              <w:t>watercourses</w:t>
            </w:r>
            <w:r>
              <w:rPr>
                <w:spacing w:val="-4"/>
                <w:sz w:val="20"/>
              </w:rPr>
              <w:t xml:space="preserve"> </w:t>
            </w:r>
            <w:r>
              <w:rPr>
                <w:sz w:val="20"/>
              </w:rPr>
              <w:t>with</w:t>
            </w:r>
            <w:r>
              <w:rPr>
                <w:spacing w:val="-4"/>
                <w:sz w:val="20"/>
              </w:rPr>
              <w:t xml:space="preserve"> </w:t>
            </w:r>
            <w:r w:rsidR="00CD19CB">
              <w:rPr>
                <w:sz w:val="20"/>
              </w:rPr>
              <w:t>chemical</w:t>
            </w:r>
            <w:r>
              <w:rPr>
                <w:spacing w:val="-4"/>
                <w:sz w:val="20"/>
              </w:rPr>
              <w:t xml:space="preserve"> </w:t>
            </w:r>
            <w:r>
              <w:rPr>
                <w:sz w:val="20"/>
              </w:rPr>
              <w:t>or</w:t>
            </w:r>
            <w:r>
              <w:rPr>
                <w:spacing w:val="-4"/>
                <w:sz w:val="20"/>
              </w:rPr>
              <w:t xml:space="preserve"> </w:t>
            </w:r>
            <w:r>
              <w:rPr>
                <w:sz w:val="20"/>
              </w:rPr>
              <w:t xml:space="preserve">used </w:t>
            </w:r>
            <w:r>
              <w:rPr>
                <w:spacing w:val="-2"/>
                <w:sz w:val="20"/>
              </w:rPr>
              <w:t>containers.</w:t>
            </w:r>
          </w:p>
        </w:tc>
      </w:tr>
    </w:tbl>
    <w:p w14:paraId="65A11EB3" w14:textId="77777777" w:rsidR="006B149D" w:rsidRDefault="006B149D" w:rsidP="003F45F3">
      <w:pPr>
        <w:pStyle w:val="APVMAText"/>
        <w:spacing w:before="120" w:after="0" w:line="240" w:lineRule="auto"/>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248"/>
      </w:tblGrid>
      <w:tr w:rsidR="006B149D" w14:paraId="74E29B4D" w14:textId="77777777" w:rsidTr="006B149D">
        <w:trPr>
          <w:trHeight w:val="1120"/>
        </w:trPr>
        <w:tc>
          <w:tcPr>
            <w:tcW w:w="2098" w:type="dxa"/>
          </w:tcPr>
          <w:p w14:paraId="7123AB11" w14:textId="77777777" w:rsidR="006B149D" w:rsidRDefault="006B149D" w:rsidP="00DD3D04">
            <w:pPr>
              <w:pStyle w:val="TableParagraph"/>
              <w:spacing w:before="63" w:line="249" w:lineRule="auto"/>
              <w:ind w:left="84" w:right="908"/>
              <w:rPr>
                <w:sz w:val="20"/>
              </w:rPr>
            </w:pPr>
            <w:r>
              <w:rPr>
                <w:sz w:val="20"/>
              </w:rPr>
              <w:t>Storage</w:t>
            </w:r>
            <w:r>
              <w:rPr>
                <w:spacing w:val="-14"/>
                <w:sz w:val="20"/>
              </w:rPr>
              <w:t xml:space="preserve"> </w:t>
            </w:r>
            <w:r>
              <w:rPr>
                <w:sz w:val="20"/>
              </w:rPr>
              <w:t xml:space="preserve">and </w:t>
            </w:r>
            <w:r>
              <w:rPr>
                <w:spacing w:val="-2"/>
                <w:sz w:val="20"/>
              </w:rPr>
              <w:t>Disposal:</w:t>
            </w:r>
          </w:p>
        </w:tc>
        <w:tc>
          <w:tcPr>
            <w:tcW w:w="7248" w:type="dxa"/>
          </w:tcPr>
          <w:p w14:paraId="0066968D" w14:textId="77777777" w:rsidR="006B149D" w:rsidRDefault="006B149D" w:rsidP="00DD3D04">
            <w:pPr>
              <w:pStyle w:val="TableParagraph"/>
              <w:spacing w:before="63"/>
              <w:ind w:left="204"/>
              <w:rPr>
                <w:sz w:val="20"/>
              </w:rPr>
            </w:pPr>
            <w:r>
              <w:rPr>
                <w:sz w:val="20"/>
              </w:rPr>
              <w:t>STORAGE</w:t>
            </w:r>
            <w:r>
              <w:rPr>
                <w:spacing w:val="-5"/>
                <w:sz w:val="20"/>
              </w:rPr>
              <w:t xml:space="preserve"> </w:t>
            </w:r>
            <w:r>
              <w:rPr>
                <w:sz w:val="20"/>
              </w:rPr>
              <w:t>AND</w:t>
            </w:r>
            <w:r>
              <w:rPr>
                <w:spacing w:val="-5"/>
                <w:sz w:val="20"/>
              </w:rPr>
              <w:t xml:space="preserve"> </w:t>
            </w:r>
            <w:r>
              <w:rPr>
                <w:spacing w:val="-2"/>
                <w:sz w:val="20"/>
              </w:rPr>
              <w:t>DISPOSAL</w:t>
            </w:r>
          </w:p>
          <w:p w14:paraId="7AAA5DEF" w14:textId="77777777" w:rsidR="006B149D" w:rsidRDefault="006B149D" w:rsidP="00DD3D04">
            <w:pPr>
              <w:pStyle w:val="TableParagraph"/>
              <w:spacing w:before="10" w:line="249" w:lineRule="auto"/>
              <w:ind w:left="204" w:right="162"/>
              <w:rPr>
                <w:sz w:val="20"/>
              </w:rPr>
            </w:pPr>
            <w:r>
              <w:rPr>
                <w:sz w:val="20"/>
              </w:rPr>
              <w:t>Keep in a cool place out of the sun, and out of the reach of children. Do not incinerate or puncture</w:t>
            </w:r>
            <w:r>
              <w:rPr>
                <w:spacing w:val="-3"/>
                <w:sz w:val="20"/>
              </w:rPr>
              <w:t xml:space="preserve"> </w:t>
            </w:r>
            <w:r>
              <w:rPr>
                <w:sz w:val="20"/>
              </w:rPr>
              <w:t>this</w:t>
            </w:r>
            <w:r>
              <w:rPr>
                <w:spacing w:val="-3"/>
                <w:sz w:val="20"/>
              </w:rPr>
              <w:t xml:space="preserve"> </w:t>
            </w:r>
            <w:r>
              <w:rPr>
                <w:sz w:val="20"/>
              </w:rPr>
              <w:t>can,</w:t>
            </w:r>
            <w:r>
              <w:rPr>
                <w:spacing w:val="-3"/>
                <w:sz w:val="20"/>
              </w:rPr>
              <w:t xml:space="preserve"> </w:t>
            </w:r>
            <w:r>
              <w:rPr>
                <w:sz w:val="20"/>
              </w:rPr>
              <w:t>even</w:t>
            </w:r>
            <w:r>
              <w:rPr>
                <w:spacing w:val="-3"/>
                <w:sz w:val="20"/>
              </w:rPr>
              <w:t xml:space="preserve"> </w:t>
            </w:r>
            <w:r>
              <w:rPr>
                <w:sz w:val="20"/>
              </w:rPr>
              <w:t>when</w:t>
            </w:r>
            <w:r>
              <w:rPr>
                <w:spacing w:val="-3"/>
                <w:sz w:val="20"/>
              </w:rPr>
              <w:t xml:space="preserve"> </w:t>
            </w:r>
            <w:r>
              <w:rPr>
                <w:sz w:val="20"/>
              </w:rPr>
              <w:t>empty.</w:t>
            </w:r>
            <w:r>
              <w:rPr>
                <w:spacing w:val="-3"/>
                <w:sz w:val="20"/>
              </w:rPr>
              <w:t xml:space="preserve"> </w:t>
            </w:r>
            <w:r>
              <w:rPr>
                <w:sz w:val="20"/>
              </w:rPr>
              <w:t>Dispose</w:t>
            </w:r>
            <w:r>
              <w:rPr>
                <w:spacing w:val="-3"/>
                <w:sz w:val="20"/>
              </w:rPr>
              <w:t xml:space="preserve"> </w:t>
            </w:r>
            <w:r>
              <w:rPr>
                <w:sz w:val="20"/>
              </w:rPr>
              <w:t>of</w:t>
            </w:r>
            <w:r>
              <w:rPr>
                <w:spacing w:val="-3"/>
                <w:sz w:val="20"/>
              </w:rPr>
              <w:t xml:space="preserve"> </w:t>
            </w:r>
            <w:r>
              <w:rPr>
                <w:sz w:val="20"/>
              </w:rPr>
              <w:t>can</w:t>
            </w:r>
            <w:r>
              <w:rPr>
                <w:spacing w:val="-3"/>
                <w:sz w:val="20"/>
              </w:rPr>
              <w:t xml:space="preserve"> </w:t>
            </w:r>
            <w:r>
              <w:rPr>
                <w:sz w:val="20"/>
              </w:rPr>
              <w:t>by</w:t>
            </w:r>
            <w:r>
              <w:rPr>
                <w:spacing w:val="-3"/>
                <w:sz w:val="20"/>
              </w:rPr>
              <w:t xml:space="preserve"> </w:t>
            </w:r>
            <w:r>
              <w:rPr>
                <w:sz w:val="20"/>
              </w:rPr>
              <w:t>putting</w:t>
            </w:r>
            <w:r>
              <w:rPr>
                <w:spacing w:val="-3"/>
                <w:sz w:val="20"/>
              </w:rPr>
              <w:t xml:space="preserve"> </w:t>
            </w:r>
            <w:r>
              <w:rPr>
                <w:sz w:val="20"/>
              </w:rPr>
              <w:t>in</w:t>
            </w:r>
            <w:r>
              <w:rPr>
                <w:spacing w:val="-3"/>
                <w:sz w:val="20"/>
              </w:rPr>
              <w:t xml:space="preserve"> </w:t>
            </w:r>
            <w:r>
              <w:rPr>
                <w:sz w:val="20"/>
              </w:rPr>
              <w:t>garbage</w:t>
            </w:r>
            <w:r>
              <w:rPr>
                <w:spacing w:val="-3"/>
                <w:sz w:val="20"/>
              </w:rPr>
              <w:t xml:space="preserve"> </w:t>
            </w:r>
            <w:r>
              <w:rPr>
                <w:sz w:val="20"/>
              </w:rPr>
              <w:t>or</w:t>
            </w:r>
            <w:r>
              <w:rPr>
                <w:spacing w:val="-3"/>
                <w:sz w:val="20"/>
              </w:rPr>
              <w:t xml:space="preserve"> </w:t>
            </w:r>
            <w:r>
              <w:rPr>
                <w:sz w:val="20"/>
              </w:rPr>
              <w:t>leaving</w:t>
            </w:r>
            <w:r>
              <w:rPr>
                <w:spacing w:val="-3"/>
                <w:sz w:val="20"/>
              </w:rPr>
              <w:t xml:space="preserve"> </w:t>
            </w:r>
            <w:r>
              <w:rPr>
                <w:sz w:val="20"/>
              </w:rPr>
              <w:t>it</w:t>
            </w:r>
            <w:r>
              <w:rPr>
                <w:spacing w:val="-3"/>
                <w:sz w:val="20"/>
              </w:rPr>
              <w:t xml:space="preserve"> </w:t>
            </w:r>
            <w:r>
              <w:rPr>
                <w:sz w:val="20"/>
              </w:rPr>
              <w:t>at an appropriate metal recycling collection point.</w:t>
            </w:r>
          </w:p>
        </w:tc>
      </w:tr>
    </w:tbl>
    <w:p w14:paraId="1A5B70FE" w14:textId="77777777" w:rsidR="006B149D" w:rsidRDefault="006B149D" w:rsidP="003F45F3">
      <w:pPr>
        <w:pStyle w:val="APVMAText"/>
        <w:spacing w:before="120" w:after="0" w:line="240" w:lineRule="auto"/>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251"/>
      </w:tblGrid>
      <w:tr w:rsidR="006B149D" w14:paraId="1CCDD64F" w14:textId="77777777" w:rsidTr="006B149D">
        <w:trPr>
          <w:trHeight w:val="995"/>
        </w:trPr>
        <w:tc>
          <w:tcPr>
            <w:tcW w:w="2098" w:type="dxa"/>
            <w:tcBorders>
              <w:right w:val="single" w:sz="6" w:space="0" w:color="000000"/>
            </w:tcBorders>
          </w:tcPr>
          <w:p w14:paraId="53B0BD2F" w14:textId="77777777" w:rsidR="006B149D" w:rsidRDefault="006B149D" w:rsidP="00DD3D04">
            <w:pPr>
              <w:pStyle w:val="TableParagraph"/>
              <w:spacing w:before="63"/>
              <w:ind w:left="87"/>
              <w:rPr>
                <w:sz w:val="20"/>
              </w:rPr>
            </w:pPr>
            <w:r>
              <w:rPr>
                <w:sz w:val="20"/>
              </w:rPr>
              <w:t>Safety</w:t>
            </w:r>
            <w:r>
              <w:rPr>
                <w:spacing w:val="-1"/>
                <w:sz w:val="20"/>
              </w:rPr>
              <w:t xml:space="preserve"> </w:t>
            </w:r>
            <w:r>
              <w:rPr>
                <w:spacing w:val="-2"/>
                <w:sz w:val="20"/>
              </w:rPr>
              <w:t>Directions:</w:t>
            </w:r>
          </w:p>
        </w:tc>
        <w:tc>
          <w:tcPr>
            <w:tcW w:w="7251" w:type="dxa"/>
          </w:tcPr>
          <w:p w14:paraId="3E56A391" w14:textId="104544B7" w:rsidR="006B149D" w:rsidRDefault="006B149D" w:rsidP="00DD3D04">
            <w:pPr>
              <w:pStyle w:val="TableParagraph"/>
              <w:spacing w:before="7" w:line="249" w:lineRule="auto"/>
              <w:ind w:right="156"/>
              <w:rPr>
                <w:sz w:val="20"/>
              </w:rPr>
            </w:pPr>
            <w:r>
              <w:rPr>
                <w:sz w:val="20"/>
              </w:rPr>
              <w:t>Will irritate the eyes. May irritate the skin. Repeated exposure may cause allergic disorders.</w:t>
            </w:r>
            <w:r>
              <w:rPr>
                <w:spacing w:val="-3"/>
                <w:sz w:val="20"/>
              </w:rPr>
              <w:t xml:space="preserve"> </w:t>
            </w:r>
            <w:r>
              <w:rPr>
                <w:sz w:val="20"/>
              </w:rPr>
              <w:t>Avoid</w:t>
            </w:r>
            <w:r>
              <w:rPr>
                <w:spacing w:val="-3"/>
                <w:sz w:val="20"/>
              </w:rPr>
              <w:t xml:space="preserve"> </w:t>
            </w:r>
            <w:r>
              <w:rPr>
                <w:sz w:val="20"/>
              </w:rPr>
              <w:t>contact</w:t>
            </w:r>
            <w:r>
              <w:rPr>
                <w:spacing w:val="-3"/>
                <w:sz w:val="20"/>
              </w:rPr>
              <w:t xml:space="preserve"> </w:t>
            </w:r>
            <w:r>
              <w:rPr>
                <w:sz w:val="20"/>
              </w:rPr>
              <w:t>with</w:t>
            </w:r>
            <w:r>
              <w:rPr>
                <w:spacing w:val="-3"/>
                <w:sz w:val="20"/>
              </w:rPr>
              <w:t xml:space="preserve"> </w:t>
            </w:r>
            <w:r>
              <w:rPr>
                <w:sz w:val="20"/>
              </w:rPr>
              <w:t>skin</w:t>
            </w:r>
            <w:r>
              <w:rPr>
                <w:spacing w:val="-3"/>
                <w:sz w:val="20"/>
              </w:rPr>
              <w:t xml:space="preserve"> </w:t>
            </w:r>
            <w:r>
              <w:rPr>
                <w:sz w:val="20"/>
              </w:rPr>
              <w:t>and</w:t>
            </w:r>
            <w:r>
              <w:rPr>
                <w:spacing w:val="-3"/>
                <w:sz w:val="20"/>
              </w:rPr>
              <w:t xml:space="preserve"> </w:t>
            </w:r>
            <w:r>
              <w:rPr>
                <w:sz w:val="20"/>
              </w:rPr>
              <w:t>eyes.</w:t>
            </w:r>
            <w:r>
              <w:rPr>
                <w:spacing w:val="-3"/>
                <w:sz w:val="20"/>
              </w:rPr>
              <w:t xml:space="preserve"> </w:t>
            </w:r>
            <w:r>
              <w:rPr>
                <w:sz w:val="20"/>
              </w:rPr>
              <w:t>Do</w:t>
            </w:r>
            <w:r>
              <w:rPr>
                <w:spacing w:val="-3"/>
                <w:sz w:val="20"/>
              </w:rPr>
              <w:t xml:space="preserve"> </w:t>
            </w:r>
            <w:r>
              <w:rPr>
                <w:sz w:val="20"/>
              </w:rPr>
              <w:t>not</w:t>
            </w:r>
            <w:r>
              <w:rPr>
                <w:spacing w:val="-3"/>
                <w:sz w:val="20"/>
              </w:rPr>
              <w:t xml:space="preserve"> </w:t>
            </w:r>
            <w:r>
              <w:rPr>
                <w:sz w:val="20"/>
              </w:rPr>
              <w:t>inhale</w:t>
            </w:r>
            <w:r>
              <w:rPr>
                <w:spacing w:val="-3"/>
                <w:sz w:val="20"/>
              </w:rPr>
              <w:t xml:space="preserve"> </w:t>
            </w:r>
            <w:r>
              <w:rPr>
                <w:sz w:val="20"/>
              </w:rPr>
              <w:t>spray</w:t>
            </w:r>
            <w:r>
              <w:rPr>
                <w:spacing w:val="-3"/>
                <w:sz w:val="20"/>
              </w:rPr>
              <w:t xml:space="preserve"> </w:t>
            </w:r>
            <w:r>
              <w:rPr>
                <w:sz w:val="20"/>
              </w:rPr>
              <w:t>mist.</w:t>
            </w:r>
            <w:r>
              <w:rPr>
                <w:spacing w:val="-3"/>
                <w:sz w:val="20"/>
              </w:rPr>
              <w:t xml:space="preserve"> </w:t>
            </w:r>
            <w:r>
              <w:rPr>
                <w:sz w:val="20"/>
              </w:rPr>
              <w:t>When</w:t>
            </w:r>
            <w:r>
              <w:rPr>
                <w:spacing w:val="-3"/>
                <w:sz w:val="20"/>
              </w:rPr>
              <w:t xml:space="preserve"> </w:t>
            </w:r>
            <w:r>
              <w:rPr>
                <w:sz w:val="20"/>
              </w:rPr>
              <w:t>using</w:t>
            </w:r>
            <w:r>
              <w:rPr>
                <w:spacing w:val="-3"/>
                <w:sz w:val="20"/>
              </w:rPr>
              <w:t xml:space="preserve"> </w:t>
            </w:r>
            <w:r>
              <w:rPr>
                <w:sz w:val="20"/>
              </w:rPr>
              <w:t>product canisters wear disposable gloves. Wash hands after use</w:t>
            </w:r>
          </w:p>
        </w:tc>
      </w:tr>
    </w:tbl>
    <w:p w14:paraId="3B905211" w14:textId="77777777" w:rsidR="006B149D" w:rsidRDefault="006B149D" w:rsidP="003F45F3">
      <w:pPr>
        <w:pStyle w:val="APVMAText"/>
        <w:spacing w:before="120" w:after="0" w:line="240" w:lineRule="auto"/>
      </w:pPr>
    </w:p>
    <w:p w14:paraId="373C5FC8" w14:textId="77777777" w:rsidR="006B149D" w:rsidRDefault="006B149D" w:rsidP="003F45F3">
      <w:pPr>
        <w:pStyle w:val="APVMAText"/>
        <w:spacing w:before="120" w:after="0" w:line="240" w:lineRule="auto"/>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09"/>
      </w:tblGrid>
      <w:tr w:rsidR="006B149D" w14:paraId="2084F33A" w14:textId="77777777" w:rsidTr="00487A78">
        <w:trPr>
          <w:trHeight w:val="1235"/>
        </w:trPr>
        <w:tc>
          <w:tcPr>
            <w:tcW w:w="2098" w:type="dxa"/>
            <w:tcBorders>
              <w:bottom w:val="single" w:sz="4" w:space="0" w:color="auto"/>
            </w:tcBorders>
          </w:tcPr>
          <w:p w14:paraId="22334FF4" w14:textId="77777777" w:rsidR="006B149D" w:rsidRDefault="006B149D" w:rsidP="00DD3D04">
            <w:pPr>
              <w:pStyle w:val="TableParagraph"/>
              <w:ind w:left="87"/>
              <w:rPr>
                <w:sz w:val="20"/>
              </w:rPr>
            </w:pPr>
            <w:r>
              <w:rPr>
                <w:sz w:val="20"/>
              </w:rPr>
              <w:lastRenderedPageBreak/>
              <w:t>First</w:t>
            </w:r>
            <w:r>
              <w:rPr>
                <w:spacing w:val="-4"/>
                <w:sz w:val="20"/>
              </w:rPr>
              <w:t xml:space="preserve"> </w:t>
            </w:r>
            <w:r>
              <w:rPr>
                <w:sz w:val="20"/>
              </w:rPr>
              <w:t>Aid</w:t>
            </w:r>
            <w:r>
              <w:rPr>
                <w:spacing w:val="-4"/>
                <w:sz w:val="20"/>
              </w:rPr>
              <w:t xml:space="preserve"> </w:t>
            </w:r>
            <w:r>
              <w:rPr>
                <w:spacing w:val="-2"/>
                <w:sz w:val="20"/>
              </w:rPr>
              <w:t>Instructions:</w:t>
            </w:r>
          </w:p>
        </w:tc>
        <w:tc>
          <w:tcPr>
            <w:tcW w:w="7109" w:type="dxa"/>
          </w:tcPr>
          <w:p w14:paraId="258F0461" w14:textId="77777777" w:rsidR="006B149D" w:rsidRDefault="006B149D" w:rsidP="00DD3D04">
            <w:pPr>
              <w:pStyle w:val="TableParagraph"/>
              <w:rPr>
                <w:sz w:val="20"/>
              </w:rPr>
            </w:pPr>
            <w:r>
              <w:rPr>
                <w:sz w:val="20"/>
              </w:rPr>
              <w:t>FIRST</w:t>
            </w:r>
            <w:r>
              <w:rPr>
                <w:spacing w:val="-5"/>
                <w:sz w:val="20"/>
              </w:rPr>
              <w:t xml:space="preserve"> AID</w:t>
            </w:r>
          </w:p>
          <w:p w14:paraId="7AA7D4AD" w14:textId="77777777" w:rsidR="006B149D" w:rsidRDefault="006B149D" w:rsidP="00DD3D04">
            <w:pPr>
              <w:pStyle w:val="TableParagraph"/>
              <w:spacing w:before="10" w:line="249" w:lineRule="auto"/>
              <w:rPr>
                <w:sz w:val="20"/>
              </w:rPr>
            </w:pPr>
            <w:r>
              <w:rPr>
                <w:sz w:val="20"/>
              </w:rPr>
              <w:t>If</w:t>
            </w:r>
            <w:r>
              <w:rPr>
                <w:spacing w:val="-4"/>
                <w:sz w:val="20"/>
              </w:rPr>
              <w:t xml:space="preserve"> </w:t>
            </w:r>
            <w:r>
              <w:rPr>
                <w:sz w:val="20"/>
              </w:rPr>
              <w:t>poisoning</w:t>
            </w:r>
            <w:r>
              <w:rPr>
                <w:spacing w:val="-4"/>
                <w:sz w:val="20"/>
              </w:rPr>
              <w:t xml:space="preserve"> </w:t>
            </w:r>
            <w:r>
              <w:rPr>
                <w:sz w:val="20"/>
              </w:rPr>
              <w:t>occurs,</w:t>
            </w:r>
            <w:r>
              <w:rPr>
                <w:spacing w:val="-4"/>
                <w:sz w:val="20"/>
              </w:rPr>
              <w:t xml:space="preserve"> </w:t>
            </w:r>
            <w:r>
              <w:rPr>
                <w:sz w:val="20"/>
              </w:rPr>
              <w:t>contact</w:t>
            </w:r>
            <w:r>
              <w:rPr>
                <w:spacing w:val="-4"/>
                <w:sz w:val="20"/>
              </w:rPr>
              <w:t xml:space="preserve"> </w:t>
            </w:r>
            <w:r>
              <w:rPr>
                <w:sz w:val="20"/>
              </w:rPr>
              <w:t>a</w:t>
            </w:r>
            <w:r>
              <w:rPr>
                <w:spacing w:val="-4"/>
                <w:sz w:val="20"/>
              </w:rPr>
              <w:t xml:space="preserve"> </w:t>
            </w:r>
            <w:r>
              <w:rPr>
                <w:sz w:val="20"/>
              </w:rPr>
              <w:t>doctor</w:t>
            </w:r>
            <w:r>
              <w:rPr>
                <w:spacing w:val="-4"/>
                <w:sz w:val="20"/>
              </w:rPr>
              <w:t xml:space="preserve"> </w:t>
            </w:r>
            <w:r>
              <w:rPr>
                <w:sz w:val="20"/>
              </w:rPr>
              <w:t>or</w:t>
            </w:r>
            <w:r>
              <w:rPr>
                <w:spacing w:val="-4"/>
                <w:sz w:val="20"/>
              </w:rPr>
              <w:t xml:space="preserve"> </w:t>
            </w:r>
            <w:r>
              <w:rPr>
                <w:sz w:val="20"/>
              </w:rPr>
              <w:t>Poisons</w:t>
            </w:r>
            <w:r>
              <w:rPr>
                <w:spacing w:val="-4"/>
                <w:sz w:val="20"/>
              </w:rPr>
              <w:t xml:space="preserve"> </w:t>
            </w:r>
            <w:r>
              <w:rPr>
                <w:sz w:val="20"/>
              </w:rPr>
              <w:t>Information</w:t>
            </w:r>
            <w:r>
              <w:rPr>
                <w:spacing w:val="-4"/>
                <w:sz w:val="20"/>
              </w:rPr>
              <w:t xml:space="preserve"> </w:t>
            </w:r>
            <w:r>
              <w:rPr>
                <w:sz w:val="20"/>
              </w:rPr>
              <w:t>Centre.</w:t>
            </w:r>
            <w:r>
              <w:rPr>
                <w:spacing w:val="-4"/>
                <w:sz w:val="20"/>
              </w:rPr>
              <w:t xml:space="preserve"> </w:t>
            </w:r>
            <w:r>
              <w:rPr>
                <w:sz w:val="20"/>
              </w:rPr>
              <w:t>Phone</w:t>
            </w:r>
            <w:r>
              <w:rPr>
                <w:spacing w:val="-4"/>
                <w:sz w:val="20"/>
              </w:rPr>
              <w:t xml:space="preserve"> </w:t>
            </w:r>
            <w:r>
              <w:rPr>
                <w:sz w:val="20"/>
              </w:rPr>
              <w:t>Australia</w:t>
            </w:r>
            <w:r>
              <w:rPr>
                <w:spacing w:val="-4"/>
                <w:sz w:val="20"/>
              </w:rPr>
              <w:t xml:space="preserve"> </w:t>
            </w:r>
            <w:r>
              <w:rPr>
                <w:sz w:val="20"/>
              </w:rPr>
              <w:t>13</w:t>
            </w:r>
            <w:r>
              <w:rPr>
                <w:spacing w:val="-4"/>
                <w:sz w:val="20"/>
              </w:rPr>
              <w:t xml:space="preserve"> </w:t>
            </w:r>
            <w:r>
              <w:rPr>
                <w:sz w:val="20"/>
              </w:rPr>
              <w:t>11 26, New Zealand 0800 764 766.</w:t>
            </w:r>
          </w:p>
          <w:p w14:paraId="1396F014" w14:textId="77777777" w:rsidR="006B149D" w:rsidRDefault="006B149D" w:rsidP="00DD3D04">
            <w:pPr>
              <w:pStyle w:val="TableParagraph"/>
              <w:spacing w:before="2"/>
              <w:rPr>
                <w:sz w:val="20"/>
              </w:rPr>
            </w:pPr>
            <w:r>
              <w:rPr>
                <w:sz w:val="20"/>
              </w:rPr>
              <w:t>If</w:t>
            </w:r>
            <w:r>
              <w:rPr>
                <w:spacing w:val="-5"/>
                <w:sz w:val="20"/>
              </w:rPr>
              <w:t xml:space="preserve"> </w:t>
            </w:r>
            <w:r>
              <w:rPr>
                <w:sz w:val="20"/>
              </w:rPr>
              <w:t>in</w:t>
            </w:r>
            <w:r>
              <w:rPr>
                <w:spacing w:val="-2"/>
                <w:sz w:val="20"/>
              </w:rPr>
              <w:t xml:space="preserve"> </w:t>
            </w:r>
            <w:r>
              <w:rPr>
                <w:sz w:val="20"/>
              </w:rPr>
              <w:t>eyes</w:t>
            </w:r>
            <w:r>
              <w:rPr>
                <w:spacing w:val="-3"/>
                <w:sz w:val="20"/>
              </w:rPr>
              <w:t xml:space="preserve"> </w:t>
            </w:r>
            <w:r>
              <w:rPr>
                <w:sz w:val="20"/>
              </w:rPr>
              <w:t>wash</w:t>
            </w:r>
            <w:r>
              <w:rPr>
                <w:spacing w:val="-2"/>
                <w:sz w:val="20"/>
              </w:rPr>
              <w:t xml:space="preserve"> </w:t>
            </w:r>
            <w:r>
              <w:rPr>
                <w:sz w:val="20"/>
              </w:rPr>
              <w:t>out</w:t>
            </w:r>
            <w:r>
              <w:rPr>
                <w:spacing w:val="-3"/>
                <w:sz w:val="20"/>
              </w:rPr>
              <w:t xml:space="preserve"> </w:t>
            </w:r>
            <w:r>
              <w:rPr>
                <w:sz w:val="20"/>
              </w:rPr>
              <w:t>immediately</w:t>
            </w:r>
            <w:r>
              <w:rPr>
                <w:spacing w:val="-2"/>
                <w:sz w:val="20"/>
              </w:rPr>
              <w:t xml:space="preserve"> </w:t>
            </w:r>
            <w:r>
              <w:rPr>
                <w:sz w:val="20"/>
              </w:rPr>
              <w:t>with</w:t>
            </w:r>
            <w:r>
              <w:rPr>
                <w:spacing w:val="-2"/>
                <w:sz w:val="20"/>
              </w:rPr>
              <w:t xml:space="preserve"> water</w:t>
            </w:r>
          </w:p>
        </w:tc>
      </w:tr>
    </w:tbl>
    <w:p w14:paraId="38CD78B8" w14:textId="77777777" w:rsidR="006B149D" w:rsidRDefault="006B149D" w:rsidP="003F45F3">
      <w:pPr>
        <w:pStyle w:val="APVMAText"/>
        <w:spacing w:before="120" w:after="0" w:line="240" w:lineRule="auto"/>
      </w:pPr>
    </w:p>
    <w:p w14:paraId="4BEEDD90" w14:textId="77777777" w:rsidR="006B149D" w:rsidRDefault="006B149D" w:rsidP="003F45F3">
      <w:pPr>
        <w:pStyle w:val="APVMAText"/>
        <w:spacing w:before="120" w:after="0" w:line="240" w:lineRule="auto"/>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106"/>
      </w:tblGrid>
      <w:tr w:rsidR="006B149D" w14:paraId="45F27A5E" w14:textId="77777777" w:rsidTr="006B149D">
        <w:trPr>
          <w:trHeight w:val="440"/>
        </w:trPr>
        <w:tc>
          <w:tcPr>
            <w:tcW w:w="2098" w:type="dxa"/>
          </w:tcPr>
          <w:p w14:paraId="25B6CDDB" w14:textId="77777777" w:rsidR="006B149D" w:rsidRDefault="006B149D" w:rsidP="00DD3D04">
            <w:pPr>
              <w:pStyle w:val="TableParagraph"/>
              <w:ind w:left="84"/>
              <w:rPr>
                <w:sz w:val="20"/>
              </w:rPr>
            </w:pPr>
            <w:r>
              <w:rPr>
                <w:sz w:val="20"/>
              </w:rPr>
              <w:t>First</w:t>
            </w:r>
            <w:r>
              <w:rPr>
                <w:spacing w:val="-4"/>
                <w:sz w:val="20"/>
              </w:rPr>
              <w:t xml:space="preserve"> </w:t>
            </w:r>
            <w:r>
              <w:rPr>
                <w:sz w:val="20"/>
              </w:rPr>
              <w:t>Aid</w:t>
            </w:r>
            <w:r>
              <w:rPr>
                <w:spacing w:val="-4"/>
                <w:sz w:val="20"/>
              </w:rPr>
              <w:t xml:space="preserve"> </w:t>
            </w:r>
            <w:r>
              <w:rPr>
                <w:spacing w:val="-2"/>
                <w:sz w:val="20"/>
              </w:rPr>
              <w:t>Warnings:</w:t>
            </w:r>
          </w:p>
        </w:tc>
        <w:tc>
          <w:tcPr>
            <w:tcW w:w="7106" w:type="dxa"/>
          </w:tcPr>
          <w:p w14:paraId="71041DA7" w14:textId="77777777" w:rsidR="006B149D" w:rsidRDefault="006B149D" w:rsidP="00DD3D04">
            <w:pPr>
              <w:pStyle w:val="TableParagraph"/>
              <w:spacing w:before="0"/>
              <w:ind w:left="0"/>
              <w:rPr>
                <w:rFonts w:ascii="Times New Roman"/>
                <w:sz w:val="18"/>
              </w:rPr>
            </w:pPr>
          </w:p>
        </w:tc>
      </w:tr>
    </w:tbl>
    <w:p w14:paraId="1963AA44" w14:textId="77777777" w:rsidR="006B149D" w:rsidRDefault="006B149D" w:rsidP="003F45F3">
      <w:pPr>
        <w:pStyle w:val="APVMAText"/>
        <w:spacing w:before="120" w:after="0" w:line="240" w:lineRule="auto"/>
      </w:pPr>
    </w:p>
    <w:p w14:paraId="31DC85F0" w14:textId="77777777" w:rsidR="00741728" w:rsidRDefault="00741728" w:rsidP="003F45F3">
      <w:pPr>
        <w:pStyle w:val="APVMAText"/>
        <w:spacing w:before="120" w:after="0" w:line="240" w:lineRule="auto"/>
      </w:pPr>
    </w:p>
    <w:p w14:paraId="740B064D" w14:textId="77777777" w:rsidR="00741728" w:rsidRPr="009F458F" w:rsidRDefault="00741728" w:rsidP="00741728">
      <w:pPr>
        <w:ind w:hanging="2"/>
        <w:rPr>
          <w:rFonts w:cs="Arial"/>
          <w:b/>
          <w:bCs/>
        </w:rPr>
      </w:pPr>
      <w:r w:rsidRPr="009F458F">
        <w:rPr>
          <w:rFonts w:cs="Arial"/>
          <w:b/>
          <w:bCs/>
        </w:rPr>
        <w:t>DIRECTIONS FOR USE:</w:t>
      </w:r>
    </w:p>
    <w:tbl>
      <w:tblPr>
        <w:tblW w:w="961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9"/>
        <w:gridCol w:w="2126"/>
        <w:gridCol w:w="2127"/>
        <w:gridCol w:w="4218"/>
      </w:tblGrid>
      <w:tr w:rsidR="00741728" w:rsidRPr="009F458F" w14:paraId="3C9CE61A" w14:textId="77777777" w:rsidTr="00741728">
        <w:tc>
          <w:tcPr>
            <w:tcW w:w="1139" w:type="dxa"/>
          </w:tcPr>
          <w:p w14:paraId="65FDA810" w14:textId="77777777" w:rsidR="00741728" w:rsidRPr="009F458F" w:rsidRDefault="00741728" w:rsidP="00DD3D04">
            <w:pPr>
              <w:ind w:hanging="2"/>
              <w:rPr>
                <w:rFonts w:cs="Arial"/>
              </w:rPr>
            </w:pPr>
            <w:r w:rsidRPr="009F458F">
              <w:rPr>
                <w:rFonts w:cs="Arial"/>
              </w:rPr>
              <w:t>Crop</w:t>
            </w:r>
          </w:p>
        </w:tc>
        <w:tc>
          <w:tcPr>
            <w:tcW w:w="2126" w:type="dxa"/>
          </w:tcPr>
          <w:p w14:paraId="4F2563D3" w14:textId="77777777" w:rsidR="00741728" w:rsidRPr="009F458F" w:rsidRDefault="00741728" w:rsidP="00DD3D04">
            <w:pPr>
              <w:ind w:hanging="2"/>
              <w:rPr>
                <w:rFonts w:cs="Arial"/>
              </w:rPr>
            </w:pPr>
            <w:r w:rsidRPr="009F458F">
              <w:rPr>
                <w:rFonts w:cs="Arial"/>
              </w:rPr>
              <w:t>Pest</w:t>
            </w:r>
          </w:p>
        </w:tc>
        <w:tc>
          <w:tcPr>
            <w:tcW w:w="2127" w:type="dxa"/>
          </w:tcPr>
          <w:p w14:paraId="687372B6" w14:textId="77777777" w:rsidR="00741728" w:rsidRPr="009F458F" w:rsidRDefault="00741728" w:rsidP="00DD3D04">
            <w:pPr>
              <w:ind w:hanging="2"/>
              <w:rPr>
                <w:rFonts w:cs="Arial"/>
              </w:rPr>
            </w:pPr>
            <w:r w:rsidRPr="009F458F">
              <w:rPr>
                <w:rFonts w:cs="Arial"/>
              </w:rPr>
              <w:t>Rate</w:t>
            </w:r>
          </w:p>
        </w:tc>
        <w:tc>
          <w:tcPr>
            <w:tcW w:w="4218" w:type="dxa"/>
          </w:tcPr>
          <w:p w14:paraId="3004A0E3" w14:textId="77777777" w:rsidR="00741728" w:rsidRPr="009F458F" w:rsidRDefault="00741728" w:rsidP="00DD3D04">
            <w:pPr>
              <w:ind w:hanging="2"/>
              <w:rPr>
                <w:rFonts w:cs="Arial"/>
              </w:rPr>
            </w:pPr>
            <w:r w:rsidRPr="009F458F">
              <w:rPr>
                <w:rFonts w:cs="Arial"/>
              </w:rPr>
              <w:t>Critical Comments</w:t>
            </w:r>
          </w:p>
        </w:tc>
      </w:tr>
      <w:tr w:rsidR="00741728" w:rsidRPr="009F458F" w14:paraId="5ED96C9C" w14:textId="77777777" w:rsidTr="00741728">
        <w:tc>
          <w:tcPr>
            <w:tcW w:w="1139" w:type="dxa"/>
          </w:tcPr>
          <w:p w14:paraId="6A3451C7" w14:textId="77777777" w:rsidR="00741728" w:rsidRPr="009F458F" w:rsidRDefault="00741728" w:rsidP="00DD3D04">
            <w:pPr>
              <w:ind w:hanging="2"/>
              <w:rPr>
                <w:rFonts w:cs="Arial"/>
              </w:rPr>
            </w:pPr>
            <w:r w:rsidRPr="009F458F">
              <w:rPr>
                <w:rFonts w:cs="Arial"/>
              </w:rPr>
              <w:t xml:space="preserve">Almonds </w:t>
            </w:r>
          </w:p>
        </w:tc>
        <w:tc>
          <w:tcPr>
            <w:tcW w:w="2126" w:type="dxa"/>
          </w:tcPr>
          <w:p w14:paraId="7432336E" w14:textId="77777777" w:rsidR="00741728" w:rsidRPr="009F458F" w:rsidRDefault="00741728" w:rsidP="00DD3D04">
            <w:pPr>
              <w:ind w:hanging="2"/>
              <w:rPr>
                <w:rFonts w:cs="Arial"/>
              </w:rPr>
            </w:pPr>
            <w:r w:rsidRPr="009F458F">
              <w:rPr>
                <w:rFonts w:cs="Arial"/>
              </w:rPr>
              <w:t>Carob Moth</w:t>
            </w:r>
          </w:p>
          <w:p w14:paraId="44EBF1A1" w14:textId="77777777" w:rsidR="00741728" w:rsidRPr="009F458F" w:rsidRDefault="00741728" w:rsidP="00DD3D04">
            <w:pPr>
              <w:ind w:hanging="2"/>
              <w:rPr>
                <w:rFonts w:cs="Arial"/>
              </w:rPr>
            </w:pPr>
            <w:r w:rsidRPr="009F458F">
              <w:rPr>
                <w:rFonts w:cs="Arial"/>
              </w:rPr>
              <w:t>(</w:t>
            </w:r>
            <w:r w:rsidRPr="009F458F">
              <w:rPr>
                <w:rFonts w:cs="Arial"/>
                <w:i/>
              </w:rPr>
              <w:t>Ectomyelois ceratoniae</w:t>
            </w:r>
            <w:r w:rsidRPr="009F458F">
              <w:rPr>
                <w:rFonts w:cs="Arial"/>
              </w:rPr>
              <w:t xml:space="preserve">) </w:t>
            </w:r>
          </w:p>
        </w:tc>
        <w:tc>
          <w:tcPr>
            <w:tcW w:w="2127" w:type="dxa"/>
          </w:tcPr>
          <w:p w14:paraId="2AA19245" w14:textId="77777777" w:rsidR="00741728" w:rsidRPr="009F458F" w:rsidRDefault="00741728" w:rsidP="00DD3D04">
            <w:pPr>
              <w:ind w:hanging="2"/>
              <w:rPr>
                <w:rFonts w:cs="Arial"/>
              </w:rPr>
            </w:pPr>
            <w:r w:rsidRPr="009F458F">
              <w:rPr>
                <w:rFonts w:cs="Arial"/>
              </w:rPr>
              <w:t>1-5</w:t>
            </w:r>
          </w:p>
          <w:p w14:paraId="1375204F" w14:textId="77777777" w:rsidR="00741728" w:rsidRPr="009F458F" w:rsidRDefault="00741728" w:rsidP="00DD3D04">
            <w:pPr>
              <w:ind w:hanging="2"/>
              <w:rPr>
                <w:rFonts w:cs="Arial"/>
              </w:rPr>
            </w:pPr>
            <w:r w:rsidRPr="009F458F">
              <w:rPr>
                <w:rFonts w:cs="Arial"/>
              </w:rPr>
              <w:t xml:space="preserve">dispensers per hectare </w:t>
            </w:r>
          </w:p>
          <w:p w14:paraId="0F6535DE" w14:textId="77777777" w:rsidR="00741728" w:rsidRPr="009F458F" w:rsidRDefault="00741728" w:rsidP="00DD3D04">
            <w:pPr>
              <w:ind w:hanging="2"/>
              <w:rPr>
                <w:rFonts w:cs="Arial"/>
              </w:rPr>
            </w:pPr>
            <w:r w:rsidRPr="009F458F">
              <w:rPr>
                <w:rFonts w:cs="Arial"/>
              </w:rPr>
              <w:t xml:space="preserve">applying equivalent to 400 g to 2000 g per hectare per year. </w:t>
            </w:r>
          </w:p>
        </w:tc>
        <w:tc>
          <w:tcPr>
            <w:tcW w:w="4218" w:type="dxa"/>
          </w:tcPr>
          <w:p w14:paraId="38D03DD8" w14:textId="77777777" w:rsidR="00741728" w:rsidRPr="009F458F" w:rsidRDefault="00741728" w:rsidP="00DD3D04">
            <w:pPr>
              <w:ind w:hanging="2"/>
              <w:rPr>
                <w:rFonts w:cs="Arial"/>
              </w:rPr>
            </w:pPr>
            <w:r w:rsidRPr="009F458F">
              <w:rPr>
                <w:rFonts w:cs="Arial"/>
              </w:rPr>
              <w:t>Use higher number of dispensers under high pest pressure or along orchard/ vineyards edges and facing prevailing winds.</w:t>
            </w:r>
          </w:p>
          <w:p w14:paraId="27E16A27" w14:textId="77777777" w:rsidR="00741728" w:rsidRDefault="00741728" w:rsidP="00DD3D04">
            <w:pPr>
              <w:ind w:hanging="2"/>
              <w:rPr>
                <w:rFonts w:cs="Arial"/>
              </w:rPr>
            </w:pPr>
          </w:p>
          <w:p w14:paraId="0DB2161D" w14:textId="77777777" w:rsidR="00741728" w:rsidRPr="009F458F" w:rsidRDefault="00741728" w:rsidP="00DD3D04">
            <w:pPr>
              <w:ind w:hanging="2"/>
              <w:rPr>
                <w:rFonts w:cs="Arial"/>
              </w:rPr>
            </w:pPr>
            <w:r w:rsidRPr="009F458F">
              <w:rPr>
                <w:rFonts w:cs="Arial"/>
              </w:rPr>
              <w:t xml:space="preserve">For use only with </w:t>
            </w:r>
            <w:proofErr w:type="spellStart"/>
            <w:r w:rsidRPr="009F458F">
              <w:rPr>
                <w:rFonts w:cs="Arial"/>
              </w:rPr>
              <w:t>Semios</w:t>
            </w:r>
            <w:proofErr w:type="spellEnd"/>
            <w:r w:rsidRPr="009F458F">
              <w:rPr>
                <w:rFonts w:cs="Arial"/>
              </w:rPr>
              <w:t xml:space="preserve"> automated aerosol dispensers. </w:t>
            </w:r>
          </w:p>
          <w:p w14:paraId="04071601" w14:textId="77777777" w:rsidR="00741728" w:rsidRPr="009F458F" w:rsidRDefault="00741728" w:rsidP="00DD3D04">
            <w:pPr>
              <w:ind w:hanging="2"/>
              <w:rPr>
                <w:rFonts w:cs="Arial"/>
              </w:rPr>
            </w:pPr>
            <w:r w:rsidRPr="009F458F">
              <w:rPr>
                <w:rFonts w:cs="Arial"/>
              </w:rPr>
              <w:t xml:space="preserve">This system must only be installed and operated by personnel who have been trained and authorized by </w:t>
            </w:r>
            <w:proofErr w:type="spellStart"/>
            <w:r w:rsidRPr="009F458F">
              <w:rPr>
                <w:rFonts w:cs="Arial"/>
              </w:rPr>
              <w:t>Semios</w:t>
            </w:r>
            <w:proofErr w:type="spellEnd"/>
            <w:r w:rsidRPr="009F458F">
              <w:rPr>
                <w:rFonts w:cs="Arial"/>
              </w:rPr>
              <w:t xml:space="preserve"> or its appointed agents.</w:t>
            </w:r>
          </w:p>
          <w:p w14:paraId="1EE3D212" w14:textId="77777777" w:rsidR="00741728" w:rsidRPr="009F458F" w:rsidRDefault="00741728" w:rsidP="00DD3D04">
            <w:pPr>
              <w:ind w:hanging="2"/>
              <w:rPr>
                <w:rFonts w:cs="Arial"/>
              </w:rPr>
            </w:pPr>
          </w:p>
          <w:p w14:paraId="24FECEBD" w14:textId="77777777" w:rsidR="00741728" w:rsidRPr="009F458F" w:rsidRDefault="00741728" w:rsidP="00DD3D04">
            <w:pPr>
              <w:ind w:hanging="2"/>
              <w:rPr>
                <w:rStyle w:val="Response"/>
                <w:color w:val="auto"/>
              </w:rPr>
            </w:pPr>
            <w:r w:rsidRPr="009F458F">
              <w:rPr>
                <w:rStyle w:val="Response"/>
                <w:color w:val="auto"/>
              </w:rPr>
              <w:t xml:space="preserve">Monitor pest pressure nightly and adjust aerosol dispensing rates accordingly using the </w:t>
            </w:r>
            <w:proofErr w:type="spellStart"/>
            <w:r w:rsidRPr="009F458F">
              <w:rPr>
                <w:rStyle w:val="Response"/>
                <w:color w:val="auto"/>
              </w:rPr>
              <w:t>Semios</w:t>
            </w:r>
            <w:proofErr w:type="spellEnd"/>
            <w:r w:rsidRPr="009F458F">
              <w:rPr>
                <w:rStyle w:val="Response"/>
                <w:color w:val="auto"/>
              </w:rPr>
              <w:t xml:space="preserve"> web-based user interface. Higher frequency is required under higher pest pressure. When pests are not detected, minimise or suspend activation.</w:t>
            </w:r>
          </w:p>
          <w:p w14:paraId="5E4DE61A" w14:textId="77777777" w:rsidR="00741728" w:rsidRPr="009F458F" w:rsidRDefault="00741728" w:rsidP="00DD3D04">
            <w:pPr>
              <w:ind w:hanging="2"/>
              <w:rPr>
                <w:rStyle w:val="Response"/>
                <w:color w:val="auto"/>
              </w:rPr>
            </w:pPr>
          </w:p>
          <w:p w14:paraId="6D814B2F" w14:textId="77777777" w:rsidR="00741728" w:rsidRPr="009F458F" w:rsidRDefault="00741728" w:rsidP="00DD3D04">
            <w:pPr>
              <w:ind w:hanging="2"/>
              <w:rPr>
                <w:rFonts w:cs="Arial"/>
              </w:rPr>
            </w:pPr>
            <w:r w:rsidRPr="009F458F">
              <w:rPr>
                <w:rFonts w:cs="Arial"/>
              </w:rPr>
              <w:t xml:space="preserve">Refer to Application Instructions below for detailed information. </w:t>
            </w:r>
          </w:p>
          <w:p w14:paraId="142E3ED1" w14:textId="77777777" w:rsidR="00741728" w:rsidRPr="009F458F" w:rsidRDefault="00741728" w:rsidP="00DD3D04">
            <w:pPr>
              <w:ind w:hanging="2"/>
              <w:rPr>
                <w:rFonts w:cs="Arial"/>
              </w:rPr>
            </w:pPr>
            <w:proofErr w:type="spellStart"/>
            <w:r w:rsidRPr="009F458F">
              <w:rPr>
                <w:rFonts w:cs="Arial"/>
              </w:rPr>
              <w:t>Semios</w:t>
            </w:r>
            <w:proofErr w:type="spellEnd"/>
            <w:r w:rsidRPr="009F458F">
              <w:rPr>
                <w:rFonts w:cs="Arial"/>
              </w:rPr>
              <w:t xml:space="preserve"> Carob Moth Aerosol Pheromone should be used as</w:t>
            </w:r>
          </w:p>
          <w:p w14:paraId="4D2C8B67" w14:textId="77777777" w:rsidR="00741728" w:rsidRPr="009F458F" w:rsidRDefault="00741728" w:rsidP="00DD3D04">
            <w:pPr>
              <w:ind w:hanging="2"/>
              <w:rPr>
                <w:rFonts w:cs="Arial"/>
              </w:rPr>
            </w:pPr>
            <w:r w:rsidRPr="009F458F">
              <w:rPr>
                <w:rFonts w:cs="Arial"/>
              </w:rPr>
              <w:t>an integrated pest management</w:t>
            </w:r>
          </w:p>
          <w:p w14:paraId="40ECC017" w14:textId="77777777" w:rsidR="00741728" w:rsidRPr="009F458F" w:rsidRDefault="00741728" w:rsidP="00DD3D04">
            <w:pPr>
              <w:ind w:hanging="2"/>
              <w:rPr>
                <w:rFonts w:cs="Arial"/>
              </w:rPr>
            </w:pPr>
            <w:r w:rsidRPr="009F458F">
              <w:rPr>
                <w:rFonts w:cs="Arial"/>
              </w:rPr>
              <w:t>tool in conjunction with insecticides program aimed at reducing overall Carob Moth populations.</w:t>
            </w:r>
          </w:p>
          <w:p w14:paraId="55920BBE" w14:textId="77777777" w:rsidR="00741728" w:rsidRPr="009F458F" w:rsidRDefault="00741728" w:rsidP="00DD3D04">
            <w:pPr>
              <w:ind w:hanging="2"/>
              <w:rPr>
                <w:rFonts w:cs="Arial"/>
                <w:highlight w:val="yellow"/>
              </w:rPr>
            </w:pPr>
          </w:p>
        </w:tc>
      </w:tr>
    </w:tbl>
    <w:p w14:paraId="56288EC9" w14:textId="77777777" w:rsidR="00741728" w:rsidRPr="009F458F" w:rsidRDefault="00741728" w:rsidP="00741728">
      <w:pPr>
        <w:ind w:hanging="2"/>
        <w:rPr>
          <w:rFonts w:cs="Arial"/>
        </w:rPr>
      </w:pPr>
    </w:p>
    <w:p w14:paraId="6CFAA75C" w14:textId="77777777" w:rsidR="00741728" w:rsidRPr="009F458F" w:rsidRDefault="00741728" w:rsidP="00741728">
      <w:pPr>
        <w:ind w:hanging="2"/>
        <w:rPr>
          <w:rFonts w:cs="Arial"/>
          <w:b/>
          <w:bCs/>
        </w:rPr>
      </w:pPr>
      <w:r w:rsidRPr="009F458F">
        <w:rPr>
          <w:rFonts w:cs="Arial"/>
          <w:b/>
          <w:bCs/>
        </w:rPr>
        <w:t>NOT TO BE USED FOR ANY PURPOSE, OR IN ANY MANNER, CONTRARY TO THIS LABEL UNLESS AUTHORISED UNDER APPROPRIATE LEGISLATION</w:t>
      </w:r>
    </w:p>
    <w:p w14:paraId="33D02811" w14:textId="450B2420" w:rsidR="00741728" w:rsidRDefault="00741728" w:rsidP="003F45F3">
      <w:pPr>
        <w:pStyle w:val="APVMAText"/>
        <w:spacing w:before="120" w:after="0" w:line="240" w:lineRule="auto"/>
        <w:sectPr w:rsidR="00741728">
          <w:headerReference w:type="default" r:id="rId36"/>
          <w:pgSz w:w="11906" w:h="16838" w:code="9"/>
          <w:pgMar w:top="2835" w:right="1134" w:bottom="1134" w:left="1134" w:header="1701" w:footer="680" w:gutter="0"/>
          <w:cols w:space="708"/>
          <w:docGrid w:linePitch="360"/>
        </w:sectPr>
      </w:pPr>
    </w:p>
    <w:p w14:paraId="539DD3DD" w14:textId="60CCAC74" w:rsidR="009346C3" w:rsidRDefault="00CA5B2B" w:rsidP="009346C3">
      <w:pPr>
        <w:pStyle w:val="APVMAAppendixH1"/>
      </w:pPr>
      <w:bookmarkStart w:id="161" w:name="_Toc221272428"/>
      <w:r>
        <w:lastRenderedPageBreak/>
        <w:t>Acronyms and abbreviations</w:t>
      </w:r>
      <w:bookmarkEnd w:id="161"/>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2"/>
        <w:gridCol w:w="7317"/>
        <w:gridCol w:w="179"/>
      </w:tblGrid>
      <w:tr w:rsidR="00CA5B2B" w14:paraId="4104B89C" w14:textId="77777777" w:rsidTr="00772458">
        <w:trPr>
          <w:tblHeader/>
        </w:trPr>
        <w:tc>
          <w:tcPr>
            <w:tcW w:w="1111" w:type="pct"/>
            <w:shd w:val="clear" w:color="auto" w:fill="00747A"/>
          </w:tcPr>
          <w:p w14:paraId="4E2D1330" w14:textId="56046BEA" w:rsidR="00CA5B2B" w:rsidRDefault="00CA5B2B" w:rsidP="009D0723">
            <w:pPr>
              <w:pStyle w:val="APVMATableHead"/>
            </w:pPr>
            <w:r>
              <w:t>Shortened term</w:t>
            </w:r>
          </w:p>
        </w:tc>
        <w:tc>
          <w:tcPr>
            <w:tcW w:w="3889" w:type="pct"/>
            <w:gridSpan w:val="2"/>
            <w:shd w:val="clear" w:color="auto" w:fill="00747A"/>
          </w:tcPr>
          <w:p w14:paraId="3245F640" w14:textId="0FC73B22" w:rsidR="00CA5B2B" w:rsidRDefault="00CA5B2B" w:rsidP="009D0723">
            <w:pPr>
              <w:pStyle w:val="APVMATableHead"/>
            </w:pPr>
            <w:r>
              <w:t>Full term</w:t>
            </w:r>
          </w:p>
        </w:tc>
      </w:tr>
      <w:tr w:rsidR="009346C3" w14:paraId="43F93192" w14:textId="77777777" w:rsidTr="00772458">
        <w:tc>
          <w:tcPr>
            <w:tcW w:w="1111" w:type="pct"/>
          </w:tcPr>
          <w:p w14:paraId="58AB085C" w14:textId="77777777" w:rsidR="009346C3" w:rsidRDefault="009346C3" w:rsidP="00323CDE">
            <w:pPr>
              <w:pStyle w:val="APVMATableText"/>
            </w:pPr>
            <w:r>
              <w:t>ac</w:t>
            </w:r>
          </w:p>
        </w:tc>
        <w:tc>
          <w:tcPr>
            <w:tcW w:w="3889" w:type="pct"/>
            <w:gridSpan w:val="2"/>
          </w:tcPr>
          <w:p w14:paraId="346C90BB" w14:textId="5A27B9FE" w:rsidR="009346C3" w:rsidRDefault="00B32A6B" w:rsidP="00323CDE">
            <w:pPr>
              <w:pStyle w:val="APVMATableText"/>
            </w:pPr>
            <w:r>
              <w:t xml:space="preserve">Active </w:t>
            </w:r>
            <w:r w:rsidR="009346C3">
              <w:t>constituent</w:t>
            </w:r>
          </w:p>
        </w:tc>
      </w:tr>
      <w:tr w:rsidR="009346C3" w14:paraId="4EB75F55" w14:textId="77777777" w:rsidTr="00772458">
        <w:tc>
          <w:tcPr>
            <w:tcW w:w="1111" w:type="pct"/>
          </w:tcPr>
          <w:p w14:paraId="49EF8D7F" w14:textId="77777777" w:rsidR="009346C3" w:rsidRDefault="009346C3" w:rsidP="00323CDE">
            <w:pPr>
              <w:pStyle w:val="APVMATableText"/>
            </w:pPr>
            <w:r>
              <w:t>ADI</w:t>
            </w:r>
          </w:p>
        </w:tc>
        <w:tc>
          <w:tcPr>
            <w:tcW w:w="3889" w:type="pct"/>
            <w:gridSpan w:val="2"/>
          </w:tcPr>
          <w:p w14:paraId="06142AB7" w14:textId="4722663F" w:rsidR="009346C3" w:rsidRDefault="009346C3" w:rsidP="00323CDE">
            <w:pPr>
              <w:pStyle w:val="APVMATableText"/>
            </w:pPr>
            <w:r>
              <w:t xml:space="preserve">Acceptable </w:t>
            </w:r>
            <w:r w:rsidR="00B32A6B">
              <w:t xml:space="preserve">daily intake </w:t>
            </w:r>
            <w:r>
              <w:t>(for humans)</w:t>
            </w:r>
          </w:p>
        </w:tc>
      </w:tr>
      <w:tr w:rsidR="009346C3" w14:paraId="2E5E043F" w14:textId="77777777" w:rsidTr="00772458">
        <w:tc>
          <w:tcPr>
            <w:tcW w:w="1111" w:type="pct"/>
          </w:tcPr>
          <w:p w14:paraId="759D288A" w14:textId="77777777" w:rsidR="009346C3" w:rsidRDefault="009346C3" w:rsidP="00323CDE">
            <w:pPr>
              <w:pStyle w:val="APVMATableText"/>
            </w:pPr>
            <w:r>
              <w:t>ai</w:t>
            </w:r>
          </w:p>
        </w:tc>
        <w:tc>
          <w:tcPr>
            <w:tcW w:w="3889" w:type="pct"/>
            <w:gridSpan w:val="2"/>
          </w:tcPr>
          <w:p w14:paraId="29293EE1" w14:textId="74CC10CE" w:rsidR="009346C3" w:rsidRDefault="00B32A6B" w:rsidP="00323CDE">
            <w:pPr>
              <w:pStyle w:val="APVMATableText"/>
            </w:pPr>
            <w:r>
              <w:t xml:space="preserve">Active </w:t>
            </w:r>
            <w:r w:rsidR="009346C3">
              <w:t>ingredient</w:t>
            </w:r>
          </w:p>
        </w:tc>
      </w:tr>
      <w:tr w:rsidR="009346C3" w14:paraId="4C827D2D" w14:textId="77777777" w:rsidTr="00772458">
        <w:tc>
          <w:tcPr>
            <w:tcW w:w="1111" w:type="pct"/>
          </w:tcPr>
          <w:p w14:paraId="67D5BBCD" w14:textId="77777777" w:rsidR="009346C3" w:rsidRDefault="009346C3" w:rsidP="00323CDE">
            <w:pPr>
              <w:pStyle w:val="APVMATableText"/>
            </w:pPr>
            <w:r>
              <w:t>ARfD</w:t>
            </w:r>
          </w:p>
        </w:tc>
        <w:tc>
          <w:tcPr>
            <w:tcW w:w="3889" w:type="pct"/>
            <w:gridSpan w:val="2"/>
          </w:tcPr>
          <w:p w14:paraId="0D929C4A" w14:textId="0200C4CD" w:rsidR="009346C3" w:rsidRDefault="009346C3" w:rsidP="00323CDE">
            <w:pPr>
              <w:pStyle w:val="APVMATableText"/>
            </w:pPr>
            <w:r>
              <w:t xml:space="preserve">Acute </w:t>
            </w:r>
            <w:r w:rsidR="00B32A6B">
              <w:t>reference dose</w:t>
            </w:r>
          </w:p>
        </w:tc>
      </w:tr>
      <w:tr w:rsidR="009346C3" w14:paraId="32E7A549" w14:textId="77777777" w:rsidTr="00772458">
        <w:tc>
          <w:tcPr>
            <w:tcW w:w="1111" w:type="pct"/>
          </w:tcPr>
          <w:p w14:paraId="09228264" w14:textId="77777777" w:rsidR="009346C3" w:rsidRDefault="009346C3" w:rsidP="00323CDE">
            <w:pPr>
              <w:pStyle w:val="APVMATableText"/>
            </w:pPr>
            <w:r>
              <w:t>bw</w:t>
            </w:r>
          </w:p>
        </w:tc>
        <w:tc>
          <w:tcPr>
            <w:tcW w:w="3889" w:type="pct"/>
            <w:gridSpan w:val="2"/>
          </w:tcPr>
          <w:p w14:paraId="0BF0E0AB" w14:textId="77777777" w:rsidR="009346C3" w:rsidRDefault="00F84654" w:rsidP="00323CDE">
            <w:pPr>
              <w:pStyle w:val="APVMATableText"/>
            </w:pPr>
            <w:r>
              <w:t>B</w:t>
            </w:r>
            <w:r w:rsidR="009346C3">
              <w:t>odyweight</w:t>
            </w:r>
          </w:p>
        </w:tc>
      </w:tr>
      <w:tr w:rsidR="009346C3" w14:paraId="162E6F03" w14:textId="77777777" w:rsidTr="00772458">
        <w:tc>
          <w:tcPr>
            <w:tcW w:w="1111" w:type="pct"/>
          </w:tcPr>
          <w:p w14:paraId="7BBCBEF4" w14:textId="77777777" w:rsidR="009346C3" w:rsidRDefault="009346C3" w:rsidP="00323CDE">
            <w:pPr>
              <w:pStyle w:val="APVMATableText"/>
            </w:pPr>
            <w:r>
              <w:t>d</w:t>
            </w:r>
          </w:p>
        </w:tc>
        <w:tc>
          <w:tcPr>
            <w:tcW w:w="3889" w:type="pct"/>
            <w:gridSpan w:val="2"/>
          </w:tcPr>
          <w:p w14:paraId="12F683E4" w14:textId="77777777" w:rsidR="009346C3" w:rsidRDefault="00F84654" w:rsidP="00323CDE">
            <w:pPr>
              <w:pStyle w:val="APVMATableText"/>
            </w:pPr>
            <w:r>
              <w:t>D</w:t>
            </w:r>
            <w:r w:rsidR="009346C3">
              <w:t>ay</w:t>
            </w:r>
          </w:p>
        </w:tc>
      </w:tr>
      <w:tr w:rsidR="009346C3" w14:paraId="2A3B0ED4" w14:textId="77777777" w:rsidTr="00772458">
        <w:tc>
          <w:tcPr>
            <w:tcW w:w="1111" w:type="pct"/>
          </w:tcPr>
          <w:p w14:paraId="44329739" w14:textId="77777777" w:rsidR="009346C3" w:rsidRDefault="009346C3" w:rsidP="00323CDE">
            <w:pPr>
              <w:pStyle w:val="APVMATableText"/>
            </w:pPr>
            <w:r>
              <w:t>EI</w:t>
            </w:r>
          </w:p>
        </w:tc>
        <w:tc>
          <w:tcPr>
            <w:tcW w:w="3889" w:type="pct"/>
            <w:gridSpan w:val="2"/>
          </w:tcPr>
          <w:p w14:paraId="63E02D69" w14:textId="5825561E" w:rsidR="009346C3" w:rsidRDefault="009346C3" w:rsidP="00323CDE">
            <w:pPr>
              <w:pStyle w:val="APVMATableText"/>
            </w:pPr>
            <w:r>
              <w:t xml:space="preserve">Export </w:t>
            </w:r>
            <w:r w:rsidR="00B32A6B">
              <w:t>interval</w:t>
            </w:r>
          </w:p>
        </w:tc>
      </w:tr>
      <w:tr w:rsidR="009346C3" w14:paraId="776DECB2" w14:textId="77777777" w:rsidTr="00772458">
        <w:tc>
          <w:tcPr>
            <w:tcW w:w="1111" w:type="pct"/>
          </w:tcPr>
          <w:p w14:paraId="36B4B442" w14:textId="77777777" w:rsidR="009346C3" w:rsidRDefault="009346C3" w:rsidP="00323CDE">
            <w:pPr>
              <w:pStyle w:val="APVMATableText"/>
            </w:pPr>
            <w:r>
              <w:t>EGI</w:t>
            </w:r>
          </w:p>
        </w:tc>
        <w:tc>
          <w:tcPr>
            <w:tcW w:w="3889" w:type="pct"/>
            <w:gridSpan w:val="2"/>
          </w:tcPr>
          <w:p w14:paraId="4D740844" w14:textId="495D2421" w:rsidR="009346C3" w:rsidRDefault="009346C3" w:rsidP="00323CDE">
            <w:pPr>
              <w:pStyle w:val="APVMATableText"/>
            </w:pPr>
            <w:r>
              <w:t xml:space="preserve">Export </w:t>
            </w:r>
            <w:r w:rsidR="00B32A6B">
              <w:t>grazing i</w:t>
            </w:r>
            <w:r>
              <w:t>nterval</w:t>
            </w:r>
          </w:p>
        </w:tc>
      </w:tr>
      <w:tr w:rsidR="009346C3" w14:paraId="7C20207F" w14:textId="77777777" w:rsidTr="00772458">
        <w:tc>
          <w:tcPr>
            <w:tcW w:w="1111" w:type="pct"/>
          </w:tcPr>
          <w:p w14:paraId="4F1E5A41" w14:textId="77777777" w:rsidR="009346C3" w:rsidRDefault="009346C3" w:rsidP="00323CDE">
            <w:pPr>
              <w:pStyle w:val="APVMATableText"/>
            </w:pPr>
            <w:r>
              <w:t>ESI</w:t>
            </w:r>
          </w:p>
        </w:tc>
        <w:tc>
          <w:tcPr>
            <w:tcW w:w="3889" w:type="pct"/>
            <w:gridSpan w:val="2"/>
          </w:tcPr>
          <w:p w14:paraId="5A79578A" w14:textId="448C085C" w:rsidR="009346C3" w:rsidRDefault="009346C3" w:rsidP="00323CDE">
            <w:pPr>
              <w:pStyle w:val="APVMATableText"/>
            </w:pPr>
            <w:r>
              <w:t xml:space="preserve">Export </w:t>
            </w:r>
            <w:r w:rsidR="00B32A6B">
              <w:t>slaughter interval</w:t>
            </w:r>
          </w:p>
        </w:tc>
      </w:tr>
      <w:tr w:rsidR="009346C3" w14:paraId="7087FBB7" w14:textId="77777777" w:rsidTr="00772458">
        <w:tc>
          <w:tcPr>
            <w:tcW w:w="1111" w:type="pct"/>
          </w:tcPr>
          <w:p w14:paraId="778BA065" w14:textId="77777777" w:rsidR="009346C3" w:rsidRDefault="009346C3" w:rsidP="00323CDE">
            <w:pPr>
              <w:pStyle w:val="APVMATableText"/>
            </w:pPr>
            <w:r>
              <w:t>EUP</w:t>
            </w:r>
          </w:p>
        </w:tc>
        <w:tc>
          <w:tcPr>
            <w:tcW w:w="3889" w:type="pct"/>
            <w:gridSpan w:val="2"/>
          </w:tcPr>
          <w:p w14:paraId="42953110" w14:textId="15896943" w:rsidR="009346C3" w:rsidRDefault="009346C3" w:rsidP="00323CDE">
            <w:pPr>
              <w:pStyle w:val="APVMATableText"/>
            </w:pPr>
            <w:r>
              <w:t xml:space="preserve">End </w:t>
            </w:r>
            <w:r w:rsidR="00B32A6B">
              <w:t>use product</w:t>
            </w:r>
          </w:p>
        </w:tc>
      </w:tr>
      <w:tr w:rsidR="009346C3" w14:paraId="0E622595" w14:textId="77777777" w:rsidTr="00772458">
        <w:tc>
          <w:tcPr>
            <w:tcW w:w="1111" w:type="pct"/>
          </w:tcPr>
          <w:p w14:paraId="72DFB2CB" w14:textId="77777777" w:rsidR="009346C3" w:rsidRDefault="009346C3" w:rsidP="00323CDE">
            <w:pPr>
              <w:pStyle w:val="APVMATableText"/>
            </w:pPr>
            <w:r>
              <w:t>g</w:t>
            </w:r>
          </w:p>
        </w:tc>
        <w:tc>
          <w:tcPr>
            <w:tcW w:w="3889" w:type="pct"/>
            <w:gridSpan w:val="2"/>
          </w:tcPr>
          <w:p w14:paraId="0ADAFE80" w14:textId="77777777" w:rsidR="009346C3" w:rsidRDefault="00F84654" w:rsidP="00323CDE">
            <w:pPr>
              <w:pStyle w:val="APVMATableText"/>
            </w:pPr>
            <w:r>
              <w:t>G</w:t>
            </w:r>
            <w:r w:rsidR="009346C3">
              <w:t>ram</w:t>
            </w:r>
          </w:p>
        </w:tc>
      </w:tr>
      <w:tr w:rsidR="009346C3" w14:paraId="0585004A" w14:textId="77777777" w:rsidTr="00772458">
        <w:tc>
          <w:tcPr>
            <w:tcW w:w="1111" w:type="pct"/>
          </w:tcPr>
          <w:p w14:paraId="72AEFAAE" w14:textId="77777777" w:rsidR="009346C3" w:rsidRDefault="009346C3" w:rsidP="00323CDE">
            <w:pPr>
              <w:pStyle w:val="APVMATableText"/>
            </w:pPr>
            <w:r>
              <w:t>h</w:t>
            </w:r>
          </w:p>
        </w:tc>
        <w:tc>
          <w:tcPr>
            <w:tcW w:w="3889" w:type="pct"/>
            <w:gridSpan w:val="2"/>
          </w:tcPr>
          <w:p w14:paraId="3DD3E856" w14:textId="77777777" w:rsidR="009346C3" w:rsidRDefault="00F84654" w:rsidP="00323CDE">
            <w:pPr>
              <w:pStyle w:val="APVMATableText"/>
            </w:pPr>
            <w:r>
              <w:t>H</w:t>
            </w:r>
            <w:r w:rsidR="009346C3">
              <w:t>our</w:t>
            </w:r>
          </w:p>
        </w:tc>
      </w:tr>
      <w:tr w:rsidR="009346C3" w14:paraId="36F9B009" w14:textId="77777777" w:rsidTr="00772458">
        <w:tc>
          <w:tcPr>
            <w:tcW w:w="1111" w:type="pct"/>
          </w:tcPr>
          <w:p w14:paraId="5A68D094" w14:textId="77777777" w:rsidR="009346C3" w:rsidRDefault="009346C3" w:rsidP="00323CDE">
            <w:pPr>
              <w:pStyle w:val="APVMATableText"/>
            </w:pPr>
            <w:r>
              <w:t>ha</w:t>
            </w:r>
          </w:p>
        </w:tc>
        <w:tc>
          <w:tcPr>
            <w:tcW w:w="3889" w:type="pct"/>
            <w:gridSpan w:val="2"/>
          </w:tcPr>
          <w:p w14:paraId="0216925D" w14:textId="77777777" w:rsidR="009346C3" w:rsidRDefault="00F84654" w:rsidP="00323CDE">
            <w:pPr>
              <w:pStyle w:val="APVMATableText"/>
            </w:pPr>
            <w:r>
              <w:t>H</w:t>
            </w:r>
            <w:r w:rsidR="009346C3">
              <w:t>ectare</w:t>
            </w:r>
          </w:p>
        </w:tc>
      </w:tr>
      <w:tr w:rsidR="009346C3" w14:paraId="681D05B5" w14:textId="77777777" w:rsidTr="00772458">
        <w:tc>
          <w:tcPr>
            <w:tcW w:w="1111" w:type="pct"/>
          </w:tcPr>
          <w:p w14:paraId="23E3103B" w14:textId="77777777" w:rsidR="009346C3" w:rsidRDefault="009346C3" w:rsidP="00323CDE">
            <w:pPr>
              <w:pStyle w:val="APVMATableText"/>
            </w:pPr>
            <w:r>
              <w:t>Hct</w:t>
            </w:r>
          </w:p>
        </w:tc>
        <w:tc>
          <w:tcPr>
            <w:tcW w:w="3889" w:type="pct"/>
            <w:gridSpan w:val="2"/>
          </w:tcPr>
          <w:p w14:paraId="58F27270" w14:textId="77777777" w:rsidR="009346C3" w:rsidRDefault="009346C3" w:rsidP="00323CDE">
            <w:pPr>
              <w:pStyle w:val="APVMATableText"/>
            </w:pPr>
            <w:proofErr w:type="spellStart"/>
            <w:r>
              <w:t>Heamatocrit</w:t>
            </w:r>
            <w:proofErr w:type="spellEnd"/>
          </w:p>
        </w:tc>
      </w:tr>
      <w:tr w:rsidR="009346C3" w14:paraId="0BAC6FCA" w14:textId="77777777" w:rsidTr="00772458">
        <w:tc>
          <w:tcPr>
            <w:tcW w:w="1111" w:type="pct"/>
          </w:tcPr>
          <w:p w14:paraId="3C70D47C" w14:textId="77777777" w:rsidR="009346C3" w:rsidRDefault="009346C3" w:rsidP="00323CDE">
            <w:pPr>
              <w:pStyle w:val="APVMATableText"/>
            </w:pPr>
            <w:r>
              <w:t>Hb</w:t>
            </w:r>
          </w:p>
        </w:tc>
        <w:tc>
          <w:tcPr>
            <w:tcW w:w="3889" w:type="pct"/>
            <w:gridSpan w:val="2"/>
          </w:tcPr>
          <w:p w14:paraId="4F9469D2" w14:textId="77777777" w:rsidR="009346C3" w:rsidRDefault="009346C3" w:rsidP="00323CDE">
            <w:pPr>
              <w:pStyle w:val="APVMATableText"/>
            </w:pPr>
            <w:r>
              <w:t>Haemoglobin</w:t>
            </w:r>
          </w:p>
        </w:tc>
      </w:tr>
      <w:tr w:rsidR="009346C3" w14:paraId="4699A373" w14:textId="77777777" w:rsidTr="00772458">
        <w:tc>
          <w:tcPr>
            <w:tcW w:w="1111" w:type="pct"/>
          </w:tcPr>
          <w:p w14:paraId="71494B55" w14:textId="77777777" w:rsidR="009346C3" w:rsidRDefault="009346C3" w:rsidP="00323CDE">
            <w:pPr>
              <w:pStyle w:val="APVMATableText"/>
            </w:pPr>
            <w:r>
              <w:t>HPLC</w:t>
            </w:r>
          </w:p>
        </w:tc>
        <w:tc>
          <w:tcPr>
            <w:tcW w:w="3889" w:type="pct"/>
            <w:gridSpan w:val="2"/>
          </w:tcPr>
          <w:p w14:paraId="23DBE980" w14:textId="6E445819" w:rsidR="009346C3" w:rsidRDefault="009346C3" w:rsidP="00323CDE">
            <w:pPr>
              <w:pStyle w:val="APVMATableText"/>
            </w:pPr>
            <w:r>
              <w:t xml:space="preserve">High </w:t>
            </w:r>
            <w:r w:rsidR="00B32A6B">
              <w:t xml:space="preserve">pressure liquid chromatography </w:t>
            </w:r>
            <w:r>
              <w:rPr>
                <w:i/>
              </w:rPr>
              <w:t>or</w:t>
            </w:r>
            <w:r>
              <w:t xml:space="preserve"> </w:t>
            </w:r>
            <w:r w:rsidR="00B32A6B">
              <w:t>high performance liquid chromatography</w:t>
            </w:r>
          </w:p>
        </w:tc>
      </w:tr>
      <w:tr w:rsidR="009346C3" w14:paraId="05F53B8A" w14:textId="77777777" w:rsidTr="00772458">
        <w:tc>
          <w:tcPr>
            <w:tcW w:w="1111" w:type="pct"/>
          </w:tcPr>
          <w:p w14:paraId="0F20455A" w14:textId="77777777" w:rsidR="009346C3" w:rsidRDefault="009346C3" w:rsidP="00323CDE">
            <w:pPr>
              <w:pStyle w:val="APVMATableText"/>
            </w:pPr>
            <w:r>
              <w:t>id</w:t>
            </w:r>
          </w:p>
        </w:tc>
        <w:tc>
          <w:tcPr>
            <w:tcW w:w="3889" w:type="pct"/>
            <w:gridSpan w:val="2"/>
          </w:tcPr>
          <w:p w14:paraId="6411479D" w14:textId="77777777" w:rsidR="009346C3" w:rsidRDefault="00F84654" w:rsidP="00323CDE">
            <w:pPr>
              <w:pStyle w:val="APVMATableText"/>
            </w:pPr>
            <w:r>
              <w:t>I</w:t>
            </w:r>
            <w:r w:rsidR="009346C3">
              <w:t>ntradermal</w:t>
            </w:r>
          </w:p>
        </w:tc>
      </w:tr>
      <w:tr w:rsidR="009346C3" w14:paraId="592B915A" w14:textId="77777777" w:rsidTr="00772458">
        <w:tc>
          <w:tcPr>
            <w:tcW w:w="1111" w:type="pct"/>
          </w:tcPr>
          <w:p w14:paraId="2BF9C705" w14:textId="77777777" w:rsidR="009346C3" w:rsidRDefault="009346C3" w:rsidP="00323CDE">
            <w:pPr>
              <w:pStyle w:val="APVMATableText"/>
            </w:pPr>
            <w:r>
              <w:t>im</w:t>
            </w:r>
          </w:p>
        </w:tc>
        <w:tc>
          <w:tcPr>
            <w:tcW w:w="3889" w:type="pct"/>
            <w:gridSpan w:val="2"/>
          </w:tcPr>
          <w:p w14:paraId="2854D2E6" w14:textId="77777777" w:rsidR="009346C3" w:rsidRDefault="00F84654" w:rsidP="00323CDE">
            <w:pPr>
              <w:pStyle w:val="APVMATableText"/>
            </w:pPr>
            <w:r>
              <w:t>I</w:t>
            </w:r>
            <w:r w:rsidR="009346C3">
              <w:t>ntramuscular</w:t>
            </w:r>
          </w:p>
        </w:tc>
      </w:tr>
      <w:tr w:rsidR="009346C3" w14:paraId="3BBB317A" w14:textId="77777777" w:rsidTr="00772458">
        <w:tc>
          <w:tcPr>
            <w:tcW w:w="1111" w:type="pct"/>
          </w:tcPr>
          <w:p w14:paraId="777414B1" w14:textId="77777777" w:rsidR="009346C3" w:rsidRDefault="009346C3" w:rsidP="00323CDE">
            <w:pPr>
              <w:pStyle w:val="APVMATableText"/>
            </w:pPr>
            <w:proofErr w:type="spellStart"/>
            <w:r>
              <w:t>ip</w:t>
            </w:r>
            <w:proofErr w:type="spellEnd"/>
          </w:p>
        </w:tc>
        <w:tc>
          <w:tcPr>
            <w:tcW w:w="3889" w:type="pct"/>
            <w:gridSpan w:val="2"/>
          </w:tcPr>
          <w:p w14:paraId="3B4AB2D4" w14:textId="77777777" w:rsidR="009346C3" w:rsidRDefault="00F84654" w:rsidP="00323CDE">
            <w:pPr>
              <w:pStyle w:val="APVMATableText"/>
            </w:pPr>
            <w:r>
              <w:t>I</w:t>
            </w:r>
            <w:r w:rsidR="009346C3">
              <w:t>ntraperitoneal</w:t>
            </w:r>
          </w:p>
        </w:tc>
      </w:tr>
      <w:tr w:rsidR="009346C3" w14:paraId="1D40009E" w14:textId="77777777" w:rsidTr="00772458">
        <w:tc>
          <w:tcPr>
            <w:tcW w:w="1111" w:type="pct"/>
          </w:tcPr>
          <w:p w14:paraId="1765F395" w14:textId="77777777" w:rsidR="009346C3" w:rsidRDefault="009346C3" w:rsidP="00323CDE">
            <w:pPr>
              <w:pStyle w:val="APVMATableText"/>
            </w:pPr>
            <w:r>
              <w:t>IPM</w:t>
            </w:r>
          </w:p>
        </w:tc>
        <w:tc>
          <w:tcPr>
            <w:tcW w:w="3889" w:type="pct"/>
            <w:gridSpan w:val="2"/>
          </w:tcPr>
          <w:p w14:paraId="3D3E61F0" w14:textId="35C8EB04" w:rsidR="009346C3" w:rsidRDefault="009346C3" w:rsidP="00323CDE">
            <w:pPr>
              <w:pStyle w:val="APVMATableText"/>
            </w:pPr>
            <w:r>
              <w:t xml:space="preserve">Integrated </w:t>
            </w:r>
            <w:r w:rsidR="00B32A6B">
              <w:t>pest management</w:t>
            </w:r>
          </w:p>
        </w:tc>
      </w:tr>
      <w:tr w:rsidR="009346C3" w14:paraId="08CBE572" w14:textId="77777777" w:rsidTr="00772458">
        <w:tc>
          <w:tcPr>
            <w:tcW w:w="1111" w:type="pct"/>
          </w:tcPr>
          <w:p w14:paraId="3B646B5D" w14:textId="77777777" w:rsidR="009346C3" w:rsidRDefault="009346C3" w:rsidP="00323CDE">
            <w:pPr>
              <w:pStyle w:val="APVMATableText"/>
              <w:rPr>
                <w:i/>
              </w:rPr>
            </w:pPr>
            <w:r>
              <w:t>iv</w:t>
            </w:r>
          </w:p>
        </w:tc>
        <w:tc>
          <w:tcPr>
            <w:tcW w:w="3889" w:type="pct"/>
            <w:gridSpan w:val="2"/>
          </w:tcPr>
          <w:p w14:paraId="1677B0F2" w14:textId="77777777" w:rsidR="009346C3" w:rsidRDefault="00F84654" w:rsidP="00323CDE">
            <w:pPr>
              <w:pStyle w:val="APVMATableText"/>
            </w:pPr>
            <w:r>
              <w:t>I</w:t>
            </w:r>
            <w:r w:rsidR="009346C3">
              <w:t>ntravenous</w:t>
            </w:r>
          </w:p>
        </w:tc>
      </w:tr>
      <w:tr w:rsidR="009346C3" w14:paraId="609ABB48" w14:textId="77777777" w:rsidTr="00772458">
        <w:tc>
          <w:tcPr>
            <w:tcW w:w="1111" w:type="pct"/>
          </w:tcPr>
          <w:p w14:paraId="112DFC5E" w14:textId="77777777" w:rsidR="009346C3" w:rsidRPr="00424637" w:rsidRDefault="009346C3" w:rsidP="00323CDE">
            <w:pPr>
              <w:pStyle w:val="APVMATableText"/>
              <w:rPr>
                <w:i/>
                <w:iCs/>
              </w:rPr>
            </w:pPr>
            <w:r w:rsidRPr="00424637">
              <w:rPr>
                <w:i/>
                <w:iCs/>
              </w:rPr>
              <w:t>in vitro</w:t>
            </w:r>
          </w:p>
        </w:tc>
        <w:tc>
          <w:tcPr>
            <w:tcW w:w="3889" w:type="pct"/>
            <w:gridSpan w:val="2"/>
          </w:tcPr>
          <w:p w14:paraId="2C374D3C" w14:textId="7E864727" w:rsidR="009346C3" w:rsidRDefault="00B32A6B" w:rsidP="00323CDE">
            <w:pPr>
              <w:pStyle w:val="APVMATableText"/>
            </w:pPr>
            <w:r>
              <w:t xml:space="preserve">Outside </w:t>
            </w:r>
            <w:r w:rsidR="009346C3">
              <w:t>the living body and in an artificial environment</w:t>
            </w:r>
          </w:p>
        </w:tc>
      </w:tr>
      <w:tr w:rsidR="009346C3" w14:paraId="1A965CFF" w14:textId="77777777" w:rsidTr="00772458">
        <w:tc>
          <w:tcPr>
            <w:tcW w:w="1111" w:type="pct"/>
          </w:tcPr>
          <w:p w14:paraId="2B0F93BF" w14:textId="77777777" w:rsidR="009346C3" w:rsidRPr="00424637" w:rsidRDefault="009346C3" w:rsidP="00323CDE">
            <w:pPr>
              <w:pStyle w:val="APVMATableText"/>
              <w:rPr>
                <w:i/>
                <w:iCs/>
              </w:rPr>
            </w:pPr>
            <w:r w:rsidRPr="00424637">
              <w:rPr>
                <w:i/>
                <w:iCs/>
              </w:rPr>
              <w:t>in vivo</w:t>
            </w:r>
          </w:p>
        </w:tc>
        <w:tc>
          <w:tcPr>
            <w:tcW w:w="3889" w:type="pct"/>
            <w:gridSpan w:val="2"/>
          </w:tcPr>
          <w:p w14:paraId="0FA3D105" w14:textId="7213B9F3" w:rsidR="009346C3" w:rsidRDefault="00B32A6B" w:rsidP="00323CDE">
            <w:pPr>
              <w:pStyle w:val="APVMATableText"/>
            </w:pPr>
            <w:r>
              <w:t xml:space="preserve">Inside </w:t>
            </w:r>
            <w:r w:rsidR="009346C3">
              <w:t>the living body of a plant or animal</w:t>
            </w:r>
          </w:p>
        </w:tc>
      </w:tr>
      <w:tr w:rsidR="009346C3" w14:paraId="270AEC25" w14:textId="77777777" w:rsidTr="00772458">
        <w:tc>
          <w:tcPr>
            <w:tcW w:w="1111" w:type="pct"/>
          </w:tcPr>
          <w:p w14:paraId="157A749C" w14:textId="77777777" w:rsidR="009346C3" w:rsidRDefault="009346C3" w:rsidP="00323CDE">
            <w:pPr>
              <w:pStyle w:val="APVMATableText"/>
            </w:pPr>
            <w:r>
              <w:t>kg</w:t>
            </w:r>
          </w:p>
        </w:tc>
        <w:tc>
          <w:tcPr>
            <w:tcW w:w="3889" w:type="pct"/>
            <w:gridSpan w:val="2"/>
          </w:tcPr>
          <w:p w14:paraId="15D85393" w14:textId="77777777" w:rsidR="009346C3" w:rsidRDefault="00F84654" w:rsidP="00323CDE">
            <w:pPr>
              <w:pStyle w:val="APVMATableText"/>
            </w:pPr>
            <w:r>
              <w:t>K</w:t>
            </w:r>
            <w:r w:rsidR="009346C3">
              <w:t>ilogram</w:t>
            </w:r>
          </w:p>
        </w:tc>
      </w:tr>
      <w:tr w:rsidR="009346C3" w14:paraId="162558C7" w14:textId="77777777" w:rsidTr="00772458">
        <w:tc>
          <w:tcPr>
            <w:tcW w:w="1111" w:type="pct"/>
          </w:tcPr>
          <w:p w14:paraId="691214B1" w14:textId="77777777" w:rsidR="009346C3" w:rsidRDefault="009346C3" w:rsidP="00323CDE">
            <w:pPr>
              <w:pStyle w:val="APVMATableText"/>
            </w:pPr>
            <w:r>
              <w:t>K</w:t>
            </w:r>
            <w:r w:rsidRPr="009A5578">
              <w:rPr>
                <w:vertAlign w:val="subscript"/>
              </w:rPr>
              <w:t>OC</w:t>
            </w:r>
          </w:p>
        </w:tc>
        <w:tc>
          <w:tcPr>
            <w:tcW w:w="3889" w:type="pct"/>
            <w:gridSpan w:val="2"/>
          </w:tcPr>
          <w:p w14:paraId="75B0AE8D" w14:textId="77777777" w:rsidR="009346C3" w:rsidRDefault="009346C3" w:rsidP="00323CDE">
            <w:pPr>
              <w:pStyle w:val="APVMATableText"/>
            </w:pPr>
            <w:r>
              <w:t>Organic carbon partitioning coefficient</w:t>
            </w:r>
          </w:p>
        </w:tc>
      </w:tr>
      <w:tr w:rsidR="009346C3" w14:paraId="45B02645" w14:textId="77777777" w:rsidTr="00772458">
        <w:tc>
          <w:tcPr>
            <w:tcW w:w="1111" w:type="pct"/>
          </w:tcPr>
          <w:p w14:paraId="31CB8005" w14:textId="77777777" w:rsidR="009346C3" w:rsidRDefault="009346C3" w:rsidP="00323CDE">
            <w:pPr>
              <w:pStyle w:val="APVMATableText"/>
            </w:pPr>
            <w:r>
              <w:t>L</w:t>
            </w:r>
          </w:p>
        </w:tc>
        <w:tc>
          <w:tcPr>
            <w:tcW w:w="3889" w:type="pct"/>
            <w:gridSpan w:val="2"/>
          </w:tcPr>
          <w:p w14:paraId="66FAFC5B" w14:textId="77777777" w:rsidR="009346C3" w:rsidRDefault="009346C3" w:rsidP="00323CDE">
            <w:pPr>
              <w:pStyle w:val="APVMATableText"/>
            </w:pPr>
            <w:r>
              <w:t>Litre</w:t>
            </w:r>
          </w:p>
        </w:tc>
      </w:tr>
      <w:tr w:rsidR="009346C3" w14:paraId="63FDE793" w14:textId="77777777" w:rsidTr="00772458">
        <w:tc>
          <w:tcPr>
            <w:tcW w:w="1111" w:type="pct"/>
          </w:tcPr>
          <w:p w14:paraId="11B8FE89" w14:textId="77777777" w:rsidR="009346C3" w:rsidRDefault="009346C3" w:rsidP="00323CDE">
            <w:pPr>
              <w:pStyle w:val="APVMATableText"/>
              <w:rPr>
                <w:i/>
              </w:rPr>
            </w:pPr>
            <w:r>
              <w:lastRenderedPageBreak/>
              <w:t>LC</w:t>
            </w:r>
            <w:r>
              <w:rPr>
                <w:vertAlign w:val="subscript"/>
              </w:rPr>
              <w:t>50</w:t>
            </w:r>
          </w:p>
        </w:tc>
        <w:tc>
          <w:tcPr>
            <w:tcW w:w="3889" w:type="pct"/>
            <w:gridSpan w:val="2"/>
          </w:tcPr>
          <w:p w14:paraId="01097C9B" w14:textId="58525B7A" w:rsidR="009346C3" w:rsidRDefault="00B32A6B" w:rsidP="00323CDE">
            <w:pPr>
              <w:pStyle w:val="APVMATableText"/>
            </w:pPr>
            <w:r>
              <w:t xml:space="preserve">Concentration </w:t>
            </w:r>
            <w:r w:rsidR="009346C3">
              <w:t>that kills 50% of the test population of organisms</w:t>
            </w:r>
          </w:p>
        </w:tc>
      </w:tr>
      <w:tr w:rsidR="009346C3" w14:paraId="623ACF77" w14:textId="77777777" w:rsidTr="00772458">
        <w:tc>
          <w:tcPr>
            <w:tcW w:w="1111" w:type="pct"/>
          </w:tcPr>
          <w:p w14:paraId="1EA9E51F" w14:textId="77777777" w:rsidR="009346C3" w:rsidRDefault="009346C3" w:rsidP="00323CDE">
            <w:pPr>
              <w:pStyle w:val="APVMATableText"/>
            </w:pPr>
            <w:r>
              <w:t>LD</w:t>
            </w:r>
            <w:r>
              <w:rPr>
                <w:vertAlign w:val="subscript"/>
              </w:rPr>
              <w:t>50</w:t>
            </w:r>
          </w:p>
        </w:tc>
        <w:tc>
          <w:tcPr>
            <w:tcW w:w="3889" w:type="pct"/>
            <w:gridSpan w:val="2"/>
          </w:tcPr>
          <w:p w14:paraId="76C798B8" w14:textId="28939D87" w:rsidR="009346C3" w:rsidRDefault="00B32A6B" w:rsidP="00323CDE">
            <w:pPr>
              <w:pStyle w:val="APVMATableText"/>
            </w:pPr>
            <w:r>
              <w:t xml:space="preserve">Dosage </w:t>
            </w:r>
            <w:r w:rsidR="009346C3">
              <w:t>of chemical that kills 50% of the test population of organisms</w:t>
            </w:r>
          </w:p>
        </w:tc>
      </w:tr>
      <w:tr w:rsidR="009346C3" w14:paraId="39FBE294" w14:textId="77777777" w:rsidTr="00772458">
        <w:tc>
          <w:tcPr>
            <w:tcW w:w="1111" w:type="pct"/>
          </w:tcPr>
          <w:p w14:paraId="0535F58E" w14:textId="77777777" w:rsidR="009346C3" w:rsidRDefault="009346C3" w:rsidP="00323CDE">
            <w:pPr>
              <w:pStyle w:val="APVMATableText"/>
            </w:pPr>
            <w:r>
              <w:t>LOD</w:t>
            </w:r>
          </w:p>
        </w:tc>
        <w:tc>
          <w:tcPr>
            <w:tcW w:w="3889" w:type="pct"/>
            <w:gridSpan w:val="2"/>
          </w:tcPr>
          <w:p w14:paraId="0219FC97" w14:textId="6C3EB905" w:rsidR="009346C3" w:rsidRDefault="007B74E9" w:rsidP="007B74E9">
            <w:pPr>
              <w:pStyle w:val="APVMATableText"/>
            </w:pPr>
            <w:r>
              <w:t xml:space="preserve">Limit of </w:t>
            </w:r>
            <w:r w:rsidR="00B32A6B">
              <w:t xml:space="preserve">detection – </w:t>
            </w:r>
            <w:r w:rsidR="009346C3">
              <w:t>level at which residues can be detected</w:t>
            </w:r>
          </w:p>
        </w:tc>
      </w:tr>
      <w:tr w:rsidR="009346C3" w14:paraId="07CDE3A5" w14:textId="77777777" w:rsidTr="00772458">
        <w:trPr>
          <w:gridAfter w:val="1"/>
          <w:wAfter w:w="93" w:type="pct"/>
        </w:trPr>
        <w:tc>
          <w:tcPr>
            <w:tcW w:w="1111" w:type="pct"/>
          </w:tcPr>
          <w:p w14:paraId="0F302AAD" w14:textId="77777777" w:rsidR="009346C3" w:rsidRDefault="009346C3" w:rsidP="00323CDE">
            <w:pPr>
              <w:pStyle w:val="APVMATableText"/>
            </w:pPr>
            <w:r>
              <w:t>Log K</w:t>
            </w:r>
            <w:r w:rsidRPr="009A5578">
              <w:rPr>
                <w:vertAlign w:val="subscript"/>
              </w:rPr>
              <w:t>OW</w:t>
            </w:r>
          </w:p>
        </w:tc>
        <w:tc>
          <w:tcPr>
            <w:tcW w:w="3796" w:type="pct"/>
          </w:tcPr>
          <w:p w14:paraId="45E1F056" w14:textId="77777777" w:rsidR="009346C3" w:rsidRDefault="009346C3" w:rsidP="00323CDE">
            <w:pPr>
              <w:pStyle w:val="APVMATableText"/>
            </w:pPr>
            <w:r>
              <w:t>Log to base 10 of octanol water partitioning co-efficient, synonym P</w:t>
            </w:r>
            <w:r w:rsidRPr="009A5578">
              <w:rPr>
                <w:vertAlign w:val="subscript"/>
              </w:rPr>
              <w:t>OW</w:t>
            </w:r>
          </w:p>
        </w:tc>
      </w:tr>
      <w:tr w:rsidR="009346C3" w14:paraId="232ACB77" w14:textId="77777777" w:rsidTr="00772458">
        <w:tc>
          <w:tcPr>
            <w:tcW w:w="1111" w:type="pct"/>
          </w:tcPr>
          <w:p w14:paraId="00A2E09A" w14:textId="77777777" w:rsidR="009346C3" w:rsidRDefault="009346C3" w:rsidP="00323CDE">
            <w:pPr>
              <w:pStyle w:val="APVMATableText"/>
            </w:pPr>
            <w:r>
              <w:t>LOQ</w:t>
            </w:r>
          </w:p>
        </w:tc>
        <w:tc>
          <w:tcPr>
            <w:tcW w:w="3889" w:type="pct"/>
            <w:gridSpan w:val="2"/>
          </w:tcPr>
          <w:p w14:paraId="038F1524" w14:textId="27D06621" w:rsidR="009346C3" w:rsidRDefault="009346C3" w:rsidP="007B74E9">
            <w:pPr>
              <w:pStyle w:val="APVMATableText"/>
            </w:pPr>
            <w:r>
              <w:t xml:space="preserve">Limit of </w:t>
            </w:r>
            <w:r w:rsidR="00B32A6B">
              <w:t xml:space="preserve">quantitation – </w:t>
            </w:r>
            <w:r>
              <w:t>level at which residues can be quantified</w:t>
            </w:r>
          </w:p>
        </w:tc>
      </w:tr>
      <w:tr w:rsidR="009346C3" w14:paraId="2B96396C" w14:textId="77777777" w:rsidTr="00772458">
        <w:tc>
          <w:tcPr>
            <w:tcW w:w="1111" w:type="pct"/>
          </w:tcPr>
          <w:p w14:paraId="3BCC5AD9" w14:textId="77777777" w:rsidR="009346C3" w:rsidRDefault="009346C3" w:rsidP="00323CDE">
            <w:pPr>
              <w:pStyle w:val="APVMATableText"/>
            </w:pPr>
            <w:r>
              <w:t>mg</w:t>
            </w:r>
          </w:p>
        </w:tc>
        <w:tc>
          <w:tcPr>
            <w:tcW w:w="3889" w:type="pct"/>
            <w:gridSpan w:val="2"/>
          </w:tcPr>
          <w:p w14:paraId="29C5FD61" w14:textId="77777777" w:rsidR="009346C3" w:rsidRDefault="00F84654" w:rsidP="00323CDE">
            <w:pPr>
              <w:pStyle w:val="APVMATableText"/>
            </w:pPr>
            <w:r>
              <w:t>M</w:t>
            </w:r>
            <w:r w:rsidR="009346C3">
              <w:t>illigram</w:t>
            </w:r>
          </w:p>
        </w:tc>
      </w:tr>
      <w:tr w:rsidR="009346C3" w14:paraId="0ACE5581" w14:textId="77777777" w:rsidTr="00772458">
        <w:tc>
          <w:tcPr>
            <w:tcW w:w="1111" w:type="pct"/>
          </w:tcPr>
          <w:p w14:paraId="3D25AD24" w14:textId="77777777" w:rsidR="009346C3" w:rsidRDefault="009346C3" w:rsidP="00323CDE">
            <w:pPr>
              <w:pStyle w:val="APVMATableText"/>
            </w:pPr>
            <w:r>
              <w:t>mL</w:t>
            </w:r>
          </w:p>
        </w:tc>
        <w:tc>
          <w:tcPr>
            <w:tcW w:w="3889" w:type="pct"/>
            <w:gridSpan w:val="2"/>
          </w:tcPr>
          <w:p w14:paraId="69700DCD" w14:textId="77777777" w:rsidR="009346C3" w:rsidRDefault="00F84654" w:rsidP="00323CDE">
            <w:pPr>
              <w:pStyle w:val="APVMATableText"/>
            </w:pPr>
            <w:r>
              <w:t>M</w:t>
            </w:r>
            <w:r w:rsidR="009346C3">
              <w:t>illilitre</w:t>
            </w:r>
          </w:p>
        </w:tc>
      </w:tr>
      <w:tr w:rsidR="009346C3" w14:paraId="4A85CFBD" w14:textId="77777777" w:rsidTr="00772458">
        <w:tc>
          <w:tcPr>
            <w:tcW w:w="1111" w:type="pct"/>
          </w:tcPr>
          <w:p w14:paraId="28B2FC26" w14:textId="77777777" w:rsidR="009346C3" w:rsidRDefault="009346C3" w:rsidP="00323CDE">
            <w:pPr>
              <w:pStyle w:val="APVMATableText"/>
            </w:pPr>
            <w:r>
              <w:t>MRL</w:t>
            </w:r>
          </w:p>
        </w:tc>
        <w:tc>
          <w:tcPr>
            <w:tcW w:w="3889" w:type="pct"/>
            <w:gridSpan w:val="2"/>
          </w:tcPr>
          <w:p w14:paraId="757FFFD0" w14:textId="77777777" w:rsidR="009346C3" w:rsidRDefault="009346C3" w:rsidP="00323CDE">
            <w:pPr>
              <w:pStyle w:val="APVMATableText"/>
            </w:pPr>
            <w:r>
              <w:t>Maximum Residue Limit</w:t>
            </w:r>
          </w:p>
        </w:tc>
      </w:tr>
      <w:tr w:rsidR="009346C3" w14:paraId="1ABF7811" w14:textId="77777777" w:rsidTr="00772458">
        <w:tc>
          <w:tcPr>
            <w:tcW w:w="1111" w:type="pct"/>
          </w:tcPr>
          <w:p w14:paraId="0A7F6533" w14:textId="77777777" w:rsidR="009346C3" w:rsidRDefault="009346C3" w:rsidP="00323CDE">
            <w:pPr>
              <w:pStyle w:val="APVMATableText"/>
            </w:pPr>
            <w:r>
              <w:t>MSDS</w:t>
            </w:r>
          </w:p>
        </w:tc>
        <w:tc>
          <w:tcPr>
            <w:tcW w:w="3889" w:type="pct"/>
            <w:gridSpan w:val="2"/>
          </w:tcPr>
          <w:p w14:paraId="5459F958" w14:textId="77777777" w:rsidR="009346C3" w:rsidRDefault="009346C3" w:rsidP="00323CDE">
            <w:pPr>
              <w:pStyle w:val="APVMATableText"/>
            </w:pPr>
            <w:r>
              <w:t>Material Safety Data Sheet</w:t>
            </w:r>
          </w:p>
        </w:tc>
      </w:tr>
      <w:tr w:rsidR="009346C3" w14:paraId="06C53B66" w14:textId="77777777" w:rsidTr="00772458">
        <w:tc>
          <w:tcPr>
            <w:tcW w:w="1111" w:type="pct"/>
          </w:tcPr>
          <w:p w14:paraId="3E6DE883" w14:textId="77777777" w:rsidR="009346C3" w:rsidRDefault="009346C3" w:rsidP="00323CDE">
            <w:pPr>
              <w:pStyle w:val="APVMATableText"/>
            </w:pPr>
            <w:r>
              <w:t>NEDI</w:t>
            </w:r>
          </w:p>
        </w:tc>
        <w:tc>
          <w:tcPr>
            <w:tcW w:w="3889" w:type="pct"/>
            <w:gridSpan w:val="2"/>
          </w:tcPr>
          <w:p w14:paraId="197DB63F" w14:textId="77777777" w:rsidR="009346C3" w:rsidRDefault="009346C3" w:rsidP="00323CDE">
            <w:pPr>
              <w:pStyle w:val="APVMATableText"/>
            </w:pPr>
            <w:r>
              <w:t>National Estimated Daily Intake</w:t>
            </w:r>
          </w:p>
        </w:tc>
      </w:tr>
      <w:tr w:rsidR="009346C3" w14:paraId="6FCE0C8F" w14:textId="77777777" w:rsidTr="00772458">
        <w:tc>
          <w:tcPr>
            <w:tcW w:w="1111" w:type="pct"/>
          </w:tcPr>
          <w:p w14:paraId="5784677C" w14:textId="77777777" w:rsidR="009346C3" w:rsidRDefault="009346C3" w:rsidP="00323CDE">
            <w:pPr>
              <w:pStyle w:val="APVMATableText"/>
            </w:pPr>
            <w:r>
              <w:t>NESTI</w:t>
            </w:r>
          </w:p>
        </w:tc>
        <w:tc>
          <w:tcPr>
            <w:tcW w:w="3889" w:type="pct"/>
            <w:gridSpan w:val="2"/>
          </w:tcPr>
          <w:p w14:paraId="0D82D911" w14:textId="00EAC154" w:rsidR="009346C3" w:rsidRDefault="009346C3" w:rsidP="00323CDE">
            <w:pPr>
              <w:pStyle w:val="APVMATableText"/>
            </w:pPr>
            <w:r>
              <w:t xml:space="preserve">National Estimated </w:t>
            </w:r>
            <w:r w:rsidR="00B32A6B">
              <w:t>Short-Term</w:t>
            </w:r>
            <w:r>
              <w:t xml:space="preserve"> Intake</w:t>
            </w:r>
          </w:p>
        </w:tc>
      </w:tr>
      <w:tr w:rsidR="009346C3" w14:paraId="7ACF04B3" w14:textId="77777777" w:rsidTr="00772458">
        <w:tc>
          <w:tcPr>
            <w:tcW w:w="1111" w:type="pct"/>
          </w:tcPr>
          <w:p w14:paraId="4EC4AA4E" w14:textId="77777777" w:rsidR="009346C3" w:rsidRDefault="009346C3" w:rsidP="00323CDE">
            <w:pPr>
              <w:pStyle w:val="APVMATableText"/>
            </w:pPr>
            <w:r>
              <w:t>ng</w:t>
            </w:r>
          </w:p>
        </w:tc>
        <w:tc>
          <w:tcPr>
            <w:tcW w:w="3889" w:type="pct"/>
            <w:gridSpan w:val="2"/>
          </w:tcPr>
          <w:p w14:paraId="69C662F3" w14:textId="77777777" w:rsidR="009346C3" w:rsidRDefault="00F84654" w:rsidP="00323CDE">
            <w:pPr>
              <w:pStyle w:val="APVMATableText"/>
            </w:pPr>
            <w:r>
              <w:t>N</w:t>
            </w:r>
            <w:r w:rsidR="009346C3">
              <w:t>anogram</w:t>
            </w:r>
          </w:p>
        </w:tc>
      </w:tr>
      <w:tr w:rsidR="009346C3" w14:paraId="77013A8E" w14:textId="77777777" w:rsidTr="00772458">
        <w:tc>
          <w:tcPr>
            <w:tcW w:w="1111" w:type="pct"/>
          </w:tcPr>
          <w:p w14:paraId="72F453F7" w14:textId="77777777" w:rsidR="009346C3" w:rsidRDefault="009346C3" w:rsidP="00323CDE">
            <w:pPr>
              <w:pStyle w:val="APVMATableText"/>
            </w:pPr>
            <w:r>
              <w:t>NHMRC</w:t>
            </w:r>
          </w:p>
        </w:tc>
        <w:tc>
          <w:tcPr>
            <w:tcW w:w="3889" w:type="pct"/>
            <w:gridSpan w:val="2"/>
          </w:tcPr>
          <w:p w14:paraId="22461E32" w14:textId="77777777" w:rsidR="009346C3" w:rsidRDefault="009346C3" w:rsidP="00323CDE">
            <w:pPr>
              <w:pStyle w:val="APVMATableText"/>
            </w:pPr>
            <w:r>
              <w:t>National Health and Medical Research Council</w:t>
            </w:r>
          </w:p>
        </w:tc>
      </w:tr>
      <w:tr w:rsidR="009346C3" w14:paraId="30C0D04B" w14:textId="77777777" w:rsidTr="00772458">
        <w:tc>
          <w:tcPr>
            <w:tcW w:w="1111" w:type="pct"/>
          </w:tcPr>
          <w:p w14:paraId="053043FD" w14:textId="77777777" w:rsidR="009346C3" w:rsidRDefault="009346C3" w:rsidP="00323CDE">
            <w:pPr>
              <w:pStyle w:val="APVMATableText"/>
            </w:pPr>
            <w:r>
              <w:t>NOEC/NOEL</w:t>
            </w:r>
          </w:p>
        </w:tc>
        <w:tc>
          <w:tcPr>
            <w:tcW w:w="3889" w:type="pct"/>
            <w:gridSpan w:val="2"/>
          </w:tcPr>
          <w:p w14:paraId="27ACF1B1" w14:textId="45E90829" w:rsidR="009346C3" w:rsidRDefault="009346C3" w:rsidP="00323CDE">
            <w:pPr>
              <w:pStyle w:val="APVMATableText"/>
            </w:pPr>
            <w:r>
              <w:t xml:space="preserve">No </w:t>
            </w:r>
            <w:r w:rsidR="00B32A6B">
              <w:t>observable effect concentration level</w:t>
            </w:r>
          </w:p>
        </w:tc>
      </w:tr>
      <w:tr w:rsidR="009346C3" w14:paraId="321D5F3D" w14:textId="77777777" w:rsidTr="00772458">
        <w:tc>
          <w:tcPr>
            <w:tcW w:w="1111" w:type="pct"/>
          </w:tcPr>
          <w:p w14:paraId="7003A18A" w14:textId="77777777" w:rsidR="009346C3" w:rsidRDefault="009346C3" w:rsidP="00323CDE">
            <w:pPr>
              <w:pStyle w:val="APVMATableText"/>
            </w:pPr>
            <w:r>
              <w:t>NOAEL</w:t>
            </w:r>
          </w:p>
        </w:tc>
        <w:tc>
          <w:tcPr>
            <w:tcW w:w="3889" w:type="pct"/>
            <w:gridSpan w:val="2"/>
          </w:tcPr>
          <w:p w14:paraId="5659123C" w14:textId="05FE613B" w:rsidR="009346C3" w:rsidRDefault="009346C3" w:rsidP="00323CDE">
            <w:pPr>
              <w:pStyle w:val="APVMATableText"/>
            </w:pPr>
            <w:r>
              <w:t xml:space="preserve">No </w:t>
            </w:r>
            <w:r w:rsidR="00B32A6B">
              <w:t>observed adverse effect level</w:t>
            </w:r>
          </w:p>
        </w:tc>
      </w:tr>
      <w:tr w:rsidR="009346C3" w14:paraId="78D6754B" w14:textId="77777777" w:rsidTr="00772458">
        <w:tc>
          <w:tcPr>
            <w:tcW w:w="1111" w:type="pct"/>
          </w:tcPr>
          <w:p w14:paraId="2BDB8007" w14:textId="77777777" w:rsidR="009346C3" w:rsidRDefault="009346C3" w:rsidP="00323CDE">
            <w:pPr>
              <w:pStyle w:val="APVMATableText"/>
            </w:pPr>
            <w:r>
              <w:t>OC</w:t>
            </w:r>
          </w:p>
        </w:tc>
        <w:tc>
          <w:tcPr>
            <w:tcW w:w="3889" w:type="pct"/>
            <w:gridSpan w:val="2"/>
          </w:tcPr>
          <w:p w14:paraId="1ECB505B" w14:textId="312355A8" w:rsidR="009346C3" w:rsidRDefault="009346C3" w:rsidP="00323CDE">
            <w:pPr>
              <w:pStyle w:val="APVMATableText"/>
            </w:pPr>
            <w:r>
              <w:t xml:space="preserve">Organic </w:t>
            </w:r>
            <w:r w:rsidR="00B32A6B">
              <w:t>carbon</w:t>
            </w:r>
          </w:p>
        </w:tc>
      </w:tr>
      <w:tr w:rsidR="009346C3" w14:paraId="2B1FDC18" w14:textId="77777777" w:rsidTr="00772458">
        <w:tc>
          <w:tcPr>
            <w:tcW w:w="1111" w:type="pct"/>
          </w:tcPr>
          <w:p w14:paraId="565EADF7" w14:textId="77777777" w:rsidR="009346C3" w:rsidRDefault="009346C3" w:rsidP="00323CDE">
            <w:pPr>
              <w:pStyle w:val="APVMATableText"/>
            </w:pPr>
            <w:r>
              <w:t xml:space="preserve">OM </w:t>
            </w:r>
          </w:p>
        </w:tc>
        <w:tc>
          <w:tcPr>
            <w:tcW w:w="3889" w:type="pct"/>
            <w:gridSpan w:val="2"/>
          </w:tcPr>
          <w:p w14:paraId="0944AFFB" w14:textId="3C05E2BC" w:rsidR="009346C3" w:rsidRDefault="009346C3" w:rsidP="00323CDE">
            <w:pPr>
              <w:pStyle w:val="APVMATableText"/>
            </w:pPr>
            <w:r>
              <w:t xml:space="preserve">Organic </w:t>
            </w:r>
            <w:r w:rsidR="00B32A6B">
              <w:t>matter</w:t>
            </w:r>
          </w:p>
        </w:tc>
      </w:tr>
      <w:tr w:rsidR="009346C3" w14:paraId="5AD8116C" w14:textId="77777777" w:rsidTr="00772458">
        <w:tc>
          <w:tcPr>
            <w:tcW w:w="1111" w:type="pct"/>
          </w:tcPr>
          <w:p w14:paraId="004B4922" w14:textId="77777777" w:rsidR="009346C3" w:rsidRDefault="009346C3" w:rsidP="00323CDE">
            <w:pPr>
              <w:pStyle w:val="APVMATableText"/>
            </w:pPr>
            <w:r>
              <w:t>po</w:t>
            </w:r>
          </w:p>
        </w:tc>
        <w:tc>
          <w:tcPr>
            <w:tcW w:w="3889" w:type="pct"/>
            <w:gridSpan w:val="2"/>
          </w:tcPr>
          <w:p w14:paraId="63414A9B" w14:textId="77777777" w:rsidR="009346C3" w:rsidRDefault="00F84654" w:rsidP="00323CDE">
            <w:pPr>
              <w:pStyle w:val="APVMATableText"/>
            </w:pPr>
            <w:r>
              <w:t>O</w:t>
            </w:r>
            <w:r w:rsidR="009346C3">
              <w:t>ral</w:t>
            </w:r>
          </w:p>
        </w:tc>
      </w:tr>
      <w:tr w:rsidR="009346C3" w14:paraId="63562F28" w14:textId="77777777" w:rsidTr="00772458">
        <w:tc>
          <w:tcPr>
            <w:tcW w:w="1111" w:type="pct"/>
          </w:tcPr>
          <w:p w14:paraId="2E2140CA" w14:textId="77777777" w:rsidR="009346C3" w:rsidRDefault="009346C3" w:rsidP="00323CDE">
            <w:pPr>
              <w:pStyle w:val="APVMATableText"/>
            </w:pPr>
            <w:r>
              <w:t>ppb</w:t>
            </w:r>
          </w:p>
        </w:tc>
        <w:tc>
          <w:tcPr>
            <w:tcW w:w="3889" w:type="pct"/>
            <w:gridSpan w:val="2"/>
          </w:tcPr>
          <w:p w14:paraId="4CBF5615" w14:textId="69D2C41B" w:rsidR="009346C3" w:rsidRDefault="00B32A6B" w:rsidP="00323CDE">
            <w:pPr>
              <w:pStyle w:val="APVMATableText"/>
            </w:pPr>
            <w:r>
              <w:t xml:space="preserve">Parts </w:t>
            </w:r>
            <w:r w:rsidR="009346C3">
              <w:t>per billion</w:t>
            </w:r>
          </w:p>
        </w:tc>
      </w:tr>
      <w:tr w:rsidR="009346C3" w14:paraId="7ADA585D" w14:textId="77777777" w:rsidTr="00772458">
        <w:tc>
          <w:tcPr>
            <w:tcW w:w="1111" w:type="pct"/>
          </w:tcPr>
          <w:p w14:paraId="7C5BEEF7" w14:textId="77777777" w:rsidR="009346C3" w:rsidRDefault="009346C3" w:rsidP="00323CDE">
            <w:pPr>
              <w:pStyle w:val="APVMATableText"/>
            </w:pPr>
            <w:r>
              <w:t>PPE</w:t>
            </w:r>
          </w:p>
        </w:tc>
        <w:tc>
          <w:tcPr>
            <w:tcW w:w="3889" w:type="pct"/>
            <w:gridSpan w:val="2"/>
          </w:tcPr>
          <w:p w14:paraId="6DEB66F9" w14:textId="3CF71A09" w:rsidR="009346C3" w:rsidRDefault="009346C3" w:rsidP="00323CDE">
            <w:pPr>
              <w:pStyle w:val="APVMATableText"/>
            </w:pPr>
            <w:r>
              <w:t xml:space="preserve">Personal </w:t>
            </w:r>
            <w:r w:rsidR="00B32A6B">
              <w:t>protective equipment</w:t>
            </w:r>
          </w:p>
        </w:tc>
      </w:tr>
      <w:tr w:rsidR="009346C3" w14:paraId="20EF15A2" w14:textId="77777777" w:rsidTr="00772458">
        <w:tc>
          <w:tcPr>
            <w:tcW w:w="1111" w:type="pct"/>
          </w:tcPr>
          <w:p w14:paraId="257CD602" w14:textId="77777777" w:rsidR="009346C3" w:rsidRDefault="009346C3" w:rsidP="00323CDE">
            <w:pPr>
              <w:pStyle w:val="APVMATableText"/>
            </w:pPr>
            <w:r>
              <w:t>ppm</w:t>
            </w:r>
          </w:p>
        </w:tc>
        <w:tc>
          <w:tcPr>
            <w:tcW w:w="3889" w:type="pct"/>
            <w:gridSpan w:val="2"/>
          </w:tcPr>
          <w:p w14:paraId="412AC5B2" w14:textId="27927463" w:rsidR="009346C3" w:rsidRDefault="00B32A6B" w:rsidP="00323CDE">
            <w:pPr>
              <w:pStyle w:val="APVMATableText"/>
            </w:pPr>
            <w:r>
              <w:t xml:space="preserve">Parts </w:t>
            </w:r>
            <w:r w:rsidR="009346C3">
              <w:t>per million</w:t>
            </w:r>
          </w:p>
        </w:tc>
      </w:tr>
      <w:tr w:rsidR="009346C3" w14:paraId="5E14A40D" w14:textId="77777777" w:rsidTr="00772458">
        <w:tc>
          <w:tcPr>
            <w:tcW w:w="1111" w:type="pct"/>
          </w:tcPr>
          <w:p w14:paraId="0F1DA4C6" w14:textId="77777777" w:rsidR="009346C3" w:rsidRDefault="009346C3" w:rsidP="00323CDE">
            <w:pPr>
              <w:pStyle w:val="APVMATableText"/>
            </w:pPr>
            <w:r>
              <w:t>Q-value</w:t>
            </w:r>
          </w:p>
        </w:tc>
        <w:tc>
          <w:tcPr>
            <w:tcW w:w="3889" w:type="pct"/>
            <w:gridSpan w:val="2"/>
          </w:tcPr>
          <w:p w14:paraId="7F46E6E4" w14:textId="77777777" w:rsidR="009346C3" w:rsidRDefault="009346C3" w:rsidP="00323CDE">
            <w:pPr>
              <w:pStyle w:val="APVMATableText"/>
            </w:pPr>
            <w:r>
              <w:t>Quotient-value</w:t>
            </w:r>
          </w:p>
        </w:tc>
      </w:tr>
      <w:tr w:rsidR="0076267D" w14:paraId="69C6D83C" w14:textId="77777777" w:rsidTr="00772458">
        <w:tc>
          <w:tcPr>
            <w:tcW w:w="1111" w:type="pct"/>
          </w:tcPr>
          <w:p w14:paraId="7A80CA46" w14:textId="65D19DC7" w:rsidR="0076267D" w:rsidRDefault="0076267D" w:rsidP="00323CDE">
            <w:pPr>
              <w:pStyle w:val="APVMATableText"/>
            </w:pPr>
            <w:r>
              <w:t>RAL</w:t>
            </w:r>
          </w:p>
        </w:tc>
        <w:tc>
          <w:tcPr>
            <w:tcW w:w="3889" w:type="pct"/>
            <w:gridSpan w:val="2"/>
          </w:tcPr>
          <w:p w14:paraId="39DCE195" w14:textId="220299AE" w:rsidR="0076267D" w:rsidRDefault="0076267D" w:rsidP="00323CDE">
            <w:pPr>
              <w:pStyle w:val="APVMATableText"/>
            </w:pPr>
            <w:r>
              <w:t>Regulatory Acceptable Level</w:t>
            </w:r>
          </w:p>
        </w:tc>
      </w:tr>
      <w:tr w:rsidR="009346C3" w14:paraId="1189C9E0" w14:textId="77777777" w:rsidTr="00772458">
        <w:tc>
          <w:tcPr>
            <w:tcW w:w="1111" w:type="pct"/>
          </w:tcPr>
          <w:p w14:paraId="58E65DDD" w14:textId="77777777" w:rsidR="009346C3" w:rsidRDefault="009346C3" w:rsidP="00323CDE">
            <w:pPr>
              <w:pStyle w:val="APVMATableText"/>
            </w:pPr>
            <w:r>
              <w:t>RBC</w:t>
            </w:r>
          </w:p>
        </w:tc>
        <w:tc>
          <w:tcPr>
            <w:tcW w:w="3889" w:type="pct"/>
            <w:gridSpan w:val="2"/>
          </w:tcPr>
          <w:p w14:paraId="18ABCAA5" w14:textId="03FB63D4" w:rsidR="009346C3" w:rsidRDefault="009346C3" w:rsidP="00323CDE">
            <w:pPr>
              <w:pStyle w:val="APVMATableText"/>
            </w:pPr>
            <w:r>
              <w:t xml:space="preserve">Red </w:t>
            </w:r>
            <w:r w:rsidR="00B32A6B">
              <w:t>blood cell count</w:t>
            </w:r>
          </w:p>
        </w:tc>
      </w:tr>
      <w:tr w:rsidR="009346C3" w14:paraId="5D0BB1C2" w14:textId="77777777" w:rsidTr="00772458">
        <w:tc>
          <w:tcPr>
            <w:tcW w:w="1111" w:type="pct"/>
          </w:tcPr>
          <w:p w14:paraId="6E12571C" w14:textId="77777777" w:rsidR="009346C3" w:rsidRDefault="009346C3" w:rsidP="00323CDE">
            <w:pPr>
              <w:pStyle w:val="APVMATableText"/>
            </w:pPr>
            <w:r>
              <w:t>REI</w:t>
            </w:r>
          </w:p>
        </w:tc>
        <w:tc>
          <w:tcPr>
            <w:tcW w:w="3889" w:type="pct"/>
            <w:gridSpan w:val="2"/>
          </w:tcPr>
          <w:p w14:paraId="50A4CAFA" w14:textId="32F50764" w:rsidR="009346C3" w:rsidRDefault="009346C3" w:rsidP="00323CDE">
            <w:pPr>
              <w:pStyle w:val="APVMATableText"/>
            </w:pPr>
            <w:r>
              <w:t>Re-</w:t>
            </w:r>
            <w:r w:rsidR="00B32A6B">
              <w:t>entry interval</w:t>
            </w:r>
          </w:p>
        </w:tc>
      </w:tr>
      <w:tr w:rsidR="009346C3" w14:paraId="50B2FE78" w14:textId="77777777" w:rsidTr="00772458">
        <w:tc>
          <w:tcPr>
            <w:tcW w:w="1111" w:type="pct"/>
          </w:tcPr>
          <w:p w14:paraId="24AF509F" w14:textId="77777777" w:rsidR="009346C3" w:rsidRDefault="009346C3" w:rsidP="00323CDE">
            <w:pPr>
              <w:pStyle w:val="APVMATableText"/>
            </w:pPr>
            <w:r>
              <w:t>s</w:t>
            </w:r>
          </w:p>
        </w:tc>
        <w:tc>
          <w:tcPr>
            <w:tcW w:w="3889" w:type="pct"/>
            <w:gridSpan w:val="2"/>
          </w:tcPr>
          <w:p w14:paraId="74B4A1E0" w14:textId="77777777" w:rsidR="009346C3" w:rsidRDefault="00F84654" w:rsidP="00323CDE">
            <w:pPr>
              <w:pStyle w:val="APVMATableText"/>
            </w:pPr>
            <w:r>
              <w:t>S</w:t>
            </w:r>
            <w:r w:rsidR="009346C3">
              <w:t>econd</w:t>
            </w:r>
          </w:p>
        </w:tc>
      </w:tr>
      <w:tr w:rsidR="009346C3" w14:paraId="7BF4C90B" w14:textId="77777777" w:rsidTr="00772458">
        <w:tc>
          <w:tcPr>
            <w:tcW w:w="1111" w:type="pct"/>
          </w:tcPr>
          <w:p w14:paraId="7DD9113D" w14:textId="77777777" w:rsidR="009346C3" w:rsidRDefault="009346C3" w:rsidP="00323CDE">
            <w:pPr>
              <w:pStyle w:val="APVMATableText"/>
            </w:pPr>
            <w:r>
              <w:t>sc</w:t>
            </w:r>
          </w:p>
        </w:tc>
        <w:tc>
          <w:tcPr>
            <w:tcW w:w="3889" w:type="pct"/>
            <w:gridSpan w:val="2"/>
          </w:tcPr>
          <w:p w14:paraId="0B775497" w14:textId="77777777" w:rsidR="009346C3" w:rsidRDefault="00F84654" w:rsidP="00323CDE">
            <w:pPr>
              <w:pStyle w:val="APVMATableText"/>
            </w:pPr>
            <w:r>
              <w:t>S</w:t>
            </w:r>
            <w:r w:rsidR="009346C3">
              <w:t>ubcutaneous</w:t>
            </w:r>
          </w:p>
        </w:tc>
      </w:tr>
      <w:tr w:rsidR="00371DC1" w14:paraId="3467A6C2" w14:textId="77777777" w:rsidTr="00772458">
        <w:tc>
          <w:tcPr>
            <w:tcW w:w="1111" w:type="pct"/>
          </w:tcPr>
          <w:p w14:paraId="36908695" w14:textId="07752D35" w:rsidR="00371DC1" w:rsidRDefault="00371DC1" w:rsidP="00323CDE">
            <w:pPr>
              <w:pStyle w:val="APVMATableText"/>
            </w:pPr>
            <w:r w:rsidRPr="00F2418F">
              <w:rPr>
                <w:sz w:val="20"/>
                <w:szCs w:val="20"/>
                <w:lang w:val="en-GB"/>
              </w:rPr>
              <w:lastRenderedPageBreak/>
              <w:t>SCLP</w:t>
            </w:r>
          </w:p>
        </w:tc>
        <w:tc>
          <w:tcPr>
            <w:tcW w:w="3889" w:type="pct"/>
            <w:gridSpan w:val="2"/>
          </w:tcPr>
          <w:p w14:paraId="6187DE4A" w14:textId="11DF913D" w:rsidR="00371DC1" w:rsidRDefault="00371DC1" w:rsidP="00323CDE">
            <w:pPr>
              <w:pStyle w:val="APVMATableText"/>
            </w:pPr>
            <w:r>
              <w:t>Straight chain lepidopteran pheromones</w:t>
            </w:r>
          </w:p>
        </w:tc>
      </w:tr>
      <w:tr w:rsidR="009346C3" w14:paraId="52AF17FA" w14:textId="77777777" w:rsidTr="00772458">
        <w:tc>
          <w:tcPr>
            <w:tcW w:w="1111" w:type="pct"/>
          </w:tcPr>
          <w:p w14:paraId="17C73379" w14:textId="77777777" w:rsidR="009346C3" w:rsidRDefault="009346C3" w:rsidP="00323CDE">
            <w:pPr>
              <w:pStyle w:val="APVMATableText"/>
            </w:pPr>
            <w:r>
              <w:t>SUSMP</w:t>
            </w:r>
          </w:p>
        </w:tc>
        <w:tc>
          <w:tcPr>
            <w:tcW w:w="3889" w:type="pct"/>
            <w:gridSpan w:val="2"/>
          </w:tcPr>
          <w:p w14:paraId="500E6114" w14:textId="77777777" w:rsidR="009346C3" w:rsidRDefault="009346C3" w:rsidP="00323CDE">
            <w:pPr>
              <w:pStyle w:val="APVMATableText"/>
            </w:pPr>
            <w:r>
              <w:t>Standard for the Uniform Scheduling of Medicines and Poisons</w:t>
            </w:r>
          </w:p>
        </w:tc>
      </w:tr>
      <w:tr w:rsidR="009346C3" w14:paraId="0B929733" w14:textId="77777777" w:rsidTr="00772458">
        <w:tc>
          <w:tcPr>
            <w:tcW w:w="1111" w:type="pct"/>
          </w:tcPr>
          <w:p w14:paraId="2237B840" w14:textId="77777777" w:rsidR="009346C3" w:rsidRDefault="009346C3" w:rsidP="00323CDE">
            <w:pPr>
              <w:pStyle w:val="APVMATableText"/>
            </w:pPr>
            <w:r>
              <w:t>TGA</w:t>
            </w:r>
          </w:p>
        </w:tc>
        <w:tc>
          <w:tcPr>
            <w:tcW w:w="3889" w:type="pct"/>
            <w:gridSpan w:val="2"/>
          </w:tcPr>
          <w:p w14:paraId="4EA42E57" w14:textId="77777777" w:rsidR="009346C3" w:rsidRDefault="009346C3" w:rsidP="00323CDE">
            <w:pPr>
              <w:pStyle w:val="APVMATableText"/>
            </w:pPr>
            <w:r>
              <w:t>Therapeutic Goods Administration</w:t>
            </w:r>
          </w:p>
        </w:tc>
      </w:tr>
      <w:tr w:rsidR="009346C3" w14:paraId="05EFE4BF" w14:textId="77777777" w:rsidTr="00772458">
        <w:tc>
          <w:tcPr>
            <w:tcW w:w="1111" w:type="pct"/>
          </w:tcPr>
          <w:p w14:paraId="11BF3FF8" w14:textId="77777777" w:rsidR="009346C3" w:rsidRDefault="009346C3" w:rsidP="00323CDE">
            <w:pPr>
              <w:pStyle w:val="APVMATableText"/>
            </w:pPr>
            <w:r>
              <w:t>TGAC</w:t>
            </w:r>
          </w:p>
        </w:tc>
        <w:tc>
          <w:tcPr>
            <w:tcW w:w="3889" w:type="pct"/>
            <w:gridSpan w:val="2"/>
          </w:tcPr>
          <w:p w14:paraId="7105C8A9" w14:textId="77777777" w:rsidR="009346C3" w:rsidRDefault="009346C3" w:rsidP="00323CDE">
            <w:pPr>
              <w:pStyle w:val="APVMATableText"/>
            </w:pPr>
            <w:r>
              <w:t>Technical grade active constituent</w:t>
            </w:r>
          </w:p>
        </w:tc>
      </w:tr>
      <w:tr w:rsidR="009346C3" w14:paraId="6A28F386" w14:textId="77777777" w:rsidTr="00772458">
        <w:tc>
          <w:tcPr>
            <w:tcW w:w="1111" w:type="pct"/>
          </w:tcPr>
          <w:p w14:paraId="5F2735D9" w14:textId="77777777" w:rsidR="009346C3" w:rsidRDefault="009346C3" w:rsidP="00323CDE">
            <w:pPr>
              <w:pStyle w:val="APVMATableText"/>
            </w:pPr>
            <w:r>
              <w:rPr>
                <w:bCs/>
              </w:rPr>
              <w:t>µ</w:t>
            </w:r>
            <w:r>
              <w:t>g</w:t>
            </w:r>
          </w:p>
        </w:tc>
        <w:tc>
          <w:tcPr>
            <w:tcW w:w="3889" w:type="pct"/>
            <w:gridSpan w:val="2"/>
          </w:tcPr>
          <w:p w14:paraId="7E49A417" w14:textId="77777777" w:rsidR="009346C3" w:rsidRDefault="00F84654" w:rsidP="00323CDE">
            <w:pPr>
              <w:pStyle w:val="APVMATableText"/>
            </w:pPr>
            <w:r>
              <w:t>M</w:t>
            </w:r>
            <w:r w:rsidR="009346C3">
              <w:t>icrogram</w:t>
            </w:r>
          </w:p>
        </w:tc>
      </w:tr>
      <w:tr w:rsidR="009346C3" w14:paraId="6EB8758B" w14:textId="77777777" w:rsidTr="00772458">
        <w:tc>
          <w:tcPr>
            <w:tcW w:w="1111" w:type="pct"/>
          </w:tcPr>
          <w:p w14:paraId="685B05D2" w14:textId="77777777" w:rsidR="009346C3" w:rsidRDefault="009346C3" w:rsidP="00323CDE">
            <w:pPr>
              <w:pStyle w:val="APVMATableText"/>
              <w:rPr>
                <w:lang w:val="en-GB"/>
              </w:rPr>
            </w:pPr>
            <w:r>
              <w:rPr>
                <w:lang w:val="en-GB"/>
              </w:rPr>
              <w:t>WHP</w:t>
            </w:r>
          </w:p>
        </w:tc>
        <w:tc>
          <w:tcPr>
            <w:tcW w:w="3889" w:type="pct"/>
            <w:gridSpan w:val="2"/>
          </w:tcPr>
          <w:p w14:paraId="06FB38A3" w14:textId="79BCD53F" w:rsidR="009346C3" w:rsidRDefault="009346C3" w:rsidP="00323CDE">
            <w:pPr>
              <w:pStyle w:val="APVMATableText"/>
            </w:pPr>
            <w:r>
              <w:rPr>
                <w:lang w:val="en-GB"/>
              </w:rPr>
              <w:t xml:space="preserve">Withholding </w:t>
            </w:r>
            <w:r w:rsidR="00B32A6B">
              <w:rPr>
                <w:lang w:val="en-GB"/>
              </w:rPr>
              <w:t>period</w:t>
            </w:r>
          </w:p>
        </w:tc>
      </w:tr>
    </w:tbl>
    <w:p w14:paraId="35823568" w14:textId="77777777" w:rsidR="009346C3" w:rsidRDefault="009346C3" w:rsidP="00772458">
      <w:pPr>
        <w:pStyle w:val="APVMAText"/>
        <w:sectPr w:rsidR="009346C3">
          <w:headerReference w:type="default" r:id="rId37"/>
          <w:pgSz w:w="11906" w:h="16838" w:code="9"/>
          <w:pgMar w:top="2835" w:right="1134" w:bottom="1134" w:left="1134" w:header="1701" w:footer="680" w:gutter="0"/>
          <w:cols w:space="708"/>
          <w:docGrid w:linePitch="360"/>
        </w:sectPr>
      </w:pPr>
    </w:p>
    <w:p w14:paraId="5F479D70" w14:textId="77777777" w:rsidR="009346C3" w:rsidRDefault="009346C3" w:rsidP="009346C3">
      <w:pPr>
        <w:pStyle w:val="APVMAAppendixH1"/>
      </w:pPr>
      <w:bookmarkStart w:id="162" w:name="_Toc531181110"/>
      <w:bookmarkStart w:id="163" w:name="_Toc7561296"/>
      <w:bookmarkStart w:id="164" w:name="_Toc221272429"/>
      <w:r>
        <w:rPr>
          <w:lang w:val="en-GB"/>
        </w:rPr>
        <w:lastRenderedPageBreak/>
        <w:t>Glossary</w:t>
      </w:r>
      <w:bookmarkEnd w:id="162"/>
      <w:bookmarkEnd w:id="163"/>
      <w:bookmarkEnd w:id="164"/>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CA5B2B" w14:paraId="6CCAE66D" w14:textId="77777777" w:rsidTr="00772458">
        <w:tc>
          <w:tcPr>
            <w:tcW w:w="1132" w:type="pct"/>
            <w:shd w:val="clear" w:color="auto" w:fill="00747A"/>
          </w:tcPr>
          <w:p w14:paraId="33B1E2B5" w14:textId="5313452F" w:rsidR="00CA5B2B" w:rsidRPr="00CA5B2B" w:rsidRDefault="00CA5B2B" w:rsidP="009D0723">
            <w:pPr>
              <w:pStyle w:val="APVMATableHead"/>
            </w:pPr>
            <w:r>
              <w:t>Term</w:t>
            </w:r>
          </w:p>
        </w:tc>
        <w:tc>
          <w:tcPr>
            <w:tcW w:w="3868" w:type="pct"/>
            <w:shd w:val="clear" w:color="auto" w:fill="00747A"/>
          </w:tcPr>
          <w:p w14:paraId="4A52FD44" w14:textId="61551732" w:rsidR="00CA5B2B" w:rsidRPr="00CA5B2B" w:rsidRDefault="00CA5B2B" w:rsidP="009D0723">
            <w:pPr>
              <w:pStyle w:val="APVMATableHead"/>
            </w:pPr>
            <w:r>
              <w:t>Description</w:t>
            </w:r>
          </w:p>
        </w:tc>
      </w:tr>
      <w:tr w:rsidR="00CA5B2B" w14:paraId="6C741B0B" w14:textId="77777777" w:rsidTr="00772458">
        <w:tc>
          <w:tcPr>
            <w:tcW w:w="1132" w:type="pct"/>
          </w:tcPr>
          <w:p w14:paraId="2DBAB8B5" w14:textId="77777777" w:rsidR="00CA5B2B" w:rsidRDefault="00CA5B2B" w:rsidP="00CA5B2B">
            <w:pPr>
              <w:pStyle w:val="APVMATableText"/>
            </w:pPr>
            <w:r>
              <w:t>Active constituent</w:t>
            </w:r>
          </w:p>
        </w:tc>
        <w:tc>
          <w:tcPr>
            <w:tcW w:w="3868" w:type="pct"/>
          </w:tcPr>
          <w:p w14:paraId="6F4CB2CB" w14:textId="77777777" w:rsidR="00CA5B2B" w:rsidRDefault="00CA5B2B" w:rsidP="00CA5B2B">
            <w:pPr>
              <w:pStyle w:val="APVMATableText"/>
            </w:pPr>
            <w:r>
              <w:t>The substance that is primarily responsible for the effect produced by a chemical product</w:t>
            </w:r>
          </w:p>
        </w:tc>
      </w:tr>
      <w:tr w:rsidR="00CA5B2B" w14:paraId="6F6F18E5" w14:textId="77777777" w:rsidTr="00772458">
        <w:tc>
          <w:tcPr>
            <w:tcW w:w="1132" w:type="pct"/>
          </w:tcPr>
          <w:p w14:paraId="3D3E543B" w14:textId="77777777" w:rsidR="00CA5B2B" w:rsidRDefault="00CA5B2B" w:rsidP="00CA5B2B">
            <w:pPr>
              <w:pStyle w:val="APVMATableText"/>
            </w:pPr>
            <w:r>
              <w:t>Acute</w:t>
            </w:r>
          </w:p>
        </w:tc>
        <w:tc>
          <w:tcPr>
            <w:tcW w:w="3868" w:type="pct"/>
          </w:tcPr>
          <w:p w14:paraId="1B32302E" w14:textId="77777777" w:rsidR="00CA5B2B" w:rsidRDefault="00CA5B2B" w:rsidP="00CA5B2B">
            <w:pPr>
              <w:pStyle w:val="APVMATableText"/>
            </w:pPr>
            <w:r>
              <w:t>Having rapid onset and of short duration</w:t>
            </w:r>
          </w:p>
        </w:tc>
      </w:tr>
      <w:tr w:rsidR="00CA5B2B" w14:paraId="20CAA1A1" w14:textId="77777777" w:rsidTr="00772458">
        <w:tc>
          <w:tcPr>
            <w:tcW w:w="1132" w:type="pct"/>
          </w:tcPr>
          <w:p w14:paraId="141AEE46" w14:textId="77777777" w:rsidR="00CA5B2B" w:rsidRDefault="00CA5B2B" w:rsidP="00CA5B2B">
            <w:pPr>
              <w:pStyle w:val="APVMATableText"/>
            </w:pPr>
            <w:r>
              <w:t>Carcinogenicity</w:t>
            </w:r>
          </w:p>
        </w:tc>
        <w:tc>
          <w:tcPr>
            <w:tcW w:w="3868" w:type="pct"/>
          </w:tcPr>
          <w:p w14:paraId="6833A841" w14:textId="77777777" w:rsidR="00CA5B2B" w:rsidRDefault="00CA5B2B" w:rsidP="00CA5B2B">
            <w:pPr>
              <w:pStyle w:val="APVMATableText"/>
            </w:pPr>
            <w:r>
              <w:t>The ability to cause cancer</w:t>
            </w:r>
          </w:p>
        </w:tc>
      </w:tr>
      <w:tr w:rsidR="00CA5B2B" w14:paraId="02F60EC0" w14:textId="77777777" w:rsidTr="00772458">
        <w:tc>
          <w:tcPr>
            <w:tcW w:w="1132" w:type="pct"/>
          </w:tcPr>
          <w:p w14:paraId="18A75311" w14:textId="77777777" w:rsidR="00CA5B2B" w:rsidRDefault="00CA5B2B" w:rsidP="00CA5B2B">
            <w:pPr>
              <w:pStyle w:val="APVMATableText"/>
            </w:pPr>
            <w:r>
              <w:t>Chronic</w:t>
            </w:r>
          </w:p>
        </w:tc>
        <w:tc>
          <w:tcPr>
            <w:tcW w:w="3868" w:type="pct"/>
          </w:tcPr>
          <w:p w14:paraId="662A61C7" w14:textId="77777777" w:rsidR="00CA5B2B" w:rsidRDefault="00CA5B2B" w:rsidP="00CA5B2B">
            <w:pPr>
              <w:pStyle w:val="APVMATableText"/>
            </w:pPr>
            <w:r>
              <w:t>Of long duration</w:t>
            </w:r>
          </w:p>
        </w:tc>
      </w:tr>
      <w:tr w:rsidR="00CA5B2B" w14:paraId="39C8B60E" w14:textId="77777777" w:rsidTr="00772458">
        <w:tc>
          <w:tcPr>
            <w:tcW w:w="1132" w:type="pct"/>
          </w:tcPr>
          <w:p w14:paraId="34A08E1A" w14:textId="77777777" w:rsidR="00CA5B2B" w:rsidRDefault="00CA5B2B" w:rsidP="00CA5B2B">
            <w:pPr>
              <w:pStyle w:val="APVMATableText"/>
            </w:pPr>
            <w:r>
              <w:t xml:space="preserve">Codex MRL </w:t>
            </w:r>
          </w:p>
        </w:tc>
        <w:tc>
          <w:tcPr>
            <w:tcW w:w="3868" w:type="pct"/>
          </w:tcPr>
          <w:p w14:paraId="0E7857B0" w14:textId="77777777" w:rsidR="00CA5B2B" w:rsidRDefault="00CA5B2B" w:rsidP="00CA5B2B">
            <w:pPr>
              <w:pStyle w:val="APVMATableText"/>
            </w:pPr>
            <w:r>
              <w:t>Internationally published standard maximum residue limit</w:t>
            </w:r>
          </w:p>
        </w:tc>
      </w:tr>
      <w:tr w:rsidR="00CA5B2B" w14:paraId="4921685A" w14:textId="77777777" w:rsidTr="00772458">
        <w:tc>
          <w:tcPr>
            <w:tcW w:w="1132" w:type="pct"/>
          </w:tcPr>
          <w:p w14:paraId="63FD1CFD" w14:textId="77777777" w:rsidR="00CA5B2B" w:rsidRDefault="00CA5B2B" w:rsidP="00CA5B2B">
            <w:pPr>
              <w:pStyle w:val="APVMATableText"/>
            </w:pPr>
            <w:r>
              <w:t>Desorption</w:t>
            </w:r>
          </w:p>
        </w:tc>
        <w:tc>
          <w:tcPr>
            <w:tcW w:w="3868" w:type="pct"/>
          </w:tcPr>
          <w:p w14:paraId="004DF0F4" w14:textId="77777777" w:rsidR="00CA5B2B" w:rsidRDefault="00CA5B2B" w:rsidP="00CA5B2B">
            <w:pPr>
              <w:pStyle w:val="APVMATableText"/>
            </w:pPr>
            <w:r>
              <w:t>Removal of a material from or through a surface</w:t>
            </w:r>
          </w:p>
        </w:tc>
      </w:tr>
      <w:tr w:rsidR="00CA5B2B" w14:paraId="7FA0A785" w14:textId="77777777" w:rsidTr="00772458">
        <w:tc>
          <w:tcPr>
            <w:tcW w:w="1132" w:type="pct"/>
          </w:tcPr>
          <w:p w14:paraId="21AD28E1" w14:textId="77777777" w:rsidR="00CA5B2B" w:rsidRDefault="00CA5B2B" w:rsidP="00CA5B2B">
            <w:pPr>
              <w:pStyle w:val="APVMATableText"/>
            </w:pPr>
            <w:r>
              <w:t>Efficacy</w:t>
            </w:r>
          </w:p>
        </w:tc>
        <w:tc>
          <w:tcPr>
            <w:tcW w:w="3868" w:type="pct"/>
          </w:tcPr>
          <w:p w14:paraId="0B05FBFC" w14:textId="77777777" w:rsidR="00CA5B2B" w:rsidRDefault="00CA5B2B" w:rsidP="00CA5B2B">
            <w:pPr>
              <w:pStyle w:val="APVMATableText"/>
            </w:pPr>
            <w:r>
              <w:t>Production of the desired effect</w:t>
            </w:r>
          </w:p>
        </w:tc>
      </w:tr>
      <w:tr w:rsidR="00CA5B2B" w14:paraId="36F32D84" w14:textId="77777777" w:rsidTr="00772458">
        <w:tc>
          <w:tcPr>
            <w:tcW w:w="1132" w:type="pct"/>
          </w:tcPr>
          <w:p w14:paraId="51478344" w14:textId="77777777" w:rsidR="00CA5B2B" w:rsidRDefault="00CA5B2B" w:rsidP="00CA5B2B">
            <w:pPr>
              <w:pStyle w:val="APVMATableText"/>
            </w:pPr>
            <w:r>
              <w:t>Formulation</w:t>
            </w:r>
          </w:p>
        </w:tc>
        <w:tc>
          <w:tcPr>
            <w:tcW w:w="3868" w:type="pct"/>
          </w:tcPr>
          <w:p w14:paraId="3F839B8C" w14:textId="77777777" w:rsidR="00CA5B2B" w:rsidRDefault="00CA5B2B" w:rsidP="00CA5B2B">
            <w:pPr>
              <w:pStyle w:val="APVMATableText"/>
            </w:pPr>
            <w:r>
              <w:t>A combination of both active and inactive constituents to form the end use product</w:t>
            </w:r>
          </w:p>
        </w:tc>
      </w:tr>
      <w:tr w:rsidR="00CA5B2B" w14:paraId="5D66D0A8" w14:textId="77777777" w:rsidTr="00772458">
        <w:tc>
          <w:tcPr>
            <w:tcW w:w="1132" w:type="pct"/>
          </w:tcPr>
          <w:p w14:paraId="2A25EAC2" w14:textId="77777777" w:rsidR="00CA5B2B" w:rsidRDefault="00CA5B2B" w:rsidP="00CA5B2B">
            <w:pPr>
              <w:pStyle w:val="APVMATableText"/>
            </w:pPr>
            <w:r>
              <w:t>Genotoxicity</w:t>
            </w:r>
          </w:p>
        </w:tc>
        <w:tc>
          <w:tcPr>
            <w:tcW w:w="3868" w:type="pct"/>
          </w:tcPr>
          <w:p w14:paraId="0BABEB19" w14:textId="77777777" w:rsidR="00CA5B2B" w:rsidRDefault="00CA5B2B" w:rsidP="00CA5B2B">
            <w:pPr>
              <w:pStyle w:val="APVMATableText"/>
            </w:pPr>
            <w:r>
              <w:t>The ability to damage genetic material</w:t>
            </w:r>
          </w:p>
        </w:tc>
      </w:tr>
      <w:tr w:rsidR="00CA5B2B" w14:paraId="423048F6" w14:textId="77777777" w:rsidTr="00772458">
        <w:tc>
          <w:tcPr>
            <w:tcW w:w="1132" w:type="pct"/>
          </w:tcPr>
          <w:p w14:paraId="4C5FAE2C" w14:textId="77777777" w:rsidR="00CA5B2B" w:rsidRDefault="00CA5B2B" w:rsidP="00CA5B2B">
            <w:pPr>
              <w:pStyle w:val="APVMATableText"/>
            </w:pPr>
            <w:r>
              <w:t>Hydrophobic</w:t>
            </w:r>
          </w:p>
        </w:tc>
        <w:tc>
          <w:tcPr>
            <w:tcW w:w="3868" w:type="pct"/>
          </w:tcPr>
          <w:p w14:paraId="0DA9B277" w14:textId="77777777" w:rsidR="00CA5B2B" w:rsidRDefault="00CA5B2B" w:rsidP="00CA5B2B">
            <w:pPr>
              <w:pStyle w:val="APVMATableText"/>
            </w:pPr>
            <w:r>
              <w:t>Repels water</w:t>
            </w:r>
          </w:p>
        </w:tc>
      </w:tr>
      <w:tr w:rsidR="00CA5B2B" w14:paraId="6373AD5B" w14:textId="77777777" w:rsidTr="00772458">
        <w:tc>
          <w:tcPr>
            <w:tcW w:w="1132" w:type="pct"/>
          </w:tcPr>
          <w:p w14:paraId="516BD504" w14:textId="77777777" w:rsidR="00CA5B2B" w:rsidRDefault="00CA5B2B" w:rsidP="00CA5B2B">
            <w:pPr>
              <w:pStyle w:val="APVMATableText"/>
            </w:pPr>
            <w:r>
              <w:t>Leaching</w:t>
            </w:r>
          </w:p>
        </w:tc>
        <w:tc>
          <w:tcPr>
            <w:tcW w:w="3868" w:type="pct"/>
          </w:tcPr>
          <w:p w14:paraId="30D7D784" w14:textId="77777777" w:rsidR="00CA5B2B" w:rsidRDefault="00CA5B2B" w:rsidP="00CA5B2B">
            <w:pPr>
              <w:pStyle w:val="APVMATableText"/>
            </w:pPr>
            <w:r>
              <w:t>Removal of a compound by use of a solvent</w:t>
            </w:r>
          </w:p>
        </w:tc>
      </w:tr>
      <w:tr w:rsidR="00CA5B2B" w14:paraId="2AD6F9CC" w14:textId="77777777" w:rsidTr="00772458">
        <w:tc>
          <w:tcPr>
            <w:tcW w:w="1132" w:type="pct"/>
          </w:tcPr>
          <w:p w14:paraId="67CE640F" w14:textId="77777777" w:rsidR="00CA5B2B" w:rsidRDefault="00CA5B2B" w:rsidP="00CA5B2B">
            <w:pPr>
              <w:pStyle w:val="APVMATableText"/>
            </w:pPr>
            <w:r>
              <w:t>Metabolism</w:t>
            </w:r>
          </w:p>
        </w:tc>
        <w:tc>
          <w:tcPr>
            <w:tcW w:w="3868" w:type="pct"/>
          </w:tcPr>
          <w:p w14:paraId="73E171C8" w14:textId="77777777" w:rsidR="00CA5B2B" w:rsidRDefault="00CA5B2B" w:rsidP="00CA5B2B">
            <w:pPr>
              <w:pStyle w:val="APVMATableText"/>
            </w:pPr>
            <w:r>
              <w:t>The chemical processes that maintain living organisms</w:t>
            </w:r>
          </w:p>
        </w:tc>
      </w:tr>
      <w:tr w:rsidR="00CA5B2B" w14:paraId="16D69C09" w14:textId="77777777" w:rsidTr="00772458">
        <w:tc>
          <w:tcPr>
            <w:tcW w:w="1132" w:type="pct"/>
          </w:tcPr>
          <w:p w14:paraId="1439CF91" w14:textId="77777777" w:rsidR="00CA5B2B" w:rsidRDefault="00CA5B2B" w:rsidP="00CA5B2B">
            <w:pPr>
              <w:pStyle w:val="APVMATableText"/>
            </w:pPr>
            <w:r>
              <w:t>Photodegradation</w:t>
            </w:r>
          </w:p>
        </w:tc>
        <w:tc>
          <w:tcPr>
            <w:tcW w:w="3868" w:type="pct"/>
          </w:tcPr>
          <w:p w14:paraId="08DCB9F5" w14:textId="77777777" w:rsidR="00CA5B2B" w:rsidRDefault="00CA5B2B" w:rsidP="00CA5B2B">
            <w:pPr>
              <w:pStyle w:val="APVMATableText"/>
            </w:pPr>
            <w:r>
              <w:t>Breakdown of chemicals due to the action of light</w:t>
            </w:r>
          </w:p>
        </w:tc>
      </w:tr>
      <w:tr w:rsidR="00CA5B2B" w14:paraId="13A107AE" w14:textId="77777777" w:rsidTr="00772458">
        <w:tc>
          <w:tcPr>
            <w:tcW w:w="1132" w:type="pct"/>
          </w:tcPr>
          <w:p w14:paraId="422CC94E" w14:textId="77777777" w:rsidR="00CA5B2B" w:rsidRDefault="00CA5B2B" w:rsidP="00CA5B2B">
            <w:pPr>
              <w:pStyle w:val="APVMATableText"/>
            </w:pPr>
            <w:r>
              <w:t>Photolysis</w:t>
            </w:r>
          </w:p>
        </w:tc>
        <w:tc>
          <w:tcPr>
            <w:tcW w:w="3868" w:type="pct"/>
          </w:tcPr>
          <w:p w14:paraId="4B338C7A" w14:textId="77777777" w:rsidR="00CA5B2B" w:rsidRDefault="00CA5B2B" w:rsidP="00CA5B2B">
            <w:pPr>
              <w:pStyle w:val="APVMATableText"/>
            </w:pPr>
            <w:r>
              <w:t>Breakdown of chemicals due to the action of light</w:t>
            </w:r>
          </w:p>
        </w:tc>
      </w:tr>
      <w:tr w:rsidR="00CA5B2B" w14:paraId="09890428" w14:textId="77777777" w:rsidTr="00772458">
        <w:tc>
          <w:tcPr>
            <w:tcW w:w="1132" w:type="pct"/>
          </w:tcPr>
          <w:p w14:paraId="23B04C25" w14:textId="77777777" w:rsidR="00CA5B2B" w:rsidRDefault="00CA5B2B" w:rsidP="00CA5B2B">
            <w:pPr>
              <w:pStyle w:val="APVMATableText"/>
            </w:pPr>
            <w:r>
              <w:t>Subcutaneous</w:t>
            </w:r>
          </w:p>
        </w:tc>
        <w:tc>
          <w:tcPr>
            <w:tcW w:w="3868" w:type="pct"/>
          </w:tcPr>
          <w:p w14:paraId="3D65E82E" w14:textId="77777777" w:rsidR="00CA5B2B" w:rsidRDefault="00CA5B2B" w:rsidP="00CA5B2B">
            <w:pPr>
              <w:pStyle w:val="APVMATableText"/>
            </w:pPr>
            <w:r>
              <w:t>Under the skin</w:t>
            </w:r>
          </w:p>
        </w:tc>
      </w:tr>
      <w:tr w:rsidR="00CA5B2B" w14:paraId="2BA57DDE" w14:textId="77777777" w:rsidTr="00772458">
        <w:tc>
          <w:tcPr>
            <w:tcW w:w="1132" w:type="pct"/>
          </w:tcPr>
          <w:p w14:paraId="68712508" w14:textId="77777777" w:rsidR="00CA5B2B" w:rsidRDefault="00CA5B2B" w:rsidP="00CA5B2B">
            <w:pPr>
              <w:pStyle w:val="APVMATableText"/>
            </w:pPr>
            <w:r>
              <w:t>Toxicokinetics</w:t>
            </w:r>
          </w:p>
        </w:tc>
        <w:tc>
          <w:tcPr>
            <w:tcW w:w="3868" w:type="pct"/>
          </w:tcPr>
          <w:p w14:paraId="57A68E14" w14:textId="77777777" w:rsidR="00CA5B2B" w:rsidRDefault="00CA5B2B" w:rsidP="00CA5B2B">
            <w:pPr>
              <w:pStyle w:val="APVMATableText"/>
            </w:pPr>
            <w:r>
              <w:t>The study of the movement of toxins through the body</w:t>
            </w:r>
          </w:p>
        </w:tc>
      </w:tr>
      <w:tr w:rsidR="00CA5B2B" w14:paraId="50303712" w14:textId="77777777" w:rsidTr="00772458">
        <w:tc>
          <w:tcPr>
            <w:tcW w:w="1132" w:type="pct"/>
          </w:tcPr>
          <w:p w14:paraId="06DA7702" w14:textId="77777777" w:rsidR="00CA5B2B" w:rsidRDefault="00CA5B2B" w:rsidP="00CA5B2B">
            <w:pPr>
              <w:pStyle w:val="APVMATableText"/>
            </w:pPr>
            <w:r>
              <w:t>Toxicology</w:t>
            </w:r>
          </w:p>
        </w:tc>
        <w:tc>
          <w:tcPr>
            <w:tcW w:w="3868" w:type="pct"/>
          </w:tcPr>
          <w:p w14:paraId="0614348A" w14:textId="77777777" w:rsidR="00CA5B2B" w:rsidRDefault="00CA5B2B" w:rsidP="00CA5B2B">
            <w:pPr>
              <w:pStyle w:val="APVMATableText"/>
            </w:pPr>
            <w:r>
              <w:t>The study of the nature and effects of poisons</w:t>
            </w:r>
          </w:p>
        </w:tc>
      </w:tr>
    </w:tbl>
    <w:p w14:paraId="64BD9C6E" w14:textId="77777777" w:rsidR="009346C3" w:rsidRDefault="009346C3" w:rsidP="00772458">
      <w:pPr>
        <w:pStyle w:val="APVMAText"/>
        <w:sectPr w:rsidR="009346C3">
          <w:headerReference w:type="default" r:id="rId38"/>
          <w:pgSz w:w="11906" w:h="16838" w:code="9"/>
          <w:pgMar w:top="2835" w:right="1134" w:bottom="1134" w:left="1134" w:header="1701" w:footer="680" w:gutter="0"/>
          <w:cols w:space="708"/>
          <w:docGrid w:linePitch="360"/>
        </w:sectPr>
      </w:pPr>
    </w:p>
    <w:p w14:paraId="59272191" w14:textId="18D9D898" w:rsidR="003329CF" w:rsidRDefault="003329CF" w:rsidP="003329CF">
      <w:pPr>
        <w:pStyle w:val="APVMAAppendixH1"/>
      </w:pPr>
      <w:bookmarkStart w:id="165" w:name="_Toc231963196"/>
      <w:bookmarkStart w:id="166" w:name="_Toc531181111"/>
      <w:bookmarkStart w:id="167" w:name="_Toc7561297"/>
      <w:bookmarkStart w:id="168" w:name="_Toc221272430"/>
      <w:r>
        <w:lastRenderedPageBreak/>
        <w:t>References</w:t>
      </w:r>
      <w:bookmarkEnd w:id="165"/>
      <w:bookmarkEnd w:id="166"/>
      <w:bookmarkEnd w:id="167"/>
      <w:bookmarkEnd w:id="168"/>
    </w:p>
    <w:p w14:paraId="3C220222" w14:textId="77777777" w:rsidR="000006ED" w:rsidRPr="000006ED" w:rsidRDefault="000006ED" w:rsidP="00AC131B">
      <w:pPr>
        <w:pStyle w:val="APVMAText"/>
        <w:rPr>
          <w:rFonts w:eastAsia="Yu Mincho"/>
          <w:lang w:eastAsia="en-AU"/>
        </w:rPr>
      </w:pPr>
      <w:r w:rsidRPr="00534CAF">
        <w:rPr>
          <w:rFonts w:eastAsia="Yu Mincho"/>
          <w:lang w:eastAsia="en-AU"/>
        </w:rPr>
        <w:t xml:space="preserve">OECD (2002). Guidance for Registration Requirements for Pheromones and Other </w:t>
      </w:r>
      <w:proofErr w:type="spellStart"/>
      <w:r w:rsidRPr="00534CAF">
        <w:rPr>
          <w:rFonts w:eastAsia="Yu Mincho"/>
          <w:lang w:eastAsia="en-AU"/>
        </w:rPr>
        <w:t>Semiochemicals</w:t>
      </w:r>
      <w:proofErr w:type="spellEnd"/>
      <w:r w:rsidRPr="00534CAF">
        <w:rPr>
          <w:rFonts w:eastAsia="Yu Mincho"/>
          <w:lang w:eastAsia="en-AU"/>
        </w:rPr>
        <w:t xml:space="preserve"> Used for Arthropod Pest Control. OECD Environment, Health and Safety Publications Series on Pesticides No. 12. ENV/JM/MONO(2001)12 (updated Feb 2002).</w:t>
      </w:r>
      <w:r w:rsidRPr="00534CAF">
        <w:rPr>
          <w:rFonts w:eastAsia="Yu Mincho"/>
          <w:b/>
          <w:lang w:eastAsia="en-AU"/>
        </w:rPr>
        <w:t xml:space="preserve"> [APVMA Data List No 255883].</w:t>
      </w:r>
    </w:p>
    <w:sectPr w:rsidR="000006ED" w:rsidRPr="000006ED">
      <w:headerReference w:type="default" r:id="rId39"/>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AD37F" w14:textId="77777777" w:rsidR="00932846" w:rsidRDefault="00932846">
      <w:r>
        <w:separator/>
      </w:r>
    </w:p>
    <w:p w14:paraId="6BF086E0" w14:textId="77777777" w:rsidR="00932846" w:rsidRDefault="00932846"/>
    <w:p w14:paraId="0573341E" w14:textId="77777777" w:rsidR="00932846" w:rsidRDefault="00932846"/>
    <w:p w14:paraId="2FA31660" w14:textId="77777777" w:rsidR="00932846" w:rsidRDefault="00932846"/>
  </w:endnote>
  <w:endnote w:type="continuationSeparator" w:id="0">
    <w:p w14:paraId="3605FE40" w14:textId="77777777" w:rsidR="00932846" w:rsidRDefault="00932846">
      <w:r>
        <w:continuationSeparator/>
      </w:r>
    </w:p>
    <w:p w14:paraId="1EF7AB7A" w14:textId="77777777" w:rsidR="00932846" w:rsidRDefault="00932846"/>
    <w:p w14:paraId="1E7A3313" w14:textId="77777777" w:rsidR="00932846" w:rsidRDefault="00932846"/>
    <w:p w14:paraId="51062BE1" w14:textId="77777777" w:rsidR="00932846" w:rsidRDefault="00932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F6BF" w14:textId="77777777" w:rsidR="00C22447" w:rsidRDefault="00C22447">
    <w:pPr>
      <w:pStyle w:val="Footer"/>
    </w:pPr>
  </w:p>
  <w:p w14:paraId="2A31A066" w14:textId="77777777" w:rsidR="00843899" w:rsidRDefault="00843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FF81F" w14:textId="77777777" w:rsidR="00932846" w:rsidRDefault="00932846">
      <w:r>
        <w:separator/>
      </w:r>
    </w:p>
    <w:p w14:paraId="19FE8904" w14:textId="77777777" w:rsidR="00932846" w:rsidRDefault="00932846"/>
  </w:footnote>
  <w:footnote w:type="continuationSeparator" w:id="0">
    <w:p w14:paraId="76F79ED7" w14:textId="77777777" w:rsidR="00932846" w:rsidRDefault="00932846">
      <w:pPr>
        <w:spacing w:line="180" w:lineRule="exact"/>
        <w:rPr>
          <w:sz w:val="16"/>
        </w:rPr>
      </w:pPr>
      <w:r>
        <w:rPr>
          <w:sz w:val="16"/>
        </w:rPr>
        <w:continuationSeparator/>
      </w:r>
    </w:p>
    <w:p w14:paraId="149598FE" w14:textId="77777777" w:rsidR="00932846" w:rsidRDefault="00932846"/>
    <w:p w14:paraId="4A1AF78E" w14:textId="77777777" w:rsidR="00932846" w:rsidRDefault="00932846"/>
    <w:p w14:paraId="0797CDAB" w14:textId="77777777" w:rsidR="00932846" w:rsidRDefault="00932846"/>
  </w:footnote>
  <w:footnote w:type="continuationNotice" w:id="1">
    <w:p w14:paraId="23F09AFF" w14:textId="77777777" w:rsidR="00932846" w:rsidRDefault="00932846"/>
    <w:p w14:paraId="6076F9C8" w14:textId="77777777" w:rsidR="00932846" w:rsidRDefault="00932846"/>
    <w:p w14:paraId="4F5962FE" w14:textId="77777777" w:rsidR="00932846" w:rsidRDefault="00932846"/>
    <w:p w14:paraId="33379559" w14:textId="77777777" w:rsidR="00932846" w:rsidRDefault="00932846"/>
  </w:footnote>
  <w:footnote w:id="2">
    <w:p w14:paraId="1DD34E6E" w14:textId="5AAF379E" w:rsidR="008E32D0" w:rsidRDefault="008E32D0" w:rsidP="002A6791">
      <w:pPr>
        <w:pStyle w:val="FootnoteText"/>
      </w:pPr>
      <w:r>
        <w:rPr>
          <w:rStyle w:val="FootnoteReference"/>
        </w:rPr>
        <w:footnoteRef/>
      </w:r>
      <w:r>
        <w:t xml:space="preserve"> </w:t>
      </w:r>
      <w:r w:rsidR="002A6791" w:rsidRPr="002A6791">
        <w:rPr>
          <w:szCs w:val="16"/>
        </w:rPr>
        <w:t xml:space="preserve">OECD EH&amp;S Publications – </w:t>
      </w:r>
      <w:r w:rsidR="002A6791">
        <w:t xml:space="preserve">Guidance Document on Semiochemical Active Substances and Plant Protection Products – 2017 – </w:t>
      </w:r>
      <w:hyperlink r:id="rId1" w:history="1">
        <w:r w:rsidR="002A6791" w:rsidRPr="002A6791">
          <w:rPr>
            <w:rStyle w:val="Hyperlink"/>
          </w:rPr>
          <w:t>Link</w:t>
        </w:r>
      </w:hyperlink>
      <w:r w:rsidR="002A6791">
        <w:t xml:space="preserve"> - </w:t>
      </w:r>
      <w:r w:rsidR="002A6791" w:rsidRPr="002A6791">
        <w:rPr>
          <w:szCs w:val="16"/>
        </w:rPr>
        <w:t>Accessed 11/06/2025.</w:t>
      </w:r>
    </w:p>
  </w:footnote>
  <w:footnote w:id="3">
    <w:p w14:paraId="03A2DBC1" w14:textId="0E28FC64" w:rsidR="00105214" w:rsidRPr="00105214" w:rsidRDefault="00105214" w:rsidP="00F2418F">
      <w:pPr>
        <w:pStyle w:val="FootnoteText"/>
        <w:ind w:left="126" w:hanging="126"/>
        <w:rPr>
          <w:szCs w:val="16"/>
        </w:rPr>
      </w:pPr>
      <w:r w:rsidRPr="00F2418F">
        <w:rPr>
          <w:rStyle w:val="FootnoteReference"/>
          <w:szCs w:val="16"/>
        </w:rPr>
        <w:footnoteRef/>
      </w:r>
      <w:r w:rsidRPr="00F2418F">
        <w:rPr>
          <w:szCs w:val="16"/>
        </w:rPr>
        <w:t xml:space="preserve"> </w:t>
      </w:r>
      <w:r w:rsidRPr="00F2418F">
        <w:rPr>
          <w:rFonts w:eastAsia="Yu Mincho"/>
          <w:spacing w:val="0"/>
          <w:kern w:val="0"/>
          <w:szCs w:val="16"/>
          <w:lang w:eastAsia="en-AU"/>
        </w:rPr>
        <w:t>Oxy-phenolic lined steel aerosol cans with metered dose spray nozzle. The aerosol cans are manufactured with the specific dimensions required for insertion into the electronically controlled metered dosing equipment. The same canister design is used with other Semios pheromone products which have been used in the Australia, USA, Europe, Canada since early 2021.</w:t>
      </w:r>
    </w:p>
  </w:footnote>
  <w:footnote w:id="4">
    <w:p w14:paraId="674B64B8" w14:textId="389D5F6F" w:rsidR="00C164F3" w:rsidRDefault="00C164F3" w:rsidP="00C164F3">
      <w:pPr>
        <w:pStyle w:val="FootnoteText"/>
      </w:pPr>
      <w:r>
        <w:rPr>
          <w:rStyle w:val="FootnoteReference"/>
        </w:rPr>
        <w:footnoteRef/>
      </w:r>
      <w:r>
        <w:t xml:space="preserve"> </w:t>
      </w:r>
      <w:r w:rsidRPr="00A76A1B">
        <w:t>http://www.oecd.org/env/ehs/pesticides-biocides/33650707.PDF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67AD" w14:textId="3CFEDB58" w:rsidR="00CC5161" w:rsidRDefault="00CC5161">
    <w:pPr>
      <w:pStyle w:val="APVMAOddHeader"/>
    </w:pPr>
    <w:r>
      <w:tab/>
    </w:r>
    <w:r w:rsidR="00CA5B2B">
      <w:t>Efficacy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19</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BD43" w14:textId="4700D6E1" w:rsidR="00BF436A" w:rsidRDefault="00BF436A">
    <w:pPr>
      <w:pStyle w:val="APVMAOddHeader"/>
    </w:pPr>
    <w:r>
      <w:tab/>
    </w:r>
    <w:r w:rsidR="00772458">
      <w:t>Spray drift</w:t>
    </w:r>
    <w:r>
      <w:t xml:space="preserve"> </w:t>
    </w:r>
    <w:r w:rsidR="00E013E8">
      <w:t>assessment</w:t>
    </w:r>
    <w:r w:rsidR="00E013E8">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19</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73FB" w14:textId="7C987078" w:rsidR="00CC5161" w:rsidRDefault="00CC5161">
    <w:pPr>
      <w:pStyle w:val="APVMAOddHeader"/>
    </w:pPr>
    <w:r>
      <w:tab/>
    </w:r>
    <w:r w:rsidR="00CA5B2B" w:rsidRPr="00CA5B2B">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21</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441E" w14:textId="15B8E822" w:rsidR="00CC5161" w:rsidRDefault="00CC5161">
    <w:pPr>
      <w:pStyle w:val="APVMAOddHeader"/>
    </w:pPr>
    <w:r>
      <w:tab/>
    </w:r>
    <w:r w:rsidR="00CA5B2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23</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7A11" w14:textId="3B2231CB" w:rsidR="00CC5161" w:rsidRDefault="00CC5161">
    <w:pPr>
      <w:pStyle w:val="APVMAOddHeader"/>
    </w:pPr>
    <w:r>
      <w:tab/>
    </w:r>
    <w:r w:rsidR="00CA5B2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25</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AACF" w14:textId="37C973E0"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sidR="0076267D">
      <w:rPr>
        <w:rStyle w:val="PageNumber"/>
        <w:rFonts w:cs="Times New Roman"/>
        <w:bCs w:val="0"/>
        <w:noProof/>
        <w:szCs w:val="24"/>
      </w:rPr>
      <w:t>27</w:t>
    </w:r>
    <w:r w:rsidR="000C1518">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609C" w14:textId="54A80B95" w:rsidR="00843899" w:rsidRDefault="00CC5161" w:rsidP="007F6D92">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76267D">
      <w:rPr>
        <w:rStyle w:val="PageNumber"/>
        <w:noProof/>
        <w:szCs w:val="24"/>
      </w:rPr>
      <w:t>4</w:t>
    </w:r>
    <w:r>
      <w:rPr>
        <w:rStyle w:val="PageNumber"/>
        <w:b w:val="0"/>
        <w:caps/>
        <w:szCs w:val="24"/>
      </w:rPr>
      <w:fldChar w:fldCharType="end"/>
    </w:r>
    <w:r>
      <w:tab/>
    </w:r>
    <w:r w:rsidR="00CA5B2B">
      <w:t>Public Release S</w:t>
    </w:r>
    <w:r w:rsidR="000C1518">
      <w:t>ummary</w:t>
    </w:r>
    <w:r w:rsidR="00CA5B2B">
      <w:t xml:space="preserve"> </w:t>
    </w:r>
    <w:r w:rsidR="003D1D4A">
      <w:t xml:space="preserve">-- </w:t>
    </w:r>
    <w:r w:rsidR="004034F3" w:rsidRPr="004034F3">
      <w:t>new active (</w:t>
    </w:r>
    <w:proofErr w:type="gramStart"/>
    <w:r w:rsidR="004034F3" w:rsidRPr="004034F3">
      <w:t>Z,E</w:t>
    </w:r>
    <w:proofErr w:type="gramEnd"/>
    <w:r w:rsidR="004034F3" w:rsidRPr="004034F3">
      <w:t xml:space="preserve">)-7,9,11-dodecatrienyl </w:t>
    </w:r>
    <w:proofErr w:type="spellStart"/>
    <w:r w:rsidR="004034F3" w:rsidRPr="004034F3">
      <w:t>formate</w:t>
    </w:r>
    <w:proofErr w:type="spellEnd"/>
    <w:r w:rsidR="004034F3" w:rsidRPr="004034F3">
      <w:t xml:space="preserve"> in the product </w:t>
    </w:r>
    <w:proofErr w:type="spellStart"/>
    <w:r w:rsidR="004034F3" w:rsidRPr="004034F3">
      <w:t>Semios</w:t>
    </w:r>
    <w:proofErr w:type="spellEnd"/>
    <w:r w:rsidR="004034F3" w:rsidRPr="004034F3">
      <w:t xml:space="preserve"> Carob Moth Aerosol Pheromone</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9E98" w14:textId="099904F8" w:rsidR="00843899" w:rsidRDefault="00CC5161" w:rsidP="007F6D92">
    <w:pPr>
      <w:pStyle w:val="APVMAOddHeader"/>
    </w:pPr>
    <w:r>
      <w:tab/>
    </w:r>
    <w:r w:rsidR="00424637">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3</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0AE5" w14:textId="2F74E477" w:rsidR="00424637" w:rsidRDefault="00424637" w:rsidP="007F6D92">
    <w:pPr>
      <w:pStyle w:val="APVMA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BF40" w14:textId="6E988489" w:rsidR="00843899" w:rsidRDefault="00CC5161" w:rsidP="007F6D92">
    <w:pPr>
      <w:pStyle w:val="APVMAOddHeader"/>
    </w:pPr>
    <w:r>
      <w:tab/>
    </w:r>
    <w:r w:rsidR="00CA5B2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5</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F9E2" w14:textId="388D8DF6" w:rsidR="00CC5161" w:rsidRDefault="00CC5161" w:rsidP="00AB659C">
    <w:pPr>
      <w:pStyle w:val="APVMAOddHeader"/>
    </w:pPr>
    <w:r>
      <w:tab/>
    </w:r>
    <w:r w:rsidR="00CA5B2B">
      <w:t>C</w:t>
    </w:r>
    <w:r w:rsidR="00BF436A">
      <w:t>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7</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974F" w14:textId="22F93871" w:rsidR="00CC5161" w:rsidRDefault="00CC5161">
    <w:pPr>
      <w:pStyle w:val="APVMAOddHeader"/>
    </w:pPr>
    <w:r>
      <w:tab/>
    </w:r>
    <w:r w:rsidR="00CA5B2B">
      <w:t>Toxicological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9</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D72C" w14:textId="5666BF23" w:rsidR="00CC5161" w:rsidRDefault="00CC5161">
    <w:pPr>
      <w:pStyle w:val="APVMAOddHeader"/>
    </w:pPr>
    <w:r>
      <w:tab/>
    </w:r>
    <w:r w:rsidR="00AC131B" w:rsidRPr="00AC131B">
      <w:t>Assessment of overseas trade aspects of residues in food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05195">
      <w:rPr>
        <w:rStyle w:val="PageNumber"/>
        <w:rFonts w:cs="Times New Roman"/>
        <w:bCs w:val="0"/>
        <w:noProof/>
        <w:szCs w:val="24"/>
      </w:rPr>
      <w:t>15</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1705" w14:textId="1C759C15" w:rsidR="00CC5161" w:rsidRDefault="00CC5161">
    <w:pPr>
      <w:pStyle w:val="APVMAOddHeader"/>
    </w:pPr>
    <w:r>
      <w:tab/>
    </w:r>
    <w:r w:rsidR="00AC131B" w:rsidRPr="00AC131B">
      <w:t>Work health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17</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CE7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E850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4254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9A72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6A3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904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6CEE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267D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3ED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26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D1CE4470"/>
    <w:lvl w:ilvl="0" w:tplc="FB5E0226">
      <w:start w:val="1"/>
      <w:numFmt w:val="bullet"/>
      <w:pStyle w:val="APVMA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5482DBE"/>
    <w:multiLevelType w:val="hybridMultilevel"/>
    <w:tmpl w:val="941C7E9C"/>
    <w:lvl w:ilvl="0" w:tplc="FDF6867A">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7BE19DB"/>
    <w:multiLevelType w:val="hybridMultilevel"/>
    <w:tmpl w:val="72D026EA"/>
    <w:lvl w:ilvl="0" w:tplc="0C09000F">
      <w:start w:val="1"/>
      <w:numFmt w:val="decimal"/>
      <w:lvlText w:val="%1."/>
      <w:lvlJc w:val="left"/>
      <w:pPr>
        <w:ind w:left="1143" w:hanging="576"/>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B86BA0"/>
    <w:multiLevelType w:val="hybridMultilevel"/>
    <w:tmpl w:val="59162F6E"/>
    <w:lvl w:ilvl="0" w:tplc="FDF6867A">
      <w:start w:val="1"/>
      <w:numFmt w:val="decimal"/>
      <w:lvlText w:val="%1)"/>
      <w:lvlJc w:val="left"/>
      <w:pPr>
        <w:ind w:left="1491" w:hanging="564"/>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27F04D86"/>
    <w:multiLevelType w:val="hybridMultilevel"/>
    <w:tmpl w:val="1C821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EA0741"/>
    <w:multiLevelType w:val="hybridMultilevel"/>
    <w:tmpl w:val="E508E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22B3BF6"/>
    <w:multiLevelType w:val="hybridMultilevel"/>
    <w:tmpl w:val="0F429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B61E70"/>
    <w:multiLevelType w:val="hybridMultilevel"/>
    <w:tmpl w:val="C64E5236"/>
    <w:lvl w:ilvl="0" w:tplc="EDEC1B50">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8"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0"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31"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EC7196"/>
    <w:multiLevelType w:val="hybridMultilevel"/>
    <w:tmpl w:val="7E3EB92A"/>
    <w:lvl w:ilvl="0" w:tplc="ADE4952E">
      <w:start w:val="1"/>
      <w:numFmt w:val="decimal"/>
      <w:lvlText w:val="%1)"/>
      <w:lvlJc w:val="left"/>
      <w:pPr>
        <w:ind w:left="1143" w:hanging="576"/>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16cid:durableId="416052009">
    <w:abstractNumId w:val="24"/>
  </w:num>
  <w:num w:numId="2" w16cid:durableId="1847817366">
    <w:abstractNumId w:val="24"/>
  </w:num>
  <w:num w:numId="3" w16cid:durableId="628050759">
    <w:abstractNumId w:val="21"/>
  </w:num>
  <w:num w:numId="4" w16cid:durableId="604269072">
    <w:abstractNumId w:val="22"/>
  </w:num>
  <w:num w:numId="5" w16cid:durableId="647785159">
    <w:abstractNumId w:val="21"/>
  </w:num>
  <w:num w:numId="6" w16cid:durableId="955450296">
    <w:abstractNumId w:val="29"/>
  </w:num>
  <w:num w:numId="7" w16cid:durableId="295457348">
    <w:abstractNumId w:val="23"/>
  </w:num>
  <w:num w:numId="8" w16cid:durableId="1343507694">
    <w:abstractNumId w:val="11"/>
  </w:num>
  <w:num w:numId="9" w16cid:durableId="1686057297">
    <w:abstractNumId w:val="10"/>
  </w:num>
  <w:num w:numId="10" w16cid:durableId="1851598727">
    <w:abstractNumId w:val="13"/>
  </w:num>
  <w:num w:numId="11" w16cid:durableId="1106190607">
    <w:abstractNumId w:val="20"/>
  </w:num>
  <w:num w:numId="12" w16cid:durableId="1346205001">
    <w:abstractNumId w:val="29"/>
  </w:num>
  <w:num w:numId="13" w16cid:durableId="661276574">
    <w:abstractNumId w:val="29"/>
  </w:num>
  <w:num w:numId="14" w16cid:durableId="714548653">
    <w:abstractNumId w:val="21"/>
  </w:num>
  <w:num w:numId="15" w16cid:durableId="799765265">
    <w:abstractNumId w:val="11"/>
  </w:num>
  <w:num w:numId="16" w16cid:durableId="1633704688">
    <w:abstractNumId w:val="22"/>
  </w:num>
  <w:num w:numId="17" w16cid:durableId="783810623">
    <w:abstractNumId w:val="10"/>
  </w:num>
  <w:num w:numId="18" w16cid:durableId="921639575">
    <w:abstractNumId w:val="13"/>
  </w:num>
  <w:num w:numId="19" w16cid:durableId="552737622">
    <w:abstractNumId w:val="24"/>
  </w:num>
  <w:num w:numId="20" w16cid:durableId="1700619928">
    <w:abstractNumId w:val="30"/>
  </w:num>
  <w:num w:numId="21" w16cid:durableId="362511644">
    <w:abstractNumId w:val="12"/>
  </w:num>
  <w:num w:numId="22" w16cid:durableId="2122407760">
    <w:abstractNumId w:val="31"/>
  </w:num>
  <w:num w:numId="23" w16cid:durableId="972710519">
    <w:abstractNumId w:val="17"/>
  </w:num>
  <w:num w:numId="24" w16cid:durableId="1108230682">
    <w:abstractNumId w:val="9"/>
  </w:num>
  <w:num w:numId="25" w16cid:durableId="2098213734">
    <w:abstractNumId w:val="7"/>
  </w:num>
  <w:num w:numId="26" w16cid:durableId="1503550829">
    <w:abstractNumId w:val="6"/>
  </w:num>
  <w:num w:numId="27" w16cid:durableId="1721320190">
    <w:abstractNumId w:val="5"/>
  </w:num>
  <w:num w:numId="28" w16cid:durableId="76024552">
    <w:abstractNumId w:val="4"/>
  </w:num>
  <w:num w:numId="29" w16cid:durableId="784806434">
    <w:abstractNumId w:val="8"/>
  </w:num>
  <w:num w:numId="30" w16cid:durableId="939531888">
    <w:abstractNumId w:val="3"/>
  </w:num>
  <w:num w:numId="31" w16cid:durableId="1534616703">
    <w:abstractNumId w:val="2"/>
  </w:num>
  <w:num w:numId="32" w16cid:durableId="2043894185">
    <w:abstractNumId w:val="1"/>
  </w:num>
  <w:num w:numId="33" w16cid:durableId="176431912">
    <w:abstractNumId w:val="0"/>
  </w:num>
  <w:num w:numId="34" w16cid:durableId="1861091328">
    <w:abstractNumId w:val="28"/>
  </w:num>
  <w:num w:numId="35" w16cid:durableId="1058287549">
    <w:abstractNumId w:val="14"/>
  </w:num>
  <w:num w:numId="36" w16cid:durableId="796065988">
    <w:abstractNumId w:val="29"/>
  </w:num>
  <w:num w:numId="37" w16cid:durableId="221795795">
    <w:abstractNumId w:val="27"/>
  </w:num>
  <w:num w:numId="38" w16cid:durableId="1560558560">
    <w:abstractNumId w:val="25"/>
  </w:num>
  <w:num w:numId="39" w16cid:durableId="1604529361">
    <w:abstractNumId w:val="15"/>
  </w:num>
  <w:num w:numId="40" w16cid:durableId="1634941662">
    <w:abstractNumId w:val="18"/>
  </w:num>
  <w:num w:numId="41" w16cid:durableId="1714690174">
    <w:abstractNumId w:val="32"/>
  </w:num>
  <w:num w:numId="42" w16cid:durableId="472413012">
    <w:abstractNumId w:val="16"/>
  </w:num>
  <w:num w:numId="43" w16cid:durableId="35207056">
    <w:abstractNumId w:val="26"/>
  </w:num>
  <w:num w:numId="44" w16cid:durableId="19080297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06ED"/>
    <w:rsid w:val="00004F9C"/>
    <w:rsid w:val="000124F2"/>
    <w:rsid w:val="00017CE2"/>
    <w:rsid w:val="00020D85"/>
    <w:rsid w:val="00021D6F"/>
    <w:rsid w:val="000270DF"/>
    <w:rsid w:val="00032787"/>
    <w:rsid w:val="000415BC"/>
    <w:rsid w:val="00047D62"/>
    <w:rsid w:val="000518D6"/>
    <w:rsid w:val="0005377E"/>
    <w:rsid w:val="000642F7"/>
    <w:rsid w:val="00067056"/>
    <w:rsid w:val="00067828"/>
    <w:rsid w:val="000765C1"/>
    <w:rsid w:val="0008350E"/>
    <w:rsid w:val="00092645"/>
    <w:rsid w:val="00096163"/>
    <w:rsid w:val="000A7EF6"/>
    <w:rsid w:val="000C0FFD"/>
    <w:rsid w:val="000C1518"/>
    <w:rsid w:val="000C2C1B"/>
    <w:rsid w:val="000C392C"/>
    <w:rsid w:val="000C5EB1"/>
    <w:rsid w:val="000D124E"/>
    <w:rsid w:val="000D49ED"/>
    <w:rsid w:val="000E0F2D"/>
    <w:rsid w:val="00105214"/>
    <w:rsid w:val="0011280D"/>
    <w:rsid w:val="00120E00"/>
    <w:rsid w:val="001219FC"/>
    <w:rsid w:val="00134991"/>
    <w:rsid w:val="001358FB"/>
    <w:rsid w:val="00142B1A"/>
    <w:rsid w:val="001534D8"/>
    <w:rsid w:val="001563F1"/>
    <w:rsid w:val="00163C91"/>
    <w:rsid w:val="0016652E"/>
    <w:rsid w:val="00167BB3"/>
    <w:rsid w:val="00174413"/>
    <w:rsid w:val="00174E15"/>
    <w:rsid w:val="00177D1E"/>
    <w:rsid w:val="00184190"/>
    <w:rsid w:val="00193533"/>
    <w:rsid w:val="0019799F"/>
    <w:rsid w:val="001B335C"/>
    <w:rsid w:val="001B7360"/>
    <w:rsid w:val="001C3EF7"/>
    <w:rsid w:val="001C6607"/>
    <w:rsid w:val="001D09A7"/>
    <w:rsid w:val="001D0B2F"/>
    <w:rsid w:val="001D125B"/>
    <w:rsid w:val="001D3257"/>
    <w:rsid w:val="001E6757"/>
    <w:rsid w:val="001E68E0"/>
    <w:rsid w:val="001F5D05"/>
    <w:rsid w:val="002114A3"/>
    <w:rsid w:val="0021317B"/>
    <w:rsid w:val="00220291"/>
    <w:rsid w:val="002226F9"/>
    <w:rsid w:val="00233D51"/>
    <w:rsid w:val="0024289A"/>
    <w:rsid w:val="002516CA"/>
    <w:rsid w:val="002549D3"/>
    <w:rsid w:val="0026183C"/>
    <w:rsid w:val="0026493F"/>
    <w:rsid w:val="00273344"/>
    <w:rsid w:val="00280720"/>
    <w:rsid w:val="00282A32"/>
    <w:rsid w:val="002853BD"/>
    <w:rsid w:val="00285FDE"/>
    <w:rsid w:val="002A6791"/>
    <w:rsid w:val="002A69DD"/>
    <w:rsid w:val="002A7595"/>
    <w:rsid w:val="002B4618"/>
    <w:rsid w:val="002B5703"/>
    <w:rsid w:val="002B6100"/>
    <w:rsid w:val="002C6204"/>
    <w:rsid w:val="002D07D2"/>
    <w:rsid w:val="002D5A72"/>
    <w:rsid w:val="002D7779"/>
    <w:rsid w:val="002D7D81"/>
    <w:rsid w:val="002E003D"/>
    <w:rsid w:val="002E20AC"/>
    <w:rsid w:val="002E49F4"/>
    <w:rsid w:val="002F4591"/>
    <w:rsid w:val="002F5D1B"/>
    <w:rsid w:val="002F7868"/>
    <w:rsid w:val="003003C1"/>
    <w:rsid w:val="0030255E"/>
    <w:rsid w:val="00302D38"/>
    <w:rsid w:val="0031487D"/>
    <w:rsid w:val="003207F2"/>
    <w:rsid w:val="00323CDE"/>
    <w:rsid w:val="0033051B"/>
    <w:rsid w:val="003329CF"/>
    <w:rsid w:val="00342452"/>
    <w:rsid w:val="00347883"/>
    <w:rsid w:val="0035035B"/>
    <w:rsid w:val="003506C5"/>
    <w:rsid w:val="00364174"/>
    <w:rsid w:val="00364192"/>
    <w:rsid w:val="00371DC1"/>
    <w:rsid w:val="00381544"/>
    <w:rsid w:val="003A1BD7"/>
    <w:rsid w:val="003A2363"/>
    <w:rsid w:val="003A2D37"/>
    <w:rsid w:val="003A558F"/>
    <w:rsid w:val="003B36F6"/>
    <w:rsid w:val="003B7D4A"/>
    <w:rsid w:val="003C0891"/>
    <w:rsid w:val="003C3954"/>
    <w:rsid w:val="003D0AE1"/>
    <w:rsid w:val="003D1B7D"/>
    <w:rsid w:val="003D1D4A"/>
    <w:rsid w:val="003D6D18"/>
    <w:rsid w:val="003E54B7"/>
    <w:rsid w:val="003F45F3"/>
    <w:rsid w:val="003F67BE"/>
    <w:rsid w:val="003F7971"/>
    <w:rsid w:val="00401F04"/>
    <w:rsid w:val="004034F3"/>
    <w:rsid w:val="00403F28"/>
    <w:rsid w:val="004070E1"/>
    <w:rsid w:val="0041228F"/>
    <w:rsid w:val="00413B6C"/>
    <w:rsid w:val="00416646"/>
    <w:rsid w:val="00424637"/>
    <w:rsid w:val="00424BBE"/>
    <w:rsid w:val="00444045"/>
    <w:rsid w:val="004616C8"/>
    <w:rsid w:val="00461D26"/>
    <w:rsid w:val="0046400B"/>
    <w:rsid w:val="00470304"/>
    <w:rsid w:val="004708AB"/>
    <w:rsid w:val="00471A26"/>
    <w:rsid w:val="0048093B"/>
    <w:rsid w:val="00483F49"/>
    <w:rsid w:val="0048706D"/>
    <w:rsid w:val="00487A78"/>
    <w:rsid w:val="00487C65"/>
    <w:rsid w:val="00493B8D"/>
    <w:rsid w:val="004C1064"/>
    <w:rsid w:val="004C1F7C"/>
    <w:rsid w:val="004D2C4F"/>
    <w:rsid w:val="004E430C"/>
    <w:rsid w:val="004E4CD7"/>
    <w:rsid w:val="004F66B0"/>
    <w:rsid w:val="005064D5"/>
    <w:rsid w:val="0051454B"/>
    <w:rsid w:val="005148C0"/>
    <w:rsid w:val="00520963"/>
    <w:rsid w:val="005222E2"/>
    <w:rsid w:val="00522E27"/>
    <w:rsid w:val="005230DF"/>
    <w:rsid w:val="00532F11"/>
    <w:rsid w:val="00533D3A"/>
    <w:rsid w:val="00534CAF"/>
    <w:rsid w:val="0054633B"/>
    <w:rsid w:val="005527B9"/>
    <w:rsid w:val="00556804"/>
    <w:rsid w:val="00556ED8"/>
    <w:rsid w:val="00560E83"/>
    <w:rsid w:val="00563297"/>
    <w:rsid w:val="00566590"/>
    <w:rsid w:val="005958BC"/>
    <w:rsid w:val="00596F1D"/>
    <w:rsid w:val="005A2957"/>
    <w:rsid w:val="005C33B9"/>
    <w:rsid w:val="005D00D1"/>
    <w:rsid w:val="005D1A47"/>
    <w:rsid w:val="005E7B1C"/>
    <w:rsid w:val="005F1312"/>
    <w:rsid w:val="005F260F"/>
    <w:rsid w:val="006110AE"/>
    <w:rsid w:val="00622CCA"/>
    <w:rsid w:val="0062466B"/>
    <w:rsid w:val="006273D2"/>
    <w:rsid w:val="00643052"/>
    <w:rsid w:val="00645A64"/>
    <w:rsid w:val="00651A92"/>
    <w:rsid w:val="00657A28"/>
    <w:rsid w:val="0066105D"/>
    <w:rsid w:val="0066589D"/>
    <w:rsid w:val="0067351F"/>
    <w:rsid w:val="00674F85"/>
    <w:rsid w:val="00691686"/>
    <w:rsid w:val="006A7B67"/>
    <w:rsid w:val="006B149D"/>
    <w:rsid w:val="006B7FAE"/>
    <w:rsid w:val="006C08BC"/>
    <w:rsid w:val="006D0FC8"/>
    <w:rsid w:val="006D36C8"/>
    <w:rsid w:val="006D5D6C"/>
    <w:rsid w:val="006E33F7"/>
    <w:rsid w:val="006F312E"/>
    <w:rsid w:val="006F4EC7"/>
    <w:rsid w:val="006F79EF"/>
    <w:rsid w:val="00700C27"/>
    <w:rsid w:val="00702B7D"/>
    <w:rsid w:val="00703BDD"/>
    <w:rsid w:val="00704C88"/>
    <w:rsid w:val="00705195"/>
    <w:rsid w:val="00710244"/>
    <w:rsid w:val="007147EF"/>
    <w:rsid w:val="0071715C"/>
    <w:rsid w:val="007275CF"/>
    <w:rsid w:val="00731659"/>
    <w:rsid w:val="00734683"/>
    <w:rsid w:val="0074111B"/>
    <w:rsid w:val="00741728"/>
    <w:rsid w:val="00741DB2"/>
    <w:rsid w:val="00753ED8"/>
    <w:rsid w:val="00756D70"/>
    <w:rsid w:val="0076267D"/>
    <w:rsid w:val="00770B96"/>
    <w:rsid w:val="00772458"/>
    <w:rsid w:val="00783112"/>
    <w:rsid w:val="00790132"/>
    <w:rsid w:val="0079772A"/>
    <w:rsid w:val="007A34AA"/>
    <w:rsid w:val="007B322A"/>
    <w:rsid w:val="007B74E9"/>
    <w:rsid w:val="007D08BB"/>
    <w:rsid w:val="007D1F65"/>
    <w:rsid w:val="007E2E02"/>
    <w:rsid w:val="007F0146"/>
    <w:rsid w:val="007F6D92"/>
    <w:rsid w:val="00800BB2"/>
    <w:rsid w:val="00800CE6"/>
    <w:rsid w:val="00806C31"/>
    <w:rsid w:val="00813BA3"/>
    <w:rsid w:val="008164D5"/>
    <w:rsid w:val="008226C7"/>
    <w:rsid w:val="0082639B"/>
    <w:rsid w:val="00832D38"/>
    <w:rsid w:val="008362F6"/>
    <w:rsid w:val="00836556"/>
    <w:rsid w:val="008366A3"/>
    <w:rsid w:val="00843899"/>
    <w:rsid w:val="00847050"/>
    <w:rsid w:val="00860B66"/>
    <w:rsid w:val="00862E63"/>
    <w:rsid w:val="00863E57"/>
    <w:rsid w:val="008665D2"/>
    <w:rsid w:val="00877845"/>
    <w:rsid w:val="00892292"/>
    <w:rsid w:val="008B2E83"/>
    <w:rsid w:val="008C0089"/>
    <w:rsid w:val="008C0FA2"/>
    <w:rsid w:val="008C5C0D"/>
    <w:rsid w:val="008C6B9D"/>
    <w:rsid w:val="008E32D0"/>
    <w:rsid w:val="008E772E"/>
    <w:rsid w:val="008E7FB1"/>
    <w:rsid w:val="008F14C4"/>
    <w:rsid w:val="00901757"/>
    <w:rsid w:val="009111B3"/>
    <w:rsid w:val="00913600"/>
    <w:rsid w:val="00926473"/>
    <w:rsid w:val="00926803"/>
    <w:rsid w:val="00930B7A"/>
    <w:rsid w:val="00932846"/>
    <w:rsid w:val="009346C3"/>
    <w:rsid w:val="00936A6A"/>
    <w:rsid w:val="0095647E"/>
    <w:rsid w:val="00962DBB"/>
    <w:rsid w:val="00964BF7"/>
    <w:rsid w:val="00966603"/>
    <w:rsid w:val="00970008"/>
    <w:rsid w:val="009715B3"/>
    <w:rsid w:val="00972247"/>
    <w:rsid w:val="00972F11"/>
    <w:rsid w:val="009730D7"/>
    <w:rsid w:val="00974475"/>
    <w:rsid w:val="00977CAF"/>
    <w:rsid w:val="009860B8"/>
    <w:rsid w:val="009A0322"/>
    <w:rsid w:val="009A4448"/>
    <w:rsid w:val="009A7614"/>
    <w:rsid w:val="009A7749"/>
    <w:rsid w:val="009A7A8F"/>
    <w:rsid w:val="009B5AB4"/>
    <w:rsid w:val="009B6ACE"/>
    <w:rsid w:val="009C0E87"/>
    <w:rsid w:val="009D0723"/>
    <w:rsid w:val="009D0E59"/>
    <w:rsid w:val="009D452E"/>
    <w:rsid w:val="009F16FF"/>
    <w:rsid w:val="00A03801"/>
    <w:rsid w:val="00A11221"/>
    <w:rsid w:val="00A23729"/>
    <w:rsid w:val="00A2448D"/>
    <w:rsid w:val="00A25290"/>
    <w:rsid w:val="00A37E6B"/>
    <w:rsid w:val="00A5136D"/>
    <w:rsid w:val="00A51EFD"/>
    <w:rsid w:val="00A56C4A"/>
    <w:rsid w:val="00A60905"/>
    <w:rsid w:val="00A6283D"/>
    <w:rsid w:val="00A6524F"/>
    <w:rsid w:val="00A6683A"/>
    <w:rsid w:val="00A677CE"/>
    <w:rsid w:val="00A77CE7"/>
    <w:rsid w:val="00A8029A"/>
    <w:rsid w:val="00A81500"/>
    <w:rsid w:val="00A87101"/>
    <w:rsid w:val="00A91D9F"/>
    <w:rsid w:val="00AA68EC"/>
    <w:rsid w:val="00AA7964"/>
    <w:rsid w:val="00AB659C"/>
    <w:rsid w:val="00AC096A"/>
    <w:rsid w:val="00AC131B"/>
    <w:rsid w:val="00AD1C92"/>
    <w:rsid w:val="00AD41C4"/>
    <w:rsid w:val="00AF232A"/>
    <w:rsid w:val="00AF7046"/>
    <w:rsid w:val="00B15647"/>
    <w:rsid w:val="00B21275"/>
    <w:rsid w:val="00B21E6C"/>
    <w:rsid w:val="00B23286"/>
    <w:rsid w:val="00B27675"/>
    <w:rsid w:val="00B32449"/>
    <w:rsid w:val="00B32A6B"/>
    <w:rsid w:val="00B50074"/>
    <w:rsid w:val="00B51E46"/>
    <w:rsid w:val="00BA5E5A"/>
    <w:rsid w:val="00BA67F0"/>
    <w:rsid w:val="00BB254A"/>
    <w:rsid w:val="00BB65FC"/>
    <w:rsid w:val="00BC5423"/>
    <w:rsid w:val="00BD021C"/>
    <w:rsid w:val="00BD2289"/>
    <w:rsid w:val="00BD55DB"/>
    <w:rsid w:val="00BD70E8"/>
    <w:rsid w:val="00BD74AF"/>
    <w:rsid w:val="00BF436A"/>
    <w:rsid w:val="00C01FCE"/>
    <w:rsid w:val="00C06A12"/>
    <w:rsid w:val="00C164F3"/>
    <w:rsid w:val="00C208BF"/>
    <w:rsid w:val="00C22447"/>
    <w:rsid w:val="00C25BF3"/>
    <w:rsid w:val="00C27450"/>
    <w:rsid w:val="00C34B67"/>
    <w:rsid w:val="00C50E1A"/>
    <w:rsid w:val="00C5294C"/>
    <w:rsid w:val="00C53C96"/>
    <w:rsid w:val="00C60421"/>
    <w:rsid w:val="00C72FA3"/>
    <w:rsid w:val="00C73D24"/>
    <w:rsid w:val="00C75720"/>
    <w:rsid w:val="00C9059A"/>
    <w:rsid w:val="00C913DC"/>
    <w:rsid w:val="00C95323"/>
    <w:rsid w:val="00C9656F"/>
    <w:rsid w:val="00CA0A44"/>
    <w:rsid w:val="00CA17DC"/>
    <w:rsid w:val="00CA5746"/>
    <w:rsid w:val="00CA5B2B"/>
    <w:rsid w:val="00CA70E1"/>
    <w:rsid w:val="00CC5161"/>
    <w:rsid w:val="00CD01D0"/>
    <w:rsid w:val="00CD19CB"/>
    <w:rsid w:val="00CD2755"/>
    <w:rsid w:val="00CD6650"/>
    <w:rsid w:val="00CE2C5A"/>
    <w:rsid w:val="00CE456A"/>
    <w:rsid w:val="00CE6C51"/>
    <w:rsid w:val="00CE6DF8"/>
    <w:rsid w:val="00CF45BB"/>
    <w:rsid w:val="00CF59B7"/>
    <w:rsid w:val="00D06500"/>
    <w:rsid w:val="00D10F59"/>
    <w:rsid w:val="00D17513"/>
    <w:rsid w:val="00D22CCB"/>
    <w:rsid w:val="00D3438C"/>
    <w:rsid w:val="00D40A9E"/>
    <w:rsid w:val="00D4143D"/>
    <w:rsid w:val="00D505AD"/>
    <w:rsid w:val="00D6150E"/>
    <w:rsid w:val="00D652F5"/>
    <w:rsid w:val="00D67788"/>
    <w:rsid w:val="00D7456B"/>
    <w:rsid w:val="00D75DA9"/>
    <w:rsid w:val="00D81C23"/>
    <w:rsid w:val="00D874AA"/>
    <w:rsid w:val="00D90D30"/>
    <w:rsid w:val="00D9318E"/>
    <w:rsid w:val="00D942C8"/>
    <w:rsid w:val="00D950E6"/>
    <w:rsid w:val="00DA4FB8"/>
    <w:rsid w:val="00DB0DD7"/>
    <w:rsid w:val="00DB3BF5"/>
    <w:rsid w:val="00DE3FBE"/>
    <w:rsid w:val="00DF179F"/>
    <w:rsid w:val="00E0015C"/>
    <w:rsid w:val="00E013E8"/>
    <w:rsid w:val="00E05F81"/>
    <w:rsid w:val="00E1009B"/>
    <w:rsid w:val="00E16F2E"/>
    <w:rsid w:val="00E318E3"/>
    <w:rsid w:val="00E35DE7"/>
    <w:rsid w:val="00E41FED"/>
    <w:rsid w:val="00E55997"/>
    <w:rsid w:val="00E65533"/>
    <w:rsid w:val="00E66307"/>
    <w:rsid w:val="00E70840"/>
    <w:rsid w:val="00E712DD"/>
    <w:rsid w:val="00E74265"/>
    <w:rsid w:val="00E75559"/>
    <w:rsid w:val="00E830F0"/>
    <w:rsid w:val="00E97570"/>
    <w:rsid w:val="00EA50DD"/>
    <w:rsid w:val="00EA7005"/>
    <w:rsid w:val="00ED4F18"/>
    <w:rsid w:val="00EE0D34"/>
    <w:rsid w:val="00EE297E"/>
    <w:rsid w:val="00EE4706"/>
    <w:rsid w:val="00EE5B09"/>
    <w:rsid w:val="00EE6B92"/>
    <w:rsid w:val="00F01CB5"/>
    <w:rsid w:val="00F02476"/>
    <w:rsid w:val="00F2357D"/>
    <w:rsid w:val="00F2418F"/>
    <w:rsid w:val="00F30BDA"/>
    <w:rsid w:val="00F312C7"/>
    <w:rsid w:val="00F40160"/>
    <w:rsid w:val="00F425F6"/>
    <w:rsid w:val="00F50EC8"/>
    <w:rsid w:val="00F51AA7"/>
    <w:rsid w:val="00F56C76"/>
    <w:rsid w:val="00F570DC"/>
    <w:rsid w:val="00F6733A"/>
    <w:rsid w:val="00F81727"/>
    <w:rsid w:val="00F836A5"/>
    <w:rsid w:val="00F84654"/>
    <w:rsid w:val="00F901DD"/>
    <w:rsid w:val="00F9551B"/>
    <w:rsid w:val="00F95D43"/>
    <w:rsid w:val="00F967F5"/>
    <w:rsid w:val="00FA2BFE"/>
    <w:rsid w:val="00FA6EC5"/>
    <w:rsid w:val="00FA78E0"/>
    <w:rsid w:val="00FB75E8"/>
    <w:rsid w:val="00FC09D2"/>
    <w:rsid w:val="00FC18D6"/>
    <w:rsid w:val="00FC198C"/>
    <w:rsid w:val="00FC1F9B"/>
    <w:rsid w:val="00FC580F"/>
    <w:rsid w:val="00FD344F"/>
    <w:rsid w:val="00FD44A5"/>
    <w:rsid w:val="00FD6F29"/>
    <w:rsid w:val="00FE54CA"/>
    <w:rsid w:val="00FE7A6B"/>
    <w:rsid w:val="00FF5EE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B14D"/>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424637"/>
    <w:pPr>
      <w:spacing w:line="240" w:lineRule="atLeast"/>
    </w:pPr>
    <w:rPr>
      <w:rFonts w:ascii="Arial" w:hAnsi="Arial"/>
      <w:szCs w:val="24"/>
      <w:lang w:eastAsia="en-US"/>
    </w:rPr>
  </w:style>
  <w:style w:type="paragraph" w:styleId="Heading1">
    <w:name w:val="heading 1"/>
    <w:aliases w:val="APVMA_H1"/>
    <w:basedOn w:val="NormalText"/>
    <w:next w:val="NormalText"/>
    <w:qFormat/>
    <w:rsid w:val="00CA5B2B"/>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CA5B2B"/>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424637"/>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
    <w:basedOn w:val="NormalText"/>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9D0723"/>
    <w:pPr>
      <w:keepNext/>
      <w:keepLines/>
      <w:spacing w:before="60" w:after="60" w:line="240" w:lineRule="exact"/>
    </w:pPr>
    <w:rPr>
      <w:rFonts w:ascii="Franklin Gothic Medium" w:hAnsi="Franklin Gothic Medium"/>
      <w:bCs/>
      <w:color w:val="F8F8F8"/>
      <w:sz w:val="18"/>
      <w:lang w:val="en-GB"/>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link w:val="APVMABullet1Char"/>
    <w:qFormat/>
    <w:rsid w:val="00731659"/>
    <w:pPr>
      <w:numPr>
        <w:numId w:val="14"/>
      </w:numPr>
      <w:spacing w:before="120" w:after="120"/>
    </w:pPr>
  </w:style>
  <w:style w:type="paragraph" w:customStyle="1" w:styleId="APVMATableHeadRight">
    <w:name w:val="APVMA_TableHead_Right"/>
    <w:basedOn w:val="APVMATableHead"/>
    <w:rsid w:val="009D0723"/>
    <w:pPr>
      <w:jc w:val="right"/>
    </w:pPr>
  </w:style>
  <w:style w:type="paragraph" w:customStyle="1" w:styleId="APVMABullet2">
    <w:name w:val="APVMA_Bullet2"/>
    <w:basedOn w:val="APVMABullet1"/>
    <w:link w:val="APVMABullet2Char"/>
    <w:qFormat/>
    <w:rsid w:val="00EA50DD"/>
    <w:pPr>
      <w:numPr>
        <w:numId w:val="8"/>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rsid w:val="009D0723"/>
    <w:pPr>
      <w:jc w:val="right"/>
    </w:pPr>
  </w:style>
  <w:style w:type="paragraph" w:styleId="Caption">
    <w:name w:val="caption"/>
    <w:aliases w:val="Table caption"/>
    <w:basedOn w:val="Normal"/>
    <w:next w:val="NormalText"/>
    <w:link w:val="CaptionChar"/>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F95D43"/>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pageBreakBefore w:val="0"/>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character" w:customStyle="1" w:styleId="NormalTextChar">
    <w:name w:val="Normal Text Char"/>
    <w:basedOn w:val="DefaultParagraphFont"/>
    <w:link w:val="NormalText"/>
    <w:rsid w:val="00705195"/>
    <w:rPr>
      <w:rFonts w:ascii="Arial" w:hAnsi="Arial" w:cs="Arial"/>
      <w:kern w:val="20"/>
      <w:sz w:val="19"/>
      <w:szCs w:val="24"/>
      <w:u w:color="000000"/>
      <w:lang w:eastAsia="en-US"/>
    </w:rPr>
  </w:style>
  <w:style w:type="paragraph" w:customStyle="1" w:styleId="BODYTEXT">
    <w:name w:val="BODYTEXT"/>
    <w:rsid w:val="00705195"/>
    <w:rPr>
      <w:sz w:val="24"/>
      <w:lang w:eastAsia="en-US"/>
    </w:rPr>
  </w:style>
  <w:style w:type="paragraph" w:customStyle="1" w:styleId="Default">
    <w:name w:val="Default"/>
    <w:rsid w:val="00705195"/>
    <w:pPr>
      <w:autoSpaceDE w:val="0"/>
      <w:autoSpaceDN w:val="0"/>
      <w:adjustRightInd w:val="0"/>
    </w:pPr>
    <w:rPr>
      <w:rFonts w:ascii="Calibri" w:eastAsiaTheme="minorEastAsia" w:hAnsi="Calibri" w:cs="Calibri"/>
      <w:color w:val="000000"/>
      <w:sz w:val="24"/>
      <w:szCs w:val="24"/>
      <w:lang w:eastAsia="en-US"/>
    </w:rPr>
  </w:style>
  <w:style w:type="paragraph" w:styleId="Revision">
    <w:name w:val="Revision"/>
    <w:hidden/>
    <w:uiPriority w:val="99"/>
    <w:semiHidden/>
    <w:rsid w:val="00424BBE"/>
    <w:rPr>
      <w:rFonts w:ascii="Arial" w:hAnsi="Arial"/>
      <w:szCs w:val="24"/>
      <w:lang w:eastAsia="en-US"/>
    </w:rPr>
  </w:style>
  <w:style w:type="character" w:customStyle="1" w:styleId="UnresolvedMention1">
    <w:name w:val="Unresolved Mention1"/>
    <w:basedOn w:val="DefaultParagraphFont"/>
    <w:uiPriority w:val="99"/>
    <w:semiHidden/>
    <w:unhideWhenUsed/>
    <w:rsid w:val="00772458"/>
    <w:rPr>
      <w:color w:val="605E5C"/>
      <w:shd w:val="clear" w:color="auto" w:fill="E1DFDD"/>
    </w:rPr>
  </w:style>
  <w:style w:type="paragraph" w:customStyle="1" w:styleId="Bulletendash">
    <w:name w:val="Bullet en dash"/>
    <w:basedOn w:val="APVMABullet2"/>
    <w:link w:val="BulletendashChar"/>
    <w:uiPriority w:val="4"/>
    <w:rsid w:val="00674F85"/>
    <w:pPr>
      <w:numPr>
        <w:numId w:val="37"/>
      </w:numPr>
      <w:spacing w:before="1440"/>
      <w:jc w:val="center"/>
    </w:pPr>
    <w:rPr>
      <w:noProof/>
      <w:sz w:val="28"/>
      <w:szCs w:val="28"/>
      <w:lang w:eastAsia="en-AU"/>
    </w:rPr>
  </w:style>
  <w:style w:type="character" w:customStyle="1" w:styleId="APVMABullet1Char">
    <w:name w:val="APVMA_Bullet1 Char"/>
    <w:basedOn w:val="NormalTextChar"/>
    <w:link w:val="APVMABullet1"/>
    <w:rsid w:val="00674F85"/>
    <w:rPr>
      <w:rFonts w:ascii="Arial" w:hAnsi="Arial" w:cs="Arial"/>
      <w:kern w:val="20"/>
      <w:sz w:val="19"/>
      <w:szCs w:val="24"/>
      <w:u w:color="000000"/>
      <w:lang w:eastAsia="en-US"/>
    </w:rPr>
  </w:style>
  <w:style w:type="character" w:customStyle="1" w:styleId="APVMABullet2Char">
    <w:name w:val="APVMA_Bullet2 Char"/>
    <w:basedOn w:val="APVMABullet1Char"/>
    <w:link w:val="APVMABullet2"/>
    <w:rsid w:val="00674F85"/>
    <w:rPr>
      <w:rFonts w:ascii="Arial" w:hAnsi="Arial" w:cs="Arial"/>
      <w:kern w:val="20"/>
      <w:sz w:val="19"/>
      <w:szCs w:val="24"/>
      <w:u w:color="000000"/>
      <w:lang w:eastAsia="en-US"/>
    </w:rPr>
  </w:style>
  <w:style w:type="character" w:customStyle="1" w:styleId="BulletendashChar">
    <w:name w:val="Bullet en dash Char"/>
    <w:basedOn w:val="APVMABullet2Char"/>
    <w:link w:val="Bulletendash"/>
    <w:uiPriority w:val="4"/>
    <w:rsid w:val="00674F85"/>
    <w:rPr>
      <w:rFonts w:ascii="Arial" w:hAnsi="Arial" w:cs="Arial"/>
      <w:noProof/>
      <w:kern w:val="20"/>
      <w:sz w:val="28"/>
      <w:szCs w:val="28"/>
      <w:u w:color="000000"/>
      <w:lang w:eastAsia="en-US"/>
    </w:rPr>
  </w:style>
  <w:style w:type="paragraph" w:customStyle="1" w:styleId="Figurecaption">
    <w:name w:val="Figure caption"/>
    <w:basedOn w:val="Caption"/>
    <w:link w:val="FigurecaptionChar"/>
    <w:uiPriority w:val="4"/>
    <w:qFormat/>
    <w:rsid w:val="00AF7046"/>
    <w:rPr>
      <w:szCs w:val="20"/>
    </w:rPr>
  </w:style>
  <w:style w:type="character" w:customStyle="1" w:styleId="CaptionChar">
    <w:name w:val="Caption Char"/>
    <w:aliases w:val="Table caption Char"/>
    <w:basedOn w:val="DefaultParagraphFont"/>
    <w:link w:val="Caption"/>
    <w:rsid w:val="00AF7046"/>
    <w:rPr>
      <w:rFonts w:ascii="Franklin Gothic Medium" w:hAnsi="Franklin Gothic Medium"/>
      <w:color w:val="00747A" w:themeColor="background2"/>
      <w:szCs w:val="24"/>
      <w:lang w:eastAsia="en-US"/>
    </w:rPr>
  </w:style>
  <w:style w:type="character" w:customStyle="1" w:styleId="FigurecaptionChar">
    <w:name w:val="Figure caption Char"/>
    <w:basedOn w:val="CaptionChar"/>
    <w:link w:val="Figurecaption"/>
    <w:uiPriority w:val="4"/>
    <w:rsid w:val="00AF7046"/>
    <w:rPr>
      <w:rFonts w:ascii="Franklin Gothic Medium" w:hAnsi="Franklin Gothic Medium"/>
      <w:color w:val="00747A" w:themeColor="background2"/>
      <w:szCs w:val="24"/>
      <w:lang w:eastAsia="en-US"/>
    </w:rPr>
  </w:style>
  <w:style w:type="character" w:styleId="UnresolvedMention">
    <w:name w:val="Unresolved Mention"/>
    <w:basedOn w:val="DefaultParagraphFont"/>
    <w:uiPriority w:val="99"/>
    <w:semiHidden/>
    <w:unhideWhenUsed/>
    <w:rsid w:val="0054633B"/>
    <w:rPr>
      <w:color w:val="605E5C"/>
      <w:shd w:val="clear" w:color="auto" w:fill="E1DFDD"/>
    </w:rPr>
  </w:style>
  <w:style w:type="character" w:customStyle="1" w:styleId="Response">
    <w:name w:val="Response"/>
    <w:basedOn w:val="DefaultParagraphFont"/>
    <w:uiPriority w:val="1"/>
    <w:qFormat/>
    <w:rsid w:val="001E68E0"/>
    <w:rPr>
      <w:rFonts w:ascii="Arial" w:hAnsi="Arial"/>
      <w:color w:val="004953" w:themeColor="text2"/>
    </w:rPr>
  </w:style>
  <w:style w:type="paragraph" w:styleId="ListParagraph">
    <w:name w:val="List Paragraph"/>
    <w:basedOn w:val="Normal"/>
    <w:uiPriority w:val="34"/>
    <w:rsid w:val="00C913DC"/>
    <w:pPr>
      <w:ind w:left="720"/>
      <w:contextualSpacing/>
    </w:pPr>
  </w:style>
  <w:style w:type="paragraph" w:styleId="BodyText0">
    <w:name w:val="Body Text"/>
    <w:basedOn w:val="Normal"/>
    <w:link w:val="BodyTextChar"/>
    <w:uiPriority w:val="1"/>
    <w:qFormat/>
    <w:rsid w:val="003F45F3"/>
    <w:pPr>
      <w:widowControl w:val="0"/>
      <w:autoSpaceDE w:val="0"/>
      <w:autoSpaceDN w:val="0"/>
      <w:spacing w:line="240" w:lineRule="auto"/>
    </w:pPr>
    <w:rPr>
      <w:rFonts w:eastAsia="Arial" w:cs="Arial"/>
      <w:szCs w:val="20"/>
      <w:lang w:val="en-US"/>
    </w:rPr>
  </w:style>
  <w:style w:type="character" w:customStyle="1" w:styleId="BodyTextChar">
    <w:name w:val="Body Text Char"/>
    <w:basedOn w:val="DefaultParagraphFont"/>
    <w:link w:val="BodyText0"/>
    <w:uiPriority w:val="1"/>
    <w:rsid w:val="003F45F3"/>
    <w:rPr>
      <w:rFonts w:ascii="Arial" w:eastAsia="Arial" w:hAnsi="Arial" w:cs="Arial"/>
      <w:lang w:val="en-US" w:eastAsia="en-US"/>
    </w:rPr>
  </w:style>
  <w:style w:type="paragraph" w:customStyle="1" w:styleId="TableParagraph">
    <w:name w:val="Table Paragraph"/>
    <w:basedOn w:val="Normal"/>
    <w:uiPriority w:val="1"/>
    <w:qFormat/>
    <w:rsid w:val="003F45F3"/>
    <w:pPr>
      <w:widowControl w:val="0"/>
      <w:autoSpaceDE w:val="0"/>
      <w:autoSpaceDN w:val="0"/>
      <w:spacing w:before="65" w:line="240" w:lineRule="auto"/>
      <w:ind w:left="207"/>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yperlink" Target="mailto:communications@apvma.gov.au" TargetMode="External" Id="rId18" /><Relationship Type="http://schemas.openxmlformats.org/officeDocument/2006/relationships/header" Target="header4.xml" Id="rId26" /><Relationship Type="http://schemas.openxmlformats.org/officeDocument/2006/relationships/header" Target="header15.xml" Id="rId39" /><Relationship Type="http://schemas.openxmlformats.org/officeDocument/2006/relationships/header" Target="header3.xml" Id="rId21" /><Relationship Type="http://schemas.openxmlformats.org/officeDocument/2006/relationships/header" Target="header10.xml" Id="rId34" /><Relationship Type="http://schemas.openxmlformats.org/officeDocument/2006/relationships/theme" Target="theme/theme1.xml" Id="rId42" /><Relationship Type="http://schemas.openxmlformats.org/officeDocument/2006/relationships/footnotes" Target="footnotes.xml" Id="rId7" /><Relationship Type="http://schemas.openxmlformats.org/officeDocument/2006/relationships/hyperlink" Target="https://creativecommons.org/licenses/by/4.0/legalcode" TargetMode="External" Id="rId16" /><Relationship Type="http://schemas.openxmlformats.org/officeDocument/2006/relationships/header" Target="header2.xml" Id="rId20" /><Relationship Type="http://schemas.openxmlformats.org/officeDocument/2006/relationships/image" Target="media/image5.png" Id="rId29" /><Relationship Type="http://schemas.openxmlformats.org/officeDocument/2006/relationships/glossaryDocument" Target="glossary/document.xml"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hyperlink" Target="https://apvma.gov.au/node/72856" TargetMode="External" Id="rId24" /><Relationship Type="http://schemas.openxmlformats.org/officeDocument/2006/relationships/header" Target="header8.xml" Id="rId32" /><Relationship Type="http://schemas.openxmlformats.org/officeDocument/2006/relationships/header" Target="header13.xml" Id="rId37" /><Relationship Type="http://schemas.openxmlformats.org/officeDocument/2006/relationships/fontTable" Target="fontTable.xml" Id="rId40" /><Relationship Type="http://schemas.openxmlformats.org/officeDocument/2006/relationships/settings" Target="settings.xml" Id="rId5" /><Relationship Type="http://schemas.openxmlformats.org/officeDocument/2006/relationships/hyperlink" Target="https://creativecommons.org/licenses/by/4.0/" TargetMode="External" Id="rId15" /><Relationship Type="http://schemas.openxmlformats.org/officeDocument/2006/relationships/hyperlink" Target="https://apvma.gov.au/node/72856" TargetMode="External" Id="rId23" /><Relationship Type="http://schemas.openxmlformats.org/officeDocument/2006/relationships/header" Target="header5.xml" Id="rId28" /><Relationship Type="http://schemas.openxmlformats.org/officeDocument/2006/relationships/header" Target="header12.xml" Id="rId36" /><Relationship Type="http://schemas.openxmlformats.org/officeDocument/2006/relationships/image" Target="media/image2.png" Id="rId10" /><Relationship Type="http://schemas.openxmlformats.org/officeDocument/2006/relationships/hyperlink" Target="http://www.apvma.gov.au" TargetMode="External" Id="rId19" /><Relationship Type="http://schemas.openxmlformats.org/officeDocument/2006/relationships/header" Target="header7.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4.png" Id="rId14" /><Relationship Type="http://schemas.openxmlformats.org/officeDocument/2006/relationships/hyperlink" Target="https://apvma.gov.au/" TargetMode="External" Id="rId22" /><Relationship Type="http://schemas.openxmlformats.org/officeDocument/2006/relationships/hyperlink" Target="https://apvma.gov.au/" TargetMode="External" Id="rId27" /><Relationship Type="http://schemas.openxmlformats.org/officeDocument/2006/relationships/header" Target="header6.xml" Id="rId30" /><Relationship Type="http://schemas.openxmlformats.org/officeDocument/2006/relationships/header" Target="header11.xml" Id="rId35"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er" Target="footer1.xml" Id="rId12" /><Relationship Type="http://schemas.openxmlformats.org/officeDocument/2006/relationships/hyperlink" Target="https://www.pmc.gov.au/honours-and-symbols/commonwealth-coat-arms" TargetMode="External" Id="rId17" /><Relationship Type="http://schemas.openxmlformats.org/officeDocument/2006/relationships/hyperlink" Target="mailto:casemanagement@apvma.gov.au" TargetMode="External" Id="rId25" /><Relationship Type="http://schemas.openxmlformats.org/officeDocument/2006/relationships/header" Target="header9.xml" Id="rId33" /><Relationship Type="http://schemas.openxmlformats.org/officeDocument/2006/relationships/header" Target="header14.xml" Id="rId38" /><Relationship Type="http://schemas.openxmlformats.org/officeDocument/2006/relationships/customXml" Target="/customXML/item3.xml" Id="R13ab46c9a2a0438b" /></Relationships>
</file>

<file path=word/_rels/footnotes.xml.rels><?xml version="1.0" encoding="UTF-8" standalone="yes"?>
<Relationships xmlns="http://schemas.openxmlformats.org/package/2006/relationships"><Relationship Id="rId1" Type="http://schemas.openxmlformats.org/officeDocument/2006/relationships/hyperlink" Target="https://one.oecd.org/document/ENV/JM/MONO(2017)33/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E9D989740140CD8339DF7AE1827A75"/>
        <w:category>
          <w:name w:val="General"/>
          <w:gallery w:val="placeholder"/>
        </w:category>
        <w:types>
          <w:type w:val="bbPlcHdr"/>
        </w:types>
        <w:behaviors>
          <w:behavior w:val="content"/>
        </w:behaviors>
        <w:guid w:val="{641E13F6-C74A-44D4-AC33-0CD72D215884}"/>
      </w:docPartPr>
      <w:docPartBody>
        <w:p w:rsidR="00096B20" w:rsidRDefault="00912544" w:rsidP="00912544">
          <w:pPr>
            <w:pStyle w:val="9DE9D989740140CD8339DF7AE1827A75"/>
          </w:pPr>
          <w:r w:rsidRPr="00735114">
            <w:rPr>
              <w:rStyle w:val="Respons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544"/>
    <w:rsid w:val="0005377E"/>
    <w:rsid w:val="00096B20"/>
    <w:rsid w:val="001219FC"/>
    <w:rsid w:val="001D125B"/>
    <w:rsid w:val="003D6D18"/>
    <w:rsid w:val="00461244"/>
    <w:rsid w:val="00507FE8"/>
    <w:rsid w:val="00580626"/>
    <w:rsid w:val="0066105D"/>
    <w:rsid w:val="00710244"/>
    <w:rsid w:val="008808C1"/>
    <w:rsid w:val="008E046F"/>
    <w:rsid w:val="00912544"/>
    <w:rsid w:val="00A46320"/>
    <w:rsid w:val="00AA004A"/>
    <w:rsid w:val="00AA0560"/>
    <w:rsid w:val="00AC4952"/>
    <w:rsid w:val="00C41A0F"/>
    <w:rsid w:val="00E46F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sponse">
    <w:name w:val="Response"/>
    <w:basedOn w:val="DefaultParagraphFont"/>
    <w:uiPriority w:val="1"/>
    <w:qFormat/>
    <w:rsid w:val="00912544"/>
    <w:rPr>
      <w:rFonts w:ascii="Arial" w:hAnsi="Arial"/>
      <w:color w:val="0E2841" w:themeColor="text2"/>
    </w:rPr>
  </w:style>
  <w:style w:type="paragraph" w:customStyle="1" w:styleId="9DE9D989740140CD8339DF7AE1827A75">
    <w:name w:val="9DE9D989740140CD8339DF7AE1827A75"/>
    <w:rsid w:val="00912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A3520116</value>
    </field>
    <field name="Objective-Title">
      <value order="0">93848 - 140698 - Semios EC Eco Aerosol Pheromone_ Public Release Summary</value>
    </field>
    <field name="Objective-Description">
      <value order="0"/>
    </field>
    <field name="Objective-CreationStamp">
      <value order="0">2025-05-16T00:17:45Z</value>
    </field>
    <field name="Objective-IsApproved">
      <value order="0">false</value>
    </field>
    <field name="Objective-IsPublished">
      <value order="0">false</value>
    </field>
    <field name="Objective-DatePublished">
      <value order="0"/>
    </field>
    <field name="Objective-ModificationStamp">
      <value order="0">2026-02-06T06:19:33Z</value>
    </field>
    <field name="Objective-Owner">
      <value order="0">Yasser Sokeirik</value>
    </field>
    <field name="Objective-Path">
      <value order="0">APVMA:REGISTRATION:Registration - Product, Permit and Active Files:Product, Permit and Active Files 92500 - 94999:93848 - Semios EC Eco Aerosol Pheromone:93848 - 140698 - Semios EC Eco Aerosol Pheromone :06-Evaluation and Determination:Evaluation and Determination - Public Consultation</value>
    </field>
    <field name="Objective-Parent">
      <value order="0">Evaluation and Determination - Public Consultation</value>
    </field>
    <field name="Objective-State">
      <value order="0">Being Drafted</value>
    </field>
    <field name="Objective-VersionId">
      <value order="0">vA5633215</value>
    </field>
    <field name="Objective-Version">
      <value order="0">9.7</value>
    </field>
    <field name="Objective-VersionNumber">
      <value order="0">32</value>
    </field>
    <field name="Objective-VersionComment">
      <value order="0"/>
    </field>
    <field name="Objective-FileNumber">
      <value order="0">qA489614</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23D27-0D7B-4C09-AF30-FADBDD3B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4197</TotalTime>
  <Pages>31</Pages>
  <Words>6377</Words>
  <Characters>35334</Characters>
  <Application>Microsoft Office Word</Application>
  <DocSecurity>0</DocSecurity>
  <Lines>981</Lines>
  <Paragraphs>548</Paragraphs>
  <ScaleCrop>false</ScaleCrop>
  <HeadingPairs>
    <vt:vector size="2" baseType="variant">
      <vt:variant>
        <vt:lpstr>Title</vt:lpstr>
      </vt:variant>
      <vt:variant>
        <vt:i4>1</vt:i4>
      </vt:variant>
    </vt:vector>
  </HeadingPairs>
  <TitlesOfParts>
    <vt:vector size="1" baseType="lpstr">
      <vt:lpstr>APVMA Public Release Summary</vt:lpstr>
    </vt:vector>
  </TitlesOfParts>
  <Manager/>
  <Company>Australian Pesticides and Veterinary Medicines Authority</Company>
  <LinksUpToDate>false</LinksUpToDate>
  <CharactersWithSpaces>41163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Public Release Summary</dc:title>
  <dc:subject/>
  <dc:creator>APVMA</dc:creator>
  <cp:keywords/>
  <dc:description/>
  <cp:lastModifiedBy>GRIFFIN, Jordanna</cp:lastModifiedBy>
  <cp:revision>89</cp:revision>
  <cp:lastPrinted>2019-04-25T12:55:00Z</cp:lastPrinted>
  <dcterms:created xsi:type="dcterms:W3CDTF">2025-05-15T06:39:00Z</dcterms:created>
  <dcterms:modified xsi:type="dcterms:W3CDTF">2026-02-06T06:17:00Z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A3520116</vt:lpwstr>
  </property>
  <property fmtid="{D5CDD505-2E9C-101B-9397-08002B2CF9AE}" pid="4" name="Objective-Title">
    <vt:lpwstr>93848 - 140698 - Semios EC Eco Aerosol Pheromone_ Public Release Summary</vt:lpwstr>
  </property>
  <property fmtid="{D5CDD505-2E9C-101B-9397-08002B2CF9AE}" pid="5" name="Objective-Comment">
    <vt:lpwstr/>
  </property>
  <property fmtid="{D5CDD505-2E9C-101B-9397-08002B2CF9AE}" pid="6" name="Objective-CreationStamp">
    <vt:filetime>2025-05-16T00:17:45Z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2026-02-06T06:19:33Z</vt:filetime>
  </property>
  <property fmtid="{D5CDD505-2E9C-101B-9397-08002B2CF9AE}" pid="11" name="Objective-Owner">
    <vt:lpwstr>Yasser Sokeirik</vt:lpwstr>
  </property>
  <property fmtid="{D5CDD505-2E9C-101B-9397-08002B2CF9AE}" pid="12" name="Objective-Path">
    <vt:lpwstr>APVMA:REGISTRATION:Registration - Product, Permit and Active Files:Product, Permit and Active Files 92500 - 94999:93848 - Semios EC Eco Aerosol Pheromone:93848 - 140698 - Semios EC Eco Aerosol Pheromone :06-Evaluation and Determination:Evaluation and Determination - Public Consultation:</vt:lpwstr>
  </property>
  <property fmtid="{D5CDD505-2E9C-101B-9397-08002B2CF9AE}" pid="13" name="Objective-Parent">
    <vt:lpwstr>Evaluation and Determination - Public Consultation</vt:lpwstr>
  </property>
  <property fmtid="{D5CDD505-2E9C-101B-9397-08002B2CF9AE}" pid="14" name="Objective-State">
    <vt:lpwstr>Being Drafted</vt:lpwstr>
  </property>
  <property fmtid="{D5CDD505-2E9C-101B-9397-08002B2CF9AE}" pid="15" name="Objective-Version">
    <vt:lpwstr>9.7</vt:lpwstr>
  </property>
  <property fmtid="{D5CDD505-2E9C-101B-9397-08002B2CF9AE}" pid="16" name="Objective-VersionNumber">
    <vt:r8>32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vA5633215</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ies>
</file>