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F71C" w14:textId="77777777" w:rsidR="002F4591" w:rsidRDefault="002F4591" w:rsidP="002C1082">
      <w:pPr>
        <w:pStyle w:val="CoverTitle"/>
        <w:spacing w:before="1440"/>
        <w:jc w:val="center"/>
      </w:pPr>
      <w:bookmarkStart w:id="0" w:name="_Toc168724484"/>
      <w:r w:rsidRPr="005D1A47">
        <w:rPr>
          <w:noProof/>
        </w:rPr>
        <w:drawing>
          <wp:inline distT="0" distB="0" distL="0" distR="0" wp14:anchorId="404176CA" wp14:editId="79B28552">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0E8CF5FF" w:rsidR="00193533" w:rsidRPr="00193533" w:rsidRDefault="0079347D" w:rsidP="002F4591">
      <w:pPr>
        <w:pStyle w:val="CoverTitle"/>
        <w:spacing w:before="2640"/>
        <w:jc w:val="center"/>
      </w:pPr>
      <w:r>
        <w:t xml:space="preserve">Consideration of </w:t>
      </w:r>
      <w:r w:rsidR="00F64295">
        <w:t>s</w:t>
      </w:r>
      <w:r>
        <w:t xml:space="preserve">ubmissions </w:t>
      </w:r>
      <w:r w:rsidR="00F64295">
        <w:t>r</w:t>
      </w:r>
      <w:r>
        <w:t xml:space="preserve">eceived on the </w:t>
      </w:r>
      <w:r w:rsidR="00834730">
        <w:t>Trade Advice Notice</w:t>
      </w:r>
      <w:r>
        <w:t xml:space="preserve"> of </w:t>
      </w:r>
      <w:r w:rsidR="00F42797">
        <w:t>a</w:t>
      </w:r>
      <w:r w:rsidR="00834730">
        <w:t>ntimicrobial</w:t>
      </w:r>
      <w:r w:rsidRPr="0079347D">
        <w:t xml:space="preserve"> </w:t>
      </w:r>
      <w:r w:rsidR="00F64295">
        <w:t>p</w:t>
      </w:r>
      <w:r>
        <w:t>roducts</w:t>
      </w:r>
    </w:p>
    <w:p w14:paraId="4E4C9BC9" w14:textId="043F0C66" w:rsidR="00193533" w:rsidRPr="00E41FED" w:rsidRDefault="008F6E07" w:rsidP="008B550C">
      <w:pPr>
        <w:pStyle w:val="Coverdate"/>
        <w:sectPr w:rsidR="00193533" w:rsidRPr="00E41FED" w:rsidSect="008C5C0D">
          <w:pgSz w:w="11906" w:h="16838" w:code="9"/>
          <w:pgMar w:top="2127" w:right="1134" w:bottom="1134" w:left="1134" w:header="1701" w:footer="450" w:gutter="0"/>
          <w:pgNumType w:fmt="lowerRoman"/>
          <w:cols w:space="708"/>
          <w:docGrid w:linePitch="360"/>
        </w:sectPr>
      </w:pPr>
      <w:r>
        <w:t>January</w:t>
      </w:r>
      <w:r w:rsidR="008B550C">
        <w:t xml:space="preserve"> </w:t>
      </w:r>
      <w:r w:rsidR="0079347D">
        <w:t>202</w:t>
      </w:r>
      <w:r>
        <w:t>6</w:t>
      </w:r>
    </w:p>
    <w:p w14:paraId="6C014289" w14:textId="73325281" w:rsidR="00862E63" w:rsidRPr="005C0ACC" w:rsidRDefault="00862E63" w:rsidP="008B550C">
      <w:pPr>
        <w:rPr>
          <w:lang w:eastAsia="en-AU"/>
        </w:rPr>
      </w:pPr>
      <w:r w:rsidRPr="005C0ACC">
        <w:rPr>
          <w:lang w:eastAsia="en-AU"/>
        </w:rPr>
        <w:lastRenderedPageBreak/>
        <w:t xml:space="preserve">© Australian Pesticides and Veterinary Medicines Authority </w:t>
      </w:r>
      <w:r w:rsidR="00F64295" w:rsidRPr="00F64295">
        <w:rPr>
          <w:rFonts w:cs="Arial"/>
          <w:color w:val="auto"/>
          <w:szCs w:val="16"/>
          <w:lang w:eastAsia="en-AU"/>
        </w:rPr>
        <w:t>202</w:t>
      </w:r>
      <w:r w:rsidR="008F6E07">
        <w:rPr>
          <w:rFonts w:cs="Arial"/>
          <w:color w:val="auto"/>
          <w:szCs w:val="16"/>
          <w:lang w:eastAsia="en-AU"/>
        </w:rPr>
        <w:t>6</w:t>
      </w:r>
    </w:p>
    <w:p w14:paraId="12842460" w14:textId="77777777" w:rsidR="00862E63" w:rsidRPr="005C0ACC" w:rsidRDefault="00862E63" w:rsidP="008B550C">
      <w:pPr>
        <w:rPr>
          <w:b/>
          <w:bCs/>
          <w:lang w:eastAsia="en-AU"/>
        </w:rPr>
      </w:pPr>
      <w:r w:rsidRPr="005C0ACC">
        <w:rPr>
          <w:b/>
          <w:bCs/>
          <w:lang w:eastAsia="en-AU"/>
        </w:rPr>
        <w:t>Ownership of intellectual property rights in this publication</w:t>
      </w:r>
    </w:p>
    <w:p w14:paraId="72742BFF" w14:textId="77777777" w:rsidR="00862E63" w:rsidRPr="005C0ACC" w:rsidRDefault="00862E63" w:rsidP="008B550C">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5C0ACC" w:rsidRDefault="008366A3" w:rsidP="008B550C">
      <w:pPr>
        <w:rPr>
          <w:b/>
          <w:bCs/>
          <w:lang w:eastAsia="en-AU"/>
        </w:rPr>
      </w:pPr>
      <w:r w:rsidRPr="005C0ACC">
        <w:rPr>
          <w:b/>
          <w:bCs/>
          <w:lang w:eastAsia="en-AU"/>
        </w:rPr>
        <w:t>Creative Commons licence</w:t>
      </w:r>
    </w:p>
    <w:p w14:paraId="4B815922" w14:textId="77777777" w:rsidR="002F4591" w:rsidRDefault="008366A3" w:rsidP="008B550C">
      <w:pPr>
        <w:rPr>
          <w:lang w:eastAsia="en-AU"/>
        </w:rPr>
      </w:pPr>
      <w:proofErr w:type="gramStart"/>
      <w:r w:rsidRPr="005C0ACC">
        <w:rPr>
          <w:lang w:eastAsia="en-AU"/>
        </w:rPr>
        <w:t>With the exception of</w:t>
      </w:r>
      <w:proofErr w:type="gramEnd"/>
      <w:r w:rsidRPr="005C0ACC">
        <w:rPr>
          <w:lang w:eastAsia="en-AU"/>
        </w:rPr>
        <w:t xml:space="preserve"> the Coat of Arms and other elements specifically identified, this publication is licensed under a Creative Commons Attribution </w:t>
      </w:r>
      <w:r>
        <w:rPr>
          <w:lang w:eastAsia="en-AU"/>
        </w:rPr>
        <w:t>4</w:t>
      </w:r>
      <w:r w:rsidRPr="005C0ACC">
        <w:rPr>
          <w:lang w:eastAsia="en-AU"/>
        </w:rPr>
        <w:t xml:space="preserve">.0 Licence. This is a standard form agreement that allows you to copy, distribute, transmit and adapt this publication </w:t>
      </w:r>
      <w:proofErr w:type="gramStart"/>
      <w:r w:rsidRPr="005C0ACC">
        <w:rPr>
          <w:lang w:eastAsia="en-AU"/>
        </w:rPr>
        <w:t>provided that</w:t>
      </w:r>
      <w:proofErr w:type="gramEnd"/>
      <w:r w:rsidRPr="005C0ACC">
        <w:rPr>
          <w:lang w:eastAsia="en-AU"/>
        </w:rPr>
        <w:t xml:space="preserve"> you attribute the work.</w:t>
      </w:r>
    </w:p>
    <w:p w14:paraId="3C4543E5" w14:textId="77777777" w:rsidR="002F4591" w:rsidRDefault="002F4591" w:rsidP="008B550C">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7C1D93A6" w:rsidR="008366A3" w:rsidRPr="005C0ACC" w:rsidRDefault="008366A3" w:rsidP="008B550C">
      <w:pPr>
        <w:rPr>
          <w:rFonts w:cs="Arial"/>
          <w:szCs w:val="16"/>
          <w:lang w:eastAsia="en-AU"/>
        </w:rPr>
      </w:pPr>
      <w:r w:rsidRPr="005C0ACC">
        <w:rPr>
          <w:rFonts w:cs="Arial"/>
          <w:szCs w:val="16"/>
          <w:lang w:eastAsia="en-AU"/>
        </w:rPr>
        <w:t xml:space="preserve">A </w:t>
      </w:r>
      <w:hyperlink r:id="rId13" w:history="1">
        <w:r w:rsidRPr="008545E1">
          <w:rPr>
            <w:rStyle w:val="Hyperlink"/>
            <w:rFonts w:cs="Arial"/>
            <w:szCs w:val="16"/>
            <w:lang w:eastAsia="en-AU"/>
          </w:rPr>
          <w:t>summary of</w:t>
        </w:r>
        <w:r w:rsidR="008545E1" w:rsidRPr="008545E1">
          <w:rPr>
            <w:rStyle w:val="Hyperlink"/>
            <w:rFonts w:cs="Arial"/>
            <w:szCs w:val="16"/>
            <w:lang w:eastAsia="en-AU"/>
          </w:rPr>
          <w:t xml:space="preserve"> the licence terms</w:t>
        </w:r>
      </w:hyperlink>
      <w:r w:rsidR="008545E1">
        <w:rPr>
          <w:rFonts w:cs="Arial"/>
          <w:szCs w:val="16"/>
          <w:lang w:eastAsia="en-AU"/>
        </w:rPr>
        <w:t xml:space="preserve"> and </w:t>
      </w:r>
      <w:hyperlink r:id="rId14" w:history="1">
        <w:r w:rsidR="008545E1" w:rsidRPr="008545E1">
          <w:rPr>
            <w:rStyle w:val="Hyperlink"/>
            <w:rFonts w:cs="Arial"/>
            <w:szCs w:val="16"/>
            <w:lang w:eastAsia="en-AU"/>
          </w:rPr>
          <w:t>full</w:t>
        </w:r>
        <w:r w:rsidRPr="008545E1">
          <w:rPr>
            <w:rStyle w:val="Hyperlink"/>
            <w:rFonts w:cs="Arial"/>
            <w:szCs w:val="16"/>
            <w:lang w:eastAsia="en-AU"/>
          </w:rPr>
          <w:t xml:space="preserve"> licence terms</w:t>
        </w:r>
      </w:hyperlink>
      <w:r w:rsidR="008545E1">
        <w:rPr>
          <w:rFonts w:cs="Arial"/>
          <w:szCs w:val="16"/>
          <w:lang w:eastAsia="en-AU"/>
        </w:rPr>
        <w:t xml:space="preserve"> are</w:t>
      </w:r>
      <w:r w:rsidRPr="005C0ACC">
        <w:rPr>
          <w:rFonts w:cs="Arial"/>
          <w:szCs w:val="16"/>
          <w:lang w:eastAsia="en-AU"/>
        </w:rPr>
        <w:t xml:space="preserve"> available from</w:t>
      </w:r>
      <w:r w:rsidR="008545E1">
        <w:rPr>
          <w:rFonts w:cs="Arial"/>
          <w:szCs w:val="16"/>
          <w:lang w:eastAsia="en-AU"/>
        </w:rPr>
        <w:t xml:space="preserve"> Creative Commons.</w:t>
      </w:r>
    </w:p>
    <w:p w14:paraId="6C3D6C28" w14:textId="77777777" w:rsidR="008366A3" w:rsidRPr="005C0ACC" w:rsidRDefault="008366A3" w:rsidP="008B550C">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0B6B1EA4" w14:textId="77777777" w:rsidR="008366A3" w:rsidRPr="005C0ACC" w:rsidRDefault="008366A3" w:rsidP="008B550C">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sidR="008B550C">
        <w:rPr>
          <w:rFonts w:cs="Arial"/>
          <w:i/>
          <w:iCs/>
          <w:szCs w:val="16"/>
          <w:lang w:eastAsia="en-AU"/>
        </w:rPr>
        <w:t xml:space="preserve"> </w:t>
      </w:r>
      <w:r w:rsidR="008B550C" w:rsidRPr="008B550C">
        <w:rPr>
          <w:rFonts w:cs="Arial"/>
          <w:i/>
          <w:iCs/>
          <w:szCs w:val="16"/>
          <w:lang w:eastAsia="en-AU"/>
        </w:rPr>
        <w:t>The APVMA does not necessarily endorse the content of this publication.</w:t>
      </w:r>
      <w:r w:rsidRPr="005C0ACC">
        <w:rPr>
          <w:rFonts w:cs="Arial"/>
          <w:i/>
          <w:iCs/>
          <w:szCs w:val="16"/>
          <w:lang w:eastAsia="en-AU"/>
        </w:rPr>
        <w:t xml:space="preserve"> </w:t>
      </w:r>
    </w:p>
    <w:p w14:paraId="27832078" w14:textId="77777777" w:rsidR="008366A3" w:rsidRPr="005C0ACC" w:rsidRDefault="008366A3" w:rsidP="008B550C">
      <w:pPr>
        <w:rPr>
          <w:rFonts w:cs="Arial"/>
          <w:szCs w:val="16"/>
          <w:lang w:eastAsia="en-AU"/>
        </w:rPr>
      </w:pPr>
      <w:r w:rsidRPr="005C0ACC">
        <w:rPr>
          <w:rFonts w:cs="Arial"/>
          <w:szCs w:val="16"/>
          <w:lang w:eastAsia="en-AU"/>
        </w:rPr>
        <w:t xml:space="preserve">In referencing this </w:t>
      </w:r>
      <w:proofErr w:type="gramStart"/>
      <w:r w:rsidRPr="005C0ACC">
        <w:rPr>
          <w:rFonts w:cs="Arial"/>
          <w:szCs w:val="16"/>
          <w:lang w:eastAsia="en-AU"/>
        </w:rPr>
        <w:t>document</w:t>
      </w:r>
      <w:proofErr w:type="gramEnd"/>
      <w:r w:rsidRPr="005C0ACC">
        <w:rPr>
          <w:rFonts w:cs="Arial"/>
          <w:szCs w:val="16"/>
          <w:lang w:eastAsia="en-AU"/>
        </w:rPr>
        <w:t xml:space="preserve"> the Australian Pesticides and Veterinary Medicines Authority should be cited as the author, publisher and copyright owner.</w:t>
      </w:r>
    </w:p>
    <w:p w14:paraId="1CDB5F1A" w14:textId="77777777" w:rsidR="00862E63" w:rsidRPr="005C0ACC" w:rsidRDefault="00862E63" w:rsidP="008B550C">
      <w:pPr>
        <w:rPr>
          <w:rFonts w:cs="Arial"/>
          <w:b/>
          <w:bCs/>
          <w:szCs w:val="16"/>
          <w:lang w:eastAsia="en-AU"/>
        </w:rPr>
      </w:pPr>
      <w:r w:rsidRPr="005C0ACC">
        <w:rPr>
          <w:rFonts w:cs="Arial"/>
          <w:b/>
          <w:bCs/>
          <w:szCs w:val="16"/>
          <w:lang w:eastAsia="en-AU"/>
        </w:rPr>
        <w:t>Use of the Coat of Arms</w:t>
      </w:r>
    </w:p>
    <w:p w14:paraId="26DC34CD" w14:textId="0A52B577" w:rsidR="00862E63" w:rsidRPr="005C0ACC" w:rsidRDefault="00862E63" w:rsidP="008B550C">
      <w:pPr>
        <w:rPr>
          <w:rFonts w:cs="Arial"/>
          <w:szCs w:val="16"/>
          <w:lang w:eastAsia="en-AU"/>
        </w:rPr>
      </w:pPr>
      <w:r w:rsidRPr="005C0ACC">
        <w:rPr>
          <w:rFonts w:cs="Arial"/>
          <w:szCs w:val="16"/>
          <w:lang w:eastAsia="en-AU"/>
        </w:rPr>
        <w:t xml:space="preserve">The terms under which the Coat of Arms can be used are set out on the </w:t>
      </w:r>
      <w:hyperlink r:id="rId15" w:history="1">
        <w:r w:rsidRPr="008545E1">
          <w:rPr>
            <w:rStyle w:val="Hyperlink"/>
            <w:rFonts w:cs="Arial"/>
            <w:szCs w:val="16"/>
            <w:lang w:eastAsia="en-AU"/>
          </w:rPr>
          <w:t xml:space="preserve">Department of the Prime Minister and </w:t>
        </w:r>
        <w:r w:rsidR="008545E1" w:rsidRPr="008545E1">
          <w:rPr>
            <w:rStyle w:val="Hyperlink"/>
            <w:rFonts w:cs="Arial"/>
            <w:szCs w:val="16"/>
            <w:lang w:eastAsia="en-AU"/>
          </w:rPr>
          <w:t>Cabinet website</w:t>
        </w:r>
      </w:hyperlink>
      <w:r w:rsidRPr="005C0ACC">
        <w:rPr>
          <w:rFonts w:cs="Arial"/>
          <w:szCs w:val="16"/>
          <w:lang w:eastAsia="en-AU"/>
        </w:rPr>
        <w:t>.</w:t>
      </w:r>
    </w:p>
    <w:p w14:paraId="4DA908DF" w14:textId="77777777" w:rsidR="00862E63" w:rsidRPr="005C0ACC" w:rsidRDefault="00862E63" w:rsidP="008B550C">
      <w:pPr>
        <w:rPr>
          <w:rFonts w:cs="Arial"/>
          <w:b/>
          <w:bCs/>
          <w:szCs w:val="16"/>
          <w:lang w:eastAsia="en-AU"/>
        </w:rPr>
      </w:pPr>
      <w:r w:rsidRPr="005C0ACC">
        <w:rPr>
          <w:rFonts w:cs="Arial"/>
          <w:b/>
          <w:bCs/>
          <w:szCs w:val="16"/>
          <w:lang w:eastAsia="en-AU"/>
        </w:rPr>
        <w:t>Disclaimer</w:t>
      </w:r>
    </w:p>
    <w:p w14:paraId="68C62A87" w14:textId="77777777" w:rsidR="00862E63" w:rsidRPr="009A7614" w:rsidRDefault="00862E63" w:rsidP="008B550C">
      <w:pPr>
        <w:rPr>
          <w:lang w:eastAsia="en-AU"/>
        </w:rPr>
      </w:pPr>
      <w:r w:rsidRPr="005C0ACC">
        <w:rPr>
          <w:lang w:eastAsia="en-AU"/>
        </w:rPr>
        <w:t xml:space="preserve">The material in or linking from this report may contain the views or recommendations of third parties. Third party material does not necessarily reflect the views of the </w:t>
      </w:r>
      <w:proofErr w:type="gramStart"/>
      <w:r w:rsidRPr="005C0ACC">
        <w:rPr>
          <w:lang w:eastAsia="en-AU"/>
        </w:rPr>
        <w:t>APVMA, or</w:t>
      </w:r>
      <w:proofErr w:type="gramEnd"/>
      <w:r w:rsidRPr="005C0ACC">
        <w:rPr>
          <w:lang w:eastAsia="en-AU"/>
        </w:rPr>
        <w:t xml:space="preserve"> indicate a commitment to</w:t>
      </w:r>
      <w:r w:rsidR="009A7614">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sidR="009A7614">
        <w:rPr>
          <w:lang w:eastAsia="en-AU"/>
        </w:rPr>
        <w:t xml:space="preserve"> </w:t>
      </w:r>
      <w:r w:rsidRPr="005C0ACC">
        <w:rPr>
          <w:bCs/>
          <w:lang w:eastAsia="en-AU"/>
        </w:rPr>
        <w:t>The APVMA is not responsible for any errors, omissions or matters of interpretation in any third-party information contained within this document.</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4172F04D"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F4094D" w:rsidRPr="00F4094D">
        <w:rPr>
          <w:rFonts w:cs="Arial"/>
          <w:szCs w:val="16"/>
          <w:lang w:eastAsia="en-AU"/>
        </w:rPr>
        <w:t>GPO Box 574</w:t>
      </w:r>
      <w:r w:rsidR="008B550C">
        <w:rPr>
          <w:rFonts w:cs="Arial"/>
          <w:szCs w:val="16"/>
          <w:lang w:eastAsia="en-AU"/>
        </w:rPr>
        <w:br/>
      </w:r>
      <w:r w:rsidR="00F4094D" w:rsidRPr="00F4094D">
        <w:rPr>
          <w:rFonts w:cs="Arial"/>
          <w:szCs w:val="16"/>
          <w:lang w:eastAsia="en-AU"/>
        </w:rPr>
        <w:t>Canberra, ACT, 2601, Australia</w:t>
      </w:r>
    </w:p>
    <w:p w14:paraId="10F08E3D" w14:textId="64D8B15B" w:rsidR="00862E63" w:rsidRPr="005C0ACC" w:rsidRDefault="006110AE" w:rsidP="008B550C">
      <w:pPr>
        <w:rPr>
          <w:rFonts w:cs="Arial"/>
          <w:color w:val="0000FF"/>
          <w:szCs w:val="16"/>
          <w:u w:val="single"/>
          <w:lang w:eastAsia="en-AU"/>
        </w:rPr>
      </w:pPr>
      <w:r w:rsidRPr="00F4094D">
        <w:rPr>
          <w:rFonts w:cs="Arial"/>
          <w:szCs w:val="16"/>
          <w:lang w:eastAsia="en-AU"/>
        </w:rPr>
        <w:t xml:space="preserve">Telephone: +61 2 </w:t>
      </w:r>
      <w:r w:rsidR="008545E1" w:rsidRPr="00F4094D">
        <w:rPr>
          <w:rFonts w:cs="Arial"/>
          <w:szCs w:val="16"/>
          <w:lang w:eastAsia="en-AU"/>
        </w:rPr>
        <w:t>6770 2300</w:t>
      </w:r>
      <w:r w:rsidR="00F64295">
        <w:rPr>
          <w:rFonts w:cs="Arial"/>
          <w:szCs w:val="16"/>
          <w:lang w:eastAsia="en-AU"/>
        </w:rPr>
        <w:br/>
      </w:r>
      <w:r w:rsidR="00862E63" w:rsidRPr="005C0ACC">
        <w:rPr>
          <w:rFonts w:cs="Arial"/>
          <w:szCs w:val="16"/>
          <w:lang w:eastAsia="en-AU"/>
        </w:rPr>
        <w:t xml:space="preserve">Email: </w:t>
      </w:r>
      <w:hyperlink r:id="rId16" w:history="1">
        <w:r w:rsidR="00862E63" w:rsidRPr="005C0ACC">
          <w:rPr>
            <w:rFonts w:cs="Arial"/>
            <w:color w:val="0000FF"/>
            <w:szCs w:val="16"/>
            <w:u w:val="single"/>
            <w:lang w:eastAsia="en-AU"/>
          </w:rPr>
          <w:t>communications@apvma.gov.au</w:t>
        </w:r>
      </w:hyperlink>
      <w:r w:rsidR="00862E63">
        <w:rPr>
          <w:rFonts w:cs="Arial"/>
          <w:color w:val="0000FF"/>
          <w:szCs w:val="16"/>
          <w:u w:val="single"/>
          <w:lang w:eastAsia="en-AU"/>
        </w:rPr>
        <w:t>.</w:t>
      </w:r>
    </w:p>
    <w:p w14:paraId="778D78B9" w14:textId="7B88E10E" w:rsidR="002E20AC" w:rsidRPr="008B550C" w:rsidRDefault="00862E63" w:rsidP="008B550C">
      <w:pPr>
        <w:rPr>
          <w:szCs w:val="16"/>
        </w:rPr>
        <w:sectPr w:rsidR="002E20AC" w:rsidRPr="008B550C" w:rsidSect="008C5C0D">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7" w:history="1">
        <w:r w:rsidRPr="00D23D6A">
          <w:rPr>
            <w:rStyle w:val="Hyperlink"/>
            <w:szCs w:val="16"/>
            <w:lang w:eastAsia="en-AU"/>
          </w:rPr>
          <w:t>APVMA website</w:t>
        </w:r>
      </w:hyperlink>
      <w:r w:rsidRPr="005C0ACC">
        <w:rPr>
          <w:szCs w:val="16"/>
          <w:lang w:eastAsia="en-AU"/>
        </w:rPr>
        <w:t>.</w:t>
      </w:r>
      <w:bookmarkEnd w:id="0"/>
    </w:p>
    <w:p w14:paraId="0E9E7E2A" w14:textId="77777777" w:rsidR="00B05454" w:rsidRPr="002A3239" w:rsidRDefault="00B05454" w:rsidP="006350AF">
      <w:pPr>
        <w:pStyle w:val="TOCH1"/>
        <w:numPr>
          <w:ilvl w:val="0"/>
          <w:numId w:val="0"/>
        </w:numPr>
        <w:rPr>
          <w:rFonts w:ascii="Arial" w:hAnsi="Arial"/>
          <w:sz w:val="18"/>
        </w:rPr>
      </w:pPr>
      <w:r w:rsidRPr="00FB0015">
        <w:lastRenderedPageBreak/>
        <w:t>Contents</w:t>
      </w:r>
    </w:p>
    <w:p w14:paraId="2F4020D1" w14:textId="64AC8778" w:rsidR="00C735BA" w:rsidRDefault="00B05454">
      <w:pPr>
        <w:pStyle w:val="TOC1"/>
        <w:rPr>
          <w:rFonts w:asciiTheme="minorHAnsi" w:eastAsiaTheme="minorEastAsia" w:hAnsiTheme="minorHAnsi" w:cstheme="minorBidi"/>
          <w:bCs w:val="0"/>
          <w:color w:val="auto"/>
          <w:kern w:val="2"/>
          <w:sz w:val="24"/>
          <w:szCs w:val="24"/>
          <w:lang w:eastAsia="en-AU"/>
          <w14:ligatures w14:val="standardContextual"/>
        </w:rPr>
      </w:pPr>
      <w:r>
        <w:rPr>
          <w:bCs w:val="0"/>
          <w:color w:val="53284F"/>
        </w:rPr>
        <w:fldChar w:fldCharType="begin"/>
      </w:r>
      <w:r>
        <w:rPr>
          <w:bCs w:val="0"/>
        </w:rPr>
        <w:instrText xml:space="preserve"> TOC \o "1-3" \h \z \u </w:instrText>
      </w:r>
      <w:r>
        <w:rPr>
          <w:bCs w:val="0"/>
          <w:color w:val="53284F"/>
        </w:rPr>
        <w:fldChar w:fldCharType="separate"/>
      </w:r>
      <w:hyperlink w:anchor="_Toc219291646" w:history="1">
        <w:r w:rsidR="00C735BA" w:rsidRPr="0018023B">
          <w:rPr>
            <w:rStyle w:val="Hyperlink"/>
          </w:rPr>
          <w:t>1</w:t>
        </w:r>
        <w:r w:rsidR="00C735BA">
          <w:rPr>
            <w:rFonts w:asciiTheme="minorHAnsi" w:eastAsiaTheme="minorEastAsia" w:hAnsiTheme="minorHAnsi" w:cstheme="minorBidi"/>
            <w:bCs w:val="0"/>
            <w:color w:val="auto"/>
            <w:kern w:val="2"/>
            <w:sz w:val="24"/>
            <w:szCs w:val="24"/>
            <w:lang w:eastAsia="en-AU"/>
            <w14:ligatures w14:val="standardContextual"/>
          </w:rPr>
          <w:tab/>
        </w:r>
        <w:r w:rsidR="00C735BA" w:rsidRPr="0018023B">
          <w:rPr>
            <w:rStyle w:val="Hyperlink"/>
          </w:rPr>
          <w:t>Submissions received</w:t>
        </w:r>
        <w:r w:rsidR="00C735BA">
          <w:rPr>
            <w:webHidden/>
          </w:rPr>
          <w:tab/>
        </w:r>
        <w:r w:rsidR="00C735BA">
          <w:rPr>
            <w:webHidden/>
          </w:rPr>
          <w:fldChar w:fldCharType="begin"/>
        </w:r>
        <w:r w:rsidR="00C735BA">
          <w:rPr>
            <w:webHidden/>
          </w:rPr>
          <w:instrText xml:space="preserve"> PAGEREF _Toc219291646 \h </w:instrText>
        </w:r>
        <w:r w:rsidR="00C735BA">
          <w:rPr>
            <w:webHidden/>
          </w:rPr>
        </w:r>
        <w:r w:rsidR="00C735BA">
          <w:rPr>
            <w:webHidden/>
          </w:rPr>
          <w:fldChar w:fldCharType="separate"/>
        </w:r>
        <w:r w:rsidR="0098266E">
          <w:rPr>
            <w:webHidden/>
          </w:rPr>
          <w:t>1</w:t>
        </w:r>
        <w:r w:rsidR="00C735BA">
          <w:rPr>
            <w:webHidden/>
          </w:rPr>
          <w:fldChar w:fldCharType="end"/>
        </w:r>
      </w:hyperlink>
    </w:p>
    <w:p w14:paraId="4A37C89E" w14:textId="3E3FB1C6" w:rsidR="00C735BA" w:rsidRDefault="00C735BA">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19291647" w:history="1">
        <w:r w:rsidRPr="0018023B">
          <w:rPr>
            <w:rStyle w:val="Hyperlink"/>
          </w:rPr>
          <w:t>2</w:t>
        </w:r>
        <w:r>
          <w:rPr>
            <w:rFonts w:asciiTheme="minorHAnsi" w:eastAsiaTheme="minorEastAsia" w:hAnsiTheme="minorHAnsi" w:cstheme="minorBidi"/>
            <w:bCs w:val="0"/>
            <w:color w:val="auto"/>
            <w:kern w:val="2"/>
            <w:sz w:val="24"/>
            <w:szCs w:val="24"/>
            <w:lang w:eastAsia="en-AU"/>
            <w14:ligatures w14:val="standardContextual"/>
          </w:rPr>
          <w:tab/>
        </w:r>
        <w:r w:rsidRPr="0018023B">
          <w:rPr>
            <w:rStyle w:val="Hyperlink"/>
          </w:rPr>
          <w:t>APVMA’s consideration of submissions</w:t>
        </w:r>
        <w:r>
          <w:rPr>
            <w:webHidden/>
          </w:rPr>
          <w:tab/>
        </w:r>
        <w:r>
          <w:rPr>
            <w:webHidden/>
          </w:rPr>
          <w:fldChar w:fldCharType="begin"/>
        </w:r>
        <w:r>
          <w:rPr>
            <w:webHidden/>
          </w:rPr>
          <w:instrText xml:space="preserve"> PAGEREF _Toc219291647 \h </w:instrText>
        </w:r>
        <w:r>
          <w:rPr>
            <w:webHidden/>
          </w:rPr>
        </w:r>
        <w:r>
          <w:rPr>
            <w:webHidden/>
          </w:rPr>
          <w:fldChar w:fldCharType="separate"/>
        </w:r>
        <w:r w:rsidR="0098266E">
          <w:rPr>
            <w:webHidden/>
          </w:rPr>
          <w:t>3</w:t>
        </w:r>
        <w:r>
          <w:rPr>
            <w:webHidden/>
          </w:rPr>
          <w:fldChar w:fldCharType="end"/>
        </w:r>
      </w:hyperlink>
    </w:p>
    <w:p w14:paraId="5918354E" w14:textId="3CDEAEB0" w:rsidR="00C735BA" w:rsidRDefault="00C735BA">
      <w:pPr>
        <w:pStyle w:val="TOC2"/>
        <w:rPr>
          <w:rFonts w:asciiTheme="minorHAnsi" w:eastAsiaTheme="minorEastAsia" w:hAnsiTheme="minorHAnsi" w:cstheme="minorBidi"/>
          <w:b w:val="0"/>
          <w:color w:val="auto"/>
          <w:kern w:val="2"/>
          <w:sz w:val="24"/>
          <w:lang w:eastAsia="en-AU"/>
          <w14:ligatures w14:val="standardContextual"/>
        </w:rPr>
      </w:pPr>
      <w:hyperlink w:anchor="_Toc219291648" w:history="1">
        <w:r w:rsidRPr="0018023B">
          <w:rPr>
            <w:rStyle w:val="Hyperlink"/>
          </w:rPr>
          <w:t>2.1</w:t>
        </w:r>
        <w:r>
          <w:rPr>
            <w:rFonts w:asciiTheme="minorHAnsi" w:eastAsiaTheme="minorEastAsia" w:hAnsiTheme="minorHAnsi" w:cstheme="minorBidi"/>
            <w:b w:val="0"/>
            <w:color w:val="auto"/>
            <w:kern w:val="2"/>
            <w:sz w:val="24"/>
            <w:lang w:eastAsia="en-AU"/>
            <w14:ligatures w14:val="standardContextual"/>
          </w:rPr>
          <w:tab/>
        </w:r>
        <w:r w:rsidRPr="0018023B">
          <w:rPr>
            <w:rStyle w:val="Hyperlink"/>
          </w:rPr>
          <w:t>Information regarding the ability of industry to establish a segregated system</w:t>
        </w:r>
        <w:r>
          <w:rPr>
            <w:webHidden/>
          </w:rPr>
          <w:tab/>
        </w:r>
        <w:r>
          <w:rPr>
            <w:webHidden/>
          </w:rPr>
          <w:fldChar w:fldCharType="begin"/>
        </w:r>
        <w:r>
          <w:rPr>
            <w:webHidden/>
          </w:rPr>
          <w:instrText xml:space="preserve"> PAGEREF _Toc219291648 \h </w:instrText>
        </w:r>
        <w:r>
          <w:rPr>
            <w:webHidden/>
          </w:rPr>
        </w:r>
        <w:r>
          <w:rPr>
            <w:webHidden/>
          </w:rPr>
          <w:fldChar w:fldCharType="separate"/>
        </w:r>
        <w:r w:rsidR="0098266E">
          <w:rPr>
            <w:webHidden/>
          </w:rPr>
          <w:t>3</w:t>
        </w:r>
        <w:r>
          <w:rPr>
            <w:webHidden/>
          </w:rPr>
          <w:fldChar w:fldCharType="end"/>
        </w:r>
      </w:hyperlink>
    </w:p>
    <w:p w14:paraId="10C1DE5C" w14:textId="4F18AC5C" w:rsidR="00C735BA" w:rsidRDefault="00C735BA">
      <w:pPr>
        <w:pStyle w:val="TOC2"/>
        <w:rPr>
          <w:rFonts w:asciiTheme="minorHAnsi" w:eastAsiaTheme="minorEastAsia" w:hAnsiTheme="minorHAnsi" w:cstheme="minorBidi"/>
          <w:b w:val="0"/>
          <w:color w:val="auto"/>
          <w:kern w:val="2"/>
          <w:sz w:val="24"/>
          <w:lang w:eastAsia="en-AU"/>
          <w14:ligatures w14:val="standardContextual"/>
        </w:rPr>
      </w:pPr>
      <w:hyperlink w:anchor="_Toc219291649" w:history="1">
        <w:r w:rsidRPr="0018023B">
          <w:rPr>
            <w:rStyle w:val="Hyperlink"/>
          </w:rPr>
          <w:t>2.2</w:t>
        </w:r>
        <w:r>
          <w:rPr>
            <w:rFonts w:asciiTheme="minorHAnsi" w:eastAsiaTheme="minorEastAsia" w:hAnsiTheme="minorHAnsi" w:cstheme="minorBidi"/>
            <w:b w:val="0"/>
            <w:color w:val="auto"/>
            <w:kern w:val="2"/>
            <w:sz w:val="24"/>
            <w:lang w:eastAsia="en-AU"/>
            <w14:ligatures w14:val="standardContextual"/>
          </w:rPr>
          <w:tab/>
        </w:r>
        <w:r w:rsidRPr="0018023B">
          <w:rPr>
            <w:rStyle w:val="Hyperlink"/>
          </w:rPr>
          <w:t>Submissions advocating phase out of antimicrobials for prophylactic and growth promotion uses</w:t>
        </w:r>
        <w:r>
          <w:rPr>
            <w:webHidden/>
          </w:rPr>
          <w:tab/>
        </w:r>
        <w:r>
          <w:rPr>
            <w:webHidden/>
          </w:rPr>
          <w:fldChar w:fldCharType="begin"/>
        </w:r>
        <w:r>
          <w:rPr>
            <w:webHidden/>
          </w:rPr>
          <w:instrText xml:space="preserve"> PAGEREF _Toc219291649 \h </w:instrText>
        </w:r>
        <w:r>
          <w:rPr>
            <w:webHidden/>
          </w:rPr>
        </w:r>
        <w:r>
          <w:rPr>
            <w:webHidden/>
          </w:rPr>
          <w:fldChar w:fldCharType="separate"/>
        </w:r>
        <w:r w:rsidR="0098266E">
          <w:rPr>
            <w:webHidden/>
          </w:rPr>
          <w:t>3</w:t>
        </w:r>
        <w:r>
          <w:rPr>
            <w:webHidden/>
          </w:rPr>
          <w:fldChar w:fldCharType="end"/>
        </w:r>
      </w:hyperlink>
    </w:p>
    <w:p w14:paraId="787C2DE9" w14:textId="0E59931E" w:rsidR="00C735BA" w:rsidRDefault="00C735BA">
      <w:pPr>
        <w:pStyle w:val="TOC2"/>
        <w:rPr>
          <w:rFonts w:asciiTheme="minorHAnsi" w:eastAsiaTheme="minorEastAsia" w:hAnsiTheme="minorHAnsi" w:cstheme="minorBidi"/>
          <w:b w:val="0"/>
          <w:color w:val="auto"/>
          <w:kern w:val="2"/>
          <w:sz w:val="24"/>
          <w:lang w:eastAsia="en-AU"/>
          <w14:ligatures w14:val="standardContextual"/>
        </w:rPr>
      </w:pPr>
      <w:hyperlink w:anchor="_Toc219291650" w:history="1">
        <w:r w:rsidRPr="0018023B">
          <w:rPr>
            <w:rStyle w:val="Hyperlink"/>
          </w:rPr>
          <w:t>2.3</w:t>
        </w:r>
        <w:r>
          <w:rPr>
            <w:rFonts w:asciiTheme="minorHAnsi" w:eastAsiaTheme="minorEastAsia" w:hAnsiTheme="minorHAnsi" w:cstheme="minorBidi"/>
            <w:b w:val="0"/>
            <w:color w:val="auto"/>
            <w:kern w:val="2"/>
            <w:sz w:val="24"/>
            <w:lang w:eastAsia="en-AU"/>
            <w14:ligatures w14:val="standardContextual"/>
          </w:rPr>
          <w:tab/>
        </w:r>
        <w:r w:rsidRPr="0018023B">
          <w:rPr>
            <w:rStyle w:val="Hyperlink"/>
          </w:rPr>
          <w:t>Concerns about making changes to Australian veterinary product labels to satisfy the EU market</w:t>
        </w:r>
        <w:r>
          <w:rPr>
            <w:webHidden/>
          </w:rPr>
          <w:tab/>
        </w:r>
        <w:r>
          <w:rPr>
            <w:webHidden/>
          </w:rPr>
          <w:fldChar w:fldCharType="begin"/>
        </w:r>
        <w:r>
          <w:rPr>
            <w:webHidden/>
          </w:rPr>
          <w:instrText xml:space="preserve"> PAGEREF _Toc219291650 \h </w:instrText>
        </w:r>
        <w:r>
          <w:rPr>
            <w:webHidden/>
          </w:rPr>
        </w:r>
        <w:r>
          <w:rPr>
            <w:webHidden/>
          </w:rPr>
          <w:fldChar w:fldCharType="separate"/>
        </w:r>
        <w:r w:rsidR="0098266E">
          <w:rPr>
            <w:webHidden/>
          </w:rPr>
          <w:t>3</w:t>
        </w:r>
        <w:r>
          <w:rPr>
            <w:webHidden/>
          </w:rPr>
          <w:fldChar w:fldCharType="end"/>
        </w:r>
      </w:hyperlink>
    </w:p>
    <w:p w14:paraId="4EFA3037" w14:textId="113D0E11" w:rsidR="00C735BA" w:rsidRDefault="00C735BA">
      <w:pPr>
        <w:pStyle w:val="TOC2"/>
        <w:rPr>
          <w:rFonts w:asciiTheme="minorHAnsi" w:eastAsiaTheme="minorEastAsia" w:hAnsiTheme="minorHAnsi" w:cstheme="minorBidi"/>
          <w:b w:val="0"/>
          <w:color w:val="auto"/>
          <w:kern w:val="2"/>
          <w:sz w:val="24"/>
          <w:lang w:eastAsia="en-AU"/>
          <w14:ligatures w14:val="standardContextual"/>
        </w:rPr>
      </w:pPr>
      <w:hyperlink w:anchor="_Toc219291651" w:history="1">
        <w:r w:rsidRPr="0018023B">
          <w:rPr>
            <w:rStyle w:val="Hyperlink"/>
          </w:rPr>
          <w:t>2.4</w:t>
        </w:r>
        <w:r>
          <w:rPr>
            <w:rFonts w:asciiTheme="minorHAnsi" w:eastAsiaTheme="minorEastAsia" w:hAnsiTheme="minorHAnsi" w:cstheme="minorBidi"/>
            <w:b w:val="0"/>
            <w:color w:val="auto"/>
            <w:kern w:val="2"/>
            <w:sz w:val="24"/>
            <w:lang w:eastAsia="en-AU"/>
            <w14:ligatures w14:val="standardContextual"/>
          </w:rPr>
          <w:tab/>
        </w:r>
        <w:r w:rsidRPr="0018023B">
          <w:rPr>
            <w:rStyle w:val="Hyperlink"/>
          </w:rPr>
          <w:t>Argument concerning the inclusion of ionophores in the response to the EU decision</w:t>
        </w:r>
        <w:r>
          <w:rPr>
            <w:webHidden/>
          </w:rPr>
          <w:tab/>
        </w:r>
        <w:r>
          <w:rPr>
            <w:webHidden/>
          </w:rPr>
          <w:fldChar w:fldCharType="begin"/>
        </w:r>
        <w:r>
          <w:rPr>
            <w:webHidden/>
          </w:rPr>
          <w:instrText xml:space="preserve"> PAGEREF _Toc219291651 \h </w:instrText>
        </w:r>
        <w:r>
          <w:rPr>
            <w:webHidden/>
          </w:rPr>
        </w:r>
        <w:r>
          <w:rPr>
            <w:webHidden/>
          </w:rPr>
          <w:fldChar w:fldCharType="separate"/>
        </w:r>
        <w:r w:rsidR="0098266E">
          <w:rPr>
            <w:webHidden/>
          </w:rPr>
          <w:t>4</w:t>
        </w:r>
        <w:r>
          <w:rPr>
            <w:webHidden/>
          </w:rPr>
          <w:fldChar w:fldCharType="end"/>
        </w:r>
      </w:hyperlink>
    </w:p>
    <w:p w14:paraId="6F188F76" w14:textId="4495A3A4" w:rsidR="00C735BA" w:rsidRDefault="00C735BA">
      <w:pPr>
        <w:pStyle w:val="TOC2"/>
        <w:rPr>
          <w:rFonts w:asciiTheme="minorHAnsi" w:eastAsiaTheme="minorEastAsia" w:hAnsiTheme="minorHAnsi" w:cstheme="minorBidi"/>
          <w:b w:val="0"/>
          <w:color w:val="auto"/>
          <w:kern w:val="2"/>
          <w:sz w:val="24"/>
          <w:lang w:eastAsia="en-AU"/>
          <w14:ligatures w14:val="standardContextual"/>
        </w:rPr>
      </w:pPr>
      <w:hyperlink w:anchor="_Toc219291652" w:history="1">
        <w:r w:rsidRPr="0018023B">
          <w:rPr>
            <w:rStyle w:val="Hyperlink"/>
          </w:rPr>
          <w:t>2.5</w:t>
        </w:r>
        <w:r>
          <w:rPr>
            <w:rFonts w:asciiTheme="minorHAnsi" w:eastAsiaTheme="minorEastAsia" w:hAnsiTheme="minorHAnsi" w:cstheme="minorBidi"/>
            <w:b w:val="0"/>
            <w:color w:val="auto"/>
            <w:kern w:val="2"/>
            <w:sz w:val="24"/>
            <w:lang w:eastAsia="en-AU"/>
            <w14:ligatures w14:val="standardContextual"/>
          </w:rPr>
          <w:tab/>
        </w:r>
        <w:r w:rsidRPr="0018023B">
          <w:rPr>
            <w:rStyle w:val="Hyperlink"/>
          </w:rPr>
          <w:t>Argument about the inclusion of ‘feed efficiency’ in the EU definition of growth promotion or yield increase</w:t>
        </w:r>
        <w:r>
          <w:rPr>
            <w:webHidden/>
          </w:rPr>
          <w:tab/>
        </w:r>
        <w:r>
          <w:rPr>
            <w:webHidden/>
          </w:rPr>
          <w:fldChar w:fldCharType="begin"/>
        </w:r>
        <w:r>
          <w:rPr>
            <w:webHidden/>
          </w:rPr>
          <w:instrText xml:space="preserve"> PAGEREF _Toc219291652 \h </w:instrText>
        </w:r>
        <w:r>
          <w:rPr>
            <w:webHidden/>
          </w:rPr>
        </w:r>
        <w:r>
          <w:rPr>
            <w:webHidden/>
          </w:rPr>
          <w:fldChar w:fldCharType="separate"/>
        </w:r>
        <w:r w:rsidR="0098266E">
          <w:rPr>
            <w:webHidden/>
          </w:rPr>
          <w:t>4</w:t>
        </w:r>
        <w:r>
          <w:rPr>
            <w:webHidden/>
          </w:rPr>
          <w:fldChar w:fldCharType="end"/>
        </w:r>
      </w:hyperlink>
    </w:p>
    <w:p w14:paraId="1C4487C6" w14:textId="76BA22E7" w:rsidR="00C735BA" w:rsidRDefault="00C735BA">
      <w:pPr>
        <w:pStyle w:val="TOC2"/>
        <w:rPr>
          <w:rFonts w:asciiTheme="minorHAnsi" w:eastAsiaTheme="minorEastAsia" w:hAnsiTheme="minorHAnsi" w:cstheme="minorBidi"/>
          <w:b w:val="0"/>
          <w:color w:val="auto"/>
          <w:kern w:val="2"/>
          <w:sz w:val="24"/>
          <w:lang w:eastAsia="en-AU"/>
          <w14:ligatures w14:val="standardContextual"/>
        </w:rPr>
      </w:pPr>
      <w:hyperlink w:anchor="_Toc219291653" w:history="1">
        <w:r w:rsidRPr="0018023B">
          <w:rPr>
            <w:rStyle w:val="Hyperlink"/>
          </w:rPr>
          <w:t>2.6</w:t>
        </w:r>
        <w:r>
          <w:rPr>
            <w:rFonts w:asciiTheme="minorHAnsi" w:eastAsiaTheme="minorEastAsia" w:hAnsiTheme="minorHAnsi" w:cstheme="minorBidi"/>
            <w:b w:val="0"/>
            <w:color w:val="auto"/>
            <w:kern w:val="2"/>
            <w:sz w:val="24"/>
            <w:lang w:eastAsia="en-AU"/>
            <w14:ligatures w14:val="standardContextual"/>
          </w:rPr>
          <w:tab/>
        </w:r>
        <w:r w:rsidRPr="0018023B">
          <w:rPr>
            <w:rStyle w:val="Hyperlink"/>
          </w:rPr>
          <w:t>Information about the importance of therapeutic uses of antimicrobials</w:t>
        </w:r>
        <w:r>
          <w:rPr>
            <w:webHidden/>
          </w:rPr>
          <w:tab/>
        </w:r>
        <w:r>
          <w:rPr>
            <w:webHidden/>
          </w:rPr>
          <w:fldChar w:fldCharType="begin"/>
        </w:r>
        <w:r>
          <w:rPr>
            <w:webHidden/>
          </w:rPr>
          <w:instrText xml:space="preserve"> PAGEREF _Toc219291653 \h </w:instrText>
        </w:r>
        <w:r>
          <w:rPr>
            <w:webHidden/>
          </w:rPr>
        </w:r>
        <w:r>
          <w:rPr>
            <w:webHidden/>
          </w:rPr>
          <w:fldChar w:fldCharType="separate"/>
        </w:r>
        <w:r w:rsidR="0098266E">
          <w:rPr>
            <w:webHidden/>
          </w:rPr>
          <w:t>5</w:t>
        </w:r>
        <w:r>
          <w:rPr>
            <w:webHidden/>
          </w:rPr>
          <w:fldChar w:fldCharType="end"/>
        </w:r>
      </w:hyperlink>
    </w:p>
    <w:p w14:paraId="0C196B9C" w14:textId="0A283C04" w:rsidR="00C735BA" w:rsidRDefault="00C735BA">
      <w:pPr>
        <w:pStyle w:val="TOC2"/>
        <w:rPr>
          <w:rFonts w:asciiTheme="minorHAnsi" w:eastAsiaTheme="minorEastAsia" w:hAnsiTheme="minorHAnsi" w:cstheme="minorBidi"/>
          <w:b w:val="0"/>
          <w:color w:val="auto"/>
          <w:kern w:val="2"/>
          <w:sz w:val="24"/>
          <w:lang w:eastAsia="en-AU"/>
          <w14:ligatures w14:val="standardContextual"/>
        </w:rPr>
      </w:pPr>
      <w:hyperlink w:anchor="_Toc219291654" w:history="1">
        <w:r w:rsidRPr="0018023B">
          <w:rPr>
            <w:rStyle w:val="Hyperlink"/>
          </w:rPr>
          <w:t>2.7</w:t>
        </w:r>
        <w:r>
          <w:rPr>
            <w:rFonts w:asciiTheme="minorHAnsi" w:eastAsiaTheme="minorEastAsia" w:hAnsiTheme="minorHAnsi" w:cstheme="minorBidi"/>
            <w:b w:val="0"/>
            <w:color w:val="auto"/>
            <w:kern w:val="2"/>
            <w:sz w:val="24"/>
            <w:lang w:eastAsia="en-AU"/>
            <w14:ligatures w14:val="standardContextual"/>
          </w:rPr>
          <w:tab/>
        </w:r>
        <w:r w:rsidRPr="0018023B">
          <w:rPr>
            <w:rStyle w:val="Hyperlink"/>
          </w:rPr>
          <w:t>Feedback on wording of dairy restraints</w:t>
        </w:r>
        <w:r>
          <w:rPr>
            <w:webHidden/>
          </w:rPr>
          <w:tab/>
        </w:r>
        <w:r>
          <w:rPr>
            <w:webHidden/>
          </w:rPr>
          <w:fldChar w:fldCharType="begin"/>
        </w:r>
        <w:r>
          <w:rPr>
            <w:webHidden/>
          </w:rPr>
          <w:instrText xml:space="preserve"> PAGEREF _Toc219291654 \h </w:instrText>
        </w:r>
        <w:r>
          <w:rPr>
            <w:webHidden/>
          </w:rPr>
        </w:r>
        <w:r>
          <w:rPr>
            <w:webHidden/>
          </w:rPr>
          <w:fldChar w:fldCharType="separate"/>
        </w:r>
        <w:r w:rsidR="0098266E">
          <w:rPr>
            <w:webHidden/>
          </w:rPr>
          <w:t>5</w:t>
        </w:r>
        <w:r>
          <w:rPr>
            <w:webHidden/>
          </w:rPr>
          <w:fldChar w:fldCharType="end"/>
        </w:r>
      </w:hyperlink>
    </w:p>
    <w:p w14:paraId="4641E762" w14:textId="5D5DAF88" w:rsidR="00C735BA" w:rsidRDefault="00C735BA">
      <w:pPr>
        <w:pStyle w:val="TOC2"/>
        <w:rPr>
          <w:rFonts w:asciiTheme="minorHAnsi" w:eastAsiaTheme="minorEastAsia" w:hAnsiTheme="minorHAnsi" w:cstheme="minorBidi"/>
          <w:b w:val="0"/>
          <w:color w:val="auto"/>
          <w:kern w:val="2"/>
          <w:sz w:val="24"/>
          <w:lang w:eastAsia="en-AU"/>
          <w14:ligatures w14:val="standardContextual"/>
        </w:rPr>
      </w:pPr>
      <w:hyperlink w:anchor="_Toc219291655" w:history="1">
        <w:r w:rsidRPr="0018023B">
          <w:rPr>
            <w:rStyle w:val="Hyperlink"/>
          </w:rPr>
          <w:t>2.8</w:t>
        </w:r>
        <w:r>
          <w:rPr>
            <w:rFonts w:asciiTheme="minorHAnsi" w:eastAsiaTheme="minorEastAsia" w:hAnsiTheme="minorHAnsi" w:cstheme="minorBidi"/>
            <w:b w:val="0"/>
            <w:color w:val="auto"/>
            <w:kern w:val="2"/>
            <w:sz w:val="24"/>
            <w:lang w:eastAsia="en-AU"/>
            <w14:ligatures w14:val="standardContextual"/>
          </w:rPr>
          <w:tab/>
        </w:r>
        <w:r w:rsidRPr="0018023B">
          <w:rPr>
            <w:rStyle w:val="Hyperlink"/>
          </w:rPr>
          <w:t>Impact of label changes</w:t>
        </w:r>
        <w:r>
          <w:rPr>
            <w:webHidden/>
          </w:rPr>
          <w:tab/>
        </w:r>
        <w:r>
          <w:rPr>
            <w:webHidden/>
          </w:rPr>
          <w:fldChar w:fldCharType="begin"/>
        </w:r>
        <w:r>
          <w:rPr>
            <w:webHidden/>
          </w:rPr>
          <w:instrText xml:space="preserve"> PAGEREF _Toc219291655 \h </w:instrText>
        </w:r>
        <w:r>
          <w:rPr>
            <w:webHidden/>
          </w:rPr>
        </w:r>
        <w:r>
          <w:rPr>
            <w:webHidden/>
          </w:rPr>
          <w:fldChar w:fldCharType="separate"/>
        </w:r>
        <w:r w:rsidR="0098266E">
          <w:rPr>
            <w:webHidden/>
          </w:rPr>
          <w:t>6</w:t>
        </w:r>
        <w:r>
          <w:rPr>
            <w:webHidden/>
          </w:rPr>
          <w:fldChar w:fldCharType="end"/>
        </w:r>
      </w:hyperlink>
    </w:p>
    <w:p w14:paraId="10C10910" w14:textId="69567EC7" w:rsidR="00D2636C" w:rsidRDefault="00B05454" w:rsidP="00EF1F4F">
      <w:pPr>
        <w:pStyle w:val="TOCH1"/>
        <w:numPr>
          <w:ilvl w:val="0"/>
          <w:numId w:val="0"/>
        </w:numPr>
        <w:spacing w:before="500"/>
        <w:rPr>
          <w:noProof/>
        </w:rPr>
      </w:pPr>
      <w:r>
        <w:rPr>
          <w:rFonts w:ascii="Trebuchet MS" w:hAnsi="Trebuchet MS"/>
          <w:b/>
          <w:caps/>
          <w:noProof/>
          <w:color w:val="00747A" w:themeColor="background2"/>
          <w:szCs w:val="30"/>
        </w:rPr>
        <w:fldChar w:fldCharType="end"/>
      </w:r>
      <w:r w:rsidRPr="00FB0015">
        <w:rPr>
          <w:noProof/>
        </w:rPr>
        <w:t>List of tables</w:t>
      </w:r>
      <w:r w:rsidR="00EF1F4F">
        <w:rPr>
          <w:noProof/>
          <w:color w:val="00747A" w:themeColor="background2"/>
        </w:rPr>
        <w:fldChar w:fldCharType="begin"/>
      </w:r>
      <w:r w:rsidR="00EF1F4F">
        <w:rPr>
          <w:noProof/>
          <w:color w:val="00747A" w:themeColor="background2"/>
        </w:rPr>
        <w:instrText xml:space="preserve"> TOC \h \z \c "Table" </w:instrText>
      </w:r>
      <w:r w:rsidR="00EF1F4F">
        <w:rPr>
          <w:noProof/>
          <w:color w:val="00747A" w:themeColor="background2"/>
        </w:rPr>
        <w:fldChar w:fldCharType="separate"/>
      </w:r>
    </w:p>
    <w:p w14:paraId="58856D33" w14:textId="367DD593" w:rsidR="00D2636C" w:rsidRDefault="00D2636C">
      <w:pPr>
        <w:pStyle w:val="TableofFigures"/>
        <w:rPr>
          <w:rFonts w:asciiTheme="minorHAnsi" w:eastAsiaTheme="minorEastAsia" w:hAnsiTheme="minorHAnsi" w:cstheme="minorBidi"/>
          <w:color w:val="auto"/>
          <w:kern w:val="2"/>
          <w:sz w:val="24"/>
          <w:lang w:eastAsia="en-AU"/>
          <w14:ligatures w14:val="standardContextual"/>
        </w:rPr>
      </w:pPr>
      <w:hyperlink w:anchor="_Toc214451659" w:history="1">
        <w:r w:rsidRPr="004D485B">
          <w:rPr>
            <w:rStyle w:val="Hyperlink"/>
          </w:rPr>
          <w:t>Table 1. Submissions in response to the Trade Advice Notice of Antimicrobial products</w:t>
        </w:r>
        <w:r>
          <w:rPr>
            <w:webHidden/>
          </w:rPr>
          <w:tab/>
        </w:r>
        <w:r>
          <w:rPr>
            <w:webHidden/>
          </w:rPr>
          <w:fldChar w:fldCharType="begin"/>
        </w:r>
        <w:r>
          <w:rPr>
            <w:webHidden/>
          </w:rPr>
          <w:instrText xml:space="preserve"> PAGEREF _Toc214451659 \h </w:instrText>
        </w:r>
        <w:r>
          <w:rPr>
            <w:webHidden/>
          </w:rPr>
        </w:r>
        <w:r>
          <w:rPr>
            <w:webHidden/>
          </w:rPr>
          <w:fldChar w:fldCharType="separate"/>
        </w:r>
        <w:r w:rsidR="0098266E">
          <w:rPr>
            <w:webHidden/>
          </w:rPr>
          <w:t>1</w:t>
        </w:r>
        <w:r>
          <w:rPr>
            <w:webHidden/>
          </w:rPr>
          <w:fldChar w:fldCharType="end"/>
        </w:r>
      </w:hyperlink>
    </w:p>
    <w:p w14:paraId="747A1295" w14:textId="77777777" w:rsidR="006D0F59" w:rsidRDefault="00EF1F4F" w:rsidP="00F566F2">
      <w:pPr>
        <w:pStyle w:val="TOCH1"/>
        <w:numPr>
          <w:ilvl w:val="0"/>
          <w:numId w:val="0"/>
        </w:numPr>
        <w:rPr>
          <w:noProof/>
        </w:rPr>
        <w:sectPr w:rsidR="006D0F59" w:rsidSect="006D0F59">
          <w:headerReference w:type="default" r:id="rId18"/>
          <w:pgSz w:w="11906" w:h="16838" w:code="9"/>
          <w:pgMar w:top="2835" w:right="1134" w:bottom="1134" w:left="1134" w:header="1701" w:footer="680" w:gutter="0"/>
          <w:pgNumType w:fmt="lowerRoman"/>
          <w:cols w:space="708"/>
          <w:docGrid w:linePitch="360"/>
        </w:sectPr>
      </w:pPr>
      <w:r>
        <w:rPr>
          <w:noProof/>
        </w:rPr>
        <w:fldChar w:fldCharType="end"/>
      </w:r>
    </w:p>
    <w:p w14:paraId="6A1014FE" w14:textId="3CCBE0CE" w:rsidR="002E20AC" w:rsidRPr="00F64295" w:rsidRDefault="006D32C6" w:rsidP="00F64295">
      <w:pPr>
        <w:pStyle w:val="Heading1"/>
      </w:pPr>
      <w:bookmarkStart w:id="1" w:name="_Toc219291646"/>
      <w:r w:rsidRPr="00F64295">
        <w:lastRenderedPageBreak/>
        <w:t xml:space="preserve">Submissions </w:t>
      </w:r>
      <w:r w:rsidR="00F566F2">
        <w:t>r</w:t>
      </w:r>
      <w:r w:rsidRPr="00F64295">
        <w:t>eceived</w:t>
      </w:r>
      <w:bookmarkEnd w:id="1"/>
    </w:p>
    <w:p w14:paraId="06024293" w14:textId="4EE9DDFD" w:rsidR="002E20AC" w:rsidRDefault="006D32C6">
      <w:pPr>
        <w:pStyle w:val="NormalText"/>
      </w:pPr>
      <w:r>
        <w:t>The A</w:t>
      </w:r>
      <w:r w:rsidR="00F64295">
        <w:t>ustralian Pesticides and Veterinary Medicines Authority (A</w:t>
      </w:r>
      <w:r>
        <w:t>PVMA</w:t>
      </w:r>
      <w:r w:rsidR="00F64295">
        <w:t>)</w:t>
      </w:r>
      <w:r>
        <w:t xml:space="preserve"> published </w:t>
      </w:r>
      <w:bookmarkStart w:id="2" w:name="_Hlk214281137"/>
      <w:r w:rsidR="00077EB8">
        <w:t xml:space="preserve">a </w:t>
      </w:r>
      <w:hyperlink r:id="rId19" w:history="1">
        <w:r w:rsidR="00834730" w:rsidRPr="00834730">
          <w:rPr>
            <w:rStyle w:val="Hyperlink"/>
          </w:rPr>
          <w:t>Trade Advice Notice</w:t>
        </w:r>
      </w:hyperlink>
      <w:r w:rsidR="00834730">
        <w:t xml:space="preserve"> </w:t>
      </w:r>
      <w:bookmarkEnd w:id="2"/>
      <w:r w:rsidR="00077EB8">
        <w:t xml:space="preserve">(TAN) </w:t>
      </w:r>
      <w:r w:rsidR="00B856A6" w:rsidRPr="00B856A6">
        <w:t>on products containing antimicrobials for growth promotion on cattle and sheep destined for European markets</w:t>
      </w:r>
      <w:r>
        <w:t xml:space="preserve">. The APVMA invited </w:t>
      </w:r>
      <w:r w:rsidR="00C007E7">
        <w:t xml:space="preserve">comments </w:t>
      </w:r>
      <w:r>
        <w:t xml:space="preserve">in relation to the </w:t>
      </w:r>
      <w:r w:rsidR="002D0B93">
        <w:t>TAN</w:t>
      </w:r>
      <w:r w:rsidR="00B856A6" w:rsidRPr="00B856A6">
        <w:t xml:space="preserve"> </w:t>
      </w:r>
      <w:r>
        <w:t xml:space="preserve">between </w:t>
      </w:r>
      <w:r w:rsidR="00B856A6">
        <w:t>10</w:t>
      </w:r>
      <w:r>
        <w:t xml:space="preserve"> </w:t>
      </w:r>
      <w:r w:rsidR="00B856A6">
        <w:t>December 2024</w:t>
      </w:r>
      <w:r>
        <w:t xml:space="preserve"> and </w:t>
      </w:r>
      <w:r w:rsidR="00B856A6">
        <w:t>31</w:t>
      </w:r>
      <w:r>
        <w:t xml:space="preserve"> </w:t>
      </w:r>
      <w:r w:rsidR="00B856A6">
        <w:t>January</w:t>
      </w:r>
      <w:r>
        <w:t xml:space="preserve"> 2025 and received </w:t>
      </w:r>
      <w:r w:rsidR="00B856A6">
        <w:t>10</w:t>
      </w:r>
      <w:r>
        <w:t xml:space="preserve"> submissions. The APVMA was given permission to </w:t>
      </w:r>
      <w:r w:rsidRPr="00B856A6">
        <w:t xml:space="preserve">publish </w:t>
      </w:r>
      <w:hyperlink r:id="rId20" w:history="1">
        <w:r w:rsidR="00B856A6" w:rsidRPr="00F42797">
          <w:rPr>
            <w:rStyle w:val="Hyperlink"/>
          </w:rPr>
          <w:t>8</w:t>
        </w:r>
        <w:r w:rsidR="00877DAE" w:rsidRPr="00F42797">
          <w:rPr>
            <w:rStyle w:val="Hyperlink"/>
          </w:rPr>
          <w:t xml:space="preserve"> o</w:t>
        </w:r>
        <w:r w:rsidRPr="00F42797">
          <w:rPr>
            <w:rStyle w:val="Hyperlink"/>
          </w:rPr>
          <w:t>f these submissions</w:t>
        </w:r>
      </w:hyperlink>
      <w:r w:rsidR="00C007E7">
        <w:t>,</w:t>
      </w:r>
      <w:r>
        <w:t xml:space="preserve"> which are available </w:t>
      </w:r>
      <w:r w:rsidR="002D0B93">
        <w:t xml:space="preserve">on </w:t>
      </w:r>
      <w:r w:rsidR="00F42797">
        <w:t>apvma.gov.au</w:t>
      </w:r>
      <w:r>
        <w:t xml:space="preserve">. </w:t>
      </w:r>
      <w:r w:rsidR="00C007E7">
        <w:t>The remaining 2 submissions</w:t>
      </w:r>
      <w:r>
        <w:t xml:space="preserve"> have been considered but not published.</w:t>
      </w:r>
    </w:p>
    <w:p w14:paraId="374BC12D" w14:textId="3DE499D1" w:rsidR="006D32C6" w:rsidRDefault="006D32C6">
      <w:pPr>
        <w:pStyle w:val="NormalText"/>
      </w:pPr>
      <w:r>
        <w:t>The submissions received</w:t>
      </w:r>
      <w:r w:rsidR="006605D3">
        <w:t xml:space="preserve"> by the APVMA</w:t>
      </w:r>
      <w:r>
        <w:t xml:space="preserve"> are listed in </w:t>
      </w:r>
      <w:r w:rsidR="00E53B8B">
        <w:t>T</w:t>
      </w:r>
      <w:r>
        <w:t>able</w:t>
      </w:r>
      <w:r w:rsidR="00E53B8B">
        <w:t xml:space="preserve"> 1</w:t>
      </w:r>
      <w:r>
        <w:t xml:space="preserve"> and the APVMA’s consideration of the information received is summarised</w:t>
      </w:r>
      <w:r w:rsidR="00C007E7">
        <w:t xml:space="preserve"> in Section </w:t>
      </w:r>
      <w:r w:rsidR="00C007E7">
        <w:fldChar w:fldCharType="begin"/>
      </w:r>
      <w:r w:rsidR="00C007E7">
        <w:instrText xml:space="preserve"> REF _Ref218588407 \r \h </w:instrText>
      </w:r>
      <w:r w:rsidR="00C007E7">
        <w:fldChar w:fldCharType="separate"/>
      </w:r>
      <w:r w:rsidR="0098266E">
        <w:t>2</w:t>
      </w:r>
      <w:r w:rsidR="00C007E7">
        <w:fldChar w:fldCharType="end"/>
      </w:r>
      <w:r>
        <w:t xml:space="preserve"> below.</w:t>
      </w:r>
      <w:r w:rsidR="0029504F">
        <w:t xml:space="preserve"> </w:t>
      </w:r>
      <w:r w:rsidR="00E166F2">
        <w:t>Where applicable, the</w:t>
      </w:r>
      <w:r w:rsidR="0029504F">
        <w:t xml:space="preserve"> APVMA consulted with the Department of Agriculture, Fisheries and Forestry (DAFF) to seek clarification from the European Union (EU) on some questions raised in the submissions below.</w:t>
      </w:r>
    </w:p>
    <w:p w14:paraId="091E6733" w14:textId="3D5E7F06" w:rsidR="006605D3" w:rsidRDefault="006605D3" w:rsidP="006605D3">
      <w:pPr>
        <w:pStyle w:val="Caption"/>
      </w:pPr>
      <w:bookmarkStart w:id="3" w:name="_Toc212131563"/>
      <w:bookmarkStart w:id="4" w:name="_Toc214451659"/>
      <w:r>
        <w:t xml:space="preserve">Table </w:t>
      </w:r>
      <w:r>
        <w:fldChar w:fldCharType="begin"/>
      </w:r>
      <w:r>
        <w:instrText xml:space="preserve"> SEQ Table \* ARABIC </w:instrText>
      </w:r>
      <w:r>
        <w:fldChar w:fldCharType="separate"/>
      </w:r>
      <w:r w:rsidR="0098266E">
        <w:rPr>
          <w:noProof/>
        </w:rPr>
        <w:t>1</w:t>
      </w:r>
      <w:r>
        <w:fldChar w:fldCharType="end"/>
      </w:r>
      <w:r>
        <w:t xml:space="preserve">. Submissions in response </w:t>
      </w:r>
      <w:r w:rsidR="00C51035" w:rsidRPr="00C51035">
        <w:t>to the Trade Advice Notice o</w:t>
      </w:r>
      <w:r w:rsidR="00077EB8">
        <w:t>n</w:t>
      </w:r>
      <w:r w:rsidR="00C51035" w:rsidRPr="00C51035">
        <w:t xml:space="preserve"> </w:t>
      </w:r>
      <w:r>
        <w:t>products</w:t>
      </w:r>
      <w:bookmarkEnd w:id="3"/>
      <w:bookmarkEnd w:id="4"/>
      <w:r w:rsidR="00077EB8">
        <w:t xml:space="preserve"> containing antimicrobials for growth promotion on cattle and sheep destined for European markets</w:t>
      </w:r>
    </w:p>
    <w:tbl>
      <w:tblPr>
        <w:tblW w:w="5000" w:type="pct"/>
        <w:tblLook w:val="04A0" w:firstRow="1" w:lastRow="0" w:firstColumn="1" w:lastColumn="0" w:noHBand="0" w:noVBand="1"/>
      </w:tblPr>
      <w:tblGrid>
        <w:gridCol w:w="567"/>
        <w:gridCol w:w="2128"/>
        <w:gridCol w:w="6943"/>
      </w:tblGrid>
      <w:tr w:rsidR="006605D3" w:rsidRPr="006D32C6" w14:paraId="4BFA2072" w14:textId="77777777" w:rsidTr="00ED395F">
        <w:trPr>
          <w:cantSplit/>
          <w:tblHeader/>
        </w:trPr>
        <w:tc>
          <w:tcPr>
            <w:tcW w:w="294" w:type="pct"/>
            <w:tcBorders>
              <w:top w:val="single" w:sz="4" w:space="0" w:color="auto"/>
              <w:left w:val="nil"/>
              <w:bottom w:val="single" w:sz="4" w:space="0" w:color="auto"/>
              <w:right w:val="nil"/>
            </w:tcBorders>
            <w:shd w:val="clear" w:color="auto" w:fill="5C2946"/>
          </w:tcPr>
          <w:p w14:paraId="68BEC2AF" w14:textId="77777777" w:rsidR="006605D3" w:rsidRPr="006D32C6" w:rsidRDefault="006605D3" w:rsidP="00F64295">
            <w:pPr>
              <w:pStyle w:val="TableHead"/>
            </w:pPr>
          </w:p>
        </w:tc>
        <w:tc>
          <w:tcPr>
            <w:tcW w:w="1104" w:type="pct"/>
            <w:tcBorders>
              <w:top w:val="single" w:sz="4" w:space="0" w:color="auto"/>
              <w:left w:val="nil"/>
              <w:bottom w:val="single" w:sz="4" w:space="0" w:color="auto"/>
              <w:right w:val="nil"/>
            </w:tcBorders>
            <w:shd w:val="clear" w:color="auto" w:fill="5C2946"/>
            <w:vAlign w:val="center"/>
            <w:hideMark/>
          </w:tcPr>
          <w:p w14:paraId="27BDA855" w14:textId="1D4E87DC" w:rsidR="006605D3" w:rsidRPr="006D32C6" w:rsidRDefault="006605D3" w:rsidP="00F64295">
            <w:pPr>
              <w:pStyle w:val="TableHead"/>
            </w:pPr>
            <w:r w:rsidRPr="006D32C6">
              <w:t>Submitter</w:t>
            </w:r>
          </w:p>
        </w:tc>
        <w:tc>
          <w:tcPr>
            <w:tcW w:w="3602" w:type="pct"/>
            <w:tcBorders>
              <w:top w:val="single" w:sz="4" w:space="0" w:color="auto"/>
              <w:left w:val="nil"/>
              <w:bottom w:val="single" w:sz="4" w:space="0" w:color="auto"/>
              <w:right w:val="nil"/>
            </w:tcBorders>
            <w:shd w:val="clear" w:color="auto" w:fill="5C2946"/>
            <w:vAlign w:val="center"/>
            <w:hideMark/>
          </w:tcPr>
          <w:p w14:paraId="31EF7F79" w14:textId="77777777" w:rsidR="006605D3" w:rsidRPr="006D32C6" w:rsidRDefault="006605D3" w:rsidP="00F64295">
            <w:pPr>
              <w:pStyle w:val="TableHead"/>
            </w:pPr>
            <w:r w:rsidRPr="006D32C6">
              <w:t>Comments</w:t>
            </w:r>
          </w:p>
        </w:tc>
      </w:tr>
      <w:tr w:rsidR="002C35DD" w:rsidRPr="006D32C6" w14:paraId="3CD3C7FC" w14:textId="77777777" w:rsidTr="00ED395F">
        <w:trPr>
          <w:cantSplit/>
          <w:trHeight w:val="450"/>
        </w:trPr>
        <w:tc>
          <w:tcPr>
            <w:tcW w:w="294" w:type="pct"/>
            <w:tcBorders>
              <w:top w:val="single" w:sz="4" w:space="0" w:color="auto"/>
              <w:left w:val="nil"/>
              <w:bottom w:val="single" w:sz="4" w:space="0" w:color="auto"/>
              <w:right w:val="nil"/>
            </w:tcBorders>
          </w:tcPr>
          <w:p w14:paraId="423B21BE" w14:textId="0DA782C4" w:rsidR="002C35DD" w:rsidRPr="00814632" w:rsidRDefault="007735A7" w:rsidP="00F64295">
            <w:pPr>
              <w:pStyle w:val="TableText"/>
              <w:rPr>
                <w:b/>
                <w:bCs/>
              </w:rPr>
            </w:pPr>
            <w:r>
              <w:rPr>
                <w:b/>
                <w:bCs/>
              </w:rPr>
              <w:t>1</w:t>
            </w:r>
          </w:p>
        </w:tc>
        <w:tc>
          <w:tcPr>
            <w:tcW w:w="1104" w:type="pct"/>
            <w:tcBorders>
              <w:top w:val="single" w:sz="4" w:space="0" w:color="auto"/>
              <w:left w:val="nil"/>
              <w:bottom w:val="single" w:sz="4" w:space="0" w:color="auto"/>
              <w:right w:val="nil"/>
            </w:tcBorders>
          </w:tcPr>
          <w:p w14:paraId="3894EE57" w14:textId="36ED4903" w:rsidR="002C35DD" w:rsidRPr="006D32C6" w:rsidRDefault="00C51035" w:rsidP="00F64295">
            <w:pPr>
              <w:pStyle w:val="TableText"/>
            </w:pPr>
            <w:r w:rsidRPr="00C51035">
              <w:t>Australian Meat Industry Council (AMIC)</w:t>
            </w:r>
          </w:p>
        </w:tc>
        <w:tc>
          <w:tcPr>
            <w:tcW w:w="3602" w:type="pct"/>
            <w:tcBorders>
              <w:top w:val="single" w:sz="4" w:space="0" w:color="auto"/>
              <w:left w:val="nil"/>
              <w:bottom w:val="single" w:sz="4" w:space="0" w:color="auto"/>
              <w:right w:val="nil"/>
            </w:tcBorders>
          </w:tcPr>
          <w:p w14:paraId="4488528D" w14:textId="3525E67E" w:rsidR="002C35DD" w:rsidRPr="006D32C6" w:rsidRDefault="00C51035" w:rsidP="00F64295">
            <w:pPr>
              <w:pStyle w:val="TableText"/>
            </w:pPr>
            <w:r w:rsidRPr="00C51035">
              <w:t>The AMIC</w:t>
            </w:r>
            <w:r w:rsidR="003F6398">
              <w:t xml:space="preserve"> provided a submission </w:t>
            </w:r>
            <w:r w:rsidRPr="00C51035">
              <w:t>supportive of proposed amendments</w:t>
            </w:r>
            <w:r w:rsidR="0086589C">
              <w:t xml:space="preserve"> to antimicrobial veterinary products and not</w:t>
            </w:r>
            <w:r w:rsidR="002D0B93">
              <w:t>ing</w:t>
            </w:r>
            <w:r w:rsidR="0086589C">
              <w:t xml:space="preserve"> the importance of maintaining market access for Australian beef and sheep meat to the EU.</w:t>
            </w:r>
          </w:p>
        </w:tc>
      </w:tr>
      <w:tr w:rsidR="00D43E2C" w:rsidRPr="006D32C6" w14:paraId="61A7E26D" w14:textId="77777777" w:rsidTr="00ED395F">
        <w:trPr>
          <w:cantSplit/>
          <w:trHeight w:val="450"/>
        </w:trPr>
        <w:tc>
          <w:tcPr>
            <w:tcW w:w="294" w:type="pct"/>
            <w:tcBorders>
              <w:top w:val="single" w:sz="4" w:space="0" w:color="auto"/>
              <w:left w:val="nil"/>
              <w:bottom w:val="single" w:sz="4" w:space="0" w:color="auto"/>
              <w:right w:val="nil"/>
            </w:tcBorders>
          </w:tcPr>
          <w:p w14:paraId="4DBDA4CE" w14:textId="748917F9" w:rsidR="00D43E2C" w:rsidRDefault="00D43E2C" w:rsidP="00D43E2C">
            <w:pPr>
              <w:pStyle w:val="TableText"/>
              <w:rPr>
                <w:b/>
                <w:bCs/>
              </w:rPr>
            </w:pPr>
            <w:r>
              <w:rPr>
                <w:b/>
                <w:bCs/>
              </w:rPr>
              <w:t>2</w:t>
            </w:r>
          </w:p>
        </w:tc>
        <w:tc>
          <w:tcPr>
            <w:tcW w:w="1104" w:type="pct"/>
            <w:tcBorders>
              <w:top w:val="single" w:sz="4" w:space="0" w:color="auto"/>
              <w:left w:val="nil"/>
              <w:bottom w:val="single" w:sz="4" w:space="0" w:color="auto"/>
              <w:right w:val="nil"/>
            </w:tcBorders>
          </w:tcPr>
          <w:p w14:paraId="7F684EEB" w14:textId="06B68621" w:rsidR="00D43E2C" w:rsidRPr="00C51035" w:rsidRDefault="0016004E" w:rsidP="00D43E2C">
            <w:pPr>
              <w:pStyle w:val="TableText"/>
            </w:pPr>
            <w:r w:rsidRPr="0016004E">
              <w:t>Royal Society for the Prevention of Cruelty to Animals</w:t>
            </w:r>
            <w:r>
              <w:t xml:space="preserve">, Australia </w:t>
            </w:r>
            <w:r w:rsidR="002D0B93">
              <w:t>(</w:t>
            </w:r>
            <w:r w:rsidR="00D43E2C" w:rsidRPr="00C51035">
              <w:t>RSPCA</w:t>
            </w:r>
            <w:r w:rsidR="002D0B93">
              <w:t>)</w:t>
            </w:r>
          </w:p>
        </w:tc>
        <w:tc>
          <w:tcPr>
            <w:tcW w:w="3602" w:type="pct"/>
            <w:tcBorders>
              <w:top w:val="single" w:sz="4" w:space="0" w:color="auto"/>
              <w:left w:val="nil"/>
              <w:bottom w:val="single" w:sz="4" w:space="0" w:color="auto"/>
              <w:right w:val="nil"/>
            </w:tcBorders>
          </w:tcPr>
          <w:p w14:paraId="5FA896A3" w14:textId="7B301A90" w:rsidR="00D43E2C" w:rsidRPr="00C51035" w:rsidRDefault="002D0B93" w:rsidP="00D43E2C">
            <w:pPr>
              <w:pStyle w:val="TableText"/>
            </w:pPr>
            <w:r>
              <w:t xml:space="preserve">The </w:t>
            </w:r>
            <w:r w:rsidR="00D43E2C" w:rsidRPr="00C51035">
              <w:t>RSPCA</w:t>
            </w:r>
            <w:r w:rsidR="00052ED4">
              <w:t xml:space="preserve"> provided a submission that was not supportive of the </w:t>
            </w:r>
            <w:r w:rsidR="00D43E2C" w:rsidRPr="00C51035">
              <w:t>proposed amendments</w:t>
            </w:r>
            <w:r w:rsidR="00E166F2">
              <w:t>,</w:t>
            </w:r>
            <w:r w:rsidR="00052ED4">
              <w:t xml:space="preserve"> calling on </w:t>
            </w:r>
            <w:r w:rsidR="00D43E2C" w:rsidRPr="00C51035">
              <w:t xml:space="preserve">dairy, beef, and sheep industries to </w:t>
            </w:r>
            <w:r w:rsidR="00052ED4">
              <w:t>phase out the</w:t>
            </w:r>
            <w:r w:rsidR="00D43E2C" w:rsidRPr="00C51035">
              <w:t xml:space="preserve"> routine prophylactic use of antimicrobials.</w:t>
            </w:r>
          </w:p>
        </w:tc>
      </w:tr>
      <w:tr w:rsidR="00D43E2C" w:rsidRPr="006D32C6" w14:paraId="5B63D355" w14:textId="77777777" w:rsidTr="00ED395F">
        <w:trPr>
          <w:cantSplit/>
          <w:trHeight w:val="450"/>
        </w:trPr>
        <w:tc>
          <w:tcPr>
            <w:tcW w:w="294" w:type="pct"/>
            <w:tcBorders>
              <w:top w:val="single" w:sz="4" w:space="0" w:color="auto"/>
              <w:left w:val="nil"/>
              <w:bottom w:val="single" w:sz="4" w:space="0" w:color="auto"/>
              <w:right w:val="nil"/>
            </w:tcBorders>
          </w:tcPr>
          <w:p w14:paraId="3E78C2C4" w14:textId="12E08F94" w:rsidR="00D43E2C" w:rsidRDefault="00D43E2C" w:rsidP="00D43E2C">
            <w:pPr>
              <w:pStyle w:val="TableText"/>
              <w:rPr>
                <w:b/>
                <w:bCs/>
              </w:rPr>
            </w:pPr>
            <w:r>
              <w:rPr>
                <w:b/>
                <w:bCs/>
              </w:rPr>
              <w:t>3</w:t>
            </w:r>
          </w:p>
        </w:tc>
        <w:tc>
          <w:tcPr>
            <w:tcW w:w="1104" w:type="pct"/>
            <w:tcBorders>
              <w:top w:val="single" w:sz="4" w:space="0" w:color="auto"/>
              <w:left w:val="nil"/>
              <w:bottom w:val="single" w:sz="4" w:space="0" w:color="auto"/>
              <w:right w:val="nil"/>
            </w:tcBorders>
          </w:tcPr>
          <w:p w14:paraId="39D4A6D4" w14:textId="4120D9A1" w:rsidR="00D43E2C" w:rsidRPr="00C51035" w:rsidRDefault="00D43E2C" w:rsidP="00D43E2C">
            <w:pPr>
              <w:pStyle w:val="TableText"/>
            </w:pPr>
            <w:r w:rsidRPr="00C51035">
              <w:t>Nutriment Health</w:t>
            </w:r>
          </w:p>
        </w:tc>
        <w:tc>
          <w:tcPr>
            <w:tcW w:w="3602" w:type="pct"/>
            <w:tcBorders>
              <w:top w:val="single" w:sz="4" w:space="0" w:color="auto"/>
              <w:left w:val="nil"/>
              <w:bottom w:val="single" w:sz="4" w:space="0" w:color="auto"/>
              <w:right w:val="nil"/>
            </w:tcBorders>
          </w:tcPr>
          <w:p w14:paraId="2E10F3C0" w14:textId="2FF57502" w:rsidR="00D43E2C" w:rsidRPr="00C51035" w:rsidRDefault="00D43E2C" w:rsidP="00D43E2C">
            <w:pPr>
              <w:pStyle w:val="TableText"/>
            </w:pPr>
            <w:r>
              <w:t xml:space="preserve">Nutriment Health </w:t>
            </w:r>
            <w:r w:rsidR="00052ED4">
              <w:t>provided a submission that was</w:t>
            </w:r>
            <w:r>
              <w:t xml:space="preserve"> not supportive of </w:t>
            </w:r>
            <w:r w:rsidR="00BB6D95">
              <w:t xml:space="preserve">the </w:t>
            </w:r>
            <w:r>
              <w:t>proposed amendments</w:t>
            </w:r>
            <w:r w:rsidR="003F6398">
              <w:t xml:space="preserve">. The submission proposed that the risk to EU trade could be addressed by </w:t>
            </w:r>
            <w:r w:rsidR="00CD406F">
              <w:t xml:space="preserve">a </w:t>
            </w:r>
            <w:r w:rsidR="003F6398">
              <w:t>segregat</w:t>
            </w:r>
            <w:r w:rsidR="00CD406F">
              <w:t xml:space="preserve">ed system </w:t>
            </w:r>
            <w:r w:rsidR="003F6398">
              <w:t xml:space="preserve">via the National Vendor Declaration </w:t>
            </w:r>
            <w:r w:rsidR="00792F18">
              <w:t>S</w:t>
            </w:r>
            <w:r w:rsidR="003F6398">
              <w:t xml:space="preserve">cheme and trade advice statements rather than removal of use patterns. The submission also </w:t>
            </w:r>
            <w:r w:rsidR="00D45426">
              <w:t>noted the importance of</w:t>
            </w:r>
            <w:r w:rsidR="003F6398">
              <w:t xml:space="preserve"> feed conversion efficiency </w:t>
            </w:r>
            <w:r w:rsidR="00D45426">
              <w:t>uses</w:t>
            </w:r>
            <w:r w:rsidR="00CD406F">
              <w:t xml:space="preserve"> to Australian farmers</w:t>
            </w:r>
            <w:r w:rsidR="00D45426">
              <w:t xml:space="preserve"> and that the antimicrobial compounds considered were not important in human medicine. </w:t>
            </w:r>
          </w:p>
        </w:tc>
      </w:tr>
      <w:tr w:rsidR="00D43E2C" w:rsidRPr="006D32C6" w14:paraId="299AEB57" w14:textId="77777777" w:rsidTr="00ED395F">
        <w:trPr>
          <w:cantSplit/>
          <w:trHeight w:val="450"/>
        </w:trPr>
        <w:tc>
          <w:tcPr>
            <w:tcW w:w="294" w:type="pct"/>
            <w:tcBorders>
              <w:top w:val="single" w:sz="4" w:space="0" w:color="auto"/>
              <w:left w:val="nil"/>
              <w:bottom w:val="single" w:sz="4" w:space="0" w:color="auto"/>
              <w:right w:val="nil"/>
            </w:tcBorders>
          </w:tcPr>
          <w:p w14:paraId="0D921B26" w14:textId="3D8FCBD5" w:rsidR="00D43E2C" w:rsidRDefault="00D43E2C" w:rsidP="00D43E2C">
            <w:pPr>
              <w:pStyle w:val="TableText"/>
              <w:rPr>
                <w:b/>
                <w:bCs/>
              </w:rPr>
            </w:pPr>
            <w:r>
              <w:rPr>
                <w:b/>
                <w:bCs/>
              </w:rPr>
              <w:t>4</w:t>
            </w:r>
          </w:p>
        </w:tc>
        <w:tc>
          <w:tcPr>
            <w:tcW w:w="1104" w:type="pct"/>
            <w:tcBorders>
              <w:top w:val="single" w:sz="4" w:space="0" w:color="auto"/>
              <w:left w:val="nil"/>
              <w:bottom w:val="single" w:sz="4" w:space="0" w:color="auto"/>
              <w:right w:val="nil"/>
            </w:tcBorders>
          </w:tcPr>
          <w:p w14:paraId="392827FE" w14:textId="3C649E16" w:rsidR="00D43E2C" w:rsidRPr="00C51035" w:rsidRDefault="00D43E2C" w:rsidP="00D43E2C">
            <w:pPr>
              <w:pStyle w:val="TableText"/>
            </w:pPr>
            <w:r w:rsidRPr="00C51035">
              <w:t>Eurogroup for Animals</w:t>
            </w:r>
          </w:p>
        </w:tc>
        <w:tc>
          <w:tcPr>
            <w:tcW w:w="3602" w:type="pct"/>
            <w:tcBorders>
              <w:top w:val="single" w:sz="4" w:space="0" w:color="auto"/>
              <w:left w:val="nil"/>
              <w:bottom w:val="single" w:sz="4" w:space="0" w:color="auto"/>
              <w:right w:val="nil"/>
            </w:tcBorders>
          </w:tcPr>
          <w:p w14:paraId="54931509" w14:textId="1EA2119E" w:rsidR="00D43E2C" w:rsidRPr="00C51035" w:rsidRDefault="00D43E2C" w:rsidP="00D43E2C">
            <w:pPr>
              <w:pStyle w:val="TableText"/>
            </w:pPr>
            <w:r>
              <w:t>Eurogroup for Animals</w:t>
            </w:r>
            <w:r w:rsidR="00052ED4">
              <w:t xml:space="preserve"> provided a submission that was not supportive of the proposed amendments</w:t>
            </w:r>
            <w:r w:rsidR="00DA5817">
              <w:t>,</w:t>
            </w:r>
            <w:r w:rsidR="00052ED4">
              <w:t xml:space="preserve"> calling on Australia to restrict the use of antimicrobials for prophylactic or growth promotion purposes across all </w:t>
            </w:r>
            <w:r>
              <w:t>animal production sectors.</w:t>
            </w:r>
            <w:r w:rsidR="00052ED4">
              <w:t xml:space="preserve"> </w:t>
            </w:r>
          </w:p>
        </w:tc>
      </w:tr>
      <w:tr w:rsidR="00D43E2C" w:rsidRPr="006D32C6" w14:paraId="7A139DDD" w14:textId="77777777" w:rsidTr="00ED395F">
        <w:trPr>
          <w:cantSplit/>
          <w:trHeight w:val="450"/>
        </w:trPr>
        <w:tc>
          <w:tcPr>
            <w:tcW w:w="294" w:type="pct"/>
            <w:tcBorders>
              <w:top w:val="single" w:sz="4" w:space="0" w:color="auto"/>
              <w:left w:val="nil"/>
              <w:bottom w:val="single" w:sz="4" w:space="0" w:color="auto"/>
              <w:right w:val="nil"/>
            </w:tcBorders>
          </w:tcPr>
          <w:p w14:paraId="1B5789F3" w14:textId="28FA8188" w:rsidR="00D43E2C" w:rsidRDefault="00D43E2C" w:rsidP="00D43E2C">
            <w:pPr>
              <w:pStyle w:val="TableText"/>
              <w:rPr>
                <w:b/>
                <w:bCs/>
              </w:rPr>
            </w:pPr>
            <w:r>
              <w:rPr>
                <w:b/>
                <w:bCs/>
              </w:rPr>
              <w:t>5</w:t>
            </w:r>
          </w:p>
        </w:tc>
        <w:tc>
          <w:tcPr>
            <w:tcW w:w="1104" w:type="pct"/>
            <w:tcBorders>
              <w:top w:val="single" w:sz="4" w:space="0" w:color="auto"/>
              <w:left w:val="nil"/>
              <w:bottom w:val="single" w:sz="4" w:space="0" w:color="auto"/>
              <w:right w:val="nil"/>
            </w:tcBorders>
          </w:tcPr>
          <w:p w14:paraId="0853E7ED" w14:textId="78BD72D7" w:rsidR="00D43E2C" w:rsidRPr="00C51035" w:rsidRDefault="00D43E2C" w:rsidP="00D43E2C">
            <w:pPr>
              <w:pStyle w:val="TableText"/>
            </w:pPr>
            <w:r w:rsidRPr="00C51035">
              <w:t>Animal Medicines Australia (AMA)</w:t>
            </w:r>
          </w:p>
        </w:tc>
        <w:tc>
          <w:tcPr>
            <w:tcW w:w="3602" w:type="pct"/>
            <w:tcBorders>
              <w:top w:val="single" w:sz="4" w:space="0" w:color="auto"/>
              <w:left w:val="nil"/>
              <w:bottom w:val="single" w:sz="4" w:space="0" w:color="auto"/>
              <w:right w:val="nil"/>
            </w:tcBorders>
          </w:tcPr>
          <w:p w14:paraId="16EB9D84" w14:textId="20177050" w:rsidR="00D43E2C" w:rsidRDefault="00D43E2C" w:rsidP="00D43E2C">
            <w:pPr>
              <w:pStyle w:val="TableText"/>
            </w:pPr>
            <w:r>
              <w:t xml:space="preserve">Animal Medicines Australia (AMA) </w:t>
            </w:r>
            <w:r w:rsidR="00D45426">
              <w:t>provided a submission that was not</w:t>
            </w:r>
            <w:r>
              <w:t xml:space="preserve"> supportive of </w:t>
            </w:r>
            <w:r w:rsidR="00FF6460">
              <w:t xml:space="preserve">the </w:t>
            </w:r>
            <w:r>
              <w:t>proposed amendments.</w:t>
            </w:r>
          </w:p>
          <w:p w14:paraId="6E964452" w14:textId="2650F1F7" w:rsidR="00D45426" w:rsidRDefault="00D45426" w:rsidP="00D43E2C">
            <w:pPr>
              <w:pStyle w:val="TableText"/>
            </w:pPr>
            <w:r>
              <w:t xml:space="preserve">AMA presented an argument that ionophores are excluded from EU Reg 2019/6 as they are 'feed additives' rather than 'veterinary medicinal products' and therefore removal of growth promotion uses is unnecessary. </w:t>
            </w:r>
            <w:r w:rsidR="00792F18">
              <w:t>They also argue</w:t>
            </w:r>
            <w:r w:rsidR="00DA5817">
              <w:t>d</w:t>
            </w:r>
            <w:r w:rsidR="00792F18">
              <w:t xml:space="preserve"> that the proposed changes will disadvantage Australian producers.</w:t>
            </w:r>
          </w:p>
          <w:p w14:paraId="15F52EDD" w14:textId="0EF7C7AF" w:rsidR="00D43E2C" w:rsidRPr="00C51035" w:rsidRDefault="00792F18" w:rsidP="00792F18">
            <w:pPr>
              <w:pStyle w:val="TableText"/>
            </w:pPr>
            <w:r>
              <w:t xml:space="preserve">The submission proposed that the risk to EU trade could instead be addressed by </w:t>
            </w:r>
            <w:r w:rsidR="00CD406F">
              <w:t>a segregated system</w:t>
            </w:r>
            <w:r>
              <w:t xml:space="preserve"> via the National Vendor Declaration Scheme and </w:t>
            </w:r>
            <w:r w:rsidR="00DA5817">
              <w:t xml:space="preserve">inclusion of </w:t>
            </w:r>
            <w:r>
              <w:t>trade advice statements</w:t>
            </w:r>
            <w:r w:rsidR="00DA5817">
              <w:t xml:space="preserve"> on product labels</w:t>
            </w:r>
            <w:r>
              <w:t xml:space="preserve"> rather than removal of use patterns. The submission also </w:t>
            </w:r>
            <w:r w:rsidR="00DA5817">
              <w:t xml:space="preserve">sought </w:t>
            </w:r>
            <w:r>
              <w:t xml:space="preserve">clarification on </w:t>
            </w:r>
            <w:r w:rsidR="00DA5817">
              <w:t xml:space="preserve">affected </w:t>
            </w:r>
            <w:r>
              <w:t>use patterns and note</w:t>
            </w:r>
            <w:r w:rsidR="00DA5817">
              <w:t>d</w:t>
            </w:r>
            <w:r>
              <w:t xml:space="preserve"> the</w:t>
            </w:r>
            <w:r w:rsidR="00DA5817">
              <w:t xml:space="preserve"> potential</w:t>
            </w:r>
            <w:r>
              <w:t xml:space="preserve"> financial impacts of</w:t>
            </w:r>
            <w:r w:rsidR="00DA5817">
              <w:t xml:space="preserve"> the proposed</w:t>
            </w:r>
            <w:r>
              <w:t xml:space="preserve"> label updates to industry.</w:t>
            </w:r>
          </w:p>
        </w:tc>
      </w:tr>
      <w:tr w:rsidR="00D43E2C" w:rsidRPr="006D32C6" w14:paraId="2499B0E2" w14:textId="77777777" w:rsidTr="00ED395F">
        <w:trPr>
          <w:cantSplit/>
          <w:trHeight w:val="450"/>
        </w:trPr>
        <w:tc>
          <w:tcPr>
            <w:tcW w:w="294" w:type="pct"/>
            <w:tcBorders>
              <w:top w:val="single" w:sz="4" w:space="0" w:color="auto"/>
              <w:left w:val="nil"/>
              <w:bottom w:val="single" w:sz="4" w:space="0" w:color="auto"/>
              <w:right w:val="nil"/>
            </w:tcBorders>
          </w:tcPr>
          <w:p w14:paraId="0FE5D05D" w14:textId="33A8A107" w:rsidR="00D43E2C" w:rsidRDefault="00D43E2C" w:rsidP="00D43E2C">
            <w:pPr>
              <w:pStyle w:val="TableText"/>
              <w:rPr>
                <w:b/>
                <w:bCs/>
              </w:rPr>
            </w:pPr>
            <w:r>
              <w:rPr>
                <w:b/>
                <w:bCs/>
              </w:rPr>
              <w:lastRenderedPageBreak/>
              <w:t>6</w:t>
            </w:r>
          </w:p>
        </w:tc>
        <w:tc>
          <w:tcPr>
            <w:tcW w:w="1104" w:type="pct"/>
            <w:tcBorders>
              <w:top w:val="single" w:sz="4" w:space="0" w:color="auto"/>
              <w:left w:val="nil"/>
              <w:bottom w:val="single" w:sz="4" w:space="0" w:color="auto"/>
              <w:right w:val="nil"/>
            </w:tcBorders>
          </w:tcPr>
          <w:p w14:paraId="7E772CD0" w14:textId="61AC1EA5" w:rsidR="00D43E2C" w:rsidRPr="00C51035" w:rsidRDefault="00D43E2C" w:rsidP="00D43E2C">
            <w:pPr>
              <w:pStyle w:val="TableText"/>
            </w:pPr>
            <w:r w:rsidRPr="00C51035">
              <w:t>Phibro Animal Health Corporation</w:t>
            </w:r>
          </w:p>
        </w:tc>
        <w:tc>
          <w:tcPr>
            <w:tcW w:w="3602" w:type="pct"/>
            <w:tcBorders>
              <w:top w:val="single" w:sz="4" w:space="0" w:color="auto"/>
              <w:left w:val="nil"/>
              <w:bottom w:val="single" w:sz="4" w:space="0" w:color="auto"/>
              <w:right w:val="nil"/>
            </w:tcBorders>
          </w:tcPr>
          <w:p w14:paraId="3DABAB02" w14:textId="77777777" w:rsidR="00CD406F" w:rsidRDefault="00D43E2C" w:rsidP="00D43E2C">
            <w:pPr>
              <w:pStyle w:val="TableText"/>
            </w:pPr>
            <w:r>
              <w:t>Phibro Animal Health Corporation</w:t>
            </w:r>
            <w:r w:rsidR="00FF6460">
              <w:t xml:space="preserve"> </w:t>
            </w:r>
            <w:r w:rsidR="00CD406F">
              <w:t>provided</w:t>
            </w:r>
            <w:r w:rsidR="00FF6460">
              <w:t xml:space="preserve"> a submission that was</w:t>
            </w:r>
            <w:r>
              <w:t xml:space="preserve"> no</w:t>
            </w:r>
            <w:r w:rsidR="00FF6460">
              <w:t>t</w:t>
            </w:r>
            <w:r>
              <w:t xml:space="preserve"> supportive of </w:t>
            </w:r>
            <w:r w:rsidR="00FF6460">
              <w:t xml:space="preserve">the </w:t>
            </w:r>
            <w:r>
              <w:t>proposed amendments</w:t>
            </w:r>
            <w:r w:rsidR="00CD406F">
              <w:t xml:space="preserve"> and endorsed the position of the AMA.</w:t>
            </w:r>
          </w:p>
          <w:p w14:paraId="3CFF2E22" w14:textId="2DFB80A8" w:rsidR="00D43E2C" w:rsidRDefault="00CD406F" w:rsidP="00D43E2C">
            <w:pPr>
              <w:pStyle w:val="TableText"/>
            </w:pPr>
            <w:r>
              <w:t>The submission noted the importance of feed conversion efficiency uses to Australian farmer</w:t>
            </w:r>
            <w:r w:rsidR="00034278">
              <w:t xml:space="preserve">s and the environment. It also noted that </w:t>
            </w:r>
            <w:r>
              <w:t>the antimicrobial compounds considered were not important in human medicine</w:t>
            </w:r>
            <w:r w:rsidR="00034278">
              <w:t xml:space="preserve"> and argued that they would not contribute to antibiotic resistance. The submission noted the impact </w:t>
            </w:r>
            <w:r w:rsidR="00064FE2">
              <w:t xml:space="preserve">on </w:t>
            </w:r>
            <w:r w:rsidR="00034278">
              <w:t xml:space="preserve">cattle producers and suggested that a segregated system could also be implemented for dairy cattle </w:t>
            </w:r>
            <w:proofErr w:type="gramStart"/>
            <w:r w:rsidR="00034278">
              <w:t>in order to</w:t>
            </w:r>
            <w:proofErr w:type="gramEnd"/>
            <w:r w:rsidR="00034278">
              <w:t xml:space="preserve"> retain growth promotion use patterns on the label.</w:t>
            </w:r>
          </w:p>
        </w:tc>
      </w:tr>
      <w:tr w:rsidR="00B65656" w:rsidRPr="006D32C6" w14:paraId="0636359B" w14:textId="77777777" w:rsidTr="00916B43">
        <w:trPr>
          <w:cantSplit/>
          <w:trHeight w:val="450"/>
        </w:trPr>
        <w:tc>
          <w:tcPr>
            <w:tcW w:w="294" w:type="pct"/>
            <w:tcBorders>
              <w:top w:val="single" w:sz="4" w:space="0" w:color="auto"/>
              <w:left w:val="nil"/>
              <w:bottom w:val="single" w:sz="4" w:space="0" w:color="auto"/>
              <w:right w:val="nil"/>
            </w:tcBorders>
          </w:tcPr>
          <w:p w14:paraId="5F410452" w14:textId="75D6E9C0" w:rsidR="00B65656" w:rsidRPr="00814632" w:rsidRDefault="00B65656" w:rsidP="00D43E2C">
            <w:pPr>
              <w:pStyle w:val="TableText"/>
              <w:rPr>
                <w:b/>
                <w:bCs/>
              </w:rPr>
            </w:pPr>
            <w:r>
              <w:rPr>
                <w:b/>
                <w:bCs/>
              </w:rPr>
              <w:t>7</w:t>
            </w:r>
          </w:p>
        </w:tc>
        <w:tc>
          <w:tcPr>
            <w:tcW w:w="1104" w:type="pct"/>
            <w:tcBorders>
              <w:top w:val="single" w:sz="4" w:space="0" w:color="auto"/>
              <w:left w:val="nil"/>
              <w:bottom w:val="single" w:sz="4" w:space="0" w:color="auto"/>
              <w:right w:val="nil"/>
            </w:tcBorders>
          </w:tcPr>
          <w:p w14:paraId="23ABE371" w14:textId="4904FF4D" w:rsidR="00B65656" w:rsidRPr="0079347D" w:rsidRDefault="00B65656" w:rsidP="00D43E2C">
            <w:pPr>
              <w:pStyle w:val="TableText"/>
            </w:pPr>
            <w:r w:rsidRPr="00C51035">
              <w:t>Australian Dairy Farmers Ltd</w:t>
            </w:r>
            <w:r>
              <w:t xml:space="preserve"> – Initial submission</w:t>
            </w:r>
          </w:p>
        </w:tc>
        <w:tc>
          <w:tcPr>
            <w:tcW w:w="3602" w:type="pct"/>
            <w:vMerge w:val="restart"/>
            <w:tcBorders>
              <w:top w:val="single" w:sz="4" w:space="0" w:color="auto"/>
              <w:left w:val="nil"/>
              <w:right w:val="nil"/>
            </w:tcBorders>
          </w:tcPr>
          <w:p w14:paraId="6654E0DC" w14:textId="705690FA" w:rsidR="00B65656" w:rsidRDefault="00B65656" w:rsidP="00D43E2C">
            <w:pPr>
              <w:pStyle w:val="TableText"/>
            </w:pPr>
            <w:r>
              <w:t>Australian Dairy Farmers initially provided a submission requesting that decisions on label amendments be paused to allow the dairy industry to consider if segregation of EU and other markets was possible. The submission also proposed a modified</w:t>
            </w:r>
            <w:r w:rsidR="006676EB">
              <w:t xml:space="preserve"> label</w:t>
            </w:r>
            <w:r>
              <w:t xml:space="preserve"> restraint for dairy cattle.</w:t>
            </w:r>
          </w:p>
          <w:p w14:paraId="38829FB8" w14:textId="2E163E69" w:rsidR="00B65656" w:rsidRPr="006D32C6" w:rsidRDefault="00B65656" w:rsidP="00D43E2C">
            <w:pPr>
              <w:pStyle w:val="TableText"/>
            </w:pPr>
            <w:r>
              <w:t xml:space="preserve">The follow up submission, provided to DAFF and the APVMA, indicated that </w:t>
            </w:r>
            <w:r w:rsidR="006676EB">
              <w:t xml:space="preserve">a </w:t>
            </w:r>
            <w:r w:rsidR="00CD406F">
              <w:t xml:space="preserve">segregated production system would </w:t>
            </w:r>
            <w:r w:rsidR="00CD406F" w:rsidRPr="00CD406F">
              <w:t>not</w:t>
            </w:r>
            <w:r w:rsidR="00CD406F">
              <w:t xml:space="preserve"> be feasible for the dairy industry</w:t>
            </w:r>
            <w:r w:rsidR="006676EB">
              <w:t>;</w:t>
            </w:r>
            <w:r w:rsidR="00CD406F">
              <w:t xml:space="preserve"> that access to the EU market was important for dairy producers</w:t>
            </w:r>
            <w:r w:rsidR="006676EB">
              <w:t>;</w:t>
            </w:r>
            <w:r w:rsidR="00CD406F">
              <w:t xml:space="preserve"> and that they were supportive of the approach to remove relevant use patterns. This submission also proposed a simplified</w:t>
            </w:r>
            <w:r w:rsidR="006676EB">
              <w:t xml:space="preserve"> label</w:t>
            </w:r>
            <w:r w:rsidR="00CD406F">
              <w:t xml:space="preserve"> restraint for dairy cattle.</w:t>
            </w:r>
          </w:p>
        </w:tc>
      </w:tr>
      <w:tr w:rsidR="00B65656" w:rsidRPr="006D32C6" w14:paraId="605EF353" w14:textId="77777777" w:rsidTr="00916B43">
        <w:trPr>
          <w:cantSplit/>
          <w:trHeight w:val="450"/>
        </w:trPr>
        <w:tc>
          <w:tcPr>
            <w:tcW w:w="294" w:type="pct"/>
            <w:tcBorders>
              <w:top w:val="single" w:sz="4" w:space="0" w:color="auto"/>
              <w:left w:val="nil"/>
              <w:bottom w:val="single" w:sz="4" w:space="0" w:color="auto"/>
              <w:right w:val="nil"/>
            </w:tcBorders>
          </w:tcPr>
          <w:p w14:paraId="73C492D2" w14:textId="62FA56F1" w:rsidR="00B65656" w:rsidRPr="00814632" w:rsidRDefault="00B65656" w:rsidP="00D43E2C">
            <w:pPr>
              <w:pStyle w:val="TableText"/>
              <w:rPr>
                <w:b/>
                <w:bCs/>
              </w:rPr>
            </w:pPr>
            <w:r>
              <w:rPr>
                <w:b/>
                <w:bCs/>
              </w:rPr>
              <w:t>8</w:t>
            </w:r>
          </w:p>
        </w:tc>
        <w:tc>
          <w:tcPr>
            <w:tcW w:w="1104" w:type="pct"/>
            <w:tcBorders>
              <w:top w:val="single" w:sz="4" w:space="0" w:color="auto"/>
              <w:left w:val="nil"/>
              <w:bottom w:val="single" w:sz="4" w:space="0" w:color="auto"/>
              <w:right w:val="nil"/>
            </w:tcBorders>
          </w:tcPr>
          <w:p w14:paraId="57417D3F" w14:textId="209A17F9" w:rsidR="00B65656" w:rsidRPr="00C51035" w:rsidRDefault="00B65656" w:rsidP="00D43E2C">
            <w:pPr>
              <w:pStyle w:val="TableText"/>
            </w:pPr>
            <w:r w:rsidRPr="0036038E">
              <w:t>Australian Dairy Farmers Ltd</w:t>
            </w:r>
            <w:r>
              <w:t xml:space="preserve"> - </w:t>
            </w:r>
            <w:r w:rsidRPr="0036038E">
              <w:t>Follow up submission</w:t>
            </w:r>
          </w:p>
        </w:tc>
        <w:tc>
          <w:tcPr>
            <w:tcW w:w="3602" w:type="pct"/>
            <w:vMerge/>
            <w:tcBorders>
              <w:left w:val="nil"/>
              <w:bottom w:val="single" w:sz="4" w:space="0" w:color="auto"/>
              <w:right w:val="nil"/>
            </w:tcBorders>
          </w:tcPr>
          <w:p w14:paraId="066EB694" w14:textId="1103F78E" w:rsidR="00B65656" w:rsidRDefault="00B65656" w:rsidP="00D43E2C">
            <w:pPr>
              <w:pStyle w:val="TableText"/>
            </w:pPr>
          </w:p>
        </w:tc>
      </w:tr>
      <w:tr w:rsidR="00D43E2C" w:rsidRPr="006D32C6" w14:paraId="71548BCD" w14:textId="77777777" w:rsidTr="0029504F">
        <w:trPr>
          <w:cantSplit/>
          <w:trHeight w:val="450"/>
        </w:trPr>
        <w:tc>
          <w:tcPr>
            <w:tcW w:w="294" w:type="pct"/>
            <w:tcBorders>
              <w:top w:val="single" w:sz="4" w:space="0" w:color="auto"/>
              <w:left w:val="nil"/>
              <w:bottom w:val="single" w:sz="4" w:space="0" w:color="auto"/>
              <w:right w:val="nil"/>
            </w:tcBorders>
          </w:tcPr>
          <w:p w14:paraId="4C409440" w14:textId="0F41E424" w:rsidR="00D43E2C" w:rsidRDefault="00D43E2C" w:rsidP="00D43E2C">
            <w:pPr>
              <w:pStyle w:val="TableText"/>
              <w:rPr>
                <w:b/>
                <w:bCs/>
              </w:rPr>
            </w:pPr>
            <w:r>
              <w:rPr>
                <w:b/>
                <w:bCs/>
              </w:rPr>
              <w:t>9</w:t>
            </w:r>
          </w:p>
        </w:tc>
        <w:tc>
          <w:tcPr>
            <w:tcW w:w="1104" w:type="pct"/>
            <w:tcBorders>
              <w:top w:val="single" w:sz="4" w:space="0" w:color="auto"/>
              <w:left w:val="nil"/>
              <w:bottom w:val="single" w:sz="4" w:space="0" w:color="auto"/>
              <w:right w:val="nil"/>
            </w:tcBorders>
          </w:tcPr>
          <w:p w14:paraId="64844BCA" w14:textId="0BEA961E" w:rsidR="00D43E2C" w:rsidRPr="00F44A1F" w:rsidRDefault="00D43E2C" w:rsidP="00D43E2C">
            <w:pPr>
              <w:pStyle w:val="TableText"/>
            </w:pPr>
            <w:r w:rsidRPr="00F44A1F">
              <w:t>Confidential</w:t>
            </w:r>
          </w:p>
        </w:tc>
        <w:tc>
          <w:tcPr>
            <w:tcW w:w="3602" w:type="pct"/>
            <w:tcBorders>
              <w:top w:val="single" w:sz="4" w:space="0" w:color="auto"/>
              <w:left w:val="nil"/>
              <w:bottom w:val="single" w:sz="4" w:space="0" w:color="auto"/>
              <w:right w:val="nil"/>
            </w:tcBorders>
          </w:tcPr>
          <w:p w14:paraId="425C7DD7" w14:textId="11FDBA76" w:rsidR="00D43E2C" w:rsidRPr="00F44A1F" w:rsidRDefault="00D2636C" w:rsidP="00D43E2C">
            <w:pPr>
              <w:pStyle w:val="TableText"/>
            </w:pPr>
            <w:r w:rsidRPr="00F44A1F">
              <w:t>A confidential submission s</w:t>
            </w:r>
            <w:r w:rsidR="00D43E2C" w:rsidRPr="00F44A1F">
              <w:t>upportive of</w:t>
            </w:r>
            <w:r w:rsidR="0029504F">
              <w:t xml:space="preserve"> the</w:t>
            </w:r>
            <w:r w:rsidR="00D43E2C" w:rsidRPr="00F44A1F">
              <w:t xml:space="preserve"> proposal to </w:t>
            </w:r>
            <w:r w:rsidR="00F44A1F">
              <w:t>modify products and labels</w:t>
            </w:r>
            <w:r w:rsidR="007F1AC3">
              <w:t xml:space="preserve"> and</w:t>
            </w:r>
            <w:r w:rsidR="00F44A1F">
              <w:t xml:space="preserve"> providing information about the ability of industry to </w:t>
            </w:r>
            <w:r w:rsidR="00BB6D95">
              <w:t>segregate</w:t>
            </w:r>
            <w:r w:rsidR="00B65656">
              <w:t xml:space="preserve"> for different markets</w:t>
            </w:r>
            <w:r w:rsidR="007F1AC3">
              <w:t>. The submission also</w:t>
            </w:r>
            <w:r w:rsidR="00B65656">
              <w:t xml:space="preserve"> </w:t>
            </w:r>
            <w:r w:rsidR="007F1AC3">
              <w:t>noted</w:t>
            </w:r>
            <w:r w:rsidR="00F44A1F">
              <w:t xml:space="preserve"> the importance of therapeutic uses</w:t>
            </w:r>
            <w:r w:rsidR="007F1AC3">
              <w:t xml:space="preserve"> of antimicrobials</w:t>
            </w:r>
            <w:r w:rsidR="00F44A1F">
              <w:t xml:space="preserve"> for coccidiosis control.</w:t>
            </w:r>
          </w:p>
        </w:tc>
      </w:tr>
      <w:tr w:rsidR="0029504F" w:rsidRPr="006D32C6" w14:paraId="5EB0077C" w14:textId="77777777" w:rsidTr="0029504F">
        <w:trPr>
          <w:cantSplit/>
          <w:trHeight w:val="450"/>
        </w:trPr>
        <w:tc>
          <w:tcPr>
            <w:tcW w:w="294" w:type="pct"/>
            <w:tcBorders>
              <w:top w:val="single" w:sz="4" w:space="0" w:color="auto"/>
              <w:bottom w:val="single" w:sz="4" w:space="0" w:color="auto"/>
            </w:tcBorders>
          </w:tcPr>
          <w:p w14:paraId="7253EF9D" w14:textId="6793627B" w:rsidR="0029504F" w:rsidRDefault="0029504F" w:rsidP="0029504F">
            <w:pPr>
              <w:pStyle w:val="TableText"/>
              <w:rPr>
                <w:b/>
                <w:bCs/>
              </w:rPr>
            </w:pPr>
            <w:r>
              <w:rPr>
                <w:b/>
                <w:bCs/>
                <w:color w:val="1A1B1A"/>
                <w:szCs w:val="17"/>
              </w:rPr>
              <w:t>10</w:t>
            </w:r>
          </w:p>
        </w:tc>
        <w:tc>
          <w:tcPr>
            <w:tcW w:w="1104" w:type="pct"/>
            <w:tcBorders>
              <w:top w:val="single" w:sz="4" w:space="0" w:color="auto"/>
              <w:bottom w:val="single" w:sz="4" w:space="0" w:color="auto"/>
            </w:tcBorders>
          </w:tcPr>
          <w:p w14:paraId="191C5D16" w14:textId="1C35F6D5" w:rsidR="0029504F" w:rsidRPr="00F44A1F" w:rsidRDefault="0029504F" w:rsidP="0029504F">
            <w:pPr>
              <w:pStyle w:val="TableText"/>
            </w:pPr>
            <w:r>
              <w:rPr>
                <w:color w:val="1A1B1A"/>
                <w:szCs w:val="17"/>
              </w:rPr>
              <w:t>Confidential</w:t>
            </w:r>
          </w:p>
        </w:tc>
        <w:tc>
          <w:tcPr>
            <w:tcW w:w="3602" w:type="pct"/>
            <w:tcBorders>
              <w:top w:val="single" w:sz="4" w:space="0" w:color="auto"/>
              <w:bottom w:val="single" w:sz="4" w:space="0" w:color="auto"/>
            </w:tcBorders>
          </w:tcPr>
          <w:p w14:paraId="702BE2FD" w14:textId="08C7CB51" w:rsidR="0029504F" w:rsidRPr="00F44A1F" w:rsidRDefault="0029504F" w:rsidP="0029504F">
            <w:pPr>
              <w:pStyle w:val="TableText"/>
            </w:pPr>
            <w:r>
              <w:rPr>
                <w:color w:val="1A1B1A"/>
                <w:szCs w:val="17"/>
              </w:rPr>
              <w:t xml:space="preserve">A confidential submission providing information about the ability of industry to segregate for different </w:t>
            </w:r>
            <w:r w:rsidR="00410168">
              <w:rPr>
                <w:color w:val="1A1B1A"/>
                <w:szCs w:val="17"/>
              </w:rPr>
              <w:t xml:space="preserve">markets and </w:t>
            </w:r>
            <w:r>
              <w:rPr>
                <w:color w:val="1A1B1A"/>
                <w:szCs w:val="17"/>
              </w:rPr>
              <w:t>rais</w:t>
            </w:r>
            <w:r w:rsidR="007F1AC3">
              <w:rPr>
                <w:color w:val="1A1B1A"/>
                <w:szCs w:val="17"/>
              </w:rPr>
              <w:t>ing</w:t>
            </w:r>
            <w:r>
              <w:rPr>
                <w:color w:val="1A1B1A"/>
                <w:szCs w:val="17"/>
              </w:rPr>
              <w:t xml:space="preserve"> concerns about</w:t>
            </w:r>
            <w:r w:rsidR="007F1AC3">
              <w:rPr>
                <w:color w:val="1A1B1A"/>
                <w:szCs w:val="17"/>
              </w:rPr>
              <w:t xml:space="preserve"> the</w:t>
            </w:r>
            <w:r>
              <w:rPr>
                <w:color w:val="1A1B1A"/>
                <w:szCs w:val="17"/>
              </w:rPr>
              <w:t xml:space="preserve"> </w:t>
            </w:r>
            <w:r w:rsidR="007F1AC3">
              <w:rPr>
                <w:color w:val="1A1B1A"/>
                <w:szCs w:val="17"/>
              </w:rPr>
              <w:t>proposed restriction</w:t>
            </w:r>
            <w:r>
              <w:rPr>
                <w:color w:val="1A1B1A"/>
                <w:szCs w:val="17"/>
              </w:rPr>
              <w:t xml:space="preserve"> of feed efficiency/feed conversion uses.</w:t>
            </w:r>
          </w:p>
        </w:tc>
      </w:tr>
    </w:tbl>
    <w:p w14:paraId="7CF60135" w14:textId="77777777" w:rsidR="00F42797" w:rsidRDefault="00F42797">
      <w:pPr>
        <w:pStyle w:val="NormalText"/>
        <w:sectPr w:rsidR="00F42797" w:rsidSect="00F42797">
          <w:headerReference w:type="even" r:id="rId21"/>
          <w:headerReference w:type="default" r:id="rId22"/>
          <w:pgSz w:w="11906" w:h="16838" w:code="9"/>
          <w:pgMar w:top="2835" w:right="1134" w:bottom="1134" w:left="1134" w:header="1701" w:footer="680" w:gutter="0"/>
          <w:pgNumType w:start="1"/>
          <w:cols w:space="708"/>
          <w:docGrid w:linePitch="360"/>
        </w:sectPr>
      </w:pPr>
    </w:p>
    <w:p w14:paraId="473C4AF6" w14:textId="4473E2C7" w:rsidR="00020FFB" w:rsidRDefault="00020FFB" w:rsidP="00020FFB">
      <w:pPr>
        <w:pStyle w:val="Heading1"/>
      </w:pPr>
      <w:bookmarkStart w:id="5" w:name="_Ref218588407"/>
      <w:bookmarkStart w:id="6" w:name="_Toc219291647"/>
      <w:r>
        <w:lastRenderedPageBreak/>
        <w:t xml:space="preserve">APVMA’s </w:t>
      </w:r>
      <w:r w:rsidR="00F566F2">
        <w:t>c</w:t>
      </w:r>
      <w:r>
        <w:t xml:space="preserve">onsideration of </w:t>
      </w:r>
      <w:r w:rsidR="00F566F2">
        <w:t>s</w:t>
      </w:r>
      <w:r>
        <w:t>ubmissions</w:t>
      </w:r>
      <w:bookmarkEnd w:id="5"/>
      <w:bookmarkEnd w:id="6"/>
    </w:p>
    <w:p w14:paraId="6EFE1BB0" w14:textId="282C6240" w:rsidR="00A23710" w:rsidRDefault="00D14C71" w:rsidP="00A23710">
      <w:pPr>
        <w:pStyle w:val="Heading2"/>
      </w:pPr>
      <w:bookmarkStart w:id="7" w:name="_Toc219291648"/>
      <w:r>
        <w:t>Information regarding the ability of industry to establish a segregated system</w:t>
      </w:r>
      <w:bookmarkEnd w:id="7"/>
    </w:p>
    <w:p w14:paraId="4E3970ED" w14:textId="0FF7B597" w:rsidR="00FE6D5B" w:rsidRDefault="00D14C71" w:rsidP="00D14C71">
      <w:pPr>
        <w:pStyle w:val="NormalText"/>
      </w:pPr>
      <w:r>
        <w:t>Submissions</w:t>
      </w:r>
      <w:r w:rsidR="009B5C52">
        <w:t xml:space="preserve"> by Australian Meat Industry Council, Dairy Australia</w:t>
      </w:r>
      <w:r w:rsidR="00BB6D95">
        <w:t>,</w:t>
      </w:r>
      <w:r w:rsidR="009B5C52">
        <w:t xml:space="preserve"> and anonymous parties </w:t>
      </w:r>
      <w:r>
        <w:t xml:space="preserve">provided information on the ability of industries to segregate between the EU market and domestic and other international markets. </w:t>
      </w:r>
      <w:r w:rsidR="003F3B0B">
        <w:t>This information c</w:t>
      </w:r>
      <w:r>
        <w:t xml:space="preserve">onfirms that the beef cattle industry </w:t>
      </w:r>
      <w:r w:rsidR="003F3B0B">
        <w:t>would be</w:t>
      </w:r>
      <w:r>
        <w:t xml:space="preserve"> able to </w:t>
      </w:r>
      <w:r w:rsidR="006676EB">
        <w:t xml:space="preserve">use </w:t>
      </w:r>
      <w:r>
        <w:t xml:space="preserve">the existing </w:t>
      </w:r>
      <w:r w:rsidRPr="00D14C71">
        <w:t xml:space="preserve">European Union Cattle Accreditation Scheme </w:t>
      </w:r>
      <w:r>
        <w:t xml:space="preserve">(EUCAS) to ensure that beef supplied to the EU </w:t>
      </w:r>
      <w:r w:rsidR="006676EB">
        <w:t xml:space="preserve">is </w:t>
      </w:r>
      <w:r w:rsidR="003F3B0B">
        <w:t xml:space="preserve">compliant with </w:t>
      </w:r>
      <w:r w:rsidR="003F3B0B" w:rsidRPr="003F3B0B">
        <w:t>Regulation (EU) 2019/6</w:t>
      </w:r>
      <w:r w:rsidR="003F3B0B">
        <w:t>.</w:t>
      </w:r>
      <w:r w:rsidR="00FF07C1">
        <w:t xml:space="preserve"> The dairy industry initially requested a pause to consider whether a segregated system would be possible for their industry but later confirmed that a segregated system would not be possible. Information received indicated that a segregated system would not be feasible for the sheep industry.</w:t>
      </w:r>
      <w:r w:rsidR="00DE377A">
        <w:t xml:space="preserve"> </w:t>
      </w:r>
      <w:r>
        <w:t xml:space="preserve">Several submissions </w:t>
      </w:r>
      <w:r w:rsidR="00DE377A">
        <w:t xml:space="preserve">also </w:t>
      </w:r>
      <w:r>
        <w:t>provided information on</w:t>
      </w:r>
      <w:r w:rsidR="00DE377A">
        <w:t xml:space="preserve"> the</w:t>
      </w:r>
      <w:r>
        <w:t xml:space="preserve"> importance of the EU market for export of Australian beef, dairy</w:t>
      </w:r>
      <w:r w:rsidR="00BB6D95">
        <w:t>,</w:t>
      </w:r>
      <w:r>
        <w:t xml:space="preserve"> and sheep meat products.</w:t>
      </w:r>
    </w:p>
    <w:p w14:paraId="768C9CA5" w14:textId="051F4FAD" w:rsidR="00A23710" w:rsidRPr="00A23710" w:rsidRDefault="007F1AC3" w:rsidP="00A23710">
      <w:pPr>
        <w:pStyle w:val="NormalText"/>
      </w:pPr>
      <w:r w:rsidRPr="007F1AC3">
        <w:rPr>
          <w:b/>
          <w:bCs/>
        </w:rPr>
        <w:t xml:space="preserve">APVMA </w:t>
      </w:r>
      <w:r w:rsidR="00F42797">
        <w:rPr>
          <w:b/>
          <w:bCs/>
        </w:rPr>
        <w:t>r</w:t>
      </w:r>
      <w:r w:rsidRPr="007F1AC3">
        <w:rPr>
          <w:b/>
          <w:bCs/>
        </w:rPr>
        <w:t>esponse:</w:t>
      </w:r>
      <w:r>
        <w:t xml:space="preserve"> </w:t>
      </w:r>
      <w:r w:rsidR="00D14C71">
        <w:t xml:space="preserve">The APVMA sought </w:t>
      </w:r>
      <w:r w:rsidR="00077EB8">
        <w:t xml:space="preserve">and received </w:t>
      </w:r>
      <w:r w:rsidR="00D14C71">
        <w:t>confirmation</w:t>
      </w:r>
      <w:r w:rsidR="00FF07C1">
        <w:t xml:space="preserve"> that </w:t>
      </w:r>
      <w:r w:rsidR="00077EB8">
        <w:t xml:space="preserve">a segregated system would be feasible for beef cattle, but not for dairy cattle or sheep. The label variations </w:t>
      </w:r>
      <w:r w:rsidR="002178C3">
        <w:t>proposed</w:t>
      </w:r>
      <w:r w:rsidR="00077EB8">
        <w:t xml:space="preserve"> in the TAN</w:t>
      </w:r>
      <w:r w:rsidR="00BB6D95">
        <w:t xml:space="preserve"> —</w:t>
      </w:r>
      <w:r w:rsidR="00077EB8">
        <w:t xml:space="preserve"> where </w:t>
      </w:r>
      <w:r w:rsidR="00385384">
        <w:t xml:space="preserve">growth promotion </w:t>
      </w:r>
      <w:r w:rsidR="00077EB8">
        <w:t xml:space="preserve">use patterns </w:t>
      </w:r>
      <w:r w:rsidR="002178C3">
        <w:t>for sheep and dairy cattle are removed and growth promotion use patterns for beef cattle are retained with restraints and trade advice statements</w:t>
      </w:r>
      <w:r w:rsidR="00BB6D95">
        <w:t xml:space="preserve"> —</w:t>
      </w:r>
      <w:r w:rsidR="002178C3">
        <w:t xml:space="preserve"> </w:t>
      </w:r>
      <w:r w:rsidR="007D5FC8">
        <w:t xml:space="preserve">were based on initial information provided by DAFF and have now been confirmed by the APVMA’s consultation on the TAN. The APVMA notes </w:t>
      </w:r>
      <w:r w:rsidR="00DE377A">
        <w:t xml:space="preserve">submissions </w:t>
      </w:r>
      <w:r w:rsidR="00BB6D95">
        <w:t xml:space="preserve">indicated </w:t>
      </w:r>
      <w:r w:rsidR="00DE377A">
        <w:t xml:space="preserve">that the EU </w:t>
      </w:r>
      <w:r w:rsidR="00722204">
        <w:t>i</w:t>
      </w:r>
      <w:r w:rsidR="00DE377A">
        <w:t>s an important market for beef, dairy</w:t>
      </w:r>
      <w:r w:rsidR="00BB6D95">
        <w:t>,</w:t>
      </w:r>
      <w:r w:rsidR="00DE377A">
        <w:t xml:space="preserve"> and sheep producers.</w:t>
      </w:r>
    </w:p>
    <w:p w14:paraId="085CF668" w14:textId="13BD85C3" w:rsidR="00A23710" w:rsidRDefault="00A23710" w:rsidP="00F566F2">
      <w:pPr>
        <w:pStyle w:val="Heading2"/>
      </w:pPr>
      <w:bookmarkStart w:id="8" w:name="_Toc219291649"/>
      <w:r w:rsidRPr="00F566F2">
        <w:t>Sub</w:t>
      </w:r>
      <w:r w:rsidR="007D5FC8">
        <w:t xml:space="preserve">missions advocating phase out of </w:t>
      </w:r>
      <w:r w:rsidR="00871797">
        <w:t xml:space="preserve">antimicrobials for </w:t>
      </w:r>
      <w:r w:rsidR="007D5FC8">
        <w:t>prophylactic and growth</w:t>
      </w:r>
      <w:r w:rsidR="00871797">
        <w:t xml:space="preserve"> promotion uses</w:t>
      </w:r>
      <w:bookmarkEnd w:id="8"/>
    </w:p>
    <w:p w14:paraId="33560358" w14:textId="04994758" w:rsidR="00F44A1F" w:rsidRDefault="00F44A1F" w:rsidP="004B452B">
      <w:pPr>
        <w:pStyle w:val="NormalText"/>
      </w:pPr>
      <w:r>
        <w:t xml:space="preserve">Submissions received from the </w:t>
      </w:r>
      <w:r w:rsidR="004B452B">
        <w:t xml:space="preserve">RSPCA </w:t>
      </w:r>
      <w:r>
        <w:t xml:space="preserve">and </w:t>
      </w:r>
      <w:r w:rsidRPr="00F44A1F">
        <w:t>Eurogroup for Animals</w:t>
      </w:r>
      <w:r w:rsidR="008C75EF">
        <w:t xml:space="preserve"> did not support the approach outlined in the TAN and instead proposed that Australian animal production sectors should phase out the use of antimicrobials for growth promotion and for prophylactic use.</w:t>
      </w:r>
    </w:p>
    <w:p w14:paraId="3AA02B41" w14:textId="4708D17D" w:rsidR="0044792E" w:rsidRDefault="007F1AC3" w:rsidP="00A23710">
      <w:pPr>
        <w:pStyle w:val="NormalText"/>
      </w:pPr>
      <w:r w:rsidRPr="007F1AC3">
        <w:rPr>
          <w:b/>
          <w:bCs/>
        </w:rPr>
        <w:t xml:space="preserve">APVMA </w:t>
      </w:r>
      <w:r w:rsidR="00F42797">
        <w:rPr>
          <w:b/>
          <w:bCs/>
        </w:rPr>
        <w:t>r</w:t>
      </w:r>
      <w:r w:rsidRPr="007F1AC3">
        <w:rPr>
          <w:b/>
          <w:bCs/>
        </w:rPr>
        <w:t>esponse:</w:t>
      </w:r>
      <w:r>
        <w:t xml:space="preserve"> </w:t>
      </w:r>
      <w:r w:rsidR="0044792E">
        <w:t xml:space="preserve">The APVMA </w:t>
      </w:r>
      <w:r w:rsidR="005859C5">
        <w:t xml:space="preserve">has </w:t>
      </w:r>
      <w:r w:rsidR="008C75EF">
        <w:t>reviewed</w:t>
      </w:r>
      <w:r w:rsidR="005859C5">
        <w:t xml:space="preserve"> the submission received from RSPCA and Eurogroup</w:t>
      </w:r>
      <w:r w:rsidR="008C75EF">
        <w:t xml:space="preserve"> for Animals and considers that it</w:t>
      </w:r>
      <w:r w:rsidR="002335CF">
        <w:t xml:space="preserve"> does not include information relevant to consideration of the trade risk with the EU.</w:t>
      </w:r>
    </w:p>
    <w:p w14:paraId="7D234B47" w14:textId="71084A79" w:rsidR="00D46DBB" w:rsidRDefault="00871797" w:rsidP="00D46DBB">
      <w:pPr>
        <w:pStyle w:val="Heading2"/>
      </w:pPr>
      <w:bookmarkStart w:id="9" w:name="_Toc219291650"/>
      <w:r w:rsidRPr="00871797">
        <w:t>Concerns about making changes to Australian veterinary product labels to satisfy the EU market</w:t>
      </w:r>
      <w:bookmarkEnd w:id="9"/>
    </w:p>
    <w:p w14:paraId="75DE9698" w14:textId="1D8FBB91" w:rsidR="00871797" w:rsidRDefault="00871797" w:rsidP="00BB0CC1">
      <w:pPr>
        <w:pStyle w:val="NormalText"/>
      </w:pPr>
      <w:r>
        <w:t>Several submissions</w:t>
      </w:r>
      <w:r w:rsidR="007B2075">
        <w:t xml:space="preserve"> (Animal </w:t>
      </w:r>
      <w:r w:rsidR="009B5C52">
        <w:t>Medicines Australia</w:t>
      </w:r>
      <w:r w:rsidR="007B2075">
        <w:t>, Phibro Animal Health, Nutriment</w:t>
      </w:r>
      <w:r w:rsidR="002D0B93">
        <w:t xml:space="preserve"> Health</w:t>
      </w:r>
      <w:r w:rsidR="007B2075">
        <w:t>)</w:t>
      </w:r>
      <w:r>
        <w:t xml:space="preserve"> raised concerns about making changes to Australian veterinary product labels </w:t>
      </w:r>
      <w:r w:rsidR="00722204">
        <w:t>to</w:t>
      </w:r>
      <w:r>
        <w:t xml:space="preserve"> satisfy the requirements of the EU market</w:t>
      </w:r>
      <w:r w:rsidR="007B2075">
        <w:t>. Some submissions proposed a segregated system via the National Vendor Declaration Scheme and the addition of trade advice statement</w:t>
      </w:r>
      <w:r w:rsidR="00410168">
        <w:t>s</w:t>
      </w:r>
      <w:r w:rsidR="007B2075">
        <w:t xml:space="preserve"> to labels.</w:t>
      </w:r>
      <w:r w:rsidR="009B5C52">
        <w:t xml:space="preserve"> Several submissions noted that flavophospholipol and the ionophores were not </w:t>
      </w:r>
      <w:r w:rsidR="003E03EE">
        <w:t>medically important for humans and argued that they would not contribute to antibiotic resistance.</w:t>
      </w:r>
    </w:p>
    <w:p w14:paraId="774445F1" w14:textId="5DF7B6A2" w:rsidR="00871797" w:rsidRDefault="007F1AC3" w:rsidP="00BB0CC1">
      <w:pPr>
        <w:pStyle w:val="NormalText"/>
      </w:pPr>
      <w:r w:rsidRPr="007F1AC3">
        <w:rPr>
          <w:b/>
          <w:bCs/>
        </w:rPr>
        <w:t xml:space="preserve">APVMA </w:t>
      </w:r>
      <w:r w:rsidR="00F42797">
        <w:rPr>
          <w:b/>
          <w:bCs/>
        </w:rPr>
        <w:t>r</w:t>
      </w:r>
      <w:r w:rsidRPr="007F1AC3">
        <w:rPr>
          <w:b/>
          <w:bCs/>
        </w:rPr>
        <w:t>esponse:</w:t>
      </w:r>
      <w:r>
        <w:t xml:space="preserve"> </w:t>
      </w:r>
      <w:r w:rsidR="00871797">
        <w:t xml:space="preserve">Under the </w:t>
      </w:r>
      <w:r w:rsidR="008F6E07" w:rsidRPr="008F6E07">
        <w:t>Agricultural and Veterinary Chemicals Code Act 1994</w:t>
      </w:r>
      <w:r w:rsidR="00871797">
        <w:t xml:space="preserve">, a product meets the trade criteria if </w:t>
      </w:r>
      <w:r w:rsidR="00871797" w:rsidRPr="004F1109">
        <w:t>use of the product, in accordance with instructions approved, or to be approved, by the APVMA or contained in an established standard, does not, or would not, unduly prejudice trade or commerce between Australia and places outside Australia.</w:t>
      </w:r>
    </w:p>
    <w:p w14:paraId="113C3127" w14:textId="732DBFE6" w:rsidR="00871797" w:rsidRDefault="00871797" w:rsidP="00BB0CC1">
      <w:pPr>
        <w:pStyle w:val="NormalText"/>
      </w:pPr>
      <w:r>
        <w:lastRenderedPageBreak/>
        <w:t>Cattle, cattle dairy products</w:t>
      </w:r>
      <w:r w:rsidR="00BB6D95">
        <w:t>,</w:t>
      </w:r>
      <w:r>
        <w:t xml:space="preserve"> and sheep are considered major export food commodity groups by the </w:t>
      </w:r>
      <w:r w:rsidR="00DE377A">
        <w:t>APVMA,</w:t>
      </w:r>
      <w:r>
        <w:t xml:space="preserve"> and the EU is a significant market for export of these commodities.</w:t>
      </w:r>
      <w:r w:rsidR="00DE377A">
        <w:t xml:space="preserve"> Submissions discussed in this document (Section 2.1) reiterate the importance of the EU market to producers.</w:t>
      </w:r>
      <w:r>
        <w:t xml:space="preserve"> DAFF has indicated that to maintain EU market access Australia must either:</w:t>
      </w:r>
    </w:p>
    <w:p w14:paraId="4D366FB9" w14:textId="07493C21" w:rsidR="00871797" w:rsidRDefault="00871797" w:rsidP="00BB0CC1">
      <w:pPr>
        <w:pStyle w:val="NormalText"/>
        <w:numPr>
          <w:ilvl w:val="0"/>
          <w:numId w:val="46"/>
        </w:numPr>
      </w:pPr>
      <w:r>
        <w:t>confirm that antimicrobial veterinary products are not authorised to promote growth or increase yield in specific food</w:t>
      </w:r>
      <w:r w:rsidR="00722204">
        <w:t>-</w:t>
      </w:r>
      <w:r>
        <w:t xml:space="preserve">producing </w:t>
      </w:r>
      <w:proofErr w:type="gramStart"/>
      <w:r>
        <w:t>animals;</w:t>
      </w:r>
      <w:proofErr w:type="gramEnd"/>
      <w:r>
        <w:t xml:space="preserve"> OR</w:t>
      </w:r>
    </w:p>
    <w:p w14:paraId="3C68DBC8" w14:textId="77777777" w:rsidR="00871797" w:rsidRDefault="00871797" w:rsidP="00BB0CC1">
      <w:pPr>
        <w:pStyle w:val="NormalText"/>
        <w:numPr>
          <w:ilvl w:val="0"/>
          <w:numId w:val="46"/>
        </w:numPr>
      </w:pPr>
      <w:r>
        <w:t>demonstrate that a system can be set up to segregate food producing animals destined for the EU from those destined for other markets (including domestic).</w:t>
      </w:r>
    </w:p>
    <w:p w14:paraId="6BBF7F25" w14:textId="0AF3C8B9" w:rsidR="009B5C52" w:rsidRDefault="00871797" w:rsidP="00BB0CC1">
      <w:pPr>
        <w:pStyle w:val="NormalText"/>
      </w:pPr>
      <w:r>
        <w:t>Consultation with industry peak bodies has indicated that it is possible to segregate beef cattle destined for the EU using the current EUCAS system, but that it is not possible to segregate dairy cattle or sheep</w:t>
      </w:r>
      <w:r w:rsidR="00DE377A">
        <w:t xml:space="preserve"> (section 2.1)</w:t>
      </w:r>
      <w:r>
        <w:t xml:space="preserve">. As a result, the APVMA is proposing to retain use patterns relating to growth promotion in beef cattle </w:t>
      </w:r>
      <w:r w:rsidR="002C756B">
        <w:t>with the inclusion of</w:t>
      </w:r>
      <w:r>
        <w:t xml:space="preserve"> additional trade advice statements advising users of the EU trade risks. As dairy cattle and sheep cannot </w:t>
      </w:r>
      <w:r w:rsidR="009E6D2D">
        <w:t xml:space="preserve">feasibly </w:t>
      </w:r>
      <w:r>
        <w:t>be segregated</w:t>
      </w:r>
      <w:r w:rsidR="009E6D2D">
        <w:t xml:space="preserve"> at this time</w:t>
      </w:r>
      <w:r>
        <w:t>, the APVMA propose</w:t>
      </w:r>
      <w:r w:rsidR="00C7281E">
        <w:t>s</w:t>
      </w:r>
      <w:r>
        <w:t xml:space="preserve"> to remove use patterns relating to growth promotion f</w:t>
      </w:r>
      <w:r w:rsidR="00C7281E">
        <w:t>or</w:t>
      </w:r>
      <w:r>
        <w:t xml:space="preserve"> these animals </w:t>
      </w:r>
      <w:r w:rsidR="002C756B">
        <w:t>to</w:t>
      </w:r>
      <w:r>
        <w:t xml:space="preserve"> protect trade with the EU. </w:t>
      </w:r>
      <w:r w:rsidR="002C756B">
        <w:t>No changes to t</w:t>
      </w:r>
      <w:r>
        <w:t>herapeutic use patterns</w:t>
      </w:r>
      <w:r w:rsidR="002C756B">
        <w:t xml:space="preserve"> are proposed</w:t>
      </w:r>
      <w:r>
        <w:t xml:space="preserve"> as </w:t>
      </w:r>
      <w:r w:rsidR="00722204">
        <w:t xml:space="preserve">these </w:t>
      </w:r>
      <w:r>
        <w:t>will not impact EU market access.</w:t>
      </w:r>
    </w:p>
    <w:p w14:paraId="447495D2" w14:textId="1F9468A0" w:rsidR="009B5C52" w:rsidRPr="00871797" w:rsidRDefault="009B5C52" w:rsidP="00BB0CC1">
      <w:pPr>
        <w:pStyle w:val="NormalText"/>
      </w:pPr>
      <w:r>
        <w:t>The APVMA notes that the antimicrobial compounds included in the TAN are not medically important for humans</w:t>
      </w:r>
      <w:r w:rsidR="00722204">
        <w:t>;</w:t>
      </w:r>
      <w:r>
        <w:t xml:space="preserve"> </w:t>
      </w:r>
      <w:proofErr w:type="gramStart"/>
      <w:r>
        <w:t>however</w:t>
      </w:r>
      <w:proofErr w:type="gramEnd"/>
      <w:r>
        <w:t xml:space="preserve"> </w:t>
      </w:r>
      <w:r w:rsidR="00722204">
        <w:t xml:space="preserve">this consideration is not relevant to </w:t>
      </w:r>
      <w:r>
        <w:t>the potential trade risk posed by the EU decision</w:t>
      </w:r>
      <w:r w:rsidR="00C7281E">
        <w:t>.</w:t>
      </w:r>
    </w:p>
    <w:p w14:paraId="010DD8F8" w14:textId="462FECA9" w:rsidR="00871797" w:rsidRDefault="00871797" w:rsidP="00871797">
      <w:pPr>
        <w:pStyle w:val="Heading2"/>
      </w:pPr>
      <w:bookmarkStart w:id="10" w:name="_Hlk215153115"/>
      <w:bookmarkStart w:id="11" w:name="_Toc219291651"/>
      <w:r w:rsidRPr="009C40D3">
        <w:t xml:space="preserve">Argument </w:t>
      </w:r>
      <w:r>
        <w:t>concerning</w:t>
      </w:r>
      <w:r w:rsidRPr="009C40D3">
        <w:t xml:space="preserve"> the inclusion of ionophores in the response to the EU decision</w:t>
      </w:r>
      <w:bookmarkEnd w:id="11"/>
    </w:p>
    <w:bookmarkEnd w:id="10"/>
    <w:p w14:paraId="0B494431" w14:textId="0557656D" w:rsidR="00871797" w:rsidRDefault="009B5C52" w:rsidP="00BB0CC1">
      <w:pPr>
        <w:pStyle w:val="NormalText"/>
      </w:pPr>
      <w:r>
        <w:t>Animal Medicines Australia</w:t>
      </w:r>
      <w:r w:rsidR="00667EA9">
        <w:t>,</w:t>
      </w:r>
      <w:r w:rsidR="00871797">
        <w:t xml:space="preserve"> provided an extensive submission (endorsed by Phibro Animal Health</w:t>
      </w:r>
      <w:r>
        <w:t xml:space="preserve"> and supported by Nutriment Health</w:t>
      </w:r>
      <w:r w:rsidR="00871797">
        <w:t xml:space="preserve">), arguing that ionophores are excluded from </w:t>
      </w:r>
      <w:r w:rsidR="00871797" w:rsidRPr="009C40D3">
        <w:t>EU Regulation 2019/6</w:t>
      </w:r>
      <w:r w:rsidR="00871797">
        <w:t>, which states that ‘</w:t>
      </w:r>
      <w:r w:rsidR="00871797" w:rsidRPr="008F23CA">
        <w:rPr>
          <w:i/>
          <w:iCs/>
        </w:rPr>
        <w:t xml:space="preserve">Antimicrobial medicinal products shall not be used in animals for the purpose of promoting growth nor to increase </w:t>
      </w:r>
      <w:r w:rsidR="00F42797" w:rsidRPr="008F23CA">
        <w:rPr>
          <w:i/>
          <w:iCs/>
        </w:rPr>
        <w:t>yield</w:t>
      </w:r>
      <w:r w:rsidR="00871797">
        <w:t xml:space="preserve">’ as they are considered feed additives rather than veterinary medicinal products. The APVMA </w:t>
      </w:r>
      <w:r w:rsidR="00DE377A">
        <w:t xml:space="preserve">requested information from DAFF on this matter. </w:t>
      </w:r>
      <w:r w:rsidR="00871797">
        <w:t xml:space="preserve">DAFF confirmed with the EU that the requirements of EU 2019/6 apply to ionophores, with the EU stating </w:t>
      </w:r>
      <w:r w:rsidR="00DE377A">
        <w:t>in</w:t>
      </w:r>
      <w:r w:rsidR="00871797">
        <w:t xml:space="preserve"> correspondence to DAFF </w:t>
      </w:r>
      <w:r w:rsidR="00871797" w:rsidRPr="004F1109">
        <w:t>that</w:t>
      </w:r>
      <w:r w:rsidR="00871797" w:rsidRPr="004F1109">
        <w:rPr>
          <w:i/>
          <w:iCs/>
        </w:rPr>
        <w:t xml:space="preserve"> </w:t>
      </w:r>
      <w:r w:rsidR="00F42797">
        <w:rPr>
          <w:i/>
          <w:iCs/>
        </w:rPr>
        <w:t>‘</w:t>
      </w:r>
      <w:r w:rsidR="00871797" w:rsidRPr="004F1109">
        <w:rPr>
          <w:i/>
          <w:iCs/>
        </w:rPr>
        <w:t xml:space="preserve">an animal treated </w:t>
      </w:r>
      <w:r w:rsidR="00F566E5">
        <w:rPr>
          <w:i/>
          <w:iCs/>
        </w:rPr>
        <w:t>by</w:t>
      </w:r>
      <w:r w:rsidR="00871797" w:rsidRPr="004F1109">
        <w:rPr>
          <w:i/>
          <w:iCs/>
        </w:rPr>
        <w:t xml:space="preserve"> ionophores for therapeutic reasons is eligible for export to the Union. However, if this ionophore is used for growth promoting purposes, it renders the treated animal ineligible for export to the Union.</w:t>
      </w:r>
      <w:r w:rsidR="00F42797">
        <w:rPr>
          <w:i/>
          <w:iCs/>
        </w:rPr>
        <w:t>’</w:t>
      </w:r>
    </w:p>
    <w:p w14:paraId="1316B476" w14:textId="71C08A1C" w:rsidR="00DE377A" w:rsidRDefault="007F1AC3" w:rsidP="00BB0CC1">
      <w:pPr>
        <w:pStyle w:val="NormalText"/>
      </w:pPr>
      <w:r w:rsidRPr="007F1AC3">
        <w:rPr>
          <w:b/>
          <w:bCs/>
        </w:rPr>
        <w:t xml:space="preserve">APVMA </w:t>
      </w:r>
      <w:r w:rsidR="00F42797">
        <w:rPr>
          <w:b/>
          <w:bCs/>
        </w:rPr>
        <w:t>r</w:t>
      </w:r>
      <w:r w:rsidRPr="007F1AC3">
        <w:rPr>
          <w:b/>
          <w:bCs/>
        </w:rPr>
        <w:t>esponse:</w:t>
      </w:r>
      <w:r>
        <w:t xml:space="preserve"> </w:t>
      </w:r>
      <w:r w:rsidR="00DE377A">
        <w:t xml:space="preserve">The APVMA seeks to address the risk to trade </w:t>
      </w:r>
      <w:bookmarkStart w:id="12" w:name="_Hlk215231075"/>
      <w:r w:rsidR="00DE377A">
        <w:t xml:space="preserve">posed </w:t>
      </w:r>
      <w:proofErr w:type="gramStart"/>
      <w:r w:rsidR="00DE377A">
        <w:t>by the use of</w:t>
      </w:r>
      <w:proofErr w:type="gramEnd"/>
      <w:r w:rsidR="00DE377A">
        <w:t xml:space="preserve"> products containing antimicrobial compounds (including ionophores)</w:t>
      </w:r>
      <w:r w:rsidR="00A93D94">
        <w:t>, for growth promotion</w:t>
      </w:r>
      <w:r w:rsidR="00491B2E">
        <w:t xml:space="preserve"> </w:t>
      </w:r>
      <w:r w:rsidR="00491B2E" w:rsidRPr="007F1AC3">
        <w:t>in animals</w:t>
      </w:r>
      <w:r w:rsidR="00491B2E">
        <w:t xml:space="preserve"> and resultant animal products</w:t>
      </w:r>
      <w:r w:rsidR="00491B2E" w:rsidRPr="007F1AC3">
        <w:t xml:space="preserve"> </w:t>
      </w:r>
      <w:r w:rsidR="00A93D94">
        <w:t>that may be exported to the EU.</w:t>
      </w:r>
      <w:r w:rsidR="0064712B">
        <w:t xml:space="preserve"> </w:t>
      </w:r>
      <w:bookmarkEnd w:id="12"/>
      <w:r w:rsidR="0064712B">
        <w:t>DAFF has advised that the EU has taken the position that ionophores are captured by EU</w:t>
      </w:r>
      <w:r w:rsidR="0064712B" w:rsidRPr="0064712B">
        <w:t xml:space="preserve"> Regulation 2019/6</w:t>
      </w:r>
      <w:r w:rsidR="0064712B">
        <w:t xml:space="preserve">. As a result, to address the risk to trade, the APVMA is considering ionophores </w:t>
      </w:r>
      <w:r w:rsidR="008719CC">
        <w:t>to be</w:t>
      </w:r>
      <w:r w:rsidR="0064712B">
        <w:t xml:space="preserve"> </w:t>
      </w:r>
      <w:r w:rsidR="008719CC">
        <w:t>antimicrobial medicinal products that require amendment.</w:t>
      </w:r>
    </w:p>
    <w:p w14:paraId="14C9B1B8" w14:textId="64E4B833" w:rsidR="00871797" w:rsidRPr="0086589C" w:rsidRDefault="00871797" w:rsidP="008719CC">
      <w:pPr>
        <w:pStyle w:val="Heading2"/>
      </w:pPr>
      <w:bookmarkStart w:id="13" w:name="_Hlk215216449"/>
      <w:bookmarkStart w:id="14" w:name="_Toc219291652"/>
      <w:r w:rsidRPr="0086589C">
        <w:t xml:space="preserve">Argument about the </w:t>
      </w:r>
      <w:r w:rsidR="008719CC">
        <w:t xml:space="preserve">inclusion of ‘feed efficiency’ in </w:t>
      </w:r>
      <w:r w:rsidRPr="0086589C">
        <w:t>the EU definition of growth promotion or yield increase</w:t>
      </w:r>
      <w:bookmarkEnd w:id="14"/>
      <w:r w:rsidRPr="0086589C">
        <w:t xml:space="preserve"> </w:t>
      </w:r>
    </w:p>
    <w:bookmarkEnd w:id="13"/>
    <w:p w14:paraId="18B39B61" w14:textId="2E2E4AEE" w:rsidR="00871797" w:rsidRPr="00FB437C" w:rsidRDefault="00667EA9" w:rsidP="00BB0CC1">
      <w:pPr>
        <w:pStyle w:val="NormalText"/>
        <w:rPr>
          <w:highlight w:val="yellow"/>
        </w:rPr>
      </w:pPr>
      <w:r>
        <w:t>Submissions by Animal Medicines Australia, Australian Dairy Farmers</w:t>
      </w:r>
      <w:r w:rsidR="00E02283">
        <w:t>,</w:t>
      </w:r>
      <w:r>
        <w:t xml:space="preserve"> and anonymous submitters </w:t>
      </w:r>
      <w:r w:rsidR="00871797" w:rsidRPr="007F1AC3">
        <w:t>highlighted the importance of feed efficiency/improved feed conversion</w:t>
      </w:r>
      <w:r w:rsidR="008719CC" w:rsidRPr="007F1AC3">
        <w:t xml:space="preserve"> and related uses of antimicrobials in animal production in </w:t>
      </w:r>
      <w:r w:rsidR="008719CC" w:rsidRPr="007F1AC3">
        <w:lastRenderedPageBreak/>
        <w:t xml:space="preserve">Australia and questioned whether they should be included in the EU definition of growth promotion and yield increase. </w:t>
      </w:r>
      <w:r w:rsidR="008C1075" w:rsidRPr="007F1AC3">
        <w:t>Submissions also argued that these uses should be retained as they support sustainable meat production and reduced methane emissions.</w:t>
      </w:r>
    </w:p>
    <w:p w14:paraId="26A78EF4" w14:textId="69537571" w:rsidR="00F566E5" w:rsidRDefault="007F1AC3" w:rsidP="00BB0CC1">
      <w:pPr>
        <w:pStyle w:val="NormalText"/>
      </w:pPr>
      <w:r w:rsidRPr="007F1AC3">
        <w:rPr>
          <w:b/>
          <w:bCs/>
        </w:rPr>
        <w:t xml:space="preserve">APVMA </w:t>
      </w:r>
      <w:r w:rsidR="00F42797">
        <w:rPr>
          <w:b/>
          <w:bCs/>
        </w:rPr>
        <w:t>r</w:t>
      </w:r>
      <w:r w:rsidRPr="007F1AC3">
        <w:rPr>
          <w:b/>
          <w:bCs/>
        </w:rPr>
        <w:t>esponse:</w:t>
      </w:r>
      <w:r>
        <w:t xml:space="preserve"> </w:t>
      </w:r>
      <w:r w:rsidR="008C1075" w:rsidRPr="007F1AC3">
        <w:t xml:space="preserve">The APVMA </w:t>
      </w:r>
      <w:r w:rsidR="00963BE6" w:rsidRPr="007F1AC3">
        <w:t>is considering the</w:t>
      </w:r>
      <w:r>
        <w:t xml:space="preserve"> potential</w:t>
      </w:r>
      <w:r w:rsidR="00963BE6" w:rsidRPr="007F1AC3">
        <w:t xml:space="preserve"> trade risk posed by use of antimicrobials for growth promotion </w:t>
      </w:r>
      <w:bookmarkStart w:id="15" w:name="_Hlk216190592"/>
      <w:r w:rsidR="00FB437C" w:rsidRPr="007F1AC3">
        <w:t>in animals</w:t>
      </w:r>
      <w:r w:rsidR="00C7281E">
        <w:t xml:space="preserve"> </w:t>
      </w:r>
      <w:r w:rsidR="00181064">
        <w:t xml:space="preserve">and resultant </w:t>
      </w:r>
      <w:r w:rsidR="00C7281E">
        <w:t>animal products</w:t>
      </w:r>
      <w:r w:rsidR="00FB437C" w:rsidRPr="007F1AC3">
        <w:t xml:space="preserve"> </w:t>
      </w:r>
      <w:bookmarkEnd w:id="15"/>
      <w:r w:rsidR="00FB437C" w:rsidRPr="007F1AC3">
        <w:t>that may be exported to the EU.</w:t>
      </w:r>
      <w:r>
        <w:t xml:space="preserve"> To this end, the APVMA requested information from DAFF on this matter.</w:t>
      </w:r>
    </w:p>
    <w:p w14:paraId="2C863903" w14:textId="7D5C7D40" w:rsidR="00F566E5" w:rsidRDefault="007F1AC3" w:rsidP="00BB0CC1">
      <w:pPr>
        <w:pStyle w:val="NormalText"/>
      </w:pPr>
      <w:r>
        <w:t>DAFF advised that the EU</w:t>
      </w:r>
      <w:r w:rsidR="00DC5174">
        <w:t xml:space="preserve"> </w:t>
      </w:r>
      <w:r w:rsidR="00DC182B">
        <w:t>clarified th</w:t>
      </w:r>
      <w:r w:rsidR="00D56126">
        <w:t xml:space="preserve">e status of feed efficiency with regards to </w:t>
      </w:r>
      <w:r w:rsidR="00D56126" w:rsidRPr="009C40D3">
        <w:t>EU Regulation 2019/6</w:t>
      </w:r>
      <w:r w:rsidR="00D56126">
        <w:t xml:space="preserve"> </w:t>
      </w:r>
      <w:r w:rsidR="00DC182B">
        <w:t>as follows;</w:t>
      </w:r>
      <w:r w:rsidR="00F566E5">
        <w:t xml:space="preserve"> </w:t>
      </w:r>
      <w:r w:rsidR="00F566E5" w:rsidRPr="00F264B9">
        <w:rPr>
          <w:i/>
          <w:iCs/>
        </w:rPr>
        <w:t xml:space="preserve">“While the concept of the </w:t>
      </w:r>
      <w:r w:rsidR="00BD698E">
        <w:rPr>
          <w:i/>
          <w:iCs/>
        </w:rPr>
        <w:t>‘</w:t>
      </w:r>
      <w:r w:rsidR="00F566E5" w:rsidRPr="00F264B9">
        <w:rPr>
          <w:i/>
          <w:iCs/>
        </w:rPr>
        <w:t>use of antimicrobials to reduce feed wastage</w:t>
      </w:r>
      <w:r w:rsidR="00BD698E">
        <w:rPr>
          <w:i/>
          <w:iCs/>
        </w:rPr>
        <w:t>’</w:t>
      </w:r>
      <w:r w:rsidR="00F566E5" w:rsidRPr="00F264B9">
        <w:rPr>
          <w:i/>
          <w:iCs/>
        </w:rPr>
        <w:t xml:space="preserve"> is not specifically defined in your correspondence, it is implied that such use aims at increasing efficiency in the farming of animals (“improved feed conversion efficiency”). On this basis, it is not possible to draw a clear distinction between this use and growth promotion</w:t>
      </w:r>
      <w:r w:rsidR="00F42797">
        <w:rPr>
          <w:i/>
          <w:iCs/>
        </w:rPr>
        <w:t>.”</w:t>
      </w:r>
    </w:p>
    <w:p w14:paraId="3C9073A9" w14:textId="41CD6757" w:rsidR="008C1075" w:rsidRDefault="00D56126" w:rsidP="00BB0CC1">
      <w:pPr>
        <w:pStyle w:val="NormalText"/>
      </w:pPr>
      <w:r>
        <w:t>On this basis, the</w:t>
      </w:r>
      <w:r w:rsidR="00DC5174">
        <w:t xml:space="preserve"> APVMA considers that use</w:t>
      </w:r>
      <w:r>
        <w:t>s for</w:t>
      </w:r>
      <w:r w:rsidR="00DC5174">
        <w:t xml:space="preserve"> ‘improved feed </w:t>
      </w:r>
      <w:r>
        <w:t>conversion efficiency’</w:t>
      </w:r>
      <w:r w:rsidR="00DC5174">
        <w:t xml:space="preserve"> </w:t>
      </w:r>
      <w:r>
        <w:t xml:space="preserve">present a trade risk </w:t>
      </w:r>
      <w:r w:rsidR="00442677">
        <w:t xml:space="preserve">under </w:t>
      </w:r>
      <w:r w:rsidR="00442677" w:rsidRPr="009C40D3">
        <w:t>EU Regulation 2019/6</w:t>
      </w:r>
      <w:r w:rsidR="00DC5174">
        <w:t>.</w:t>
      </w:r>
    </w:p>
    <w:p w14:paraId="26719EEE" w14:textId="000245AF" w:rsidR="00335D76" w:rsidRDefault="000F0A55" w:rsidP="00BB0CC1">
      <w:pPr>
        <w:pStyle w:val="NormalText"/>
      </w:pPr>
      <w:r>
        <w:t xml:space="preserve">The APVMA notes the argument around the potential sustainability and methane reduction benefits of flavophospholipol and the ionophores, however </w:t>
      </w:r>
      <w:r w:rsidR="00442677">
        <w:t>such a cost benefit analysis is outside the legislative provisions of the APVMA.</w:t>
      </w:r>
    </w:p>
    <w:p w14:paraId="18BE5666" w14:textId="15234BB9" w:rsidR="000F0A55" w:rsidRDefault="000F0A55" w:rsidP="000F0A55">
      <w:pPr>
        <w:pStyle w:val="Heading2"/>
      </w:pPr>
      <w:bookmarkStart w:id="16" w:name="_Hlk215222665"/>
      <w:bookmarkStart w:id="17" w:name="_Hlk215222686"/>
      <w:bookmarkStart w:id="18" w:name="_Toc219291653"/>
      <w:r>
        <w:t>Information about the importance of therapeutic uses of antimicrobials</w:t>
      </w:r>
      <w:bookmarkEnd w:id="16"/>
      <w:bookmarkEnd w:id="18"/>
    </w:p>
    <w:bookmarkEnd w:id="17"/>
    <w:p w14:paraId="7A9893C7" w14:textId="0CA3D944" w:rsidR="005A7BF6" w:rsidRDefault="00335D76" w:rsidP="00BB0CC1">
      <w:pPr>
        <w:pStyle w:val="NormalText"/>
      </w:pPr>
      <w:r>
        <w:t xml:space="preserve">A </w:t>
      </w:r>
      <w:r w:rsidR="00667EA9">
        <w:t xml:space="preserve">confidential </w:t>
      </w:r>
      <w:r w:rsidR="000F0A55">
        <w:t xml:space="preserve">submission highlighted the </w:t>
      </w:r>
      <w:r w:rsidR="005A7BF6">
        <w:t xml:space="preserve">therapeutic importance of antimicrobials discussed in the TAN, particularly </w:t>
      </w:r>
      <w:proofErr w:type="spellStart"/>
      <w:r w:rsidR="005A7BF6">
        <w:t>monensin</w:t>
      </w:r>
      <w:proofErr w:type="spellEnd"/>
      <w:r w:rsidR="005A7BF6">
        <w:t xml:space="preserve"> and lasalocid for coccidiosis treatment.</w:t>
      </w:r>
      <w:r w:rsidR="004E4CD3">
        <w:t xml:space="preserve"> Animal Medicines Australia also highlighted the importance of ionophores to animal health and welfare.</w:t>
      </w:r>
    </w:p>
    <w:p w14:paraId="4D214F58" w14:textId="4414A5CA" w:rsidR="00871797" w:rsidRDefault="005A7BF6" w:rsidP="00BB0CC1">
      <w:pPr>
        <w:pStyle w:val="NormalText"/>
      </w:pPr>
      <w:r w:rsidRPr="00667EA9">
        <w:rPr>
          <w:b/>
          <w:bCs/>
        </w:rPr>
        <w:t xml:space="preserve">APVMA </w:t>
      </w:r>
      <w:r w:rsidR="00F42797">
        <w:rPr>
          <w:b/>
          <w:bCs/>
        </w:rPr>
        <w:t>r</w:t>
      </w:r>
      <w:r w:rsidRPr="00667EA9">
        <w:rPr>
          <w:b/>
          <w:bCs/>
        </w:rPr>
        <w:t>esponse:</w:t>
      </w:r>
      <w:r>
        <w:t xml:space="preserve"> The</w:t>
      </w:r>
      <w:r w:rsidR="00335D76">
        <w:t xml:space="preserve"> proposed label variations outlined in the TAN do not impact therapeutic uses</w:t>
      </w:r>
      <w:r w:rsidR="009879D2">
        <w:t xml:space="preserve"> of antimicrobials such as control of coccidiosis, ketosis/mastitis or bloat. </w:t>
      </w:r>
      <w:r w:rsidR="00335D76">
        <w:t>Australian livestock treated with antimicrobials products for therapeutic u</w:t>
      </w:r>
      <w:r w:rsidR="009879D2">
        <w:t>ses are outside the scope of the EU restrictions and do not pose a trade risk.</w:t>
      </w:r>
    </w:p>
    <w:p w14:paraId="61D9F256" w14:textId="1404E995" w:rsidR="00335D76" w:rsidRDefault="00335D76" w:rsidP="00335D76">
      <w:pPr>
        <w:pStyle w:val="Heading2"/>
      </w:pPr>
      <w:bookmarkStart w:id="19" w:name="_Hlk215224111"/>
      <w:bookmarkStart w:id="20" w:name="_Toc219291654"/>
      <w:r>
        <w:t>Feedback on wording of dairy restraints</w:t>
      </w:r>
      <w:bookmarkEnd w:id="20"/>
    </w:p>
    <w:bookmarkEnd w:id="19"/>
    <w:p w14:paraId="2EC81578" w14:textId="05BCEC9C" w:rsidR="00955980" w:rsidRDefault="009879D2" w:rsidP="006A3DF7">
      <w:pPr>
        <w:spacing w:before="240" w:after="240" w:line="280" w:lineRule="exact"/>
        <w:rPr>
          <w:rFonts w:cs="Arial"/>
          <w:kern w:val="20"/>
          <w:sz w:val="19"/>
          <w:u w:color="000000"/>
        </w:rPr>
      </w:pPr>
      <w:r w:rsidRPr="009879D2">
        <w:rPr>
          <w:rFonts w:cs="Arial"/>
          <w:kern w:val="20"/>
          <w:sz w:val="19"/>
          <w:u w:color="000000"/>
        </w:rPr>
        <w:t xml:space="preserve">A submission </w:t>
      </w:r>
      <w:r>
        <w:rPr>
          <w:rFonts w:cs="Arial"/>
          <w:kern w:val="20"/>
          <w:sz w:val="19"/>
          <w:u w:color="000000"/>
        </w:rPr>
        <w:t>from Dairy Australia request</w:t>
      </w:r>
      <w:r w:rsidR="004E4CD3">
        <w:rPr>
          <w:rFonts w:cs="Arial"/>
          <w:kern w:val="20"/>
          <w:sz w:val="19"/>
          <w:u w:color="000000"/>
        </w:rPr>
        <w:t>ed</w:t>
      </w:r>
      <w:r>
        <w:rPr>
          <w:rFonts w:cs="Arial"/>
          <w:kern w:val="20"/>
          <w:sz w:val="19"/>
          <w:u w:color="000000"/>
        </w:rPr>
        <w:t xml:space="preserve"> modification of </w:t>
      </w:r>
      <w:r w:rsidR="00060EB6">
        <w:rPr>
          <w:rFonts w:cs="Arial"/>
          <w:kern w:val="20"/>
          <w:sz w:val="19"/>
          <w:u w:color="000000"/>
        </w:rPr>
        <w:t>the</w:t>
      </w:r>
      <w:r>
        <w:rPr>
          <w:rFonts w:cs="Arial"/>
          <w:kern w:val="20"/>
          <w:sz w:val="19"/>
          <w:u w:color="000000"/>
        </w:rPr>
        <w:t xml:space="preserve"> </w:t>
      </w:r>
      <w:r w:rsidR="006C0EFB">
        <w:rPr>
          <w:rFonts w:cs="Arial"/>
          <w:kern w:val="20"/>
          <w:sz w:val="19"/>
          <w:u w:color="000000"/>
        </w:rPr>
        <w:t>proposed restraint</w:t>
      </w:r>
      <w:r w:rsidR="00060EB6">
        <w:rPr>
          <w:rFonts w:cs="Arial"/>
          <w:kern w:val="20"/>
          <w:sz w:val="19"/>
          <w:u w:color="000000"/>
        </w:rPr>
        <w:t xml:space="preserve"> below</w:t>
      </w:r>
      <w:r w:rsidR="00955980">
        <w:rPr>
          <w:rFonts w:cs="Arial"/>
          <w:kern w:val="20"/>
          <w:sz w:val="19"/>
          <w:u w:color="000000"/>
        </w:rPr>
        <w:t xml:space="preserve">, arguing that </w:t>
      </w:r>
      <w:r w:rsidR="00060EB6">
        <w:rPr>
          <w:rFonts w:cs="Arial"/>
          <w:kern w:val="20"/>
          <w:sz w:val="19"/>
          <w:u w:color="000000"/>
        </w:rPr>
        <w:t xml:space="preserve">the wording </w:t>
      </w:r>
      <w:r w:rsidR="00955980">
        <w:rPr>
          <w:rFonts w:cs="Arial"/>
          <w:kern w:val="20"/>
          <w:sz w:val="19"/>
          <w:u w:color="000000"/>
        </w:rPr>
        <w:t xml:space="preserve">suggested that the use of antimicrobial products </w:t>
      </w:r>
      <w:r w:rsidR="00A96661">
        <w:rPr>
          <w:rFonts w:cs="Arial"/>
          <w:kern w:val="20"/>
          <w:sz w:val="19"/>
          <w:u w:color="000000"/>
        </w:rPr>
        <w:t>is</w:t>
      </w:r>
      <w:r w:rsidR="00955980">
        <w:rPr>
          <w:rFonts w:cs="Arial"/>
          <w:kern w:val="20"/>
          <w:sz w:val="19"/>
          <w:u w:color="000000"/>
        </w:rPr>
        <w:t xml:space="preserve"> inappropriate for human consumption due to human health risks:</w:t>
      </w:r>
    </w:p>
    <w:p w14:paraId="7260ECA8" w14:textId="7A6CBA6F" w:rsidR="009879D2" w:rsidRPr="00667EA9" w:rsidRDefault="00955980" w:rsidP="006A3DF7">
      <w:pPr>
        <w:spacing w:before="240" w:after="240" w:line="280" w:lineRule="exact"/>
        <w:rPr>
          <w:rFonts w:cs="Arial"/>
          <w:kern w:val="20"/>
          <w:sz w:val="19"/>
          <w:u w:color="000000"/>
        </w:rPr>
      </w:pPr>
      <w:r w:rsidRPr="00667EA9">
        <w:rPr>
          <w:rFonts w:cs="Arial"/>
          <w:kern w:val="20"/>
          <w:sz w:val="19"/>
          <w:u w:color="000000"/>
        </w:rPr>
        <w:t xml:space="preserve">Dairy cattle: </w:t>
      </w:r>
      <w:r w:rsidRPr="00667EA9">
        <w:rPr>
          <w:rFonts w:cs="Arial"/>
          <w:i/>
          <w:iCs/>
          <w:kern w:val="20"/>
          <w:sz w:val="19"/>
          <w:u w:color="000000"/>
        </w:rPr>
        <w:t>DO NOT USE for growth promotion, improved feed efficiency, milk production, weight gain, reproductive performance in heifers or cows which are producing or may in the future produce milk or milk products which may be used or processed for human consumption.</w:t>
      </w:r>
    </w:p>
    <w:p w14:paraId="1415B8CC" w14:textId="2CEA51AF" w:rsidR="006C0EFB" w:rsidRDefault="00955980" w:rsidP="006A3DF7">
      <w:pPr>
        <w:spacing w:before="240" w:after="240" w:line="280" w:lineRule="exact"/>
        <w:rPr>
          <w:rFonts w:cs="Arial"/>
          <w:kern w:val="20"/>
          <w:sz w:val="19"/>
          <w:u w:color="000000"/>
        </w:rPr>
      </w:pPr>
      <w:r w:rsidRPr="00667EA9">
        <w:rPr>
          <w:rFonts w:cs="Arial"/>
          <w:b/>
          <w:bCs/>
          <w:kern w:val="20"/>
          <w:sz w:val="19"/>
          <w:u w:color="000000"/>
        </w:rPr>
        <w:t xml:space="preserve">APVMA </w:t>
      </w:r>
      <w:r w:rsidR="00F42797">
        <w:rPr>
          <w:rFonts w:cs="Arial"/>
          <w:b/>
          <w:bCs/>
          <w:kern w:val="20"/>
          <w:sz w:val="19"/>
          <w:u w:color="000000"/>
        </w:rPr>
        <w:t>r</w:t>
      </w:r>
      <w:r w:rsidRPr="00667EA9">
        <w:rPr>
          <w:rFonts w:cs="Arial"/>
          <w:b/>
          <w:bCs/>
          <w:kern w:val="20"/>
          <w:sz w:val="19"/>
          <w:u w:color="000000"/>
        </w:rPr>
        <w:t>esponse</w:t>
      </w:r>
      <w:r w:rsidRPr="00667EA9">
        <w:rPr>
          <w:rFonts w:cs="Arial"/>
          <w:kern w:val="20"/>
          <w:sz w:val="19"/>
          <w:u w:color="000000"/>
        </w:rPr>
        <w:t xml:space="preserve">: </w:t>
      </w:r>
      <w:r w:rsidR="00060EB6" w:rsidRPr="00060EB6">
        <w:rPr>
          <w:rFonts w:cs="Arial"/>
          <w:kern w:val="20"/>
          <w:sz w:val="19"/>
          <w:u w:color="000000"/>
        </w:rPr>
        <w:t>The</w:t>
      </w:r>
      <w:r w:rsidR="00060EB6">
        <w:rPr>
          <w:rFonts w:cs="Arial"/>
          <w:kern w:val="20"/>
          <w:sz w:val="19"/>
          <w:u w:color="000000"/>
        </w:rPr>
        <w:t xml:space="preserve"> APVMA has considered this feedback and determined that the proposed alternative restraint presented below effectively addresses the risk to trade. The intent of the restraint is to avoid antimicrobials being administered to animals for growth promotion purposes that currently or in the future may </w:t>
      </w:r>
      <w:r w:rsidR="00060EB6">
        <w:rPr>
          <w:rFonts w:cs="Arial"/>
          <w:kern w:val="20"/>
          <w:sz w:val="19"/>
          <w:u w:color="000000"/>
        </w:rPr>
        <w:lastRenderedPageBreak/>
        <w:t xml:space="preserve">produce milk destined for the EU market. This intends to capture calves or heifers that </w:t>
      </w:r>
      <w:r w:rsidR="00667EA9">
        <w:rPr>
          <w:rFonts w:cs="Arial"/>
          <w:kern w:val="20"/>
          <w:sz w:val="19"/>
          <w:u w:color="000000"/>
        </w:rPr>
        <w:t>are not currently producing milk but may do so in the future as the EU prohibition is</w:t>
      </w:r>
      <w:r w:rsidR="00667EA9" w:rsidRPr="00667EA9">
        <w:rPr>
          <w:rFonts w:cs="Arial"/>
          <w:kern w:val="20"/>
          <w:sz w:val="19"/>
          <w:u w:color="000000"/>
        </w:rPr>
        <w:t xml:space="preserve"> for the life of the animal and are retrospective.</w:t>
      </w:r>
    </w:p>
    <w:p w14:paraId="2C35EED6" w14:textId="3DFDB7B3" w:rsidR="00060EB6" w:rsidRPr="00955980" w:rsidRDefault="00060EB6" w:rsidP="006A3DF7">
      <w:pPr>
        <w:spacing w:before="240" w:after="240" w:line="280" w:lineRule="exact"/>
        <w:rPr>
          <w:rFonts w:cs="Arial"/>
          <w:kern w:val="20"/>
          <w:sz w:val="19"/>
          <w:u w:color="000000"/>
        </w:rPr>
      </w:pPr>
      <w:r w:rsidRPr="00667EA9">
        <w:rPr>
          <w:rFonts w:cs="Arial"/>
          <w:kern w:val="20"/>
          <w:sz w:val="19"/>
          <w:u w:color="000000"/>
        </w:rPr>
        <w:t xml:space="preserve">Dairy cattle: </w:t>
      </w:r>
      <w:r w:rsidRPr="00667EA9">
        <w:rPr>
          <w:rFonts w:cs="Arial"/>
          <w:i/>
          <w:iCs/>
          <w:kern w:val="20"/>
          <w:sz w:val="19"/>
          <w:u w:color="000000"/>
        </w:rPr>
        <w:t>DO NOT USE for any purpose other than to prevent or control disease.</w:t>
      </w:r>
    </w:p>
    <w:p w14:paraId="686E4300" w14:textId="3D60F908" w:rsidR="00871797" w:rsidRDefault="004E4CD3" w:rsidP="009D7E28">
      <w:pPr>
        <w:pStyle w:val="Heading2"/>
      </w:pPr>
      <w:bookmarkStart w:id="21" w:name="_Toc219291655"/>
      <w:r>
        <w:t>Impact o</w:t>
      </w:r>
      <w:r w:rsidR="006C0EFB">
        <w:t>f</w:t>
      </w:r>
      <w:r>
        <w:t xml:space="preserve"> label changes</w:t>
      </w:r>
      <w:bookmarkEnd w:id="21"/>
      <w:r>
        <w:t xml:space="preserve"> </w:t>
      </w:r>
    </w:p>
    <w:p w14:paraId="75302664" w14:textId="093F4261" w:rsidR="004E4CD3" w:rsidRPr="009879D2" w:rsidRDefault="004E4CD3" w:rsidP="006A3DF7">
      <w:pPr>
        <w:spacing w:before="240" w:after="240" w:line="280" w:lineRule="exact"/>
        <w:rPr>
          <w:rFonts w:cs="Arial"/>
          <w:kern w:val="20"/>
          <w:sz w:val="19"/>
          <w:u w:color="000000"/>
        </w:rPr>
      </w:pPr>
      <w:r w:rsidRPr="009879D2">
        <w:rPr>
          <w:rFonts w:cs="Arial"/>
          <w:kern w:val="20"/>
          <w:sz w:val="19"/>
          <w:u w:color="000000"/>
        </w:rPr>
        <w:t>A</w:t>
      </w:r>
      <w:r>
        <w:rPr>
          <w:rFonts w:cs="Arial"/>
          <w:kern w:val="20"/>
          <w:sz w:val="19"/>
          <w:u w:color="000000"/>
        </w:rPr>
        <w:t>nimal Medicines Australia highlighted the financial impact of label changes on holders of veterinary products that contain flavophospholipol or ionophores and end users of these products.</w:t>
      </w:r>
    </w:p>
    <w:p w14:paraId="354880B3" w14:textId="3F53E739" w:rsidR="00FE6D5B" w:rsidRDefault="004E4CD3" w:rsidP="002C024F">
      <w:pPr>
        <w:pStyle w:val="NormalText"/>
      </w:pPr>
      <w:r w:rsidRPr="004E4CD3">
        <w:rPr>
          <w:b/>
          <w:bCs/>
        </w:rPr>
        <w:t xml:space="preserve">APVMA </w:t>
      </w:r>
      <w:r w:rsidR="00F42797">
        <w:rPr>
          <w:b/>
          <w:bCs/>
        </w:rPr>
        <w:t>r</w:t>
      </w:r>
      <w:r w:rsidRPr="004E4CD3">
        <w:rPr>
          <w:b/>
          <w:bCs/>
        </w:rPr>
        <w:t>esponse:</w:t>
      </w:r>
      <w:r>
        <w:rPr>
          <w:b/>
          <w:bCs/>
        </w:rPr>
        <w:t xml:space="preserve"> </w:t>
      </w:r>
      <w:r w:rsidR="00471A49">
        <w:t xml:space="preserve">The proposed changes to labels are </w:t>
      </w:r>
      <w:r w:rsidR="00C74823">
        <w:t xml:space="preserve">intended to address the risk to trade </w:t>
      </w:r>
      <w:r w:rsidR="00C74823" w:rsidRPr="00C74823">
        <w:t>posed by the ongoing use of products containing antimicrobial compounds (including ionophores), for growth promotion</w:t>
      </w:r>
      <w:r w:rsidR="00491B2E">
        <w:t xml:space="preserve"> </w:t>
      </w:r>
      <w:r w:rsidR="00491B2E" w:rsidRPr="007F1AC3">
        <w:t>in animals</w:t>
      </w:r>
      <w:r w:rsidR="00491B2E">
        <w:t xml:space="preserve"> and resultant animal products </w:t>
      </w:r>
      <w:r w:rsidR="00C74823" w:rsidRPr="00C74823">
        <w:t>that may be exported to the EU.</w:t>
      </w:r>
      <w:r w:rsidR="006C0EFB">
        <w:t xml:space="preserve"> </w:t>
      </w:r>
      <w:r w:rsidR="00254BE8">
        <w:t xml:space="preserve">There are </w:t>
      </w:r>
      <w:r w:rsidR="00254BE8" w:rsidRPr="00594925">
        <w:t xml:space="preserve">no legislative provisions that allow the APVMA to </w:t>
      </w:r>
      <w:r w:rsidR="00181064">
        <w:t>consider</w:t>
      </w:r>
      <w:r w:rsidR="00181064" w:rsidRPr="00594925">
        <w:t xml:space="preserve"> </w:t>
      </w:r>
      <w:r w:rsidR="00254BE8" w:rsidRPr="00594925">
        <w:t xml:space="preserve">a cost/benefit analysis </w:t>
      </w:r>
      <w:r w:rsidR="00181064">
        <w:t xml:space="preserve">on </w:t>
      </w:r>
      <w:r w:rsidR="00254BE8" w:rsidRPr="00594925">
        <w:t>the us</w:t>
      </w:r>
      <w:r w:rsidR="00442677">
        <w:t>e</w:t>
      </w:r>
      <w:r w:rsidR="00254BE8" w:rsidRPr="00594925">
        <w:t xml:space="preserve"> of an </w:t>
      </w:r>
      <w:r w:rsidR="00181064">
        <w:t>Agricultural or Veterinary</w:t>
      </w:r>
      <w:r w:rsidR="00181064" w:rsidRPr="00594925">
        <w:t xml:space="preserve"> </w:t>
      </w:r>
      <w:r w:rsidR="00254BE8" w:rsidRPr="00594925">
        <w:t>chemical</w:t>
      </w:r>
      <w:r w:rsidR="0062105C">
        <w:t xml:space="preserve">, nor for the APVMA to consider factors such as the </w:t>
      </w:r>
      <w:r w:rsidR="00181064">
        <w:t>cost to</w:t>
      </w:r>
      <w:r w:rsidR="0062105C">
        <w:t xml:space="preserve"> industry.</w:t>
      </w:r>
    </w:p>
    <w:sectPr w:rsidR="00FE6D5B" w:rsidSect="006D0F59">
      <w:headerReference w:type="default" r:id="rId23"/>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54391" w14:textId="77777777" w:rsidR="008344E9" w:rsidRDefault="008344E9">
      <w:r>
        <w:separator/>
      </w:r>
    </w:p>
    <w:p w14:paraId="01EDF8DB" w14:textId="77777777" w:rsidR="008344E9" w:rsidRDefault="008344E9"/>
    <w:p w14:paraId="2170A19B" w14:textId="77777777" w:rsidR="008344E9" w:rsidRDefault="008344E9"/>
  </w:endnote>
  <w:endnote w:type="continuationSeparator" w:id="0">
    <w:p w14:paraId="58ADD046" w14:textId="77777777" w:rsidR="008344E9" w:rsidRDefault="008344E9">
      <w:r>
        <w:continuationSeparator/>
      </w:r>
    </w:p>
    <w:p w14:paraId="1F1BE985" w14:textId="77777777" w:rsidR="008344E9" w:rsidRDefault="008344E9"/>
    <w:p w14:paraId="0CDA4FDD" w14:textId="77777777" w:rsidR="008344E9" w:rsidRDefault="008344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D1186" w14:textId="77777777" w:rsidR="008344E9" w:rsidRDefault="008344E9">
      <w:r>
        <w:separator/>
      </w:r>
    </w:p>
  </w:footnote>
  <w:footnote w:type="continuationSeparator" w:id="0">
    <w:p w14:paraId="565835F9" w14:textId="77777777" w:rsidR="008344E9" w:rsidRDefault="008344E9">
      <w:pPr>
        <w:spacing w:line="180" w:lineRule="exact"/>
      </w:pPr>
      <w:r>
        <w:continuationSeparator/>
      </w:r>
    </w:p>
    <w:p w14:paraId="111B7809" w14:textId="77777777" w:rsidR="008344E9" w:rsidRDefault="008344E9"/>
    <w:p w14:paraId="65D8BE4B" w14:textId="77777777" w:rsidR="008344E9" w:rsidRDefault="008344E9"/>
  </w:footnote>
  <w:footnote w:type="continuationNotice" w:id="1">
    <w:p w14:paraId="47DAF68E" w14:textId="77777777" w:rsidR="008344E9" w:rsidRDefault="008344E9"/>
    <w:p w14:paraId="3631807A" w14:textId="77777777" w:rsidR="008344E9" w:rsidRDefault="008344E9"/>
    <w:p w14:paraId="241A8876" w14:textId="77777777" w:rsidR="008344E9" w:rsidRDefault="008344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D35D8" w14:textId="2F759801" w:rsidR="00D23D6A" w:rsidRPr="006D0F59" w:rsidRDefault="006D0F59" w:rsidP="006D0F59">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rPr>
      <w:t>iii</w:t>
    </w:r>
    <w:r>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42AA" w14:textId="3AB073EB" w:rsidR="00C735BA" w:rsidRDefault="00C735BA" w:rsidP="00C735BA">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rPr>
      <w:t>2</w:t>
    </w:r>
    <w:r>
      <w:rPr>
        <w:rStyle w:val="PageNumber"/>
        <w:b w:val="0"/>
        <w:caps/>
        <w:szCs w:val="24"/>
      </w:rPr>
      <w:fldChar w:fldCharType="end"/>
    </w:r>
    <w:r>
      <w:tab/>
    </w:r>
    <w:r w:rsidRPr="00C735BA">
      <w:t>Consideration of submissions received on the Trade Advice Notice of antimicrobial products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3DE6C" w14:textId="77777777" w:rsidR="006D0F59" w:rsidRPr="006D0F59" w:rsidRDefault="006D0F59" w:rsidP="006D0F59">
    <w:pPr>
      <w:pStyle w:val="OddHeader"/>
      <w:tabs>
        <w:tab w:val="clear" w:pos="9072"/>
        <w:tab w:val="right" w:pos="2410"/>
      </w:tabs>
      <w:jc w:val="right"/>
    </w:pPr>
    <w:r w:rsidRPr="006D0F59">
      <w:t>Submissions received</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b w:val="0"/>
        <w:bCs w:val="0"/>
        <w:caps/>
      </w:rPr>
      <w:t>4</w:t>
    </w:r>
    <w:r>
      <w:rPr>
        <w:rStyle w:val="PageNumber"/>
        <w:rFonts w:cs="Times New Roman"/>
        <w:b w:val="0"/>
        <w:bCs w:val="0"/>
        <w:caps/>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60819" w14:textId="13BFA883" w:rsidR="00C735BA" w:rsidRPr="006D0F59" w:rsidRDefault="00C735BA" w:rsidP="00C735BA">
    <w:pPr>
      <w:pStyle w:val="OddHeader"/>
      <w:tabs>
        <w:tab w:val="clear" w:pos="9072"/>
        <w:tab w:val="right" w:pos="4111"/>
      </w:tabs>
      <w:jc w:val="right"/>
    </w:pPr>
    <w:r w:rsidRPr="00C735BA">
      <w:t>APVMA’s consideration of submissions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b w:val="0"/>
        <w:bCs w:val="0"/>
        <w:caps/>
      </w:rPr>
      <w:t>4</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A6E40CCA"/>
    <w:lvl w:ilvl="0" w:tplc="053AE648">
      <w:start w:val="1"/>
      <w:numFmt w:val="bullet"/>
      <w:pStyle w:val="Bullet2"/>
      <w:lvlText w:val="–"/>
      <w:lvlJc w:val="left"/>
      <w:pPr>
        <w:ind w:left="70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8E9088E"/>
    <w:multiLevelType w:val="hybridMultilevel"/>
    <w:tmpl w:val="A88C9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92452F2"/>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80594"/>
    <w:multiLevelType w:val="hybridMultilevel"/>
    <w:tmpl w:val="3D6EF4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4" w15:restartNumberingAfterBreak="0">
    <w:nsid w:val="65000A84"/>
    <w:multiLevelType w:val="hybridMultilevel"/>
    <w:tmpl w:val="3E5CCC06"/>
    <w:lvl w:ilvl="0" w:tplc="5E7C4570">
      <w:start w:val="1"/>
      <w:numFmt w:val="bullet"/>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5"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num w:numId="1" w16cid:durableId="1979915991">
    <w:abstractNumId w:val="21"/>
  </w:num>
  <w:num w:numId="2" w16cid:durableId="1250195658">
    <w:abstractNumId w:val="21"/>
  </w:num>
  <w:num w:numId="3" w16cid:durableId="970331678">
    <w:abstractNumId w:val="18"/>
  </w:num>
  <w:num w:numId="4" w16cid:durableId="1139961449">
    <w:abstractNumId w:val="19"/>
  </w:num>
  <w:num w:numId="5" w16cid:durableId="1287195516">
    <w:abstractNumId w:val="18"/>
  </w:num>
  <w:num w:numId="6" w16cid:durableId="595360487">
    <w:abstractNumId w:val="23"/>
  </w:num>
  <w:num w:numId="7" w16cid:durableId="168184807">
    <w:abstractNumId w:val="20"/>
  </w:num>
  <w:num w:numId="8" w16cid:durableId="335302058">
    <w:abstractNumId w:val="11"/>
  </w:num>
  <w:num w:numId="9" w16cid:durableId="1151363089">
    <w:abstractNumId w:val="10"/>
  </w:num>
  <w:num w:numId="10" w16cid:durableId="1905488232">
    <w:abstractNumId w:val="15"/>
  </w:num>
  <w:num w:numId="11" w16cid:durableId="1458797406">
    <w:abstractNumId w:val="17"/>
  </w:num>
  <w:num w:numId="12" w16cid:durableId="1774547164">
    <w:abstractNumId w:val="23"/>
  </w:num>
  <w:num w:numId="13" w16cid:durableId="211576392">
    <w:abstractNumId w:val="23"/>
  </w:num>
  <w:num w:numId="14" w16cid:durableId="741297798">
    <w:abstractNumId w:val="18"/>
  </w:num>
  <w:num w:numId="15" w16cid:durableId="1971395528">
    <w:abstractNumId w:val="11"/>
  </w:num>
  <w:num w:numId="16" w16cid:durableId="491216777">
    <w:abstractNumId w:val="19"/>
  </w:num>
  <w:num w:numId="17" w16cid:durableId="1143350196">
    <w:abstractNumId w:val="10"/>
  </w:num>
  <w:num w:numId="18" w16cid:durableId="507911398">
    <w:abstractNumId w:val="15"/>
  </w:num>
  <w:num w:numId="19" w16cid:durableId="195391456">
    <w:abstractNumId w:val="21"/>
  </w:num>
  <w:num w:numId="20" w16cid:durableId="209610050">
    <w:abstractNumId w:val="25"/>
  </w:num>
  <w:num w:numId="21" w16cid:durableId="6300715">
    <w:abstractNumId w:val="12"/>
  </w:num>
  <w:num w:numId="22" w16cid:durableId="999503747">
    <w:abstractNumId w:val="23"/>
  </w:num>
  <w:num w:numId="23" w16cid:durableId="2136679703">
    <w:abstractNumId w:val="23"/>
  </w:num>
  <w:num w:numId="24" w16cid:durableId="1673606266">
    <w:abstractNumId w:val="23"/>
  </w:num>
  <w:num w:numId="25" w16cid:durableId="1612786442">
    <w:abstractNumId w:val="23"/>
  </w:num>
  <w:num w:numId="26" w16cid:durableId="1634365545">
    <w:abstractNumId w:val="23"/>
  </w:num>
  <w:num w:numId="27" w16cid:durableId="10427515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7133774">
    <w:abstractNumId w:val="9"/>
  </w:num>
  <w:num w:numId="29" w16cid:durableId="389156344">
    <w:abstractNumId w:val="7"/>
  </w:num>
  <w:num w:numId="30" w16cid:durableId="1847551268">
    <w:abstractNumId w:val="6"/>
  </w:num>
  <w:num w:numId="31" w16cid:durableId="88477859">
    <w:abstractNumId w:val="5"/>
  </w:num>
  <w:num w:numId="32" w16cid:durableId="1513258771">
    <w:abstractNumId w:val="4"/>
  </w:num>
  <w:num w:numId="33" w16cid:durableId="881287777">
    <w:abstractNumId w:val="8"/>
  </w:num>
  <w:num w:numId="34" w16cid:durableId="1913268409">
    <w:abstractNumId w:val="3"/>
  </w:num>
  <w:num w:numId="35" w16cid:durableId="1870416234">
    <w:abstractNumId w:val="2"/>
  </w:num>
  <w:num w:numId="36" w16cid:durableId="981926333">
    <w:abstractNumId w:val="1"/>
  </w:num>
  <w:num w:numId="37" w16cid:durableId="2079667576">
    <w:abstractNumId w:val="0"/>
  </w:num>
  <w:num w:numId="38" w16cid:durableId="1259558567">
    <w:abstractNumId w:val="16"/>
    <w:lvlOverride w:ilvl="0">
      <w:startOverride w:val="1"/>
    </w:lvlOverride>
    <w:lvlOverride w:ilvl="1"/>
    <w:lvlOverride w:ilvl="2"/>
    <w:lvlOverride w:ilvl="3"/>
    <w:lvlOverride w:ilvl="4"/>
    <w:lvlOverride w:ilvl="5"/>
    <w:lvlOverride w:ilvl="6"/>
    <w:lvlOverride w:ilvl="7"/>
    <w:lvlOverride w:ilvl="8"/>
  </w:num>
  <w:num w:numId="39" w16cid:durableId="1220097315">
    <w:abstractNumId w:val="16"/>
  </w:num>
  <w:num w:numId="40" w16cid:durableId="646785712">
    <w:abstractNumId w:val="24"/>
  </w:num>
  <w:num w:numId="41" w16cid:durableId="169874366">
    <w:abstractNumId w:val="14"/>
  </w:num>
  <w:num w:numId="42" w16cid:durableId="2089111108">
    <w:abstractNumId w:val="22"/>
  </w:num>
  <w:num w:numId="43" w16cid:durableId="357436102">
    <w:abstractNumId w:val="14"/>
  </w:num>
  <w:num w:numId="44" w16cid:durableId="1211573860">
    <w:abstractNumId w:val="14"/>
  </w:num>
  <w:num w:numId="45" w16cid:durableId="1073087709">
    <w:abstractNumId w:val="14"/>
  </w:num>
  <w:num w:numId="46" w16cid:durableId="15484469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4F9C"/>
    <w:rsid w:val="00020FFB"/>
    <w:rsid w:val="00033787"/>
    <w:rsid w:val="00034278"/>
    <w:rsid w:val="00052ED4"/>
    <w:rsid w:val="00056EBB"/>
    <w:rsid w:val="00060EB6"/>
    <w:rsid w:val="000642FC"/>
    <w:rsid w:val="00064FE2"/>
    <w:rsid w:val="00067828"/>
    <w:rsid w:val="000765C1"/>
    <w:rsid w:val="00077EB8"/>
    <w:rsid w:val="0008350E"/>
    <w:rsid w:val="00096163"/>
    <w:rsid w:val="000A6CED"/>
    <w:rsid w:val="000A7EF6"/>
    <w:rsid w:val="000B4637"/>
    <w:rsid w:val="000B65B0"/>
    <w:rsid w:val="000C273D"/>
    <w:rsid w:val="000C2C1B"/>
    <w:rsid w:val="000D045A"/>
    <w:rsid w:val="000D49ED"/>
    <w:rsid w:val="000E2A41"/>
    <w:rsid w:val="000E372E"/>
    <w:rsid w:val="000F0A55"/>
    <w:rsid w:val="00106325"/>
    <w:rsid w:val="00120E00"/>
    <w:rsid w:val="00126E5A"/>
    <w:rsid w:val="0012797F"/>
    <w:rsid w:val="001425AD"/>
    <w:rsid w:val="001468C9"/>
    <w:rsid w:val="001475AE"/>
    <w:rsid w:val="001534D8"/>
    <w:rsid w:val="0016004E"/>
    <w:rsid w:val="00160CC1"/>
    <w:rsid w:val="00163813"/>
    <w:rsid w:val="00167BB3"/>
    <w:rsid w:val="00174E15"/>
    <w:rsid w:val="0018044F"/>
    <w:rsid w:val="00181064"/>
    <w:rsid w:val="00184190"/>
    <w:rsid w:val="00193533"/>
    <w:rsid w:val="001A62A7"/>
    <w:rsid w:val="001B335C"/>
    <w:rsid w:val="001C54FF"/>
    <w:rsid w:val="001C6607"/>
    <w:rsid w:val="001D3257"/>
    <w:rsid w:val="001D3280"/>
    <w:rsid w:val="001D722B"/>
    <w:rsid w:val="002178C3"/>
    <w:rsid w:val="002223CB"/>
    <w:rsid w:val="002315C6"/>
    <w:rsid w:val="002335CF"/>
    <w:rsid w:val="00235A61"/>
    <w:rsid w:val="00243C28"/>
    <w:rsid w:val="0025418F"/>
    <w:rsid w:val="00254BE8"/>
    <w:rsid w:val="00263AA9"/>
    <w:rsid w:val="0026493F"/>
    <w:rsid w:val="00272BD3"/>
    <w:rsid w:val="00272DCD"/>
    <w:rsid w:val="00280720"/>
    <w:rsid w:val="00282A32"/>
    <w:rsid w:val="0029504F"/>
    <w:rsid w:val="002A3239"/>
    <w:rsid w:val="002A394F"/>
    <w:rsid w:val="002A4D83"/>
    <w:rsid w:val="002A52CF"/>
    <w:rsid w:val="002A69DD"/>
    <w:rsid w:val="002B3F0C"/>
    <w:rsid w:val="002B5703"/>
    <w:rsid w:val="002C024F"/>
    <w:rsid w:val="002C1082"/>
    <w:rsid w:val="002C1F40"/>
    <w:rsid w:val="002C35DD"/>
    <w:rsid w:val="002C756B"/>
    <w:rsid w:val="002D0B93"/>
    <w:rsid w:val="002D6AB4"/>
    <w:rsid w:val="002D7779"/>
    <w:rsid w:val="002E20AC"/>
    <w:rsid w:val="002F1FAB"/>
    <w:rsid w:val="002F26EC"/>
    <w:rsid w:val="002F4591"/>
    <w:rsid w:val="002F765D"/>
    <w:rsid w:val="0030255E"/>
    <w:rsid w:val="0031487D"/>
    <w:rsid w:val="00322AAF"/>
    <w:rsid w:val="00335D76"/>
    <w:rsid w:val="00346134"/>
    <w:rsid w:val="00347883"/>
    <w:rsid w:val="003506C5"/>
    <w:rsid w:val="00352769"/>
    <w:rsid w:val="00356C63"/>
    <w:rsid w:val="00357D2C"/>
    <w:rsid w:val="0036038E"/>
    <w:rsid w:val="00381544"/>
    <w:rsid w:val="0038439C"/>
    <w:rsid w:val="00385384"/>
    <w:rsid w:val="00393E2F"/>
    <w:rsid w:val="003A558F"/>
    <w:rsid w:val="003C0891"/>
    <w:rsid w:val="003C7EB9"/>
    <w:rsid w:val="003E03EE"/>
    <w:rsid w:val="003F3B0B"/>
    <w:rsid w:val="003F6398"/>
    <w:rsid w:val="004070E1"/>
    <w:rsid w:val="00410168"/>
    <w:rsid w:val="0041228F"/>
    <w:rsid w:val="00412703"/>
    <w:rsid w:val="0041559F"/>
    <w:rsid w:val="00434159"/>
    <w:rsid w:val="00442677"/>
    <w:rsid w:val="00444045"/>
    <w:rsid w:val="00444FF1"/>
    <w:rsid w:val="00445259"/>
    <w:rsid w:val="0044792E"/>
    <w:rsid w:val="004616C8"/>
    <w:rsid w:val="00461D26"/>
    <w:rsid w:val="00470304"/>
    <w:rsid w:val="00471A49"/>
    <w:rsid w:val="00473575"/>
    <w:rsid w:val="00473874"/>
    <w:rsid w:val="00491B2E"/>
    <w:rsid w:val="0049603E"/>
    <w:rsid w:val="004973BD"/>
    <w:rsid w:val="004B452B"/>
    <w:rsid w:val="004C31C4"/>
    <w:rsid w:val="004D2C4F"/>
    <w:rsid w:val="004E4CD3"/>
    <w:rsid w:val="004F1109"/>
    <w:rsid w:val="004F5E19"/>
    <w:rsid w:val="005064D5"/>
    <w:rsid w:val="00515F30"/>
    <w:rsid w:val="005177F9"/>
    <w:rsid w:val="00520963"/>
    <w:rsid w:val="00522E27"/>
    <w:rsid w:val="00542EEB"/>
    <w:rsid w:val="005527B9"/>
    <w:rsid w:val="00553501"/>
    <w:rsid w:val="00556804"/>
    <w:rsid w:val="00560E83"/>
    <w:rsid w:val="00563297"/>
    <w:rsid w:val="00566590"/>
    <w:rsid w:val="00572131"/>
    <w:rsid w:val="00572D44"/>
    <w:rsid w:val="00581F92"/>
    <w:rsid w:val="005859C5"/>
    <w:rsid w:val="005913E6"/>
    <w:rsid w:val="005A7BF6"/>
    <w:rsid w:val="005C0C97"/>
    <w:rsid w:val="005D1A47"/>
    <w:rsid w:val="005E2C8E"/>
    <w:rsid w:val="006110AE"/>
    <w:rsid w:val="0062105C"/>
    <w:rsid w:val="0062466B"/>
    <w:rsid w:val="0062653F"/>
    <w:rsid w:val="006350AF"/>
    <w:rsid w:val="00643052"/>
    <w:rsid w:val="0064579C"/>
    <w:rsid w:val="0064712B"/>
    <w:rsid w:val="00657A28"/>
    <w:rsid w:val="00657B66"/>
    <w:rsid w:val="006605D3"/>
    <w:rsid w:val="006676EB"/>
    <w:rsid w:val="00667EA9"/>
    <w:rsid w:val="006740FD"/>
    <w:rsid w:val="00684F5A"/>
    <w:rsid w:val="006942D4"/>
    <w:rsid w:val="006A3DF7"/>
    <w:rsid w:val="006B2FDE"/>
    <w:rsid w:val="006C08BC"/>
    <w:rsid w:val="006C0EFB"/>
    <w:rsid w:val="006D0F59"/>
    <w:rsid w:val="006D32C6"/>
    <w:rsid w:val="006E2753"/>
    <w:rsid w:val="006E33F7"/>
    <w:rsid w:val="00700C27"/>
    <w:rsid w:val="00702B7D"/>
    <w:rsid w:val="00722204"/>
    <w:rsid w:val="007228B8"/>
    <w:rsid w:val="007275CF"/>
    <w:rsid w:val="00731259"/>
    <w:rsid w:val="00734103"/>
    <w:rsid w:val="00746DF6"/>
    <w:rsid w:val="00770B96"/>
    <w:rsid w:val="007735A7"/>
    <w:rsid w:val="00780FD3"/>
    <w:rsid w:val="00784D7C"/>
    <w:rsid w:val="00787889"/>
    <w:rsid w:val="00792F18"/>
    <w:rsid w:val="0079347D"/>
    <w:rsid w:val="00794B71"/>
    <w:rsid w:val="0079772A"/>
    <w:rsid w:val="007A0EF8"/>
    <w:rsid w:val="007A27EB"/>
    <w:rsid w:val="007B2075"/>
    <w:rsid w:val="007C698C"/>
    <w:rsid w:val="007D258F"/>
    <w:rsid w:val="007D2FA8"/>
    <w:rsid w:val="007D5FC8"/>
    <w:rsid w:val="007D7D8D"/>
    <w:rsid w:val="007E13F3"/>
    <w:rsid w:val="007E1E62"/>
    <w:rsid w:val="007E420B"/>
    <w:rsid w:val="007F0146"/>
    <w:rsid w:val="007F1AC3"/>
    <w:rsid w:val="00814632"/>
    <w:rsid w:val="00832D38"/>
    <w:rsid w:val="008344E9"/>
    <w:rsid w:val="00834730"/>
    <w:rsid w:val="008362F6"/>
    <w:rsid w:val="008366A3"/>
    <w:rsid w:val="00846EF1"/>
    <w:rsid w:val="00847050"/>
    <w:rsid w:val="00852745"/>
    <w:rsid w:val="008545E1"/>
    <w:rsid w:val="00860B66"/>
    <w:rsid w:val="00862E63"/>
    <w:rsid w:val="0086589C"/>
    <w:rsid w:val="00871797"/>
    <w:rsid w:val="008719CC"/>
    <w:rsid w:val="00877DAE"/>
    <w:rsid w:val="008808C1"/>
    <w:rsid w:val="00892292"/>
    <w:rsid w:val="008932CA"/>
    <w:rsid w:val="008B550C"/>
    <w:rsid w:val="008C1075"/>
    <w:rsid w:val="008C5C0D"/>
    <w:rsid w:val="008C6B9D"/>
    <w:rsid w:val="008C75EF"/>
    <w:rsid w:val="008E4ED4"/>
    <w:rsid w:val="008E7D08"/>
    <w:rsid w:val="008F14C4"/>
    <w:rsid w:val="008F23CA"/>
    <w:rsid w:val="008F6E07"/>
    <w:rsid w:val="0095250D"/>
    <w:rsid w:val="00955980"/>
    <w:rsid w:val="0095647E"/>
    <w:rsid w:val="00963BE6"/>
    <w:rsid w:val="00972247"/>
    <w:rsid w:val="0098266E"/>
    <w:rsid w:val="009879D2"/>
    <w:rsid w:val="00993F7D"/>
    <w:rsid w:val="009A4448"/>
    <w:rsid w:val="009A6D14"/>
    <w:rsid w:val="009A7614"/>
    <w:rsid w:val="009B5C52"/>
    <w:rsid w:val="009B6ACE"/>
    <w:rsid w:val="009C40D3"/>
    <w:rsid w:val="009D0E59"/>
    <w:rsid w:val="009D452E"/>
    <w:rsid w:val="009D64B0"/>
    <w:rsid w:val="009E2AD6"/>
    <w:rsid w:val="009E6D2D"/>
    <w:rsid w:val="009F16FF"/>
    <w:rsid w:val="00A11695"/>
    <w:rsid w:val="00A15176"/>
    <w:rsid w:val="00A23710"/>
    <w:rsid w:val="00A23729"/>
    <w:rsid w:val="00A2448D"/>
    <w:rsid w:val="00A3145F"/>
    <w:rsid w:val="00A35765"/>
    <w:rsid w:val="00A474FD"/>
    <w:rsid w:val="00A6283D"/>
    <w:rsid w:val="00A66116"/>
    <w:rsid w:val="00A70FD5"/>
    <w:rsid w:val="00A77CE7"/>
    <w:rsid w:val="00A829ED"/>
    <w:rsid w:val="00A87101"/>
    <w:rsid w:val="00A93D94"/>
    <w:rsid w:val="00A96661"/>
    <w:rsid w:val="00A967F5"/>
    <w:rsid w:val="00AA3C3A"/>
    <w:rsid w:val="00AA7784"/>
    <w:rsid w:val="00AB659C"/>
    <w:rsid w:val="00AB7BCE"/>
    <w:rsid w:val="00AD0162"/>
    <w:rsid w:val="00AF232A"/>
    <w:rsid w:val="00B04562"/>
    <w:rsid w:val="00B05454"/>
    <w:rsid w:val="00B15647"/>
    <w:rsid w:val="00B1763F"/>
    <w:rsid w:val="00B27675"/>
    <w:rsid w:val="00B3240F"/>
    <w:rsid w:val="00B44AF3"/>
    <w:rsid w:val="00B50074"/>
    <w:rsid w:val="00B65656"/>
    <w:rsid w:val="00B72082"/>
    <w:rsid w:val="00B73584"/>
    <w:rsid w:val="00B856A6"/>
    <w:rsid w:val="00B8602D"/>
    <w:rsid w:val="00BB0CC1"/>
    <w:rsid w:val="00BB1B6B"/>
    <w:rsid w:val="00BB6D95"/>
    <w:rsid w:val="00BC3ABF"/>
    <w:rsid w:val="00BC5423"/>
    <w:rsid w:val="00BD021C"/>
    <w:rsid w:val="00BD2289"/>
    <w:rsid w:val="00BD32DA"/>
    <w:rsid w:val="00BD4C76"/>
    <w:rsid w:val="00BD55DB"/>
    <w:rsid w:val="00BD698E"/>
    <w:rsid w:val="00BD70E8"/>
    <w:rsid w:val="00C007E7"/>
    <w:rsid w:val="00C05FA3"/>
    <w:rsid w:val="00C105FA"/>
    <w:rsid w:val="00C16213"/>
    <w:rsid w:val="00C2453C"/>
    <w:rsid w:val="00C252B5"/>
    <w:rsid w:val="00C32024"/>
    <w:rsid w:val="00C36537"/>
    <w:rsid w:val="00C45627"/>
    <w:rsid w:val="00C501FF"/>
    <w:rsid w:val="00C51035"/>
    <w:rsid w:val="00C53C96"/>
    <w:rsid w:val="00C5527A"/>
    <w:rsid w:val="00C667BC"/>
    <w:rsid w:val="00C7281E"/>
    <w:rsid w:val="00C735BA"/>
    <w:rsid w:val="00C73D24"/>
    <w:rsid w:val="00C74823"/>
    <w:rsid w:val="00C95323"/>
    <w:rsid w:val="00C9656F"/>
    <w:rsid w:val="00CA17DC"/>
    <w:rsid w:val="00CA44DB"/>
    <w:rsid w:val="00CB7621"/>
    <w:rsid w:val="00CC2683"/>
    <w:rsid w:val="00CC6A6F"/>
    <w:rsid w:val="00CD406F"/>
    <w:rsid w:val="00CD6650"/>
    <w:rsid w:val="00CE456A"/>
    <w:rsid w:val="00CE7F45"/>
    <w:rsid w:val="00CF0504"/>
    <w:rsid w:val="00CF1F1C"/>
    <w:rsid w:val="00D018ED"/>
    <w:rsid w:val="00D10F59"/>
    <w:rsid w:val="00D13F04"/>
    <w:rsid w:val="00D14C71"/>
    <w:rsid w:val="00D23D6A"/>
    <w:rsid w:val="00D2636C"/>
    <w:rsid w:val="00D3519B"/>
    <w:rsid w:val="00D4143D"/>
    <w:rsid w:val="00D43E2C"/>
    <w:rsid w:val="00D45426"/>
    <w:rsid w:val="00D46DBB"/>
    <w:rsid w:val="00D505AD"/>
    <w:rsid w:val="00D56126"/>
    <w:rsid w:val="00D573A3"/>
    <w:rsid w:val="00D67788"/>
    <w:rsid w:val="00D77554"/>
    <w:rsid w:val="00D80534"/>
    <w:rsid w:val="00D86C44"/>
    <w:rsid w:val="00D874AA"/>
    <w:rsid w:val="00D9318E"/>
    <w:rsid w:val="00D942C8"/>
    <w:rsid w:val="00DA5817"/>
    <w:rsid w:val="00DB3BF5"/>
    <w:rsid w:val="00DC0AD7"/>
    <w:rsid w:val="00DC182B"/>
    <w:rsid w:val="00DC4DE0"/>
    <w:rsid w:val="00DC5174"/>
    <w:rsid w:val="00DD08E2"/>
    <w:rsid w:val="00DE377A"/>
    <w:rsid w:val="00E02283"/>
    <w:rsid w:val="00E03E33"/>
    <w:rsid w:val="00E166F2"/>
    <w:rsid w:val="00E25066"/>
    <w:rsid w:val="00E30533"/>
    <w:rsid w:val="00E318E3"/>
    <w:rsid w:val="00E33D53"/>
    <w:rsid w:val="00E3568D"/>
    <w:rsid w:val="00E35DE7"/>
    <w:rsid w:val="00E41FED"/>
    <w:rsid w:val="00E45FA8"/>
    <w:rsid w:val="00E51CFE"/>
    <w:rsid w:val="00E53B8B"/>
    <w:rsid w:val="00E70840"/>
    <w:rsid w:val="00E73380"/>
    <w:rsid w:val="00E83D6F"/>
    <w:rsid w:val="00E9163E"/>
    <w:rsid w:val="00E91D75"/>
    <w:rsid w:val="00E96CA8"/>
    <w:rsid w:val="00E97570"/>
    <w:rsid w:val="00EA511C"/>
    <w:rsid w:val="00EB0281"/>
    <w:rsid w:val="00ED1A23"/>
    <w:rsid w:val="00ED395F"/>
    <w:rsid w:val="00EE297E"/>
    <w:rsid w:val="00EE5B09"/>
    <w:rsid w:val="00EE5E84"/>
    <w:rsid w:val="00EF1F4F"/>
    <w:rsid w:val="00EF546C"/>
    <w:rsid w:val="00EF6F2B"/>
    <w:rsid w:val="00F0383D"/>
    <w:rsid w:val="00F13087"/>
    <w:rsid w:val="00F16694"/>
    <w:rsid w:val="00F264B9"/>
    <w:rsid w:val="00F30BDA"/>
    <w:rsid w:val="00F31846"/>
    <w:rsid w:val="00F4094D"/>
    <w:rsid w:val="00F42797"/>
    <w:rsid w:val="00F44A1F"/>
    <w:rsid w:val="00F51AA7"/>
    <w:rsid w:val="00F566E5"/>
    <w:rsid w:val="00F566F2"/>
    <w:rsid w:val="00F56C76"/>
    <w:rsid w:val="00F64295"/>
    <w:rsid w:val="00F6733A"/>
    <w:rsid w:val="00F902E4"/>
    <w:rsid w:val="00F916A0"/>
    <w:rsid w:val="00F92A4A"/>
    <w:rsid w:val="00F92EC9"/>
    <w:rsid w:val="00FB0015"/>
    <w:rsid w:val="00FB437C"/>
    <w:rsid w:val="00FC09D2"/>
    <w:rsid w:val="00FC198C"/>
    <w:rsid w:val="00FD344F"/>
    <w:rsid w:val="00FE37B4"/>
    <w:rsid w:val="00FE54CA"/>
    <w:rsid w:val="00FE6D5B"/>
    <w:rsid w:val="00FF07C1"/>
    <w:rsid w:val="00FF6460"/>
    <w:rsid w:val="00FF76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B05454"/>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qFormat/>
    <w:rsid w:val="008B550C"/>
    <w:pPr>
      <w:keepNext/>
      <w:keepLines/>
      <w:pageBreakBefore/>
      <w:numPr>
        <w:numId w:val="41"/>
      </w:numPr>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qFormat/>
    <w:rsid w:val="008B550C"/>
    <w:pPr>
      <w:pageBreakBefore w:val="0"/>
      <w:numPr>
        <w:ilvl w:val="1"/>
      </w:numPr>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8B550C"/>
    <w:pPr>
      <w:numPr>
        <w:ilvl w:val="2"/>
      </w:numPr>
      <w:spacing w:before="320" w:line="280" w:lineRule="exact"/>
      <w:outlineLvl w:val="2"/>
    </w:pPr>
    <w:rPr>
      <w:sz w:val="24"/>
      <w:szCs w:val="26"/>
    </w:rPr>
  </w:style>
  <w:style w:type="paragraph" w:styleId="Heading4">
    <w:name w:val="heading 4"/>
    <w:aliases w:val="APVMA_H4"/>
    <w:basedOn w:val="Heading3"/>
    <w:next w:val="NormalText"/>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numPr>
        <w:ilvl w:val="5"/>
        <w:numId w:val="41"/>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41"/>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41"/>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4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ToC - Level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572D44"/>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4"/>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link w:val="Bullet1Char"/>
    <w:uiPriority w:val="4"/>
    <w:qFormat/>
    <w:rsid w:val="006E33F7"/>
    <w:pPr>
      <w:numPr>
        <w:numId w:val="14"/>
      </w:numPr>
      <w:spacing w:before="120" w:after="120"/>
    </w:pPr>
  </w:style>
  <w:style w:type="paragraph" w:customStyle="1" w:styleId="TableHeadRight">
    <w:name w:val="TableHead_Right"/>
    <w:basedOn w:val="TableHead"/>
    <w:uiPriority w:val="4"/>
    <w:rsid w:val="00C501FF"/>
    <w:pPr>
      <w:jc w:val="right"/>
    </w:pPr>
  </w:style>
  <w:style w:type="paragraph" w:customStyle="1" w:styleId="Bullet2">
    <w:name w:val="Bullet2"/>
    <w:basedOn w:val="Bullet1"/>
    <w:link w:val="Bullet2Char"/>
    <w:uiPriority w:val="4"/>
    <w:qFormat/>
    <w:rsid w:val="002C1082"/>
    <w:pPr>
      <w:numPr>
        <w:numId w:val="8"/>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Table caption"/>
    <w:basedOn w:val="Normal"/>
    <w:next w:val="NormalText"/>
    <w:link w:val="CaptionChar"/>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Bulletendash">
    <w:name w:val="Bullet en dash"/>
    <w:basedOn w:val="Bullet2"/>
    <w:link w:val="BulletendashChar"/>
    <w:uiPriority w:val="4"/>
    <w:rsid w:val="00DC0AD7"/>
    <w:pPr>
      <w:spacing w:before="1440"/>
      <w:jc w:val="center"/>
    </w:pPr>
    <w:rPr>
      <w:i/>
      <w:noProof/>
      <w:sz w:val="28"/>
      <w:szCs w:val="28"/>
      <w:lang w:eastAsia="en-AU"/>
    </w:rPr>
  </w:style>
  <w:style w:type="character" w:customStyle="1" w:styleId="NormalTextChar">
    <w:name w:val="Normal Text Char"/>
    <w:basedOn w:val="DefaultParagraphFont"/>
    <w:link w:val="NormalText"/>
    <w:rsid w:val="00DC0AD7"/>
    <w:rPr>
      <w:rFonts w:ascii="Arial" w:hAnsi="Arial" w:cs="Arial"/>
      <w:color w:val="1A1B1A" w:themeColor="text1" w:themeShade="80"/>
      <w:kern w:val="20"/>
      <w:sz w:val="19"/>
      <w:szCs w:val="24"/>
      <w:u w:color="000000"/>
      <w:lang w:eastAsia="en-US"/>
    </w:rPr>
  </w:style>
  <w:style w:type="character" w:customStyle="1" w:styleId="Bullet1Char">
    <w:name w:val="Bullet1 Char"/>
    <w:basedOn w:val="NormalTextChar"/>
    <w:link w:val="Bullet1"/>
    <w:uiPriority w:val="4"/>
    <w:rsid w:val="00DC0AD7"/>
    <w:rPr>
      <w:rFonts w:ascii="Arial" w:hAnsi="Arial" w:cs="Arial"/>
      <w:color w:val="1A1B1A" w:themeColor="text1" w:themeShade="80"/>
      <w:kern w:val="20"/>
      <w:sz w:val="19"/>
      <w:szCs w:val="24"/>
      <w:u w:color="000000"/>
      <w:lang w:eastAsia="en-US"/>
    </w:rPr>
  </w:style>
  <w:style w:type="character" w:customStyle="1" w:styleId="Bullet2Char">
    <w:name w:val="Bullet2 Char"/>
    <w:basedOn w:val="Bullet1Char"/>
    <w:link w:val="Bullet2"/>
    <w:uiPriority w:val="4"/>
    <w:rsid w:val="002C1082"/>
    <w:rPr>
      <w:rFonts w:ascii="Arial" w:hAnsi="Arial" w:cs="Arial"/>
      <w:color w:val="1A1B1A" w:themeColor="text1" w:themeShade="80"/>
      <w:kern w:val="20"/>
      <w:sz w:val="19"/>
      <w:szCs w:val="24"/>
      <w:u w:color="000000"/>
      <w:lang w:eastAsia="en-US"/>
    </w:rPr>
  </w:style>
  <w:style w:type="character" w:customStyle="1" w:styleId="BulletendashChar">
    <w:name w:val="Bullet en dash Char"/>
    <w:basedOn w:val="Bullet2Char"/>
    <w:link w:val="Bulletendash"/>
    <w:uiPriority w:val="4"/>
    <w:rsid w:val="00DC0AD7"/>
    <w:rPr>
      <w:rFonts w:ascii="Arial" w:hAnsi="Arial" w:cs="Arial"/>
      <w:i/>
      <w:noProof/>
      <w:color w:val="1A1B1A" w:themeColor="text1" w:themeShade="80"/>
      <w:kern w:val="20"/>
      <w:sz w:val="28"/>
      <w:szCs w:val="28"/>
      <w:u w:color="000000"/>
      <w:lang w:eastAsia="en-US"/>
    </w:rPr>
  </w:style>
  <w:style w:type="paragraph" w:customStyle="1" w:styleId="Figurecaption">
    <w:name w:val="Figure caption"/>
    <w:basedOn w:val="Caption"/>
    <w:link w:val="FigurecaptionChar"/>
    <w:uiPriority w:val="4"/>
    <w:qFormat/>
    <w:rsid w:val="00412703"/>
  </w:style>
  <w:style w:type="character" w:customStyle="1" w:styleId="CaptionChar">
    <w:name w:val="Caption Char"/>
    <w:aliases w:val="Table caption Char"/>
    <w:basedOn w:val="DefaultParagraphFont"/>
    <w:link w:val="Caption"/>
    <w:uiPriority w:val="4"/>
    <w:rsid w:val="00412703"/>
    <w:rPr>
      <w:rFonts w:ascii="Franklin Gothic Medium" w:hAnsi="Franklin Gothic Medium"/>
      <w:color w:val="5C2946"/>
      <w:szCs w:val="24"/>
      <w:lang w:eastAsia="en-US"/>
    </w:rPr>
  </w:style>
  <w:style w:type="character" w:customStyle="1" w:styleId="FigurecaptionChar">
    <w:name w:val="Figure caption Char"/>
    <w:basedOn w:val="CaptionChar"/>
    <w:link w:val="Figurecaption"/>
    <w:uiPriority w:val="4"/>
    <w:rsid w:val="00412703"/>
    <w:rPr>
      <w:rFonts w:ascii="Franklin Gothic Medium" w:hAnsi="Franklin Gothic Medium"/>
      <w:color w:val="5C2946"/>
      <w:szCs w:val="24"/>
      <w:lang w:eastAsia="en-US"/>
    </w:rPr>
  </w:style>
  <w:style w:type="character" w:styleId="UnresolvedMention">
    <w:name w:val="Unresolved Mention"/>
    <w:basedOn w:val="DefaultParagraphFont"/>
    <w:uiPriority w:val="99"/>
    <w:semiHidden/>
    <w:unhideWhenUsed/>
    <w:rsid w:val="00BB1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4060">
      <w:bodyDiv w:val="1"/>
      <w:marLeft w:val="0"/>
      <w:marRight w:val="0"/>
      <w:marTop w:val="0"/>
      <w:marBottom w:val="0"/>
      <w:divBdr>
        <w:top w:val="none" w:sz="0" w:space="0" w:color="auto"/>
        <w:left w:val="none" w:sz="0" w:space="0" w:color="auto"/>
        <w:bottom w:val="none" w:sz="0" w:space="0" w:color="auto"/>
        <w:right w:val="none" w:sz="0" w:space="0" w:color="auto"/>
      </w:divBdr>
    </w:div>
    <w:div w:id="511577432">
      <w:bodyDiv w:val="1"/>
      <w:marLeft w:val="0"/>
      <w:marRight w:val="0"/>
      <w:marTop w:val="0"/>
      <w:marBottom w:val="0"/>
      <w:divBdr>
        <w:top w:val="none" w:sz="0" w:space="0" w:color="auto"/>
        <w:left w:val="none" w:sz="0" w:space="0" w:color="auto"/>
        <w:bottom w:val="none" w:sz="0" w:space="0" w:color="auto"/>
        <w:right w:val="none" w:sz="0" w:space="0" w:color="auto"/>
      </w:divBdr>
    </w:div>
    <w:div w:id="614406134">
      <w:bodyDiv w:val="1"/>
      <w:marLeft w:val="0"/>
      <w:marRight w:val="0"/>
      <w:marTop w:val="0"/>
      <w:marBottom w:val="0"/>
      <w:divBdr>
        <w:top w:val="none" w:sz="0" w:space="0" w:color="auto"/>
        <w:left w:val="none" w:sz="0" w:space="0" w:color="auto"/>
        <w:bottom w:val="none" w:sz="0" w:space="0" w:color="auto"/>
        <w:right w:val="none" w:sz="0" w:space="0" w:color="auto"/>
      </w:divBdr>
    </w:div>
    <w:div w:id="766001221">
      <w:bodyDiv w:val="1"/>
      <w:marLeft w:val="0"/>
      <w:marRight w:val="0"/>
      <w:marTop w:val="0"/>
      <w:marBottom w:val="0"/>
      <w:divBdr>
        <w:top w:val="none" w:sz="0" w:space="0" w:color="auto"/>
        <w:left w:val="none" w:sz="0" w:space="0" w:color="auto"/>
        <w:bottom w:val="none" w:sz="0" w:space="0" w:color="auto"/>
        <w:right w:val="none" w:sz="0" w:space="0" w:color="auto"/>
      </w:divBdr>
    </w:div>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887570223">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175997092">
      <w:bodyDiv w:val="1"/>
      <w:marLeft w:val="0"/>
      <w:marRight w:val="0"/>
      <w:marTop w:val="0"/>
      <w:marBottom w:val="0"/>
      <w:divBdr>
        <w:top w:val="none" w:sz="0" w:space="0" w:color="auto"/>
        <w:left w:val="none" w:sz="0" w:space="0" w:color="auto"/>
        <w:bottom w:val="none" w:sz="0" w:space="0" w:color="auto"/>
        <w:right w:val="none" w:sz="0" w:space="0" w:color="auto"/>
      </w:divBdr>
    </w:div>
    <w:div w:id="1456830717">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 w:id="1758747602">
      <w:bodyDiv w:val="1"/>
      <w:marLeft w:val="0"/>
      <w:marRight w:val="0"/>
      <w:marTop w:val="0"/>
      <w:marBottom w:val="0"/>
      <w:divBdr>
        <w:top w:val="none" w:sz="0" w:space="0" w:color="auto"/>
        <w:left w:val="none" w:sz="0" w:space="0" w:color="auto"/>
        <w:bottom w:val="none" w:sz="0" w:space="0" w:color="auto"/>
        <w:right w:val="none" w:sz="0" w:space="0" w:color="auto"/>
      </w:divBdr>
    </w:div>
    <w:div w:id="18358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openxmlformats.org/officeDocument/2006/relationships/numbering" Target="numbering.xml" Id="rId3" /><Relationship Type="http://schemas.openxmlformats.org/officeDocument/2006/relationships/header" Target="header2.xml" Id="rId21"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theme" Target="theme/theme1.xml" Id="rId25" /><Relationship Type="http://schemas.openxmlformats.org/officeDocument/2006/relationships/hyperlink" Target="mailto:communications@apvma.gov.au" TargetMode="External" Id="rId16" /><Relationship Type="http://schemas.openxmlformats.org/officeDocument/2006/relationships/hyperlink" Target="https://www.apvma.gov.au/news-and-publications/public-consultations/products-containing-antimicrobials-for-growth-promotion-on-cattle-and-sheep-destined-for-european-markets-submissions-received" TargetMode="Externa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fontTable" Target="fontTable.xml" Id="rId24" /><Relationship Type="http://schemas.openxmlformats.org/officeDocument/2006/relationships/settings" Target="settings.xml" Id="rId5" /><Relationship Type="http://schemas.openxmlformats.org/officeDocument/2006/relationships/hyperlink" Target="https://www.pmc.gov.au/honours-and-symbols/commonwealth-coat-arms" TargetMode="External" Id="rId15" /><Relationship Type="http://schemas.openxmlformats.org/officeDocument/2006/relationships/header" Target="header4.xml" Id="rId23" /><Relationship Type="http://schemas.openxmlformats.org/officeDocument/2006/relationships/image" Target="media/image2.png" Id="rId10" /><Relationship Type="http://schemas.openxmlformats.org/officeDocument/2006/relationships/hyperlink" Target="https://www.apvma.gov.au/news-and-publications/public-consultations/products-containing-antimicrobials-for-growth-promotion-on-cattle-and-sheep-destined-for-european-markets-document" TargetMode="Externa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legalcode" TargetMode="External" Id="rId14" /><Relationship Type="http://schemas.openxmlformats.org/officeDocument/2006/relationships/header" Target="header3.xml" Id="rId22" /><Relationship Type="http://schemas.openxmlformats.org/officeDocument/2006/relationships/customXml" Target="/customXML/item3.xml" Id="R2c611ba1684346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A3670852</value>
    </field>
    <field name="Objective-Title">
      <value order="0">Antimicrobial Products - consideration of submissions</value>
    </field>
    <field name="Objective-Description">
      <value order="0"/>
    </field>
    <field name="Objective-CreationStamp">
      <value order="0">2025-11-23T23:54:03Z</value>
    </field>
    <field name="Objective-IsApproved">
      <value order="0">false</value>
    </field>
    <field name="Objective-IsPublished">
      <value order="0">false</value>
    </field>
    <field name="Objective-DatePublished">
      <value order="0"/>
    </field>
    <field name="Objective-ModificationStamp">
      <value order="0">2026-01-14T03:06:29Z</value>
    </field>
    <field name="Objective-Owner">
      <value order="0">Teena Rani</value>
    </field>
    <field name="Objective-Path">
      <value order="0">APVMA:SCIENCE AND ASSURANCE:02 - Science and Assurance - Chemical Review:Scientific Assessment - Chemical Review - Nominations:CR - Nominations - 01- Triage:DAFF- EU Antimicrobials:DAFF- EU Antimicrobials- Comms</value>
    </field>
    <field name="Objective-Parent">
      <value order="0">DAFF- EU Antimicrobials- Comms</value>
    </field>
    <field name="Objective-State">
      <value order="0">Being Drafted</value>
    </field>
    <field name="Objective-VersionId">
      <value order="0">vA5594227</value>
    </field>
    <field name="Objective-Version">
      <value order="0">0.18</value>
    </field>
    <field name="Objective-VersionNumber">
      <value order="0">18</value>
    </field>
    <field name="Objective-VersionComment">
      <value order="0"/>
    </field>
    <field name="Objective-FileNumber">
      <value order="0">2025\2815</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29850-2799-4ECB-959A-00125EFD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2493</TotalTime>
  <Pages>10</Pages>
  <Words>3018</Words>
  <Characters>17205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Consideration of submissions received on the Proposed Suspension of certain dimethoate products</vt:lpstr>
    </vt:vector>
  </TitlesOfParts>
  <Manager/>
  <Company>Australian Pesticides and Veterinary Medicines Authority</Company>
  <LinksUpToDate>false</LinksUpToDate>
  <CharactersWithSpaces>20183</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Consideration of submissions</dc:title>
  <dc:subject/>
  <dc:creator>APVMA</dc:creator>
  <cp:keywords/>
  <dc:description/>
  <cp:lastModifiedBy>GRIFFIN, Jordanna</cp:lastModifiedBy>
  <cp:revision>56</cp:revision>
  <cp:lastPrinted>2026-01-14T03:06:00Z</cp:lastPrinted>
  <dcterms:created xsi:type="dcterms:W3CDTF">2025-11-14T00:38:00Z</dcterms:created>
  <dcterms:modified xsi:type="dcterms:W3CDTF">2026-01-14T03:07:00Z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A3670852</vt:lpwstr>
  </property>
  <property fmtid="{D5CDD505-2E9C-101B-9397-08002B2CF9AE}" pid="4" name="Objective-Title">
    <vt:lpwstr>Antimicrobial Products - consideration of submissions</vt:lpwstr>
  </property>
  <property fmtid="{D5CDD505-2E9C-101B-9397-08002B2CF9AE}" pid="5" name="Objective-Comment">
    <vt:lpwstr/>
  </property>
  <property fmtid="{D5CDD505-2E9C-101B-9397-08002B2CF9AE}" pid="6" name="Objective-CreationStamp">
    <vt:filetime>2025-11-23T23:54:03Z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2026-01-14T03:06:29Z</vt:filetime>
  </property>
  <property fmtid="{D5CDD505-2E9C-101B-9397-08002B2CF9AE}" pid="11" name="Objective-Owner">
    <vt:lpwstr>Teena Rani</vt:lpwstr>
  </property>
  <property fmtid="{D5CDD505-2E9C-101B-9397-08002B2CF9AE}" pid="12" name="Objective-Path">
    <vt:lpwstr>APVMA:SCIENCE AND ASSURANCE:02 - Science and Assurance - Chemical Review:Scientific Assessment - Chemical Review - Nominations:CR - Nominations - 01- Triage:DAFF- EU Antimicrobials:DAFF- EU Antimicrobials- Comms:</vt:lpwstr>
  </property>
  <property fmtid="{D5CDD505-2E9C-101B-9397-08002B2CF9AE}" pid="13" name="Objective-Parent">
    <vt:lpwstr>DAFF- EU Antimicrobials- Comms</vt:lpwstr>
  </property>
  <property fmtid="{D5CDD505-2E9C-101B-9397-08002B2CF9AE}" pid="14" name="Objective-State">
    <vt:lpwstr>Being Drafted</vt:lpwstr>
  </property>
  <property fmtid="{D5CDD505-2E9C-101B-9397-08002B2CF9AE}" pid="15" name="Objective-Version">
    <vt:lpwstr>0.18</vt:lpwstr>
  </property>
  <property fmtid="{D5CDD505-2E9C-101B-9397-08002B2CF9AE}" pid="16" name="Objective-VersionNumber">
    <vt:r8>18</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vA5594227</vt:lpwstr>
  </property>
  <property fmtid="{D5CDD505-2E9C-101B-9397-08002B2CF9AE}" pid="23" name="Objective-Connect Creator">
    <vt:lpwstr/>
  </property>
</Properties>
</file>